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804073"/>
      <w:bookmarkEnd w:id="0"/>
      <w:bookmarkStart w:id="1" w:name="_Toc22953395"/>
      <w:bookmarkEnd w:id="1"/>
    </w:p>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宋体" w:hAnsi="宋体" w:eastAsia="宋体" w:cs="宋体"/>
          <w:b/>
          <w:bCs/>
          <w:sz w:val="48"/>
          <w:szCs w:val="48"/>
          <w:lang w:val="en-US" w:eastAsia="zh-CN"/>
        </w:rPr>
      </w:pPr>
      <w:r>
        <w:rPr>
          <w:rFonts w:hint="eastAsia" w:ascii="宋体" w:hAnsi="宋体" w:eastAsia="宋体" w:cs="宋体"/>
          <w:b/>
          <w:bCs/>
          <w:sz w:val="48"/>
          <w:szCs w:val="48"/>
          <w:lang w:val="en-US" w:eastAsia="zh-CN"/>
        </w:rPr>
        <w:t>驻马店市中心医院碘[125I]密封籽源采购</w:t>
      </w:r>
      <w:r>
        <w:rPr>
          <w:rFonts w:hint="eastAsia" w:ascii="宋体" w:hAnsi="宋体" w:eastAsia="宋体" w:cs="宋体"/>
          <w:b/>
          <w:bCs/>
          <w:sz w:val="48"/>
          <w:szCs w:val="48"/>
        </w:rPr>
        <w:t>项目</w:t>
      </w:r>
      <w:r>
        <w:rPr>
          <w:rFonts w:hint="eastAsia" w:cs="宋体"/>
          <w:b/>
          <w:bCs/>
          <w:sz w:val="48"/>
          <w:szCs w:val="48"/>
          <w:lang w:eastAsia="zh-CN"/>
        </w:rPr>
        <w:t>（</w:t>
      </w:r>
      <w:r>
        <w:rPr>
          <w:rFonts w:hint="eastAsia" w:cs="宋体"/>
          <w:b/>
          <w:bCs/>
          <w:sz w:val="48"/>
          <w:szCs w:val="48"/>
          <w:lang w:val="en-US" w:eastAsia="zh-CN"/>
        </w:rPr>
        <w:t>二次）</w:t>
      </w:r>
    </w:p>
    <w:p>
      <w:pPr>
        <w:pStyle w:val="20"/>
        <w:bidi w:val="0"/>
        <w:jc w:val="center"/>
        <w:rPr>
          <w:rStyle w:val="43"/>
          <w:rFonts w:hint="eastAsia" w:ascii="宋体" w:hAnsi="宋体" w:eastAsia="宋体" w:cs="宋体"/>
          <w:b/>
          <w:bCs/>
          <w:color w:val="auto"/>
          <w:sz w:val="48"/>
          <w:szCs w:val="48"/>
        </w:rPr>
      </w:pPr>
    </w:p>
    <w:p>
      <w:pPr>
        <w:pStyle w:val="20"/>
        <w:bidi w:val="0"/>
        <w:jc w:val="center"/>
        <w:rPr>
          <w:rStyle w:val="43"/>
          <w:rFonts w:hint="eastAsia" w:ascii="宋体" w:hAnsi="宋体" w:eastAsia="宋体" w:cs="宋体"/>
          <w:b/>
          <w:bCs/>
          <w:color w:val="auto"/>
          <w:sz w:val="48"/>
          <w:szCs w:val="48"/>
        </w:rPr>
      </w:pPr>
    </w:p>
    <w:p>
      <w:pPr>
        <w:pStyle w:val="20"/>
        <w:bidi w:val="0"/>
        <w:jc w:val="center"/>
        <w:rPr>
          <w:rStyle w:val="43"/>
          <w:rFonts w:hint="eastAsia" w:ascii="宋体" w:hAnsi="宋体" w:eastAsia="宋体" w:cs="宋体"/>
          <w:b/>
          <w:bCs/>
          <w:color w:val="auto"/>
          <w:sz w:val="48"/>
          <w:szCs w:val="48"/>
        </w:rPr>
      </w:pPr>
    </w:p>
    <w:p>
      <w:pPr>
        <w:pStyle w:val="20"/>
        <w:bidi w:val="0"/>
        <w:jc w:val="center"/>
        <w:rPr>
          <w:rStyle w:val="43"/>
          <w:rFonts w:hint="eastAsia" w:ascii="宋体" w:hAnsi="宋体" w:eastAsia="宋体" w:cs="宋体"/>
          <w:b/>
          <w:bCs/>
          <w:color w:val="auto"/>
          <w:sz w:val="48"/>
          <w:szCs w:val="48"/>
        </w:rPr>
      </w:pPr>
    </w:p>
    <w:p>
      <w:pPr>
        <w:pStyle w:val="20"/>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1"/>
        <w:rPr>
          <w:rFonts w:hint="eastAsia"/>
        </w:rPr>
      </w:pPr>
    </w:p>
    <w:p>
      <w:pPr>
        <w:pStyle w:val="57"/>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2022</w:t>
      </w:r>
      <w:r>
        <w:rPr>
          <w:rFonts w:hint="eastAsia" w:ascii="宋体" w:hAnsi="宋体" w:eastAsia="宋体" w:cs="宋体"/>
          <w:b/>
          <w:bCs/>
          <w:spacing w:val="40"/>
          <w:sz w:val="34"/>
          <w:szCs w:val="34"/>
        </w:rPr>
        <w:t>年</w:t>
      </w:r>
      <w:r>
        <w:rPr>
          <w:rFonts w:hint="eastAsia" w:ascii="宋体" w:hAnsi="宋体" w:cs="宋体"/>
          <w:b/>
          <w:bCs/>
          <w:spacing w:val="40"/>
          <w:sz w:val="34"/>
          <w:szCs w:val="34"/>
          <w:lang w:val="en-US" w:eastAsia="zh-CN"/>
        </w:rPr>
        <w:t>03</w:t>
      </w:r>
      <w:r>
        <w:rPr>
          <w:rFonts w:hint="eastAsia" w:ascii="宋体" w:hAnsi="宋体" w:eastAsia="宋体" w:cs="宋体"/>
          <w:b/>
          <w:bCs/>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1"/>
        <w:rPr>
          <w:color w:val="auto"/>
          <w:highlight w:val="none"/>
        </w:rPr>
      </w:pPr>
    </w:p>
    <w:p>
      <w:pPr>
        <w:pStyle w:val="25"/>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5"/>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1"/>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default"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rPr>
        <w:t>驻马店市中心医院碘[125I]密封籽源</w:t>
      </w:r>
      <w:r>
        <w:rPr>
          <w:rFonts w:hint="eastAsia" w:ascii="黑体" w:hAnsi="黑体" w:eastAsia="黑体" w:cs="宋体"/>
          <w:bCs/>
          <w:color w:val="auto"/>
          <w:kern w:val="0"/>
          <w:sz w:val="28"/>
          <w:szCs w:val="28"/>
          <w:lang w:eastAsia="zh-CN"/>
        </w:rPr>
        <w:t>采购</w:t>
      </w:r>
      <w:r>
        <w:rPr>
          <w:rFonts w:hint="eastAsia" w:ascii="黑体" w:hAnsi="黑体" w:eastAsia="黑体" w:cs="宋体"/>
          <w:bCs/>
          <w:color w:val="auto"/>
          <w:kern w:val="0"/>
          <w:sz w:val="28"/>
          <w:szCs w:val="28"/>
          <w:u w:val="none"/>
          <w:lang w:val="en-US" w:eastAsia="zh-CN"/>
        </w:rPr>
        <w:t>项目（二次）</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bookmarkStart w:id="91" w:name="_GoBack"/>
      <w:r>
        <w:rPr>
          <w:rFonts w:hint="eastAsia" w:ascii="宋体" w:hAnsi="宋体" w:eastAsia="宋体" w:cs="宋体"/>
          <w:color w:val="auto"/>
        </w:rPr>
        <w:t>驻马店市中心医院现对</w:t>
      </w:r>
      <w:r>
        <w:rPr>
          <w:rFonts w:hint="eastAsia" w:ascii="宋体" w:hAnsi="宋体" w:eastAsia="宋体" w:cs="宋体"/>
          <w:color w:val="auto"/>
          <w:u w:val="single"/>
        </w:rPr>
        <w:t>碘[125I]密封籽源</w:t>
      </w:r>
      <w:r>
        <w:rPr>
          <w:rFonts w:hint="eastAsia" w:ascii="宋体" w:hAnsi="宋体" w:cs="宋体"/>
          <w:color w:val="auto"/>
          <w:u w:val="single"/>
          <w:lang w:val="en-US" w:eastAsia="zh-CN"/>
        </w:rPr>
        <w:t>采购</w:t>
      </w:r>
      <w:r>
        <w:rPr>
          <w:rFonts w:hint="eastAsia" w:ascii="宋体" w:hAnsi="宋体" w:eastAsia="宋体" w:cs="宋体"/>
          <w:i w:val="0"/>
          <w:iCs w:val="0"/>
          <w:color w:val="auto"/>
          <w:u w:val="none"/>
          <w:lang w:val="en-US" w:eastAsia="zh-CN"/>
        </w:rPr>
        <w:t>项目</w:t>
      </w:r>
      <w:r>
        <w:rPr>
          <w:rFonts w:hint="eastAsia" w:ascii="宋体" w:hAnsi="宋体" w:cs="宋体"/>
          <w:i w:val="0"/>
          <w:iCs w:val="0"/>
          <w:color w:val="auto"/>
          <w:u w:val="none"/>
          <w:lang w:val="en-US" w:eastAsia="zh-CN"/>
        </w:rPr>
        <w:t>（二次）</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yellow"/>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eastAsia="宋体" w:cs="宋体"/>
          <w:color w:val="auto"/>
        </w:rPr>
        <w:t>驻马店市中心医院碘[125I]密封籽源</w:t>
      </w:r>
      <w:r>
        <w:rPr>
          <w:rFonts w:hint="eastAsia" w:ascii="宋体" w:hAnsi="宋体" w:eastAsia="宋体" w:cs="宋体"/>
          <w:color w:val="auto"/>
          <w:u w:val="none"/>
          <w:lang w:eastAsia="zh-CN"/>
        </w:rPr>
        <w:t>采购</w:t>
      </w:r>
      <w:r>
        <w:rPr>
          <w:rFonts w:hint="eastAsia" w:ascii="宋体" w:hAnsi="宋体" w:eastAsia="宋体" w:cs="宋体"/>
          <w:color w:val="auto"/>
          <w:szCs w:val="21"/>
          <w:highlight w:val="none"/>
          <w:u w:val="none"/>
          <w:shd w:val="clear" w:color="auto" w:fill="FFFFFF"/>
        </w:rPr>
        <w:t>项目</w:t>
      </w:r>
      <w:r>
        <w:rPr>
          <w:rFonts w:hint="eastAsia" w:ascii="宋体" w:hAnsi="宋体" w:cs="宋体"/>
          <w:color w:val="auto"/>
          <w:szCs w:val="21"/>
          <w:highlight w:val="none"/>
          <w:u w:val="none"/>
          <w:shd w:val="clear" w:color="auto" w:fill="FFFFFF"/>
          <w:lang w:eastAsia="zh-CN"/>
        </w:rPr>
        <w:t>（</w:t>
      </w:r>
      <w:r>
        <w:rPr>
          <w:rFonts w:hint="eastAsia" w:ascii="宋体" w:hAnsi="宋体" w:cs="宋体"/>
          <w:color w:val="auto"/>
          <w:szCs w:val="21"/>
          <w:highlight w:val="none"/>
          <w:u w:val="none"/>
          <w:shd w:val="clear" w:color="auto" w:fill="FFFFFF"/>
          <w:lang w:val="en-US" w:eastAsia="zh-CN"/>
        </w:rPr>
        <w:t>二次）</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kern w:val="0"/>
          <w:szCs w:val="21"/>
          <w:highlight w:val="none"/>
          <w:u w:val="none"/>
          <w:lang w:val="en-US" w:eastAsia="zh-CN"/>
        </w:rPr>
        <w:t>480000.00</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snapToGrid w:val="0"/>
        <w:spacing w:line="360" w:lineRule="auto"/>
        <w:ind w:firstLine="420" w:firstLineChars="200"/>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交货地点：采购人指定地点；</w:t>
      </w:r>
    </w:p>
    <w:p>
      <w:pPr>
        <w:widowControl/>
        <w:tabs>
          <w:tab w:val="left" w:pos="840"/>
        </w:tabs>
        <w:snapToGrid w:val="0"/>
        <w:spacing w:line="360" w:lineRule="auto"/>
        <w:ind w:firstLine="420" w:firstLineChars="200"/>
        <w:jc w:val="left"/>
        <w:rPr>
          <w:rFonts w:eastAsia="宋体"/>
          <w:color w:val="auto"/>
          <w:highlight w:val="none"/>
        </w:rPr>
      </w:pPr>
      <w:bookmarkStart w:id="4" w:name="_Toc19521"/>
      <w:bookmarkStart w:id="5" w:name="_Toc21071"/>
      <w:bookmarkStart w:id="6" w:name="_Toc26079"/>
      <w:bookmarkStart w:id="7" w:name="_Toc24040"/>
      <w:bookmarkStart w:id="8" w:name="_Toc27913"/>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bCs/>
          <w:color w:val="auto"/>
          <w:szCs w:val="21"/>
          <w:highlight w:val="none"/>
          <w:shd w:val="clear" w:color="auto" w:fill="FFFFFF"/>
        </w:rPr>
        <w:t>合同履行期限：合同签订后</w:t>
      </w:r>
      <w:r>
        <w:rPr>
          <w:rFonts w:hint="eastAsia" w:ascii="宋体" w:hAnsi="宋体" w:eastAsia="宋体" w:cs="宋体"/>
          <w:bCs/>
          <w:color w:val="auto"/>
          <w:szCs w:val="21"/>
          <w:highlight w:val="none"/>
          <w:u w:val="none"/>
          <w:shd w:val="clear" w:color="auto" w:fill="FFFFFF"/>
          <w:lang w:val="en-US" w:eastAsia="zh-CN"/>
        </w:rPr>
        <w:t xml:space="preserve"> </w:t>
      </w:r>
      <w:r>
        <w:rPr>
          <w:rFonts w:hint="eastAsia" w:ascii="宋体" w:hAnsi="宋体" w:cs="宋体"/>
          <w:bCs/>
          <w:color w:val="auto"/>
          <w:szCs w:val="21"/>
          <w:highlight w:val="none"/>
          <w:u w:val="none"/>
          <w:shd w:val="clear" w:color="auto" w:fill="FFFFFF"/>
          <w:lang w:val="en-US" w:eastAsia="zh-CN"/>
        </w:rPr>
        <w:t>1</w:t>
      </w:r>
      <w:r>
        <w:rPr>
          <w:rFonts w:hint="eastAsia" w:ascii="宋体" w:hAnsi="宋体" w:eastAsia="宋体" w:cs="宋体"/>
          <w:bCs/>
          <w:color w:val="auto"/>
          <w:szCs w:val="21"/>
          <w:highlight w:val="none"/>
          <w:u w:val="none"/>
          <w:shd w:val="clear" w:color="auto" w:fill="FFFFFF"/>
          <w:lang w:val="en-US" w:eastAsia="zh-CN"/>
        </w:rPr>
        <w:t xml:space="preserve"> </w:t>
      </w:r>
      <w:r>
        <w:rPr>
          <w:rFonts w:hint="eastAsia" w:ascii="宋体" w:hAnsi="宋体" w:eastAsia="宋体" w:cs="宋体"/>
          <w:bCs/>
          <w:color w:val="auto"/>
          <w:szCs w:val="21"/>
          <w:highlight w:val="none"/>
          <w:shd w:val="clear" w:color="auto" w:fill="FFFFFF"/>
          <w:lang w:val="en-US" w:eastAsia="zh-CN"/>
        </w:rPr>
        <w:t>年</w:t>
      </w:r>
      <w:r>
        <w:rPr>
          <w:rFonts w:hint="eastAsia" w:ascii="宋体" w:hAnsi="宋体" w:eastAsia="宋体" w:cs="宋体"/>
          <w:color w:val="auto"/>
          <w:szCs w:val="21"/>
          <w:highlight w:val="none"/>
          <w:shd w:val="clear" w:color="auto" w:fill="FFFFFF"/>
          <w:lang w:val="en-US" w:eastAsia="zh-CN"/>
        </w:rPr>
        <w:t>；</w:t>
      </w:r>
    </w:p>
    <w:p>
      <w:pPr>
        <w:widowControl/>
        <w:tabs>
          <w:tab w:val="left" w:pos="840"/>
        </w:tabs>
        <w:snapToGrid w:val="0"/>
        <w:spacing w:line="360" w:lineRule="auto"/>
        <w:ind w:firstLine="420" w:firstLineChars="200"/>
        <w:jc w:val="left"/>
        <w:rPr>
          <w:rFonts w:ascii="宋体" w:hAnsi="宋体" w:eastAsia="宋体" w:cs="宋体"/>
          <w:color w:val="auto"/>
          <w:szCs w:val="21"/>
          <w:highlight w:val="none"/>
          <w:shd w:val="clear" w:color="auto" w:fill="FFFFFF"/>
        </w:rPr>
      </w:pPr>
      <w:r>
        <w:rPr>
          <w:rFonts w:hint="eastAsia" w:ascii="宋体" w:hAnsi="宋体" w:eastAsia="宋体" w:cs="宋体"/>
          <w:bCs/>
          <w:color w:val="auto"/>
          <w:szCs w:val="21"/>
          <w:highlight w:val="none"/>
          <w:shd w:val="clear" w:color="auto" w:fill="FFFFFF"/>
        </w:rPr>
        <w:t>6、</w:t>
      </w:r>
      <w:r>
        <w:rPr>
          <w:rFonts w:hint="eastAsia" w:ascii="宋体" w:hAnsi="宋体" w:eastAsia="宋体" w:cs="宋体"/>
          <w:color w:val="auto"/>
          <w:szCs w:val="21"/>
          <w:highlight w:val="none"/>
          <w:shd w:val="clear" w:color="auto" w:fill="FFFFFF"/>
        </w:rPr>
        <w:t>质量要求：</w:t>
      </w:r>
      <w:r>
        <w:rPr>
          <w:rFonts w:hint="eastAsia" w:ascii="宋体" w:hAnsi="宋体" w:eastAsia="宋体" w:cs="宋体"/>
          <w:color w:val="auto"/>
          <w:szCs w:val="21"/>
          <w:highlight w:val="none"/>
          <w:shd w:val="clear" w:color="auto" w:fill="FFFFFF"/>
          <w:lang w:eastAsia="zh-CN"/>
        </w:rPr>
        <w:t>合格。</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bookmarkStart w:id="9" w:name="_Toc18607"/>
      <w:bookmarkStart w:id="10" w:name="_Toc27704"/>
      <w:bookmarkStart w:id="11" w:name="_Toc23626"/>
      <w:bookmarkStart w:id="12" w:name="_Toc16639"/>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供应商应提供2020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3、具有履行合同所必需的设备和专业技术能力（提供书面声明函）；</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4、参加本采购活动前三年内，在经营活动中没有重大违法记录（提供书面声明函）；</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5、符合法律、行政法规规定的其他条件；</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6、供应商是生产厂家的须具有《放射性药品生产许可证》；供应商是代理商的须具有《</w:t>
      </w:r>
      <w:r>
        <w:rPr>
          <w:rFonts w:hint="default" w:ascii="宋体" w:hAnsi="宋体" w:eastAsia="宋体" w:cs="宋体"/>
          <w:color w:val="auto"/>
          <w:kern w:val="2"/>
          <w:sz w:val="21"/>
          <w:szCs w:val="24"/>
          <w:lang w:val="en-US" w:eastAsia="zh-CN" w:bidi="ar-SA"/>
        </w:rPr>
        <w:t>放射性药品经营许可证》</w:t>
      </w:r>
      <w:r>
        <w:rPr>
          <w:rFonts w:hint="eastAsia" w:ascii="宋体" w:hAnsi="宋体" w:eastAsia="宋体" w:cs="宋体"/>
          <w:color w:val="auto"/>
          <w:kern w:val="2"/>
          <w:sz w:val="21"/>
          <w:szCs w:val="24"/>
          <w:lang w:val="en-US" w:eastAsia="zh-CN" w:bidi="ar-SA"/>
        </w:rPr>
        <w:t>并提供生产厂家相关证件；</w:t>
      </w:r>
    </w:p>
    <w:p>
      <w:pPr>
        <w:widowControl w:val="0"/>
        <w:autoSpaceDE w:val="0"/>
        <w:autoSpaceDN w:val="0"/>
        <w:adjustRightInd w:val="0"/>
        <w:snapToGrid w:val="0"/>
        <w:spacing w:line="360" w:lineRule="auto"/>
        <w:ind w:firstLine="420" w:firstLineChars="200"/>
        <w:rPr>
          <w:rFonts w:hint="eastAsia"/>
          <w:color w:val="auto"/>
          <w:lang w:val="en-US" w:eastAsia="zh-CN"/>
        </w:rPr>
      </w:pPr>
      <w:r>
        <w:rPr>
          <w:rFonts w:hint="eastAsia"/>
          <w:color w:val="auto"/>
          <w:lang w:val="en-US" w:eastAsia="zh-CN"/>
        </w:rPr>
        <w:t>7、根据《关于在政府采购活动中查询及使用信用记录有关问题的通知》（财库【2016】125号）的规定，对列入失信被执行人、重大税收违法案件当事人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widowControl w:val="0"/>
        <w:autoSpaceDE w:val="0"/>
        <w:autoSpaceDN w:val="0"/>
        <w:adjustRightInd w:val="0"/>
        <w:snapToGrid w:val="0"/>
        <w:spacing w:line="360" w:lineRule="auto"/>
        <w:ind w:firstLine="420" w:firstLineChars="200"/>
        <w:rPr>
          <w:rFonts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8</w:t>
      </w:r>
      <w:r>
        <w:rPr>
          <w:rFonts w:hint="eastAsia" w:ascii="宋体" w:hAnsi="宋体" w:eastAsia="宋体" w:cs="宋体"/>
          <w:color w:val="auto"/>
          <w:kern w:val="2"/>
          <w:sz w:val="21"/>
          <w:szCs w:val="24"/>
          <w:lang w:val="en-US" w:eastAsia="zh-CN" w:bidi="ar-SA"/>
        </w:rPr>
        <w:t>、不接受联合体投标。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bookmarkStart w:id="13" w:name="_Toc23395"/>
      <w:bookmarkStart w:id="14" w:name="_Toc30971"/>
      <w:bookmarkStart w:id="15" w:name="_Toc7823"/>
      <w:bookmarkStart w:id="16" w:name="_Toc30643"/>
      <w:bookmarkStart w:id="17" w:name="_Toc9562"/>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w:t>
      </w:r>
      <w:r>
        <w:rPr>
          <w:rFonts w:hint="eastAsia" w:ascii="宋体" w:hAnsi="宋体" w:eastAsia="宋体" w:cs="宋体"/>
          <w:color w:val="auto"/>
          <w:szCs w:val="21"/>
          <w:shd w:val="clear" w:color="auto" w:fill="FFFFFF"/>
          <w:lang w:val="en-US" w:eastAsia="zh-CN"/>
        </w:rPr>
        <w:t>2</w:t>
      </w:r>
      <w:r>
        <w:rPr>
          <w:rFonts w:hint="eastAsia" w:ascii="宋体" w:hAnsi="宋体" w:eastAsia="宋体" w:cs="宋体"/>
          <w:color w:val="auto"/>
          <w:szCs w:val="21"/>
          <w:shd w:val="clear" w:color="auto" w:fill="FFFFFF"/>
        </w:rPr>
        <w:t>年</w:t>
      </w:r>
      <w:r>
        <w:rPr>
          <w:rFonts w:hint="eastAsia" w:ascii="宋体" w:hAnsi="宋体" w:cs="宋体"/>
          <w:color w:val="auto"/>
          <w:szCs w:val="21"/>
          <w:highlight w:val="none"/>
          <w:shd w:val="clear" w:color="auto" w:fill="FFFFFF"/>
          <w:lang w:val="en-US" w:eastAsia="zh-CN"/>
        </w:rPr>
        <w:t>03</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29</w:t>
      </w:r>
      <w:r>
        <w:rPr>
          <w:rFonts w:hint="eastAsia" w:ascii="宋体" w:hAnsi="宋体" w:eastAsia="宋体" w:cs="宋体"/>
          <w:color w:val="auto"/>
          <w:szCs w:val="21"/>
          <w:highlight w:val="none"/>
          <w:shd w:val="clear" w:color="auto" w:fill="FFFFFF"/>
        </w:rPr>
        <w:t>日-202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none"/>
          <w:shd w:val="clear" w:color="auto" w:fill="FFFFFF"/>
          <w:lang w:val="en-US" w:eastAsia="zh-CN"/>
        </w:rPr>
        <w:t>03</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31</w:t>
      </w:r>
      <w:r>
        <w:rPr>
          <w:rFonts w:hint="eastAsia" w:ascii="宋体" w:hAnsi="宋体" w:eastAsia="宋体" w:cs="宋体"/>
          <w:color w:val="auto"/>
          <w:szCs w:val="21"/>
          <w:highlight w:val="none"/>
          <w:shd w:val="clear" w:color="auto" w:fill="FFFFFF"/>
        </w:rPr>
        <w:t>日</w:t>
      </w:r>
      <w:r>
        <w:rPr>
          <w:rFonts w:hint="eastAsia" w:ascii="宋体" w:hAnsi="宋体" w:eastAsia="宋体" w:cs="宋体"/>
          <w:color w:val="auto"/>
          <w:szCs w:val="21"/>
          <w:shd w:val="clear" w:color="auto" w:fill="FFFFFF"/>
        </w:rPr>
        <w:t>，上午8：30-11:30，下午14:30-17:30（北京时间，法定节假日除外）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cs="宋体"/>
          <w:color w:val="auto"/>
          <w:szCs w:val="21"/>
          <w:shd w:val="clear" w:color="auto" w:fill="FFFFFF"/>
          <w:lang w:val="en-US" w:eastAsia="zh-CN"/>
        </w:rPr>
        <w:t>报名费用</w:t>
      </w:r>
      <w:r>
        <w:rPr>
          <w:rFonts w:hint="eastAsia" w:ascii="宋体" w:hAnsi="宋体" w:eastAsia="宋体" w:cs="宋体"/>
          <w:color w:val="auto"/>
          <w:szCs w:val="21"/>
          <w:shd w:val="clear" w:color="auto" w:fill="FFFFFF"/>
          <w:lang w:val="en-US" w:eastAsia="zh-CN"/>
        </w:rPr>
        <w:t>：200元。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2.每报名任何一个项目的供应商，</w:t>
      </w:r>
      <w:r>
        <w:rPr>
          <w:rFonts w:hint="eastAsia" w:ascii="宋体" w:hAnsi="宋体" w:eastAsia="宋体" w:cs="宋体"/>
          <w:color w:val="auto"/>
          <w:kern w:val="0"/>
          <w:sz w:val="21"/>
          <w:szCs w:val="21"/>
          <w:highlight w:val="none"/>
          <w:shd w:val="clear" w:color="auto" w:fill="FFFFFF"/>
          <w:lang w:val="en-US" w:eastAsia="zh-CN" w:bidi="ar-SA"/>
        </w:rPr>
        <w:t>需交纳2000元投标保证金</w:t>
      </w:r>
      <w:r>
        <w:rPr>
          <w:rFonts w:hint="eastAsia" w:ascii="宋体" w:hAnsi="宋体" w:eastAsia="宋体" w:cs="宋体"/>
          <w:color w:val="auto"/>
          <w:kern w:val="0"/>
          <w:sz w:val="21"/>
          <w:szCs w:val="21"/>
          <w:shd w:val="clear" w:color="auto" w:fill="FFFFFF"/>
          <w:lang w:val="en-US" w:eastAsia="zh-CN" w:bidi="ar-SA"/>
        </w:rPr>
        <w:t xml:space="preserve">。凡报名成功的供应商无故不来参与投标的，拒不退还投标保证金，并列入我院黑名单，一年内不得参与我院任何采购活动。凡未中标者，评审结束后三个工作日内凭收据无息退还。中标供应商缴纳相应服务费。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highlight w:val="none"/>
          <w:shd w:val="clear" w:color="auto" w:fill="FFFFFF"/>
          <w:lang w:val="en-US" w:eastAsia="zh-CN" w:bidi="ar-SA"/>
        </w:rPr>
        <w:t>897728619@qq.com</w:t>
      </w:r>
      <w:r>
        <w:rPr>
          <w:rFonts w:hint="eastAsia" w:ascii="宋体" w:hAnsi="宋体" w:eastAsia="宋体" w:cs="宋体"/>
          <w:color w:val="auto"/>
          <w:kern w:val="0"/>
          <w:sz w:val="21"/>
          <w:szCs w:val="21"/>
          <w:shd w:val="clear" w:color="auto" w:fill="FFFFFF"/>
          <w:lang w:val="en-US" w:eastAsia="zh-CN" w:bidi="ar-SA"/>
        </w:rPr>
        <w:t>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及投标保证金。</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27480"/>
      <w:bookmarkStart w:id="19" w:name="_Toc15111"/>
      <w:bookmarkStart w:id="20" w:name="_Toc10738"/>
      <w:bookmarkStart w:id="21" w:name="_Toc15135"/>
      <w:bookmarkStart w:id="22" w:name="_Toc25869"/>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u w:val="none"/>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23" w:name="_Toc20287"/>
      <w:bookmarkStart w:id="24" w:name="_Toc29784"/>
      <w:bookmarkStart w:id="25" w:name="_Toc30918"/>
      <w:bookmarkStart w:id="26" w:name="_Toc6523"/>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626"/>
      <w:bookmarkStart w:id="28" w:name="_Toc35393795"/>
    </w:p>
    <w:bookmarkEnd w:id="27"/>
    <w:bookmarkEnd w:id="28"/>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9" w:name="_Toc3604"/>
      <w:bookmarkStart w:id="30" w:name="_Toc27370"/>
      <w:bookmarkStart w:id="31" w:name="_Toc31928"/>
      <w:bookmarkStart w:id="32" w:name="_Toc16291"/>
      <w:bookmarkStart w:id="33" w:name="_Toc24274"/>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报名联系人：魏女士</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联系电话：16639616696</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监督电话：0396-2725435</w:t>
      </w:r>
    </w:p>
    <w:p>
      <w:pPr>
        <w:pStyle w:val="31"/>
        <w:rPr>
          <w:rFonts w:hint="eastAsia"/>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kern w:val="0"/>
          <w:sz w:val="21"/>
          <w:szCs w:val="21"/>
          <w:shd w:val="clear" w:color="auto" w:fill="FFFFFF"/>
          <w:lang w:val="en-US" w:eastAsia="zh-CN" w:bidi="ar-SA"/>
        </w:rPr>
      </w:pPr>
      <w:r>
        <w:rPr>
          <w:rFonts w:hint="eastAsia" w:ascii="宋体" w:hAnsi="宋体" w:eastAsia="宋体" w:cs="宋体"/>
          <w:kern w:val="0"/>
          <w:sz w:val="21"/>
          <w:szCs w:val="21"/>
          <w:shd w:val="clear" w:color="auto" w:fill="FFFFFF"/>
          <w:lang w:val="en-US" w:eastAsia="zh-CN" w:bidi="ar-SA"/>
        </w:rPr>
        <w:t>驻马店市中心医院采购科</w:t>
      </w:r>
    </w:p>
    <w:p>
      <w:pPr>
        <w:pStyle w:val="29"/>
        <w:widowControl/>
        <w:snapToGrid w:val="0"/>
        <w:spacing w:before="0" w:beforeAutospacing="0" w:after="0" w:afterAutospacing="0" w:line="360" w:lineRule="auto"/>
        <w:ind w:firstLine="420" w:firstLineChars="200"/>
        <w:jc w:val="right"/>
        <w:rPr>
          <w:rFonts w:ascii="宋体" w:hAnsi="宋体" w:cs="宋体"/>
          <w:color w:val="auto"/>
          <w:sz w:val="21"/>
          <w:szCs w:val="21"/>
          <w:highlight w:val="none"/>
          <w:shd w:val="clear" w:color="auto" w:fill="FFFFFF"/>
        </w:rPr>
      </w:pPr>
      <w:r>
        <w:rPr>
          <w:rFonts w:hint="eastAsia" w:ascii="宋体" w:hAnsi="宋体" w:eastAsia="宋体" w:cs="宋体"/>
          <w:kern w:val="0"/>
          <w:sz w:val="21"/>
          <w:szCs w:val="21"/>
          <w:shd w:val="clear" w:color="auto" w:fill="FFFFFF"/>
          <w:lang w:val="en-US" w:eastAsia="zh-CN" w:bidi="ar-SA"/>
        </w:rPr>
        <w:t>2022年03月</w:t>
      </w:r>
      <w:r>
        <w:rPr>
          <w:rFonts w:hint="eastAsia" w:ascii="宋体" w:hAnsi="宋体" w:cs="宋体"/>
          <w:kern w:val="0"/>
          <w:sz w:val="21"/>
          <w:szCs w:val="21"/>
          <w:highlight w:val="none"/>
          <w:shd w:val="clear" w:color="auto" w:fill="FFFFFF"/>
          <w:lang w:val="en-US" w:eastAsia="zh-CN" w:bidi="ar-SA"/>
        </w:rPr>
        <w:t>28</w:t>
      </w:r>
      <w:r>
        <w:rPr>
          <w:rFonts w:hint="eastAsia" w:ascii="宋体" w:hAnsi="宋体" w:eastAsia="宋体" w:cs="宋体"/>
          <w:kern w:val="0"/>
          <w:sz w:val="21"/>
          <w:szCs w:val="21"/>
          <w:highlight w:val="none"/>
          <w:shd w:val="clear" w:color="auto" w:fill="FFFFFF"/>
          <w:lang w:val="en-US" w:eastAsia="zh-CN" w:bidi="ar-SA"/>
        </w:rPr>
        <w:t>日</w:t>
      </w:r>
    </w:p>
    <w:bookmarkEnd w:id="91"/>
    <w:p>
      <w:pPr>
        <w:pStyle w:val="29"/>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widowControl/>
        <w:spacing w:line="360" w:lineRule="auto"/>
        <w:ind w:firstLine="480" w:firstLineChars="200"/>
        <w:jc w:val="left"/>
        <w:rPr>
          <w:rFonts w:ascii="宋体" w:hAnsi="宋体" w:cs="宋体"/>
          <w:b/>
          <w:color w:val="auto"/>
          <w:sz w:val="24"/>
          <w:highlight w:val="none"/>
        </w:rPr>
      </w:pPr>
      <w:r>
        <w:rPr>
          <w:rFonts w:hint="eastAsia" w:ascii="宋体" w:hAnsi="宋体" w:cs="宋体"/>
          <w:color w:val="auto"/>
          <w:kern w:val="0"/>
          <w:sz w:val="24"/>
          <w:highlight w:val="none"/>
        </w:rPr>
        <w:t>  </w:t>
      </w:r>
    </w:p>
    <w:p>
      <w:pPr>
        <w:rPr>
          <w:b/>
          <w:bCs/>
          <w:color w:val="auto"/>
          <w:sz w:val="24"/>
          <w:highlight w:val="none"/>
        </w:rPr>
      </w:pPr>
      <w:r>
        <w:rPr>
          <w:rFonts w:hint="eastAsia"/>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bookmarkStart w:id="34" w:name="_Toc25063"/>
      <w:bookmarkStart w:id="35" w:name="_Toc23793"/>
      <w:bookmarkStart w:id="36" w:name="_Toc29890"/>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23610"/>
      <w:bookmarkStart w:id="38" w:name="_Toc31536"/>
      <w:bookmarkStart w:id="39" w:name="_Toc9989"/>
    </w:p>
    <w:bookmarkEnd w:id="37"/>
    <w:bookmarkEnd w:id="38"/>
    <w:bookmarkEnd w:id="39"/>
    <w:p>
      <w:pPr>
        <w:widowControl/>
        <w:adjustRightInd w:val="0"/>
        <w:snapToGrid w:val="0"/>
        <w:spacing w:line="360" w:lineRule="auto"/>
        <w:jc w:val="left"/>
        <w:rPr>
          <w:rFonts w:hint="default" w:ascii="宋体" w:hAnsi="宋体" w:cs="宋体"/>
          <w:color w:val="auto"/>
          <w:szCs w:val="21"/>
          <w:highlight w:val="none"/>
          <w:lang w:val="en-US"/>
        </w:rPr>
      </w:pPr>
      <w:r>
        <w:rPr>
          <w:rFonts w:hint="eastAsia" w:ascii="宋体" w:hAnsi="宋体" w:cs="宋体"/>
          <w:color w:val="auto"/>
          <w:szCs w:val="21"/>
          <w:highlight w:val="none"/>
        </w:rPr>
        <w:t>项目名称：</w:t>
      </w:r>
      <w:r>
        <w:rPr>
          <w:rFonts w:hint="eastAsia" w:ascii="宋体" w:hAnsi="宋体" w:eastAsia="宋体" w:cs="宋体"/>
          <w:color w:val="auto"/>
        </w:rPr>
        <w:t>驻马店市中心医院碘[125I]密封籽源</w:t>
      </w:r>
      <w:r>
        <w:rPr>
          <w:rFonts w:hint="eastAsia" w:ascii="宋体" w:hAnsi="宋体" w:eastAsia="宋体" w:cs="宋体"/>
          <w:color w:val="auto"/>
          <w:u w:val="none"/>
          <w:lang w:eastAsia="zh-CN"/>
        </w:rPr>
        <w:t>采购</w:t>
      </w:r>
      <w:r>
        <w:rPr>
          <w:rFonts w:hint="eastAsia" w:ascii="宋体" w:hAnsi="宋体" w:eastAsia="宋体" w:cs="宋体"/>
          <w:color w:val="auto"/>
          <w:szCs w:val="21"/>
          <w:highlight w:val="none"/>
          <w:u w:val="none"/>
          <w:shd w:val="clear" w:color="auto" w:fill="FFFFFF"/>
        </w:rPr>
        <w:t>项</w:t>
      </w:r>
      <w:r>
        <w:rPr>
          <w:rFonts w:hint="eastAsia" w:ascii="宋体" w:hAnsi="宋体" w:cs="宋体"/>
          <w:color w:val="auto"/>
          <w:szCs w:val="21"/>
          <w:highlight w:val="none"/>
          <w:lang w:val="en-US" w:eastAsia="zh-CN"/>
        </w:rPr>
        <w:t>目（二次）</w:t>
      </w:r>
    </w:p>
    <w:p>
      <w:pPr>
        <w:widowControl/>
        <w:adjustRightInd w:val="0"/>
        <w:snapToGrid w:val="0"/>
        <w:spacing w:line="360" w:lineRule="auto"/>
        <w:jc w:val="left"/>
        <w:rPr>
          <w:rFonts w:hint="eastAsia" w:ascii="宋体" w:hAnsi="宋体" w:eastAsia="宋体" w:cs="宋体"/>
          <w:color w:val="auto"/>
        </w:rPr>
      </w:pPr>
      <w:r>
        <w:rPr>
          <w:rFonts w:hint="eastAsia" w:ascii="宋体" w:hAnsi="宋体" w:cs="宋体"/>
          <w:color w:val="auto"/>
          <w:lang w:val="en-US" w:eastAsia="zh-CN"/>
        </w:rPr>
        <w:t>二、</w:t>
      </w:r>
      <w:r>
        <w:rPr>
          <w:rFonts w:hint="eastAsia" w:ascii="宋体" w:hAnsi="宋体" w:eastAsia="宋体" w:cs="宋体"/>
          <w:color w:val="auto"/>
        </w:rPr>
        <w:t xml:space="preserve">项目用途说明：供临床患者使用 </w:t>
      </w:r>
    </w:p>
    <w:p>
      <w:pPr>
        <w:widowControl/>
        <w:adjustRightInd w:val="0"/>
        <w:snapToGrid w:val="0"/>
        <w:spacing w:line="360" w:lineRule="auto"/>
        <w:jc w:val="left"/>
        <w:rPr>
          <w:rFonts w:ascii="宋体" w:hAnsi="宋体"/>
          <w:sz w:val="28"/>
          <w:szCs w:val="28"/>
        </w:rPr>
      </w:pPr>
      <w:r>
        <w:rPr>
          <w:rFonts w:hint="eastAsia" w:ascii="宋体" w:hAnsi="宋体" w:cs="宋体"/>
          <w:color w:val="auto"/>
          <w:kern w:val="2"/>
          <w:sz w:val="21"/>
          <w:szCs w:val="24"/>
          <w:lang w:val="en-US" w:eastAsia="zh-CN" w:bidi="ar-SA"/>
        </w:rPr>
        <w:t>三、</w:t>
      </w:r>
      <w:r>
        <w:rPr>
          <w:rFonts w:hint="eastAsia" w:ascii="宋体" w:hAnsi="宋体" w:eastAsia="宋体" w:cs="宋体"/>
          <w:color w:val="auto"/>
          <w:kern w:val="2"/>
          <w:sz w:val="21"/>
          <w:szCs w:val="24"/>
          <w:lang w:val="en-US" w:eastAsia="zh-CN" w:bidi="ar-SA"/>
        </w:rPr>
        <w:t xml:space="preserve">配置规格、附件及零配件（包括专用工具）： </w:t>
      </w:r>
    </w:p>
    <w:tbl>
      <w:tblPr>
        <w:tblStyle w:val="33"/>
        <w:tblpPr w:leftFromText="180" w:rightFromText="180" w:vertAnchor="text" w:horzAnchor="page" w:tblpX="1500" w:tblpY="57"/>
        <w:tblOverlap w:val="never"/>
        <w:tblW w:w="85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574"/>
        <w:gridCol w:w="1828"/>
        <w:gridCol w:w="1277"/>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419" w:type="dxa"/>
          </w:tcPr>
          <w:p>
            <w:pPr>
              <w:pStyle w:val="3"/>
              <w:tabs>
                <w:tab w:val="left" w:pos="1245"/>
              </w:tabs>
              <w:spacing w:after="0"/>
              <w:ind w:left="0" w:leftChars="0"/>
              <w:jc w:val="center"/>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药品名称</w:t>
            </w:r>
          </w:p>
        </w:tc>
        <w:tc>
          <w:tcPr>
            <w:tcW w:w="1574" w:type="dxa"/>
          </w:tcPr>
          <w:p>
            <w:pPr>
              <w:pStyle w:val="3"/>
              <w:tabs>
                <w:tab w:val="left" w:pos="1245"/>
              </w:tabs>
              <w:spacing w:after="0"/>
              <w:ind w:left="0" w:leftChars="0"/>
              <w:jc w:val="center"/>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剂型</w:t>
            </w:r>
          </w:p>
        </w:tc>
        <w:tc>
          <w:tcPr>
            <w:tcW w:w="1828" w:type="dxa"/>
          </w:tcPr>
          <w:p>
            <w:pPr>
              <w:pStyle w:val="3"/>
              <w:tabs>
                <w:tab w:val="left" w:pos="1245"/>
              </w:tabs>
              <w:spacing w:after="0"/>
              <w:ind w:left="0" w:leftChars="0"/>
              <w:jc w:val="center"/>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规格型号</w:t>
            </w:r>
          </w:p>
        </w:tc>
        <w:tc>
          <w:tcPr>
            <w:tcW w:w="1277" w:type="dxa"/>
          </w:tcPr>
          <w:p>
            <w:pPr>
              <w:pStyle w:val="3"/>
              <w:tabs>
                <w:tab w:val="left" w:pos="1245"/>
              </w:tabs>
              <w:spacing w:after="0"/>
              <w:ind w:left="0" w:leftChars="0"/>
              <w:jc w:val="center"/>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最小包装</w:t>
            </w:r>
          </w:p>
        </w:tc>
        <w:tc>
          <w:tcPr>
            <w:tcW w:w="2445" w:type="dxa"/>
          </w:tcPr>
          <w:p>
            <w:pPr>
              <w:pStyle w:val="3"/>
              <w:tabs>
                <w:tab w:val="left" w:pos="1245"/>
              </w:tabs>
              <w:spacing w:after="0"/>
              <w:ind w:left="0" w:leftChars="0"/>
              <w:jc w:val="center"/>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拦标单价（元）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1419" w:type="dxa"/>
          </w:tcPr>
          <w:p>
            <w:pPr>
              <w:pStyle w:val="3"/>
              <w:tabs>
                <w:tab w:val="left" w:pos="1245"/>
              </w:tabs>
              <w:spacing w:after="0"/>
              <w:ind w:left="0" w:leftChars="0"/>
              <w:jc w:val="center"/>
              <w:rPr>
                <w:rFonts w:hint="eastAsia" w:ascii="宋体" w:hAnsi="宋体" w:eastAsia="宋体" w:cs="宋体"/>
                <w:color w:val="auto"/>
                <w:kern w:val="2"/>
                <w:sz w:val="21"/>
                <w:szCs w:val="24"/>
                <w:lang w:val="en-US" w:eastAsia="zh-CN" w:bidi="ar-SA"/>
              </w:rPr>
            </w:pPr>
          </w:p>
          <w:p>
            <w:pPr>
              <w:pStyle w:val="3"/>
              <w:tabs>
                <w:tab w:val="left" w:pos="1245"/>
              </w:tabs>
              <w:spacing w:after="0"/>
              <w:ind w:left="0" w:leftChars="0"/>
              <w:jc w:val="center"/>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碘[125I]密封籽源</w:t>
            </w:r>
          </w:p>
        </w:tc>
        <w:tc>
          <w:tcPr>
            <w:tcW w:w="1574" w:type="dxa"/>
          </w:tcPr>
          <w:p>
            <w:pPr>
              <w:pStyle w:val="3"/>
              <w:tabs>
                <w:tab w:val="left" w:pos="1245"/>
              </w:tabs>
              <w:spacing w:after="0"/>
              <w:ind w:left="0" w:leftChars="0"/>
              <w:jc w:val="center"/>
              <w:rPr>
                <w:rFonts w:hint="eastAsia" w:ascii="宋体" w:hAnsi="宋体" w:eastAsia="宋体" w:cs="宋体"/>
                <w:color w:val="auto"/>
                <w:kern w:val="2"/>
                <w:sz w:val="21"/>
                <w:szCs w:val="24"/>
                <w:lang w:val="en-US" w:eastAsia="zh-CN" w:bidi="ar-SA"/>
              </w:rPr>
            </w:pPr>
          </w:p>
          <w:p>
            <w:pPr>
              <w:pStyle w:val="3"/>
              <w:tabs>
                <w:tab w:val="left" w:pos="1245"/>
              </w:tabs>
              <w:spacing w:after="0"/>
              <w:ind w:left="0" w:leftChars="0"/>
              <w:jc w:val="center"/>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放射性密封源</w:t>
            </w:r>
          </w:p>
        </w:tc>
        <w:tc>
          <w:tcPr>
            <w:tcW w:w="1828" w:type="dxa"/>
          </w:tcPr>
          <w:p>
            <w:pPr>
              <w:pStyle w:val="3"/>
              <w:tabs>
                <w:tab w:val="left" w:pos="1245"/>
              </w:tabs>
              <w:spacing w:after="0"/>
              <w:ind w:left="0" w:leftChars="0"/>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碘[125I]表观放射性活度为11.1～37MBq(0.3～1.0mCi)，长度4.50mm×外径0.60mm</w:t>
            </w:r>
          </w:p>
        </w:tc>
        <w:tc>
          <w:tcPr>
            <w:tcW w:w="1277" w:type="dxa"/>
          </w:tcPr>
          <w:p>
            <w:pPr>
              <w:pStyle w:val="3"/>
              <w:tabs>
                <w:tab w:val="left" w:pos="1245"/>
              </w:tabs>
              <w:spacing w:after="0"/>
              <w:ind w:left="0" w:leftChars="0"/>
              <w:jc w:val="left"/>
              <w:rPr>
                <w:rFonts w:hint="eastAsia" w:ascii="宋体" w:hAnsi="宋体" w:eastAsia="宋体" w:cs="宋体"/>
                <w:color w:val="auto"/>
                <w:kern w:val="2"/>
                <w:sz w:val="21"/>
                <w:szCs w:val="24"/>
                <w:lang w:val="en-US" w:eastAsia="zh-CN" w:bidi="ar-SA"/>
              </w:rPr>
            </w:pPr>
          </w:p>
          <w:p>
            <w:pPr>
              <w:pStyle w:val="3"/>
              <w:tabs>
                <w:tab w:val="left" w:pos="1245"/>
              </w:tabs>
              <w:spacing w:after="0"/>
              <w:ind w:left="0" w:leftChars="0"/>
              <w:jc w:val="center"/>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粒</w:t>
            </w:r>
          </w:p>
        </w:tc>
        <w:tc>
          <w:tcPr>
            <w:tcW w:w="2445" w:type="dxa"/>
          </w:tcPr>
          <w:p>
            <w:pPr>
              <w:pStyle w:val="3"/>
              <w:tabs>
                <w:tab w:val="left" w:pos="1245"/>
              </w:tabs>
              <w:spacing w:after="0"/>
              <w:ind w:left="0" w:leftChars="0"/>
              <w:jc w:val="left"/>
              <w:rPr>
                <w:rFonts w:hint="eastAsia" w:ascii="宋体" w:hAnsi="宋体" w:eastAsia="宋体" w:cs="宋体"/>
                <w:color w:val="auto"/>
                <w:kern w:val="2"/>
                <w:sz w:val="21"/>
                <w:szCs w:val="24"/>
                <w:lang w:val="en-US" w:eastAsia="zh-CN" w:bidi="ar-SA"/>
              </w:rPr>
            </w:pPr>
          </w:p>
          <w:p>
            <w:pPr>
              <w:pStyle w:val="3"/>
              <w:tabs>
                <w:tab w:val="left" w:pos="1245"/>
              </w:tabs>
              <w:spacing w:after="0"/>
              <w:ind w:left="0" w:leftChars="0"/>
              <w:jc w:val="center"/>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450元/粒</w:t>
            </w:r>
          </w:p>
        </w:tc>
      </w:tr>
    </w:tbl>
    <w:p>
      <w:pPr>
        <w:widowControl/>
        <w:adjustRightInd w:val="0"/>
        <w:snapToGrid w:val="0"/>
        <w:spacing w:line="360" w:lineRule="auto"/>
        <w:jc w:val="left"/>
        <w:rPr>
          <w:rFonts w:hint="eastAsia" w:ascii="宋体" w:hAnsi="宋体" w:eastAsia="宋体" w:cs="宋体"/>
          <w:lang w:val="en-US" w:eastAsia="zh-CN"/>
        </w:rPr>
      </w:pPr>
    </w:p>
    <w:p>
      <w:pPr>
        <w:widowControl/>
        <w:adjustRightInd w:val="0"/>
        <w:snapToGrid w:val="0"/>
        <w:spacing w:line="360" w:lineRule="auto"/>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四、详细技术要求、参数及产品资料等：</w:t>
      </w:r>
    </w:p>
    <w:p>
      <w:pPr>
        <w:widowControl/>
        <w:adjustRightInd w:val="0"/>
        <w:snapToGrid w:val="0"/>
        <w:spacing w:line="360" w:lineRule="auto"/>
        <w:ind w:firstLine="210" w:firstLineChars="100"/>
        <w:jc w:val="left"/>
        <w:rPr>
          <w:rFonts w:hint="eastAsia" w:ascii="宋体" w:hAnsi="宋体" w:eastAsia="宋体" w:cs="宋体"/>
          <w:color w:val="auto"/>
          <w:kern w:val="2"/>
          <w:sz w:val="21"/>
          <w:szCs w:val="24"/>
          <w:lang w:val="en-US" w:eastAsia="zh-CN" w:bidi="ar-SA"/>
        </w:rPr>
      </w:pPr>
      <w:r>
        <w:rPr>
          <w:rFonts w:hint="eastAsia" w:ascii="宋体" w:hAnsi="宋体" w:cs="宋体"/>
          <w:color w:val="auto"/>
          <w:szCs w:val="21"/>
          <w:highlight w:val="none"/>
          <w:lang w:val="en-US" w:eastAsia="zh-CN"/>
        </w:rPr>
        <w:t xml:space="preserve">碘[125I]密封籽源的规格型号为每粒含碘[125I]表观放射性活度为11.1～37MBq(0.3～1.0mCi)，长度4.50mm×外径0.60mm；碘[125I]密封籽源的尺寸均一，活度标差±5%以内；附带相关植入器具（植入器、粒子弹仓、推杆）等配件。外径0.6mm的碘[125I]密封籽源（选用20G植入针）相比外径0.8mm的碘[125I]密封籽源（选用18G植入针），在手术过程中出血少且对正常组织的损伤小、并发症低、患者恢复快；特别对于头颈部、腔道、重要组织累及的实体肿瘤的治疗具有明显优势。外径0.6mm的碘[125I]密封籽源是目前制备放射性粒子链的首选型号。  </w:t>
      </w:r>
      <w:r>
        <w:rPr>
          <w:rFonts w:hint="eastAsia" w:ascii="宋体" w:hAnsi="宋体" w:eastAsia="宋体" w:cs="宋体"/>
          <w:color w:val="auto"/>
          <w:kern w:val="2"/>
          <w:sz w:val="21"/>
          <w:szCs w:val="24"/>
          <w:lang w:val="en-US" w:eastAsia="zh-CN" w:bidi="ar-SA"/>
        </w:rPr>
        <w:t xml:space="preserve">                                                    </w:t>
      </w:r>
    </w:p>
    <w:p>
      <w:pPr>
        <w:widowControl/>
        <w:adjustRightInd w:val="0"/>
        <w:snapToGrid w:val="0"/>
        <w:spacing w:line="360" w:lineRule="auto"/>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五、售后服务条件及交货日期（或工期）：</w:t>
      </w:r>
    </w:p>
    <w:p>
      <w:pPr>
        <w:widowControl/>
        <w:adjustRightInd w:val="0"/>
        <w:snapToGrid w:val="0"/>
        <w:spacing w:line="360" w:lineRule="auto"/>
        <w:ind w:firstLine="211" w:firstLineChars="100"/>
        <w:jc w:val="left"/>
        <w:rPr>
          <w:rFonts w:hint="eastAsia" w:ascii="宋体" w:hAnsi="宋体" w:cs="宋体"/>
          <w:color w:val="auto"/>
          <w:szCs w:val="21"/>
          <w:highlight w:val="none"/>
          <w:lang w:val="en-US" w:eastAsia="zh-CN"/>
        </w:rPr>
      </w:pPr>
      <w:r>
        <w:rPr>
          <w:rFonts w:hint="eastAsia" w:ascii="宋体" w:hAnsi="宋体" w:eastAsia="宋体" w:cs="宋体"/>
          <w:b/>
          <w:bCs/>
          <w:color w:val="auto"/>
          <w:kern w:val="2"/>
          <w:sz w:val="21"/>
          <w:szCs w:val="24"/>
          <w:lang w:val="en-US" w:eastAsia="zh-CN" w:bidi="ar-SA"/>
        </w:rPr>
        <w:t>交货日期</w:t>
      </w:r>
      <w:r>
        <w:rPr>
          <w:rFonts w:hint="eastAsia" w:ascii="宋体" w:hAnsi="宋体" w:cs="宋体"/>
          <w:color w:val="auto"/>
          <w:szCs w:val="21"/>
          <w:highlight w:val="none"/>
          <w:lang w:val="en-US" w:eastAsia="zh-CN"/>
        </w:rPr>
        <w:t>： 根据医院的要求，派专人在48小时内（紧急需要的情况下可以4小时内）将医院需要的规格产品送到医院，提供相关的产品检验合格报告，销售清单和发票。配合医院药剂科和核医学科建立台账，做好入库登记。</w:t>
      </w:r>
    </w:p>
    <w:p>
      <w:pPr>
        <w:pStyle w:val="3"/>
        <w:ind w:firstLine="211" w:firstLineChars="100"/>
        <w:jc w:val="left"/>
        <w:rPr>
          <w:rFonts w:hint="eastAsia" w:ascii="宋体" w:hAnsi="宋体" w:eastAsia="宋体" w:cs="宋体"/>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售后服务</w:t>
      </w:r>
      <w:r>
        <w:rPr>
          <w:rFonts w:hint="eastAsia" w:ascii="宋体" w:hAnsi="宋体" w:eastAsia="宋体" w:cs="宋体"/>
          <w:color w:val="auto"/>
          <w:kern w:val="2"/>
          <w:sz w:val="21"/>
          <w:szCs w:val="24"/>
          <w:lang w:val="en-US" w:eastAsia="zh-CN" w:bidi="ar-SA"/>
        </w:rPr>
        <w:t>：免费为医院提供碘-125密封籽源治疗需要的植入枪、弹夹、装载台等手术需要的相关植入配套用手术器械。</w:t>
      </w:r>
    </w:p>
    <w:p>
      <w:pPr>
        <w:pStyle w:val="3"/>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配合科室做好台账管理，及时处理库存籽源。</w:t>
      </w:r>
    </w:p>
    <w:p>
      <w:pPr>
        <w:pStyle w:val="3"/>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配合医生做好碘-125密封籽源治疗病人的术前宣教工作，让病人了解放射性碘-125密封籽源治疗的原理，手术流程，术后需要注意的事项和防护工作。</w:t>
      </w:r>
    </w:p>
    <w:p>
      <w:pPr>
        <w:pStyle w:val="3"/>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为病人提供专用的粒子治疗防护铅衣，确保医护人员和社会公众不会受到不必要的辐射。</w:t>
      </w:r>
    </w:p>
    <w:p>
      <w:pPr>
        <w:pStyle w:val="3"/>
        <w:jc w:val="left"/>
        <w:rPr>
          <w:rFonts w:ascii="宋体" w:hAnsi="宋体"/>
          <w:sz w:val="28"/>
          <w:szCs w:val="28"/>
          <w:u w:val="single"/>
        </w:rPr>
      </w:pPr>
      <w:r>
        <w:rPr>
          <w:rFonts w:hint="eastAsia" w:ascii="宋体" w:hAnsi="宋体" w:eastAsia="宋体" w:cs="宋体"/>
          <w:color w:val="auto"/>
          <w:kern w:val="2"/>
          <w:sz w:val="21"/>
          <w:szCs w:val="24"/>
          <w:lang w:val="en-US" w:eastAsia="zh-CN" w:bidi="ar-SA"/>
        </w:rPr>
        <w:t>定期回收放射性药物包装容器，协助医院处理废弃粒子。</w:t>
      </w:r>
    </w:p>
    <w:p>
      <w:pPr>
        <w:pStyle w:val="3"/>
        <w:numPr>
          <w:ilvl w:val="0"/>
          <w:numId w:val="0"/>
        </w:numPr>
        <w:spacing w:after="0"/>
        <w:ind w:left="36" w:leftChars="0"/>
        <w:jc w:val="left"/>
        <w:rPr>
          <w:rFonts w:hint="eastAsia" w:ascii="宋体" w:hAnsi="宋体" w:eastAsia="宋体" w:cs="宋体"/>
          <w:b/>
          <w:bCs/>
          <w:kern w:val="2"/>
          <w:sz w:val="21"/>
          <w:szCs w:val="24"/>
          <w:lang w:val="en-US" w:eastAsia="zh-CN" w:bidi="ar-SA"/>
        </w:rPr>
      </w:pPr>
      <w:r>
        <w:rPr>
          <w:rFonts w:hint="eastAsia" w:ascii="宋体" w:hAnsi="宋体"/>
          <w:b/>
          <w:bCs/>
        </w:rPr>
        <w:t>拟招一年供应商</w:t>
      </w:r>
      <w:r>
        <w:rPr>
          <w:rFonts w:hint="eastAsia" w:ascii="宋体" w:hAnsi="宋体" w:eastAsia="宋体" w:cs="宋体"/>
          <w:b/>
          <w:bCs/>
          <w:kern w:val="2"/>
          <w:sz w:val="21"/>
          <w:szCs w:val="24"/>
          <w:lang w:val="en-US" w:eastAsia="zh-CN" w:bidi="ar-SA"/>
        </w:rPr>
        <w:br w:type="page"/>
      </w:r>
    </w:p>
    <w:bookmarkEnd w:id="35"/>
    <w:bookmarkEnd w:id="36"/>
    <w:p>
      <w:pPr>
        <w:snapToGrid w:val="0"/>
        <w:spacing w:line="360" w:lineRule="auto"/>
        <w:jc w:val="center"/>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6"/>
        <w:gridCol w:w="7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合同签订时间</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日历日</w:t>
            </w:r>
            <w:r>
              <w:rPr>
                <w:rFonts w:hint="eastAsia" w:ascii="宋体" w:hAnsi="宋体" w:cs="宋体"/>
                <w:color w:val="auto"/>
                <w:kern w:val="0"/>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交货地点</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default" w:ascii="宋体" w:hAnsi="宋体" w:eastAsia="宋体" w:cs="宋体"/>
                <w:color w:val="auto"/>
                <w:kern w:val="0"/>
                <w:szCs w:val="21"/>
                <w:highlight w:val="none"/>
                <w:lang w:val="en-US" w:eastAsia="zh-CN"/>
              </w:rPr>
            </w:pPr>
            <w:r>
              <w:rPr>
                <w:rFonts w:hint="eastAsia" w:ascii="宋体" w:hAnsi="宋体" w:eastAsia="宋体" w:cs="宋体"/>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eastAsia="宋体" w:cs="宋体"/>
                <w:color w:val="FF0000"/>
                <w:kern w:val="0"/>
                <w:szCs w:val="21"/>
                <w:highlight w:val="none"/>
                <w:lang w:eastAsia="zh-CN"/>
              </w:rPr>
            </w:pPr>
            <w:r>
              <w:rPr>
                <w:rFonts w:hint="eastAsia" w:ascii="宋体" w:hAnsi="宋体" w:cs="宋体"/>
                <w:color w:val="auto"/>
                <w:kern w:val="0"/>
                <w:szCs w:val="21"/>
                <w:highlight w:val="none"/>
                <w:lang w:val="en-US" w:eastAsia="zh-CN"/>
              </w:rPr>
              <w:t>合同履行期限</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FF0000"/>
                <w:kern w:val="0"/>
                <w:szCs w:val="21"/>
                <w:highlight w:val="none"/>
              </w:rPr>
            </w:pPr>
            <w:r>
              <w:rPr>
                <w:rFonts w:hint="eastAsia" w:ascii="宋体" w:hAnsi="宋体" w:eastAsia="宋体" w:cs="宋体"/>
                <w:bCs/>
                <w:color w:val="auto"/>
                <w:szCs w:val="21"/>
                <w:highlight w:val="none"/>
                <w:shd w:val="clear" w:color="auto" w:fill="FFFFFF"/>
              </w:rPr>
              <w:t>合同签订后</w:t>
            </w:r>
            <w:r>
              <w:rPr>
                <w:rFonts w:hint="eastAsia" w:ascii="宋体" w:hAnsi="宋体" w:eastAsia="宋体" w:cs="宋体"/>
                <w:bCs/>
                <w:color w:val="auto"/>
                <w:szCs w:val="21"/>
                <w:highlight w:val="none"/>
                <w:u w:val="single"/>
                <w:shd w:val="clear" w:color="auto" w:fill="FFFFFF"/>
                <w:lang w:val="en-US" w:eastAsia="zh-CN"/>
              </w:rPr>
              <w:t xml:space="preserve"> </w:t>
            </w:r>
            <w:r>
              <w:rPr>
                <w:rFonts w:hint="eastAsia" w:ascii="宋体" w:hAnsi="宋体" w:cs="宋体"/>
                <w:bCs/>
                <w:color w:val="auto"/>
                <w:szCs w:val="21"/>
                <w:highlight w:val="none"/>
                <w:u w:val="single"/>
                <w:shd w:val="clear" w:color="auto" w:fill="FFFFFF"/>
                <w:lang w:val="en-US" w:eastAsia="zh-CN"/>
              </w:rPr>
              <w:t>1</w:t>
            </w:r>
            <w:r>
              <w:rPr>
                <w:rFonts w:hint="eastAsia" w:ascii="宋体" w:hAnsi="宋体" w:eastAsia="宋体" w:cs="宋体"/>
                <w:bCs/>
                <w:color w:val="auto"/>
                <w:szCs w:val="21"/>
                <w:highlight w:val="none"/>
                <w:u w:val="single"/>
                <w:shd w:val="clear" w:color="auto" w:fill="FFFFFF"/>
                <w:lang w:val="en-US" w:eastAsia="zh-CN"/>
              </w:rPr>
              <w:t xml:space="preserve"> </w:t>
            </w:r>
            <w:r>
              <w:rPr>
                <w:rFonts w:hint="eastAsia" w:ascii="宋体" w:hAnsi="宋体" w:eastAsia="宋体" w:cs="宋体"/>
                <w:bCs/>
                <w:color w:val="auto"/>
                <w:szCs w:val="21"/>
                <w:highlight w:val="none"/>
                <w:shd w:val="clear" w:color="auto" w:fill="FFFFFF"/>
                <w:lang w:val="en-US" w:eastAsia="zh-CN"/>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验   收</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付款方式</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以供货合同签订为准。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Ansi="宋体" w:cs="宋体"/>
                <w:color w:val="auto"/>
                <w:kern w:val="0"/>
                <w:szCs w:val="21"/>
                <w:highlight w:val="none"/>
              </w:rPr>
            </w:pPr>
            <w:r>
              <w:rPr>
                <w:rFonts w:hint="eastAsia" w:ascii="宋体" w:hAnsi="宋体"/>
                <w:color w:val="auto"/>
                <w:kern w:val="0"/>
                <w:szCs w:val="21"/>
                <w:highlight w:val="none"/>
              </w:rPr>
              <w:t>售后技术服务要求、售后服务保障要求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中标人须提供后期服务保障和技术支持。</w:t>
            </w:r>
          </w:p>
        </w:tc>
      </w:tr>
    </w:tbl>
    <w:p>
      <w:pPr>
        <w:pStyle w:val="31"/>
        <w:ind w:firstLine="0" w:firstLineChars="0"/>
        <w:rPr>
          <w:color w:val="auto"/>
          <w:highlight w:val="none"/>
        </w:rPr>
      </w:pPr>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2"/>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不接受联合体投标，不允许转包和分包。</w:t>
            </w:r>
          </w:p>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、授权评标委员会确定一名中标人并推荐两名中标候选人。</w:t>
            </w:r>
          </w:p>
          <w:p>
            <w:pPr>
              <w:widowControl/>
              <w:snapToGrid w:val="0"/>
              <w:spacing w:line="360" w:lineRule="auto"/>
              <w:rPr>
                <w:rFonts w:ascii="宋体" w:hAnsi="宋体" w:cs="宋体"/>
                <w:color w:val="auto"/>
                <w:spacing w:val="14"/>
                <w:szCs w:val="21"/>
                <w:highlight w:val="none"/>
              </w:rPr>
            </w:pPr>
            <w:r>
              <w:rPr>
                <w:rFonts w:hint="eastAsia"/>
                <w:color w:val="auto"/>
                <w:sz w:val="21"/>
                <w:szCs w:val="21"/>
                <w:highlight w:val="none"/>
                <w:lang w:val="en-US" w:eastAsia="zh-CN"/>
              </w:rPr>
              <w:t>3</w:t>
            </w:r>
            <w:r>
              <w:rPr>
                <w:rFonts w:hint="eastAsia"/>
                <w:color w:val="auto"/>
                <w:sz w:val="21"/>
                <w:szCs w:val="21"/>
                <w:highlight w:val="none"/>
              </w:rPr>
              <w:t>、</w:t>
            </w:r>
            <w:r>
              <w:rPr>
                <w:rFonts w:hint="eastAsia" w:ascii="宋体" w:hAnsi="宋体" w:cs="宋体"/>
                <w:color w:val="auto"/>
                <w:spacing w:val="14"/>
                <w:szCs w:val="21"/>
                <w:highlight w:val="none"/>
              </w:rPr>
              <w:t>供应商应根据</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文件的要求提供技术响应表、商务响应表等内容以对</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文件作出响应。</w:t>
            </w:r>
          </w:p>
        </w:tc>
      </w:tr>
    </w:tbl>
    <w:p>
      <w:pPr>
        <w:rPr>
          <w:color w:val="auto"/>
          <w:highlight w:val="none"/>
        </w:rPr>
      </w:pPr>
    </w:p>
    <w:p>
      <w:pPr>
        <w:rPr>
          <w:color w:val="auto"/>
          <w:highlight w:val="none"/>
        </w:rPr>
      </w:pPr>
    </w:p>
    <w:p>
      <w:pPr>
        <w:rPr>
          <w:color w:val="auto"/>
          <w:sz w:val="32"/>
          <w:szCs w:val="32"/>
          <w:highlight w:val="none"/>
        </w:rPr>
      </w:pPr>
      <w:r>
        <w:rPr>
          <w:color w:val="auto"/>
          <w:sz w:val="32"/>
          <w:szCs w:val="32"/>
          <w:highlight w:val="none"/>
        </w:rPr>
        <w:br w:type="page"/>
      </w:r>
    </w:p>
    <w:p>
      <w:pPr>
        <w:rPr>
          <w:color w:val="auto"/>
          <w:highlight w:val="none"/>
        </w:rPr>
      </w:pPr>
    </w:p>
    <w:p>
      <w:pPr>
        <w:pStyle w:val="6"/>
        <w:spacing w:before="0" w:after="0" w:line="240" w:lineRule="atLeast"/>
        <w:jc w:val="center"/>
        <w:rPr>
          <w:color w:val="auto"/>
          <w:sz w:val="32"/>
          <w:szCs w:val="32"/>
          <w:highlight w:val="none"/>
        </w:rPr>
      </w:pPr>
      <w:bookmarkStart w:id="40" w:name="_Toc14504"/>
      <w:r>
        <w:rPr>
          <w:rFonts w:hint="eastAsia"/>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default" w:eastAsia="宋体"/>
                <w:color w:val="auto"/>
                <w:highlight w:val="none"/>
                <w:lang w:val="en-US" w:eastAsia="zh-CN"/>
              </w:rPr>
            </w:pPr>
            <w:r>
              <w:rPr>
                <w:rFonts w:hint="eastAsia"/>
                <w:color w:val="auto"/>
                <w:highlight w:val="none"/>
              </w:rPr>
              <w:t>1.1 项目名称：</w:t>
            </w:r>
            <w:r>
              <w:rPr>
                <w:rFonts w:hint="eastAsia" w:ascii="宋体" w:hAnsi="宋体" w:eastAsia="宋体" w:cs="宋体"/>
                <w:color w:val="auto"/>
              </w:rPr>
              <w:t>驻马店市中心医院碘[125I]密封籽源</w:t>
            </w:r>
            <w:r>
              <w:rPr>
                <w:rFonts w:hint="eastAsia" w:ascii="宋体" w:hAnsi="宋体" w:eastAsia="宋体" w:cs="宋体"/>
                <w:color w:val="auto"/>
                <w:u w:val="none"/>
                <w:lang w:eastAsia="zh-CN"/>
              </w:rPr>
              <w:t>采购</w:t>
            </w:r>
            <w:r>
              <w:rPr>
                <w:rFonts w:hint="eastAsia" w:ascii="宋体" w:hAnsi="宋体" w:eastAsia="宋体" w:cs="宋体"/>
                <w:color w:val="auto"/>
                <w:szCs w:val="21"/>
                <w:highlight w:val="none"/>
                <w:u w:val="none"/>
                <w:shd w:val="clear" w:color="auto" w:fill="FFFFFF"/>
              </w:rPr>
              <w:t>项目</w:t>
            </w:r>
            <w:r>
              <w:rPr>
                <w:rFonts w:hint="eastAsia" w:ascii="宋体" w:hAnsi="宋体" w:cs="宋体"/>
                <w:color w:val="auto"/>
                <w:szCs w:val="21"/>
                <w:highlight w:val="none"/>
                <w:u w:val="none"/>
                <w:shd w:val="clear" w:color="auto" w:fill="FFFFFF"/>
                <w:lang w:eastAsia="zh-CN"/>
              </w:rPr>
              <w:t>（</w:t>
            </w:r>
            <w:r>
              <w:rPr>
                <w:rFonts w:hint="eastAsia" w:ascii="宋体" w:hAnsi="宋体" w:cs="宋体"/>
                <w:color w:val="auto"/>
                <w:szCs w:val="21"/>
                <w:highlight w:val="none"/>
                <w:u w:val="none"/>
                <w:shd w:val="clear" w:color="auto" w:fill="FFFFFF"/>
                <w:lang w:val="en-US" w:eastAsia="zh-CN"/>
              </w:rPr>
              <w:t>二次）</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480000.00</w:t>
            </w:r>
            <w:r>
              <w:rPr>
                <w:rFonts w:hint="eastAsia" w:ascii="宋体" w:hAnsi="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投标文件组成：纸质投标文件正本1份</w:t>
            </w:r>
            <w:r>
              <w:rPr>
                <w:rFonts w:hint="eastAsia"/>
                <w:lang w:eastAsia="zh-CN"/>
              </w:rPr>
              <w:t>、</w:t>
            </w:r>
            <w:r>
              <w:rPr>
                <w:rFonts w:hint="eastAsia"/>
                <w:lang w:val="en-US" w:eastAsia="zh-CN"/>
              </w:rPr>
              <w:t>副本2份</w:t>
            </w:r>
            <w:r>
              <w:rPr>
                <w:rFonts w:hint="eastAsia"/>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480000.00</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eastAsia="zh-CN"/>
        </w:rPr>
        <w:t>供应商应为注册在中华人民共和国境内的，且具有独立承担民事责任能力，</w:t>
      </w:r>
      <w:r>
        <w:rPr>
          <w:rFonts w:hint="eastAsia" w:ascii="宋体" w:hAnsi="宋体" w:cs="宋体"/>
          <w:color w:val="auto"/>
          <w:szCs w:val="21"/>
          <w:highlight w:val="none"/>
        </w:rPr>
        <w:t>提供法人或者其他组织的营业执照等证明文件</w:t>
      </w:r>
      <w:r>
        <w:rPr>
          <w:rFonts w:hint="eastAsia" w:ascii="宋体" w:hAnsi="宋体" w:cs="宋体"/>
          <w:color w:val="auto"/>
          <w:szCs w:val="21"/>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4.2 </w:t>
      </w:r>
      <w:r>
        <w:rPr>
          <w:rFonts w:hint="eastAsia" w:ascii="宋体" w:hAnsi="宋体" w:eastAsia="宋体" w:cs="宋体"/>
          <w:color w:val="auto"/>
          <w:kern w:val="2"/>
          <w:sz w:val="21"/>
          <w:szCs w:val="24"/>
          <w:lang w:val="en-US" w:eastAsia="zh-CN" w:bidi="ar-SA"/>
        </w:rPr>
        <w:t>供应商应提供2020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4.3 </w:t>
      </w:r>
      <w:r>
        <w:rPr>
          <w:rFonts w:hint="eastAsia" w:ascii="宋体" w:hAnsi="宋体" w:eastAsia="宋体" w:cs="宋体"/>
          <w:color w:val="auto"/>
          <w:kern w:val="2"/>
          <w:sz w:val="21"/>
          <w:szCs w:val="24"/>
          <w:lang w:val="en-US" w:eastAsia="zh-CN" w:bidi="ar-SA"/>
        </w:rPr>
        <w:t>参加本采购活动前三年内，在经营活动中没有重大违法记录</w:t>
      </w:r>
      <w:r>
        <w:rPr>
          <w:rFonts w:hint="eastAsia" w:ascii="宋体" w:hAnsi="宋体" w:cs="宋体"/>
          <w:color w:val="auto"/>
          <w:szCs w:val="21"/>
          <w:highlight w:val="none"/>
        </w:rPr>
        <w:t>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4.4 具备履行合同所必需的设备和专业技术能力的书面声明函；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4.5 供应商是生产厂家的须具有《医疗器械生产许可证》；供应商是代理商的须具有《医疗器械经营许可证》或《医疗器械经营备案凭证》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
          <w:bCs/>
          <w:color w:val="auto"/>
          <w:kern w:val="0"/>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 xml:space="preserve"> </w:t>
      </w:r>
      <w:r>
        <w:rPr>
          <w:rFonts w:hint="eastAsia"/>
          <w:lang w:val="en-US" w:eastAsia="zh-CN"/>
        </w:rPr>
        <w:t>根据《关于在政府采购活动中查询及使用信用记录有关问题的通知》（财库【2016】125号）的规定，对列入失信被执行人、重大税收违法案件当事人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16.2、技术响应表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16.3、商务响应表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16.4、法定代表人身份证明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16.5、法定代表人授权书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16.6、证明文件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16.7、抵制商业贿赂承诺</w:t>
      </w:r>
    </w:p>
    <w:p>
      <w:pPr>
        <w:pStyle w:val="2"/>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16.8、投标人认为有必要的其他资料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21.1投标文件的正本与副本应分开包装，加贴封条，并在封套的封口处加盖投标人单位公章。</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lang w:eastAsia="zh-CN"/>
        </w:rPr>
      </w:pPr>
      <w:r>
        <w:rPr>
          <w:rFonts w:hint="eastAsia"/>
          <w:lang w:eastAsia="zh-CN"/>
        </w:rPr>
        <w:t>2</w:t>
      </w:r>
      <w:r>
        <w:rPr>
          <w:rFonts w:hint="eastAsia"/>
          <w:lang w:val="en-US" w:eastAsia="zh-CN"/>
        </w:rPr>
        <w:t>1</w:t>
      </w:r>
      <w:r>
        <w:rPr>
          <w:rFonts w:hint="eastAsia"/>
          <w:lang w:eastAsia="zh-CN"/>
        </w:rPr>
        <w:t>.3 未按本章第2</w:t>
      </w:r>
      <w:r>
        <w:rPr>
          <w:rFonts w:hint="eastAsia"/>
          <w:lang w:val="en-US" w:eastAsia="zh-CN"/>
        </w:rPr>
        <w:t>1</w:t>
      </w:r>
      <w:r>
        <w:rPr>
          <w:rFonts w:hint="eastAsia"/>
          <w:lang w:eastAsia="zh-CN"/>
        </w:rPr>
        <w:t>.1项或第2</w:t>
      </w:r>
      <w:r>
        <w:rPr>
          <w:rFonts w:hint="eastAsia"/>
          <w:lang w:val="en-US" w:eastAsia="zh-CN"/>
        </w:rPr>
        <w:t>1</w:t>
      </w:r>
      <w:r>
        <w:rPr>
          <w:rFonts w:hint="eastAsia"/>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49"/>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9"/>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9"/>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产品质量（30分）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1</w:t>
            </w:r>
            <w:r>
              <w:rPr>
                <w:rFonts w:hint="eastAsia" w:ascii="宋体" w:hAnsi="宋体" w:eastAsia="宋体" w:cs="宋体"/>
                <w:b w:val="0"/>
                <w:bCs w:val="0"/>
                <w:color w:val="auto"/>
                <w:kern w:val="0"/>
                <w:sz w:val="21"/>
                <w:szCs w:val="21"/>
                <w:highlight w:val="none"/>
                <w:lang w:eastAsia="zh-CN"/>
              </w:rPr>
              <w:t>、技术参数、性能及产品功能等</w:t>
            </w:r>
          </w:p>
        </w:tc>
        <w:tc>
          <w:tcPr>
            <w:tcW w:w="6103"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.产品需有注册证</w:t>
            </w:r>
            <w:r>
              <w:rPr>
                <w:rFonts w:hint="eastAsia" w:ascii="宋体" w:hAnsi="宋体" w:eastAsia="宋体" w:cs="宋体"/>
                <w:b w:val="0"/>
                <w:bCs w:val="0"/>
                <w:color w:val="auto"/>
                <w:sz w:val="21"/>
                <w:szCs w:val="21"/>
                <w:highlight w:val="none"/>
                <w:lang w:val="en-US" w:eastAsia="zh-CN"/>
              </w:rPr>
              <w:t>或备案凭</w:t>
            </w:r>
            <w:r>
              <w:rPr>
                <w:rFonts w:hint="eastAsia" w:ascii="宋体" w:hAnsi="宋体" w:eastAsia="宋体" w:cs="宋体"/>
                <w:b w:val="0"/>
                <w:bCs w:val="0"/>
                <w:color w:val="auto"/>
                <w:sz w:val="21"/>
                <w:szCs w:val="21"/>
                <w:highlight w:val="none"/>
              </w:rPr>
              <w:t>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.提供有关投标货物符合</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证书、资信等级、类似业绩、质保期、配件及其他优惠承诺等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(20分)</w:t>
            </w:r>
          </w:p>
        </w:tc>
        <w:tc>
          <w:tcPr>
            <w:tcW w:w="2140" w:type="dxa"/>
            <w:noWrap w:val="0"/>
            <w:vAlign w:val="center"/>
          </w:tcPr>
          <w:p>
            <w:pPr>
              <w:pStyle w:val="49"/>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4"/>
    <w:p>
      <w:pPr>
        <w:rPr>
          <w:color w:val="auto"/>
          <w:highlight w:val="none"/>
        </w:rPr>
      </w:pPr>
      <w:bookmarkStart w:id="46" w:name="_Toc1482"/>
      <w:bookmarkStart w:id="47" w:name="_Toc1947"/>
      <w:bookmarkStart w:id="48" w:name="_Toc326786897"/>
      <w:bookmarkStart w:id="49" w:name="_Toc256519703"/>
    </w:p>
    <w:p>
      <w:pPr>
        <w:pStyle w:val="6"/>
        <w:snapToGrid w:val="0"/>
        <w:spacing w:before="0" w:after="0" w:line="480" w:lineRule="auto"/>
        <w:jc w:val="center"/>
        <w:rPr>
          <w:color w:val="auto"/>
          <w:sz w:val="28"/>
          <w:szCs w:val="28"/>
          <w:highlight w:val="yellow"/>
        </w:rPr>
      </w:pPr>
      <w:bookmarkStart w:id="50" w:name="_Toc28988"/>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1"/>
      </w:pPr>
    </w:p>
    <w:p>
      <w:pPr>
        <w:pStyle w:val="6"/>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附件5技术响应表（格式）</w:t>
      </w:r>
      <w:bookmarkEnd w:id="57"/>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附件6 商务响应表（格式）</w:t>
      </w:r>
      <w:bookmarkEnd w:id="58"/>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snapToGrid w:val="0"/>
        <w:spacing w:line="360" w:lineRule="auto"/>
        <w:ind w:firstLine="480" w:firstLineChars="200"/>
        <w:rPr>
          <w:rFonts w:hint="eastAsia"/>
          <w:color w:val="auto"/>
          <w:sz w:val="24"/>
          <w:highlight w:val="none"/>
        </w:rPr>
      </w:pPr>
      <w:r>
        <w:rPr>
          <w:rFonts w:hint="eastAsia"/>
          <w:color w:val="auto"/>
          <w:sz w:val="24"/>
          <w:highlight w:val="none"/>
          <w:lang w:val="en-US" w:eastAsia="zh-CN"/>
        </w:rPr>
        <w:t xml:space="preserve">附件11 </w:t>
      </w:r>
      <w:r>
        <w:rPr>
          <w:rFonts w:hint="eastAsia"/>
          <w:color w:val="auto"/>
          <w:sz w:val="24"/>
          <w:highlight w:val="none"/>
        </w:rPr>
        <w:t>采购项目承诺书</w:t>
      </w: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5"/>
        <w:rPr>
          <w:rFonts w:ascii="宋体" w:hAnsi="宋体" w:cs="宋体"/>
          <w:b/>
          <w:bCs/>
          <w:color w:val="auto"/>
          <w:kern w:val="0"/>
          <w:sz w:val="24"/>
          <w:highlight w:val="none"/>
        </w:rPr>
      </w:pPr>
    </w:p>
    <w:p>
      <w:pPr>
        <w:pStyle w:val="49"/>
        <w:rPr>
          <w:rFonts w:hAnsi="宋体"/>
          <w:b/>
          <w:bCs/>
          <w:color w:val="auto"/>
          <w:highlight w:val="none"/>
        </w:rPr>
      </w:pPr>
    </w:p>
    <w:p>
      <w:pPr>
        <w:pStyle w:val="49"/>
        <w:rPr>
          <w:rFonts w:hAnsi="宋体"/>
          <w:b/>
          <w:bCs/>
          <w:color w:val="auto"/>
          <w:highlight w:val="none"/>
        </w:rPr>
      </w:pPr>
    </w:p>
    <w:p>
      <w:pPr>
        <w:rPr>
          <w:color w:val="auto"/>
          <w:highlight w:val="none"/>
        </w:rPr>
      </w:pPr>
      <w:r>
        <w:rPr>
          <w:rFonts w:hint="eastAsia"/>
          <w:color w:val="auto"/>
          <w:highlight w:val="none"/>
        </w:rPr>
        <w:br w:type="page"/>
      </w:r>
    </w:p>
    <w:p>
      <w:pPr>
        <w:pStyle w:val="16"/>
        <w:rPr>
          <w:color w:val="auto"/>
          <w:highlight w:val="none"/>
        </w:rPr>
      </w:pPr>
    </w:p>
    <w:p>
      <w:pPr>
        <w:pStyle w:val="7"/>
        <w:rPr>
          <w:color w:val="auto"/>
          <w:highlight w:val="none"/>
        </w:rPr>
      </w:pPr>
      <w:bookmarkStart w:id="63" w:name="_Toc31798"/>
      <w:bookmarkStart w:id="64" w:name="_Toc24743"/>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9"/>
        <w:spacing w:line="360" w:lineRule="auto"/>
        <w:rPr>
          <w:rFonts w:hint="eastAsia" w:ascii="宋体" w:hAnsi="宋体" w:eastAsia="宋体" w:cs="宋体"/>
          <w:color w:val="auto"/>
          <w:highlight w:val="none"/>
        </w:rPr>
      </w:pPr>
    </w:p>
    <w:p>
      <w:pPr>
        <w:pStyle w:val="49"/>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5"/>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7"/>
        <w:rPr>
          <w:color w:val="auto"/>
          <w:highlight w:val="none"/>
        </w:rPr>
      </w:pPr>
      <w:bookmarkStart w:id="65" w:name="_Toc14560"/>
      <w:bookmarkStart w:id="66" w:name="_Toc8818"/>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7"/>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合同履行期限</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21"/>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11620"/>
      <w:bookmarkStart w:id="69" w:name="_Toc20877"/>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12222"/>
      <w:bookmarkStart w:id="71" w:name="_Toc625"/>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1330"/>
      <w:bookmarkStart w:id="73" w:name="_Toc995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7"/>
        <w:spacing w:before="20" w:after="20"/>
        <w:rPr>
          <w:color w:val="auto"/>
          <w:highlight w:val="none"/>
        </w:rPr>
      </w:pPr>
      <w:bookmarkStart w:id="74" w:name="_Toc24984"/>
      <w:bookmarkStart w:id="75" w:name="_Toc22004"/>
      <w:r>
        <w:rPr>
          <w:rFonts w:hint="eastAsia"/>
          <w:color w:val="auto"/>
          <w:highlight w:val="none"/>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2"/>
        <w:tblW w:w="8301"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7"/>
        <w:rPr>
          <w:color w:val="auto"/>
          <w:highlight w:val="none"/>
        </w:rPr>
      </w:pPr>
      <w:r>
        <w:rPr>
          <w:rFonts w:hint="eastAsia"/>
          <w:color w:val="auto"/>
          <w:highlight w:val="none"/>
        </w:rPr>
        <w:br w:type="page"/>
      </w:r>
      <w:bookmarkStart w:id="76" w:name="_Toc226"/>
      <w:bookmarkStart w:id="77" w:name="_Toc15804"/>
      <w:r>
        <w:rPr>
          <w:rFonts w:hint="eastAsia"/>
          <w:color w:val="auto"/>
          <w:highlight w:val="none"/>
        </w:rPr>
        <w:t>附件5               技术响应表（格式）</w:t>
      </w:r>
      <w:bookmarkEnd w:id="76"/>
      <w:bookmarkEnd w:id="77"/>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1"/>
        <w:rPr>
          <w:bCs/>
          <w:color w:val="auto"/>
          <w:kern w:val="0"/>
          <w:highlight w:val="none"/>
        </w:rPr>
      </w:pPr>
    </w:p>
    <w:p>
      <w:pPr>
        <w:pStyle w:val="51"/>
        <w:rPr>
          <w:bCs/>
          <w:color w:val="auto"/>
          <w:kern w:val="0"/>
          <w:highlight w:val="none"/>
        </w:rPr>
      </w:pPr>
    </w:p>
    <w:p>
      <w:pPr>
        <w:pStyle w:val="51"/>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ascii="Arial" w:hAnsi="Arial" w:eastAsia="新宋体"/>
          <w:b/>
          <w:color w:val="auto"/>
          <w:sz w:val="28"/>
          <w:highlight w:val="none"/>
        </w:rPr>
      </w:pPr>
      <w:bookmarkStart w:id="78" w:name="_Toc20420"/>
      <w:bookmarkStart w:id="79" w:name="_Toc29960"/>
      <w:r>
        <w:rPr>
          <w:rFonts w:hint="eastAsia" w:ascii="Arial" w:hAnsi="Arial" w:eastAsia="新宋体"/>
          <w:b/>
          <w:color w:val="auto"/>
          <w:sz w:val="28"/>
          <w:highlight w:val="none"/>
        </w:rPr>
        <w:t>附件6               商务响应表（格式）</w:t>
      </w:r>
      <w:bookmarkEnd w:id="78"/>
      <w:bookmarkEnd w:id="79"/>
    </w:p>
    <w:p>
      <w:pPr>
        <w:widowControl/>
        <w:wordWrap w:val="0"/>
        <w:snapToGrid w:val="0"/>
        <w:spacing w:before="50" w:afterLines="50"/>
        <w:jc w:val="left"/>
        <w:rPr>
          <w:rFonts w:cs="宋体"/>
          <w:color w:val="auto"/>
          <w:kern w:val="0"/>
          <w:sz w:val="24"/>
          <w:highlight w:val="none"/>
        </w:rPr>
      </w:pP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eastAsia="zh-CN"/>
        </w:rPr>
        <w:t xml:space="preserve"> </w:t>
      </w:r>
    </w:p>
    <w:tbl>
      <w:tblPr>
        <w:tblStyle w:val="3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7"/>
        <w:gridCol w:w="2698"/>
        <w:gridCol w:w="1259"/>
        <w:gridCol w:w="30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项目</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lang w:val="en-US" w:eastAsia="zh-CN"/>
              </w:rPr>
              <w:t>采购</w:t>
            </w:r>
            <w:r>
              <w:rPr>
                <w:rFonts w:hint="eastAsia"/>
                <w:color w:val="auto"/>
                <w:sz w:val="24"/>
                <w:highlight w:val="none"/>
              </w:rPr>
              <w:t>文件要求</w:t>
            </w: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响应情况</w:t>
            </w: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547"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质保期</w:t>
            </w:r>
          </w:p>
        </w:tc>
        <w:tc>
          <w:tcPr>
            <w:tcW w:w="269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p>
            <w:pPr>
              <w:spacing w:line="0" w:lineRule="atLeast"/>
              <w:jc w:val="center"/>
              <w:rPr>
                <w:color w:val="auto"/>
                <w:sz w:val="24"/>
                <w:highlight w:val="none"/>
              </w:rPr>
            </w:pPr>
          </w:p>
        </w:tc>
        <w:tc>
          <w:tcPr>
            <w:tcW w:w="301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547"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质量要求</w:t>
            </w:r>
          </w:p>
        </w:tc>
        <w:tc>
          <w:tcPr>
            <w:tcW w:w="269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547" w:type="dxa"/>
            <w:tcBorders>
              <w:top w:val="single" w:color="auto" w:sz="4" w:space="0"/>
              <w:left w:val="single" w:color="auto" w:sz="4" w:space="0"/>
              <w:right w:val="single" w:color="auto" w:sz="4" w:space="0"/>
            </w:tcBorders>
            <w:vAlign w:val="center"/>
          </w:tcPr>
          <w:p>
            <w:pPr>
              <w:spacing w:line="0" w:lineRule="atLeast"/>
              <w:jc w:val="center"/>
              <w:rPr>
                <w:rFonts w:hint="default" w:eastAsia="宋体"/>
                <w:color w:val="auto"/>
                <w:sz w:val="24"/>
                <w:highlight w:val="none"/>
                <w:lang w:val="en-US" w:eastAsia="zh-CN"/>
              </w:rPr>
            </w:pPr>
            <w:r>
              <w:rPr>
                <w:rFonts w:hint="eastAsia"/>
                <w:color w:val="auto"/>
                <w:sz w:val="24"/>
                <w:highlight w:val="none"/>
                <w:lang w:val="en-US" w:eastAsia="zh-CN"/>
              </w:rPr>
              <w:t>交货地点</w:t>
            </w:r>
          </w:p>
        </w:tc>
        <w:tc>
          <w:tcPr>
            <w:tcW w:w="269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color w:val="auto"/>
                <w:sz w:val="24"/>
                <w:highlight w:val="none"/>
                <w:lang w:val="en-US" w:eastAsia="zh-CN"/>
              </w:rPr>
            </w:pPr>
            <w:r>
              <w:rPr>
                <w:rFonts w:hint="eastAsia"/>
                <w:color w:val="auto"/>
                <w:sz w:val="24"/>
                <w:highlight w:val="none"/>
                <w:lang w:val="en-US" w:eastAsia="zh-CN"/>
              </w:rPr>
              <w:t>合同履行期限</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color w:val="auto"/>
                <w:sz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合同签订</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付款方式</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宋体" w:cs="Times New Roman"/>
                <w:color w:val="auto"/>
                <w:kern w:val="2"/>
                <w:sz w:val="24"/>
                <w:szCs w:val="24"/>
                <w:highlight w:val="none"/>
                <w:lang w:val="en-US" w:eastAsia="zh-CN" w:bidi="ar-SA"/>
              </w:rPr>
            </w:pPr>
            <w:r>
              <w:rPr>
                <w:rFonts w:hint="eastAsia"/>
                <w:color w:val="auto"/>
                <w:sz w:val="24"/>
                <w:highlight w:val="none"/>
                <w:lang w:val="en-US" w:eastAsia="zh-CN"/>
              </w:rPr>
              <w:t>......</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宋体" w:cs="Times New Roman"/>
                <w:color w:val="auto"/>
                <w:kern w:val="2"/>
                <w:sz w:val="24"/>
                <w:szCs w:val="24"/>
                <w:highlight w:val="none"/>
                <w:lang w:val="en-US" w:eastAsia="zh-CN" w:bidi="ar-SA"/>
              </w:rPr>
            </w:pPr>
            <w:r>
              <w:rPr>
                <w:rFonts w:hint="eastAsia"/>
                <w:color w:val="auto"/>
                <w:sz w:val="24"/>
                <w:highlight w:val="none"/>
                <w:lang w:val="en-US" w:eastAsia="zh-CN"/>
              </w:rPr>
              <w:t>......</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bl>
    <w:p>
      <w:pPr>
        <w:widowControl/>
        <w:wordWrap w:val="0"/>
        <w:snapToGrid w:val="0"/>
        <w:spacing w:before="50" w:line="480" w:lineRule="auto"/>
        <w:jc w:val="left"/>
        <w:rPr>
          <w:rFonts w:ascii="仿宋_GB2312" w:cs="宋体"/>
          <w:color w:val="auto"/>
          <w:kern w:val="0"/>
          <w:sz w:val="24"/>
          <w:highlight w:val="none"/>
        </w:rPr>
      </w:pPr>
    </w:p>
    <w:p>
      <w:pPr>
        <w:widowControl/>
        <w:wordWrap w:val="0"/>
        <w:spacing w:line="460" w:lineRule="exact"/>
        <w:ind w:firstLine="2400" w:firstLineChars="10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pacing w:line="460" w:lineRule="exact"/>
        <w:ind w:firstLine="2280" w:firstLineChars="9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 投标人：（全称并加盖公章）</w:t>
      </w:r>
    </w:p>
    <w:p>
      <w:pPr>
        <w:widowControl/>
        <w:wordWrap w:val="0"/>
        <w:snapToGrid w:val="0"/>
        <w:spacing w:before="156" w:after="156"/>
        <w:ind w:firstLine="42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wordWrap w:val="0"/>
        <w:spacing w:line="460" w:lineRule="exact"/>
        <w:jc w:val="left"/>
        <w:rPr>
          <w:rFonts w:cs="宋体"/>
          <w:b/>
          <w:color w:val="auto"/>
          <w:kern w:val="0"/>
          <w:sz w:val="24"/>
          <w:highlight w:val="none"/>
        </w:rPr>
      </w:pPr>
    </w:p>
    <w:p>
      <w:pPr>
        <w:widowControl/>
        <w:wordWrap w:val="0"/>
        <w:spacing w:line="460" w:lineRule="exact"/>
        <w:jc w:val="left"/>
        <w:rPr>
          <w:rFonts w:cs="宋体"/>
          <w:b/>
          <w:color w:val="auto"/>
          <w:kern w:val="0"/>
          <w:sz w:val="24"/>
          <w:highlight w:val="none"/>
        </w:rPr>
      </w:pPr>
    </w:p>
    <w:p>
      <w:pPr>
        <w:rPr>
          <w:rFonts w:cs="宋体"/>
          <w:b/>
          <w:color w:val="auto"/>
          <w:kern w:val="0"/>
          <w:sz w:val="24"/>
          <w:highlight w:val="none"/>
        </w:rPr>
      </w:pPr>
      <w:r>
        <w:rPr>
          <w:rFonts w:cs="宋体"/>
          <w:b/>
          <w:color w:val="auto"/>
          <w:kern w:val="0"/>
          <w:sz w:val="24"/>
          <w:highlight w:val="none"/>
        </w:rPr>
        <w:br w:type="page"/>
      </w:r>
    </w:p>
    <w:p>
      <w:pPr>
        <w:pStyle w:val="31"/>
      </w:pPr>
    </w:p>
    <w:p>
      <w:pPr>
        <w:widowControl/>
        <w:wordWrap w:val="0"/>
        <w:spacing w:line="460" w:lineRule="exact"/>
        <w:jc w:val="left"/>
        <w:outlineLvl w:val="0"/>
        <w:rPr>
          <w:rFonts w:ascii="Arial" w:hAnsi="Arial" w:eastAsia="新宋体"/>
          <w:b/>
          <w:color w:val="auto"/>
          <w:sz w:val="28"/>
          <w:highlight w:val="none"/>
        </w:rPr>
      </w:pPr>
      <w:bookmarkStart w:id="80" w:name="_Toc28621"/>
      <w:bookmarkStart w:id="81" w:name="_Toc31526"/>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1"/>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30519"/>
      <w:bookmarkStart w:id="83" w:name="_Toc13976"/>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24693"/>
      <w:bookmarkStart w:id="85" w:name="_Toc18105"/>
      <w:r>
        <w:rPr>
          <w:rFonts w:hint="eastAsia" w:ascii="Arial" w:hAnsi="Arial" w:eastAsia="新宋体"/>
          <w:b/>
          <w:color w:val="auto"/>
          <w:sz w:val="28"/>
          <w:highlight w:val="none"/>
        </w:rPr>
        <w:t>附件9               证明文件</w:t>
      </w:r>
      <w:bookmarkEnd w:id="84"/>
      <w:bookmarkEnd w:id="85"/>
    </w:p>
    <w:p>
      <w:pPr>
        <w:pStyle w:val="11"/>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11"/>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11"/>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11"/>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11"/>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11"/>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2888"/>
      <w:bookmarkStart w:id="88" w:name="_Toc13726"/>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bidi w:val="0"/>
        <w:rPr>
          <w:rFonts w:hint="eastAsia"/>
          <w:lang w:val="en-US" w:eastAsia="zh-CN"/>
        </w:rPr>
      </w:pPr>
    </w:p>
    <w:p>
      <w:pPr>
        <w:widowControl/>
        <w:snapToGrid w:val="0"/>
        <w:spacing w:line="360" w:lineRule="auto"/>
        <w:jc w:val="left"/>
        <w:outlineLvl w:val="0"/>
        <w:rPr>
          <w:rFonts w:hint="eastAsia" w:ascii="宋体" w:hAnsi="宋体" w:cs="Lucida Sans Unicode"/>
          <w:b/>
          <w:color w:val="auto"/>
          <w:kern w:val="0"/>
          <w:sz w:val="24"/>
          <w:highlight w:val="none"/>
        </w:rPr>
      </w:pPr>
      <w:r>
        <w:rPr>
          <w:rFonts w:hint="eastAsia" w:ascii="宋体" w:hAnsi="宋体" w:cs="Lucida Sans Unicode"/>
          <w:b/>
          <w:color w:val="auto"/>
          <w:kern w:val="0"/>
          <w:sz w:val="24"/>
          <w:highlight w:val="none"/>
          <w:lang w:val="en-US" w:eastAsia="zh-CN"/>
        </w:rPr>
        <w:t xml:space="preserve">附件11                        </w:t>
      </w:r>
      <w:r>
        <w:rPr>
          <w:rFonts w:hint="eastAsia" w:ascii="宋体" w:hAnsi="宋体" w:cs="Lucida Sans Unicode"/>
          <w:b/>
          <w:color w:val="auto"/>
          <w:kern w:val="0"/>
          <w:sz w:val="24"/>
          <w:highlight w:val="none"/>
        </w:rPr>
        <w:t>采购项目承诺书</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致：（采购人）</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本承诺书作为我方参加</w:t>
      </w:r>
      <w:r>
        <w:rPr>
          <w:rFonts w:hint="eastAsia" w:ascii="宋体" w:hAnsi="宋体" w:eastAsia="宋体" w:cs="宋体"/>
          <w:color w:val="auto"/>
          <w:highlight w:val="none"/>
          <w:lang w:eastAsia="zh-CN"/>
        </w:rPr>
        <w:t>本次招标</w:t>
      </w:r>
      <w:r>
        <w:rPr>
          <w:rFonts w:hint="eastAsia" w:ascii="宋体" w:hAnsi="宋体" w:eastAsia="宋体" w:cs="宋体"/>
          <w:color w:val="auto"/>
          <w:highlight w:val="none"/>
        </w:rPr>
        <w:t>采购项目投标文件不可分割的一部分。我方参加本次投标特郑重做出如下承诺：</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1．我方已经过详细市场调查，本次所投报产品货源充足，保证不会出现无货、断货现象。</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2．我方将严格履行采购文件中规定的每一项要求，按所投产品的品牌、型号及约定的交货（完工）期保质、保量提供货物和相关服务，保证所提供的所有产品均符合国家相关标准规范或强制性规定，所供产品均为原厂生产的合格产品、符合采购文件各项技术参数要求的规定，绝不提供假冒伪劣产品，如需要我方可以提供相关出厂合格证明或测试报告；</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3．如无法按我方承诺期限如期供货，我方愿接受</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扣除本项目履约保证金的处理,对</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造成损失的,我方愿承担相应赔偿责任；</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验收时如发现我方所供产品与投标文件中所承诺的产品型号、规格、技术参数要求不符的，我方将立即无条件更换。如因此造成交货期超出我方承诺期限的，我方接受</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扣除履约保证金的处理，同时愿承担合同约定的违约责任；</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5．我方提供的产品如不能满足采购文件要求的，</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有权拒绝接收；</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6．如评标委员会确定我方为本项目的中标（成交）候选人或中标人，在公示期内或领取中标（成交）通知书后，我方无正当理由（如自身报价失误、无法组织及时供货、资金不到位、账户无法正常使用等）放弃中标（成交）候选人资格或中标资格，我方愿接受财政部门做出的</w:t>
      </w:r>
      <w:r>
        <w:rPr>
          <w:rFonts w:hint="eastAsia" w:ascii="宋体" w:hAnsi="宋体" w:eastAsia="宋体" w:cs="宋体"/>
          <w:color w:val="auto"/>
          <w:highlight w:val="none"/>
          <w:lang w:val="en-US" w:eastAsia="zh-CN"/>
        </w:rPr>
        <w:t>处罚决定</w:t>
      </w:r>
      <w:r>
        <w:rPr>
          <w:rFonts w:hint="eastAsia" w:ascii="宋体" w:hAnsi="宋体" w:eastAsia="宋体" w:cs="宋体"/>
          <w:color w:val="auto"/>
          <w:highlight w:val="none"/>
        </w:rPr>
        <w:t>；</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7．我方已详细阅读了本</w:t>
      </w:r>
      <w:r>
        <w:rPr>
          <w:rFonts w:hint="eastAsia" w:ascii="宋体" w:hAnsi="宋体" w:cs="宋体"/>
          <w:color w:val="auto"/>
          <w:highlight w:val="none"/>
          <w:lang w:val="en-US" w:eastAsia="zh-CN"/>
        </w:rPr>
        <w:t>采购</w:t>
      </w:r>
      <w:r>
        <w:rPr>
          <w:rFonts w:hint="eastAsia" w:ascii="宋体" w:hAnsi="宋体" w:eastAsia="宋体" w:cs="宋体"/>
          <w:color w:val="auto"/>
          <w:highlight w:val="none"/>
        </w:rPr>
        <w:t>文件，保证可以完全响应</w:t>
      </w:r>
      <w:r>
        <w:rPr>
          <w:rFonts w:hint="eastAsia" w:ascii="宋体" w:hAnsi="宋体" w:cs="宋体"/>
          <w:color w:val="auto"/>
          <w:highlight w:val="none"/>
          <w:lang w:val="en-US" w:eastAsia="zh-CN"/>
        </w:rPr>
        <w:t>采购</w:t>
      </w:r>
      <w:r>
        <w:rPr>
          <w:rFonts w:hint="eastAsia" w:ascii="宋体" w:hAnsi="宋体" w:eastAsia="宋体" w:cs="宋体"/>
          <w:color w:val="auto"/>
          <w:highlight w:val="none"/>
        </w:rPr>
        <w:t>文件中所有商务、技术要求，并理解你方或评标委员会对我方进行资格审查的权利，如在资格审查中发现我方存在有违规行为愿承担相应法律责任。</w:t>
      </w:r>
    </w:p>
    <w:p>
      <w:pPr>
        <w:autoSpaceDE w:val="0"/>
        <w:autoSpaceDN w:val="0"/>
        <w:spacing w:line="360" w:lineRule="auto"/>
        <w:rPr>
          <w:rFonts w:hint="eastAsia" w:ascii="宋体" w:hAnsi="宋体" w:eastAsia="宋体" w:cs="宋体"/>
          <w:color w:val="auto"/>
          <w:szCs w:val="21"/>
          <w:highlight w:val="none"/>
        </w:rPr>
      </w:pPr>
    </w:p>
    <w:p>
      <w:pPr>
        <w:topLinePunct/>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lang w:eastAsia="zh-CN"/>
        </w:rPr>
        <w:t>盖章</w:t>
      </w:r>
      <w:r>
        <w:rPr>
          <w:rFonts w:hint="eastAsia" w:ascii="宋体" w:hAnsi="宋体" w:eastAsia="宋体" w:cs="宋体"/>
          <w:color w:val="auto"/>
          <w:szCs w:val="21"/>
          <w:highlight w:val="none"/>
        </w:rPr>
        <w:t>）</w:t>
      </w:r>
    </w:p>
    <w:p>
      <w:pPr>
        <w:topLinePunct/>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w:t>
      </w:r>
      <w:r>
        <w:rPr>
          <w:rFonts w:hint="eastAsia" w:ascii="宋体" w:hAnsi="宋体" w:eastAsia="宋体" w:cs="宋体"/>
          <w:color w:val="auto"/>
          <w:szCs w:val="21"/>
          <w:highlight w:val="none"/>
          <w:lang w:eastAsia="zh-CN"/>
        </w:rPr>
        <w:t>盖章</w:t>
      </w:r>
      <w:r>
        <w:rPr>
          <w:rFonts w:hint="eastAsia" w:ascii="宋体" w:hAnsi="宋体" w:eastAsia="宋体" w:cs="宋体"/>
          <w:color w:val="auto"/>
          <w:szCs w:val="21"/>
          <w:highlight w:val="none"/>
        </w:rPr>
        <w:t>）</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     年     月     日</w:t>
      </w:r>
    </w:p>
    <w:p>
      <w:pPr>
        <w:spacing w:line="360" w:lineRule="auto"/>
        <w:ind w:left="370" w:leftChars="176"/>
        <w:rPr>
          <w:rFonts w:hint="eastAsia" w:ascii="宋体" w:hAnsi="宋体" w:eastAsia="宋体" w:cs="宋体"/>
          <w:b/>
          <w:color w:val="auto"/>
          <w:szCs w:val="21"/>
          <w:highlight w:val="none"/>
        </w:rPr>
      </w:pPr>
    </w:p>
    <w:p>
      <w:pPr>
        <w:rPr>
          <w:color w:val="auto"/>
          <w:highlight w:val="none"/>
        </w:rPr>
      </w:pPr>
      <w:r>
        <w:rPr>
          <w:color w:val="auto"/>
          <w:highlight w:val="none"/>
        </w:rPr>
        <w:br w:type="page"/>
      </w:r>
    </w:p>
    <w:p>
      <w:pPr>
        <w:pStyle w:val="5"/>
      </w:pPr>
    </w:p>
    <w:p>
      <w:pPr>
        <w:widowControl/>
        <w:snapToGrid w:val="0"/>
        <w:spacing w:line="360" w:lineRule="auto"/>
        <w:jc w:val="center"/>
        <w:outlineLvl w:val="0"/>
        <w:rPr>
          <w:rFonts w:ascii="宋体" w:hAnsi="宋体" w:cs="Lucida Sans Unicode"/>
          <w:b/>
          <w:color w:val="auto"/>
          <w:kern w:val="0"/>
          <w:sz w:val="24"/>
          <w:highlight w:val="none"/>
        </w:rPr>
      </w:pPr>
      <w:bookmarkStart w:id="89" w:name="_Toc23394"/>
      <w:bookmarkStart w:id="90" w:name="_Toc250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r>
      <w:rPr>
        <w:rFonts w:hint="eastAsia" w:ascii="宋体" w:hAnsi="宋体" w:cs="宋体"/>
        <w:color w:val="auto"/>
        <w:szCs w:val="21"/>
        <w:highlight w:val="none"/>
        <w:u w:val="none"/>
        <w:shd w:val="clear" w:color="auto" w:fill="FFFFFF"/>
        <w:lang w:val="en-US" w:eastAsia="zh-CN"/>
      </w:rPr>
      <w:t>驻马店市中心医院碘[125I]密封籽源采购项</w:t>
    </w:r>
    <w:r>
      <w:rPr>
        <w:rFonts w:hint="eastAsia" w:ascii="宋体" w:hAnsi="宋体" w:eastAsia="宋体" w:cs="宋体"/>
        <w:color w:val="auto"/>
        <w:szCs w:val="21"/>
        <w:highlight w:val="none"/>
        <w:u w:val="none"/>
        <w:shd w:val="clear" w:color="auto" w:fill="FFFFFF"/>
      </w:rPr>
      <w:t>目</w:t>
    </w:r>
    <w:r>
      <w:rPr>
        <w:rFonts w:hint="eastAsia" w:ascii="宋体" w:hAnsi="宋体" w:cs="宋体"/>
        <w:color w:val="auto"/>
        <w:szCs w:val="21"/>
        <w:highlight w:val="none"/>
        <w:u w:val="none"/>
        <w:shd w:val="clear" w:color="auto" w:fill="FFFFFF"/>
        <w:lang w:eastAsia="zh-CN"/>
      </w:rPr>
      <w:t>（</w:t>
    </w:r>
    <w:r>
      <w:rPr>
        <w:rFonts w:hint="eastAsia" w:ascii="宋体" w:hAnsi="宋体" w:cs="宋体"/>
        <w:color w:val="auto"/>
        <w:szCs w:val="21"/>
        <w:highlight w:val="none"/>
        <w:u w:val="none"/>
        <w:shd w:val="clear" w:color="auto" w:fill="FFFFFF"/>
        <w:lang w:val="en-US" w:eastAsia="zh-CN"/>
      </w:rPr>
      <w:t>二次）采购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rFonts w:hint="eastAsia"/>
      </w:rPr>
    </w:pPr>
    <w:r>
      <w:rPr>
        <w:rFonts w:hint="eastAsia"/>
      </w:rPr>
      <w:t xml:space="preserve">                             </w:t>
    </w:r>
    <w:r>
      <w:rPr>
        <w:rFonts w:hint="eastAsia" w:ascii="宋体" w:hAnsi="宋体" w:cs="宋体"/>
        <w:color w:val="auto"/>
        <w:szCs w:val="21"/>
        <w:highlight w:val="none"/>
        <w:u w:val="none"/>
        <w:shd w:val="clear" w:color="auto" w:fill="FFFFFF"/>
        <w:lang w:val="en-US" w:eastAsia="zh-CN"/>
      </w:rPr>
      <w:t>驻马店市中心医院碘[125I]密封籽源采购项</w:t>
    </w:r>
    <w:r>
      <w:rPr>
        <w:rFonts w:hint="eastAsia" w:ascii="宋体" w:hAnsi="宋体" w:eastAsia="宋体" w:cs="宋体"/>
        <w:color w:val="auto"/>
        <w:szCs w:val="21"/>
        <w:highlight w:val="none"/>
        <w:u w:val="none"/>
        <w:shd w:val="clear" w:color="auto" w:fill="FFFFFF"/>
      </w:rPr>
      <w:t>目</w:t>
    </w:r>
    <w:r>
      <w:rPr>
        <w:rFonts w:hint="eastAsia" w:ascii="宋体" w:hAnsi="宋体" w:cs="宋体"/>
        <w:color w:val="auto"/>
        <w:szCs w:val="21"/>
        <w:highlight w:val="none"/>
        <w:u w:val="none"/>
        <w:shd w:val="clear" w:color="auto" w:fill="FFFFFF"/>
        <w:lang w:eastAsia="zh-CN"/>
      </w:rPr>
      <w:t>（</w:t>
    </w:r>
    <w:r>
      <w:rPr>
        <w:rFonts w:hint="eastAsia" w:ascii="宋体" w:hAnsi="宋体" w:cs="宋体"/>
        <w:color w:val="auto"/>
        <w:szCs w:val="21"/>
        <w:highlight w:val="none"/>
        <w:u w:val="none"/>
        <w:shd w:val="clear" w:color="auto" w:fill="FFFFFF"/>
        <w:lang w:val="en-US" w:eastAsia="zh-CN"/>
      </w:rPr>
      <w:t>二次）采购</w:t>
    </w:r>
    <w:r>
      <w:rPr>
        <w:rFonts w:hint="eastAsia"/>
      </w:rPr>
      <w:t>文件</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4B68"/>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416C20"/>
    <w:rsid w:val="047968B1"/>
    <w:rsid w:val="04870542"/>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B10EA5"/>
    <w:rsid w:val="07CE3FA1"/>
    <w:rsid w:val="07EC2ECB"/>
    <w:rsid w:val="07FE66CB"/>
    <w:rsid w:val="080B4D47"/>
    <w:rsid w:val="08321601"/>
    <w:rsid w:val="083D5C91"/>
    <w:rsid w:val="0847191F"/>
    <w:rsid w:val="08591DC3"/>
    <w:rsid w:val="087C4541"/>
    <w:rsid w:val="087E5595"/>
    <w:rsid w:val="08C52D6F"/>
    <w:rsid w:val="08EF0201"/>
    <w:rsid w:val="08F41DE8"/>
    <w:rsid w:val="09737462"/>
    <w:rsid w:val="099156C3"/>
    <w:rsid w:val="09A53F39"/>
    <w:rsid w:val="09A60E13"/>
    <w:rsid w:val="09D206F0"/>
    <w:rsid w:val="0A321AC2"/>
    <w:rsid w:val="0A343D4E"/>
    <w:rsid w:val="0A3E6D2E"/>
    <w:rsid w:val="0A501911"/>
    <w:rsid w:val="0AD13A85"/>
    <w:rsid w:val="0B06148E"/>
    <w:rsid w:val="0B091954"/>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13329E7"/>
    <w:rsid w:val="113F294C"/>
    <w:rsid w:val="11437C85"/>
    <w:rsid w:val="1166372C"/>
    <w:rsid w:val="11700D10"/>
    <w:rsid w:val="1178125A"/>
    <w:rsid w:val="1196056D"/>
    <w:rsid w:val="11D34654"/>
    <w:rsid w:val="12010480"/>
    <w:rsid w:val="120E707F"/>
    <w:rsid w:val="127A7D1C"/>
    <w:rsid w:val="12836D8B"/>
    <w:rsid w:val="12AB0349"/>
    <w:rsid w:val="12CD57F1"/>
    <w:rsid w:val="12CE7AFA"/>
    <w:rsid w:val="12D67466"/>
    <w:rsid w:val="13272A5D"/>
    <w:rsid w:val="13493108"/>
    <w:rsid w:val="13733928"/>
    <w:rsid w:val="13991728"/>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510F12"/>
    <w:rsid w:val="166448F9"/>
    <w:rsid w:val="1677211D"/>
    <w:rsid w:val="167954F9"/>
    <w:rsid w:val="16A060BA"/>
    <w:rsid w:val="16A57EAF"/>
    <w:rsid w:val="16AC6E3F"/>
    <w:rsid w:val="16C872D5"/>
    <w:rsid w:val="16D54FA3"/>
    <w:rsid w:val="16D84D9F"/>
    <w:rsid w:val="16E94D3E"/>
    <w:rsid w:val="170D06E0"/>
    <w:rsid w:val="17332185"/>
    <w:rsid w:val="17475951"/>
    <w:rsid w:val="179F2E61"/>
    <w:rsid w:val="17C227C0"/>
    <w:rsid w:val="18097740"/>
    <w:rsid w:val="185D3C42"/>
    <w:rsid w:val="185F38AF"/>
    <w:rsid w:val="18AD1BEB"/>
    <w:rsid w:val="18B3004A"/>
    <w:rsid w:val="18B96080"/>
    <w:rsid w:val="18F67868"/>
    <w:rsid w:val="190B2D88"/>
    <w:rsid w:val="190E6B63"/>
    <w:rsid w:val="19123928"/>
    <w:rsid w:val="19194264"/>
    <w:rsid w:val="19420786"/>
    <w:rsid w:val="19427EC0"/>
    <w:rsid w:val="195711D7"/>
    <w:rsid w:val="195D2A3F"/>
    <w:rsid w:val="198310E9"/>
    <w:rsid w:val="198D747A"/>
    <w:rsid w:val="19A15638"/>
    <w:rsid w:val="1A125525"/>
    <w:rsid w:val="1A5F4342"/>
    <w:rsid w:val="1A8C5D82"/>
    <w:rsid w:val="1A994988"/>
    <w:rsid w:val="1A9B546C"/>
    <w:rsid w:val="1AA3511F"/>
    <w:rsid w:val="1AAE3B54"/>
    <w:rsid w:val="1AC10987"/>
    <w:rsid w:val="1B0C5B32"/>
    <w:rsid w:val="1B0D3E82"/>
    <w:rsid w:val="1B1652AB"/>
    <w:rsid w:val="1B181CD5"/>
    <w:rsid w:val="1B265306"/>
    <w:rsid w:val="1B4F2450"/>
    <w:rsid w:val="1B8C18B7"/>
    <w:rsid w:val="1BB73AE1"/>
    <w:rsid w:val="1BDA6D68"/>
    <w:rsid w:val="1C555978"/>
    <w:rsid w:val="1C6554A1"/>
    <w:rsid w:val="1C7971B7"/>
    <w:rsid w:val="1CD402EC"/>
    <w:rsid w:val="1CF02333"/>
    <w:rsid w:val="1D0C33A2"/>
    <w:rsid w:val="1D113E6E"/>
    <w:rsid w:val="1D114E5E"/>
    <w:rsid w:val="1D1F0050"/>
    <w:rsid w:val="1D2222DC"/>
    <w:rsid w:val="1D5B3CDE"/>
    <w:rsid w:val="1D6E2950"/>
    <w:rsid w:val="1D98209B"/>
    <w:rsid w:val="1DA23746"/>
    <w:rsid w:val="1DAA14B9"/>
    <w:rsid w:val="1DD04513"/>
    <w:rsid w:val="1E656063"/>
    <w:rsid w:val="1E6B06A5"/>
    <w:rsid w:val="1E7A3A98"/>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10F579E"/>
    <w:rsid w:val="212550B5"/>
    <w:rsid w:val="21592B62"/>
    <w:rsid w:val="21747CD2"/>
    <w:rsid w:val="219E5782"/>
    <w:rsid w:val="21E72B0B"/>
    <w:rsid w:val="221F2D96"/>
    <w:rsid w:val="22246DB1"/>
    <w:rsid w:val="22440067"/>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56E93"/>
    <w:rsid w:val="25092EBA"/>
    <w:rsid w:val="25241020"/>
    <w:rsid w:val="256C3CF6"/>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28758C"/>
    <w:rsid w:val="283C23DF"/>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100BA9"/>
    <w:rsid w:val="2B1E3AFC"/>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742F70"/>
    <w:rsid w:val="2EDC2A13"/>
    <w:rsid w:val="2EFD7DB9"/>
    <w:rsid w:val="2F1A081D"/>
    <w:rsid w:val="2F1E3DC0"/>
    <w:rsid w:val="2F3112DE"/>
    <w:rsid w:val="2F3B6922"/>
    <w:rsid w:val="2F506C6D"/>
    <w:rsid w:val="2F51291F"/>
    <w:rsid w:val="2F55758A"/>
    <w:rsid w:val="2F7F15AE"/>
    <w:rsid w:val="2FA54796"/>
    <w:rsid w:val="2FA674E2"/>
    <w:rsid w:val="2FFE7D49"/>
    <w:rsid w:val="302A5C42"/>
    <w:rsid w:val="30BF439A"/>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A7699"/>
    <w:rsid w:val="322B25C6"/>
    <w:rsid w:val="32422E70"/>
    <w:rsid w:val="325E56C6"/>
    <w:rsid w:val="3275698A"/>
    <w:rsid w:val="32B943EC"/>
    <w:rsid w:val="32DC63A0"/>
    <w:rsid w:val="32E429C1"/>
    <w:rsid w:val="334A3B2A"/>
    <w:rsid w:val="3365592E"/>
    <w:rsid w:val="336F6533"/>
    <w:rsid w:val="337E5E2F"/>
    <w:rsid w:val="3384610D"/>
    <w:rsid w:val="33AA5979"/>
    <w:rsid w:val="33C03E90"/>
    <w:rsid w:val="33C96649"/>
    <w:rsid w:val="33CC3D88"/>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69B4CF0"/>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BF3388"/>
    <w:rsid w:val="38CC268D"/>
    <w:rsid w:val="38EC2960"/>
    <w:rsid w:val="392536E2"/>
    <w:rsid w:val="39465F15"/>
    <w:rsid w:val="396453C5"/>
    <w:rsid w:val="39922CCF"/>
    <w:rsid w:val="39A65327"/>
    <w:rsid w:val="39A65C9B"/>
    <w:rsid w:val="39BC5ED6"/>
    <w:rsid w:val="39EB39E0"/>
    <w:rsid w:val="39EF02D4"/>
    <w:rsid w:val="39F03080"/>
    <w:rsid w:val="3A11342A"/>
    <w:rsid w:val="3A153110"/>
    <w:rsid w:val="3A2507C0"/>
    <w:rsid w:val="3A393FA7"/>
    <w:rsid w:val="3A64203E"/>
    <w:rsid w:val="3A663D00"/>
    <w:rsid w:val="3A7428D0"/>
    <w:rsid w:val="3A923AE4"/>
    <w:rsid w:val="3AA50E25"/>
    <w:rsid w:val="3AC566E3"/>
    <w:rsid w:val="3AD6747A"/>
    <w:rsid w:val="3B3D0FF2"/>
    <w:rsid w:val="3B521A18"/>
    <w:rsid w:val="3B923660"/>
    <w:rsid w:val="3BCA44BE"/>
    <w:rsid w:val="3C061F3A"/>
    <w:rsid w:val="3C495480"/>
    <w:rsid w:val="3C6F0167"/>
    <w:rsid w:val="3C71667B"/>
    <w:rsid w:val="3C914F3B"/>
    <w:rsid w:val="3CC17F13"/>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075B70"/>
    <w:rsid w:val="3E1A106E"/>
    <w:rsid w:val="3E36303B"/>
    <w:rsid w:val="3E526044"/>
    <w:rsid w:val="3E8C5311"/>
    <w:rsid w:val="3E8E7E55"/>
    <w:rsid w:val="3EB61473"/>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F2DE9"/>
    <w:rsid w:val="40991379"/>
    <w:rsid w:val="409B3C3D"/>
    <w:rsid w:val="40F701DF"/>
    <w:rsid w:val="40FD480A"/>
    <w:rsid w:val="412A32F8"/>
    <w:rsid w:val="417F433E"/>
    <w:rsid w:val="41B7239D"/>
    <w:rsid w:val="41FF3845"/>
    <w:rsid w:val="421104A9"/>
    <w:rsid w:val="42143B88"/>
    <w:rsid w:val="42164586"/>
    <w:rsid w:val="425B5DD1"/>
    <w:rsid w:val="4260300C"/>
    <w:rsid w:val="42800B9B"/>
    <w:rsid w:val="42A06B6C"/>
    <w:rsid w:val="42EA5650"/>
    <w:rsid w:val="431408DA"/>
    <w:rsid w:val="4331401E"/>
    <w:rsid w:val="435A0DF2"/>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4F1836"/>
    <w:rsid w:val="45887B45"/>
    <w:rsid w:val="458B66DF"/>
    <w:rsid w:val="45940F0E"/>
    <w:rsid w:val="45AC5DBA"/>
    <w:rsid w:val="45C647AF"/>
    <w:rsid w:val="45DD529D"/>
    <w:rsid w:val="45E57886"/>
    <w:rsid w:val="46003076"/>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450F81"/>
    <w:rsid w:val="484E729D"/>
    <w:rsid w:val="485A23C2"/>
    <w:rsid w:val="48A16B62"/>
    <w:rsid w:val="48BC6222"/>
    <w:rsid w:val="48C245E9"/>
    <w:rsid w:val="48DB312A"/>
    <w:rsid w:val="48DF49D9"/>
    <w:rsid w:val="492108CC"/>
    <w:rsid w:val="4A05334F"/>
    <w:rsid w:val="4A244932"/>
    <w:rsid w:val="4A2922C8"/>
    <w:rsid w:val="4A4117B2"/>
    <w:rsid w:val="4A7A4350"/>
    <w:rsid w:val="4A7E2497"/>
    <w:rsid w:val="4A896826"/>
    <w:rsid w:val="4A9A1CE6"/>
    <w:rsid w:val="4ABF5E17"/>
    <w:rsid w:val="4AE01A66"/>
    <w:rsid w:val="4AED707B"/>
    <w:rsid w:val="4B0B7979"/>
    <w:rsid w:val="4B520DF4"/>
    <w:rsid w:val="4B603107"/>
    <w:rsid w:val="4B9802B0"/>
    <w:rsid w:val="4B9E65BE"/>
    <w:rsid w:val="4B9F33A8"/>
    <w:rsid w:val="4BA80AFD"/>
    <w:rsid w:val="4BAB77D3"/>
    <w:rsid w:val="4BB033BA"/>
    <w:rsid w:val="4BB469AD"/>
    <w:rsid w:val="4BC06040"/>
    <w:rsid w:val="4BF441D2"/>
    <w:rsid w:val="4C1C2A09"/>
    <w:rsid w:val="4C694192"/>
    <w:rsid w:val="4C7964D9"/>
    <w:rsid w:val="4C9269F6"/>
    <w:rsid w:val="4CC84335"/>
    <w:rsid w:val="4CE9350A"/>
    <w:rsid w:val="4D297BF3"/>
    <w:rsid w:val="4D2D0EAF"/>
    <w:rsid w:val="4D7F0082"/>
    <w:rsid w:val="4D952FD9"/>
    <w:rsid w:val="4D970662"/>
    <w:rsid w:val="4DB33393"/>
    <w:rsid w:val="4DCF1E0D"/>
    <w:rsid w:val="4DD632D9"/>
    <w:rsid w:val="4DE05DF9"/>
    <w:rsid w:val="4DE44800"/>
    <w:rsid w:val="4DEE0709"/>
    <w:rsid w:val="4DFC14EA"/>
    <w:rsid w:val="4DFF6815"/>
    <w:rsid w:val="4E0A3427"/>
    <w:rsid w:val="4E304B5D"/>
    <w:rsid w:val="4E682F8C"/>
    <w:rsid w:val="4E6A7BB7"/>
    <w:rsid w:val="4F0773B4"/>
    <w:rsid w:val="4F307BB1"/>
    <w:rsid w:val="4F3D562D"/>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47390"/>
    <w:rsid w:val="545E1D01"/>
    <w:rsid w:val="54935B8F"/>
    <w:rsid w:val="54CC6227"/>
    <w:rsid w:val="54D10F9B"/>
    <w:rsid w:val="551D586C"/>
    <w:rsid w:val="55200298"/>
    <w:rsid w:val="55335E1B"/>
    <w:rsid w:val="554B7EF0"/>
    <w:rsid w:val="556F3D99"/>
    <w:rsid w:val="55860894"/>
    <w:rsid w:val="55B02DF1"/>
    <w:rsid w:val="55DC290C"/>
    <w:rsid w:val="55F01FA1"/>
    <w:rsid w:val="56990B7C"/>
    <w:rsid w:val="569E1126"/>
    <w:rsid w:val="56A50EC8"/>
    <w:rsid w:val="56B80DEB"/>
    <w:rsid w:val="56E06E61"/>
    <w:rsid w:val="56F653FE"/>
    <w:rsid w:val="56FE6E1E"/>
    <w:rsid w:val="575B7AFD"/>
    <w:rsid w:val="57660D3F"/>
    <w:rsid w:val="57D1153D"/>
    <w:rsid w:val="57FA3774"/>
    <w:rsid w:val="58084A3C"/>
    <w:rsid w:val="585D2975"/>
    <w:rsid w:val="587E3341"/>
    <w:rsid w:val="58CF56D8"/>
    <w:rsid w:val="58D31010"/>
    <w:rsid w:val="58D6741E"/>
    <w:rsid w:val="58EA3D0E"/>
    <w:rsid w:val="58F71269"/>
    <w:rsid w:val="58FE045E"/>
    <w:rsid w:val="59561946"/>
    <w:rsid w:val="59670F51"/>
    <w:rsid w:val="596A44F9"/>
    <w:rsid w:val="596C19BB"/>
    <w:rsid w:val="59790BDB"/>
    <w:rsid w:val="598653AC"/>
    <w:rsid w:val="59AC3C86"/>
    <w:rsid w:val="59D42FDA"/>
    <w:rsid w:val="59DA4E01"/>
    <w:rsid w:val="59F64E82"/>
    <w:rsid w:val="5A10435C"/>
    <w:rsid w:val="5A2654CC"/>
    <w:rsid w:val="5A323A44"/>
    <w:rsid w:val="5A395E66"/>
    <w:rsid w:val="5A484352"/>
    <w:rsid w:val="5A5321A5"/>
    <w:rsid w:val="5A8734AF"/>
    <w:rsid w:val="5A9D3E45"/>
    <w:rsid w:val="5AA4101D"/>
    <w:rsid w:val="5AB17576"/>
    <w:rsid w:val="5ABD68E6"/>
    <w:rsid w:val="5ABF73D2"/>
    <w:rsid w:val="5ACB3D8A"/>
    <w:rsid w:val="5AE1508F"/>
    <w:rsid w:val="5AF14B5D"/>
    <w:rsid w:val="5AF80256"/>
    <w:rsid w:val="5B110CC9"/>
    <w:rsid w:val="5B1F7B5D"/>
    <w:rsid w:val="5B585171"/>
    <w:rsid w:val="5B585B78"/>
    <w:rsid w:val="5B9A2B59"/>
    <w:rsid w:val="5BC0085A"/>
    <w:rsid w:val="5BF03D58"/>
    <w:rsid w:val="5C1A6BB2"/>
    <w:rsid w:val="5C5355FE"/>
    <w:rsid w:val="5C6F4105"/>
    <w:rsid w:val="5CBB7F6F"/>
    <w:rsid w:val="5D7C3F11"/>
    <w:rsid w:val="5D9D49E0"/>
    <w:rsid w:val="5DDF1821"/>
    <w:rsid w:val="5DEA2F91"/>
    <w:rsid w:val="5E3146A3"/>
    <w:rsid w:val="5E442F62"/>
    <w:rsid w:val="5E6C2C5B"/>
    <w:rsid w:val="5E7251A2"/>
    <w:rsid w:val="5E7C3591"/>
    <w:rsid w:val="5E9D0E18"/>
    <w:rsid w:val="5EA341D7"/>
    <w:rsid w:val="5EA755DE"/>
    <w:rsid w:val="5ED35F0E"/>
    <w:rsid w:val="5EFC1390"/>
    <w:rsid w:val="5EFC3EB6"/>
    <w:rsid w:val="5F03335D"/>
    <w:rsid w:val="5F0368C7"/>
    <w:rsid w:val="5F1544E7"/>
    <w:rsid w:val="5F3C492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253FD"/>
    <w:rsid w:val="61421F29"/>
    <w:rsid w:val="61712185"/>
    <w:rsid w:val="61A90D68"/>
    <w:rsid w:val="621775E2"/>
    <w:rsid w:val="622F7552"/>
    <w:rsid w:val="6250406E"/>
    <w:rsid w:val="627D6831"/>
    <w:rsid w:val="62811B1C"/>
    <w:rsid w:val="62A20409"/>
    <w:rsid w:val="62B54B44"/>
    <w:rsid w:val="62E045DA"/>
    <w:rsid w:val="62E454A1"/>
    <w:rsid w:val="62F36E4C"/>
    <w:rsid w:val="62F47F8F"/>
    <w:rsid w:val="62F7233F"/>
    <w:rsid w:val="63084629"/>
    <w:rsid w:val="6340438B"/>
    <w:rsid w:val="6353238E"/>
    <w:rsid w:val="63612AB8"/>
    <w:rsid w:val="637D0978"/>
    <w:rsid w:val="638968B0"/>
    <w:rsid w:val="638A282C"/>
    <w:rsid w:val="63A85E90"/>
    <w:rsid w:val="63A962DB"/>
    <w:rsid w:val="63AB1A91"/>
    <w:rsid w:val="63EE4692"/>
    <w:rsid w:val="63EF51A3"/>
    <w:rsid w:val="63FD622D"/>
    <w:rsid w:val="643F32F9"/>
    <w:rsid w:val="64582686"/>
    <w:rsid w:val="64673C87"/>
    <w:rsid w:val="64A251DD"/>
    <w:rsid w:val="650242F0"/>
    <w:rsid w:val="65542778"/>
    <w:rsid w:val="655829AF"/>
    <w:rsid w:val="656B70C3"/>
    <w:rsid w:val="658F4798"/>
    <w:rsid w:val="659B1EBA"/>
    <w:rsid w:val="65B461E9"/>
    <w:rsid w:val="65BE39A8"/>
    <w:rsid w:val="65FB3FBE"/>
    <w:rsid w:val="66247D11"/>
    <w:rsid w:val="66532FF2"/>
    <w:rsid w:val="66736112"/>
    <w:rsid w:val="667F5B5B"/>
    <w:rsid w:val="6694262A"/>
    <w:rsid w:val="66990381"/>
    <w:rsid w:val="66B31B01"/>
    <w:rsid w:val="66CE1E80"/>
    <w:rsid w:val="66E362F9"/>
    <w:rsid w:val="66E47FD9"/>
    <w:rsid w:val="67071922"/>
    <w:rsid w:val="673B73C0"/>
    <w:rsid w:val="675608B6"/>
    <w:rsid w:val="67754402"/>
    <w:rsid w:val="677D54ED"/>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C234DED"/>
    <w:rsid w:val="6C29198B"/>
    <w:rsid w:val="6C3A67D1"/>
    <w:rsid w:val="6C3D2D5C"/>
    <w:rsid w:val="6C4800AA"/>
    <w:rsid w:val="6C4D28F8"/>
    <w:rsid w:val="6C573E9C"/>
    <w:rsid w:val="6C6D1126"/>
    <w:rsid w:val="6C7B2CE8"/>
    <w:rsid w:val="6CA35B3A"/>
    <w:rsid w:val="6CA41A5D"/>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4147D9"/>
    <w:rsid w:val="6F947E4B"/>
    <w:rsid w:val="6FA30BDA"/>
    <w:rsid w:val="6FB80698"/>
    <w:rsid w:val="7024611F"/>
    <w:rsid w:val="70637B96"/>
    <w:rsid w:val="70797317"/>
    <w:rsid w:val="7099044B"/>
    <w:rsid w:val="709D518F"/>
    <w:rsid w:val="70C759D3"/>
    <w:rsid w:val="70CF2B23"/>
    <w:rsid w:val="710952C1"/>
    <w:rsid w:val="71452CD8"/>
    <w:rsid w:val="7158683A"/>
    <w:rsid w:val="715B2F52"/>
    <w:rsid w:val="71764F23"/>
    <w:rsid w:val="71946576"/>
    <w:rsid w:val="71967E84"/>
    <w:rsid w:val="71A61873"/>
    <w:rsid w:val="71AF4936"/>
    <w:rsid w:val="71D75D0F"/>
    <w:rsid w:val="721919B3"/>
    <w:rsid w:val="721A6098"/>
    <w:rsid w:val="72310D1A"/>
    <w:rsid w:val="725D6B54"/>
    <w:rsid w:val="72A17C99"/>
    <w:rsid w:val="72AF6F7E"/>
    <w:rsid w:val="73047904"/>
    <w:rsid w:val="734C1A6A"/>
    <w:rsid w:val="735C5949"/>
    <w:rsid w:val="73737DA5"/>
    <w:rsid w:val="73887B3E"/>
    <w:rsid w:val="73892412"/>
    <w:rsid w:val="73E96BCA"/>
    <w:rsid w:val="73EE4A6E"/>
    <w:rsid w:val="741048BC"/>
    <w:rsid w:val="742E78D4"/>
    <w:rsid w:val="74676A28"/>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4450A"/>
    <w:rsid w:val="77B46E73"/>
    <w:rsid w:val="77E37A12"/>
    <w:rsid w:val="77FE3468"/>
    <w:rsid w:val="78546F0C"/>
    <w:rsid w:val="78EE1C79"/>
    <w:rsid w:val="797239CC"/>
    <w:rsid w:val="79831473"/>
    <w:rsid w:val="7999527A"/>
    <w:rsid w:val="79AF76C5"/>
    <w:rsid w:val="79C25EE1"/>
    <w:rsid w:val="79CE2967"/>
    <w:rsid w:val="79EA664C"/>
    <w:rsid w:val="7A2F459A"/>
    <w:rsid w:val="7A517022"/>
    <w:rsid w:val="7A6F5001"/>
    <w:rsid w:val="7AA2343E"/>
    <w:rsid w:val="7ADA73A4"/>
    <w:rsid w:val="7AE66B99"/>
    <w:rsid w:val="7B0A3BCA"/>
    <w:rsid w:val="7B4048C1"/>
    <w:rsid w:val="7B73082F"/>
    <w:rsid w:val="7BC62E00"/>
    <w:rsid w:val="7BE35E2A"/>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6E3E85"/>
    <w:rsid w:val="7E9C184B"/>
    <w:rsid w:val="7EA72948"/>
    <w:rsid w:val="7EB31EDB"/>
    <w:rsid w:val="7EE70CC0"/>
    <w:rsid w:val="7EEB48DB"/>
    <w:rsid w:val="7EF27444"/>
    <w:rsid w:val="7F265C5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340" w:after="330" w:line="576" w:lineRule="auto"/>
      <w:outlineLvl w:val="0"/>
    </w:pPr>
    <w:rPr>
      <w:b/>
      <w:bCs/>
      <w:kern w:val="44"/>
      <w:sz w:val="44"/>
      <w:szCs w:val="44"/>
    </w:rPr>
  </w:style>
  <w:style w:type="paragraph" w:styleId="7">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8">
    <w:name w:val="heading 3"/>
    <w:basedOn w:val="1"/>
    <w:next w:val="1"/>
    <w:qFormat/>
    <w:uiPriority w:val="0"/>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widowControl/>
      <w:spacing w:beforeAutospacing="1" w:afterAutospacing="1"/>
      <w:jc w:val="left"/>
    </w:pPr>
    <w:rPr>
      <w:rFonts w:ascii="宋体" w:hAnsi="宋体" w:cs="宋体"/>
      <w:kern w:val="0"/>
      <w:sz w:val="24"/>
    </w:rPr>
  </w:style>
  <w:style w:type="paragraph" w:styleId="4">
    <w:name w:val="envelope return"/>
    <w:basedOn w:val="1"/>
    <w:unhideWhenUsed/>
    <w:qFormat/>
    <w:uiPriority w:val="99"/>
    <w:pPr>
      <w:snapToGrid w:val="0"/>
    </w:pPr>
    <w:rPr>
      <w:rFonts w:ascii="Arial" w:hAnsi="Arial"/>
    </w:rPr>
  </w:style>
  <w:style w:type="paragraph" w:customStyle="1" w:styleId="5">
    <w:name w:val="样式 正文首行缩进 2 + Arial"/>
    <w:basedOn w:val="1"/>
    <w:next w:val="1"/>
    <w:qFormat/>
    <w:uiPriority w:val="0"/>
    <w:pPr>
      <w:spacing w:after="120" w:line="320" w:lineRule="atLeast"/>
      <w:ind w:firstLine="200" w:firstLineChars="200"/>
    </w:pPr>
    <w:rPr>
      <w:rFonts w:ascii="Arial" w:hAnsi="Arial"/>
      <w:kern w:val="0"/>
    </w:rPr>
  </w:style>
  <w:style w:type="paragraph" w:styleId="10">
    <w:name w:val="List Number"/>
    <w:basedOn w:val="1"/>
    <w:qFormat/>
    <w:uiPriority w:val="0"/>
    <w:pPr>
      <w:widowControl/>
      <w:spacing w:beforeAutospacing="1" w:afterAutospacing="1"/>
      <w:jc w:val="left"/>
    </w:pPr>
    <w:rPr>
      <w:rFonts w:ascii="宋体" w:hAnsi="宋体" w:cs="宋体"/>
      <w:kern w:val="0"/>
      <w:sz w:val="24"/>
    </w:rPr>
  </w:style>
  <w:style w:type="paragraph" w:styleId="11">
    <w:name w:val="Normal Indent"/>
    <w:basedOn w:val="1"/>
    <w:qFormat/>
    <w:uiPriority w:val="0"/>
    <w:pPr>
      <w:widowControl/>
      <w:spacing w:beforeAutospacing="1" w:afterAutospacing="1"/>
      <w:jc w:val="left"/>
    </w:pPr>
    <w:rPr>
      <w:rFonts w:ascii="宋体" w:hAnsi="宋体" w:cs="宋体"/>
      <w:kern w:val="0"/>
      <w:sz w:val="24"/>
    </w:rPr>
  </w:style>
  <w:style w:type="paragraph" w:styleId="12">
    <w:name w:val="Document Map"/>
    <w:basedOn w:val="1"/>
    <w:link w:val="74"/>
    <w:qFormat/>
    <w:uiPriority w:val="0"/>
    <w:rPr>
      <w:rFonts w:ascii="宋体" w:hAnsi="Calibri"/>
      <w:sz w:val="18"/>
      <w:szCs w:val="18"/>
    </w:rPr>
  </w:style>
  <w:style w:type="paragraph" w:styleId="13">
    <w:name w:val="annotation text"/>
    <w:basedOn w:val="1"/>
    <w:qFormat/>
    <w:uiPriority w:val="0"/>
    <w:pPr>
      <w:jc w:val="left"/>
    </w:pPr>
  </w:style>
  <w:style w:type="paragraph" w:styleId="14">
    <w:name w:val="Body Text 3"/>
    <w:basedOn w:val="1"/>
    <w:qFormat/>
    <w:uiPriority w:val="0"/>
    <w:rPr>
      <w:sz w:val="16"/>
      <w:szCs w:val="16"/>
    </w:rPr>
  </w:style>
  <w:style w:type="paragraph" w:styleId="15">
    <w:name w:val="Body Text"/>
    <w:basedOn w:val="1"/>
    <w:next w:val="16"/>
    <w:link w:val="72"/>
    <w:qFormat/>
    <w:uiPriority w:val="0"/>
  </w:style>
  <w:style w:type="paragraph" w:styleId="16">
    <w:name w:val="Body Text 2"/>
    <w:basedOn w:val="1"/>
    <w:next w:val="15"/>
    <w:qFormat/>
    <w:uiPriority w:val="0"/>
    <w:pPr>
      <w:spacing w:line="480" w:lineRule="auto"/>
    </w:pPr>
  </w:style>
  <w:style w:type="paragraph" w:styleId="17">
    <w:name w:val="List 2"/>
    <w:basedOn w:val="1"/>
    <w:qFormat/>
    <w:uiPriority w:val="0"/>
    <w:pPr>
      <w:ind w:left="100" w:leftChars="200" w:hanging="200" w:hangingChars="200"/>
    </w:pPr>
  </w:style>
  <w:style w:type="paragraph" w:styleId="18">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9">
    <w:name w:val="toc 3"/>
    <w:basedOn w:val="1"/>
    <w:next w:val="1"/>
    <w:qFormat/>
    <w:uiPriority w:val="0"/>
    <w:pPr>
      <w:tabs>
        <w:tab w:val="left" w:pos="709"/>
        <w:tab w:val="right" w:leader="dot" w:pos="8789"/>
      </w:tabs>
      <w:spacing w:line="400" w:lineRule="atLeast"/>
    </w:pPr>
    <w:rPr>
      <w:rFonts w:ascii="宋体"/>
      <w:kern w:val="0"/>
      <w:szCs w:val="20"/>
    </w:rPr>
  </w:style>
  <w:style w:type="paragraph" w:styleId="20">
    <w:name w:val="Plain Text"/>
    <w:basedOn w:val="1"/>
    <w:qFormat/>
    <w:uiPriority w:val="0"/>
    <w:pPr>
      <w:widowControl/>
      <w:spacing w:beforeAutospacing="1" w:afterAutospacing="1"/>
      <w:jc w:val="left"/>
    </w:pPr>
    <w:rPr>
      <w:rFonts w:ascii="宋体" w:hAnsi="宋体" w:cs="宋体"/>
      <w:kern w:val="0"/>
      <w:sz w:val="24"/>
    </w:rPr>
  </w:style>
  <w:style w:type="paragraph" w:styleId="21">
    <w:name w:val="Date"/>
    <w:basedOn w:val="1"/>
    <w:next w:val="1"/>
    <w:qFormat/>
    <w:uiPriority w:val="0"/>
    <w:pPr>
      <w:ind w:left="100" w:leftChars="2500"/>
    </w:pPr>
    <w:rPr>
      <w:rFonts w:ascii="宋体" w:hAnsi="宋体"/>
      <w:sz w:val="28"/>
    </w:rPr>
  </w:style>
  <w:style w:type="paragraph" w:styleId="22">
    <w:name w:val="Body Text Indent 2"/>
    <w:basedOn w:val="1"/>
    <w:qFormat/>
    <w:uiPriority w:val="0"/>
    <w:pPr>
      <w:spacing w:line="480" w:lineRule="auto"/>
      <w:ind w:left="420" w:leftChars="200"/>
    </w:p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0"/>
  </w:style>
  <w:style w:type="paragraph" w:styleId="26">
    <w:name w:val="List"/>
    <w:basedOn w:val="1"/>
    <w:qFormat/>
    <w:uiPriority w:val="0"/>
    <w:pPr>
      <w:ind w:left="200" w:hanging="200" w:hangingChars="200"/>
    </w:pPr>
  </w:style>
  <w:style w:type="paragraph" w:styleId="27">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9">
    <w:name w:val="Normal (Web)"/>
    <w:basedOn w:val="1"/>
    <w:qFormat/>
    <w:uiPriority w:val="99"/>
    <w:pPr>
      <w:spacing w:before="100" w:beforeAutospacing="1" w:after="100" w:afterAutospacing="1"/>
      <w:jc w:val="left"/>
    </w:pPr>
    <w:rPr>
      <w:kern w:val="0"/>
      <w:sz w:val="24"/>
    </w:rPr>
  </w:style>
  <w:style w:type="paragraph" w:styleId="30">
    <w:name w:val="Title"/>
    <w:basedOn w:val="1"/>
    <w:qFormat/>
    <w:uiPriority w:val="0"/>
    <w:pPr>
      <w:jc w:val="center"/>
      <w:outlineLvl w:val="0"/>
    </w:pPr>
    <w:rPr>
      <w:rFonts w:ascii="Arial" w:hAnsi="Arial" w:cs="Arial"/>
      <w:b/>
      <w:bCs/>
      <w:sz w:val="32"/>
      <w:szCs w:val="32"/>
    </w:rPr>
  </w:style>
  <w:style w:type="paragraph" w:styleId="31">
    <w:name w:val="Body Text First Indent"/>
    <w:basedOn w:val="15"/>
    <w:next w:val="1"/>
    <w:qFormat/>
    <w:uiPriority w:val="0"/>
    <w:pPr>
      <w:spacing w:line="360" w:lineRule="auto"/>
      <w:ind w:firstLine="420" w:firstLineChars="100"/>
    </w:pPr>
    <w:rPr>
      <w:szCs w:val="21"/>
    </w:r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No Spacing1"/>
    <w:basedOn w:val="1"/>
    <w:qFormat/>
    <w:uiPriority w:val="0"/>
    <w:pPr>
      <w:spacing w:line="400" w:lineRule="exact"/>
    </w:pPr>
    <w:rPr>
      <w:sz w:val="24"/>
    </w:rPr>
  </w:style>
  <w:style w:type="paragraph" w:customStyle="1" w:styleId="49">
    <w:name w:val="Default"/>
    <w:next w:val="50"/>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0">
    <w:name w:val="大标题"/>
    <w:basedOn w:val="1"/>
    <w:next w:val="2"/>
    <w:qFormat/>
    <w:uiPriority w:val="0"/>
    <w:pPr>
      <w:jc w:val="center"/>
    </w:pPr>
    <w:rPr>
      <w:rFonts w:ascii="Arial" w:hAnsi="Arial"/>
      <w:b/>
      <w:sz w:val="28"/>
    </w:rPr>
  </w:style>
  <w:style w:type="paragraph" w:customStyle="1" w:styleId="51">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2">
    <w:name w:val="Char"/>
    <w:basedOn w:val="1"/>
    <w:qFormat/>
    <w:uiPriority w:val="0"/>
  </w:style>
  <w:style w:type="paragraph" w:customStyle="1" w:styleId="53">
    <w:name w:val="正文缩进1"/>
    <w:basedOn w:val="1"/>
    <w:qFormat/>
    <w:uiPriority w:val="0"/>
    <w:pPr>
      <w:widowControl/>
      <w:ind w:firstLine="420"/>
      <w:jc w:val="left"/>
    </w:pPr>
    <w:rPr>
      <w:kern w:val="0"/>
      <w:szCs w:val="20"/>
    </w:rPr>
  </w:style>
  <w:style w:type="paragraph" w:customStyle="1" w:styleId="54">
    <w:name w:val="列出段落2"/>
    <w:basedOn w:val="1"/>
    <w:qFormat/>
    <w:uiPriority w:val="34"/>
    <w:pPr>
      <w:ind w:firstLine="420" w:firstLineChars="200"/>
    </w:pPr>
  </w:style>
  <w:style w:type="paragraph" w:customStyle="1" w:styleId="55">
    <w:name w:val="plaintext"/>
    <w:basedOn w:val="1"/>
    <w:qFormat/>
    <w:uiPriority w:val="0"/>
    <w:pPr>
      <w:widowControl/>
      <w:spacing w:beforeAutospacing="1" w:afterAutospacing="1"/>
      <w:jc w:val="left"/>
    </w:pPr>
    <w:rPr>
      <w:rFonts w:ascii="宋体" w:hAnsi="宋体" w:cs="宋体"/>
      <w:kern w:val="0"/>
      <w:sz w:val="24"/>
    </w:rPr>
  </w:style>
  <w:style w:type="paragraph" w:customStyle="1" w:styleId="56">
    <w:name w:val="1"/>
    <w:basedOn w:val="1"/>
    <w:qFormat/>
    <w:uiPriority w:val="0"/>
    <w:pPr>
      <w:widowControl/>
      <w:spacing w:beforeAutospacing="1" w:afterAutospacing="1"/>
      <w:jc w:val="left"/>
    </w:pPr>
    <w:rPr>
      <w:rFonts w:ascii="宋体" w:hAnsi="宋体" w:cs="宋体"/>
      <w:kern w:val="0"/>
      <w:sz w:val="24"/>
    </w:rPr>
  </w:style>
  <w:style w:type="paragraph" w:styleId="57">
    <w:name w:val="No Spacing"/>
    <w:qFormat/>
    <w:uiPriority w:val="1"/>
    <w:rPr>
      <w:rFonts w:ascii="Calibri" w:hAnsi="Calibri" w:eastAsia="宋体" w:cs="Times New Roman"/>
      <w:sz w:val="22"/>
      <w:szCs w:val="22"/>
      <w:lang w:val="en-US" w:eastAsia="zh-CN" w:bidi="ar-SA"/>
    </w:rPr>
  </w:style>
  <w:style w:type="paragraph" w:customStyle="1" w:styleId="58">
    <w:name w:val="_Style 2"/>
    <w:basedOn w:val="1"/>
    <w:qFormat/>
    <w:uiPriority w:val="34"/>
    <w:pPr>
      <w:ind w:firstLine="420" w:firstLineChars="200"/>
    </w:pPr>
    <w:rPr>
      <w:rFonts w:ascii="Calibri" w:hAnsi="Calibri"/>
    </w:rPr>
  </w:style>
  <w:style w:type="paragraph" w:customStyle="1" w:styleId="59">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0">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1">
    <w:name w:val="Char1"/>
    <w:basedOn w:val="1"/>
    <w:qFormat/>
    <w:uiPriority w:val="0"/>
  </w:style>
  <w:style w:type="paragraph" w:customStyle="1" w:styleId="62">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Table Paragraph"/>
    <w:basedOn w:val="1"/>
    <w:qFormat/>
    <w:uiPriority w:val="1"/>
    <w:pPr>
      <w:jc w:val="left"/>
    </w:pPr>
    <w:rPr>
      <w:rFonts w:ascii="宋体" w:hAnsi="宋体" w:cs="宋体"/>
      <w:kern w:val="0"/>
      <w:sz w:val="22"/>
      <w:szCs w:val="22"/>
      <w:lang w:eastAsia="en-US"/>
    </w:rPr>
  </w:style>
  <w:style w:type="paragraph" w:customStyle="1" w:styleId="64">
    <w:name w:val="无间隔1"/>
    <w:basedOn w:val="1"/>
    <w:qFormat/>
    <w:uiPriority w:val="1"/>
    <w:pPr>
      <w:spacing w:line="400" w:lineRule="exact"/>
    </w:pPr>
    <w:rPr>
      <w:sz w:val="24"/>
    </w:rPr>
  </w:style>
  <w:style w:type="paragraph" w:customStyle="1" w:styleId="65">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6">
    <w:name w:val="3"/>
    <w:basedOn w:val="1"/>
    <w:qFormat/>
    <w:uiPriority w:val="0"/>
    <w:pPr>
      <w:widowControl/>
      <w:spacing w:beforeAutospacing="1" w:afterAutospacing="1"/>
      <w:jc w:val="left"/>
    </w:pPr>
    <w:rPr>
      <w:rFonts w:ascii="宋体" w:hAnsi="宋体" w:cs="宋体"/>
      <w:kern w:val="0"/>
      <w:sz w:val="24"/>
    </w:rPr>
  </w:style>
  <w:style w:type="paragraph" w:customStyle="1" w:styleId="67">
    <w:name w:val="列出段落1"/>
    <w:basedOn w:val="1"/>
    <w:qFormat/>
    <w:uiPriority w:val="34"/>
    <w:pPr>
      <w:ind w:firstLine="420" w:firstLineChars="200"/>
    </w:pPr>
  </w:style>
  <w:style w:type="paragraph" w:customStyle="1" w:styleId="68">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69">
    <w:name w:val="a0"/>
    <w:basedOn w:val="1"/>
    <w:qFormat/>
    <w:uiPriority w:val="0"/>
    <w:pPr>
      <w:widowControl/>
      <w:spacing w:beforeAutospacing="1" w:afterAutospacing="1"/>
      <w:jc w:val="left"/>
    </w:pPr>
    <w:rPr>
      <w:rFonts w:ascii="宋体" w:hAnsi="宋体" w:cs="宋体"/>
      <w:kern w:val="0"/>
      <w:sz w:val="24"/>
    </w:rPr>
  </w:style>
  <w:style w:type="paragraph" w:customStyle="1" w:styleId="70">
    <w:name w:val="default"/>
    <w:basedOn w:val="1"/>
    <w:qFormat/>
    <w:uiPriority w:val="0"/>
    <w:pPr>
      <w:widowControl/>
      <w:spacing w:beforeAutospacing="1" w:afterAutospacing="1"/>
      <w:jc w:val="left"/>
    </w:pPr>
    <w:rPr>
      <w:rFonts w:ascii="宋体" w:hAnsi="宋体" w:cs="宋体"/>
      <w:kern w:val="0"/>
      <w:sz w:val="24"/>
    </w:rPr>
  </w:style>
  <w:style w:type="paragraph" w:customStyle="1" w:styleId="71">
    <w:name w:val="列出段落11"/>
    <w:basedOn w:val="1"/>
    <w:qFormat/>
    <w:uiPriority w:val="0"/>
    <w:pPr>
      <w:ind w:firstLine="420" w:firstLineChars="200"/>
    </w:pPr>
    <w:rPr>
      <w:rFonts w:ascii="Calibri" w:hAnsi="Calibri"/>
      <w:szCs w:val="22"/>
    </w:rPr>
  </w:style>
  <w:style w:type="character" w:customStyle="1" w:styleId="72">
    <w:name w:val="正文文本 Char"/>
    <w:basedOn w:val="34"/>
    <w:link w:val="15"/>
    <w:qFormat/>
    <w:uiPriority w:val="0"/>
  </w:style>
  <w:style w:type="character" w:customStyle="1" w:styleId="73">
    <w:name w:val="apple-converted-space"/>
    <w:basedOn w:val="34"/>
    <w:qFormat/>
    <w:uiPriority w:val="0"/>
  </w:style>
  <w:style w:type="character" w:customStyle="1" w:styleId="74">
    <w:name w:val="文档结构图 Char"/>
    <w:link w:val="12"/>
    <w:qFormat/>
    <w:uiPriority w:val="0"/>
    <w:rPr>
      <w:rFonts w:ascii="宋体"/>
      <w:kern w:val="2"/>
      <w:sz w:val="18"/>
      <w:szCs w:val="18"/>
    </w:rPr>
  </w:style>
  <w:style w:type="character" w:customStyle="1" w:styleId="75">
    <w:name w:val="不明显强调1"/>
    <w:qFormat/>
    <w:uiPriority w:val="19"/>
    <w:rPr>
      <w:i/>
      <w:iCs/>
      <w:color w:val="7F7F7F"/>
      <w:szCs w:val="24"/>
    </w:rPr>
  </w:style>
  <w:style w:type="character" w:customStyle="1" w:styleId="76">
    <w:name w:val="font71"/>
    <w:qFormat/>
    <w:uiPriority w:val="0"/>
    <w:rPr>
      <w:rFonts w:hint="eastAsia" w:ascii="宋体" w:hAnsi="宋体" w:eastAsia="宋体" w:cs="宋体"/>
      <w:color w:val="000000"/>
      <w:sz w:val="28"/>
      <w:szCs w:val="28"/>
      <w:u w:val="none"/>
    </w:rPr>
  </w:style>
  <w:style w:type="character" w:customStyle="1" w:styleId="77">
    <w:name w:val="font21"/>
    <w:qFormat/>
    <w:uiPriority w:val="0"/>
    <w:rPr>
      <w:rFonts w:hint="default" w:ascii="Calibri" w:hAnsi="Calibri" w:cs="Calibri"/>
      <w:color w:val="000000"/>
      <w:sz w:val="28"/>
      <w:szCs w:val="28"/>
      <w:u w:val="none"/>
    </w:rPr>
  </w:style>
  <w:style w:type="character" w:customStyle="1" w:styleId="78">
    <w:name w:val="17"/>
    <w:qFormat/>
    <w:uiPriority w:val="0"/>
    <w:rPr>
      <w:rFonts w:hint="eastAsia" w:ascii="宋体" w:hAnsi="宋体" w:eastAsia="宋体"/>
      <w:color w:val="000000"/>
    </w:rPr>
  </w:style>
  <w:style w:type="character" w:customStyle="1" w:styleId="79">
    <w:name w:val="font91"/>
    <w:qFormat/>
    <w:uiPriority w:val="0"/>
    <w:rPr>
      <w:rFonts w:hint="eastAsia" w:ascii="宋体" w:hAnsi="宋体" w:eastAsia="宋体" w:cs="宋体"/>
      <w:color w:val="FF0000"/>
      <w:sz w:val="28"/>
      <w:szCs w:val="28"/>
      <w:u w:val="none"/>
    </w:rPr>
  </w:style>
  <w:style w:type="paragraph" w:customStyle="1" w:styleId="80">
    <w:name w:val="p"/>
    <w:basedOn w:val="1"/>
    <w:qFormat/>
    <w:uiPriority w:val="0"/>
    <w:pPr>
      <w:widowControl/>
      <w:spacing w:line="432" w:lineRule="auto"/>
      <w:jc w:val="left"/>
    </w:pPr>
    <w:rPr>
      <w:rFonts w:ascii="宋体" w:hAnsi="宋体" w:cs="宋体"/>
      <w:kern w:val="0"/>
      <w:sz w:val="24"/>
    </w:rPr>
  </w:style>
  <w:style w:type="paragraph" w:customStyle="1" w:styleId="81">
    <w:name w:val="WPSOffice手动目录 1"/>
    <w:qFormat/>
    <w:uiPriority w:val="0"/>
    <w:rPr>
      <w:rFonts w:ascii="Times New Roman" w:hAnsi="Times New Roman" w:eastAsia="宋体" w:cs="Times New Roman"/>
      <w:lang w:val="en-US" w:eastAsia="zh-CN" w:bidi="ar-SA"/>
    </w:rPr>
  </w:style>
  <w:style w:type="paragraph" w:customStyle="1" w:styleId="82">
    <w:name w:val="*正文_1"/>
    <w:basedOn w:val="1"/>
    <w:next w:val="1"/>
    <w:qFormat/>
    <w:uiPriority w:val="0"/>
    <w:pPr>
      <w:widowControl/>
      <w:ind w:firstLine="482"/>
    </w:pPr>
    <w:rPr>
      <w:rFonts w:ascii="微软雅黑" w:hAnsi="微软雅黑" w:eastAsia="微软雅黑"/>
      <w:kern w:val="0"/>
      <w:szCs w:val="20"/>
    </w:rPr>
  </w:style>
  <w:style w:type="paragraph" w:customStyle="1" w:styleId="83">
    <w:name w:val="表格文字"/>
    <w:basedOn w:val="1"/>
    <w:next w:val="15"/>
    <w:qFormat/>
    <w:uiPriority w:val="0"/>
    <w:pPr>
      <w:adjustRightInd w:val="0"/>
      <w:spacing w:line="420" w:lineRule="atLeast"/>
      <w:jc w:val="left"/>
      <w:textAlignment w:val="baseline"/>
    </w:pPr>
    <w:rPr>
      <w:kern w:val="0"/>
      <w:szCs w:val="20"/>
    </w:rPr>
  </w:style>
  <w:style w:type="character" w:customStyle="1" w:styleId="84">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5">
    <w:name w:val="列表段落1"/>
    <w:basedOn w:val="1"/>
    <w:qFormat/>
    <w:uiPriority w:val="34"/>
    <w:pPr>
      <w:widowControl/>
      <w:ind w:firstLine="420"/>
      <w:jc w:val="left"/>
    </w:pPr>
    <w:rPr>
      <w:kern w:val="0"/>
    </w:rPr>
  </w:style>
  <w:style w:type="paragraph" w:styleId="86">
    <w:name w:val="List Paragraph"/>
    <w:basedOn w:val="1"/>
    <w:qFormat/>
    <w:uiPriority w:val="34"/>
    <w:pPr>
      <w:ind w:firstLine="420" w:firstLineChars="200"/>
    </w:pPr>
  </w:style>
  <w:style w:type="character" w:customStyle="1" w:styleId="87">
    <w:name w:val="hover18"/>
    <w:basedOn w:val="3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32</Pages>
  <Words>15255</Words>
  <Characters>16080</Characters>
  <Lines>50</Lines>
  <Paragraphs>68</Paragraphs>
  <TotalTime>14</TotalTime>
  <ScaleCrop>false</ScaleCrop>
  <LinksUpToDate>false</LinksUpToDate>
  <CharactersWithSpaces>17019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2022-03-28T02:03:23Z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562A285641654D2EA086C4325B3B203C</vt:lpwstr>
  </property>
</Properties>
</file>