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8"/>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宋体" w:hAnsi="宋体" w:eastAsia="宋体" w:cs="宋体"/>
          <w:b/>
          <w:bCs/>
          <w:sz w:val="48"/>
          <w:szCs w:val="48"/>
          <w:lang w:val="en-US" w:eastAsia="zh-CN"/>
        </w:rPr>
      </w:pPr>
      <w:bookmarkStart w:id="0" w:name="_Toc22953395"/>
      <w:bookmarkEnd w:id="0"/>
      <w:bookmarkStart w:id="1" w:name="_Toc22804073"/>
      <w:bookmarkEnd w:id="1"/>
    </w:p>
    <w:p>
      <w:pPr>
        <w:pStyle w:val="18"/>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default" w:ascii="宋体" w:hAnsi="宋体" w:eastAsia="宋体" w:cs="宋体"/>
          <w:b/>
          <w:bCs/>
          <w:sz w:val="48"/>
          <w:szCs w:val="48"/>
          <w:lang w:val="en-US" w:eastAsia="zh-CN"/>
        </w:rPr>
      </w:pPr>
      <w:r>
        <w:rPr>
          <w:rFonts w:hint="eastAsia" w:ascii="宋体" w:hAnsi="宋体" w:eastAsia="宋体" w:cs="宋体"/>
          <w:b/>
          <w:bCs/>
          <w:sz w:val="48"/>
          <w:szCs w:val="48"/>
          <w:lang w:val="en-US" w:eastAsia="zh-CN"/>
        </w:rPr>
        <w:t>驻马店市中心医院视听觉注意力持续操作测验</w:t>
      </w:r>
      <w:r>
        <w:rPr>
          <w:rFonts w:hint="eastAsia" w:cs="宋体"/>
          <w:b/>
          <w:bCs/>
          <w:sz w:val="48"/>
          <w:szCs w:val="48"/>
          <w:lang w:val="en-US" w:eastAsia="zh-CN"/>
        </w:rPr>
        <w:t>、</w:t>
      </w:r>
      <w:r>
        <w:rPr>
          <w:rFonts w:hint="eastAsia" w:ascii="宋体" w:hAnsi="宋体" w:eastAsia="宋体" w:cs="宋体"/>
          <w:b/>
          <w:bCs/>
          <w:sz w:val="48"/>
          <w:szCs w:val="48"/>
          <w:lang w:val="en-US" w:eastAsia="zh-CN"/>
        </w:rPr>
        <w:t>训练系统采购项目</w:t>
      </w:r>
    </w:p>
    <w:p>
      <w:pPr>
        <w:pStyle w:val="18"/>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宋体" w:hAnsi="宋体" w:eastAsia="宋体" w:cs="宋体"/>
          <w:b/>
          <w:bCs/>
          <w:sz w:val="48"/>
          <w:szCs w:val="48"/>
        </w:rPr>
      </w:pPr>
    </w:p>
    <w:p>
      <w:pPr>
        <w:pStyle w:val="18"/>
        <w:bidi w:val="0"/>
        <w:jc w:val="center"/>
        <w:rPr>
          <w:rStyle w:val="44"/>
          <w:rFonts w:hint="eastAsia" w:ascii="宋体" w:hAnsi="宋体" w:eastAsia="宋体" w:cs="宋体"/>
          <w:b/>
          <w:bCs/>
          <w:color w:val="auto"/>
          <w:sz w:val="48"/>
          <w:szCs w:val="48"/>
        </w:rPr>
      </w:pPr>
    </w:p>
    <w:p>
      <w:pPr>
        <w:pStyle w:val="18"/>
        <w:bidi w:val="0"/>
        <w:jc w:val="center"/>
        <w:rPr>
          <w:rStyle w:val="44"/>
          <w:rFonts w:hint="eastAsia" w:ascii="宋体" w:hAnsi="宋体" w:eastAsia="宋体" w:cs="宋体"/>
          <w:b/>
          <w:bCs/>
          <w:color w:val="auto"/>
          <w:sz w:val="48"/>
          <w:szCs w:val="48"/>
        </w:rPr>
      </w:pPr>
    </w:p>
    <w:p>
      <w:pPr>
        <w:pStyle w:val="18"/>
        <w:bidi w:val="0"/>
        <w:jc w:val="center"/>
        <w:rPr>
          <w:rStyle w:val="44"/>
          <w:rFonts w:hint="eastAsia" w:ascii="宋体" w:hAnsi="宋体" w:eastAsia="宋体" w:cs="宋体"/>
          <w:b/>
          <w:bCs/>
          <w:color w:val="auto"/>
          <w:sz w:val="48"/>
          <w:szCs w:val="48"/>
        </w:rPr>
      </w:pPr>
    </w:p>
    <w:p>
      <w:pPr>
        <w:pStyle w:val="18"/>
        <w:bidi w:val="0"/>
        <w:jc w:val="center"/>
        <w:rPr>
          <w:rStyle w:val="44"/>
          <w:rFonts w:hint="eastAsia" w:ascii="宋体" w:hAnsi="宋体" w:eastAsia="宋体" w:cs="宋体"/>
          <w:b/>
          <w:bCs/>
          <w:color w:val="auto"/>
          <w:sz w:val="48"/>
          <w:szCs w:val="48"/>
        </w:rPr>
      </w:pPr>
    </w:p>
    <w:p>
      <w:pPr>
        <w:pStyle w:val="18"/>
        <w:bidi w:val="0"/>
        <w:jc w:val="center"/>
        <w:rPr>
          <w:rStyle w:val="44"/>
          <w:rFonts w:hint="eastAsia" w:ascii="宋体" w:hAnsi="宋体" w:eastAsia="宋体" w:cs="宋体"/>
          <w:b/>
          <w:bCs/>
          <w:color w:val="auto"/>
          <w:szCs w:val="44"/>
        </w:rPr>
      </w:pPr>
      <w:r>
        <w:rPr>
          <w:rStyle w:val="44"/>
          <w:rFonts w:hint="eastAsia" w:cs="宋体"/>
          <w:b/>
          <w:bCs/>
          <w:color w:val="auto"/>
          <w:sz w:val="72"/>
          <w:szCs w:val="72"/>
          <w:lang w:val="en-US" w:eastAsia="zh-CN"/>
        </w:rPr>
        <w:t>采购</w:t>
      </w:r>
      <w:r>
        <w:rPr>
          <w:rStyle w:val="44"/>
          <w:rFonts w:hint="eastAsia" w:ascii="宋体" w:hAnsi="宋体" w:eastAsia="宋体" w:cs="宋体"/>
          <w:b/>
          <w:bCs/>
          <w:color w:val="auto"/>
          <w:sz w:val="72"/>
          <w:szCs w:val="72"/>
        </w:rPr>
        <w:t>文件</w:t>
      </w:r>
    </w:p>
    <w:p>
      <w:pPr>
        <w:tabs>
          <w:tab w:val="left" w:pos="2700"/>
          <w:tab w:val="left" w:pos="2880"/>
          <w:tab w:val="left" w:pos="3060"/>
          <w:tab w:val="left" w:pos="7560"/>
        </w:tabs>
        <w:snapToGrid w:val="0"/>
        <w:spacing w:line="360" w:lineRule="auto"/>
        <w:ind w:firstLine="1928" w:firstLineChars="600"/>
        <w:jc w:val="both"/>
        <w:rPr>
          <w:rFonts w:hint="eastAsia" w:ascii="宋体" w:hAnsi="宋体" w:eastAsia="宋体" w:cs="宋体"/>
          <w:b/>
          <w:bCs/>
          <w:spacing w:val="-10"/>
          <w:sz w:val="34"/>
          <w:szCs w:val="34"/>
          <w:lang w:val="en-US" w:eastAsia="zh-CN"/>
        </w:rPr>
      </w:pPr>
    </w:p>
    <w:p>
      <w:pPr>
        <w:snapToGrid w:val="0"/>
        <w:spacing w:line="380" w:lineRule="exact"/>
        <w:jc w:val="center"/>
        <w:rPr>
          <w:rFonts w:hint="eastAsia" w:ascii="宋体" w:hAnsi="宋体" w:eastAsia="宋体" w:cs="宋体"/>
          <w:b/>
          <w:sz w:val="32"/>
          <w:szCs w:val="32"/>
        </w:rPr>
      </w:pPr>
    </w:p>
    <w:p>
      <w:pPr>
        <w:pStyle w:val="30"/>
        <w:rPr>
          <w:rFonts w:hint="eastAsia"/>
        </w:rPr>
      </w:pPr>
    </w:p>
    <w:p>
      <w:pPr>
        <w:pStyle w:val="57"/>
        <w:rPr>
          <w:rFonts w:hint="eastAsia" w:ascii="宋体" w:hAnsi="宋体" w:eastAsia="宋体" w:cs="宋体"/>
          <w:bCs/>
          <w:sz w:val="2"/>
          <w:szCs w:val="2"/>
        </w:rPr>
      </w:pPr>
    </w:p>
    <w:p>
      <w:pPr>
        <w:rPr>
          <w:rFonts w:hint="eastAsia" w:ascii="宋体" w:hAnsi="宋体" w:eastAsia="宋体" w:cs="宋体"/>
          <w:bCs/>
          <w:sz w:val="2"/>
          <w:szCs w:val="2"/>
        </w:rPr>
      </w:pPr>
    </w:p>
    <w:p>
      <w:pPr>
        <w:spacing w:line="20" w:lineRule="exact"/>
        <w:rPr>
          <w:rFonts w:hint="eastAsia" w:ascii="宋体" w:hAnsi="宋体" w:eastAsia="宋体" w:cs="宋体"/>
          <w:bCs/>
          <w:sz w:val="2"/>
          <w:szCs w:val="2"/>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spacing w:val="80"/>
          <w:sz w:val="34"/>
          <w:szCs w:val="34"/>
        </w:rPr>
      </w:pPr>
      <w:r>
        <w:rPr>
          <w:rFonts w:hint="eastAsia" w:ascii="宋体" w:hAnsi="宋体" w:eastAsia="宋体" w:cs="宋体"/>
          <w:b/>
          <w:bCs/>
          <w:spacing w:val="-10"/>
          <w:sz w:val="34"/>
          <w:szCs w:val="34"/>
          <w:lang w:val="en-US" w:eastAsia="zh-CN"/>
        </w:rPr>
        <w:t>采 购</w:t>
      </w:r>
      <w:r>
        <w:rPr>
          <w:rFonts w:hint="eastAsia" w:ascii="宋体" w:hAnsi="宋体" w:eastAsia="宋体" w:cs="宋体"/>
          <w:b/>
          <w:bCs/>
          <w:spacing w:val="-10"/>
          <w:sz w:val="34"/>
          <w:szCs w:val="34"/>
        </w:rPr>
        <w:t xml:space="preserve"> 人：驻马店市中心医院</w:t>
      </w:r>
    </w:p>
    <w:p>
      <w:pPr>
        <w:tabs>
          <w:tab w:val="left" w:pos="2505"/>
          <w:tab w:val="center" w:pos="4535"/>
        </w:tabs>
        <w:snapToGrid w:val="0"/>
        <w:spacing w:line="480" w:lineRule="auto"/>
        <w:jc w:val="center"/>
        <w:rPr>
          <w:rFonts w:hint="eastAsia" w:ascii="宋体" w:hAnsi="宋体" w:eastAsia="宋体" w:cs="宋体"/>
          <w:b/>
          <w:sz w:val="36"/>
          <w:szCs w:val="36"/>
        </w:rPr>
        <w:sectPr>
          <w:pgSz w:w="11923" w:h="16838"/>
          <w:pgMar w:top="1304" w:right="1417" w:bottom="992" w:left="1417" w:header="720" w:footer="720" w:gutter="0"/>
          <w:pgNumType w:fmt="decimal" w:start="1"/>
          <w:cols w:space="720" w:num="1"/>
          <w:docGrid w:type="lines" w:linePitch="312" w:charSpace="0"/>
        </w:sectPr>
      </w:pPr>
      <w:r>
        <w:rPr>
          <w:rFonts w:hint="eastAsia" w:ascii="宋体" w:hAnsi="宋体" w:eastAsia="宋体" w:cs="宋体"/>
          <w:b/>
          <w:bCs/>
          <w:spacing w:val="40"/>
          <w:sz w:val="34"/>
          <w:szCs w:val="34"/>
          <w:lang w:val="en-US" w:eastAsia="zh-CN"/>
        </w:rPr>
        <w:t>2022</w:t>
      </w:r>
      <w:r>
        <w:rPr>
          <w:rFonts w:hint="eastAsia" w:ascii="宋体" w:hAnsi="宋体" w:eastAsia="宋体" w:cs="宋体"/>
          <w:b/>
          <w:bCs/>
          <w:spacing w:val="40"/>
          <w:sz w:val="34"/>
          <w:szCs w:val="34"/>
        </w:rPr>
        <w:t>年</w:t>
      </w:r>
      <w:r>
        <w:rPr>
          <w:rFonts w:hint="eastAsia" w:ascii="宋体" w:hAnsi="宋体" w:cs="宋体"/>
          <w:b/>
          <w:bCs/>
          <w:spacing w:val="40"/>
          <w:sz w:val="34"/>
          <w:szCs w:val="34"/>
          <w:lang w:val="en-US" w:eastAsia="zh-CN"/>
        </w:rPr>
        <w:t>04</w:t>
      </w:r>
      <w:r>
        <w:rPr>
          <w:rFonts w:hint="eastAsia" w:ascii="宋体" w:hAnsi="宋体" w:eastAsia="宋体" w:cs="宋体"/>
          <w:b/>
          <w:bCs/>
          <w:spacing w:val="40"/>
          <w:sz w:val="34"/>
          <w:szCs w:val="34"/>
        </w:rPr>
        <w:t>月</w:t>
      </w:r>
    </w:p>
    <w:p>
      <w:pPr>
        <w:rPr>
          <w:rFonts w:ascii="宋体" w:hAnsi="宋体"/>
          <w:bCs/>
          <w:color w:val="auto"/>
          <w:sz w:val="24"/>
          <w:highlight w:val="none"/>
        </w:rPr>
      </w:pPr>
    </w:p>
    <w:p>
      <w:pPr>
        <w:jc w:val="center"/>
        <w:rPr>
          <w:rFonts w:ascii="宋体" w:hAnsi="宋体" w:cs="宋体"/>
          <w:b/>
          <w:bCs/>
          <w:color w:val="auto"/>
          <w:sz w:val="36"/>
          <w:szCs w:val="36"/>
          <w:highlight w:val="none"/>
        </w:rPr>
      </w:pPr>
      <w:r>
        <w:rPr>
          <w:rFonts w:hint="eastAsia" w:ascii="宋体" w:hAnsi="宋体" w:cs="宋体"/>
          <w:b/>
          <w:bCs/>
          <w:color w:val="auto"/>
          <w:sz w:val="36"/>
          <w:szCs w:val="36"/>
          <w:highlight w:val="none"/>
        </w:rPr>
        <w:t>目录</w:t>
      </w:r>
    </w:p>
    <w:p>
      <w:pPr>
        <w:pStyle w:val="51"/>
        <w:rPr>
          <w:color w:val="auto"/>
          <w:highlight w:val="none"/>
        </w:rPr>
      </w:pPr>
    </w:p>
    <w:p>
      <w:pPr>
        <w:pStyle w:val="23"/>
        <w:tabs>
          <w:tab w:val="right" w:leader="dot" w:pos="8958"/>
        </w:tabs>
        <w:snapToGrid w:val="0"/>
        <w:spacing w:line="480" w:lineRule="auto"/>
        <w:rPr>
          <w:rFonts w:ascii="宋体" w:hAnsi="宋体" w:cs="宋体"/>
          <w:color w:val="auto"/>
          <w:szCs w:val="21"/>
          <w:highlight w:val="none"/>
        </w:rPr>
      </w:pPr>
      <w:r>
        <w:rPr>
          <w:rFonts w:hint="eastAsia" w:ascii="宋体" w:hAnsi="宋体" w:cs="宋体"/>
          <w:b/>
          <w:bCs/>
          <w:color w:val="auto"/>
          <w:sz w:val="32"/>
          <w:szCs w:val="32"/>
          <w:highlight w:val="none"/>
        </w:rPr>
        <w:fldChar w:fldCharType="begin"/>
      </w:r>
      <w:r>
        <w:rPr>
          <w:rFonts w:hint="eastAsia" w:ascii="宋体" w:hAnsi="宋体" w:cs="宋体"/>
          <w:b/>
          <w:bCs/>
          <w:color w:val="auto"/>
          <w:sz w:val="32"/>
          <w:szCs w:val="32"/>
          <w:highlight w:val="none"/>
        </w:rPr>
        <w:instrText xml:space="preserve">TOC \o "1-1" \h \u </w:instrText>
      </w:r>
      <w:r>
        <w:rPr>
          <w:rFonts w:hint="eastAsia" w:ascii="宋体" w:hAnsi="宋体" w:cs="宋体"/>
          <w:b/>
          <w:bCs/>
          <w:color w:val="auto"/>
          <w:sz w:val="32"/>
          <w:szCs w:val="32"/>
          <w:highlight w:val="none"/>
        </w:rPr>
        <w:fldChar w:fldCharType="separate"/>
      </w:r>
      <w:r>
        <w:rPr>
          <w:color w:val="auto"/>
          <w:highlight w:val="none"/>
        </w:rPr>
        <w:fldChar w:fldCharType="begin"/>
      </w:r>
      <w:r>
        <w:rPr>
          <w:color w:val="auto"/>
          <w:highlight w:val="none"/>
        </w:rPr>
        <w:instrText xml:space="preserve"> HYPERLINK \l "_Toc9075" </w:instrText>
      </w:r>
      <w:r>
        <w:rPr>
          <w:color w:val="auto"/>
          <w:highlight w:val="none"/>
        </w:rPr>
        <w:fldChar w:fldCharType="separate"/>
      </w:r>
      <w:r>
        <w:rPr>
          <w:rFonts w:hint="eastAsia" w:ascii="宋体" w:hAnsi="宋体" w:cs="宋体"/>
          <w:color w:val="auto"/>
          <w:szCs w:val="21"/>
          <w:highlight w:val="none"/>
        </w:rPr>
        <w:t>第一章  招 标 公 告</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_Toc9075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2</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3"/>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"_Toc25063" </w:instrText>
      </w:r>
      <w:r>
        <w:rPr>
          <w:color w:val="auto"/>
          <w:highlight w:val="none"/>
        </w:rPr>
        <w:fldChar w:fldCharType="separate"/>
      </w:r>
      <w:r>
        <w:rPr>
          <w:rFonts w:hint="eastAsia" w:ascii="宋体" w:hAnsi="宋体" w:cs="宋体"/>
          <w:color w:val="auto"/>
          <w:szCs w:val="21"/>
          <w:highlight w:val="none"/>
        </w:rPr>
        <w:t xml:space="preserve">第二章  </w:t>
      </w:r>
      <w:r>
        <w:rPr>
          <w:rFonts w:hint="eastAsia" w:ascii="宋体" w:hAnsi="宋体" w:cs="宋体"/>
          <w:color w:val="auto"/>
          <w:szCs w:val="21"/>
          <w:highlight w:val="none"/>
          <w:lang w:eastAsia="zh-CN"/>
        </w:rPr>
        <w:t>采购</w:t>
      </w:r>
      <w:r>
        <w:rPr>
          <w:rFonts w:hint="eastAsia" w:ascii="宋体" w:hAnsi="宋体" w:cs="宋体"/>
          <w:color w:val="auto"/>
          <w:szCs w:val="21"/>
          <w:highlight w:val="none"/>
        </w:rPr>
        <w:t>需求</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_Toc25063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4</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3"/>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"_Toc14504" </w:instrText>
      </w:r>
      <w:r>
        <w:rPr>
          <w:color w:val="auto"/>
          <w:highlight w:val="none"/>
        </w:rPr>
        <w:fldChar w:fldCharType="separate"/>
      </w:r>
      <w:r>
        <w:rPr>
          <w:rFonts w:hint="eastAsia" w:ascii="宋体" w:hAnsi="宋体" w:cs="宋体"/>
          <w:color w:val="auto"/>
          <w:szCs w:val="21"/>
          <w:highlight w:val="none"/>
        </w:rPr>
        <w:t>第三章  投标人须知</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_Toc14504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7</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3"/>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"_Toc9022" </w:instrText>
      </w:r>
      <w:r>
        <w:rPr>
          <w:color w:val="auto"/>
          <w:highlight w:val="none"/>
        </w:rPr>
        <w:fldChar w:fldCharType="separate"/>
      </w:r>
      <w:r>
        <w:rPr>
          <w:rFonts w:hint="eastAsia" w:ascii="宋体" w:hAnsi="宋体" w:cs="宋体"/>
          <w:color w:val="auto"/>
          <w:kern w:val="0"/>
          <w:szCs w:val="21"/>
          <w:highlight w:val="none"/>
        </w:rPr>
        <w:t>第四章  评标办法及评分标准</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_Toc9022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17</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3"/>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"_Toc28988" </w:instrText>
      </w:r>
      <w:r>
        <w:rPr>
          <w:color w:val="auto"/>
          <w:highlight w:val="none"/>
        </w:rPr>
        <w:fldChar w:fldCharType="separate"/>
      </w:r>
      <w:r>
        <w:rPr>
          <w:rFonts w:hint="eastAsia" w:ascii="宋体" w:hAnsi="宋体" w:cs="宋体"/>
          <w:color w:val="auto"/>
          <w:szCs w:val="21"/>
          <w:highlight w:val="none"/>
        </w:rPr>
        <w:t>第五章  采购合同（主要条款）</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_Toc28988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18</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3"/>
        <w:tabs>
          <w:tab w:val="right" w:leader="dot" w:pos="8958"/>
        </w:tabs>
        <w:snapToGrid w:val="0"/>
        <w:spacing w:line="480" w:lineRule="auto"/>
        <w:rPr>
          <w:rFonts w:ascii="宋体" w:hAnsi="宋体" w:cs="宋体"/>
          <w:b/>
          <w:bCs/>
          <w:color w:val="auto"/>
          <w:sz w:val="32"/>
          <w:szCs w:val="32"/>
          <w:highlight w:val="none"/>
        </w:rPr>
      </w:pPr>
      <w:r>
        <w:rPr>
          <w:color w:val="auto"/>
          <w:highlight w:val="none"/>
        </w:rPr>
        <w:fldChar w:fldCharType="begin"/>
      </w:r>
      <w:r>
        <w:rPr>
          <w:color w:val="auto"/>
          <w:highlight w:val="none"/>
        </w:rPr>
        <w:instrText xml:space="preserve"> HYPERLINK \l "_Toc2638" </w:instrText>
      </w:r>
      <w:r>
        <w:rPr>
          <w:color w:val="auto"/>
          <w:highlight w:val="none"/>
        </w:rPr>
        <w:fldChar w:fldCharType="separate"/>
      </w:r>
      <w:r>
        <w:rPr>
          <w:rFonts w:hint="eastAsia" w:ascii="宋体" w:hAnsi="宋体" w:cs="宋体"/>
          <w:color w:val="auto"/>
          <w:szCs w:val="21"/>
          <w:highlight w:val="none"/>
        </w:rPr>
        <w:t>第六章  投标文件格式</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_Toc2638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19</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81"/>
        <w:tabs>
          <w:tab w:val="right" w:leader="dot" w:pos="8300"/>
        </w:tabs>
        <w:snapToGrid w:val="0"/>
        <w:spacing w:line="480" w:lineRule="auto"/>
        <w:rPr>
          <w:rFonts w:ascii="宋体" w:hAnsi="宋体" w:cs="宋体"/>
          <w:color w:val="auto"/>
          <w:sz w:val="32"/>
          <w:szCs w:val="32"/>
          <w:highlight w:val="none"/>
        </w:rPr>
      </w:pPr>
      <w:r>
        <w:rPr>
          <w:rFonts w:hint="eastAsia" w:ascii="宋体" w:hAnsi="宋体" w:cs="宋体"/>
          <w:b/>
          <w:bCs/>
          <w:color w:val="auto"/>
          <w:sz w:val="32"/>
          <w:szCs w:val="32"/>
          <w:highlight w:val="none"/>
        </w:rPr>
        <w:fldChar w:fldCharType="end"/>
      </w:r>
    </w:p>
    <w:p>
      <w:pPr>
        <w:spacing w:line="440" w:lineRule="exact"/>
        <w:rPr>
          <w:rFonts w:ascii="宋体" w:hAnsi="宋体"/>
          <w:b/>
          <w:color w:val="auto"/>
          <w:sz w:val="32"/>
          <w:szCs w:val="32"/>
          <w:highlight w:val="none"/>
        </w:rPr>
      </w:pPr>
    </w:p>
    <w:p>
      <w:pPr>
        <w:spacing w:line="360" w:lineRule="auto"/>
        <w:ind w:firstLine="2409" w:firstLineChars="600"/>
        <w:rPr>
          <w:rFonts w:ascii="宋体" w:hAnsi="宋体"/>
          <w:b/>
          <w:color w:val="auto"/>
          <w:sz w:val="40"/>
          <w:szCs w:val="40"/>
          <w:highlight w:val="none"/>
        </w:rPr>
        <w:sectPr>
          <w:headerReference r:id="rId3" w:type="default"/>
          <w:footerReference r:id="rId4" w:type="default"/>
          <w:pgSz w:w="11906" w:h="16838"/>
          <w:pgMar w:top="1417" w:right="1474" w:bottom="1417" w:left="1474" w:header="851" w:footer="624" w:gutter="0"/>
          <w:pgNumType w:fmt="decimal" w:start="1"/>
          <w:cols w:space="720" w:num="1"/>
          <w:docGrid w:type="lines" w:linePitch="319" w:charSpace="0"/>
        </w:sectPr>
      </w:pPr>
    </w:p>
    <w:p>
      <w:pPr>
        <w:spacing w:line="360" w:lineRule="auto"/>
        <w:jc w:val="center"/>
        <w:outlineLvl w:val="0"/>
        <w:rPr>
          <w:rFonts w:ascii="宋体" w:hAnsi="宋体"/>
          <w:b/>
          <w:color w:val="auto"/>
          <w:sz w:val="32"/>
          <w:szCs w:val="32"/>
          <w:highlight w:val="none"/>
        </w:rPr>
      </w:pPr>
      <w:bookmarkStart w:id="2" w:name="_Toc9075"/>
      <w:r>
        <w:rPr>
          <w:rFonts w:hint="eastAsia" w:ascii="宋体" w:hAnsi="宋体"/>
          <w:b/>
          <w:color w:val="auto"/>
          <w:sz w:val="32"/>
          <w:szCs w:val="32"/>
          <w:highlight w:val="none"/>
        </w:rPr>
        <w:t xml:space="preserve">第一章  </w:t>
      </w:r>
      <w:r>
        <w:rPr>
          <w:rFonts w:hint="eastAsia" w:ascii="宋体" w:hAnsi="宋体"/>
          <w:b/>
          <w:color w:val="auto"/>
          <w:sz w:val="32"/>
          <w:szCs w:val="32"/>
          <w:highlight w:val="none"/>
          <w:lang w:val="en-US" w:eastAsia="zh-CN"/>
        </w:rPr>
        <w:t>竞争性磋商采购</w:t>
      </w:r>
      <w:r>
        <w:rPr>
          <w:rFonts w:hint="eastAsia" w:ascii="宋体" w:hAnsi="宋体"/>
          <w:b/>
          <w:color w:val="auto"/>
          <w:sz w:val="32"/>
          <w:szCs w:val="32"/>
          <w:highlight w:val="none"/>
        </w:rPr>
        <w:t>公告</w:t>
      </w:r>
      <w:bookmarkEnd w:id="2"/>
    </w:p>
    <w:p>
      <w:pPr>
        <w:keepNext w:val="0"/>
        <w:keepLines w:val="0"/>
        <w:pageBreakBefore w:val="0"/>
        <w:widowControl/>
        <w:kinsoku/>
        <w:wordWrap/>
        <w:overflowPunct/>
        <w:topLinePunct w:val="0"/>
        <w:autoSpaceDE/>
        <w:autoSpaceDN/>
        <w:bidi w:val="0"/>
        <w:adjustRightInd w:val="0"/>
        <w:snapToGrid w:val="0"/>
        <w:spacing w:beforeAutospacing="0" w:after="157" w:afterLines="50" w:line="360" w:lineRule="auto"/>
        <w:jc w:val="center"/>
        <w:textAlignment w:val="auto"/>
        <w:rPr>
          <w:rFonts w:hint="eastAsia" w:ascii="黑体" w:hAnsi="黑体" w:eastAsia="黑体" w:cs="宋体"/>
          <w:bCs/>
          <w:color w:val="auto"/>
          <w:kern w:val="0"/>
          <w:sz w:val="28"/>
          <w:szCs w:val="28"/>
          <w:u w:val="none"/>
          <w:lang w:val="en-US" w:eastAsia="zh-CN"/>
        </w:rPr>
      </w:pPr>
      <w:r>
        <w:rPr>
          <w:rFonts w:hint="eastAsia" w:ascii="黑体" w:hAnsi="黑体" w:eastAsia="黑体" w:cs="宋体"/>
          <w:bCs/>
          <w:color w:val="auto"/>
          <w:kern w:val="0"/>
          <w:sz w:val="28"/>
          <w:szCs w:val="28"/>
          <w:u w:val="none"/>
          <w:lang w:val="en-US" w:eastAsia="zh-CN"/>
        </w:rPr>
        <w:t>驻马店市中心医院视听觉注意力持续操作测验、训练系统采购项目</w:t>
      </w:r>
    </w:p>
    <w:p>
      <w:pPr>
        <w:keepNext w:val="0"/>
        <w:keepLines w:val="0"/>
        <w:pageBreakBefore w:val="0"/>
        <w:widowControl/>
        <w:kinsoku/>
        <w:wordWrap/>
        <w:overflowPunct/>
        <w:topLinePunct w:val="0"/>
        <w:autoSpaceDE/>
        <w:autoSpaceDN/>
        <w:bidi w:val="0"/>
        <w:adjustRightInd w:val="0"/>
        <w:snapToGrid w:val="0"/>
        <w:spacing w:beforeAutospacing="0" w:after="157" w:afterLines="50" w:line="360" w:lineRule="auto"/>
        <w:jc w:val="center"/>
        <w:textAlignment w:val="auto"/>
        <w:rPr>
          <w:rFonts w:hint="eastAsia" w:ascii="黑体" w:hAnsi="黑体" w:eastAsia="黑体" w:cs="宋体"/>
          <w:bCs/>
          <w:color w:val="auto"/>
          <w:kern w:val="0"/>
          <w:sz w:val="28"/>
          <w:szCs w:val="28"/>
        </w:rPr>
      </w:pPr>
      <w:r>
        <w:rPr>
          <w:rFonts w:hint="eastAsia" w:ascii="黑体" w:hAnsi="黑体" w:eastAsia="黑体" w:cs="宋体"/>
          <w:bCs/>
          <w:color w:val="auto"/>
          <w:kern w:val="0"/>
          <w:sz w:val="28"/>
          <w:szCs w:val="28"/>
          <w:u w:val="none"/>
          <w:lang w:val="en-US" w:eastAsia="zh-CN"/>
        </w:rPr>
        <w:t>竞争性磋商</w:t>
      </w:r>
      <w:r>
        <w:rPr>
          <w:rFonts w:hint="eastAsia" w:ascii="黑体" w:hAnsi="黑体" w:eastAsia="黑体" w:cs="宋体"/>
          <w:bCs/>
          <w:color w:val="auto"/>
          <w:kern w:val="0"/>
          <w:sz w:val="28"/>
          <w:szCs w:val="28"/>
        </w:rPr>
        <w:t>公告</w:t>
      </w:r>
    </w:p>
    <w:p>
      <w:pPr>
        <w:keepNext w:val="0"/>
        <w:keepLines w:val="0"/>
        <w:pageBreakBefore w:val="0"/>
        <w:kinsoku/>
        <w:overflowPunct/>
        <w:topLinePunct w:val="0"/>
        <w:bidi w:val="0"/>
        <w:snapToGrid w:val="0"/>
        <w:spacing w:line="440" w:lineRule="exact"/>
        <w:ind w:firstLine="420" w:firstLineChars="200"/>
        <w:textAlignment w:val="auto"/>
        <w:rPr>
          <w:rFonts w:ascii="宋体" w:hAnsi="宋体" w:eastAsia="宋体" w:cs="宋体"/>
          <w:color w:val="auto"/>
          <w:szCs w:val="21"/>
        </w:rPr>
      </w:pPr>
      <w:r>
        <w:rPr>
          <w:rFonts w:hint="eastAsia" w:ascii="宋体" w:hAnsi="宋体" w:eastAsia="宋体" w:cs="宋体"/>
          <w:color w:val="auto"/>
        </w:rPr>
        <w:t>驻马店市中心医院现对</w:t>
      </w:r>
      <w:r>
        <w:rPr>
          <w:rFonts w:hint="eastAsia" w:ascii="宋体" w:hAnsi="宋体" w:cs="宋体"/>
          <w:color w:val="auto"/>
          <w:u w:val="single"/>
          <w:lang w:val="en-US" w:eastAsia="zh-CN"/>
        </w:rPr>
        <w:t xml:space="preserve"> 视听觉注意力持续操作测验、训练系统采购 </w:t>
      </w:r>
      <w:r>
        <w:rPr>
          <w:rFonts w:hint="eastAsia" w:ascii="宋体" w:hAnsi="宋体" w:eastAsia="宋体" w:cs="宋体"/>
          <w:color w:val="auto"/>
          <w:lang w:val="en-US" w:eastAsia="zh-CN"/>
        </w:rPr>
        <w:t>项目</w:t>
      </w:r>
      <w:r>
        <w:rPr>
          <w:rFonts w:hint="eastAsia" w:ascii="宋体" w:hAnsi="宋体" w:eastAsia="宋体" w:cs="宋体"/>
          <w:color w:val="auto"/>
        </w:rPr>
        <w:t>进行院内</w:t>
      </w:r>
      <w:r>
        <w:rPr>
          <w:rFonts w:hint="eastAsia" w:ascii="宋体" w:hAnsi="宋体" w:eastAsia="宋体" w:cs="宋体"/>
          <w:color w:val="auto"/>
          <w:lang w:val="en-US" w:eastAsia="zh-CN"/>
        </w:rPr>
        <w:t>竞争性磋商</w:t>
      </w:r>
      <w:r>
        <w:rPr>
          <w:rFonts w:hint="eastAsia" w:ascii="宋体" w:hAnsi="宋体" w:eastAsia="宋体" w:cs="宋体"/>
          <w:color w:val="auto"/>
        </w:rPr>
        <w:t>采购，欢迎符合资格条件的供应商前来</w:t>
      </w:r>
      <w:r>
        <w:rPr>
          <w:rFonts w:hint="eastAsia" w:ascii="宋体" w:hAnsi="宋体" w:eastAsia="宋体" w:cs="宋体"/>
          <w:color w:val="auto"/>
          <w:lang w:val="en-US" w:eastAsia="zh-CN"/>
        </w:rPr>
        <w:t>报名并</w:t>
      </w:r>
      <w:r>
        <w:rPr>
          <w:rFonts w:hint="eastAsia" w:ascii="宋体" w:hAnsi="宋体" w:eastAsia="宋体" w:cs="宋体"/>
          <w:color w:val="auto"/>
          <w:szCs w:val="21"/>
        </w:rPr>
        <w:t>获取</w:t>
      </w:r>
      <w:r>
        <w:rPr>
          <w:rFonts w:hint="eastAsia" w:ascii="宋体" w:hAnsi="宋体" w:eastAsia="宋体" w:cs="宋体"/>
          <w:color w:val="auto"/>
          <w:szCs w:val="21"/>
          <w:lang w:val="en-US" w:eastAsia="zh-CN"/>
        </w:rPr>
        <w:t>采购</w:t>
      </w:r>
      <w:r>
        <w:rPr>
          <w:rFonts w:hint="eastAsia" w:ascii="宋体" w:hAnsi="宋体" w:eastAsia="宋体" w:cs="宋体"/>
          <w:color w:val="auto"/>
          <w:szCs w:val="21"/>
        </w:rPr>
        <w:t>文件。</w:t>
      </w:r>
    </w:p>
    <w:p>
      <w:pPr>
        <w:keepNext w:val="0"/>
        <w:keepLines w:val="0"/>
        <w:pageBreakBefore w:val="0"/>
        <w:widowControl/>
        <w:kinsoku/>
        <w:overflowPunct/>
        <w:topLinePunct w:val="0"/>
        <w:bidi w:val="0"/>
        <w:snapToGrid w:val="0"/>
        <w:spacing w:before="0" w:after="0" w:line="440" w:lineRule="exact"/>
        <w:jc w:val="left"/>
        <w:textAlignment w:val="auto"/>
        <w:outlineLvl w:val="1"/>
        <w:rPr>
          <w:rFonts w:ascii="宋体" w:hAnsi="宋体" w:eastAsia="宋体" w:cs="宋体"/>
          <w:b/>
          <w:bCs/>
          <w:color w:val="auto"/>
          <w:kern w:val="2"/>
          <w:sz w:val="21"/>
          <w:szCs w:val="21"/>
          <w:shd w:val="clear" w:color="auto" w:fill="FFFFFF"/>
          <w:lang w:val="en-US" w:eastAsia="zh-CN" w:bidi="ar-SA"/>
        </w:rPr>
      </w:pPr>
      <w:r>
        <w:rPr>
          <w:rFonts w:hint="eastAsia" w:ascii="宋体" w:hAnsi="宋体" w:eastAsia="宋体" w:cs="宋体"/>
          <w:b/>
          <w:bCs/>
          <w:color w:val="auto"/>
          <w:kern w:val="2"/>
          <w:sz w:val="21"/>
          <w:szCs w:val="21"/>
          <w:shd w:val="clear" w:color="auto" w:fill="FFFFFF"/>
          <w:lang w:val="en-US" w:eastAsia="zh-CN" w:bidi="ar-SA"/>
        </w:rPr>
        <w:t>一、项目基本情况</w:t>
      </w:r>
    </w:p>
    <w:p>
      <w:pPr>
        <w:keepNext w:val="0"/>
        <w:keepLines w:val="0"/>
        <w:pageBreakBefore w:val="0"/>
        <w:widowControl/>
        <w:tabs>
          <w:tab w:val="left" w:pos="840"/>
        </w:tabs>
        <w:kinsoku/>
        <w:overflowPunct/>
        <w:topLinePunct w:val="0"/>
        <w:bidi w:val="0"/>
        <w:snapToGrid w:val="0"/>
        <w:spacing w:line="440" w:lineRule="exact"/>
        <w:ind w:firstLine="420" w:firstLineChars="200"/>
        <w:jc w:val="left"/>
        <w:textAlignment w:val="auto"/>
        <w:rPr>
          <w:rFonts w:hint="eastAsia" w:ascii="宋体" w:hAnsi="宋体" w:eastAsia="宋体" w:cs="宋体"/>
          <w:color w:val="auto"/>
          <w:szCs w:val="21"/>
          <w:highlight w:val="yellow"/>
          <w:shd w:val="clear" w:color="auto" w:fill="FFFFFF"/>
          <w:lang w:eastAsia="zh-CN"/>
        </w:rPr>
      </w:pPr>
      <w:r>
        <w:rPr>
          <w:rFonts w:hint="eastAsia" w:ascii="宋体" w:hAnsi="宋体" w:eastAsia="宋体" w:cs="宋体"/>
          <w:color w:val="auto"/>
          <w:szCs w:val="21"/>
          <w:highlight w:val="none"/>
          <w:shd w:val="clear" w:color="auto" w:fill="FFFFFF"/>
        </w:rPr>
        <w:t>1、</w:t>
      </w:r>
      <w:r>
        <w:rPr>
          <w:rFonts w:hint="eastAsia" w:ascii="宋体" w:hAnsi="宋体" w:eastAsia="宋体" w:cs="宋体"/>
          <w:color w:val="auto"/>
          <w:szCs w:val="21"/>
          <w:highlight w:val="none"/>
          <w:shd w:val="clear" w:color="auto" w:fill="FFFFFF"/>
          <w:lang w:val="en-US" w:eastAsia="zh-CN"/>
        </w:rPr>
        <w:t>采购</w:t>
      </w:r>
      <w:r>
        <w:rPr>
          <w:rFonts w:hint="eastAsia" w:ascii="宋体" w:hAnsi="宋体" w:eastAsia="宋体" w:cs="宋体"/>
          <w:color w:val="auto"/>
          <w:szCs w:val="21"/>
          <w:highlight w:val="none"/>
          <w:shd w:val="clear" w:color="auto" w:fill="FFFFFF"/>
        </w:rPr>
        <w:t>项目名称：</w:t>
      </w:r>
      <w:r>
        <w:rPr>
          <w:rFonts w:hint="eastAsia" w:ascii="宋体" w:hAnsi="宋体" w:eastAsia="宋体" w:cs="宋体"/>
          <w:color w:val="auto"/>
          <w:szCs w:val="21"/>
          <w:highlight w:val="none"/>
          <w:shd w:val="clear" w:color="auto" w:fill="FFFFFF"/>
          <w:lang w:val="en-US" w:eastAsia="zh-CN"/>
        </w:rPr>
        <w:t>驻马店市中心医院视听觉注意力持续操作测验、训练系统采购项目</w:t>
      </w:r>
      <w:r>
        <w:rPr>
          <w:rFonts w:hint="eastAsia" w:ascii="宋体" w:hAnsi="宋体" w:eastAsia="宋体" w:cs="宋体"/>
          <w:color w:val="auto"/>
          <w:szCs w:val="21"/>
          <w:highlight w:val="none"/>
          <w:shd w:val="clear" w:color="auto" w:fill="FFFFFF"/>
          <w:lang w:eastAsia="zh-CN"/>
        </w:rPr>
        <w:t>；</w:t>
      </w:r>
    </w:p>
    <w:p>
      <w:pPr>
        <w:keepNext w:val="0"/>
        <w:keepLines w:val="0"/>
        <w:pageBreakBefore w:val="0"/>
        <w:widowControl/>
        <w:tabs>
          <w:tab w:val="left" w:pos="840"/>
        </w:tabs>
        <w:kinsoku/>
        <w:overflowPunct/>
        <w:topLinePunct w:val="0"/>
        <w:bidi w:val="0"/>
        <w:snapToGrid w:val="0"/>
        <w:spacing w:line="440" w:lineRule="exact"/>
        <w:ind w:firstLine="420" w:firstLineChars="200"/>
        <w:jc w:val="left"/>
        <w:textAlignment w:val="auto"/>
        <w:rPr>
          <w:rFonts w:hint="eastAsia" w:ascii="宋体" w:hAnsi="宋体" w:eastAsia="宋体" w:cs="宋体"/>
          <w:color w:val="auto"/>
          <w:szCs w:val="21"/>
          <w:highlight w:val="none"/>
          <w:shd w:val="clear" w:color="auto" w:fill="FFFFFF"/>
          <w:lang w:eastAsia="zh-CN"/>
        </w:rPr>
      </w:pPr>
      <w:r>
        <w:rPr>
          <w:rFonts w:hint="eastAsia" w:ascii="宋体" w:hAnsi="宋体" w:eastAsia="宋体" w:cs="宋体"/>
          <w:color w:val="auto"/>
          <w:szCs w:val="21"/>
          <w:highlight w:val="none"/>
          <w:shd w:val="clear" w:color="auto" w:fill="FFFFFF"/>
        </w:rPr>
        <w:t>2、采购需求</w:t>
      </w:r>
      <w:r>
        <w:rPr>
          <w:rFonts w:hint="eastAsia" w:ascii="宋体" w:hAnsi="宋体" w:cs="宋体"/>
          <w:i w:val="0"/>
          <w:caps w:val="0"/>
          <w:color w:val="auto"/>
          <w:spacing w:val="0"/>
          <w:sz w:val="21"/>
          <w:szCs w:val="21"/>
          <w:shd w:val="clear" w:color="auto" w:fill="FFFFFF"/>
          <w:lang w:eastAsia="zh-CN"/>
        </w:rPr>
        <w:t>：</w:t>
      </w:r>
      <w:r>
        <w:rPr>
          <w:rFonts w:hint="eastAsia" w:ascii="宋体" w:hAnsi="宋体" w:eastAsia="宋体" w:cs="宋体"/>
          <w:color w:val="auto"/>
          <w:szCs w:val="21"/>
          <w:highlight w:val="none"/>
          <w:shd w:val="clear" w:color="auto" w:fill="FFFFFF"/>
        </w:rPr>
        <w:t>具体要求详见附件</w:t>
      </w:r>
      <w:r>
        <w:rPr>
          <w:rFonts w:hint="eastAsia" w:ascii="宋体" w:hAnsi="宋体" w:eastAsia="宋体" w:cs="宋体"/>
          <w:color w:val="auto"/>
          <w:szCs w:val="21"/>
          <w:highlight w:val="none"/>
          <w:shd w:val="clear" w:color="auto" w:fill="FFFFFF"/>
          <w:lang w:eastAsia="zh-CN"/>
        </w:rPr>
        <w:t>；</w:t>
      </w:r>
    </w:p>
    <w:p>
      <w:pPr>
        <w:keepNext w:val="0"/>
        <w:keepLines w:val="0"/>
        <w:pageBreakBefore w:val="0"/>
        <w:widowControl/>
        <w:tabs>
          <w:tab w:val="left" w:pos="840"/>
        </w:tabs>
        <w:kinsoku/>
        <w:overflowPunct/>
        <w:topLinePunct w:val="0"/>
        <w:bidi w:val="0"/>
        <w:snapToGrid w:val="0"/>
        <w:spacing w:line="440" w:lineRule="exact"/>
        <w:ind w:firstLine="420" w:firstLineChars="200"/>
        <w:jc w:val="left"/>
        <w:textAlignment w:val="auto"/>
        <w:rPr>
          <w:rFonts w:hint="eastAsia" w:ascii="宋体" w:hAnsi="宋体" w:eastAsia="宋体" w:cs="宋体"/>
          <w:color w:val="auto"/>
          <w:szCs w:val="21"/>
          <w:highlight w:val="none"/>
          <w:shd w:val="clear" w:color="auto" w:fill="FFFFFF"/>
        </w:rPr>
      </w:pPr>
      <w:r>
        <w:rPr>
          <w:rFonts w:hint="eastAsia" w:ascii="宋体" w:hAnsi="宋体" w:eastAsia="宋体" w:cs="宋体"/>
          <w:color w:val="auto"/>
          <w:szCs w:val="21"/>
          <w:highlight w:val="none"/>
          <w:shd w:val="clear" w:color="auto" w:fill="FFFFFF"/>
        </w:rPr>
        <w:t>3</w:t>
      </w:r>
      <w:bookmarkStart w:id="3" w:name="_Toc26725"/>
      <w:r>
        <w:rPr>
          <w:rFonts w:hint="eastAsia" w:ascii="宋体" w:hAnsi="宋体" w:eastAsia="宋体" w:cs="宋体"/>
          <w:color w:val="auto"/>
          <w:szCs w:val="21"/>
          <w:highlight w:val="none"/>
          <w:shd w:val="clear" w:color="auto" w:fill="FFFFFF"/>
        </w:rPr>
        <w:t>、预算金额：</w:t>
      </w:r>
      <w:r>
        <w:rPr>
          <w:rFonts w:hint="eastAsia" w:ascii="宋体" w:hAnsi="宋体" w:cs="宋体"/>
          <w:color w:val="auto"/>
          <w:szCs w:val="21"/>
          <w:highlight w:val="none"/>
          <w:shd w:val="clear" w:color="auto" w:fill="FFFFFF"/>
          <w:lang w:val="en-US" w:eastAsia="zh-CN"/>
        </w:rPr>
        <w:t>80000.00</w:t>
      </w:r>
      <w:r>
        <w:rPr>
          <w:rFonts w:hint="eastAsia" w:ascii="宋体" w:hAnsi="宋体" w:eastAsia="宋体" w:cs="宋体"/>
          <w:color w:val="auto"/>
          <w:szCs w:val="21"/>
          <w:highlight w:val="none"/>
          <w:shd w:val="clear" w:color="auto" w:fill="FFFFFF"/>
        </w:rPr>
        <w:t>元</w:t>
      </w:r>
      <w:r>
        <w:rPr>
          <w:rFonts w:hint="eastAsia" w:ascii="宋体" w:hAnsi="宋体" w:eastAsia="宋体" w:cs="宋体"/>
          <w:color w:val="auto"/>
          <w:szCs w:val="21"/>
          <w:highlight w:val="none"/>
          <w:shd w:val="clear" w:color="auto" w:fill="FFFFFF"/>
          <w:lang w:eastAsia="zh-CN"/>
        </w:rPr>
        <w:t>，</w:t>
      </w:r>
      <w:r>
        <w:rPr>
          <w:rFonts w:hint="eastAsia" w:ascii="宋体" w:hAnsi="宋体" w:eastAsia="宋体" w:cs="宋体"/>
          <w:color w:val="auto"/>
          <w:szCs w:val="21"/>
          <w:highlight w:val="none"/>
          <w:shd w:val="clear" w:color="auto" w:fill="FFFFFF"/>
          <w:lang w:val="en-US" w:eastAsia="zh-CN"/>
        </w:rPr>
        <w:t>自筹资金；</w:t>
      </w:r>
    </w:p>
    <w:p>
      <w:pPr>
        <w:keepNext w:val="0"/>
        <w:keepLines w:val="0"/>
        <w:pageBreakBefore w:val="0"/>
        <w:kinsoku/>
        <w:overflowPunct/>
        <w:topLinePunct w:val="0"/>
        <w:bidi w:val="0"/>
        <w:snapToGrid w:val="0"/>
        <w:spacing w:line="440" w:lineRule="exact"/>
        <w:ind w:firstLine="420" w:firstLineChars="200"/>
        <w:textAlignment w:val="auto"/>
        <w:rPr>
          <w:rFonts w:hint="default" w:ascii="宋体" w:hAnsi="宋体" w:eastAsia="宋体" w:cs="宋体"/>
          <w:color w:val="auto"/>
          <w:szCs w:val="21"/>
          <w:highlight w:val="none"/>
          <w:shd w:val="clear" w:color="auto" w:fill="FFFFFF"/>
          <w:lang w:val="en-US" w:eastAsia="zh-CN"/>
        </w:rPr>
      </w:pPr>
      <w:r>
        <w:rPr>
          <w:rFonts w:hint="eastAsia" w:ascii="宋体" w:hAnsi="宋体" w:eastAsia="宋体" w:cs="宋体"/>
          <w:color w:val="auto"/>
          <w:szCs w:val="21"/>
          <w:highlight w:val="none"/>
          <w:shd w:val="clear" w:color="auto" w:fill="FFFFFF"/>
        </w:rPr>
        <w:t>4、</w:t>
      </w:r>
      <w:r>
        <w:rPr>
          <w:rFonts w:hint="eastAsia" w:ascii="宋体" w:hAnsi="宋体" w:eastAsia="宋体" w:cs="宋体"/>
          <w:color w:val="auto"/>
          <w:szCs w:val="21"/>
          <w:highlight w:val="none"/>
          <w:shd w:val="clear" w:color="auto" w:fill="FFFFFF"/>
          <w:lang w:val="en-US" w:eastAsia="zh-CN"/>
        </w:rPr>
        <w:t>交货地点：采购人指定地点；</w:t>
      </w:r>
    </w:p>
    <w:p>
      <w:pPr>
        <w:keepNext w:val="0"/>
        <w:keepLines w:val="0"/>
        <w:pageBreakBefore w:val="0"/>
        <w:widowControl/>
        <w:tabs>
          <w:tab w:val="left" w:pos="840"/>
        </w:tabs>
        <w:kinsoku/>
        <w:overflowPunct/>
        <w:topLinePunct w:val="0"/>
        <w:bidi w:val="0"/>
        <w:snapToGrid w:val="0"/>
        <w:spacing w:line="440" w:lineRule="exact"/>
        <w:ind w:firstLine="420" w:firstLineChars="200"/>
        <w:jc w:val="left"/>
        <w:textAlignment w:val="auto"/>
        <w:rPr>
          <w:rFonts w:eastAsia="宋体"/>
          <w:color w:val="auto"/>
          <w:highlight w:val="none"/>
        </w:rPr>
      </w:pPr>
      <w:bookmarkStart w:id="4" w:name="_Toc27913"/>
      <w:bookmarkStart w:id="5" w:name="_Toc24040"/>
      <w:bookmarkStart w:id="6" w:name="_Toc26079"/>
      <w:bookmarkStart w:id="7" w:name="_Toc19521"/>
      <w:bookmarkStart w:id="8" w:name="_Toc21071"/>
      <w:r>
        <w:rPr>
          <w:rFonts w:hint="eastAsia" w:ascii="宋体" w:hAnsi="宋体" w:eastAsia="宋体" w:cs="宋体"/>
          <w:color w:val="auto"/>
          <w:szCs w:val="21"/>
          <w:highlight w:val="none"/>
          <w:shd w:val="clear" w:color="auto" w:fill="FFFFFF"/>
        </w:rPr>
        <w:t>5、</w:t>
      </w:r>
      <w:bookmarkEnd w:id="4"/>
      <w:bookmarkEnd w:id="5"/>
      <w:bookmarkEnd w:id="6"/>
      <w:bookmarkEnd w:id="7"/>
      <w:bookmarkEnd w:id="8"/>
      <w:r>
        <w:rPr>
          <w:rFonts w:hint="eastAsia" w:ascii="宋体" w:hAnsi="宋体" w:eastAsia="宋体" w:cs="宋体"/>
          <w:bCs/>
          <w:color w:val="auto"/>
          <w:szCs w:val="21"/>
          <w:highlight w:val="none"/>
          <w:shd w:val="clear" w:color="auto" w:fill="FFFFFF"/>
        </w:rPr>
        <w:t>合同履行期限：</w:t>
      </w:r>
      <w:r>
        <w:rPr>
          <w:rFonts w:hint="eastAsia" w:ascii="宋体" w:hAnsi="宋体" w:eastAsia="宋体" w:cs="宋体"/>
          <w:bCs/>
          <w:color w:val="auto"/>
          <w:szCs w:val="21"/>
          <w:highlight w:val="none"/>
          <w:shd w:val="clear" w:color="auto" w:fill="FFFFFF"/>
          <w:lang w:eastAsia="zh-CN"/>
        </w:rPr>
        <w:t>以采购人要求为准</w:t>
      </w:r>
      <w:r>
        <w:rPr>
          <w:rFonts w:hint="eastAsia" w:ascii="宋体" w:hAnsi="宋体" w:eastAsia="宋体" w:cs="宋体"/>
          <w:color w:val="auto"/>
          <w:szCs w:val="21"/>
          <w:highlight w:val="none"/>
          <w:shd w:val="clear" w:color="auto" w:fill="FFFFFF"/>
          <w:lang w:val="en-US" w:eastAsia="zh-CN"/>
        </w:rPr>
        <w:t>；</w:t>
      </w:r>
    </w:p>
    <w:p>
      <w:pPr>
        <w:keepNext w:val="0"/>
        <w:keepLines w:val="0"/>
        <w:pageBreakBefore w:val="0"/>
        <w:widowControl/>
        <w:tabs>
          <w:tab w:val="left" w:pos="840"/>
        </w:tabs>
        <w:kinsoku/>
        <w:overflowPunct/>
        <w:topLinePunct w:val="0"/>
        <w:bidi w:val="0"/>
        <w:snapToGrid w:val="0"/>
        <w:spacing w:line="440" w:lineRule="exact"/>
        <w:ind w:firstLine="420" w:firstLineChars="200"/>
        <w:jc w:val="left"/>
        <w:textAlignment w:val="auto"/>
        <w:rPr>
          <w:rFonts w:ascii="宋体" w:hAnsi="宋体" w:eastAsia="宋体" w:cs="宋体"/>
          <w:color w:val="auto"/>
          <w:szCs w:val="21"/>
          <w:highlight w:val="none"/>
          <w:shd w:val="clear" w:color="auto" w:fill="FFFFFF"/>
        </w:rPr>
      </w:pPr>
      <w:r>
        <w:rPr>
          <w:rFonts w:hint="eastAsia" w:ascii="宋体" w:hAnsi="宋体" w:eastAsia="宋体" w:cs="宋体"/>
          <w:bCs/>
          <w:color w:val="auto"/>
          <w:szCs w:val="21"/>
          <w:highlight w:val="none"/>
          <w:shd w:val="clear" w:color="auto" w:fill="FFFFFF"/>
        </w:rPr>
        <w:t>6、</w:t>
      </w:r>
      <w:r>
        <w:rPr>
          <w:rFonts w:hint="eastAsia" w:ascii="宋体" w:hAnsi="宋体" w:eastAsia="宋体" w:cs="宋体"/>
          <w:color w:val="auto"/>
          <w:szCs w:val="21"/>
          <w:highlight w:val="none"/>
          <w:shd w:val="clear" w:color="auto" w:fill="FFFFFF"/>
        </w:rPr>
        <w:t>质量要求：</w:t>
      </w:r>
      <w:r>
        <w:rPr>
          <w:rFonts w:hint="eastAsia" w:ascii="宋体" w:hAnsi="宋体" w:eastAsia="宋体" w:cs="宋体"/>
          <w:color w:val="auto"/>
          <w:szCs w:val="21"/>
          <w:highlight w:val="none"/>
          <w:shd w:val="clear" w:color="auto" w:fill="FFFFFF"/>
          <w:lang w:eastAsia="zh-CN"/>
        </w:rPr>
        <w:t>合格。</w:t>
      </w:r>
    </w:p>
    <w:p>
      <w:pPr>
        <w:keepNext w:val="0"/>
        <w:keepLines w:val="0"/>
        <w:pageBreakBefore w:val="0"/>
        <w:widowControl/>
        <w:kinsoku/>
        <w:overflowPunct/>
        <w:topLinePunct w:val="0"/>
        <w:bidi w:val="0"/>
        <w:snapToGrid w:val="0"/>
        <w:spacing w:before="0" w:after="0" w:line="440" w:lineRule="exact"/>
        <w:jc w:val="left"/>
        <w:textAlignment w:val="auto"/>
        <w:outlineLvl w:val="1"/>
        <w:rPr>
          <w:rFonts w:ascii="宋体" w:hAnsi="宋体" w:eastAsia="宋体" w:cs="宋体"/>
          <w:b/>
          <w:bCs/>
          <w:color w:val="auto"/>
          <w:kern w:val="2"/>
          <w:sz w:val="21"/>
          <w:szCs w:val="21"/>
          <w:shd w:val="clear" w:color="auto" w:fill="FFFFFF"/>
          <w:lang w:val="en-US" w:eastAsia="zh-CN" w:bidi="ar-SA"/>
        </w:rPr>
      </w:pPr>
      <w:bookmarkStart w:id="9" w:name="_Toc23626"/>
      <w:bookmarkStart w:id="10" w:name="_Toc16639"/>
      <w:bookmarkStart w:id="11" w:name="_Toc18607"/>
      <w:bookmarkStart w:id="12" w:name="_Toc27704"/>
      <w:r>
        <w:rPr>
          <w:rFonts w:hint="eastAsia" w:ascii="宋体" w:hAnsi="宋体" w:eastAsia="宋体" w:cs="宋体"/>
          <w:b/>
          <w:bCs/>
          <w:color w:val="auto"/>
          <w:kern w:val="2"/>
          <w:sz w:val="21"/>
          <w:szCs w:val="21"/>
          <w:shd w:val="clear" w:color="auto" w:fill="FFFFFF"/>
          <w:lang w:val="en-US" w:eastAsia="zh-CN" w:bidi="ar-SA"/>
        </w:rPr>
        <w:t>二、</w:t>
      </w:r>
      <w:bookmarkEnd w:id="3"/>
      <w:bookmarkEnd w:id="9"/>
      <w:bookmarkEnd w:id="10"/>
      <w:bookmarkEnd w:id="11"/>
      <w:bookmarkEnd w:id="12"/>
      <w:r>
        <w:rPr>
          <w:rFonts w:hint="eastAsia" w:ascii="宋体" w:hAnsi="宋体" w:eastAsia="宋体" w:cs="宋体"/>
          <w:b/>
          <w:bCs/>
          <w:color w:val="auto"/>
          <w:kern w:val="2"/>
          <w:sz w:val="21"/>
          <w:szCs w:val="21"/>
          <w:shd w:val="clear" w:color="auto" w:fill="FFFFFF"/>
          <w:lang w:val="en-US" w:eastAsia="zh-CN" w:bidi="ar-SA"/>
        </w:rPr>
        <w:t>供应商资格要求：</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1、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2、供应商应提供2020年度经审计的财务报告或者其基本开户银行出具的资信证明；采购活动前近三个月内或上个季度的依法缴纳税收的凭据和缴纳社会保险的凭据；依法免税或不需要缴纳社会保障资金的供应商，应提供相应文件证明其依法免税或不需要缴纳社会保障资金。（新成立企业从成立之日起计算）；</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kern w:val="2"/>
          <w:sz w:val="21"/>
          <w:szCs w:val="24"/>
          <w:lang w:val="en-US" w:eastAsia="zh-CN" w:bidi="ar-SA"/>
        </w:rPr>
      </w:pPr>
      <w:r>
        <w:rPr>
          <w:rFonts w:hint="eastAsia" w:ascii="宋体" w:hAnsi="宋体" w:cs="宋体"/>
          <w:color w:val="auto"/>
          <w:kern w:val="2"/>
          <w:sz w:val="21"/>
          <w:szCs w:val="24"/>
          <w:lang w:val="en-US" w:eastAsia="zh-CN" w:bidi="ar-SA"/>
        </w:rPr>
        <w:t>3</w:t>
      </w:r>
      <w:r>
        <w:rPr>
          <w:rFonts w:hint="eastAsia" w:ascii="宋体" w:hAnsi="宋体" w:eastAsia="宋体" w:cs="宋体"/>
          <w:color w:val="auto"/>
          <w:kern w:val="2"/>
          <w:sz w:val="21"/>
          <w:szCs w:val="24"/>
          <w:lang w:val="en-US" w:eastAsia="zh-CN" w:bidi="ar-SA"/>
        </w:rPr>
        <w:t>、具有履行合同所必需的设备和专业技术能力（提供书面声明函）；</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kern w:val="2"/>
          <w:sz w:val="21"/>
          <w:szCs w:val="24"/>
          <w:lang w:val="en-US" w:eastAsia="zh-CN" w:bidi="ar-SA"/>
        </w:rPr>
      </w:pPr>
      <w:r>
        <w:rPr>
          <w:rFonts w:hint="eastAsia" w:ascii="宋体" w:hAnsi="宋体" w:cs="宋体"/>
          <w:color w:val="auto"/>
          <w:kern w:val="2"/>
          <w:sz w:val="21"/>
          <w:szCs w:val="24"/>
          <w:lang w:val="en-US" w:eastAsia="zh-CN" w:bidi="ar-SA"/>
        </w:rPr>
        <w:t>4</w:t>
      </w:r>
      <w:r>
        <w:rPr>
          <w:rFonts w:hint="eastAsia" w:ascii="宋体" w:hAnsi="宋体" w:eastAsia="宋体" w:cs="宋体"/>
          <w:color w:val="auto"/>
          <w:kern w:val="2"/>
          <w:sz w:val="21"/>
          <w:szCs w:val="24"/>
          <w:lang w:val="en-US" w:eastAsia="zh-CN" w:bidi="ar-SA"/>
        </w:rPr>
        <w:t>、参加本采购活动前三年内，在经营活动中没有重大违法记录（提供书面声明函）；</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kern w:val="2"/>
          <w:sz w:val="21"/>
          <w:szCs w:val="24"/>
          <w:lang w:val="en-US" w:eastAsia="zh-CN" w:bidi="ar-SA"/>
        </w:rPr>
      </w:pPr>
      <w:r>
        <w:rPr>
          <w:rFonts w:hint="eastAsia" w:ascii="宋体" w:hAnsi="宋体" w:cs="宋体"/>
          <w:color w:val="auto"/>
          <w:kern w:val="2"/>
          <w:sz w:val="21"/>
          <w:szCs w:val="24"/>
          <w:lang w:val="en-US" w:eastAsia="zh-CN" w:bidi="ar-SA"/>
        </w:rPr>
        <w:t>5</w:t>
      </w:r>
      <w:r>
        <w:rPr>
          <w:rFonts w:hint="eastAsia" w:ascii="宋体" w:hAnsi="宋体" w:eastAsia="宋体" w:cs="宋体"/>
          <w:color w:val="auto"/>
          <w:kern w:val="2"/>
          <w:sz w:val="21"/>
          <w:szCs w:val="24"/>
          <w:lang w:val="en-US" w:eastAsia="zh-CN" w:bidi="ar-SA"/>
        </w:rPr>
        <w:t>、符合法律、行政法规规定的其他条件；</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kern w:val="2"/>
          <w:sz w:val="21"/>
          <w:szCs w:val="24"/>
          <w:lang w:val="en-US" w:eastAsia="zh-CN" w:bidi="ar-SA"/>
        </w:rPr>
      </w:pPr>
      <w:r>
        <w:rPr>
          <w:rFonts w:hint="eastAsia" w:ascii="宋体" w:hAnsi="宋体" w:cs="宋体"/>
          <w:color w:val="auto"/>
          <w:kern w:val="2"/>
          <w:sz w:val="21"/>
          <w:szCs w:val="24"/>
          <w:lang w:val="en-US" w:eastAsia="zh-CN" w:bidi="ar-SA"/>
        </w:rPr>
        <w:t>6</w:t>
      </w:r>
      <w:r>
        <w:rPr>
          <w:rFonts w:hint="eastAsia" w:ascii="宋体" w:hAnsi="宋体" w:eastAsia="宋体" w:cs="宋体"/>
          <w:color w:val="auto"/>
          <w:kern w:val="2"/>
          <w:sz w:val="21"/>
          <w:szCs w:val="24"/>
          <w:lang w:val="en-US" w:eastAsia="zh-CN" w:bidi="ar-SA"/>
        </w:rPr>
        <w:t>、根据《关于在政府采购活动中查询及使用信用记录有关问题的通知》（财库【2016】125号）的规定，对列入失信被执行人、重大税收违法案件当事人名单、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kern w:val="2"/>
          <w:sz w:val="21"/>
          <w:szCs w:val="24"/>
          <w:lang w:val="en-US" w:eastAsia="zh-CN" w:bidi="ar-SA"/>
        </w:rPr>
      </w:pPr>
      <w:r>
        <w:rPr>
          <w:rFonts w:hint="eastAsia" w:ascii="宋体" w:hAnsi="宋体" w:cs="宋体"/>
          <w:color w:val="auto"/>
          <w:kern w:val="2"/>
          <w:sz w:val="21"/>
          <w:szCs w:val="24"/>
          <w:lang w:val="en-US" w:eastAsia="zh-CN" w:bidi="ar-SA"/>
        </w:rPr>
        <w:t>7</w:t>
      </w:r>
      <w:r>
        <w:rPr>
          <w:rFonts w:hint="eastAsia" w:ascii="宋体" w:hAnsi="宋体" w:eastAsia="宋体" w:cs="宋体"/>
          <w:color w:val="auto"/>
          <w:kern w:val="2"/>
          <w:sz w:val="21"/>
          <w:szCs w:val="24"/>
          <w:lang w:val="en-US" w:eastAsia="zh-CN" w:bidi="ar-SA"/>
        </w:rPr>
        <w:t>、不接受联合体投标。</w:t>
      </w:r>
    </w:p>
    <w:p>
      <w:pPr>
        <w:keepNext w:val="0"/>
        <w:keepLines w:val="0"/>
        <w:pageBreakBefore w:val="0"/>
        <w:widowControl/>
        <w:kinsoku/>
        <w:overflowPunct/>
        <w:topLinePunct w:val="0"/>
        <w:bidi w:val="0"/>
        <w:snapToGrid w:val="0"/>
        <w:spacing w:before="0" w:after="0" w:line="440" w:lineRule="exact"/>
        <w:jc w:val="left"/>
        <w:textAlignment w:val="auto"/>
        <w:outlineLvl w:val="1"/>
        <w:rPr>
          <w:rFonts w:ascii="宋体" w:hAnsi="宋体" w:eastAsia="宋体" w:cs="宋体"/>
          <w:b/>
          <w:bCs/>
          <w:color w:val="auto"/>
          <w:kern w:val="2"/>
          <w:sz w:val="21"/>
          <w:szCs w:val="24"/>
          <w:lang w:val="en-US" w:eastAsia="zh-CN" w:bidi="ar-SA"/>
        </w:rPr>
      </w:pPr>
      <w:bookmarkStart w:id="13" w:name="_Toc30971"/>
      <w:bookmarkStart w:id="14" w:name="_Toc7823"/>
      <w:bookmarkStart w:id="15" w:name="_Toc30643"/>
      <w:bookmarkStart w:id="16" w:name="_Toc9562"/>
      <w:bookmarkStart w:id="17" w:name="_Toc23395"/>
      <w:r>
        <w:rPr>
          <w:rFonts w:hint="eastAsia" w:ascii="宋体" w:hAnsi="宋体" w:eastAsia="宋体" w:cs="宋体"/>
          <w:b/>
          <w:bCs/>
          <w:color w:val="auto"/>
          <w:kern w:val="2"/>
          <w:sz w:val="21"/>
          <w:szCs w:val="24"/>
          <w:lang w:val="en-US" w:eastAsia="zh-CN" w:bidi="ar-SA"/>
        </w:rPr>
        <w:t>三、获取采购文件</w:t>
      </w:r>
      <w:bookmarkEnd w:id="13"/>
      <w:bookmarkEnd w:id="14"/>
      <w:bookmarkEnd w:id="15"/>
      <w:bookmarkEnd w:id="16"/>
      <w:bookmarkEnd w:id="17"/>
    </w:p>
    <w:p>
      <w:pPr>
        <w:keepNext w:val="0"/>
        <w:keepLines w:val="0"/>
        <w:pageBreakBefore w:val="0"/>
        <w:widowControl/>
        <w:kinsoku/>
        <w:overflowPunct/>
        <w:topLinePunct w:val="0"/>
        <w:bidi w:val="0"/>
        <w:adjustRightInd w:val="0"/>
        <w:snapToGrid w:val="0"/>
        <w:spacing w:line="440" w:lineRule="exact"/>
        <w:ind w:firstLine="420" w:firstLineChars="200"/>
        <w:jc w:val="left"/>
        <w:textAlignment w:val="auto"/>
        <w:rPr>
          <w:rFonts w:ascii="宋体" w:hAnsi="宋体" w:eastAsia="宋体" w:cs="宋体"/>
          <w:color w:val="auto"/>
          <w:szCs w:val="21"/>
          <w:shd w:val="clear" w:color="auto" w:fill="FFFFFF"/>
        </w:rPr>
      </w:pPr>
      <w:r>
        <w:rPr>
          <w:rFonts w:hint="eastAsia" w:ascii="宋体" w:hAnsi="宋体" w:eastAsia="宋体" w:cs="宋体"/>
          <w:color w:val="auto"/>
          <w:szCs w:val="21"/>
          <w:shd w:val="clear" w:color="auto" w:fill="FFFFFF"/>
        </w:rPr>
        <w:t>1</w:t>
      </w:r>
      <w:r>
        <w:rPr>
          <w:rFonts w:hint="eastAsia" w:ascii="宋体" w:hAnsi="宋体" w:cs="宋体"/>
          <w:color w:val="auto"/>
          <w:szCs w:val="21"/>
          <w:shd w:val="clear" w:color="auto" w:fill="FFFFFF"/>
          <w:lang w:val="en-US" w:eastAsia="zh-CN"/>
        </w:rPr>
        <w:t>报名</w:t>
      </w:r>
      <w:r>
        <w:rPr>
          <w:rFonts w:hint="eastAsia" w:ascii="宋体" w:hAnsi="宋体" w:eastAsia="宋体" w:cs="宋体"/>
          <w:color w:val="auto"/>
          <w:szCs w:val="21"/>
          <w:shd w:val="clear" w:color="auto" w:fill="FFFFFF"/>
        </w:rPr>
        <w:t>时间：202</w:t>
      </w:r>
      <w:r>
        <w:rPr>
          <w:rFonts w:hint="eastAsia" w:ascii="宋体" w:hAnsi="宋体" w:eastAsia="宋体" w:cs="宋体"/>
          <w:color w:val="auto"/>
          <w:szCs w:val="21"/>
          <w:shd w:val="clear" w:color="auto" w:fill="FFFFFF"/>
          <w:lang w:val="en-US" w:eastAsia="zh-CN"/>
        </w:rPr>
        <w:t>2</w:t>
      </w:r>
      <w:r>
        <w:rPr>
          <w:rFonts w:hint="eastAsia" w:ascii="宋体" w:hAnsi="宋体" w:eastAsia="宋体" w:cs="宋体"/>
          <w:color w:val="auto"/>
          <w:szCs w:val="21"/>
          <w:shd w:val="clear" w:color="auto" w:fill="FFFFFF"/>
        </w:rPr>
        <w:t>年</w:t>
      </w:r>
      <w:r>
        <w:rPr>
          <w:rFonts w:hint="eastAsia" w:ascii="宋体" w:hAnsi="宋体" w:cs="宋体"/>
          <w:color w:val="auto"/>
          <w:szCs w:val="21"/>
          <w:highlight w:val="none"/>
          <w:shd w:val="clear" w:color="auto" w:fill="FFFFFF"/>
          <w:lang w:val="en-US" w:eastAsia="zh-CN"/>
        </w:rPr>
        <w:t>5</w:t>
      </w:r>
      <w:r>
        <w:rPr>
          <w:rFonts w:hint="eastAsia" w:ascii="宋体" w:hAnsi="宋体" w:eastAsia="宋体" w:cs="宋体"/>
          <w:color w:val="auto"/>
          <w:szCs w:val="21"/>
          <w:highlight w:val="none"/>
          <w:shd w:val="clear" w:color="auto" w:fill="FFFFFF"/>
        </w:rPr>
        <w:t>月</w:t>
      </w:r>
      <w:r>
        <w:rPr>
          <w:rFonts w:hint="eastAsia" w:ascii="宋体" w:hAnsi="宋体" w:cs="宋体"/>
          <w:color w:val="auto"/>
          <w:szCs w:val="21"/>
          <w:highlight w:val="none"/>
          <w:shd w:val="clear" w:color="auto" w:fill="FFFFFF"/>
          <w:lang w:val="en-US" w:eastAsia="zh-CN"/>
        </w:rPr>
        <w:t>9</w:t>
      </w:r>
      <w:r>
        <w:rPr>
          <w:rFonts w:hint="eastAsia" w:ascii="宋体" w:hAnsi="宋体" w:eastAsia="宋体" w:cs="宋体"/>
          <w:color w:val="auto"/>
          <w:szCs w:val="21"/>
          <w:highlight w:val="none"/>
          <w:shd w:val="clear" w:color="auto" w:fill="FFFFFF"/>
        </w:rPr>
        <w:t>日-202</w:t>
      </w:r>
      <w:r>
        <w:rPr>
          <w:rFonts w:hint="eastAsia" w:ascii="宋体" w:hAnsi="宋体" w:eastAsia="宋体" w:cs="宋体"/>
          <w:color w:val="auto"/>
          <w:szCs w:val="21"/>
          <w:highlight w:val="none"/>
          <w:shd w:val="clear" w:color="auto" w:fill="FFFFFF"/>
          <w:lang w:val="en-US" w:eastAsia="zh-CN"/>
        </w:rPr>
        <w:t>2</w:t>
      </w:r>
      <w:r>
        <w:rPr>
          <w:rFonts w:hint="eastAsia" w:ascii="宋体" w:hAnsi="宋体" w:eastAsia="宋体" w:cs="宋体"/>
          <w:color w:val="auto"/>
          <w:szCs w:val="21"/>
          <w:highlight w:val="none"/>
          <w:shd w:val="clear" w:color="auto" w:fill="FFFFFF"/>
        </w:rPr>
        <w:t>年</w:t>
      </w:r>
      <w:r>
        <w:rPr>
          <w:rFonts w:hint="eastAsia" w:ascii="宋体" w:hAnsi="宋体" w:cs="宋体"/>
          <w:color w:val="auto"/>
          <w:szCs w:val="21"/>
          <w:highlight w:val="none"/>
          <w:shd w:val="clear" w:color="auto" w:fill="FFFFFF"/>
          <w:lang w:val="en-US" w:eastAsia="zh-CN"/>
        </w:rPr>
        <w:t>5</w:t>
      </w:r>
      <w:r>
        <w:rPr>
          <w:rFonts w:hint="eastAsia" w:ascii="宋体" w:hAnsi="宋体" w:eastAsia="宋体" w:cs="宋体"/>
          <w:color w:val="auto"/>
          <w:szCs w:val="21"/>
          <w:highlight w:val="none"/>
          <w:shd w:val="clear" w:color="auto" w:fill="FFFFFF"/>
        </w:rPr>
        <w:t>月</w:t>
      </w:r>
      <w:r>
        <w:rPr>
          <w:rFonts w:hint="eastAsia" w:ascii="宋体" w:hAnsi="宋体" w:cs="宋体"/>
          <w:color w:val="auto"/>
          <w:szCs w:val="21"/>
          <w:highlight w:val="none"/>
          <w:shd w:val="clear" w:color="auto" w:fill="FFFFFF"/>
          <w:lang w:val="en-US" w:eastAsia="zh-CN"/>
        </w:rPr>
        <w:t>11</w:t>
      </w:r>
      <w:r>
        <w:rPr>
          <w:rFonts w:hint="eastAsia" w:ascii="宋体" w:hAnsi="宋体" w:eastAsia="宋体" w:cs="宋体"/>
          <w:color w:val="auto"/>
          <w:szCs w:val="21"/>
          <w:highlight w:val="none"/>
          <w:shd w:val="clear" w:color="auto" w:fill="FFFFFF"/>
        </w:rPr>
        <w:t>日，</w:t>
      </w:r>
      <w:r>
        <w:rPr>
          <w:rFonts w:hint="eastAsia" w:ascii="宋体" w:hAnsi="宋体" w:eastAsia="宋体" w:cs="宋体"/>
          <w:color w:val="auto"/>
          <w:szCs w:val="21"/>
          <w:shd w:val="clear" w:color="auto" w:fill="FFFFFF"/>
        </w:rPr>
        <w:t>上午8：30-11:30，下午14:30-17:30（北京时间，法定节假日除外）</w:t>
      </w:r>
      <w:r>
        <w:rPr>
          <w:rFonts w:hint="eastAsia" w:ascii="宋体" w:hAnsi="宋体" w:eastAsia="宋体" w:cs="宋体"/>
          <w:color w:val="auto"/>
          <w:szCs w:val="21"/>
          <w:shd w:val="clear" w:color="auto" w:fill="FFFFFF"/>
          <w:lang w:eastAsia="zh-CN"/>
        </w:rPr>
        <w:t>，</w:t>
      </w:r>
      <w:r>
        <w:rPr>
          <w:rFonts w:hint="eastAsia" w:ascii="宋体" w:hAnsi="宋体" w:cs="宋体"/>
          <w:color w:val="auto"/>
          <w:szCs w:val="21"/>
          <w:shd w:val="clear" w:color="auto" w:fill="FFFFFF"/>
          <w:lang w:val="en-US" w:eastAsia="zh-CN"/>
        </w:rPr>
        <w:t>报名费用</w:t>
      </w:r>
      <w:r>
        <w:rPr>
          <w:rFonts w:hint="eastAsia" w:ascii="宋体" w:hAnsi="宋体" w:eastAsia="宋体" w:cs="宋体"/>
          <w:color w:val="auto"/>
          <w:szCs w:val="21"/>
          <w:shd w:val="clear" w:color="auto" w:fill="FFFFFF"/>
          <w:lang w:val="en-US" w:eastAsia="zh-CN"/>
        </w:rPr>
        <w:t>：</w:t>
      </w:r>
      <w:r>
        <w:rPr>
          <w:rFonts w:hint="eastAsia" w:ascii="宋体" w:hAnsi="宋体" w:cs="宋体"/>
          <w:color w:val="auto"/>
          <w:szCs w:val="21"/>
          <w:shd w:val="clear" w:color="auto" w:fill="FFFFFF"/>
          <w:lang w:val="en-US" w:eastAsia="zh-CN"/>
        </w:rPr>
        <w:t>1</w:t>
      </w:r>
      <w:r>
        <w:rPr>
          <w:rFonts w:hint="eastAsia" w:ascii="宋体" w:hAnsi="宋体" w:eastAsia="宋体" w:cs="宋体"/>
          <w:color w:val="auto"/>
          <w:szCs w:val="21"/>
          <w:shd w:val="clear" w:color="auto" w:fill="FFFFFF"/>
          <w:lang w:val="en-US" w:eastAsia="zh-CN"/>
        </w:rPr>
        <w:t>00元。</w:t>
      </w:r>
    </w:p>
    <w:p>
      <w:pPr>
        <w:keepNext w:val="0"/>
        <w:keepLines w:val="0"/>
        <w:pageBreakBefore w:val="0"/>
        <w:widowControl/>
        <w:kinsoku/>
        <w:overflowPunct/>
        <w:topLinePunct w:val="0"/>
        <w:bidi w:val="0"/>
        <w:snapToGrid w:val="0"/>
        <w:spacing w:before="0" w:beforeAutospacing="0" w:after="0" w:afterAutospacing="0" w:line="440" w:lineRule="exact"/>
        <w:ind w:firstLine="420" w:firstLineChars="200"/>
        <w:jc w:val="left"/>
        <w:textAlignment w:val="auto"/>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2.每报名任何一个项目的供应商，</w:t>
      </w:r>
      <w:r>
        <w:rPr>
          <w:rFonts w:hint="eastAsia" w:ascii="宋体" w:hAnsi="宋体" w:eastAsia="宋体" w:cs="宋体"/>
          <w:color w:val="auto"/>
          <w:kern w:val="0"/>
          <w:sz w:val="21"/>
          <w:szCs w:val="21"/>
          <w:highlight w:val="none"/>
          <w:shd w:val="clear" w:color="auto" w:fill="FFFFFF"/>
          <w:lang w:val="en-US" w:eastAsia="zh-CN" w:bidi="ar-SA"/>
        </w:rPr>
        <w:t>需交纳2000元投标保证金</w:t>
      </w:r>
      <w:r>
        <w:rPr>
          <w:rFonts w:hint="eastAsia" w:ascii="宋体" w:hAnsi="宋体" w:eastAsia="宋体" w:cs="宋体"/>
          <w:color w:val="auto"/>
          <w:kern w:val="0"/>
          <w:sz w:val="21"/>
          <w:szCs w:val="21"/>
          <w:shd w:val="clear" w:color="auto" w:fill="FFFFFF"/>
          <w:lang w:val="en-US" w:eastAsia="zh-CN" w:bidi="ar-SA"/>
        </w:rPr>
        <w:t>。凡报名成功的供应商无故不来参与投标的，拒不退还投标保证金，并列入我院黑名单，一年内不得参与我院任何采购活动。凡未中标者，评审结束后三个工作日内凭收</w:t>
      </w:r>
      <w:bookmarkStart w:id="91" w:name="_GoBack"/>
      <w:bookmarkEnd w:id="91"/>
      <w:r>
        <w:rPr>
          <w:rFonts w:hint="eastAsia" w:ascii="宋体" w:hAnsi="宋体" w:eastAsia="宋体" w:cs="宋体"/>
          <w:color w:val="auto"/>
          <w:kern w:val="0"/>
          <w:sz w:val="21"/>
          <w:szCs w:val="21"/>
          <w:shd w:val="clear" w:color="auto" w:fill="FFFFFF"/>
          <w:lang w:val="en-US" w:eastAsia="zh-CN" w:bidi="ar-SA"/>
        </w:rPr>
        <w:t xml:space="preserve">据无息退还。中标供应商缴纳相应服务费。 </w:t>
      </w:r>
    </w:p>
    <w:p>
      <w:pPr>
        <w:keepNext w:val="0"/>
        <w:keepLines w:val="0"/>
        <w:pageBreakBefore w:val="0"/>
        <w:widowControl/>
        <w:kinsoku/>
        <w:wordWrap w:val="0"/>
        <w:overflowPunct/>
        <w:topLinePunct w:val="0"/>
        <w:bidi w:val="0"/>
        <w:snapToGrid w:val="0"/>
        <w:spacing w:before="0" w:beforeAutospacing="0" w:after="0" w:afterAutospacing="0" w:line="440" w:lineRule="exact"/>
        <w:ind w:left="0" w:leftChars="0" w:firstLine="420" w:firstLineChars="200"/>
        <w:jc w:val="left"/>
        <w:textAlignment w:val="auto"/>
        <w:rPr>
          <w:rFonts w:ascii="宋体" w:hAnsi="宋体" w:eastAsia="宋体" w:cs="宋体"/>
          <w:color w:val="auto"/>
          <w:kern w:val="0"/>
          <w:sz w:val="21"/>
          <w:szCs w:val="21"/>
          <w:u w:val="single"/>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3.采购文件获取方式：供应商须把填写完整的报名登记表及报名登记表要求提供的相关资料扫描件按序排版为PDF格式文件，发送至以下邮箱：</w:t>
      </w:r>
      <w:r>
        <w:rPr>
          <w:rFonts w:hint="eastAsia" w:ascii="宋体" w:hAnsi="宋体" w:eastAsia="宋体" w:cs="宋体"/>
          <w:color w:val="auto"/>
          <w:kern w:val="0"/>
          <w:sz w:val="21"/>
          <w:szCs w:val="21"/>
          <w:shd w:val="clear" w:color="auto" w:fill="FFFFFF"/>
          <w:lang w:val="en-US" w:eastAsia="zh-CN" w:bidi="ar-SA"/>
        </w:rPr>
        <w:fldChar w:fldCharType="begin"/>
      </w:r>
      <w:r>
        <w:rPr>
          <w:rFonts w:hint="eastAsia" w:ascii="宋体" w:hAnsi="宋体" w:eastAsia="宋体" w:cs="宋体"/>
          <w:color w:val="auto"/>
          <w:kern w:val="0"/>
          <w:sz w:val="21"/>
          <w:szCs w:val="21"/>
          <w:shd w:val="clear" w:color="auto" w:fill="FFFFFF"/>
          <w:lang w:val="en-US" w:eastAsia="zh-CN" w:bidi="ar-SA"/>
        </w:rPr>
        <w:instrText xml:space="preserve"> HYPERLINK "mailto:hnwxzb2@163.com并标明XX" </w:instrText>
      </w:r>
      <w:r>
        <w:rPr>
          <w:rFonts w:hint="eastAsia" w:ascii="宋体" w:hAnsi="宋体" w:eastAsia="宋体" w:cs="宋体"/>
          <w:color w:val="auto"/>
          <w:kern w:val="0"/>
          <w:sz w:val="21"/>
          <w:szCs w:val="21"/>
          <w:shd w:val="clear" w:color="auto" w:fill="FFFFFF"/>
          <w:lang w:val="en-US" w:eastAsia="zh-CN" w:bidi="ar-SA"/>
        </w:rPr>
        <w:fldChar w:fldCharType="separate"/>
      </w:r>
      <w:r>
        <w:rPr>
          <w:rFonts w:hint="eastAsia" w:ascii="宋体" w:hAnsi="宋体" w:eastAsia="宋体" w:cs="宋体"/>
          <w:color w:val="auto"/>
          <w:kern w:val="0"/>
          <w:sz w:val="21"/>
          <w:szCs w:val="21"/>
          <w:shd w:val="clear" w:color="auto" w:fill="FFFFFF"/>
          <w:lang w:val="en-US" w:eastAsia="zh-CN" w:bidi="ar-SA"/>
        </w:rPr>
        <w:t>3269714460@qq.com并标明XX公司XX</w:t>
      </w:r>
      <w:r>
        <w:rPr>
          <w:rFonts w:hint="eastAsia" w:ascii="宋体" w:hAnsi="宋体" w:eastAsia="宋体" w:cs="宋体"/>
          <w:color w:val="auto"/>
          <w:kern w:val="0"/>
          <w:sz w:val="21"/>
          <w:szCs w:val="21"/>
          <w:shd w:val="clear" w:color="auto" w:fill="FFFFFF"/>
          <w:lang w:val="en-US" w:eastAsia="zh-CN" w:bidi="ar-SA"/>
        </w:rPr>
        <w:fldChar w:fldCharType="end"/>
      </w:r>
      <w:r>
        <w:rPr>
          <w:rFonts w:hint="eastAsia" w:ascii="宋体" w:hAnsi="宋体" w:eastAsia="宋体" w:cs="宋体"/>
          <w:color w:val="auto"/>
          <w:kern w:val="0"/>
          <w:sz w:val="21"/>
          <w:szCs w:val="21"/>
          <w:shd w:val="clear" w:color="auto" w:fill="FFFFFF"/>
          <w:lang w:val="en-US" w:eastAsia="zh-CN" w:bidi="ar-SA"/>
        </w:rPr>
        <w:t>项目报名资料；审核通过后按要求交纳</w:t>
      </w:r>
      <w:r>
        <w:rPr>
          <w:rFonts w:hint="eastAsia" w:ascii="宋体" w:hAnsi="宋体" w:cs="宋体"/>
          <w:color w:val="auto"/>
          <w:kern w:val="0"/>
          <w:sz w:val="21"/>
          <w:szCs w:val="21"/>
          <w:shd w:val="clear" w:color="auto" w:fill="FFFFFF"/>
          <w:lang w:val="en-US" w:eastAsia="zh-CN" w:bidi="ar-SA"/>
        </w:rPr>
        <w:t>报名费</w:t>
      </w:r>
      <w:r>
        <w:rPr>
          <w:rFonts w:hint="eastAsia" w:ascii="宋体" w:hAnsi="宋体" w:eastAsia="宋体" w:cs="宋体"/>
          <w:color w:val="auto"/>
          <w:kern w:val="0"/>
          <w:sz w:val="21"/>
          <w:szCs w:val="21"/>
          <w:shd w:val="clear" w:color="auto" w:fill="FFFFFF"/>
          <w:lang w:val="en-US" w:eastAsia="zh-CN" w:bidi="ar-SA"/>
        </w:rPr>
        <w:t>及投标保证金。</w:t>
      </w:r>
    </w:p>
    <w:p>
      <w:pPr>
        <w:keepNext w:val="0"/>
        <w:keepLines w:val="0"/>
        <w:pageBreakBefore w:val="0"/>
        <w:widowControl/>
        <w:kinsoku/>
        <w:wordWrap w:val="0"/>
        <w:overflowPunct/>
        <w:topLinePunct w:val="0"/>
        <w:bidi w:val="0"/>
        <w:snapToGrid w:val="0"/>
        <w:spacing w:before="0" w:beforeAutospacing="0" w:after="0" w:afterAutospacing="0" w:line="440" w:lineRule="exact"/>
        <w:ind w:left="420" w:leftChars="200"/>
        <w:jc w:val="left"/>
        <w:textAlignment w:val="auto"/>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4.报名登记表：请从附件中下载。</w:t>
      </w:r>
    </w:p>
    <w:p>
      <w:pPr>
        <w:keepNext w:val="0"/>
        <w:keepLines w:val="0"/>
        <w:pageBreakBefore w:val="0"/>
        <w:widowControl/>
        <w:kinsoku/>
        <w:overflowPunct/>
        <w:topLinePunct w:val="0"/>
        <w:bidi w:val="0"/>
        <w:snapToGrid w:val="0"/>
        <w:spacing w:before="0" w:after="0" w:line="440" w:lineRule="exact"/>
        <w:jc w:val="left"/>
        <w:textAlignment w:val="auto"/>
        <w:outlineLvl w:val="1"/>
        <w:rPr>
          <w:rFonts w:ascii="宋体" w:hAnsi="宋体" w:eastAsia="宋体" w:cs="宋体"/>
          <w:b/>
          <w:bCs/>
          <w:color w:val="auto"/>
          <w:kern w:val="2"/>
          <w:sz w:val="21"/>
          <w:szCs w:val="21"/>
          <w:lang w:val="en-US" w:eastAsia="zh-CN" w:bidi="ar-SA"/>
        </w:rPr>
      </w:pPr>
      <w:bookmarkStart w:id="18" w:name="_Toc25869"/>
      <w:bookmarkStart w:id="19" w:name="_Toc15135"/>
      <w:bookmarkStart w:id="20" w:name="_Toc15111"/>
      <w:bookmarkStart w:id="21" w:name="_Toc27480"/>
      <w:bookmarkStart w:id="22" w:name="_Toc10738"/>
      <w:r>
        <w:rPr>
          <w:rFonts w:hint="eastAsia" w:ascii="宋体" w:hAnsi="宋体" w:eastAsia="宋体" w:cs="宋体"/>
          <w:b/>
          <w:bCs/>
          <w:color w:val="auto"/>
          <w:kern w:val="2"/>
          <w:sz w:val="21"/>
          <w:szCs w:val="21"/>
          <w:shd w:val="clear" w:color="auto" w:fill="FFFFFF"/>
          <w:lang w:val="en-US" w:eastAsia="zh-CN" w:bidi="ar-SA"/>
        </w:rPr>
        <w:t>四、投标截止时间及地点</w:t>
      </w:r>
      <w:bookmarkEnd w:id="18"/>
      <w:bookmarkEnd w:id="19"/>
      <w:bookmarkEnd w:id="20"/>
      <w:bookmarkEnd w:id="21"/>
      <w:bookmarkEnd w:id="22"/>
    </w:p>
    <w:p>
      <w:pPr>
        <w:keepNext w:val="0"/>
        <w:keepLines w:val="0"/>
        <w:pageBreakBefore w:val="0"/>
        <w:widowControl/>
        <w:kinsoku/>
        <w:overflowPunct/>
        <w:topLinePunct w:val="0"/>
        <w:bidi w:val="0"/>
        <w:snapToGrid w:val="0"/>
        <w:spacing w:before="0" w:beforeAutospacing="0" w:after="0" w:afterAutospacing="0" w:line="440" w:lineRule="exact"/>
        <w:ind w:firstLine="420" w:firstLineChars="200"/>
        <w:jc w:val="left"/>
        <w:textAlignment w:val="auto"/>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1.时间：</w:t>
      </w:r>
      <w:r>
        <w:rPr>
          <w:rFonts w:hint="eastAsia" w:ascii="宋体" w:hAnsi="宋体" w:eastAsia="宋体" w:cs="宋体"/>
          <w:color w:val="auto"/>
          <w:sz w:val="21"/>
          <w:szCs w:val="21"/>
          <w:shd w:val="clear" w:color="auto" w:fill="auto"/>
          <w:lang w:val="en-US" w:eastAsia="zh-CN"/>
        </w:rPr>
        <w:t>详见采购文件</w:t>
      </w:r>
      <w:r>
        <w:rPr>
          <w:rFonts w:hint="eastAsia" w:ascii="宋体" w:hAnsi="宋体" w:eastAsia="宋体" w:cs="宋体"/>
          <w:color w:val="auto"/>
          <w:kern w:val="0"/>
          <w:sz w:val="21"/>
          <w:szCs w:val="21"/>
          <w:shd w:val="clear" w:color="auto" w:fill="FFFFFF"/>
          <w:lang w:val="en-US" w:eastAsia="zh-CN" w:bidi="ar-SA"/>
        </w:rPr>
        <w:t>。</w:t>
      </w:r>
    </w:p>
    <w:p>
      <w:pPr>
        <w:keepNext w:val="0"/>
        <w:keepLines w:val="0"/>
        <w:pageBreakBefore w:val="0"/>
        <w:widowControl/>
        <w:kinsoku/>
        <w:overflowPunct/>
        <w:topLinePunct w:val="0"/>
        <w:bidi w:val="0"/>
        <w:snapToGrid w:val="0"/>
        <w:spacing w:before="0" w:beforeAutospacing="0" w:after="0" w:afterAutospacing="0" w:line="440" w:lineRule="exact"/>
        <w:ind w:firstLine="420" w:firstLineChars="200"/>
        <w:jc w:val="left"/>
        <w:textAlignment w:val="auto"/>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2.地点：</w:t>
      </w:r>
      <w:r>
        <w:rPr>
          <w:rFonts w:hint="eastAsia" w:ascii="宋体" w:hAnsi="宋体" w:eastAsia="宋体" w:cs="宋体"/>
          <w:color w:val="auto"/>
          <w:sz w:val="21"/>
          <w:szCs w:val="21"/>
          <w:shd w:val="clear" w:color="auto" w:fill="auto"/>
          <w:lang w:val="en-US" w:eastAsia="zh-CN"/>
        </w:rPr>
        <w:t>详见采购文件</w:t>
      </w:r>
      <w:r>
        <w:rPr>
          <w:rFonts w:hint="eastAsia" w:ascii="宋体" w:hAnsi="宋体" w:eastAsia="宋体" w:cs="宋体"/>
          <w:color w:val="auto"/>
          <w:kern w:val="0"/>
          <w:sz w:val="21"/>
          <w:szCs w:val="21"/>
          <w:shd w:val="clear" w:color="auto" w:fill="FFFFFF"/>
          <w:lang w:val="en-US" w:eastAsia="zh-CN" w:bidi="ar-SA"/>
        </w:rPr>
        <w:t>。</w:t>
      </w:r>
    </w:p>
    <w:p>
      <w:pPr>
        <w:keepNext w:val="0"/>
        <w:keepLines w:val="0"/>
        <w:pageBreakBefore w:val="0"/>
        <w:widowControl/>
        <w:kinsoku/>
        <w:overflowPunct/>
        <w:topLinePunct w:val="0"/>
        <w:bidi w:val="0"/>
        <w:snapToGrid w:val="0"/>
        <w:spacing w:before="0" w:after="0" w:line="440" w:lineRule="exact"/>
        <w:jc w:val="left"/>
        <w:textAlignment w:val="auto"/>
        <w:outlineLvl w:val="1"/>
        <w:rPr>
          <w:rFonts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shd w:val="clear" w:color="auto" w:fill="FFFFFF"/>
          <w:lang w:val="en-US" w:eastAsia="zh-CN" w:bidi="ar-SA"/>
        </w:rPr>
        <w:t>五、开标时间及地点</w:t>
      </w:r>
    </w:p>
    <w:p>
      <w:pPr>
        <w:keepNext w:val="0"/>
        <w:keepLines w:val="0"/>
        <w:pageBreakBefore w:val="0"/>
        <w:widowControl/>
        <w:kinsoku/>
        <w:overflowPunct/>
        <w:topLinePunct w:val="0"/>
        <w:bidi w:val="0"/>
        <w:snapToGrid w:val="0"/>
        <w:spacing w:before="0" w:beforeAutospacing="0" w:after="0" w:afterAutospacing="0" w:line="440" w:lineRule="exact"/>
        <w:ind w:firstLine="420" w:firstLineChars="200"/>
        <w:jc w:val="left"/>
        <w:textAlignment w:val="auto"/>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1.时间：</w:t>
      </w:r>
      <w:r>
        <w:rPr>
          <w:rFonts w:hint="eastAsia" w:ascii="宋体" w:hAnsi="宋体" w:eastAsia="宋体" w:cs="宋体"/>
          <w:color w:val="auto"/>
          <w:sz w:val="21"/>
          <w:szCs w:val="21"/>
          <w:shd w:val="clear" w:color="auto" w:fill="auto"/>
          <w:lang w:val="en-US" w:eastAsia="zh-CN"/>
        </w:rPr>
        <w:t>详见采购文件</w:t>
      </w:r>
      <w:r>
        <w:rPr>
          <w:rFonts w:hint="eastAsia" w:ascii="宋体" w:hAnsi="宋体" w:eastAsia="宋体" w:cs="宋体"/>
          <w:color w:val="auto"/>
          <w:kern w:val="0"/>
          <w:sz w:val="21"/>
          <w:szCs w:val="21"/>
          <w:shd w:val="clear" w:color="auto" w:fill="FFFFFF"/>
          <w:lang w:val="en-US" w:eastAsia="zh-CN" w:bidi="ar-SA"/>
        </w:rPr>
        <w:t>。</w:t>
      </w:r>
    </w:p>
    <w:p>
      <w:pPr>
        <w:keepNext w:val="0"/>
        <w:keepLines w:val="0"/>
        <w:pageBreakBefore w:val="0"/>
        <w:widowControl/>
        <w:kinsoku/>
        <w:overflowPunct/>
        <w:topLinePunct w:val="0"/>
        <w:bidi w:val="0"/>
        <w:snapToGrid w:val="0"/>
        <w:spacing w:before="0" w:beforeAutospacing="0" w:after="0" w:afterAutospacing="0" w:line="440" w:lineRule="exact"/>
        <w:ind w:firstLine="420" w:firstLineChars="200"/>
        <w:jc w:val="left"/>
        <w:textAlignment w:val="auto"/>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2.地点：</w:t>
      </w:r>
      <w:r>
        <w:rPr>
          <w:rFonts w:hint="eastAsia" w:ascii="宋体" w:hAnsi="宋体" w:eastAsia="宋体" w:cs="宋体"/>
          <w:color w:val="auto"/>
          <w:sz w:val="21"/>
          <w:szCs w:val="21"/>
          <w:shd w:val="clear" w:color="auto" w:fill="auto"/>
          <w:lang w:val="en-US" w:eastAsia="zh-CN"/>
        </w:rPr>
        <w:t>详见采购文件</w:t>
      </w:r>
      <w:r>
        <w:rPr>
          <w:rFonts w:hint="eastAsia" w:ascii="宋体" w:hAnsi="宋体" w:eastAsia="宋体" w:cs="宋体"/>
          <w:color w:val="auto"/>
          <w:kern w:val="0"/>
          <w:sz w:val="21"/>
          <w:szCs w:val="21"/>
          <w:u w:val="none"/>
          <w:shd w:val="clear" w:color="auto" w:fill="FFFFFF"/>
          <w:lang w:val="en-US" w:eastAsia="zh-CN" w:bidi="ar-SA"/>
        </w:rPr>
        <w:t>。</w:t>
      </w:r>
    </w:p>
    <w:p>
      <w:pPr>
        <w:keepNext w:val="0"/>
        <w:keepLines w:val="0"/>
        <w:pageBreakBefore w:val="0"/>
        <w:widowControl/>
        <w:kinsoku/>
        <w:overflowPunct/>
        <w:topLinePunct w:val="0"/>
        <w:bidi w:val="0"/>
        <w:snapToGrid w:val="0"/>
        <w:spacing w:before="0" w:after="0" w:line="440" w:lineRule="exact"/>
        <w:jc w:val="left"/>
        <w:textAlignment w:val="auto"/>
        <w:outlineLvl w:val="1"/>
        <w:rPr>
          <w:rFonts w:ascii="宋体" w:hAnsi="宋体" w:eastAsia="宋体" w:cs="宋体"/>
          <w:b/>
          <w:bCs/>
          <w:color w:val="auto"/>
          <w:kern w:val="2"/>
          <w:sz w:val="21"/>
          <w:szCs w:val="21"/>
          <w:lang w:val="en-US" w:eastAsia="zh-CN" w:bidi="ar-SA"/>
        </w:rPr>
      </w:pPr>
      <w:bookmarkStart w:id="23" w:name="_Toc29784"/>
      <w:bookmarkStart w:id="24" w:name="_Toc20287"/>
      <w:bookmarkStart w:id="25" w:name="_Toc30918"/>
      <w:bookmarkStart w:id="26" w:name="_Toc6523"/>
      <w:r>
        <w:rPr>
          <w:rFonts w:hint="eastAsia" w:ascii="宋体" w:hAnsi="宋体" w:eastAsia="宋体" w:cs="宋体"/>
          <w:b/>
          <w:bCs/>
          <w:color w:val="auto"/>
          <w:kern w:val="2"/>
          <w:sz w:val="21"/>
          <w:szCs w:val="21"/>
          <w:shd w:val="clear" w:color="auto" w:fill="FFFFFF"/>
          <w:lang w:val="en-US" w:eastAsia="zh-CN" w:bidi="ar-SA"/>
        </w:rPr>
        <w:t>六、发布公告的媒介及</w:t>
      </w:r>
      <w:r>
        <w:rPr>
          <w:rFonts w:hint="eastAsia" w:ascii="宋体" w:hAnsi="宋体" w:eastAsia="宋体" w:cs="宋体"/>
          <w:color w:val="auto"/>
          <w:sz w:val="21"/>
          <w:szCs w:val="21"/>
          <w:shd w:val="clear" w:color="auto" w:fill="auto"/>
          <w:lang w:val="en-US" w:eastAsia="zh-CN"/>
        </w:rPr>
        <w:t>采购</w:t>
      </w:r>
      <w:r>
        <w:rPr>
          <w:rFonts w:hint="eastAsia" w:ascii="宋体" w:hAnsi="宋体" w:eastAsia="宋体" w:cs="宋体"/>
          <w:b/>
          <w:bCs/>
          <w:color w:val="auto"/>
          <w:kern w:val="2"/>
          <w:sz w:val="21"/>
          <w:szCs w:val="21"/>
          <w:shd w:val="clear" w:color="auto" w:fill="FFFFFF"/>
          <w:lang w:val="en-US" w:eastAsia="zh-CN" w:bidi="ar-SA"/>
        </w:rPr>
        <w:t>公告期限</w:t>
      </w:r>
      <w:bookmarkEnd w:id="23"/>
      <w:bookmarkEnd w:id="24"/>
      <w:bookmarkEnd w:id="25"/>
      <w:bookmarkEnd w:id="26"/>
    </w:p>
    <w:p>
      <w:pPr>
        <w:keepNext w:val="0"/>
        <w:keepLines w:val="0"/>
        <w:pageBreakBefore w:val="0"/>
        <w:widowControl/>
        <w:kinsoku/>
        <w:overflowPunct/>
        <w:topLinePunct w:val="0"/>
        <w:bidi w:val="0"/>
        <w:snapToGrid w:val="0"/>
        <w:spacing w:before="0" w:beforeAutospacing="0" w:after="0" w:afterAutospacing="0" w:line="440" w:lineRule="exact"/>
        <w:ind w:firstLine="420" w:firstLineChars="200"/>
        <w:jc w:val="left"/>
        <w:textAlignment w:val="auto"/>
        <w:rPr>
          <w:rFonts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本次</w:t>
      </w:r>
      <w:r>
        <w:rPr>
          <w:rFonts w:hint="eastAsia" w:ascii="宋体" w:hAnsi="宋体" w:eastAsia="宋体" w:cs="宋体"/>
          <w:color w:val="auto"/>
          <w:sz w:val="21"/>
          <w:szCs w:val="21"/>
          <w:shd w:val="clear" w:color="auto" w:fill="auto"/>
          <w:lang w:val="en-US" w:eastAsia="zh-CN"/>
        </w:rPr>
        <w:t>采购</w:t>
      </w:r>
      <w:r>
        <w:rPr>
          <w:rFonts w:hint="eastAsia" w:ascii="宋体" w:hAnsi="宋体" w:eastAsia="宋体" w:cs="宋体"/>
          <w:color w:val="auto"/>
          <w:kern w:val="0"/>
          <w:sz w:val="21"/>
          <w:szCs w:val="21"/>
          <w:shd w:val="clear" w:color="auto" w:fill="FFFFFF"/>
          <w:lang w:val="en-US" w:eastAsia="zh-CN" w:bidi="ar-SA"/>
        </w:rPr>
        <w:t>公告在《驻马店市中心医院》</w:t>
      </w:r>
      <w:r>
        <w:rPr>
          <w:rFonts w:hint="eastAsia" w:ascii="宋体" w:hAnsi="宋体" w:cs="宋体"/>
          <w:color w:val="auto"/>
          <w:kern w:val="0"/>
          <w:sz w:val="21"/>
          <w:szCs w:val="21"/>
          <w:shd w:val="clear" w:color="auto" w:fill="FFFFFF"/>
          <w:lang w:val="en-US" w:eastAsia="zh-CN" w:bidi="ar-SA"/>
        </w:rPr>
        <w:t>院内</w:t>
      </w:r>
      <w:r>
        <w:rPr>
          <w:rFonts w:hint="eastAsia" w:ascii="宋体" w:hAnsi="宋体" w:eastAsia="宋体" w:cs="宋体"/>
          <w:color w:val="auto"/>
          <w:kern w:val="0"/>
          <w:sz w:val="21"/>
          <w:szCs w:val="21"/>
          <w:shd w:val="clear" w:color="auto" w:fill="FFFFFF"/>
          <w:lang w:val="en-US" w:eastAsia="zh-CN" w:bidi="ar-SA"/>
        </w:rPr>
        <w:t>网</w:t>
      </w:r>
      <w:r>
        <w:rPr>
          <w:rFonts w:hint="eastAsia" w:ascii="宋体" w:hAnsi="宋体" w:eastAsia="宋体" w:cs="宋体"/>
          <w:color w:val="auto"/>
          <w:sz w:val="21"/>
          <w:szCs w:val="21"/>
          <w:shd w:val="clear" w:color="auto" w:fill="auto"/>
        </w:rPr>
        <w:t>上发布</w:t>
      </w:r>
      <w:r>
        <w:rPr>
          <w:rFonts w:hint="eastAsia" w:ascii="宋体" w:hAnsi="宋体" w:cs="宋体"/>
          <w:color w:val="auto"/>
          <w:sz w:val="21"/>
          <w:szCs w:val="21"/>
          <w:highlight w:val="none"/>
          <w:shd w:val="clear" w:color="auto" w:fill="auto"/>
          <w:lang w:eastAsia="zh-CN"/>
        </w:rPr>
        <w:t>，</w:t>
      </w:r>
      <w:r>
        <w:rPr>
          <w:rFonts w:hint="eastAsia" w:ascii="宋体" w:hAnsi="宋体" w:eastAsia="宋体" w:cs="宋体"/>
          <w:color w:val="auto"/>
          <w:sz w:val="21"/>
          <w:szCs w:val="21"/>
          <w:shd w:val="clear" w:color="auto" w:fill="auto"/>
          <w:lang w:val="en-US" w:eastAsia="zh-CN"/>
        </w:rPr>
        <w:t>采购</w:t>
      </w:r>
      <w:r>
        <w:rPr>
          <w:rFonts w:hint="eastAsia" w:ascii="宋体" w:hAnsi="宋体" w:cs="宋体"/>
          <w:color w:val="auto"/>
          <w:sz w:val="21"/>
          <w:szCs w:val="21"/>
          <w:highlight w:val="none"/>
          <w:shd w:val="clear" w:color="auto" w:fill="auto"/>
          <w:lang w:eastAsia="zh-CN"/>
        </w:rPr>
        <w:t>公告期限为</w:t>
      </w:r>
      <w:r>
        <w:rPr>
          <w:rFonts w:hint="eastAsia" w:ascii="宋体" w:hAnsi="宋体" w:cs="宋体"/>
          <w:color w:val="auto"/>
          <w:sz w:val="21"/>
          <w:szCs w:val="21"/>
          <w:highlight w:val="none"/>
          <w:shd w:val="clear" w:color="auto" w:fill="auto"/>
          <w:lang w:val="en-US" w:eastAsia="zh-CN"/>
        </w:rPr>
        <w:t>三</w:t>
      </w:r>
      <w:r>
        <w:rPr>
          <w:rFonts w:hint="eastAsia" w:ascii="宋体" w:hAnsi="宋体" w:cs="宋体"/>
          <w:color w:val="auto"/>
          <w:sz w:val="21"/>
          <w:szCs w:val="21"/>
          <w:highlight w:val="none"/>
          <w:shd w:val="clear" w:color="auto" w:fill="auto"/>
          <w:lang w:eastAsia="zh-CN"/>
        </w:rPr>
        <w:t>个工作日</w:t>
      </w:r>
      <w:r>
        <w:rPr>
          <w:rFonts w:hint="eastAsia" w:ascii="宋体" w:hAnsi="宋体" w:eastAsia="宋体" w:cs="宋体"/>
          <w:color w:val="auto"/>
          <w:kern w:val="0"/>
          <w:sz w:val="21"/>
          <w:szCs w:val="21"/>
          <w:highlight w:val="none"/>
          <w:shd w:val="clear" w:color="auto" w:fill="FFFFFF"/>
          <w:lang w:val="en-US" w:eastAsia="zh-CN" w:bidi="ar-SA"/>
        </w:rPr>
        <w:t>。</w:t>
      </w:r>
      <w:bookmarkStart w:id="27" w:name="_Toc35393626"/>
      <w:bookmarkStart w:id="28" w:name="_Toc35393795"/>
    </w:p>
    <w:bookmarkEnd w:id="27"/>
    <w:bookmarkEnd w:id="28"/>
    <w:p>
      <w:pPr>
        <w:keepNext w:val="0"/>
        <w:keepLines w:val="0"/>
        <w:pageBreakBefore w:val="0"/>
        <w:widowControl/>
        <w:kinsoku/>
        <w:overflowPunct/>
        <w:topLinePunct w:val="0"/>
        <w:bidi w:val="0"/>
        <w:snapToGrid w:val="0"/>
        <w:spacing w:before="0" w:after="0" w:line="440" w:lineRule="exact"/>
        <w:jc w:val="left"/>
        <w:textAlignment w:val="auto"/>
        <w:outlineLvl w:val="1"/>
        <w:rPr>
          <w:rFonts w:ascii="宋体" w:hAnsi="宋体" w:eastAsia="宋体" w:cs="宋体"/>
          <w:b/>
          <w:bCs/>
          <w:color w:val="auto"/>
          <w:kern w:val="2"/>
          <w:sz w:val="21"/>
          <w:szCs w:val="21"/>
          <w:highlight w:val="none"/>
          <w:lang w:val="en-US" w:eastAsia="zh-CN" w:bidi="ar-SA"/>
        </w:rPr>
      </w:pPr>
      <w:bookmarkStart w:id="29" w:name="_Toc31928"/>
      <w:bookmarkStart w:id="30" w:name="_Toc27370"/>
      <w:bookmarkStart w:id="31" w:name="_Toc24274"/>
      <w:bookmarkStart w:id="32" w:name="_Toc3604"/>
      <w:bookmarkStart w:id="33" w:name="_Toc16291"/>
      <w:r>
        <w:rPr>
          <w:rFonts w:hint="eastAsia" w:ascii="宋体" w:hAnsi="宋体" w:eastAsia="宋体" w:cs="宋体"/>
          <w:b/>
          <w:bCs/>
          <w:color w:val="auto"/>
          <w:kern w:val="2"/>
          <w:sz w:val="21"/>
          <w:szCs w:val="21"/>
          <w:shd w:val="clear" w:color="auto" w:fill="FFFFFF"/>
          <w:lang w:val="en-US" w:eastAsia="zh-CN" w:bidi="ar-SA"/>
        </w:rPr>
        <w:t>八、</w:t>
      </w:r>
      <w:bookmarkEnd w:id="29"/>
      <w:bookmarkEnd w:id="30"/>
      <w:bookmarkEnd w:id="31"/>
      <w:bookmarkEnd w:id="32"/>
      <w:bookmarkEnd w:id="33"/>
      <w:r>
        <w:rPr>
          <w:rFonts w:hint="eastAsia" w:ascii="宋体" w:hAnsi="宋体" w:eastAsia="宋体" w:cs="宋体"/>
          <w:b/>
          <w:bCs/>
          <w:color w:val="auto"/>
          <w:kern w:val="2"/>
          <w:sz w:val="21"/>
          <w:szCs w:val="21"/>
          <w:highlight w:val="none"/>
          <w:shd w:val="clear" w:color="auto" w:fill="FFFFFF"/>
          <w:lang w:val="en-US" w:eastAsia="zh-CN" w:bidi="ar-SA"/>
        </w:rPr>
        <w:t>凡对本次招标提出询问，请按照以下方式联系</w:t>
      </w:r>
    </w:p>
    <w:p>
      <w:pPr>
        <w:keepNext w:val="0"/>
        <w:keepLines w:val="0"/>
        <w:pageBreakBefore w:val="0"/>
        <w:widowControl/>
        <w:kinsoku/>
        <w:overflowPunct/>
        <w:topLinePunct w:val="0"/>
        <w:bidi w:val="0"/>
        <w:snapToGrid w:val="0"/>
        <w:spacing w:before="0" w:beforeAutospacing="0" w:after="0" w:afterAutospacing="0" w:line="440" w:lineRule="exact"/>
        <w:ind w:firstLine="420" w:firstLineChars="200"/>
        <w:jc w:val="left"/>
        <w:textAlignment w:val="auto"/>
        <w:rPr>
          <w:rFonts w:hint="default"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报名联系人</w:t>
      </w:r>
      <w:r>
        <w:rPr>
          <w:rFonts w:hint="eastAsia" w:ascii="宋体" w:hAnsi="宋体" w:cs="宋体"/>
          <w:color w:val="auto"/>
          <w:kern w:val="0"/>
          <w:sz w:val="21"/>
          <w:szCs w:val="21"/>
          <w:highlight w:val="none"/>
          <w:shd w:val="clear" w:color="auto" w:fill="FFFFFF"/>
          <w:lang w:val="en-US" w:eastAsia="zh-CN" w:bidi="ar-SA"/>
        </w:rPr>
        <w:t>:张先生</w:t>
      </w:r>
    </w:p>
    <w:p>
      <w:pPr>
        <w:keepNext w:val="0"/>
        <w:keepLines w:val="0"/>
        <w:pageBreakBefore w:val="0"/>
        <w:widowControl/>
        <w:kinsoku/>
        <w:overflowPunct/>
        <w:topLinePunct w:val="0"/>
        <w:bidi w:val="0"/>
        <w:snapToGrid w:val="0"/>
        <w:spacing w:before="0" w:beforeAutospacing="0" w:after="0" w:afterAutospacing="0" w:line="440" w:lineRule="exact"/>
        <w:ind w:firstLine="420" w:firstLineChars="200"/>
        <w:jc w:val="left"/>
        <w:textAlignment w:val="auto"/>
        <w:rPr>
          <w:rFonts w:hint="default"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联系电话：</w:t>
      </w:r>
      <w:r>
        <w:rPr>
          <w:rFonts w:hint="eastAsia" w:ascii="宋体" w:hAnsi="宋体" w:cs="宋体"/>
          <w:color w:val="auto"/>
          <w:kern w:val="0"/>
          <w:sz w:val="21"/>
          <w:szCs w:val="21"/>
          <w:highlight w:val="none"/>
          <w:shd w:val="clear" w:color="auto" w:fill="FFFFFF"/>
          <w:lang w:val="en-US" w:eastAsia="zh-CN" w:bidi="ar-SA"/>
        </w:rPr>
        <w:t>15518321111</w:t>
      </w:r>
    </w:p>
    <w:p>
      <w:pPr>
        <w:keepNext w:val="0"/>
        <w:keepLines w:val="0"/>
        <w:pageBreakBefore w:val="0"/>
        <w:widowControl/>
        <w:kinsoku/>
        <w:overflowPunct/>
        <w:topLinePunct w:val="0"/>
        <w:bidi w:val="0"/>
        <w:snapToGrid w:val="0"/>
        <w:spacing w:before="0" w:beforeAutospacing="0" w:after="0" w:afterAutospacing="0" w:line="440" w:lineRule="exact"/>
        <w:ind w:firstLine="420" w:firstLineChars="200"/>
        <w:jc w:val="left"/>
        <w:textAlignment w:val="auto"/>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联系人：陈先生</w:t>
      </w:r>
    </w:p>
    <w:p>
      <w:pPr>
        <w:keepNext w:val="0"/>
        <w:keepLines w:val="0"/>
        <w:pageBreakBefore w:val="0"/>
        <w:widowControl/>
        <w:kinsoku/>
        <w:overflowPunct/>
        <w:topLinePunct w:val="0"/>
        <w:bidi w:val="0"/>
        <w:snapToGrid w:val="0"/>
        <w:spacing w:before="0" w:beforeAutospacing="0" w:after="0" w:afterAutospacing="0" w:line="440" w:lineRule="exact"/>
        <w:ind w:firstLine="420" w:firstLineChars="200"/>
        <w:jc w:val="left"/>
        <w:textAlignment w:val="auto"/>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联系电话：0396-2726379</w:t>
      </w:r>
    </w:p>
    <w:p>
      <w:pPr>
        <w:keepNext w:val="0"/>
        <w:keepLines w:val="0"/>
        <w:pageBreakBefore w:val="0"/>
        <w:widowControl/>
        <w:kinsoku/>
        <w:overflowPunct/>
        <w:topLinePunct w:val="0"/>
        <w:bidi w:val="0"/>
        <w:snapToGrid w:val="0"/>
        <w:spacing w:before="0" w:beforeAutospacing="0" w:after="0" w:afterAutospacing="0" w:line="440" w:lineRule="exact"/>
        <w:ind w:firstLine="420" w:firstLineChars="200"/>
        <w:jc w:val="left"/>
        <w:textAlignment w:val="auto"/>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联系邮箱：</w:t>
      </w:r>
      <w:r>
        <w:rPr>
          <w:rFonts w:hint="eastAsia" w:ascii="宋体" w:hAnsi="宋体" w:eastAsia="宋体" w:cs="宋体"/>
          <w:color w:val="auto"/>
          <w:kern w:val="0"/>
          <w:sz w:val="21"/>
          <w:szCs w:val="21"/>
          <w:shd w:val="clear" w:color="auto" w:fill="FFFFFF"/>
          <w:lang w:val="en-US" w:eastAsia="zh-CN" w:bidi="ar-SA"/>
        </w:rPr>
        <w:fldChar w:fldCharType="begin"/>
      </w:r>
      <w:r>
        <w:rPr>
          <w:rFonts w:hint="eastAsia" w:ascii="宋体" w:hAnsi="宋体" w:eastAsia="宋体" w:cs="宋体"/>
          <w:color w:val="auto"/>
          <w:kern w:val="0"/>
          <w:sz w:val="21"/>
          <w:szCs w:val="21"/>
          <w:shd w:val="clear" w:color="auto" w:fill="FFFFFF"/>
          <w:lang w:val="en-US" w:eastAsia="zh-CN" w:bidi="ar-SA"/>
        </w:rPr>
        <w:instrText xml:space="preserve"> HYPERLINK "mailto:zxyyjzcgbgs@163.com" </w:instrText>
      </w:r>
      <w:r>
        <w:rPr>
          <w:rFonts w:hint="eastAsia" w:ascii="宋体" w:hAnsi="宋体" w:eastAsia="宋体" w:cs="宋体"/>
          <w:color w:val="auto"/>
          <w:kern w:val="0"/>
          <w:sz w:val="21"/>
          <w:szCs w:val="21"/>
          <w:shd w:val="clear" w:color="auto" w:fill="FFFFFF"/>
          <w:lang w:val="en-US" w:eastAsia="zh-CN" w:bidi="ar-SA"/>
        </w:rPr>
        <w:fldChar w:fldCharType="separate"/>
      </w:r>
      <w:r>
        <w:rPr>
          <w:rFonts w:hint="eastAsia" w:ascii="宋体" w:hAnsi="宋体" w:eastAsia="宋体" w:cs="宋体"/>
          <w:color w:val="auto"/>
          <w:kern w:val="0"/>
          <w:sz w:val="21"/>
          <w:szCs w:val="21"/>
          <w:shd w:val="clear" w:color="auto" w:fill="FFFFFF"/>
          <w:lang w:val="en-US" w:eastAsia="zh-CN" w:bidi="ar-SA"/>
        </w:rPr>
        <w:t>zxyyjzcgbgs@163.com</w:t>
      </w:r>
      <w:r>
        <w:rPr>
          <w:rFonts w:hint="eastAsia" w:ascii="宋体" w:hAnsi="宋体" w:eastAsia="宋体" w:cs="宋体"/>
          <w:color w:val="auto"/>
          <w:kern w:val="0"/>
          <w:sz w:val="21"/>
          <w:szCs w:val="21"/>
          <w:shd w:val="clear" w:color="auto" w:fill="FFFFFF"/>
          <w:lang w:val="en-US" w:eastAsia="zh-CN" w:bidi="ar-SA"/>
        </w:rPr>
        <w:fldChar w:fldCharType="end"/>
      </w:r>
    </w:p>
    <w:p>
      <w:pPr>
        <w:keepNext w:val="0"/>
        <w:keepLines w:val="0"/>
        <w:pageBreakBefore w:val="0"/>
        <w:widowControl/>
        <w:kinsoku/>
        <w:overflowPunct/>
        <w:topLinePunct w:val="0"/>
        <w:bidi w:val="0"/>
        <w:snapToGrid w:val="0"/>
        <w:spacing w:before="0" w:beforeAutospacing="0" w:after="0" w:afterAutospacing="0" w:line="440" w:lineRule="exact"/>
        <w:ind w:firstLine="420" w:firstLineChars="200"/>
        <w:jc w:val="left"/>
        <w:textAlignment w:val="auto"/>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监督部门：驻马店市中心医院纪检监察室</w:t>
      </w:r>
    </w:p>
    <w:p>
      <w:pPr>
        <w:keepNext w:val="0"/>
        <w:keepLines w:val="0"/>
        <w:pageBreakBefore w:val="0"/>
        <w:widowControl/>
        <w:kinsoku/>
        <w:overflowPunct/>
        <w:topLinePunct w:val="0"/>
        <w:bidi w:val="0"/>
        <w:snapToGrid w:val="0"/>
        <w:spacing w:before="0" w:beforeAutospacing="0" w:after="0" w:afterAutospacing="0" w:line="440" w:lineRule="exact"/>
        <w:ind w:firstLine="420" w:firstLineChars="200"/>
        <w:jc w:val="left"/>
        <w:textAlignment w:val="auto"/>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监督电话：0396-2725435</w:t>
      </w:r>
    </w:p>
    <w:p>
      <w:pPr>
        <w:pStyle w:val="30"/>
        <w:rPr>
          <w:rFonts w:hint="eastAsia"/>
          <w:lang w:val="en-US" w:eastAsia="zh-CN"/>
        </w:rPr>
      </w:pPr>
    </w:p>
    <w:p>
      <w:pPr>
        <w:widowControl/>
        <w:snapToGrid w:val="0"/>
        <w:spacing w:before="0" w:beforeAutospacing="0" w:after="0" w:afterAutospacing="0" w:line="360" w:lineRule="auto"/>
        <w:ind w:firstLine="420" w:firstLineChars="200"/>
        <w:jc w:val="right"/>
        <w:rPr>
          <w:rFonts w:hint="eastAsia" w:ascii="宋体" w:hAnsi="宋体" w:eastAsia="宋体" w:cs="宋体"/>
          <w:kern w:val="0"/>
          <w:sz w:val="21"/>
          <w:szCs w:val="21"/>
          <w:shd w:val="clear" w:color="auto" w:fill="FFFFFF"/>
          <w:lang w:val="en-US" w:eastAsia="zh-CN" w:bidi="ar-SA"/>
        </w:rPr>
      </w:pPr>
      <w:r>
        <w:rPr>
          <w:rFonts w:hint="eastAsia" w:ascii="宋体" w:hAnsi="宋体" w:eastAsia="宋体" w:cs="宋体"/>
          <w:kern w:val="0"/>
          <w:sz w:val="21"/>
          <w:szCs w:val="21"/>
          <w:shd w:val="clear" w:color="auto" w:fill="FFFFFF"/>
          <w:lang w:val="en-US" w:eastAsia="zh-CN" w:bidi="ar-SA"/>
        </w:rPr>
        <w:t>驻马店市中心医院采购科</w:t>
      </w:r>
    </w:p>
    <w:p>
      <w:pPr>
        <w:pStyle w:val="28"/>
        <w:widowControl/>
        <w:snapToGrid w:val="0"/>
        <w:spacing w:before="0" w:beforeAutospacing="0" w:after="0" w:afterAutospacing="0" w:line="360" w:lineRule="auto"/>
        <w:ind w:firstLine="420" w:firstLineChars="200"/>
        <w:jc w:val="center"/>
        <w:rPr>
          <w:rFonts w:ascii="宋体" w:hAnsi="宋体" w:cs="宋体"/>
          <w:color w:val="auto"/>
          <w:sz w:val="21"/>
          <w:szCs w:val="21"/>
          <w:highlight w:val="none"/>
          <w:shd w:val="clear" w:color="auto" w:fill="FFFFFF"/>
        </w:rPr>
      </w:pPr>
      <w:r>
        <w:rPr>
          <w:rFonts w:hint="eastAsia" w:ascii="宋体" w:hAnsi="宋体" w:cs="宋体"/>
          <w:kern w:val="0"/>
          <w:sz w:val="21"/>
          <w:szCs w:val="21"/>
          <w:shd w:val="clear" w:color="auto" w:fill="FFFFFF"/>
          <w:lang w:val="en-US" w:eastAsia="zh-CN" w:bidi="ar-SA"/>
        </w:rPr>
        <w:t xml:space="preserve">                                                            </w:t>
      </w:r>
      <w:r>
        <w:rPr>
          <w:rFonts w:hint="eastAsia" w:ascii="宋体" w:hAnsi="宋体" w:eastAsia="宋体" w:cs="宋体"/>
          <w:kern w:val="0"/>
          <w:sz w:val="21"/>
          <w:szCs w:val="21"/>
          <w:shd w:val="clear" w:color="auto" w:fill="FFFFFF"/>
          <w:lang w:val="en-US" w:eastAsia="zh-CN" w:bidi="ar-SA"/>
        </w:rPr>
        <w:t>2022年0</w:t>
      </w:r>
      <w:r>
        <w:rPr>
          <w:rFonts w:hint="eastAsia" w:ascii="宋体" w:hAnsi="宋体" w:cs="宋体"/>
          <w:kern w:val="0"/>
          <w:sz w:val="21"/>
          <w:szCs w:val="21"/>
          <w:shd w:val="clear" w:color="auto" w:fill="FFFFFF"/>
          <w:lang w:val="en-US" w:eastAsia="zh-CN" w:bidi="ar-SA"/>
        </w:rPr>
        <w:t>5</w:t>
      </w:r>
      <w:r>
        <w:rPr>
          <w:rFonts w:hint="eastAsia" w:ascii="宋体" w:hAnsi="宋体" w:eastAsia="宋体" w:cs="宋体"/>
          <w:kern w:val="0"/>
          <w:sz w:val="21"/>
          <w:szCs w:val="21"/>
          <w:shd w:val="clear" w:color="auto" w:fill="FFFFFF"/>
          <w:lang w:val="en-US" w:eastAsia="zh-CN" w:bidi="ar-SA"/>
        </w:rPr>
        <w:t>月</w:t>
      </w:r>
      <w:r>
        <w:rPr>
          <w:rFonts w:hint="eastAsia" w:ascii="宋体" w:hAnsi="宋体" w:cs="宋体"/>
          <w:kern w:val="0"/>
          <w:sz w:val="21"/>
          <w:szCs w:val="21"/>
          <w:shd w:val="clear" w:color="auto" w:fill="FFFFFF"/>
          <w:lang w:val="en-US" w:eastAsia="zh-CN" w:bidi="ar-SA"/>
        </w:rPr>
        <w:t>07</w:t>
      </w:r>
      <w:r>
        <w:rPr>
          <w:rFonts w:hint="eastAsia" w:ascii="宋体" w:hAnsi="宋体" w:eastAsia="宋体" w:cs="宋体"/>
          <w:kern w:val="0"/>
          <w:sz w:val="21"/>
          <w:szCs w:val="21"/>
          <w:highlight w:val="none"/>
          <w:shd w:val="clear" w:color="auto" w:fill="FFFFFF"/>
          <w:lang w:val="en-US" w:eastAsia="zh-CN" w:bidi="ar-SA"/>
        </w:rPr>
        <w:t>日</w:t>
      </w:r>
    </w:p>
    <w:p>
      <w:pPr>
        <w:pStyle w:val="28"/>
        <w:widowControl/>
        <w:snapToGrid w:val="0"/>
        <w:spacing w:before="0" w:beforeAutospacing="0" w:after="0" w:afterAutospacing="0" w:line="360" w:lineRule="auto"/>
        <w:ind w:firstLine="420" w:firstLineChars="200"/>
        <w:rPr>
          <w:rFonts w:ascii="宋体" w:hAnsi="宋体" w:cs="宋体"/>
          <w:color w:val="auto"/>
          <w:sz w:val="21"/>
          <w:szCs w:val="21"/>
          <w:highlight w:val="none"/>
          <w:shd w:val="clear" w:color="auto" w:fill="FFFFFF"/>
        </w:rPr>
      </w:pPr>
    </w:p>
    <w:p>
      <w:pPr>
        <w:widowControl/>
        <w:spacing w:line="360" w:lineRule="auto"/>
        <w:ind w:firstLine="480" w:firstLineChars="200"/>
        <w:jc w:val="left"/>
        <w:rPr>
          <w:rFonts w:ascii="宋体" w:hAnsi="宋体" w:cs="宋体"/>
          <w:b/>
          <w:color w:val="auto"/>
          <w:sz w:val="24"/>
          <w:highlight w:val="none"/>
        </w:rPr>
      </w:pPr>
      <w:r>
        <w:rPr>
          <w:rFonts w:hint="eastAsia" w:ascii="宋体" w:hAnsi="宋体" w:cs="宋体"/>
          <w:color w:val="auto"/>
          <w:kern w:val="0"/>
          <w:sz w:val="24"/>
          <w:highlight w:val="none"/>
        </w:rPr>
        <w:t>  </w:t>
      </w:r>
    </w:p>
    <w:p>
      <w:pPr>
        <w:jc w:val="center"/>
        <w:rPr>
          <w:rFonts w:hint="eastAsia" w:ascii="宋体" w:hAnsi="宋体"/>
          <w:b/>
          <w:color w:val="auto"/>
          <w:sz w:val="32"/>
          <w:szCs w:val="32"/>
          <w:highlight w:val="none"/>
        </w:rPr>
      </w:pPr>
      <w:bookmarkStart w:id="34" w:name="_Toc25063"/>
      <w:bookmarkStart w:id="35" w:name="_Toc23793"/>
      <w:bookmarkStart w:id="36" w:name="_Toc29890"/>
    </w:p>
    <w:p>
      <w:pPr>
        <w:jc w:val="center"/>
        <w:rPr>
          <w:rFonts w:ascii="宋体" w:hAnsi="宋体"/>
          <w:b/>
          <w:color w:val="auto"/>
          <w:sz w:val="32"/>
          <w:szCs w:val="32"/>
          <w:highlight w:val="none"/>
        </w:rPr>
      </w:pPr>
      <w:r>
        <w:rPr>
          <w:rFonts w:hint="eastAsia" w:ascii="宋体" w:hAnsi="宋体"/>
          <w:b/>
          <w:color w:val="auto"/>
          <w:sz w:val="32"/>
          <w:szCs w:val="32"/>
          <w:highlight w:val="none"/>
        </w:rPr>
        <w:t xml:space="preserve">第二章  </w:t>
      </w:r>
      <w:r>
        <w:rPr>
          <w:rFonts w:hint="eastAsia" w:ascii="宋体" w:hAnsi="宋体"/>
          <w:b/>
          <w:color w:val="auto"/>
          <w:sz w:val="32"/>
          <w:szCs w:val="32"/>
          <w:highlight w:val="none"/>
          <w:lang w:eastAsia="zh-CN"/>
        </w:rPr>
        <w:t>采购</w:t>
      </w:r>
      <w:r>
        <w:rPr>
          <w:rFonts w:hint="eastAsia" w:ascii="宋体" w:hAnsi="宋体"/>
          <w:b/>
          <w:color w:val="auto"/>
          <w:sz w:val="32"/>
          <w:szCs w:val="32"/>
          <w:highlight w:val="none"/>
        </w:rPr>
        <w:t>需求</w:t>
      </w:r>
      <w:bookmarkEnd w:id="34"/>
      <w:bookmarkStart w:id="37" w:name="_Toc23610"/>
      <w:bookmarkStart w:id="38" w:name="_Toc9989"/>
      <w:bookmarkStart w:id="39" w:name="_Toc31536"/>
    </w:p>
    <w:bookmarkEnd w:id="37"/>
    <w:bookmarkEnd w:id="38"/>
    <w:bookmarkEnd w:id="39"/>
    <w:p>
      <w:pPr>
        <w:pageBreakBefore w:val="0"/>
        <w:widowControl/>
        <w:kinsoku/>
        <w:wordWrap/>
        <w:overflowPunct/>
        <w:topLinePunct w:val="0"/>
        <w:autoSpaceDE/>
        <w:autoSpaceDN/>
        <w:bidi w:val="0"/>
        <w:adjustRightInd/>
        <w:snapToGrid w:val="0"/>
        <w:spacing w:before="0" w:beforeAutospacing="0" w:after="0" w:afterAutospacing="0" w:line="500" w:lineRule="exact"/>
        <w:ind w:left="0" w:leftChars="0" w:firstLine="0" w:firstLineChars="0"/>
        <w:jc w:val="left"/>
        <w:textAlignment w:val="auto"/>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一、项目名称、数量：</w:t>
      </w:r>
      <w:r>
        <w:rPr>
          <w:rFonts w:hint="eastAsia"/>
          <w:lang w:val="en-US" w:eastAsia="zh-CN"/>
        </w:rPr>
        <w:t>驻马店市中心医院视听觉注意力持续操作测验、训练系统采购项目</w:t>
      </w:r>
    </w:p>
    <w:p>
      <w:pPr>
        <w:pageBreakBefore w:val="0"/>
        <w:widowControl/>
        <w:kinsoku/>
        <w:wordWrap/>
        <w:overflowPunct/>
        <w:topLinePunct w:val="0"/>
        <w:autoSpaceDE/>
        <w:autoSpaceDN/>
        <w:bidi w:val="0"/>
        <w:adjustRightInd/>
        <w:snapToGrid w:val="0"/>
        <w:spacing w:before="0" w:beforeAutospacing="0" w:after="0" w:afterAutospacing="0" w:line="500" w:lineRule="exact"/>
        <w:ind w:left="0" w:leftChars="0" w:firstLine="0" w:firstLineChars="0"/>
        <w:jc w:val="left"/>
        <w:textAlignment w:val="auto"/>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 xml:space="preserve">二、项目用途说明：开展新技术新项目需要的诊断及疗效评价软件                                                                         </w:t>
      </w:r>
    </w:p>
    <w:p>
      <w:pPr>
        <w:pageBreakBefore w:val="0"/>
        <w:widowControl/>
        <w:kinsoku/>
        <w:wordWrap/>
        <w:overflowPunct/>
        <w:topLinePunct w:val="0"/>
        <w:autoSpaceDE/>
        <w:autoSpaceDN/>
        <w:bidi w:val="0"/>
        <w:adjustRightInd/>
        <w:snapToGrid w:val="0"/>
        <w:spacing w:before="0" w:beforeAutospacing="0" w:after="0" w:afterAutospacing="0" w:line="500" w:lineRule="exact"/>
        <w:jc w:val="left"/>
        <w:textAlignment w:val="auto"/>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三、配置规格、附件及零配件（包括专用工具）：</w:t>
      </w:r>
    </w:p>
    <w:p>
      <w:pPr>
        <w:pageBreakBefore w:val="0"/>
        <w:widowControl/>
        <w:kinsoku/>
        <w:wordWrap/>
        <w:overflowPunct/>
        <w:topLinePunct w:val="0"/>
        <w:autoSpaceDE/>
        <w:autoSpaceDN/>
        <w:bidi w:val="0"/>
        <w:adjustRightInd/>
        <w:snapToGrid w:val="0"/>
        <w:spacing w:before="0" w:beforeAutospacing="0" w:after="0" w:afterAutospacing="0" w:line="500" w:lineRule="exact"/>
        <w:jc w:val="left"/>
        <w:textAlignment w:val="auto"/>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1、软件安装光盘一套</w:t>
      </w:r>
    </w:p>
    <w:p>
      <w:pPr>
        <w:pageBreakBefore w:val="0"/>
        <w:widowControl/>
        <w:kinsoku/>
        <w:wordWrap/>
        <w:overflowPunct/>
        <w:topLinePunct w:val="0"/>
        <w:autoSpaceDE/>
        <w:autoSpaceDN/>
        <w:bidi w:val="0"/>
        <w:adjustRightInd/>
        <w:snapToGrid w:val="0"/>
        <w:spacing w:before="0" w:beforeAutospacing="0" w:after="0" w:afterAutospacing="0" w:line="500" w:lineRule="exact"/>
        <w:jc w:val="left"/>
        <w:textAlignment w:val="auto"/>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2、硬件加密狗1个</w:t>
      </w:r>
    </w:p>
    <w:p>
      <w:pPr>
        <w:pageBreakBefore w:val="0"/>
        <w:widowControl/>
        <w:kinsoku/>
        <w:wordWrap/>
        <w:overflowPunct/>
        <w:topLinePunct w:val="0"/>
        <w:autoSpaceDE/>
        <w:autoSpaceDN/>
        <w:bidi w:val="0"/>
        <w:adjustRightInd/>
        <w:snapToGrid w:val="0"/>
        <w:spacing w:before="0" w:beforeAutospacing="0" w:after="0" w:afterAutospacing="0" w:line="500" w:lineRule="exact"/>
        <w:jc w:val="left"/>
        <w:textAlignment w:val="auto"/>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3、硬盘1个</w:t>
      </w:r>
    </w:p>
    <w:p>
      <w:pPr>
        <w:pageBreakBefore w:val="0"/>
        <w:widowControl/>
        <w:kinsoku/>
        <w:wordWrap/>
        <w:overflowPunct/>
        <w:topLinePunct w:val="0"/>
        <w:autoSpaceDE/>
        <w:autoSpaceDN/>
        <w:bidi w:val="0"/>
        <w:adjustRightInd/>
        <w:snapToGrid w:val="0"/>
        <w:spacing w:before="0" w:beforeAutospacing="0" w:after="0" w:afterAutospacing="0" w:line="500" w:lineRule="exact"/>
        <w:jc w:val="left"/>
        <w:textAlignment w:val="auto"/>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 xml:space="preserve">4.软件使用说明书一册                                                             </w:t>
      </w:r>
    </w:p>
    <w:p>
      <w:pPr>
        <w:pageBreakBefore w:val="0"/>
        <w:widowControl/>
        <w:kinsoku/>
        <w:wordWrap/>
        <w:overflowPunct/>
        <w:topLinePunct w:val="0"/>
        <w:autoSpaceDE/>
        <w:autoSpaceDN/>
        <w:bidi w:val="0"/>
        <w:adjustRightInd/>
        <w:snapToGrid w:val="0"/>
        <w:spacing w:before="0" w:beforeAutospacing="0" w:after="0" w:afterAutospacing="0" w:line="500" w:lineRule="exact"/>
        <w:jc w:val="left"/>
        <w:textAlignment w:val="auto"/>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四、详细技术要求、参数及产品资料等：</w:t>
      </w:r>
    </w:p>
    <w:bookmarkEnd w:id="35"/>
    <w:bookmarkEnd w:id="36"/>
    <w:p>
      <w:pPr>
        <w:snapToGrid w:val="0"/>
        <w:spacing w:line="360" w:lineRule="auto"/>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 xml:space="preserve">（1）注意力测验训练：包含注意力分配测验、注意广度测验、注意稳定性测验、注意转移测验、划消测验等测验和训练等，促进测试者注意力的集中性、持久性、广度、分配及转移灵活性多方面提高。 </w:t>
      </w:r>
    </w:p>
    <w:p>
      <w:pPr>
        <w:snapToGrid w:val="0"/>
        <w:spacing w:line="360" w:lineRule="auto"/>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记忆力测验训练：包含瞬时记忆、短时记忆、长时记忆、记忆保持、记忆再现、记忆再认等测验和训练，扩大测试者记忆的范围、广度，延长记忆保持时间，训练测试者机械识记和意义识记方法，提高记忆的准确性，强化测试者在识记、保持、再认及回忆过程中的记忆策略、技巧。</w:t>
      </w:r>
    </w:p>
    <w:p>
      <w:pPr>
        <w:snapToGrid w:val="0"/>
        <w:spacing w:line="360" w:lineRule="auto"/>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空间知觉测验训练：包含空间知觉测验、速度知觉测验、空间旋转测验等，重点对目标物体形状、大小、方向等方面能力进行测验和训练，全方位提升和强化测试者的空间定向、视觉整合、心像旋转等各方面的能力。</w:t>
      </w:r>
    </w:p>
    <w:p>
      <w:pPr>
        <w:snapToGrid w:val="0"/>
        <w:spacing w:line="360" w:lineRule="auto"/>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（4）逻辑思维测验训练：包含数字运算测验(包括加减乘除)、数字搜索测验、编码测验等，涵盖正向思维、逆向思维、系列关系、类同比较、抽象推理、比较推理等各方面的逻辑思维认知功能训练。</w:t>
      </w:r>
    </w:p>
    <w:p>
      <w:pPr>
        <w:snapToGrid w:val="0"/>
        <w:spacing w:line="360" w:lineRule="auto"/>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 xml:space="preserve">（5）手-眼-脑协调测验训练：包含速度与运动感知测验、视觉反映测验等，既可以用于正常人的手-眼-脑的协调能力训练，也可用于增强测试者手眼结合、左右手协调、视觉追随、动作抑制等各方面的协调、平衡能力,协助患者掌握精细动作。  </w:t>
      </w:r>
    </w:p>
    <w:p>
      <w:pPr>
        <w:snapToGrid w:val="0"/>
        <w:spacing w:line="360" w:lineRule="auto"/>
        <w:jc w:val="left"/>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五、</w:t>
      </w:r>
      <w:r>
        <w:rPr>
          <w:rFonts w:hint="eastAsia" w:ascii="宋体" w:hAnsi="宋体" w:eastAsia="宋体" w:cs="宋体"/>
          <w:b w:val="0"/>
          <w:bCs w:val="0"/>
          <w:sz w:val="21"/>
          <w:szCs w:val="21"/>
        </w:rPr>
        <w:t>售后服务条件及交货日期（或工期）：</w:t>
      </w:r>
    </w:p>
    <w:p>
      <w:pPr>
        <w:snapToGrid w:val="0"/>
        <w:spacing w:line="360" w:lineRule="auto"/>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1、维保期内提供7*24小时的售后咨询服务；</w:t>
      </w:r>
    </w:p>
    <w:p>
      <w:pPr>
        <w:pStyle w:val="2"/>
        <w:spacing w:before="0" w:beforeAutospacing="0" w:after="0" w:afterAutospacing="0"/>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2、若有问题需要远程处理的，两小时内远程处理完毕；       </w:t>
      </w:r>
    </w:p>
    <w:p>
      <w:pPr>
        <w:pStyle w:val="2"/>
        <w:spacing w:before="0" w:beforeAutospacing="0" w:after="0" w:afterAutospacing="0"/>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3、每季度至少一次现场巡检服务，若有问题需要现场处理的24小时内现场处理完毕；  </w:t>
      </w:r>
    </w:p>
    <w:p>
      <w:pPr>
        <w:pStyle w:val="2"/>
        <w:spacing w:before="0" w:beforeAutospacing="0"/>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4、终身免费升级和终身免费的技术支持服务. </w:t>
      </w:r>
    </w:p>
    <w:p>
      <w:pPr>
        <w:snapToGrid w:val="0"/>
        <w:spacing w:line="360" w:lineRule="auto"/>
        <w:jc w:val="center"/>
        <w:rPr>
          <w:rFonts w:hint="eastAsia"/>
          <w:b/>
          <w:bCs/>
          <w:color w:val="auto"/>
          <w:sz w:val="30"/>
          <w:szCs w:val="30"/>
          <w:highlight w:val="none"/>
        </w:rPr>
      </w:pPr>
    </w:p>
    <w:p>
      <w:pPr>
        <w:snapToGrid w:val="0"/>
        <w:spacing w:line="360" w:lineRule="auto"/>
        <w:jc w:val="center"/>
        <w:rPr>
          <w:b/>
          <w:bCs/>
          <w:color w:val="auto"/>
          <w:sz w:val="30"/>
          <w:szCs w:val="30"/>
          <w:highlight w:val="none"/>
        </w:rPr>
      </w:pPr>
      <w:r>
        <w:rPr>
          <w:rFonts w:hint="eastAsia"/>
          <w:b/>
          <w:bCs/>
          <w:color w:val="auto"/>
          <w:sz w:val="30"/>
          <w:szCs w:val="30"/>
          <w:highlight w:val="none"/>
        </w:rPr>
        <w:t>商务要求</w:t>
      </w:r>
    </w:p>
    <w:tbl>
      <w:tblPr>
        <w:tblStyle w:val="33"/>
        <w:tblpPr w:leftFromText="180" w:rightFromText="180" w:vertAnchor="text" w:tblpXSpec="center" w:tblpY="1"/>
        <w:tblOverlap w:val="never"/>
        <w:tblW w:w="911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06"/>
        <w:gridCol w:w="700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0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合同签订时间</w:t>
            </w:r>
          </w:p>
        </w:tc>
        <w:tc>
          <w:tcPr>
            <w:tcW w:w="700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自中标通知书发出之日起</w:t>
            </w:r>
            <w:r>
              <w:rPr>
                <w:rFonts w:hint="eastAsia" w:ascii="宋体" w:hAnsi="宋体" w:cs="宋体"/>
                <w:color w:val="auto"/>
                <w:kern w:val="0"/>
                <w:szCs w:val="21"/>
                <w:highlight w:val="none"/>
                <w:lang w:val="en-US" w:eastAsia="zh-CN"/>
              </w:rPr>
              <w:t>三十</w:t>
            </w:r>
            <w:r>
              <w:rPr>
                <w:rFonts w:hint="eastAsia" w:ascii="宋体" w:hAnsi="宋体" w:cs="宋体"/>
                <w:color w:val="auto"/>
                <w:kern w:val="0"/>
                <w:szCs w:val="21"/>
                <w:highlight w:val="none"/>
              </w:rPr>
              <w:t>个</w:t>
            </w:r>
            <w:r>
              <w:rPr>
                <w:rFonts w:hint="eastAsia" w:ascii="宋体" w:hAnsi="宋体" w:cs="宋体"/>
                <w:color w:val="auto"/>
                <w:kern w:val="0"/>
                <w:szCs w:val="21"/>
                <w:highlight w:val="none"/>
                <w:lang w:val="en-US" w:eastAsia="zh-CN"/>
              </w:rPr>
              <w:t>日历日</w:t>
            </w:r>
            <w:r>
              <w:rPr>
                <w:rFonts w:hint="eastAsia" w:ascii="宋体" w:hAnsi="宋体" w:cs="宋体"/>
                <w:color w:val="auto"/>
                <w:kern w:val="0"/>
                <w:szCs w:val="21"/>
                <w:highlight w:val="none"/>
              </w:rPr>
              <w:t>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0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交货地点</w:t>
            </w:r>
          </w:p>
        </w:tc>
        <w:tc>
          <w:tcPr>
            <w:tcW w:w="700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hint="default" w:ascii="宋体" w:hAnsi="宋体" w:eastAsia="宋体" w:cs="宋体"/>
                <w:color w:val="auto"/>
                <w:kern w:val="0"/>
                <w:szCs w:val="21"/>
                <w:highlight w:val="none"/>
                <w:lang w:val="en-US" w:eastAsia="zh-CN"/>
              </w:rPr>
            </w:pPr>
            <w:r>
              <w:rPr>
                <w:rFonts w:hint="eastAsia" w:ascii="宋体" w:hAnsi="宋体" w:eastAsia="宋体" w:cs="宋体"/>
                <w:lang w:val="en-US" w:eastAsia="zh-CN"/>
              </w:rPr>
              <w:t>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0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hint="eastAsia" w:ascii="宋体" w:hAnsi="宋体" w:eastAsia="宋体" w:cs="宋体"/>
                <w:color w:val="FF0000"/>
                <w:kern w:val="0"/>
                <w:szCs w:val="21"/>
                <w:highlight w:val="none"/>
                <w:lang w:eastAsia="zh-CN"/>
              </w:rPr>
            </w:pPr>
            <w:r>
              <w:rPr>
                <w:rFonts w:hint="eastAsia" w:ascii="宋体" w:hAnsi="宋体" w:cs="宋体"/>
                <w:color w:val="auto"/>
                <w:kern w:val="0"/>
                <w:szCs w:val="21"/>
                <w:highlight w:val="none"/>
                <w:lang w:val="en-US" w:eastAsia="zh-CN"/>
              </w:rPr>
              <w:t>合同履行期限</w:t>
            </w:r>
          </w:p>
        </w:tc>
        <w:tc>
          <w:tcPr>
            <w:tcW w:w="700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ascii="宋体" w:hAnsi="宋体" w:cs="宋体"/>
                <w:color w:val="FF0000"/>
                <w:kern w:val="0"/>
                <w:szCs w:val="21"/>
                <w:highlight w:val="none"/>
              </w:rPr>
            </w:pPr>
            <w:r>
              <w:rPr>
                <w:rFonts w:hint="eastAsia" w:ascii="宋体" w:hAnsi="宋体" w:cs="宋体"/>
                <w:color w:val="auto"/>
                <w:kern w:val="0"/>
                <w:szCs w:val="21"/>
                <w:highlight w:val="none"/>
                <w:lang w:eastAsia="zh-CN"/>
              </w:rPr>
              <w:t>以采购人要求为准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0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验   收</w:t>
            </w:r>
          </w:p>
        </w:tc>
        <w:tc>
          <w:tcPr>
            <w:tcW w:w="700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由采购人按照有关规定组织验收。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0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质量要求</w:t>
            </w:r>
          </w:p>
        </w:tc>
        <w:tc>
          <w:tcPr>
            <w:tcW w:w="700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合格。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0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付款方式</w:t>
            </w:r>
          </w:p>
        </w:tc>
        <w:tc>
          <w:tcPr>
            <w:tcW w:w="700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以供货合同签订为准。</w:t>
            </w:r>
          </w:p>
        </w:tc>
      </w:tr>
    </w:tbl>
    <w:p>
      <w:pPr>
        <w:snapToGrid w:val="0"/>
        <w:spacing w:line="480" w:lineRule="auto"/>
        <w:jc w:val="center"/>
        <w:rPr>
          <w:b/>
          <w:bCs/>
          <w:color w:val="auto"/>
          <w:sz w:val="30"/>
          <w:szCs w:val="30"/>
          <w:highlight w:val="none"/>
        </w:rPr>
      </w:pPr>
      <w:r>
        <w:rPr>
          <w:rFonts w:hint="eastAsia"/>
          <w:b/>
          <w:bCs/>
          <w:color w:val="auto"/>
          <w:sz w:val="30"/>
          <w:szCs w:val="30"/>
          <w:highlight w:val="none"/>
        </w:rPr>
        <w:t>采购人对项目的特殊要求及说明</w:t>
      </w:r>
    </w:p>
    <w:tbl>
      <w:tblPr>
        <w:tblStyle w:val="33"/>
        <w:tblW w:w="936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68"/>
        <w:gridCol w:w="80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76" w:hRule="atLeast"/>
        </w:trPr>
        <w:tc>
          <w:tcPr>
            <w:tcW w:w="136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采购人的特殊要求及说明理由</w:t>
            </w:r>
          </w:p>
        </w:tc>
        <w:tc>
          <w:tcPr>
            <w:tcW w:w="8001"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不接受联合体投标，不允许转包和分包。</w:t>
            </w:r>
          </w:p>
          <w:p>
            <w:pPr>
              <w:widowControl/>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、授权评标委员会确定一名中标人并推荐两名中标候选人。</w:t>
            </w:r>
          </w:p>
          <w:p>
            <w:pPr>
              <w:widowControl/>
              <w:snapToGrid w:val="0"/>
              <w:spacing w:line="360" w:lineRule="auto"/>
              <w:rPr>
                <w:rFonts w:ascii="宋体" w:hAnsi="宋体" w:cs="宋体"/>
                <w:color w:val="auto"/>
                <w:spacing w:val="14"/>
                <w:szCs w:val="21"/>
                <w:highlight w:val="none"/>
              </w:rPr>
            </w:pPr>
            <w:r>
              <w:rPr>
                <w:rFonts w:hint="eastAsia"/>
                <w:color w:val="auto"/>
                <w:sz w:val="21"/>
                <w:szCs w:val="21"/>
                <w:highlight w:val="none"/>
                <w:lang w:val="en-US" w:eastAsia="zh-CN"/>
              </w:rPr>
              <w:t>3</w:t>
            </w:r>
            <w:r>
              <w:rPr>
                <w:rFonts w:hint="eastAsia"/>
                <w:color w:val="auto"/>
                <w:sz w:val="21"/>
                <w:szCs w:val="21"/>
                <w:highlight w:val="none"/>
              </w:rPr>
              <w:t>、</w:t>
            </w:r>
            <w:r>
              <w:rPr>
                <w:rFonts w:hint="eastAsia" w:ascii="宋体" w:hAnsi="宋体" w:cs="宋体"/>
                <w:color w:val="auto"/>
                <w:spacing w:val="14"/>
                <w:szCs w:val="21"/>
                <w:highlight w:val="none"/>
              </w:rPr>
              <w:t>供应商应根据</w:t>
            </w:r>
            <w:r>
              <w:rPr>
                <w:rFonts w:hint="eastAsia" w:ascii="宋体" w:hAnsi="宋体" w:cs="宋体"/>
                <w:color w:val="auto"/>
                <w:spacing w:val="14"/>
                <w:szCs w:val="21"/>
                <w:highlight w:val="none"/>
                <w:lang w:eastAsia="zh-CN"/>
              </w:rPr>
              <w:t>采购</w:t>
            </w:r>
            <w:r>
              <w:rPr>
                <w:rFonts w:hint="eastAsia" w:ascii="宋体" w:hAnsi="宋体" w:cs="宋体"/>
                <w:color w:val="auto"/>
                <w:spacing w:val="14"/>
                <w:szCs w:val="21"/>
                <w:highlight w:val="none"/>
              </w:rPr>
              <w:t>文件的要求提供技术响应表、商务响应表等内容以对</w:t>
            </w:r>
            <w:r>
              <w:rPr>
                <w:rFonts w:hint="eastAsia" w:ascii="宋体" w:hAnsi="宋体" w:cs="宋体"/>
                <w:color w:val="auto"/>
                <w:spacing w:val="14"/>
                <w:szCs w:val="21"/>
                <w:highlight w:val="none"/>
                <w:lang w:eastAsia="zh-CN"/>
              </w:rPr>
              <w:t>采购</w:t>
            </w:r>
            <w:r>
              <w:rPr>
                <w:rFonts w:hint="eastAsia" w:ascii="宋体" w:hAnsi="宋体" w:cs="宋体"/>
                <w:color w:val="auto"/>
                <w:spacing w:val="14"/>
                <w:szCs w:val="21"/>
                <w:highlight w:val="none"/>
              </w:rPr>
              <w:t>文件作出响应。</w:t>
            </w:r>
          </w:p>
        </w:tc>
      </w:tr>
    </w:tbl>
    <w:p>
      <w:pPr>
        <w:rPr>
          <w:color w:val="auto"/>
          <w:highlight w:val="none"/>
        </w:rPr>
      </w:pPr>
    </w:p>
    <w:p>
      <w:pPr>
        <w:jc w:val="center"/>
        <w:rPr>
          <w:rFonts w:hint="eastAsia"/>
          <w:b/>
          <w:bCs/>
          <w:color w:val="auto"/>
          <w:sz w:val="32"/>
          <w:szCs w:val="32"/>
          <w:highlight w:val="none"/>
        </w:rPr>
        <w:sectPr>
          <w:headerReference r:id="rId5" w:type="default"/>
          <w:footerReference r:id="rId6" w:type="default"/>
          <w:pgSz w:w="11906" w:h="16838"/>
          <w:pgMar w:top="1417" w:right="1474" w:bottom="1417" w:left="1474" w:header="851" w:footer="624" w:gutter="0"/>
          <w:pgNumType w:fmt="decimal"/>
          <w:cols w:space="720" w:num="1"/>
          <w:docGrid w:type="lines" w:linePitch="319" w:charSpace="0"/>
        </w:sectPr>
      </w:pPr>
      <w:bookmarkStart w:id="40" w:name="_Toc14504"/>
    </w:p>
    <w:p>
      <w:pPr>
        <w:jc w:val="center"/>
        <w:rPr>
          <w:b/>
          <w:bCs/>
          <w:color w:val="auto"/>
          <w:sz w:val="32"/>
          <w:szCs w:val="32"/>
          <w:highlight w:val="none"/>
        </w:rPr>
      </w:pPr>
      <w:r>
        <w:rPr>
          <w:rFonts w:hint="eastAsia"/>
          <w:b/>
          <w:bCs/>
          <w:color w:val="auto"/>
          <w:sz w:val="32"/>
          <w:szCs w:val="32"/>
          <w:highlight w:val="none"/>
        </w:rPr>
        <w:t>第三章  投标人须知</w:t>
      </w:r>
      <w:bookmarkEnd w:id="40"/>
    </w:p>
    <w:p>
      <w:pPr>
        <w:snapToGrid w:val="0"/>
        <w:spacing w:beforeLines="50" w:line="360" w:lineRule="auto"/>
        <w:jc w:val="center"/>
        <w:rPr>
          <w:rFonts w:ascii="宋体" w:hAnsi="宋体"/>
          <w:color w:val="auto"/>
          <w:sz w:val="28"/>
          <w:szCs w:val="28"/>
          <w:highlight w:val="none"/>
        </w:rPr>
      </w:pPr>
      <w:r>
        <w:rPr>
          <w:rFonts w:hint="eastAsia" w:ascii="宋体" w:hAnsi="宋体"/>
          <w:color w:val="auto"/>
          <w:sz w:val="28"/>
          <w:szCs w:val="28"/>
          <w:highlight w:val="none"/>
        </w:rPr>
        <w:t>投标人须知前附表</w:t>
      </w:r>
    </w:p>
    <w:tbl>
      <w:tblPr>
        <w:tblStyle w:val="33"/>
        <w:tblW w:w="9183" w:type="dxa"/>
        <w:jc w:val="center"/>
        <w:tblLayout w:type="fixed"/>
        <w:tblCellMar>
          <w:top w:w="0" w:type="dxa"/>
          <w:left w:w="0" w:type="dxa"/>
          <w:bottom w:w="0" w:type="dxa"/>
          <w:right w:w="0" w:type="dxa"/>
        </w:tblCellMar>
      </w:tblPr>
      <w:tblGrid>
        <w:gridCol w:w="696"/>
        <w:gridCol w:w="8487"/>
      </w:tblGrid>
      <w:tr>
        <w:tblPrEx>
          <w:tblCellMar>
            <w:top w:w="0" w:type="dxa"/>
            <w:left w:w="0" w:type="dxa"/>
            <w:bottom w:w="0" w:type="dxa"/>
            <w:right w:w="0" w:type="dxa"/>
          </w:tblCellMar>
        </w:tblPrEx>
        <w:trPr>
          <w:trHeight w:val="450" w:hRule="atLeast"/>
          <w:jc w:val="center"/>
        </w:trPr>
        <w:tc>
          <w:tcPr>
            <w:tcW w:w="696" w:type="dxa"/>
            <w:tcBorders>
              <w:top w:val="single" w:color="auto" w:sz="8"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序号</w:t>
            </w:r>
          </w:p>
        </w:tc>
        <w:tc>
          <w:tcPr>
            <w:tcW w:w="8487" w:type="dxa"/>
            <w:tcBorders>
              <w:top w:val="single" w:color="auto" w:sz="8"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内容、要求</w:t>
            </w:r>
          </w:p>
        </w:tc>
      </w:tr>
      <w:tr>
        <w:tblPrEx>
          <w:tblCellMar>
            <w:top w:w="0" w:type="dxa"/>
            <w:left w:w="0" w:type="dxa"/>
            <w:bottom w:w="0" w:type="dxa"/>
            <w:right w:w="0" w:type="dxa"/>
          </w:tblCellMar>
        </w:tblPrEx>
        <w:trPr>
          <w:trHeight w:val="680" w:hRule="atLeast"/>
          <w:jc w:val="center"/>
        </w:trPr>
        <w:tc>
          <w:tcPr>
            <w:tcW w:w="69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8487"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outlineLvl w:val="0"/>
              <w:rPr>
                <w:rFonts w:hint="default"/>
                <w:color w:val="auto"/>
                <w:highlight w:val="none"/>
                <w:lang w:val="en-US"/>
              </w:rPr>
            </w:pPr>
            <w:r>
              <w:rPr>
                <w:rFonts w:hint="eastAsia"/>
                <w:color w:val="auto"/>
                <w:highlight w:val="none"/>
              </w:rPr>
              <w:t>1.1 项目名称：</w:t>
            </w:r>
            <w:r>
              <w:rPr>
                <w:rFonts w:hint="eastAsia"/>
                <w:color w:val="auto"/>
                <w:highlight w:val="none"/>
                <w:lang w:val="en-US" w:eastAsia="zh-CN"/>
              </w:rPr>
              <w:t>驻马店市中心医院视听觉注意力持续操作测验、训练系统采购项目</w:t>
            </w:r>
          </w:p>
          <w:p>
            <w:pPr>
              <w:widowControl/>
              <w:snapToGrid w:val="0"/>
              <w:spacing w:line="440" w:lineRule="exact"/>
              <w:jc w:val="left"/>
              <w:outlineLvl w:val="0"/>
              <w:rPr>
                <w:color w:val="auto"/>
                <w:highlight w:val="none"/>
              </w:rPr>
            </w:pPr>
            <w:r>
              <w:rPr>
                <w:rFonts w:hint="eastAsia"/>
                <w:color w:val="auto"/>
                <w:highlight w:val="none"/>
              </w:rPr>
              <w:t>1.2 采购人名称：</w:t>
            </w:r>
            <w:r>
              <w:rPr>
                <w:rFonts w:hint="eastAsia" w:ascii="宋体" w:hAnsi="宋体" w:eastAsia="宋体" w:cs="宋体"/>
              </w:rPr>
              <w:t>驻马店市中心医院</w:t>
            </w:r>
          </w:p>
          <w:p>
            <w:pPr>
              <w:widowControl/>
              <w:snapToGrid w:val="0"/>
              <w:spacing w:line="440" w:lineRule="exact"/>
              <w:jc w:val="left"/>
              <w:outlineLvl w:val="0"/>
              <w:rPr>
                <w:rFonts w:ascii="Times New Roman" w:hAnsi="Times New Roman" w:eastAsia="宋体" w:cs="Times New Roman"/>
                <w:color w:val="auto"/>
                <w:kern w:val="2"/>
                <w:sz w:val="21"/>
                <w:szCs w:val="24"/>
                <w:highlight w:val="none"/>
                <w:lang w:val="en-US" w:eastAsia="zh-CN" w:bidi="ar-SA"/>
              </w:rPr>
            </w:pPr>
            <w:r>
              <w:rPr>
                <w:rFonts w:hint="eastAsia"/>
                <w:color w:val="auto"/>
                <w:highlight w:val="none"/>
              </w:rPr>
              <w:t>1.</w:t>
            </w:r>
            <w:r>
              <w:rPr>
                <w:rFonts w:hint="eastAsia"/>
                <w:color w:val="auto"/>
                <w:highlight w:val="none"/>
                <w:lang w:val="en-US" w:eastAsia="zh-CN"/>
              </w:rPr>
              <w:t>3</w:t>
            </w:r>
            <w:r>
              <w:rPr>
                <w:rFonts w:hint="eastAsia"/>
                <w:color w:val="auto"/>
                <w:highlight w:val="none"/>
              </w:rPr>
              <w:t>采购范围：详</w:t>
            </w:r>
            <w:r>
              <w:rPr>
                <w:rFonts w:hint="eastAsia"/>
                <w:color w:val="auto"/>
                <w:highlight w:val="none"/>
                <w:lang w:val="en-US" w:eastAsia="zh-CN"/>
              </w:rPr>
              <w:t>见第二章采购</w:t>
            </w:r>
            <w:r>
              <w:rPr>
                <w:rFonts w:hint="eastAsia"/>
                <w:color w:val="auto"/>
                <w:highlight w:val="none"/>
              </w:rPr>
              <w:t>需求</w:t>
            </w:r>
          </w:p>
        </w:tc>
      </w:tr>
      <w:tr>
        <w:tblPrEx>
          <w:tblCellMar>
            <w:top w:w="0" w:type="dxa"/>
            <w:left w:w="0" w:type="dxa"/>
            <w:bottom w:w="0" w:type="dxa"/>
            <w:right w:w="0" w:type="dxa"/>
          </w:tblCellMar>
        </w:tblPrEx>
        <w:trPr>
          <w:trHeight w:val="680" w:hRule="atLeast"/>
          <w:jc w:val="center"/>
        </w:trPr>
        <w:tc>
          <w:tcPr>
            <w:tcW w:w="69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8487"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rPr>
                <w:rFonts w:ascii="宋体" w:hAnsi="宋体" w:cs="宋体"/>
                <w:color w:val="auto"/>
                <w:kern w:val="0"/>
                <w:szCs w:val="21"/>
                <w:highlight w:val="none"/>
              </w:rPr>
            </w:pPr>
            <w:r>
              <w:rPr>
                <w:rFonts w:hint="eastAsia" w:ascii="宋体" w:hAnsi="宋体" w:cs="宋体"/>
                <w:color w:val="auto"/>
                <w:kern w:val="0"/>
                <w:szCs w:val="21"/>
                <w:highlight w:val="none"/>
              </w:rPr>
              <w:t>合格投标人：具备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公告第二项规定的条件。</w:t>
            </w:r>
          </w:p>
        </w:tc>
      </w:tr>
      <w:tr>
        <w:tblPrEx>
          <w:tblCellMar>
            <w:top w:w="0" w:type="dxa"/>
            <w:left w:w="0" w:type="dxa"/>
            <w:bottom w:w="0" w:type="dxa"/>
            <w:right w:w="0" w:type="dxa"/>
          </w:tblCellMar>
        </w:tblPrEx>
        <w:trPr>
          <w:trHeight w:val="680" w:hRule="atLeast"/>
          <w:jc w:val="center"/>
        </w:trPr>
        <w:tc>
          <w:tcPr>
            <w:tcW w:w="69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8487"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采购预算（最高投标限价）：</w:t>
            </w:r>
            <w:r>
              <w:rPr>
                <w:rFonts w:hint="eastAsia" w:ascii="宋体" w:hAnsi="宋体" w:cs="宋体"/>
                <w:color w:val="auto"/>
                <w:kern w:val="0"/>
                <w:szCs w:val="21"/>
                <w:highlight w:val="none"/>
                <w:lang w:val="en-US" w:eastAsia="zh-CN"/>
              </w:rPr>
              <w:t>80000.00</w:t>
            </w:r>
            <w:r>
              <w:rPr>
                <w:rFonts w:hint="eastAsia" w:ascii="宋体" w:hAnsi="宋体" w:cs="宋体"/>
                <w:color w:val="auto"/>
                <w:kern w:val="0"/>
                <w:szCs w:val="21"/>
                <w:highlight w:val="none"/>
              </w:rPr>
              <w:t>元</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3.1 本项目投标以人民币报价。</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3.2 供应商的报价超过采购预算，采购人不能支付的，按废标处理。</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3.3 本项目</w:t>
            </w:r>
            <w:r>
              <w:rPr>
                <w:rFonts w:hint="eastAsia" w:ascii="宋体" w:hAnsi="宋体" w:cs="宋体"/>
                <w:color w:val="auto"/>
                <w:kern w:val="0"/>
                <w:szCs w:val="21"/>
                <w:highlight w:val="none"/>
                <w:lang w:val="en-US" w:eastAsia="zh-CN"/>
              </w:rPr>
              <w:t>由成交供应商缴纳</w:t>
            </w:r>
            <w:r>
              <w:rPr>
                <w:rFonts w:hint="eastAsia" w:ascii="宋体" w:hAnsi="宋体" w:cs="宋体"/>
                <w:color w:val="auto"/>
                <w:kern w:val="0"/>
                <w:szCs w:val="21"/>
                <w:highlight w:val="none"/>
              </w:rPr>
              <w:t>招标代理服务费。</w:t>
            </w:r>
          </w:p>
        </w:tc>
      </w:tr>
      <w:tr>
        <w:tblPrEx>
          <w:tblCellMar>
            <w:top w:w="0" w:type="dxa"/>
            <w:left w:w="0" w:type="dxa"/>
            <w:bottom w:w="0" w:type="dxa"/>
            <w:right w:w="0" w:type="dxa"/>
          </w:tblCellMar>
        </w:tblPrEx>
        <w:trPr>
          <w:trHeight w:val="680" w:hRule="atLeast"/>
          <w:jc w:val="center"/>
        </w:trPr>
        <w:tc>
          <w:tcPr>
            <w:tcW w:w="69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8487"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现场踏勘或标前答疑：本项目不组织现场踏勘或标前答疑会。</w:t>
            </w:r>
          </w:p>
        </w:tc>
      </w:tr>
      <w:tr>
        <w:tblPrEx>
          <w:tblCellMar>
            <w:top w:w="0" w:type="dxa"/>
            <w:left w:w="0" w:type="dxa"/>
            <w:bottom w:w="0" w:type="dxa"/>
            <w:right w:w="0" w:type="dxa"/>
          </w:tblCellMar>
        </w:tblPrEx>
        <w:trPr>
          <w:trHeight w:val="680" w:hRule="atLeast"/>
          <w:jc w:val="center"/>
        </w:trPr>
        <w:tc>
          <w:tcPr>
            <w:tcW w:w="69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8487"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pPr>
            <w:r>
              <w:rPr>
                <w:rFonts w:hint="eastAsia" w:ascii="宋体" w:hAnsi="宋体" w:eastAsia="宋体" w:cs="宋体"/>
              </w:rPr>
              <w:t>投标文件组成：纸质投标文件正本1份</w:t>
            </w:r>
            <w:r>
              <w:rPr>
                <w:rFonts w:hint="eastAsia" w:ascii="宋体" w:hAnsi="宋体" w:eastAsia="宋体" w:cs="宋体"/>
                <w:lang w:eastAsia="zh-CN"/>
              </w:rPr>
              <w:t>、</w:t>
            </w:r>
            <w:r>
              <w:rPr>
                <w:rFonts w:hint="eastAsia" w:ascii="宋体" w:hAnsi="宋体" w:eastAsia="宋体" w:cs="宋体"/>
                <w:lang w:val="en-US" w:eastAsia="zh-CN"/>
              </w:rPr>
              <w:t>副本2份</w:t>
            </w:r>
            <w:r>
              <w:rPr>
                <w:rFonts w:hint="eastAsia" w:ascii="宋体" w:hAnsi="宋体" w:eastAsia="宋体" w:cs="宋体"/>
              </w:rPr>
              <w:t>。</w:t>
            </w:r>
          </w:p>
        </w:tc>
      </w:tr>
      <w:tr>
        <w:tblPrEx>
          <w:tblCellMar>
            <w:top w:w="0" w:type="dxa"/>
            <w:left w:w="0" w:type="dxa"/>
            <w:bottom w:w="0" w:type="dxa"/>
            <w:right w:w="0" w:type="dxa"/>
          </w:tblCellMar>
        </w:tblPrEx>
        <w:trPr>
          <w:trHeight w:val="680" w:hRule="atLeast"/>
          <w:jc w:val="center"/>
        </w:trPr>
        <w:tc>
          <w:tcPr>
            <w:tcW w:w="69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8487"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投标截止时间</w:t>
            </w:r>
            <w:r>
              <w:rPr>
                <w:rFonts w:hint="eastAsia" w:ascii="宋体" w:hAnsi="宋体" w:cs="宋体"/>
                <w:color w:val="auto"/>
                <w:kern w:val="0"/>
                <w:szCs w:val="21"/>
                <w:highlight w:val="none"/>
                <w:lang w:val="en-US" w:eastAsia="zh-CN"/>
              </w:rPr>
              <w:t>及开标时间</w:t>
            </w:r>
            <w:r>
              <w:rPr>
                <w:rFonts w:hint="eastAsia" w:ascii="宋体" w:hAnsi="宋体" w:cs="宋体"/>
                <w:color w:val="auto"/>
                <w:kern w:val="0"/>
                <w:szCs w:val="21"/>
                <w:highlight w:val="none"/>
              </w:rPr>
              <w:t>：</w:t>
            </w:r>
            <w:r>
              <w:rPr>
                <w:rFonts w:hint="eastAsia" w:ascii="宋体" w:hAnsi="宋体" w:cs="宋体"/>
                <w:color w:val="000000"/>
                <w:szCs w:val="21"/>
                <w:highlight w:val="none"/>
                <w:lang w:val="en-US" w:eastAsia="zh-CN"/>
              </w:rPr>
              <w:t>另行通知</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投标文件递交地点</w:t>
            </w:r>
            <w:r>
              <w:rPr>
                <w:rFonts w:hint="eastAsia" w:ascii="宋体" w:hAnsi="宋体" w:cs="宋体"/>
                <w:color w:val="auto"/>
                <w:kern w:val="0"/>
                <w:szCs w:val="21"/>
                <w:highlight w:val="none"/>
                <w:lang w:val="en-US" w:eastAsia="zh-CN"/>
              </w:rPr>
              <w:t>及开标地点</w:t>
            </w:r>
            <w:r>
              <w:rPr>
                <w:rFonts w:hint="eastAsia" w:ascii="宋体" w:hAnsi="宋体" w:cs="宋体"/>
                <w:color w:val="auto"/>
                <w:kern w:val="0"/>
                <w:szCs w:val="21"/>
                <w:highlight w:val="none"/>
              </w:rPr>
              <w:t>：</w:t>
            </w:r>
            <w:r>
              <w:rPr>
                <w:rFonts w:hint="eastAsia" w:ascii="宋体" w:hAnsi="宋体" w:cs="宋体"/>
                <w:color w:val="000000"/>
                <w:szCs w:val="21"/>
                <w:highlight w:val="none"/>
                <w:lang w:val="en-US" w:eastAsia="zh-CN"/>
              </w:rPr>
              <w:t>另行通知</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69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7</w:t>
            </w:r>
          </w:p>
        </w:tc>
        <w:tc>
          <w:tcPr>
            <w:tcW w:w="8487"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440" w:lineRule="exact"/>
              <w:rPr>
                <w:rFonts w:ascii="宋体" w:hAnsi="宋体" w:cs="宋体"/>
                <w:color w:val="auto"/>
                <w:szCs w:val="21"/>
                <w:highlight w:val="none"/>
              </w:rPr>
            </w:pPr>
            <w:r>
              <w:rPr>
                <w:rFonts w:hint="eastAsia" w:ascii="宋体" w:hAnsi="宋体" w:cs="宋体"/>
                <w:color w:val="auto"/>
                <w:szCs w:val="21"/>
                <w:highlight w:val="none"/>
              </w:rPr>
              <w:t>评审委员会成</w:t>
            </w:r>
            <w:r>
              <w:rPr>
                <w:rFonts w:hint="eastAsia" w:ascii="宋体" w:hAnsi="宋体" w:cs="宋体"/>
                <w:color w:val="auto"/>
                <w:kern w:val="0"/>
                <w:szCs w:val="21"/>
                <w:highlight w:val="none"/>
              </w:rPr>
              <w:t>员：</w:t>
            </w:r>
            <w:r>
              <w:rPr>
                <w:rFonts w:hint="eastAsia" w:ascii="宋体" w:hAnsi="宋体" w:cs="宋体"/>
                <w:color w:val="auto"/>
                <w:szCs w:val="21"/>
                <w:highlight w:val="none"/>
                <w:lang w:val="en-US" w:eastAsia="zh-CN"/>
              </w:rPr>
              <w:t>3</w:t>
            </w:r>
            <w:r>
              <w:rPr>
                <w:rFonts w:hint="eastAsia" w:ascii="宋体" w:hAnsi="宋体" w:cs="宋体"/>
                <w:color w:val="auto"/>
                <w:highlight w:val="none"/>
              </w:rPr>
              <w:t>人</w:t>
            </w:r>
            <w:r>
              <w:rPr>
                <w:rFonts w:hint="eastAsia" w:ascii="宋体" w:hAnsi="宋体" w:cs="宋体"/>
                <w:color w:val="auto"/>
                <w:highlight w:val="none"/>
                <w:lang w:val="en-US" w:eastAsia="zh-CN"/>
              </w:rPr>
              <w:t>及以上单数</w:t>
            </w:r>
            <w:r>
              <w:rPr>
                <w:rFonts w:hint="eastAsia" w:ascii="宋体" w:hAnsi="宋体" w:cs="宋体"/>
                <w:color w:val="auto"/>
                <w:kern w:val="0"/>
                <w:szCs w:val="21"/>
                <w:highlight w:val="none"/>
              </w:rPr>
              <w:t>。</w:t>
            </w:r>
          </w:p>
          <w:p>
            <w:pPr>
              <w:widowControl/>
              <w:spacing w:line="440" w:lineRule="exact"/>
              <w:jc w:val="left"/>
              <w:rPr>
                <w:rFonts w:ascii="宋体" w:hAnsi="宋体" w:cs="宋体"/>
                <w:color w:val="auto"/>
                <w:kern w:val="0"/>
                <w:szCs w:val="21"/>
                <w:highlight w:val="none"/>
              </w:rPr>
            </w:pPr>
            <w:r>
              <w:rPr>
                <w:rFonts w:hint="eastAsia" w:ascii="宋体" w:hAnsi="宋体" w:cs="宋体"/>
                <w:color w:val="auto"/>
                <w:szCs w:val="21"/>
                <w:highlight w:val="none"/>
              </w:rPr>
              <w:t>专家确定方式：</w:t>
            </w:r>
            <w:r>
              <w:rPr>
                <w:rFonts w:hint="eastAsia" w:ascii="宋体" w:hAnsi="宋体" w:cs="宋体"/>
                <w:color w:val="auto"/>
                <w:kern w:val="0"/>
                <w:szCs w:val="21"/>
                <w:highlight w:val="none"/>
              </w:rPr>
              <w:t>由采购人</w:t>
            </w:r>
            <w:r>
              <w:rPr>
                <w:rFonts w:hint="eastAsia" w:ascii="宋体" w:hAnsi="宋体" w:cs="宋体"/>
                <w:color w:val="auto"/>
                <w:kern w:val="0"/>
                <w:szCs w:val="21"/>
                <w:highlight w:val="none"/>
                <w:lang w:val="en-US" w:eastAsia="zh-CN"/>
              </w:rPr>
              <w:t>抽取相关的技术人员组成</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69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8 </w:t>
            </w:r>
          </w:p>
        </w:tc>
        <w:tc>
          <w:tcPr>
            <w:tcW w:w="8487"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240" w:lineRule="auto"/>
              <w:rPr>
                <w:rFonts w:ascii="宋体" w:hAnsi="宋体" w:cs="宋体"/>
                <w:color w:val="auto"/>
                <w:kern w:val="0"/>
                <w:szCs w:val="21"/>
                <w:highlight w:val="none"/>
              </w:rPr>
            </w:pPr>
            <w:r>
              <w:rPr>
                <w:rFonts w:hint="eastAsia" w:ascii="宋体" w:hAnsi="宋体" w:cs="宋体"/>
                <w:color w:val="auto"/>
                <w:szCs w:val="21"/>
                <w:highlight w:val="none"/>
              </w:rPr>
              <w:t>评标办法：</w:t>
            </w:r>
            <w:r>
              <w:rPr>
                <w:rFonts w:hint="eastAsia" w:ascii="宋体" w:hAnsi="宋体" w:cs="宋体"/>
                <w:color w:val="auto"/>
                <w:kern w:val="0"/>
                <w:szCs w:val="21"/>
                <w:highlight w:val="none"/>
              </w:rPr>
              <w:t>本项目采用</w:t>
            </w:r>
            <w:r>
              <w:rPr>
                <w:rFonts w:hint="eastAsia" w:ascii="宋体" w:hAnsi="宋体" w:cs="宋体"/>
                <w:color w:val="auto"/>
                <w:szCs w:val="21"/>
                <w:highlight w:val="none"/>
              </w:rPr>
              <w:t>综合评分法</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69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9</w:t>
            </w:r>
          </w:p>
        </w:tc>
        <w:tc>
          <w:tcPr>
            <w:tcW w:w="8487"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中标公告及中标通知书：由采购人授权评标委员会确定一名中标人并推荐两名中标候选人。评审结束后</w:t>
            </w:r>
            <w:r>
              <w:rPr>
                <w:rFonts w:hint="eastAsia" w:ascii="宋体" w:hAnsi="宋体" w:cs="宋体"/>
                <w:color w:val="auto"/>
                <w:kern w:val="0"/>
                <w:szCs w:val="21"/>
                <w:highlight w:val="none"/>
                <w:lang w:val="en-US" w:eastAsia="zh-CN"/>
              </w:rPr>
              <w:t>在</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驻马店市中心医院网</w:t>
            </w:r>
            <w:r>
              <w:rPr>
                <w:rFonts w:hint="eastAsia" w:ascii="宋体" w:hAnsi="宋体" w:cs="宋体"/>
                <w:color w:val="auto"/>
                <w:kern w:val="0"/>
                <w:szCs w:val="21"/>
                <w:highlight w:val="none"/>
                <w:lang w:eastAsia="zh-CN"/>
              </w:rPr>
              <w:t>》</w:t>
            </w:r>
            <w:r>
              <w:rPr>
                <w:rFonts w:hint="eastAsia" w:ascii="宋体" w:hAnsi="宋体" w:cs="Arial"/>
                <w:color w:val="auto"/>
                <w:kern w:val="0"/>
                <w:szCs w:val="21"/>
                <w:highlight w:val="none"/>
              </w:rPr>
              <w:t>上</w:t>
            </w:r>
            <w:r>
              <w:rPr>
                <w:rFonts w:hint="eastAsia" w:ascii="宋体" w:hAnsi="宋体" w:cs="宋体"/>
                <w:color w:val="auto"/>
                <w:kern w:val="0"/>
                <w:szCs w:val="21"/>
                <w:highlight w:val="none"/>
              </w:rPr>
              <w:t>发布中标公告，</w:t>
            </w:r>
            <w:r>
              <w:rPr>
                <w:rFonts w:hint="eastAsia" w:ascii="宋体" w:hAnsi="宋体" w:cs="宋体"/>
                <w:color w:val="auto"/>
                <w:kern w:val="0"/>
                <w:szCs w:val="21"/>
                <w:highlight w:val="none"/>
                <w:lang w:val="en-US" w:eastAsia="zh-CN"/>
              </w:rPr>
              <w:t>公示期结束后</w:t>
            </w:r>
            <w:r>
              <w:rPr>
                <w:rFonts w:hint="eastAsia" w:ascii="宋体" w:hAnsi="宋体" w:cs="宋体"/>
                <w:color w:val="auto"/>
                <w:kern w:val="0"/>
                <w:szCs w:val="21"/>
                <w:highlight w:val="none"/>
              </w:rPr>
              <w:t>向中标人发出中标通知书。</w:t>
            </w:r>
          </w:p>
        </w:tc>
      </w:tr>
      <w:tr>
        <w:tblPrEx>
          <w:tblCellMar>
            <w:top w:w="0" w:type="dxa"/>
            <w:left w:w="0" w:type="dxa"/>
            <w:bottom w:w="0" w:type="dxa"/>
            <w:right w:w="0" w:type="dxa"/>
          </w:tblCellMar>
        </w:tblPrEx>
        <w:trPr>
          <w:trHeight w:val="680" w:hRule="atLeast"/>
          <w:jc w:val="center"/>
        </w:trPr>
        <w:tc>
          <w:tcPr>
            <w:tcW w:w="69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10</w:t>
            </w:r>
          </w:p>
        </w:tc>
        <w:tc>
          <w:tcPr>
            <w:tcW w:w="8487"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签订合同：自中标通知书发出之日起</w:t>
            </w:r>
            <w:r>
              <w:rPr>
                <w:rFonts w:hint="eastAsia" w:ascii="宋体" w:hAnsi="宋体" w:cs="宋体"/>
                <w:color w:val="auto"/>
                <w:kern w:val="0"/>
                <w:szCs w:val="21"/>
                <w:highlight w:val="none"/>
                <w:lang w:val="en-US" w:eastAsia="zh-CN"/>
              </w:rPr>
              <w:t>三十</w:t>
            </w:r>
            <w:r>
              <w:rPr>
                <w:rFonts w:hint="eastAsia" w:ascii="宋体" w:hAnsi="宋体" w:cs="宋体"/>
                <w:color w:val="auto"/>
                <w:kern w:val="0"/>
                <w:szCs w:val="21"/>
                <w:highlight w:val="none"/>
              </w:rPr>
              <w:t>个</w:t>
            </w:r>
            <w:r>
              <w:rPr>
                <w:rFonts w:hint="eastAsia" w:ascii="宋体" w:hAnsi="宋体" w:cs="宋体"/>
                <w:color w:val="auto"/>
                <w:kern w:val="0"/>
                <w:szCs w:val="21"/>
                <w:highlight w:val="none"/>
                <w:lang w:val="en-US" w:eastAsia="zh-CN"/>
              </w:rPr>
              <w:t>日历</w:t>
            </w:r>
            <w:r>
              <w:rPr>
                <w:rFonts w:hint="eastAsia" w:ascii="宋体" w:hAnsi="宋体" w:cs="宋体"/>
                <w:color w:val="auto"/>
                <w:kern w:val="0"/>
                <w:szCs w:val="21"/>
                <w:highlight w:val="none"/>
              </w:rPr>
              <w:t>日内。</w:t>
            </w:r>
          </w:p>
        </w:tc>
      </w:tr>
      <w:tr>
        <w:tblPrEx>
          <w:tblCellMar>
            <w:top w:w="0" w:type="dxa"/>
            <w:left w:w="0" w:type="dxa"/>
            <w:bottom w:w="0" w:type="dxa"/>
            <w:right w:w="0" w:type="dxa"/>
          </w:tblCellMar>
        </w:tblPrEx>
        <w:trPr>
          <w:trHeight w:val="680" w:hRule="atLeast"/>
          <w:jc w:val="center"/>
        </w:trPr>
        <w:tc>
          <w:tcPr>
            <w:tcW w:w="69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FF0000"/>
                <w:kern w:val="0"/>
                <w:szCs w:val="21"/>
                <w:highlight w:val="none"/>
              </w:rPr>
            </w:pPr>
            <w:r>
              <w:rPr>
                <w:rFonts w:hint="eastAsia" w:ascii="宋体" w:hAnsi="宋体" w:cs="宋体"/>
                <w:color w:val="auto"/>
                <w:kern w:val="0"/>
                <w:szCs w:val="21"/>
                <w:highlight w:val="none"/>
              </w:rPr>
              <w:t>11</w:t>
            </w:r>
          </w:p>
        </w:tc>
        <w:tc>
          <w:tcPr>
            <w:tcW w:w="8487"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FF0000"/>
                <w:kern w:val="0"/>
                <w:szCs w:val="21"/>
                <w:highlight w:val="none"/>
              </w:rPr>
            </w:pPr>
            <w:r>
              <w:rPr>
                <w:rFonts w:hint="eastAsia" w:ascii="宋体" w:hAnsi="宋体" w:cs="宋体"/>
                <w:color w:val="auto"/>
                <w:kern w:val="0"/>
                <w:szCs w:val="21"/>
                <w:highlight w:val="none"/>
              </w:rPr>
              <w:t>采购资金来源：自筹资金。</w:t>
            </w:r>
          </w:p>
        </w:tc>
      </w:tr>
      <w:tr>
        <w:tblPrEx>
          <w:tblCellMar>
            <w:top w:w="0" w:type="dxa"/>
            <w:left w:w="0" w:type="dxa"/>
            <w:bottom w:w="0" w:type="dxa"/>
            <w:right w:w="0" w:type="dxa"/>
          </w:tblCellMar>
        </w:tblPrEx>
        <w:trPr>
          <w:trHeight w:val="680" w:hRule="atLeast"/>
          <w:jc w:val="center"/>
        </w:trPr>
        <w:tc>
          <w:tcPr>
            <w:tcW w:w="69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12</w:t>
            </w:r>
          </w:p>
        </w:tc>
        <w:tc>
          <w:tcPr>
            <w:tcW w:w="8487"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付款方式：详见第二章</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需求。</w:t>
            </w:r>
          </w:p>
        </w:tc>
      </w:tr>
      <w:tr>
        <w:tblPrEx>
          <w:tblCellMar>
            <w:top w:w="0" w:type="dxa"/>
            <w:left w:w="0" w:type="dxa"/>
            <w:bottom w:w="0" w:type="dxa"/>
            <w:right w:w="0" w:type="dxa"/>
          </w:tblCellMar>
        </w:tblPrEx>
        <w:trPr>
          <w:trHeight w:val="678" w:hRule="atLeast"/>
          <w:jc w:val="center"/>
        </w:trPr>
        <w:tc>
          <w:tcPr>
            <w:tcW w:w="69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13</w:t>
            </w:r>
          </w:p>
        </w:tc>
        <w:tc>
          <w:tcPr>
            <w:tcW w:w="8487"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投标文件有效期：投标</w:t>
            </w:r>
            <w:r>
              <w:rPr>
                <w:rFonts w:hint="eastAsia" w:ascii="宋体" w:hAnsi="宋体" w:cs="宋体"/>
                <w:color w:val="auto"/>
                <w:kern w:val="0"/>
                <w:szCs w:val="21"/>
                <w:highlight w:val="none"/>
                <w:lang w:val="en-US" w:eastAsia="zh-CN"/>
              </w:rPr>
              <w:t>文件递交</w:t>
            </w:r>
            <w:r>
              <w:rPr>
                <w:rFonts w:hint="eastAsia" w:ascii="宋体" w:hAnsi="宋体" w:cs="宋体"/>
                <w:color w:val="auto"/>
                <w:kern w:val="0"/>
                <w:szCs w:val="21"/>
                <w:highlight w:val="none"/>
              </w:rPr>
              <w:t>截止期结束后</w:t>
            </w:r>
            <w:r>
              <w:rPr>
                <w:rFonts w:hint="eastAsia" w:ascii="宋体" w:hAnsi="宋体" w:cs="宋体"/>
                <w:color w:val="auto"/>
                <w:kern w:val="0"/>
                <w:szCs w:val="21"/>
                <w:highlight w:val="none"/>
                <w:lang w:val="en-US" w:eastAsia="zh-CN"/>
              </w:rPr>
              <w:t>90</w:t>
            </w:r>
            <w:r>
              <w:rPr>
                <w:rFonts w:hint="eastAsia" w:ascii="宋体" w:hAnsi="宋体" w:cs="宋体"/>
                <w:color w:val="auto"/>
                <w:kern w:val="0"/>
                <w:szCs w:val="21"/>
                <w:highlight w:val="none"/>
              </w:rPr>
              <w:t>日。中标人的投标文件是合同的组成部分,有效期至合同完全履行止。 </w:t>
            </w:r>
          </w:p>
        </w:tc>
      </w:tr>
      <w:tr>
        <w:tblPrEx>
          <w:tblCellMar>
            <w:top w:w="0" w:type="dxa"/>
            <w:left w:w="0" w:type="dxa"/>
            <w:bottom w:w="0" w:type="dxa"/>
            <w:right w:w="0" w:type="dxa"/>
          </w:tblCellMar>
        </w:tblPrEx>
        <w:trPr>
          <w:trHeight w:val="678" w:hRule="atLeast"/>
          <w:jc w:val="center"/>
        </w:trPr>
        <w:tc>
          <w:tcPr>
            <w:tcW w:w="69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14</w:t>
            </w:r>
          </w:p>
        </w:tc>
        <w:tc>
          <w:tcPr>
            <w:tcW w:w="8487"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szCs w:val="21"/>
                <w:highlight w:val="none"/>
              </w:rPr>
              <w:t>供应商须提供信用中国网站、中国政府采购网网站查询的网页截图。</w:t>
            </w:r>
          </w:p>
        </w:tc>
      </w:tr>
      <w:tr>
        <w:tblPrEx>
          <w:tblCellMar>
            <w:top w:w="0" w:type="dxa"/>
            <w:left w:w="0" w:type="dxa"/>
            <w:bottom w:w="0" w:type="dxa"/>
            <w:right w:w="0" w:type="dxa"/>
          </w:tblCellMar>
        </w:tblPrEx>
        <w:trPr>
          <w:trHeight w:val="678" w:hRule="atLeast"/>
          <w:jc w:val="center"/>
        </w:trPr>
        <w:tc>
          <w:tcPr>
            <w:tcW w:w="69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15</w:t>
            </w:r>
          </w:p>
        </w:tc>
        <w:tc>
          <w:tcPr>
            <w:tcW w:w="8487"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szCs w:val="21"/>
                <w:highlight w:val="none"/>
                <w:lang w:val="en-US" w:eastAsia="zh-CN"/>
              </w:rPr>
              <w:t>商品包装和快递包装应符合《商品包装政府采购需求标准（试行）》和《快递包装政府采购需求标准（试行）》规定，商品的包装和快递包装验收标准应符合《商品包装政府采购需求标准（试行）》和《快递包装政府采购需求标准（试行）》规定，并提供相关的检测报告</w:t>
            </w:r>
            <w:r>
              <w:rPr>
                <w:rFonts w:hint="eastAsia" w:ascii="宋体" w:hAnsi="宋体" w:cs="宋体"/>
                <w:color w:val="auto"/>
                <w:szCs w:val="21"/>
                <w:highlight w:val="none"/>
              </w:rPr>
              <w:t>。</w:t>
            </w:r>
          </w:p>
        </w:tc>
      </w:tr>
      <w:tr>
        <w:tblPrEx>
          <w:tblCellMar>
            <w:top w:w="0" w:type="dxa"/>
            <w:left w:w="0" w:type="dxa"/>
            <w:bottom w:w="0" w:type="dxa"/>
            <w:right w:w="0" w:type="dxa"/>
          </w:tblCellMar>
        </w:tblPrEx>
        <w:trPr>
          <w:trHeight w:val="699" w:hRule="atLeast"/>
          <w:jc w:val="center"/>
        </w:trPr>
        <w:tc>
          <w:tcPr>
            <w:tcW w:w="69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16</w:t>
            </w:r>
          </w:p>
        </w:tc>
        <w:tc>
          <w:tcPr>
            <w:tcW w:w="8487"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360" w:lineRule="auto"/>
              <w:rPr>
                <w:rFonts w:ascii="宋体" w:hAnsi="宋体" w:cs="宋体"/>
                <w:color w:val="auto"/>
                <w:kern w:val="0"/>
                <w:szCs w:val="21"/>
                <w:highlight w:val="none"/>
              </w:rPr>
            </w:pPr>
            <w:r>
              <w:rPr>
                <w:rFonts w:hint="eastAsia" w:ascii="宋体" w:hAnsi="宋体" w:cs="宋体"/>
                <w:bCs/>
                <w:color w:val="auto"/>
                <w:kern w:val="0"/>
                <w:szCs w:val="21"/>
                <w:highlight w:val="none"/>
              </w:rPr>
              <w:t>质疑和投诉：供应商认为</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文件使自己的合法权益受到损害的，</w:t>
            </w:r>
            <w:r>
              <w:rPr>
                <w:rFonts w:hint="eastAsia" w:ascii="宋体" w:hAnsi="宋体" w:cs="宋体"/>
                <w:color w:val="auto"/>
                <w:kern w:val="0"/>
                <w:szCs w:val="21"/>
                <w:highlight w:val="none"/>
              </w:rPr>
              <w:t>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公告期限届满之日(或收到</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文件之日)起</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个工作日之内向</w:t>
            </w:r>
            <w:r>
              <w:rPr>
                <w:rFonts w:hint="eastAsia" w:ascii="宋体" w:hAnsi="宋体" w:cs="宋体"/>
                <w:bCs/>
                <w:color w:val="auto"/>
                <w:kern w:val="0"/>
                <w:szCs w:val="21"/>
                <w:highlight w:val="none"/>
              </w:rPr>
              <w:t>采购人提出质疑；供应商认为</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过程和中标结果使自己的合法权益受到损害的，应当在知道或者应知其权益受到损害之日起</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个工作日内提出质疑。</w:t>
            </w:r>
            <w:r>
              <w:rPr>
                <w:rFonts w:hint="eastAsia" w:ascii="宋体" w:hAnsi="宋体" w:cs="宋体"/>
                <w:color w:val="auto"/>
                <w:kern w:val="0"/>
                <w:szCs w:val="21"/>
                <w:highlight w:val="none"/>
              </w:rPr>
              <w:t>逾期不再受理,</w:t>
            </w:r>
            <w:r>
              <w:rPr>
                <w:rFonts w:hint="eastAsia" w:ascii="宋体" w:hAnsi="宋体" w:cs="宋体"/>
                <w:bCs/>
                <w:color w:val="auto"/>
                <w:kern w:val="0"/>
                <w:szCs w:val="21"/>
                <w:highlight w:val="none"/>
              </w:rPr>
              <w:t>供应商在法定质疑期内应一次性提出针对同一采购环节的质疑</w:t>
            </w:r>
            <w:r>
              <w:rPr>
                <w:rFonts w:hint="eastAsia" w:ascii="宋体" w:hAnsi="宋体" w:cs="宋体"/>
                <w:bCs/>
                <w:color w:val="auto"/>
                <w:kern w:val="0"/>
                <w:szCs w:val="21"/>
                <w:highlight w:val="none"/>
                <w:lang w:eastAsia="zh-CN"/>
              </w:rPr>
              <w:t>。</w:t>
            </w:r>
            <w:r>
              <w:rPr>
                <w:rFonts w:hint="eastAsia" w:ascii="宋体" w:hAnsi="宋体" w:cs="宋体"/>
                <w:color w:val="auto"/>
                <w:kern w:val="0"/>
                <w:szCs w:val="21"/>
                <w:highlight w:val="none"/>
              </w:rPr>
              <w:t>供应商对</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的质疑答复不满意,或</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未在规定时间内作出答复的，可以在答复期满后15个工作日内向同级财政部门投诉。</w:t>
            </w:r>
          </w:p>
        </w:tc>
      </w:tr>
      <w:tr>
        <w:tblPrEx>
          <w:tblCellMar>
            <w:top w:w="0" w:type="dxa"/>
            <w:left w:w="0" w:type="dxa"/>
            <w:bottom w:w="0" w:type="dxa"/>
            <w:right w:w="0" w:type="dxa"/>
          </w:tblCellMar>
        </w:tblPrEx>
        <w:trPr>
          <w:trHeight w:val="851" w:hRule="atLeast"/>
          <w:jc w:val="center"/>
        </w:trPr>
        <w:tc>
          <w:tcPr>
            <w:tcW w:w="69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17</w:t>
            </w:r>
          </w:p>
        </w:tc>
        <w:tc>
          <w:tcPr>
            <w:tcW w:w="8487"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textAlignment w:val="bottom"/>
              <w:rPr>
                <w:rFonts w:hint="eastAsia" w:ascii="宋体" w:hAnsi="宋体" w:eastAsia="宋体" w:cs="宋体"/>
                <w:color w:val="auto"/>
                <w:highlight w:val="none"/>
              </w:rPr>
            </w:pPr>
            <w:r>
              <w:rPr>
                <w:rFonts w:hint="eastAsia"/>
                <w:color w:val="auto"/>
                <w:highlight w:val="none"/>
              </w:rPr>
              <w:t>解释：</w:t>
            </w:r>
            <w:r>
              <w:rPr>
                <w:rFonts w:hint="eastAsia" w:ascii="宋体" w:hAnsi="宋体" w:eastAsia="宋体" w:cs="宋体"/>
                <w:color w:val="auto"/>
                <w:highlight w:val="none"/>
              </w:rPr>
              <w:t>1、构成本</w:t>
            </w:r>
            <w:r>
              <w:rPr>
                <w:rFonts w:hint="eastAsia" w:ascii="宋体" w:hAnsi="宋体" w:eastAsia="宋体" w:cs="宋体"/>
                <w:color w:val="auto"/>
                <w:highlight w:val="none"/>
                <w:lang w:val="en-US" w:eastAsia="zh-CN"/>
              </w:rPr>
              <w:t>采购</w:t>
            </w:r>
            <w:r>
              <w:rPr>
                <w:rFonts w:hint="eastAsia" w:ascii="宋体" w:hAnsi="宋体" w:eastAsia="宋体" w:cs="宋体"/>
                <w:color w:val="auto"/>
                <w:highlight w:val="none"/>
              </w:rPr>
              <w:t>文件的各个组成文件应互为解释，互为说明；如有不明确或不一致，构成合同文件组成内容的，以合同文件约定内容为准；除</w:t>
            </w:r>
            <w:r>
              <w:rPr>
                <w:rFonts w:hint="eastAsia" w:ascii="宋体" w:hAnsi="宋体" w:eastAsia="宋体" w:cs="宋体"/>
                <w:color w:val="auto"/>
                <w:highlight w:val="none"/>
                <w:lang w:val="en-US" w:eastAsia="zh-CN"/>
              </w:rPr>
              <w:t>采购</w:t>
            </w:r>
            <w:r>
              <w:rPr>
                <w:rFonts w:hint="eastAsia" w:ascii="宋体" w:hAnsi="宋体" w:eastAsia="宋体" w:cs="宋体"/>
                <w:color w:val="auto"/>
                <w:highlight w:val="none"/>
              </w:rPr>
              <w:t>文件中有特殊规定外，仅适用于招标投标阶段的规定，按</w:t>
            </w:r>
            <w:r>
              <w:rPr>
                <w:rFonts w:hint="eastAsia" w:ascii="宋体" w:hAnsi="宋体" w:eastAsia="宋体" w:cs="宋体"/>
                <w:color w:val="auto"/>
                <w:highlight w:val="none"/>
                <w:lang w:val="en-US" w:eastAsia="zh-CN"/>
              </w:rPr>
              <w:t>采购</w:t>
            </w:r>
            <w:r>
              <w:rPr>
                <w:rFonts w:hint="eastAsia" w:ascii="宋体" w:hAnsi="宋体" w:eastAsia="宋体" w:cs="宋体"/>
                <w:color w:val="auto"/>
                <w:highlight w:val="none"/>
              </w:rPr>
              <w:t>公告、供应商须知、评标办法、投标文件格式的先后顺序解释；同一组成文件中就同一事项的规定或约定不一致的，以编排顺序在后者为准；当</w:t>
            </w:r>
            <w:r>
              <w:rPr>
                <w:rFonts w:hint="eastAsia" w:ascii="宋体" w:hAnsi="宋体" w:eastAsia="宋体" w:cs="宋体"/>
                <w:color w:val="auto"/>
                <w:highlight w:val="none"/>
                <w:lang w:val="en-US" w:eastAsia="zh-CN"/>
              </w:rPr>
              <w:t>采购</w:t>
            </w:r>
            <w:r>
              <w:rPr>
                <w:rFonts w:hint="eastAsia" w:ascii="宋体" w:hAnsi="宋体" w:eastAsia="宋体" w:cs="宋体"/>
                <w:color w:val="auto"/>
                <w:highlight w:val="none"/>
              </w:rPr>
              <w:t>文件与</w:t>
            </w:r>
            <w:r>
              <w:rPr>
                <w:rFonts w:hint="eastAsia" w:ascii="宋体" w:hAnsi="宋体" w:eastAsia="宋体" w:cs="宋体"/>
                <w:color w:val="auto"/>
                <w:highlight w:val="none"/>
                <w:lang w:val="en-US" w:eastAsia="zh-CN"/>
              </w:rPr>
              <w:t>采购</w:t>
            </w:r>
            <w:r>
              <w:rPr>
                <w:rFonts w:hint="eastAsia" w:ascii="宋体" w:hAnsi="宋体" w:eastAsia="宋体" w:cs="宋体"/>
                <w:color w:val="auto"/>
                <w:highlight w:val="none"/>
              </w:rPr>
              <w:t>文件的澄清、修改或补充通知就同一内容的表述不一致时，以最后发出的书面文件为准。合同文件约定或后者明显错误的除外。</w:t>
            </w:r>
          </w:p>
          <w:p>
            <w:pPr>
              <w:widowControl/>
              <w:spacing w:line="360" w:lineRule="auto"/>
              <w:jc w:val="left"/>
              <w:textAlignment w:val="bottom"/>
              <w:rPr>
                <w:rFonts w:ascii="宋体" w:hAnsi="宋体" w:cs="宋体"/>
                <w:color w:val="auto"/>
                <w:kern w:val="0"/>
                <w:szCs w:val="21"/>
                <w:highlight w:val="none"/>
              </w:rPr>
            </w:pPr>
            <w:r>
              <w:rPr>
                <w:rFonts w:hint="eastAsia" w:ascii="宋体" w:hAnsi="宋体" w:eastAsia="宋体" w:cs="宋体"/>
                <w:color w:val="auto"/>
                <w:highlight w:val="none"/>
              </w:rPr>
              <w:t>2、本</w:t>
            </w:r>
            <w:r>
              <w:rPr>
                <w:rFonts w:hint="eastAsia" w:ascii="宋体" w:hAnsi="宋体" w:eastAsia="宋体" w:cs="宋体"/>
                <w:color w:val="auto"/>
                <w:highlight w:val="none"/>
                <w:lang w:val="en-US" w:eastAsia="zh-CN"/>
              </w:rPr>
              <w:t>采购</w:t>
            </w:r>
            <w:r>
              <w:rPr>
                <w:rFonts w:hint="eastAsia" w:ascii="宋体" w:hAnsi="宋体" w:eastAsia="宋体" w:cs="宋体"/>
                <w:color w:val="auto"/>
                <w:highlight w:val="none"/>
              </w:rPr>
              <w:t>文件解释权归采购人。</w:t>
            </w:r>
          </w:p>
        </w:tc>
      </w:tr>
    </w:tbl>
    <w:p>
      <w:pPr>
        <w:rPr>
          <w:color w:val="auto"/>
          <w:highlight w:val="none"/>
        </w:rPr>
      </w:pPr>
    </w:p>
    <w:p>
      <w:pPr>
        <w:keepNext w:val="0"/>
        <w:keepLines w:val="0"/>
        <w:pageBreakBefore w:val="0"/>
        <w:widowControl/>
        <w:kinsoku/>
        <w:wordWrap/>
        <w:overflowPunct/>
        <w:topLinePunct w:val="0"/>
        <w:bidi w:val="0"/>
        <w:snapToGrid w:val="0"/>
        <w:spacing w:line="360" w:lineRule="auto"/>
        <w:ind w:firstLine="2760"/>
        <w:jc w:val="left"/>
        <w:rPr>
          <w:rFonts w:ascii="宋体" w:hAnsi="宋体" w:cs="宋体"/>
          <w:color w:val="auto"/>
          <w:kern w:val="0"/>
          <w:sz w:val="24"/>
          <w:highlight w:val="none"/>
        </w:rPr>
      </w:pPr>
      <w:r>
        <w:rPr>
          <w:rFonts w:hint="eastAsia" w:ascii="黑体" w:hAnsi="宋体" w:eastAsia="黑体" w:cs="宋体"/>
          <w:b/>
          <w:bCs/>
          <w:color w:val="auto"/>
          <w:kern w:val="0"/>
          <w:sz w:val="28"/>
          <w:szCs w:val="28"/>
          <w:highlight w:val="none"/>
        </w:rPr>
        <w:t>一 、说 明</w:t>
      </w:r>
    </w:p>
    <w:p>
      <w:pPr>
        <w:keepNext w:val="0"/>
        <w:keepLines w:val="0"/>
        <w:pageBreakBefore w:val="0"/>
        <w:kinsoku/>
        <w:wordWrap/>
        <w:overflowPunct/>
        <w:topLinePunct w:val="0"/>
        <w:bidi w:val="0"/>
        <w:snapToGrid w:val="0"/>
        <w:spacing w:line="360" w:lineRule="auto"/>
        <w:rPr>
          <w:color w:val="auto"/>
          <w:highlight w:val="none"/>
        </w:rPr>
      </w:pP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1.适用范围</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文件仅适用于</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公告中所叙述项目的货物采购。</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2.定义</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2.1 “采购人”系指本次采购项目的业主方。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2.2 “投标人”系指</w:t>
      </w:r>
      <w:r>
        <w:rPr>
          <w:rFonts w:hint="eastAsia" w:ascii="宋体" w:hAnsi="宋体" w:cs="宋体"/>
          <w:color w:val="auto"/>
          <w:kern w:val="0"/>
          <w:szCs w:val="21"/>
          <w:highlight w:val="none"/>
          <w:lang w:val="en-US" w:eastAsia="zh-CN"/>
        </w:rPr>
        <w:t>领取</w:t>
      </w:r>
      <w:r>
        <w:rPr>
          <w:rFonts w:hint="eastAsia" w:ascii="宋体" w:hAnsi="宋体" w:cs="宋体"/>
          <w:color w:val="auto"/>
          <w:kern w:val="0"/>
          <w:szCs w:val="21"/>
          <w:highlight w:val="none"/>
        </w:rPr>
        <w:t>了本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文件，且已经提交本次投标文件的投标人。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2.3 “投标人代表”系指代表投标人参加本次</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活动的投标人的法定代表人或其委托代理人。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2.4 “货物”系指投标人按</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文件规定向采购人提供的一切设备、机械、仪器仪表、备品备件、工具、手册及其它有关技术资料和材料。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2.5 “相关服务”系指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文件规定投标人须承担的与本次采购货物相关的安装、调试、技术协助、校准、培训以及其他类似的义务。</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3.本次采购预算（最高限价）为</w:t>
      </w:r>
      <w:r>
        <w:rPr>
          <w:rFonts w:hint="eastAsia" w:ascii="宋体" w:hAnsi="宋体" w:cs="宋体"/>
          <w:b/>
          <w:bCs/>
          <w:color w:val="auto"/>
          <w:kern w:val="0"/>
          <w:szCs w:val="21"/>
          <w:highlight w:val="none"/>
          <w:lang w:val="en-US" w:eastAsia="zh-CN"/>
        </w:rPr>
        <w:t>80000.00</w:t>
      </w:r>
      <w:r>
        <w:rPr>
          <w:rFonts w:hint="eastAsia" w:ascii="宋体" w:hAnsi="宋体" w:cs="宋体"/>
          <w:b/>
          <w:bCs/>
          <w:color w:val="auto"/>
          <w:kern w:val="0"/>
          <w:szCs w:val="21"/>
          <w:highlight w:val="none"/>
        </w:rPr>
        <w:t>元</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szCs w:val="21"/>
          <w:highlight w:val="none"/>
        </w:rPr>
      </w:pPr>
      <w:r>
        <w:rPr>
          <w:rFonts w:hint="eastAsia" w:ascii="宋体" w:hAnsi="宋体" w:cs="宋体"/>
          <w:b/>
          <w:bCs/>
          <w:color w:val="auto"/>
          <w:kern w:val="0"/>
          <w:szCs w:val="21"/>
          <w:highlight w:val="none"/>
        </w:rPr>
        <w:t>4.投标人应提交的证明文件</w:t>
      </w:r>
    </w:p>
    <w:p>
      <w:pPr>
        <w:keepNext w:val="0"/>
        <w:keepLines w:val="0"/>
        <w:pageBreakBefore w:val="0"/>
        <w:widowControl/>
        <w:kinsoku/>
        <w:wordWrap/>
        <w:overflowPunct/>
        <w:topLinePunct w:val="0"/>
        <w:bidi w:val="0"/>
        <w:snapToGrid w:val="0"/>
        <w:spacing w:line="480" w:lineRule="exact"/>
        <w:ind w:firstLine="420" w:firstLineChars="20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 xml:space="preserve">4.1 </w:t>
      </w:r>
      <w:r>
        <w:rPr>
          <w:rFonts w:hint="eastAsia" w:ascii="宋体" w:hAnsi="宋体" w:cs="宋体"/>
          <w:color w:val="auto"/>
          <w:szCs w:val="21"/>
          <w:highlight w:val="none"/>
          <w:lang w:eastAsia="zh-CN"/>
        </w:rPr>
        <w:t>供应商应为注册在中华人民共和国境内的，且具有独立承担民事责任能力，</w:t>
      </w:r>
      <w:r>
        <w:rPr>
          <w:rFonts w:hint="eastAsia" w:ascii="宋体" w:hAnsi="宋体" w:cs="宋体"/>
          <w:color w:val="auto"/>
          <w:szCs w:val="21"/>
          <w:highlight w:val="none"/>
        </w:rPr>
        <w:t>提供法人或者其他组织的营业执照等证明文件</w:t>
      </w:r>
      <w:r>
        <w:rPr>
          <w:rFonts w:hint="eastAsia" w:ascii="宋体" w:hAnsi="宋体" w:cs="宋体"/>
          <w:color w:val="auto"/>
          <w:szCs w:val="21"/>
          <w:highlight w:val="none"/>
          <w:lang w:eastAsia="zh-CN"/>
        </w:rPr>
        <w:t>。单位负责人为同一人或者存在直接控股、管理关系的不同供应商，不得参加同一合同项下的投标。一经发现，将导致投标同时被拒绝（提供加盖供应商公章的“国家企业信用信息公示系统”网站查询结果网页截图，须显示公司基本信息、主要人员信息、股东信息)</w:t>
      </w:r>
      <w:r>
        <w:rPr>
          <w:rFonts w:hint="eastAsia" w:ascii="宋体" w:hAnsi="宋体" w:cs="宋体"/>
          <w:color w:val="auto"/>
          <w:szCs w:val="21"/>
          <w:highlight w:val="none"/>
        </w:rPr>
        <w:t>；</w:t>
      </w:r>
    </w:p>
    <w:p>
      <w:pPr>
        <w:pageBreakBefore w:val="0"/>
        <w:widowControl w:val="0"/>
        <w:kinsoku/>
        <w:wordWrap/>
        <w:overflowPunct/>
        <w:topLinePunct w:val="0"/>
        <w:autoSpaceDE w:val="0"/>
        <w:autoSpaceDN w:val="0"/>
        <w:bidi w:val="0"/>
        <w:adjustRightInd w:val="0"/>
        <w:snapToGrid w:val="0"/>
        <w:spacing w:afterAutospacing="0" w:line="480" w:lineRule="exact"/>
        <w:ind w:firstLine="420" w:firstLineChars="200"/>
        <w:textAlignment w:val="auto"/>
        <w:rPr>
          <w:rFonts w:hint="eastAsia" w:ascii="宋体" w:hAnsi="宋体" w:eastAsia="宋体" w:cs="宋体"/>
          <w:color w:val="auto"/>
          <w:kern w:val="2"/>
          <w:sz w:val="21"/>
          <w:szCs w:val="24"/>
          <w:lang w:val="en-US" w:eastAsia="zh-CN" w:bidi="ar-SA"/>
        </w:rPr>
      </w:pPr>
      <w:r>
        <w:rPr>
          <w:rFonts w:hint="eastAsia" w:ascii="宋体" w:hAnsi="宋体" w:cs="宋体"/>
          <w:color w:val="auto"/>
          <w:kern w:val="2"/>
          <w:sz w:val="21"/>
          <w:szCs w:val="24"/>
          <w:lang w:val="en-US" w:eastAsia="zh-CN" w:bidi="ar-SA"/>
        </w:rPr>
        <w:t>4.2</w:t>
      </w:r>
      <w:r>
        <w:rPr>
          <w:rFonts w:hint="eastAsia" w:ascii="宋体" w:hAnsi="宋体" w:eastAsia="宋体" w:cs="宋体"/>
          <w:color w:val="auto"/>
          <w:kern w:val="2"/>
          <w:sz w:val="21"/>
          <w:szCs w:val="24"/>
          <w:lang w:val="en-US" w:eastAsia="zh-CN" w:bidi="ar-SA"/>
        </w:rPr>
        <w:t>供应商应提供2020年度经审计的财务报告或者其基本开户银行出具的资信证明；采购活动前近三个月内或上个季度的依法缴纳税收的凭据和缴纳社会保险的凭据；依法免税或不需要缴纳社会保障资金的供应商，应提供相应文件证明其依法免税或不需要缴纳社会保障资金。（新成立企业从成立之日起计算）；</w:t>
      </w:r>
    </w:p>
    <w:p>
      <w:pPr>
        <w:keepNext w:val="0"/>
        <w:keepLines w:val="0"/>
        <w:pageBreakBefore w:val="0"/>
        <w:widowControl/>
        <w:kinsoku/>
        <w:wordWrap/>
        <w:overflowPunct/>
        <w:topLinePunct w:val="0"/>
        <w:bidi w:val="0"/>
        <w:snapToGrid w:val="0"/>
        <w:spacing w:beforeAutospacing="0" w:line="480" w:lineRule="exact"/>
        <w:ind w:firstLine="420" w:firstLineChars="200"/>
        <w:jc w:val="left"/>
        <w:textAlignment w:val="auto"/>
        <w:rPr>
          <w:rFonts w:ascii="宋体" w:hAnsi="宋体" w:cs="宋体"/>
          <w:color w:val="auto"/>
          <w:szCs w:val="21"/>
          <w:highlight w:val="none"/>
        </w:rPr>
      </w:pPr>
      <w:r>
        <w:rPr>
          <w:rFonts w:hint="eastAsia" w:ascii="宋体" w:hAnsi="宋体" w:cs="宋体"/>
          <w:color w:val="auto"/>
          <w:szCs w:val="21"/>
          <w:highlight w:val="none"/>
        </w:rPr>
        <w:t>4.</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 xml:space="preserve"> </w:t>
      </w:r>
      <w:r>
        <w:rPr>
          <w:rFonts w:hint="eastAsia" w:ascii="宋体" w:hAnsi="宋体" w:eastAsia="宋体" w:cs="宋体"/>
          <w:color w:val="auto"/>
          <w:kern w:val="2"/>
          <w:sz w:val="21"/>
          <w:szCs w:val="24"/>
          <w:lang w:val="en-US" w:eastAsia="zh-CN" w:bidi="ar-SA"/>
        </w:rPr>
        <w:t>参加本采购活动前三年内，在经营活动中没有重大违法记录</w:t>
      </w:r>
      <w:r>
        <w:rPr>
          <w:rFonts w:hint="eastAsia" w:ascii="宋体" w:hAnsi="宋体" w:cs="宋体"/>
          <w:color w:val="auto"/>
          <w:szCs w:val="21"/>
          <w:highlight w:val="none"/>
        </w:rPr>
        <w:t>的书面声明函；</w:t>
      </w:r>
    </w:p>
    <w:p>
      <w:pPr>
        <w:keepNext w:val="0"/>
        <w:keepLines w:val="0"/>
        <w:pageBreakBefore w:val="0"/>
        <w:widowControl/>
        <w:kinsoku/>
        <w:wordWrap/>
        <w:overflowPunct/>
        <w:topLinePunct w:val="0"/>
        <w:bidi w:val="0"/>
        <w:snapToGrid w:val="0"/>
        <w:spacing w:line="480" w:lineRule="exact"/>
        <w:ind w:firstLine="420" w:firstLineChars="200"/>
        <w:jc w:val="left"/>
        <w:textAlignment w:val="auto"/>
        <w:rPr>
          <w:rFonts w:ascii="宋体" w:hAnsi="宋体" w:cs="宋体"/>
          <w:color w:val="auto"/>
          <w:szCs w:val="21"/>
          <w:highlight w:val="none"/>
        </w:rPr>
      </w:pPr>
      <w:r>
        <w:rPr>
          <w:rFonts w:hint="eastAsia" w:ascii="宋体" w:hAnsi="宋体" w:cs="宋体"/>
          <w:color w:val="auto"/>
          <w:szCs w:val="21"/>
          <w:highlight w:val="none"/>
        </w:rPr>
        <w:t>4.</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 xml:space="preserve"> 具备履行合同所必需的设备和专业技术能力的书面声明函；</w:t>
      </w:r>
    </w:p>
    <w:p>
      <w:pPr>
        <w:keepNext w:val="0"/>
        <w:keepLines w:val="0"/>
        <w:pageBreakBefore w:val="0"/>
        <w:widowControl/>
        <w:kinsoku/>
        <w:wordWrap/>
        <w:overflowPunct/>
        <w:topLinePunct w:val="0"/>
        <w:bidi w:val="0"/>
        <w:snapToGrid w:val="0"/>
        <w:spacing w:line="480" w:lineRule="exact"/>
        <w:ind w:firstLine="420" w:firstLineChars="200"/>
        <w:jc w:val="left"/>
        <w:textAlignment w:val="auto"/>
        <w:rPr>
          <w:rFonts w:ascii="宋体" w:hAnsi="宋体" w:cs="宋体"/>
          <w:b/>
          <w:bCs/>
          <w:color w:val="auto"/>
          <w:kern w:val="0"/>
          <w:szCs w:val="21"/>
          <w:highlight w:val="none"/>
        </w:rPr>
      </w:pPr>
      <w:r>
        <w:rPr>
          <w:rFonts w:hint="eastAsia" w:ascii="宋体" w:hAnsi="宋体" w:cs="宋体"/>
          <w:color w:val="auto"/>
          <w:szCs w:val="21"/>
          <w:highlight w:val="none"/>
        </w:rPr>
        <w:t>4.</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 xml:space="preserve"> </w:t>
      </w:r>
      <w:r>
        <w:rPr>
          <w:rFonts w:hint="eastAsia"/>
          <w:lang w:val="en-US" w:eastAsia="zh-CN"/>
        </w:rPr>
        <w:t>根据《关于在政府采购活动中查询及使用信用记录有关问题的通知》（财库【2016】125号）的规定，对列入失信被执行人、重大税收违法案件当事人名单、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r>
        <w:rPr>
          <w:rFonts w:hint="eastAsia" w:ascii="宋体" w:hAnsi="宋体" w:cs="宋体"/>
          <w:color w:val="auto"/>
          <w:szCs w:val="21"/>
          <w:highlight w:val="none"/>
        </w:rPr>
        <w:t>。</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5.投标费用</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不论投标结果如何，投标人均应自行承担所有与投标有关的全部费用。</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6.联合体投标：本项目不接受联合体投标。</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7.关联企业投标</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7.1 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文件所称关联企业,是指存在关联关系的企业。“关联关系”的界定适用《中华人民共和国公司法》第二百一十六条、《中华人民共和国政府采购法实施条例》第十八条之规定。</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7.2 关联企业中, 同一个法定代表人的两个及两个以上法人，母公司、全资子公司及其控股公司，都不得同时投标。单位负责人为同一人或者存在直接控股、管理关系的不同供应商，不得参加同一合同项下的投标。一经发现，将导致投标同时被拒绝（提供加盖供应商公章的“国家企业信用信息公示系统”网站查询结果网页截图，须显示公司基本信息、主要人员信息、股东信息)。</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7.3 为采购项目提供整体设计、规范编制或者项目管理、监理、检测等服务的供应商，不得再参加该采购项目的投标活动。</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8.转包与分包</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8.1本项目不允许采取转包方式履行合同。</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8.2本项目不允许采取分包方式履行合同。</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9.特别说明：</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9.1 投标人投标所使用的资格、信誉、荣誉、业绩与企业认证必须为本法人所拥有。  </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9.2 投标人代表只能接受一个投标人的委托参加投标。</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9.3《政府采购法》第二十二条第五款“参加政府采购活动前三年内，在经营活动中没有重大违法记录”，“重大违法记录”包括投标人或者其法定代表人、董事、监事、高级管理人员因经营活动中的违法行为受到行政处罚，但警告和罚款额在人民币3万元以下的行政处罚除外；投标人或其法定代表人、董事、监事、高级管理人员因经营活动中的违法行为受到刑事处罚。</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9.4投标人在投标活动中提供虚假材料或从事其他违法活动的,其投标无效，由相关部门查处。</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10.质疑和投诉</w:t>
      </w:r>
    </w:p>
    <w:p>
      <w:pPr>
        <w:keepNext w:val="0"/>
        <w:keepLines w:val="0"/>
        <w:pageBreakBefore w:val="0"/>
        <w:widowControl/>
        <w:kinsoku/>
        <w:wordWrap/>
        <w:overflowPunct/>
        <w:topLinePunct w:val="0"/>
        <w:bidi w:val="0"/>
        <w:snapToGrid w:val="0"/>
        <w:spacing w:line="360" w:lineRule="auto"/>
        <w:ind w:firstLine="411" w:firstLineChars="196"/>
        <w:jc w:val="left"/>
        <w:rPr>
          <w:rFonts w:ascii="宋体" w:hAnsi="宋体" w:cs="宋体"/>
          <w:color w:val="auto"/>
          <w:kern w:val="0"/>
          <w:szCs w:val="21"/>
          <w:highlight w:val="none"/>
        </w:rPr>
      </w:pPr>
      <w:r>
        <w:rPr>
          <w:rFonts w:hint="eastAsia" w:ascii="宋体" w:hAnsi="宋体" w:cs="宋体"/>
          <w:color w:val="auto"/>
          <w:kern w:val="0"/>
          <w:szCs w:val="21"/>
          <w:highlight w:val="none"/>
        </w:rPr>
        <w:t>10.1 </w:t>
      </w:r>
      <w:r>
        <w:rPr>
          <w:rFonts w:hint="eastAsia" w:ascii="宋体" w:hAnsi="宋体" w:cs="宋体"/>
          <w:bCs/>
          <w:color w:val="auto"/>
          <w:kern w:val="0"/>
          <w:szCs w:val="21"/>
          <w:highlight w:val="none"/>
        </w:rPr>
        <w:t>供应商认为</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文件使自己的合法权益受到损害的，</w:t>
      </w:r>
      <w:r>
        <w:rPr>
          <w:rFonts w:hint="eastAsia" w:ascii="宋体" w:hAnsi="宋体" w:cs="宋体"/>
          <w:color w:val="auto"/>
          <w:kern w:val="0"/>
          <w:szCs w:val="21"/>
          <w:highlight w:val="none"/>
        </w:rPr>
        <w:t>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公告期限届满之日(或收到</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文件之日)起</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个工作日之内向</w:t>
      </w:r>
      <w:r>
        <w:rPr>
          <w:rFonts w:hint="eastAsia" w:ascii="宋体" w:hAnsi="宋体" w:cs="宋体"/>
          <w:bCs/>
          <w:color w:val="auto"/>
          <w:kern w:val="0"/>
          <w:szCs w:val="21"/>
          <w:highlight w:val="none"/>
        </w:rPr>
        <w:t>采购人提出质疑；供应商认为</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过程和中标结果使自己的合法权益受到损害的，应当在知道或者应知其权益受到损害之日起</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个工作日内提出质疑。</w:t>
      </w:r>
      <w:r>
        <w:rPr>
          <w:rFonts w:hint="eastAsia" w:ascii="宋体" w:hAnsi="宋体" w:cs="宋体"/>
          <w:color w:val="auto"/>
          <w:kern w:val="0"/>
          <w:szCs w:val="21"/>
          <w:highlight w:val="none"/>
        </w:rPr>
        <w:t>逾期不再受理,</w:t>
      </w:r>
      <w:r>
        <w:rPr>
          <w:rFonts w:hint="eastAsia" w:ascii="宋体" w:hAnsi="宋体" w:cs="宋体"/>
          <w:bCs/>
          <w:color w:val="auto"/>
          <w:kern w:val="0"/>
          <w:szCs w:val="21"/>
          <w:highlight w:val="none"/>
        </w:rPr>
        <w:t>供应商在法定质疑期内应一次性提出针对同一采购环节的质疑。</w:t>
      </w:r>
      <w:r>
        <w:rPr>
          <w:rFonts w:hint="eastAsia" w:ascii="宋体" w:hAnsi="宋体" w:cs="宋体"/>
          <w:color w:val="auto"/>
          <w:kern w:val="0"/>
          <w:szCs w:val="21"/>
          <w:highlight w:val="none"/>
        </w:rPr>
        <w:t>供应商对</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的质疑答复不满意,或</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未在规定时间内作出答复的，可以在答复期满后15个工作日内向</w:t>
      </w:r>
      <w:r>
        <w:rPr>
          <w:rFonts w:hint="eastAsia" w:ascii="宋体" w:hAnsi="宋体" w:cs="宋体"/>
          <w:color w:val="auto"/>
          <w:kern w:val="0"/>
          <w:szCs w:val="21"/>
          <w:highlight w:val="none"/>
          <w:lang w:val="en-US" w:eastAsia="zh-CN"/>
        </w:rPr>
        <w:t>医院纪检</w:t>
      </w:r>
      <w:r>
        <w:rPr>
          <w:rFonts w:hint="eastAsia" w:ascii="宋体" w:hAnsi="宋体" w:cs="宋体"/>
          <w:color w:val="auto"/>
          <w:kern w:val="0"/>
          <w:szCs w:val="21"/>
          <w:highlight w:val="none"/>
        </w:rPr>
        <w:t>部门投诉。</w:t>
      </w:r>
    </w:p>
    <w:p>
      <w:pPr>
        <w:keepNext w:val="0"/>
        <w:keepLines w:val="0"/>
        <w:pageBreakBefore w:val="0"/>
        <w:widowControl/>
        <w:shd w:val="clear" w:color="auto" w:fill="FFFFFF"/>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10.2 </w:t>
      </w:r>
      <w:r>
        <w:rPr>
          <w:rFonts w:hint="eastAsia" w:ascii="宋体" w:hAnsi="宋体" w:cs="宋体"/>
          <w:bCs/>
          <w:color w:val="auto"/>
          <w:kern w:val="0"/>
          <w:szCs w:val="21"/>
          <w:highlight w:val="none"/>
        </w:rPr>
        <w:t>质疑、投诉应当采用书面形式，质疑书、投诉书均应明确阐述</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过程和中标结果中使自己合法权益受到损害的实质性内容，提供相关事实、依据和证据及其来源或线索，便于有关单位调查、答复和处理。</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11.投标人的风险</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Cs w:val="21"/>
          <w:highlight w:val="none"/>
        </w:rPr>
        <w:t>投标人没有按照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文件要求提供全部资料，或者投标人没有对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文件在各方面都作出实质性响应是投标人的风险，并可能导致其投标被拒绝。</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rPr>
        <w:t>二、</w:t>
      </w:r>
      <w:r>
        <w:rPr>
          <w:rFonts w:hint="eastAsia" w:ascii="黑体" w:hAnsi="宋体" w:eastAsia="黑体" w:cs="宋体"/>
          <w:b/>
          <w:bCs/>
          <w:color w:val="auto"/>
          <w:kern w:val="0"/>
          <w:sz w:val="32"/>
          <w:szCs w:val="32"/>
          <w:highlight w:val="none"/>
          <w:lang w:val="en-US" w:eastAsia="zh-CN"/>
        </w:rPr>
        <w:t>采购</w:t>
      </w:r>
      <w:r>
        <w:rPr>
          <w:rFonts w:hint="eastAsia" w:ascii="黑体" w:hAnsi="宋体" w:eastAsia="黑体" w:cs="宋体"/>
          <w:b/>
          <w:bCs/>
          <w:color w:val="auto"/>
          <w:kern w:val="0"/>
          <w:sz w:val="32"/>
          <w:szCs w:val="32"/>
          <w:highlight w:val="none"/>
        </w:rPr>
        <w:t>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12.</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文件的构成。本</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文件由以下部分组成：</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12.1 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需求</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12.3 投标人须知</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12.4 评标办法</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12.5 合同主要条款</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12.6 投标文件格式</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bCs/>
          <w:color w:val="auto"/>
          <w:kern w:val="0"/>
          <w:szCs w:val="21"/>
          <w:highlight w:val="none"/>
        </w:rPr>
      </w:pPr>
      <w:r>
        <w:rPr>
          <w:rFonts w:hint="eastAsia" w:ascii="宋体" w:hAnsi="宋体" w:cs="宋体"/>
          <w:b/>
          <w:bCs/>
          <w:color w:val="auto"/>
          <w:kern w:val="0"/>
          <w:szCs w:val="21"/>
          <w:highlight w:val="none"/>
        </w:rPr>
        <w:t>13.</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文件的澄清与修改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13.1 </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对已发出的</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文件进行必要澄清、修改或补充的，应当在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文件要求提交投标文件截止时间</w:t>
      </w:r>
      <w:r>
        <w:rPr>
          <w:rFonts w:hint="eastAsia" w:ascii="宋体" w:hAnsi="宋体" w:cs="宋体"/>
          <w:color w:val="auto"/>
          <w:kern w:val="0"/>
          <w:szCs w:val="21"/>
          <w:highlight w:val="none"/>
          <w:lang w:val="en-US" w:eastAsia="zh-CN"/>
        </w:rPr>
        <w:t>3</w:t>
      </w:r>
      <w:r>
        <w:rPr>
          <w:rFonts w:hint="eastAsia" w:ascii="宋体" w:hAnsi="宋体" w:cs="宋体"/>
          <w:bCs/>
          <w:color w:val="auto"/>
          <w:kern w:val="0"/>
          <w:szCs w:val="21"/>
          <w:highlight w:val="none"/>
        </w:rPr>
        <w:t>日</w:t>
      </w:r>
      <w:r>
        <w:rPr>
          <w:rFonts w:hint="eastAsia" w:ascii="宋体" w:hAnsi="宋体" w:cs="宋体"/>
          <w:color w:val="auto"/>
          <w:kern w:val="0"/>
          <w:szCs w:val="21"/>
          <w:highlight w:val="none"/>
        </w:rPr>
        <w:t>前，在</w:t>
      </w:r>
      <w:r>
        <w:rPr>
          <w:rFonts w:hint="eastAsia" w:ascii="宋体" w:hAnsi="宋体" w:cs="宋体"/>
          <w:color w:val="auto"/>
          <w:kern w:val="0"/>
          <w:szCs w:val="21"/>
          <w:highlight w:val="none"/>
          <w:lang w:val="en-US" w:eastAsia="zh-CN"/>
        </w:rPr>
        <w:t>原采购公告发布</w:t>
      </w:r>
      <w:r>
        <w:rPr>
          <w:rFonts w:hint="eastAsia" w:ascii="宋体" w:hAnsi="宋体" w:cs="宋体"/>
          <w:color w:val="auto"/>
          <w:kern w:val="0"/>
          <w:szCs w:val="21"/>
          <w:highlight w:val="none"/>
        </w:rPr>
        <w:t>相关媒体上发布更正公告或变更公告。</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文件公示期间对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文件进行的澄清、修改或补充不受上述限制。</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13.2 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文件澄清、修改或补充的内容为</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文件的组成部分。</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13.3 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文件的澄清、修改或补充都应以法定形式发布。采购人未对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文件进行的澄清、修改或补充无效，评标时不予认可。</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Cs w:val="21"/>
          <w:highlight w:val="none"/>
        </w:rPr>
        <w:t>13.4 </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可以视招标具体情况延长投标截止时间和开标时间，但至少应当在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文件要求提交投标文件的截止时间3</w:t>
      </w:r>
      <w:r>
        <w:rPr>
          <w:rFonts w:hint="eastAsia" w:ascii="宋体" w:hAnsi="宋体" w:cs="宋体"/>
          <w:bCs/>
          <w:color w:val="auto"/>
          <w:kern w:val="0"/>
          <w:szCs w:val="21"/>
          <w:highlight w:val="none"/>
        </w:rPr>
        <w:t>日</w:t>
      </w:r>
      <w:r>
        <w:rPr>
          <w:rFonts w:hint="eastAsia" w:ascii="宋体" w:hAnsi="宋体" w:cs="宋体"/>
          <w:color w:val="auto"/>
          <w:kern w:val="0"/>
          <w:szCs w:val="21"/>
          <w:highlight w:val="none"/>
        </w:rPr>
        <w:t>前，将变更时间</w:t>
      </w:r>
      <w:r>
        <w:rPr>
          <w:rFonts w:hint="eastAsia" w:ascii="宋体" w:hAnsi="宋体" w:cs="宋体"/>
          <w:color w:val="auto"/>
          <w:kern w:val="0"/>
          <w:szCs w:val="21"/>
          <w:highlight w:val="none"/>
          <w:lang w:val="en-US" w:eastAsia="zh-CN"/>
        </w:rPr>
        <w:t>通知所有潜在投标人</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2229" w:firstLineChars="694"/>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rPr>
        <w:t>三</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投标文件的编制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14.要求</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14.1 投标人应仔细阅读</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文件的所有内容，按照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文件提供的格式编写投标文件，不得缺少或留空任何</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文件要求填写的表格或提交的资料。</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文件提供格式的按格式填列，未提供格式的可自行拟定。投标文件应对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文件的要求作出实质性响应（包括投标人资格要求、技术要求、商务要求和投标文件格式中对投标的要求），投标人对所提供的全部资料的合法性、真实性负责。</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14.2 投标人应完整签署投标文件格式附件中《投标书》和《抵制商业贿赂承诺》，不得增减或修改内容。否则视为对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文件未作出实质性响应。</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15.投标文件的语言和计量单位</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15.1投标文件以及投标人与采购人就有关投标事宜的所有来往函电均应使用简体中文书写。</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15.2 关于投标计量单位，</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文件已有明确规定的，使用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文件规定的计量单位；</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文件没有规定的，应采用中华人民共和国法定计量单位。否则视为对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文件未作出实质性响应。</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15.3 原版为外文的证书类文件，以及由外国人做出的本人签名、外国公司的名称或外国印章等可以是外文，但应当提供中文翻译文件并加盖投标人公章。必要时评标委员会可以要求投标人提供附有公证书的中文翻译文件或者与原版文件签章相一致的中文翻译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16.投标文件的组成</w:t>
      </w:r>
      <w:r>
        <w:rPr>
          <w:rFonts w:hint="eastAsia" w:ascii="宋体" w:hAnsi="宋体" w:cs="宋体"/>
          <w:color w:val="auto"/>
          <w:kern w:val="0"/>
          <w:szCs w:val="21"/>
          <w:highlight w:val="none"/>
        </w:rPr>
        <w:t>。</w:t>
      </w:r>
      <w:r>
        <w:rPr>
          <w:rFonts w:hint="eastAsia" w:ascii="宋体" w:hAnsi="宋体" w:cs="宋体"/>
          <w:b/>
          <w:bCs/>
          <w:color w:val="auto"/>
          <w:kern w:val="0"/>
          <w:szCs w:val="21"/>
          <w:highlight w:val="none"/>
        </w:rPr>
        <w:t>投标文件应包括下列部分：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16.1、投标书及开标一览表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16.2、技术响应表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16.3、商务响应表</w:t>
      </w:r>
    </w:p>
    <w:p>
      <w:pPr>
        <w:keepNext w:val="0"/>
        <w:keepLines w:val="0"/>
        <w:pageBreakBefore w:val="0"/>
        <w:widowControl/>
        <w:kinsoku/>
        <w:wordWrap/>
        <w:overflowPunct/>
        <w:topLinePunct w:val="0"/>
        <w:bidi w:val="0"/>
        <w:snapToGrid w:val="0"/>
        <w:spacing w:line="360" w:lineRule="auto"/>
        <w:ind w:left="208" w:leftChars="99" w:firstLine="210" w:firstLineChars="100"/>
        <w:jc w:val="left"/>
        <w:rPr>
          <w:rFonts w:ascii="宋体" w:hAnsi="宋体" w:cs="宋体"/>
          <w:color w:val="auto"/>
          <w:kern w:val="0"/>
          <w:szCs w:val="21"/>
          <w:highlight w:val="none"/>
        </w:rPr>
      </w:pPr>
      <w:r>
        <w:rPr>
          <w:rFonts w:hint="eastAsia" w:ascii="宋体" w:hAnsi="宋体" w:cs="宋体"/>
          <w:color w:val="auto"/>
          <w:kern w:val="0"/>
          <w:szCs w:val="21"/>
          <w:highlight w:val="none"/>
        </w:rPr>
        <w:t>16.4、法定代表人身份证明</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16.5、法定代表人授权书</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16.6、证明文件</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color w:val="auto"/>
          <w:kern w:val="0"/>
          <w:szCs w:val="21"/>
          <w:highlight w:val="none"/>
        </w:rPr>
        <w:t>16.7、抵制商业贿赂承诺</w:t>
      </w:r>
    </w:p>
    <w:p>
      <w:pPr>
        <w:pStyle w:val="31"/>
        <w:keepNext w:val="0"/>
        <w:keepLines w:val="0"/>
        <w:pageBreakBefore w:val="0"/>
        <w:kinsoku/>
        <w:wordWrap/>
        <w:overflowPunct/>
        <w:topLinePunct w:val="0"/>
        <w:bidi w:val="0"/>
        <w:snapToGrid w:val="0"/>
        <w:spacing w:beforeAutospacing="0" w:afterAutospacing="0" w:line="360" w:lineRule="auto"/>
        <w:rPr>
          <w:color w:val="auto"/>
          <w:sz w:val="21"/>
          <w:szCs w:val="21"/>
          <w:highlight w:val="none"/>
        </w:rPr>
      </w:pPr>
      <w:r>
        <w:rPr>
          <w:rFonts w:hint="eastAsia"/>
          <w:color w:val="auto"/>
          <w:sz w:val="21"/>
          <w:szCs w:val="21"/>
          <w:highlight w:val="none"/>
        </w:rPr>
        <w:t>16.8、投标人认为有必要的其他资料</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17.投标有效期</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17.1 投标文件从</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公告所规定的投标截止期之后开始生效，在</w:t>
      </w:r>
      <w:r>
        <w:rPr>
          <w:rFonts w:hint="eastAsia" w:ascii="宋体" w:hAnsi="宋体" w:cs="宋体"/>
          <w:bCs/>
          <w:color w:val="auto"/>
          <w:kern w:val="0"/>
          <w:szCs w:val="21"/>
          <w:highlight w:val="none"/>
        </w:rPr>
        <w:t>投标人须知前附表</w:t>
      </w:r>
      <w:r>
        <w:rPr>
          <w:rFonts w:hint="eastAsia" w:ascii="宋体" w:hAnsi="宋体" w:cs="宋体"/>
          <w:color w:val="auto"/>
          <w:kern w:val="0"/>
          <w:szCs w:val="21"/>
          <w:highlight w:val="none"/>
        </w:rPr>
        <w:t>第16项所规定的期限内保持有效。有效期不足将导致其投标文件被拒绝。中标人的投标文件有效期至合同完全履行止。</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17.2特殊情况下</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可于投标有效期满之前书面要求投标人同意延长有效期，投标人应在</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规定的期限内以书面形式予以答复。投标人可以拒绝上述要求。投标人答复不明确或者逾期未答复的，均视为拒绝上述要求。对于接受该要求的投标人，既不要求也不允许其修改投标文件。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18.投标报价</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18.1 所有投标报价均以人民币元为计算单位。投标人的投标报价为交货地点交货价格，包括货物、随配附件、备品备件、工具、厂家赠品、运抵指定交货地点费用、保险费、安装调试费、服务费、售后服务、税金及其他所有费用的总和。</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18.2 投标人要按开标一览表的内容填写。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18.3 </w:t>
      </w:r>
      <w:r>
        <w:rPr>
          <w:rFonts w:hint="eastAsia" w:ascii="宋体" w:hAnsi="宋体" w:cs="宋体"/>
          <w:color w:val="auto"/>
          <w:spacing w:val="10"/>
          <w:kern w:val="0"/>
          <w:szCs w:val="21"/>
          <w:highlight w:val="none"/>
        </w:rPr>
        <w:t>投标人投报多标包的，应对每标包分别报价并分别填报开标一览表。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18.4 开标一览表中标明的价格在政府采购合同执行过程中是固定不变的，投标人不得以任何理由予以变更。以可调整的价格提交的投标将被作为无效投标处理。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18.5 </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不接受可选择的投标报价。</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18.6 对于投标人在开标一览表和投标文件中列出的赠送条款，在评审时不得作为价格评分因素或者调整评标价格的依据。</w:t>
      </w:r>
    </w:p>
    <w:p>
      <w:pPr>
        <w:keepNext w:val="0"/>
        <w:keepLines w:val="0"/>
        <w:pageBreakBefore w:val="0"/>
        <w:widowControl/>
        <w:kinsoku/>
        <w:wordWrap/>
        <w:overflowPunct/>
        <w:topLinePunct w:val="0"/>
        <w:bidi w:val="0"/>
        <w:snapToGrid w:val="0"/>
        <w:spacing w:line="360" w:lineRule="auto"/>
        <w:ind w:firstLine="417" w:firstLineChars="198"/>
        <w:rPr>
          <w:rFonts w:hint="eastAsia" w:ascii="宋体" w:hAnsi="宋体" w:eastAsia="宋体" w:cs="宋体"/>
          <w:b/>
          <w:color w:val="auto"/>
          <w:kern w:val="0"/>
          <w:szCs w:val="21"/>
          <w:highlight w:val="none"/>
          <w:lang w:eastAsia="zh-CN"/>
        </w:rPr>
      </w:pPr>
      <w:r>
        <w:rPr>
          <w:rFonts w:hint="eastAsia" w:ascii="宋体" w:hAnsi="宋体" w:cs="宋体"/>
          <w:b/>
          <w:color w:val="auto"/>
          <w:kern w:val="0"/>
          <w:szCs w:val="21"/>
          <w:highlight w:val="none"/>
        </w:rPr>
        <w:t>19.投标保证金</w:t>
      </w:r>
      <w:r>
        <w:rPr>
          <w:rFonts w:hint="eastAsia" w:ascii="宋体" w:hAnsi="宋体" w:cs="宋体"/>
          <w:b/>
          <w:color w:val="auto"/>
          <w:kern w:val="0"/>
          <w:szCs w:val="21"/>
          <w:highlight w:val="none"/>
          <w:lang w:eastAsia="zh-CN"/>
        </w:rPr>
        <w:t>（</w:t>
      </w:r>
      <w:r>
        <w:rPr>
          <w:rFonts w:hint="eastAsia" w:ascii="宋体" w:hAnsi="宋体" w:cs="宋体"/>
          <w:b/>
          <w:color w:val="auto"/>
          <w:kern w:val="0"/>
          <w:szCs w:val="21"/>
          <w:highlight w:val="none"/>
          <w:lang w:val="en-US" w:eastAsia="zh-CN"/>
        </w:rPr>
        <w:t>详见采购公告</w:t>
      </w:r>
      <w:r>
        <w:rPr>
          <w:rFonts w:hint="eastAsia" w:ascii="宋体" w:hAnsi="宋体" w:cs="宋体"/>
          <w:b/>
          <w:color w:val="auto"/>
          <w:kern w:val="0"/>
          <w:szCs w:val="21"/>
          <w:highlight w:val="none"/>
          <w:lang w:eastAsia="zh-CN"/>
        </w:rPr>
        <w:t>）</w:t>
      </w:r>
    </w:p>
    <w:p>
      <w:pPr>
        <w:keepNext w:val="0"/>
        <w:keepLines w:val="0"/>
        <w:pageBreakBefore w:val="0"/>
        <w:widowControl/>
        <w:kinsoku/>
        <w:wordWrap/>
        <w:overflowPunct/>
        <w:topLinePunct w:val="0"/>
        <w:bidi w:val="0"/>
        <w:snapToGrid w:val="0"/>
        <w:spacing w:line="360" w:lineRule="auto"/>
        <w:ind w:firstLine="417" w:firstLineChars="198"/>
        <w:rPr>
          <w:rFonts w:hint="default" w:ascii="宋体" w:hAnsi="宋体" w:eastAsia="宋体" w:cs="宋体"/>
          <w:b/>
          <w:color w:val="auto"/>
          <w:kern w:val="0"/>
          <w:szCs w:val="21"/>
          <w:highlight w:val="none"/>
          <w:lang w:val="en-US" w:eastAsia="zh-CN"/>
        </w:rPr>
      </w:pPr>
      <w:r>
        <w:rPr>
          <w:rFonts w:hint="eastAsia" w:ascii="宋体" w:hAnsi="宋体" w:cs="宋体"/>
          <w:b/>
          <w:color w:val="auto"/>
          <w:kern w:val="0"/>
          <w:szCs w:val="21"/>
          <w:highlight w:val="none"/>
        </w:rPr>
        <w:t>20.投标文件的签署</w:t>
      </w:r>
      <w:r>
        <w:rPr>
          <w:rFonts w:hint="eastAsia" w:ascii="宋体" w:hAnsi="宋体" w:cs="宋体"/>
          <w:b/>
          <w:color w:val="auto"/>
          <w:kern w:val="0"/>
          <w:szCs w:val="21"/>
          <w:highlight w:val="none"/>
          <w:lang w:val="en-US" w:eastAsia="zh-CN"/>
        </w:rPr>
        <w:t>及其他规定</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.1投标文件应按第六章“投标文件格式”进行编写，如有必要，可以增加附页，作为投标文件的组成部分。其中，投标报价一览表在满足</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文件实质性要求的基础上，可以提出比</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文件要求更有利于采购人的承诺。</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.2 投标文件应当对</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文件有关服务期、投标有效期、质量要求、技术标准和要求、</w:t>
      </w:r>
      <w:r>
        <w:rPr>
          <w:rFonts w:hint="eastAsia" w:ascii="宋体" w:hAnsi="宋体" w:cs="宋体"/>
          <w:color w:val="auto"/>
          <w:kern w:val="0"/>
          <w:szCs w:val="21"/>
          <w:highlight w:val="none"/>
          <w:lang w:eastAsia="zh-CN"/>
        </w:rPr>
        <w:t>磋商</w:t>
      </w:r>
      <w:r>
        <w:rPr>
          <w:rFonts w:hint="eastAsia" w:ascii="宋体" w:hAnsi="宋体" w:eastAsia="宋体" w:cs="宋体"/>
          <w:color w:val="auto"/>
          <w:kern w:val="0"/>
          <w:szCs w:val="21"/>
          <w:highlight w:val="none"/>
        </w:rPr>
        <w:t>范围等实质性内容作出响应。</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3投标文件应用不褪色的材料书写或打印，并由投标人的法定代表人盖章或盖单位公章；投标文件应尽量避免涂改、行间插字或删除，如果出现上述情况，改动之处应加盖单位公章或由投标人的法定代表人盖章确认。签字或盖章的具体要求见投标人须知前附表。</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.4投标文件份数见投标人须知前附表。投标文件正本和副本的封面上应清楚地标记“正本”或“副本”的字样。</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.5投标文件的具体装订要求见投标人须知前附表规定。</w:t>
      </w:r>
    </w:p>
    <w:p>
      <w:pPr>
        <w:keepNext w:val="0"/>
        <w:keepLines w:val="0"/>
        <w:pageBreakBefore w:val="0"/>
        <w:widowControl/>
        <w:kinsoku/>
        <w:wordWrap/>
        <w:overflowPunct/>
        <w:topLinePunct w:val="0"/>
        <w:bidi w:val="0"/>
        <w:snapToGrid w:val="0"/>
        <w:spacing w:line="360" w:lineRule="auto"/>
        <w:ind w:firstLine="2554" w:firstLineChars="795"/>
        <w:jc w:val="left"/>
        <w:rPr>
          <w:rFonts w:ascii="黑体" w:hAnsi="宋体" w:eastAsia="黑体" w:cs="宋体"/>
          <w:b/>
          <w:color w:val="auto"/>
          <w:kern w:val="0"/>
          <w:sz w:val="32"/>
          <w:szCs w:val="32"/>
          <w:highlight w:val="none"/>
        </w:rPr>
      </w:pPr>
      <w:r>
        <w:rPr>
          <w:rFonts w:hint="eastAsia" w:ascii="黑体" w:hAnsi="宋体" w:eastAsia="黑体" w:cs="宋体"/>
          <w:b/>
          <w:color w:val="auto"/>
          <w:kern w:val="0"/>
          <w:sz w:val="32"/>
          <w:szCs w:val="32"/>
          <w:highlight w:val="none"/>
        </w:rPr>
        <w:t>四、投标文件的递交</w:t>
      </w:r>
    </w:p>
    <w:p>
      <w:pPr>
        <w:keepNext w:val="0"/>
        <w:keepLines w:val="0"/>
        <w:pageBreakBefore w:val="0"/>
        <w:widowControl/>
        <w:kinsoku/>
        <w:wordWrap/>
        <w:overflowPunct/>
        <w:topLinePunct w:val="0"/>
        <w:autoSpaceDE/>
        <w:autoSpaceDN/>
        <w:bidi w:val="0"/>
        <w:adjustRightInd/>
        <w:snapToGrid w:val="0"/>
        <w:spacing w:line="360" w:lineRule="auto"/>
        <w:ind w:firstLine="417" w:firstLineChars="198"/>
        <w:textAlignment w:val="auto"/>
        <w:rPr>
          <w:rFonts w:ascii="宋体" w:hAnsi="宋体" w:cs="宋体"/>
          <w:b/>
          <w:color w:val="auto"/>
          <w:kern w:val="0"/>
          <w:szCs w:val="21"/>
          <w:highlight w:val="none"/>
        </w:rPr>
      </w:pPr>
      <w:r>
        <w:rPr>
          <w:rFonts w:hint="eastAsia" w:ascii="宋体" w:hAnsi="宋体" w:cs="宋体"/>
          <w:b/>
          <w:color w:val="auto"/>
          <w:kern w:val="0"/>
          <w:szCs w:val="21"/>
          <w:highlight w:val="none"/>
        </w:rPr>
        <w:t>21. 投标文件的密封、标记</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21.1投标文件的正本与副本应分开包装，加贴封条，并在封套的封口处加盖投标人单位公章。</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cs="宋体"/>
          <w:color w:val="auto"/>
          <w:kern w:val="0"/>
          <w:szCs w:val="21"/>
          <w:highlight w:val="none"/>
          <w:lang w:eastAsia="zh-CN"/>
        </w:rPr>
      </w:pPr>
      <w:r>
        <w:rPr>
          <w:rFonts w:hint="eastAsia" w:ascii="宋体" w:hAnsi="宋体" w:cs="宋体"/>
          <w:color w:val="auto"/>
          <w:kern w:val="0"/>
          <w:szCs w:val="21"/>
          <w:highlight w:val="none"/>
        </w:rPr>
        <w:t>21.2 投标文件的封套上应清楚地标记“正本”或“副本”字样，封套上应写明的其他内容见投标人须知前附表</w:t>
      </w:r>
      <w:r>
        <w:rPr>
          <w:rFonts w:hint="eastAsia" w:ascii="宋体" w:hAnsi="宋体" w:cs="宋体"/>
          <w:color w:val="auto"/>
          <w:kern w:val="0"/>
          <w:szCs w:val="21"/>
          <w:highlight w:val="none"/>
          <w:lang w:eastAsia="zh-CN"/>
        </w:rPr>
        <w:t>。</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lang w:eastAsia="zh-CN"/>
        </w:rPr>
      </w:pPr>
      <w:r>
        <w:rPr>
          <w:rFonts w:hint="eastAsia" w:ascii="宋体" w:hAnsi="宋体" w:eastAsia="宋体" w:cs="宋体"/>
          <w:lang w:eastAsia="zh-CN"/>
        </w:rPr>
        <w:t>2</w:t>
      </w:r>
      <w:r>
        <w:rPr>
          <w:rFonts w:hint="eastAsia" w:ascii="宋体" w:hAnsi="宋体" w:eastAsia="宋体" w:cs="宋体"/>
          <w:lang w:val="en-US" w:eastAsia="zh-CN"/>
        </w:rPr>
        <w:t>1</w:t>
      </w:r>
      <w:r>
        <w:rPr>
          <w:rFonts w:hint="eastAsia" w:ascii="宋体" w:hAnsi="宋体" w:eastAsia="宋体" w:cs="宋体"/>
          <w:lang w:eastAsia="zh-CN"/>
        </w:rPr>
        <w:t>.3 未按本章第2</w:t>
      </w:r>
      <w:r>
        <w:rPr>
          <w:rFonts w:hint="eastAsia" w:ascii="宋体" w:hAnsi="宋体" w:eastAsia="宋体" w:cs="宋体"/>
          <w:lang w:val="en-US" w:eastAsia="zh-CN"/>
        </w:rPr>
        <w:t>1</w:t>
      </w:r>
      <w:r>
        <w:rPr>
          <w:rFonts w:hint="eastAsia" w:ascii="宋体" w:hAnsi="宋体" w:eastAsia="宋体" w:cs="宋体"/>
          <w:lang w:eastAsia="zh-CN"/>
        </w:rPr>
        <w:t>.1项或第2</w:t>
      </w:r>
      <w:r>
        <w:rPr>
          <w:rFonts w:hint="eastAsia" w:ascii="宋体" w:hAnsi="宋体" w:eastAsia="宋体" w:cs="宋体"/>
          <w:lang w:val="en-US" w:eastAsia="zh-CN"/>
        </w:rPr>
        <w:t>1</w:t>
      </w:r>
      <w:r>
        <w:rPr>
          <w:rFonts w:hint="eastAsia" w:ascii="宋体" w:hAnsi="宋体" w:eastAsia="宋体" w:cs="宋体"/>
          <w:lang w:eastAsia="zh-CN"/>
        </w:rPr>
        <w:t>.2项要求密封和加写标记的投标文件，采购人不予受理。</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22. 投标文件的递交</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.1 投标人应在规定的投标截止时间前</w:t>
      </w:r>
      <w:r>
        <w:rPr>
          <w:rFonts w:hint="eastAsia" w:ascii="宋体" w:hAnsi="宋体" w:cs="宋体"/>
          <w:color w:val="auto"/>
          <w:kern w:val="0"/>
          <w:szCs w:val="21"/>
          <w:highlight w:val="none"/>
          <w:lang w:eastAsia="zh-CN"/>
        </w:rPr>
        <w:t>递交</w:t>
      </w:r>
      <w:r>
        <w:rPr>
          <w:rFonts w:hint="eastAsia" w:ascii="宋体" w:hAnsi="宋体" w:cs="宋体"/>
          <w:color w:val="auto"/>
          <w:kern w:val="0"/>
          <w:szCs w:val="21"/>
          <w:highlight w:val="none"/>
        </w:rPr>
        <w:t>投标文件。</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.2 投标人递交投标文件的地点：见投标人须知前附表。</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.3 除投标人须知前附表另有规定外，投标人所递交的投标文件不予退还。</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.4 逾期送达的或者未送达指定地点的投标文件，采购人不予受理。</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23. 投标文件的修改和撤回</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23.1 投标人在投标截止时间前，可以对所提交的投标文件进行补充、修改或者撤回，并书面通知</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。补充、修改的内容和撤回通知应当按本须知要求签署、盖章、密封，并作为投标文件的组成部分。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 w:val="24"/>
          <w:highlight w:val="none"/>
        </w:rPr>
      </w:pPr>
      <w:r>
        <w:rPr>
          <w:rFonts w:hint="eastAsia" w:ascii="宋体" w:hAnsi="宋体" w:cs="宋体"/>
          <w:color w:val="auto"/>
          <w:kern w:val="0"/>
          <w:szCs w:val="21"/>
          <w:highlight w:val="none"/>
        </w:rPr>
        <w:t>23.2 投标人在投标截止期后不得修改、撤回投标文件。投标人在投标截止期后修改投标文件的，其投标将被拒绝。</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五</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评标</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4</w:t>
      </w:r>
      <w:r>
        <w:rPr>
          <w:rFonts w:hint="eastAsia" w:ascii="宋体" w:hAnsi="宋体" w:cs="宋体"/>
          <w:b/>
          <w:bCs/>
          <w:color w:val="auto"/>
          <w:kern w:val="0"/>
          <w:szCs w:val="21"/>
          <w:highlight w:val="none"/>
        </w:rPr>
        <w:t>. 组建评标委员会</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.1 评标委员会由采购人代表和评审专家组成。成员由</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人以上单数组成。</w:t>
      </w:r>
      <w:r>
        <w:rPr>
          <w:rFonts w:hint="eastAsia" w:ascii="宋体" w:hAnsi="宋体" w:cs="宋体"/>
          <w:color w:val="auto"/>
          <w:szCs w:val="21"/>
          <w:highlight w:val="none"/>
        </w:rPr>
        <w:t>在开标后由评标委员会对投标文件进行审查、质疑、评估和比较，并做合理的建议。</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.2评标委员会成员要依法独立评审，并对评审意见承担个人责任。</w:t>
      </w:r>
      <w:r>
        <w:rPr>
          <w:rFonts w:hint="eastAsia" w:ascii="宋体" w:hAnsi="宋体" w:cs="宋体"/>
          <w:color w:val="auto"/>
          <w:szCs w:val="21"/>
          <w:highlight w:val="none"/>
        </w:rPr>
        <w:t>评标委员会成员对需要共同认定的事项存在争议的，按照少数服从多数的原则</w:t>
      </w:r>
      <w:r>
        <w:rPr>
          <w:rFonts w:hint="eastAsia" w:ascii="宋体" w:hAnsi="宋体" w:cs="宋体"/>
          <w:color w:val="auto"/>
          <w:kern w:val="0"/>
          <w:szCs w:val="21"/>
          <w:highlight w:val="none"/>
        </w:rPr>
        <w:t>做</w:t>
      </w:r>
      <w:r>
        <w:rPr>
          <w:rFonts w:hint="eastAsia" w:ascii="宋体" w:hAnsi="宋体" w:cs="宋体"/>
          <w:color w:val="auto"/>
          <w:szCs w:val="21"/>
          <w:highlight w:val="none"/>
        </w:rPr>
        <w:t>出结论。持不同意见的评标委员会成员应当在评标报告上签署不同意见</w:t>
      </w:r>
      <w:r>
        <w:rPr>
          <w:rFonts w:hint="eastAsia" w:ascii="宋体" w:hAnsi="宋体" w:cs="宋体"/>
          <w:color w:val="auto"/>
          <w:kern w:val="0"/>
          <w:szCs w:val="21"/>
          <w:highlight w:val="none"/>
        </w:rPr>
        <w:t>并说明</w:t>
      </w:r>
      <w:r>
        <w:rPr>
          <w:rFonts w:hint="eastAsia" w:ascii="宋体" w:hAnsi="宋体" w:cs="宋体"/>
          <w:color w:val="auto"/>
          <w:szCs w:val="21"/>
          <w:highlight w:val="none"/>
        </w:rPr>
        <w:t>理由，否则视为同意。</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2</w:t>
      </w:r>
      <w:r>
        <w:rPr>
          <w:rFonts w:hint="eastAsia" w:ascii="宋体" w:hAnsi="宋体" w:cs="宋体"/>
          <w:b/>
          <w:bCs/>
          <w:color w:val="auto"/>
          <w:szCs w:val="21"/>
          <w:highlight w:val="none"/>
          <w:lang w:val="en-US" w:eastAsia="zh-CN"/>
        </w:rPr>
        <w:t>5</w:t>
      </w:r>
      <w:r>
        <w:rPr>
          <w:rFonts w:hint="eastAsia" w:ascii="宋体" w:hAnsi="宋体" w:cs="宋体"/>
          <w:b/>
          <w:bCs/>
          <w:color w:val="auto"/>
          <w:szCs w:val="21"/>
          <w:highlight w:val="none"/>
        </w:rPr>
        <w:t>. 投标文件的初审</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.1对所有投标人的评估，都采用相同的程序和标准。评标过程将严格按照</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文件的要求和条件进行。</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.2 评标委员会将对投标文件进行检查，以确定投标文件是否完整、有无计算上的错误、文件是否已正确签署等。</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ascii="宋体" w:hAnsi="宋体" w:cs="宋体"/>
          <w:color w:val="auto"/>
          <w:kern w:val="0"/>
          <w:szCs w:val="21"/>
          <w:highlight w:val="none"/>
        </w:rPr>
        <w:t>.</w:t>
      </w:r>
      <w:r>
        <w:rPr>
          <w:rFonts w:hint="eastAsia" w:ascii="宋体" w:hAnsi="宋体" w:cs="宋体"/>
          <w:color w:val="auto"/>
          <w:kern w:val="0"/>
          <w:szCs w:val="21"/>
          <w:highlight w:val="none"/>
        </w:rPr>
        <w:t>3</w:t>
      </w:r>
      <w:r>
        <w:rPr>
          <w:rFonts w:ascii="宋体" w:hAnsi="宋体" w:cs="宋体"/>
          <w:color w:val="auto"/>
          <w:kern w:val="0"/>
          <w:szCs w:val="21"/>
          <w:highlight w:val="none"/>
        </w:rPr>
        <w:t> </w:t>
      </w:r>
      <w:r>
        <w:rPr>
          <w:rFonts w:hint="eastAsia"/>
          <w:color w:val="auto"/>
          <w:kern w:val="0"/>
          <w:szCs w:val="21"/>
          <w:highlight w:val="none"/>
        </w:rPr>
        <w:t>投标文件报价出现前后不一致的，除</w:t>
      </w:r>
      <w:r>
        <w:rPr>
          <w:rFonts w:hint="eastAsia"/>
          <w:color w:val="auto"/>
          <w:kern w:val="0"/>
          <w:szCs w:val="21"/>
          <w:highlight w:val="none"/>
          <w:lang w:val="en-US" w:eastAsia="zh-CN"/>
        </w:rPr>
        <w:t>采购</w:t>
      </w:r>
      <w:r>
        <w:rPr>
          <w:rFonts w:hint="eastAsia"/>
          <w:color w:val="auto"/>
          <w:kern w:val="0"/>
          <w:szCs w:val="21"/>
          <w:highlight w:val="none"/>
        </w:rPr>
        <w:t>文件另有规定外，</w:t>
      </w:r>
      <w:r>
        <w:rPr>
          <w:rFonts w:hint="eastAsia" w:cs="宋体"/>
          <w:color w:val="auto"/>
          <w:kern w:val="0"/>
          <w:szCs w:val="21"/>
          <w:highlight w:val="none"/>
        </w:rPr>
        <w:t>修正错误的原则如下：</w:t>
      </w:r>
    </w:p>
    <w:p>
      <w:pPr>
        <w:pStyle w:val="28"/>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.3.1</w:t>
      </w:r>
      <w:r>
        <w:rPr>
          <w:rFonts w:hint="eastAsia" w:ascii="宋体" w:hAnsi="宋体" w:cs="宋体"/>
          <w:color w:val="auto"/>
          <w:sz w:val="21"/>
          <w:szCs w:val="21"/>
          <w:highlight w:val="none"/>
          <w:shd w:val="clear" w:color="auto" w:fill="FFFFFF"/>
        </w:rPr>
        <w:t>投标文件开标一览表（报价表）内容与投标文件中相应内容不一致的，以开标一览表（报价表）为准；</w:t>
      </w:r>
    </w:p>
    <w:p>
      <w:pPr>
        <w:pStyle w:val="28"/>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.3.2</w:t>
      </w:r>
      <w:r>
        <w:rPr>
          <w:rFonts w:hint="eastAsia" w:ascii="宋体" w:hAnsi="宋体" w:cs="宋体"/>
          <w:color w:val="auto"/>
          <w:sz w:val="21"/>
          <w:szCs w:val="21"/>
          <w:highlight w:val="none"/>
          <w:shd w:val="clear" w:color="auto" w:fill="FFFFFF"/>
        </w:rPr>
        <w:t>大写金额</w:t>
      </w:r>
      <w:r>
        <w:rPr>
          <w:rFonts w:hint="eastAsia" w:ascii="宋体" w:hAnsi="宋体" w:cs="宋体"/>
          <w:color w:val="auto"/>
          <w:sz w:val="21"/>
          <w:szCs w:val="21"/>
          <w:highlight w:val="none"/>
        </w:rPr>
        <w:t>与</w:t>
      </w:r>
      <w:r>
        <w:rPr>
          <w:rFonts w:hint="eastAsia" w:ascii="宋体" w:hAnsi="宋体" w:cs="宋体"/>
          <w:color w:val="auto"/>
          <w:sz w:val="21"/>
          <w:szCs w:val="21"/>
          <w:highlight w:val="none"/>
          <w:shd w:val="clear" w:color="auto" w:fill="FFFFFF"/>
        </w:rPr>
        <w:t>小写金额不一致的，以大写金额为准；</w:t>
      </w:r>
    </w:p>
    <w:p>
      <w:pPr>
        <w:pStyle w:val="28"/>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.3.3</w:t>
      </w:r>
      <w:r>
        <w:rPr>
          <w:rFonts w:hint="eastAsia" w:ascii="宋体" w:hAnsi="宋体" w:cs="宋体"/>
          <w:color w:val="auto"/>
          <w:sz w:val="21"/>
          <w:szCs w:val="21"/>
          <w:highlight w:val="none"/>
          <w:shd w:val="clear" w:color="auto" w:fill="FFFFFF"/>
        </w:rPr>
        <w:t>单价金额小数点或者百分比有明显错位的，以开标一览表的总价为准，并修改单价；</w:t>
      </w:r>
    </w:p>
    <w:p>
      <w:pPr>
        <w:pStyle w:val="28"/>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.3.4</w:t>
      </w:r>
      <w:r>
        <w:rPr>
          <w:rFonts w:hint="eastAsia" w:ascii="宋体" w:hAnsi="宋体" w:cs="宋体"/>
          <w:color w:val="auto"/>
          <w:sz w:val="21"/>
          <w:szCs w:val="21"/>
          <w:highlight w:val="none"/>
          <w:shd w:val="clear" w:color="auto" w:fill="FFFFFF"/>
        </w:rPr>
        <w:t>总价金额与按单价汇总金额不一致的，以单价金额计算结果为准。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.3.5 对不同文字文本投标文件的解释发生异议的，以中文文本为准。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.3.6 同时出现两种以上不一致的，按照前款规定的顺序修正。修正后的报价按照财政部87号令第五十一条第二款的规定经投标人确认后产生约束力，投标人不确认的，其投标无效。</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 资格性检查和符合性检查。</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.4.1</w:t>
      </w:r>
      <w:r>
        <w:rPr>
          <w:rFonts w:hint="eastAsia" w:ascii="宋体" w:hAnsi="宋体"/>
          <w:color w:val="auto"/>
          <w:szCs w:val="21"/>
          <w:highlight w:val="none"/>
        </w:rPr>
        <w:t>资格性检查。依据法规政策和</w:t>
      </w:r>
      <w:r>
        <w:rPr>
          <w:rFonts w:hint="eastAsia" w:ascii="宋体" w:hAnsi="宋体"/>
          <w:color w:val="auto"/>
          <w:szCs w:val="21"/>
          <w:highlight w:val="none"/>
          <w:lang w:val="en-US" w:eastAsia="zh-CN"/>
        </w:rPr>
        <w:t>采购</w:t>
      </w:r>
      <w:r>
        <w:rPr>
          <w:rFonts w:hint="eastAsia" w:ascii="宋体" w:hAnsi="宋体"/>
          <w:color w:val="auto"/>
          <w:szCs w:val="21"/>
          <w:highlight w:val="none"/>
        </w:rPr>
        <w:t>文件的规定，在对投标文件详细评估之前，采购人将依据投标人提交的投标文件按</w:t>
      </w:r>
      <w:r>
        <w:rPr>
          <w:rFonts w:hint="eastAsia" w:ascii="宋体" w:hAnsi="宋体"/>
          <w:color w:val="auto"/>
          <w:szCs w:val="21"/>
          <w:highlight w:val="none"/>
          <w:lang w:val="en-US" w:eastAsia="zh-CN"/>
        </w:rPr>
        <w:t>采购</w:t>
      </w:r>
      <w:r>
        <w:rPr>
          <w:rFonts w:hint="eastAsia" w:ascii="宋体" w:hAnsi="宋体"/>
          <w:color w:val="auto"/>
          <w:szCs w:val="21"/>
          <w:highlight w:val="none"/>
        </w:rPr>
        <w:t>公告第二项和</w:t>
      </w:r>
      <w:r>
        <w:rPr>
          <w:rFonts w:hint="eastAsia" w:ascii="宋体" w:hAnsi="宋体"/>
          <w:color w:val="auto"/>
          <w:szCs w:val="21"/>
          <w:highlight w:val="none"/>
          <w:lang w:val="en-US" w:eastAsia="zh-CN"/>
        </w:rPr>
        <w:t>采购</w:t>
      </w:r>
      <w:r>
        <w:rPr>
          <w:rFonts w:hint="eastAsia" w:ascii="宋体" w:hAnsi="宋体"/>
          <w:color w:val="auto"/>
          <w:szCs w:val="21"/>
          <w:highlight w:val="none"/>
        </w:rPr>
        <w:t>文件第三章4.投标人应提交的证明文件所述的资格标准对投标人进行资格审查,以确定其是否具备投标资格。如果投标人不具备投标资格、不满足</w:t>
      </w:r>
      <w:r>
        <w:rPr>
          <w:rFonts w:hint="eastAsia" w:ascii="宋体" w:hAnsi="宋体"/>
          <w:color w:val="auto"/>
          <w:szCs w:val="21"/>
          <w:highlight w:val="none"/>
          <w:lang w:val="en-US" w:eastAsia="zh-CN"/>
        </w:rPr>
        <w:t>采购</w:t>
      </w:r>
      <w:r>
        <w:rPr>
          <w:rFonts w:hint="eastAsia" w:ascii="宋体" w:hAnsi="宋体"/>
          <w:color w:val="auto"/>
          <w:szCs w:val="21"/>
          <w:highlight w:val="none"/>
        </w:rPr>
        <w:t>文件所规定的资格标准或提供资格证明文件不全,其投标将被作为无效投标。</w:t>
      </w:r>
      <w:r>
        <w:rPr>
          <w:rFonts w:hint="eastAsia" w:ascii="宋体" w:hAnsi="宋体" w:cs="Lucida Sans Unicode"/>
          <w:color w:val="auto"/>
          <w:szCs w:val="21"/>
          <w:highlight w:val="none"/>
        </w:rPr>
        <w:t>在审查过程中，采购人有权要求投标人按</w:t>
      </w:r>
      <w:r>
        <w:rPr>
          <w:rFonts w:hint="eastAsia" w:ascii="宋体" w:hAnsi="宋体" w:cs="Lucida Sans Unicode"/>
          <w:color w:val="auto"/>
          <w:szCs w:val="21"/>
          <w:highlight w:val="none"/>
          <w:lang w:val="en-US" w:eastAsia="zh-CN"/>
        </w:rPr>
        <w:t>采购</w:t>
      </w:r>
      <w:r>
        <w:rPr>
          <w:rFonts w:hint="eastAsia" w:ascii="宋体" w:hAnsi="宋体" w:cs="Lucida Sans Unicode"/>
          <w:color w:val="auto"/>
          <w:szCs w:val="21"/>
          <w:highlight w:val="none"/>
        </w:rPr>
        <w:t>文件的规定提供相关资格证明材料的原件以供审查。投标人应在规定的时限内提供。投标人拒不提供的，或者不能在规定时限内提供的，视为其不具备该资格条件。</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Lucida Sans Unicode"/>
          <w:color w:val="auto"/>
          <w:szCs w:val="21"/>
          <w:highlight w:val="none"/>
        </w:rPr>
      </w:pPr>
      <w:r>
        <w:rPr>
          <w:rFonts w:hint="eastAsia" w:ascii="宋体" w:hAnsi="宋体" w:cs="Lucida Sans Unicode"/>
          <w:color w:val="auto"/>
          <w:szCs w:val="21"/>
          <w:highlight w:val="none"/>
        </w:rPr>
        <w:t>2</w:t>
      </w:r>
      <w:r>
        <w:rPr>
          <w:rFonts w:hint="eastAsia" w:ascii="宋体" w:hAnsi="宋体" w:cs="Lucida Sans Unicode"/>
          <w:color w:val="auto"/>
          <w:szCs w:val="21"/>
          <w:highlight w:val="none"/>
          <w:lang w:val="en-US" w:eastAsia="zh-CN"/>
        </w:rPr>
        <w:t>5</w:t>
      </w:r>
      <w:r>
        <w:rPr>
          <w:rFonts w:hint="eastAsia" w:ascii="宋体" w:hAnsi="宋体" w:cs="Lucida Sans Unicode"/>
          <w:color w:val="auto"/>
          <w:szCs w:val="21"/>
          <w:highlight w:val="none"/>
        </w:rPr>
        <w:t>.4.2 资格审查后合格的投标人不足3家的，不得评标。</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.4.3 符合性检查。依据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文件的规定，评标委员会将从投标文件的有效性、完整性和对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文件的响应程度进行审查，以确定是否符合对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文件的实质性要求作出响应。对没有实质性响应的投标文件将不进行评估，其投标被作为无效投标。凡有下列情况之一者，投标文件也将被视为未实质性响应</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（1）投标文件未按规定签字、盖章的。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（2）投标人未能出具有效身份证明，或与身份不符的。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（3）资格证明文件不全的，或不符合</w:t>
      </w:r>
      <w:r>
        <w:rPr>
          <w:rFonts w:hint="eastAsia" w:ascii="宋体" w:hAnsi="宋体"/>
          <w:color w:val="auto"/>
          <w:szCs w:val="21"/>
          <w:highlight w:val="none"/>
          <w:lang w:val="en-US" w:eastAsia="zh-CN"/>
        </w:rPr>
        <w:t>采购</w:t>
      </w:r>
      <w:r>
        <w:rPr>
          <w:rFonts w:hint="eastAsia" w:ascii="宋体" w:hAnsi="宋体"/>
          <w:color w:val="auto"/>
          <w:szCs w:val="21"/>
          <w:highlight w:val="none"/>
        </w:rPr>
        <w:t>文件标明的资格要求的。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（4）投标有效期、交货时间、质保期等不满足</w:t>
      </w:r>
      <w:r>
        <w:rPr>
          <w:rFonts w:hint="eastAsia" w:ascii="宋体" w:hAnsi="宋体"/>
          <w:color w:val="auto"/>
          <w:szCs w:val="21"/>
          <w:highlight w:val="none"/>
          <w:lang w:val="en-US" w:eastAsia="zh-CN"/>
        </w:rPr>
        <w:t>采购</w:t>
      </w:r>
      <w:r>
        <w:rPr>
          <w:rFonts w:hint="eastAsia" w:ascii="宋体" w:hAnsi="宋体"/>
          <w:color w:val="auto"/>
          <w:szCs w:val="21"/>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（5）未按</w:t>
      </w:r>
      <w:r>
        <w:rPr>
          <w:rFonts w:hint="eastAsia" w:ascii="宋体" w:hAnsi="宋体"/>
          <w:color w:val="auto"/>
          <w:szCs w:val="21"/>
          <w:highlight w:val="none"/>
          <w:lang w:val="en-US" w:eastAsia="zh-CN"/>
        </w:rPr>
        <w:t>采购</w:t>
      </w:r>
      <w:r>
        <w:rPr>
          <w:rFonts w:hint="eastAsia" w:ascii="宋体" w:hAnsi="宋体"/>
          <w:color w:val="auto"/>
          <w:szCs w:val="21"/>
          <w:highlight w:val="none"/>
        </w:rPr>
        <w:t>文件提供的格式填列、项目不齐全或内容虚假的。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（6）投标文件的实质性内容未使用中文表述，或意思表述不明确，或前后矛盾，或使用计量单位不符合</w:t>
      </w:r>
      <w:r>
        <w:rPr>
          <w:rFonts w:hint="eastAsia" w:ascii="宋体" w:hAnsi="宋体"/>
          <w:color w:val="auto"/>
          <w:szCs w:val="21"/>
          <w:highlight w:val="none"/>
          <w:lang w:val="en-US" w:eastAsia="zh-CN"/>
        </w:rPr>
        <w:t>采购</w:t>
      </w:r>
      <w:r>
        <w:rPr>
          <w:rFonts w:hint="eastAsia" w:ascii="宋体" w:hAnsi="宋体"/>
          <w:color w:val="auto"/>
          <w:szCs w:val="21"/>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（7）投标文件的关键内容字迹模糊、无法辨认,或投标文件中经修正的内容字迹模糊无法辩认，或修改处未按规定签名盖章的。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olor w:val="auto"/>
          <w:szCs w:val="21"/>
          <w:highlight w:val="none"/>
        </w:rPr>
        <w:t>（8）投标文件内容未按</w:t>
      </w:r>
      <w:r>
        <w:rPr>
          <w:rFonts w:hint="eastAsia" w:ascii="宋体" w:hAnsi="宋体"/>
          <w:color w:val="auto"/>
          <w:szCs w:val="21"/>
          <w:highlight w:val="none"/>
          <w:lang w:val="en-US" w:eastAsia="zh-CN"/>
        </w:rPr>
        <w:t>采购</w:t>
      </w:r>
      <w:r>
        <w:rPr>
          <w:rFonts w:hint="eastAsia" w:ascii="宋体" w:hAnsi="宋体"/>
          <w:color w:val="auto"/>
          <w:szCs w:val="21"/>
          <w:highlight w:val="none"/>
        </w:rPr>
        <w:t>文件响应的。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（9）不符合</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文件中规定的其它实质性条款。</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评标委员会决定投标的响应性只根据投标文件本身的内容，而不寻求其他的外部证据。</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.4.4 对资格性检查和符合性检查不合格的投标人，将</w:t>
      </w:r>
      <w:r>
        <w:rPr>
          <w:rFonts w:hint="eastAsia" w:ascii="宋体" w:hAnsi="宋体" w:cs="宋体"/>
          <w:color w:val="auto"/>
          <w:kern w:val="0"/>
          <w:szCs w:val="21"/>
          <w:highlight w:val="none"/>
          <w:lang w:val="en-US" w:eastAsia="zh-CN"/>
        </w:rPr>
        <w:t>通过评标系统</w:t>
      </w:r>
      <w:r>
        <w:rPr>
          <w:rFonts w:hint="eastAsia" w:ascii="宋体" w:hAnsi="宋体" w:cs="宋体"/>
          <w:color w:val="auto"/>
          <w:kern w:val="0"/>
          <w:szCs w:val="21"/>
          <w:highlight w:val="none"/>
        </w:rPr>
        <w:t>告知其理由。</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5</w:t>
      </w:r>
      <w:r>
        <w:rPr>
          <w:rFonts w:hint="eastAsia" w:ascii="宋体" w:hAnsi="宋体" w:cs="宋体"/>
          <w:color w:val="auto"/>
          <w:sz w:val="21"/>
          <w:szCs w:val="21"/>
          <w:highlight w:val="none"/>
        </w:rPr>
        <w:t>.5 在评审过程中，评标委员会发现投标人有下列情形之一的，视为投标人串通投标，其投标无效：</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.5.1不同投标人的投标文件异常一致。</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.5.2不同投标人的投标文件由同一单位或者个人编制；</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.5.3不同投标人委托同一单位或者个人办理投标事宜；</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.5.4不同投标人的投标文件载明的项目管理成员或者联系人员为同一人；　　</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.5.5不同投标人的投标文件相互混装；</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.5.6不同投标人的投标保证金从同一单位或者个人的账户转出（若收取）。</w:t>
      </w:r>
    </w:p>
    <w:p>
      <w:pPr>
        <w:keepNext w:val="0"/>
        <w:keepLines w:val="0"/>
        <w:pageBreakBefore w:val="0"/>
        <w:widowControl/>
        <w:kinsoku/>
        <w:wordWrap/>
        <w:overflowPunct/>
        <w:topLinePunct w:val="0"/>
        <w:bidi w:val="0"/>
        <w:adjustRightInd w:val="0"/>
        <w:snapToGrid w:val="0"/>
        <w:spacing w:line="360" w:lineRule="auto"/>
        <w:ind w:left="19" w:leftChars="9" w:firstLine="399" w:firstLineChars="190"/>
        <w:jc w:val="left"/>
        <w:textAlignment w:val="baseline"/>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.5.7 有证据证明投标人串通投标的其他情形的；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.5.8 不同投标人的投标文件制作机器码一致；</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.5.9 评标委员会认定的其他串通投标情形。</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6</w:t>
      </w:r>
      <w:r>
        <w:rPr>
          <w:rFonts w:hint="eastAsia" w:ascii="宋体" w:hAnsi="宋体" w:cs="宋体"/>
          <w:b/>
          <w:bCs/>
          <w:color w:val="auto"/>
          <w:kern w:val="0"/>
          <w:szCs w:val="21"/>
          <w:highlight w:val="none"/>
        </w:rPr>
        <w:t>. 投标文件的澄清</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对投标文件中含义不明确、同类问题表述不一致或者有明显文字和计算错误的内容，评标委员会可以书面形式要求投标人作出必要的澄清。投标人的澄清应当在评标委员会规定的时间内以书面形式作出，由其投标人代表签字。但澄清事项不得超出投标文件的范围，不得实质性改变投标文件的内容，不得通过澄清等方式对投标人实行差别对待。评标委员会不得接受投标人主动提出的澄清和解释。</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7</w:t>
      </w:r>
      <w:r>
        <w:rPr>
          <w:rFonts w:hint="eastAsia" w:ascii="宋体" w:hAnsi="宋体" w:cs="宋体"/>
          <w:b/>
          <w:bCs/>
          <w:color w:val="auto"/>
          <w:kern w:val="0"/>
          <w:szCs w:val="21"/>
          <w:highlight w:val="none"/>
        </w:rPr>
        <w:t>. 比较与评价</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.1 评标委员会将按本</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文件规定的评标方法与标准，对资格性检查和符合性检查合格的投标文件进行商务和技术评估，综合比较与评价。</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.2对漏（缺）报项的处理：</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文件中要求列入报价的费用（含配置、功能），漏（缺）报的视同已含在投标总价中。</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b/>
          <w:bCs/>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3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8</w:t>
      </w:r>
      <w:r>
        <w:rPr>
          <w:rFonts w:hint="eastAsia" w:ascii="宋体" w:hAnsi="宋体" w:cs="宋体"/>
          <w:b/>
          <w:bCs/>
          <w:color w:val="auto"/>
          <w:kern w:val="0"/>
          <w:szCs w:val="21"/>
          <w:highlight w:val="none"/>
        </w:rPr>
        <w:t>. 评标过程及保密原则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.1 凡与本次</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有关人员对属于审查、澄清、评价和比较投标的有关资料以及定标意向等，均不得向投标人或其他人员透露。否则,将按有关规定追究相关人员的责任。</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.2 在评标期间，投标人试图影响或干预评审的任何行为，将导致其投标被作为无效投标，并承担相应的法律责任。</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color w:val="auto"/>
          <w:kern w:val="0"/>
          <w:szCs w:val="21"/>
          <w:highlight w:val="none"/>
        </w:rPr>
      </w:pPr>
      <w:r>
        <w:rPr>
          <w:rFonts w:hint="eastAsia" w:ascii="宋体" w:hAnsi="宋体" w:cs="宋体"/>
          <w:b/>
          <w:color w:val="auto"/>
          <w:kern w:val="0"/>
          <w:szCs w:val="21"/>
          <w:highlight w:val="none"/>
          <w:lang w:val="en-US" w:eastAsia="zh-CN"/>
        </w:rPr>
        <w:t>29</w:t>
      </w:r>
      <w:r>
        <w:rPr>
          <w:rFonts w:hint="eastAsia" w:ascii="宋体" w:hAnsi="宋体" w:cs="宋体"/>
          <w:b/>
          <w:color w:val="auto"/>
          <w:kern w:val="0"/>
          <w:szCs w:val="21"/>
          <w:highlight w:val="none"/>
        </w:rPr>
        <w:t>.评标异议登记</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 w:val="24"/>
          <w:highlight w:val="none"/>
        </w:rPr>
      </w:pP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工作人员对评审专家等相关人员在评审过程中发现、提出的异议进行逐项登记。</w:t>
      </w:r>
    </w:p>
    <w:p>
      <w:pPr>
        <w:keepNext w:val="0"/>
        <w:keepLines w:val="0"/>
        <w:pageBreakBefore w:val="0"/>
        <w:widowControl/>
        <w:kinsoku/>
        <w:wordWrap/>
        <w:overflowPunct/>
        <w:topLinePunct w:val="0"/>
        <w:bidi w:val="0"/>
        <w:snapToGrid w:val="0"/>
        <w:spacing w:line="360" w:lineRule="auto"/>
        <w:ind w:firstLine="3050"/>
        <w:jc w:val="left"/>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六</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定标</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0</w:t>
      </w:r>
      <w:r>
        <w:rPr>
          <w:rFonts w:hint="eastAsia" w:ascii="宋体" w:hAnsi="宋体" w:cs="宋体"/>
          <w:b/>
          <w:bCs/>
          <w:color w:val="auto"/>
          <w:kern w:val="0"/>
          <w:szCs w:val="21"/>
          <w:highlight w:val="none"/>
        </w:rPr>
        <w:t>. 定标原则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.1 最低投标价不作为中标的保证。</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.2 确定实质上响应</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文件且满足下列条件的为中标候选人（或中标人）</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bookmarkStart w:id="41" w:name="_Toc32200"/>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.2.1</w:t>
      </w:r>
      <w:bookmarkEnd w:id="41"/>
      <w:r>
        <w:rPr>
          <w:rFonts w:hint="eastAsia" w:ascii="宋体" w:hAnsi="宋体" w:cs="宋体"/>
          <w:bCs/>
          <w:color w:val="auto"/>
          <w:kern w:val="0"/>
          <w:szCs w:val="21"/>
          <w:highlight w:val="none"/>
        </w:rPr>
        <w:t>本次评标采用</w:t>
      </w:r>
      <w:r>
        <w:rPr>
          <w:rFonts w:hint="eastAsia" w:ascii="宋体" w:hAnsi="宋体" w:cs="宋体"/>
          <w:color w:val="auto"/>
          <w:szCs w:val="21"/>
          <w:highlight w:val="none"/>
        </w:rPr>
        <w:t>综合评分法，是指响应文件满足采购文件全部实质性要求，且按照评审因素的量化指标评审得分最高的投标人为中标候选人的评标方法。</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采用综合评分法的，评标结果按评审后得分由高到低顺序排列。投标文件满足</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全部实质性要求，且按照评审因素的量化指标评审得分最高的投标人为排名第一的中标候选人，以此类推。得分相同的，按投标报价由低到高顺序排列。得分且投标报价相同的，按技术部分得分顺序排列。得分与技术指标优劣均相同的，通过随机抽取产生。</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1</w:t>
      </w:r>
      <w:r>
        <w:rPr>
          <w:rFonts w:hint="eastAsia" w:ascii="宋体" w:hAnsi="宋体" w:cs="宋体"/>
          <w:b/>
          <w:bCs/>
          <w:color w:val="auto"/>
          <w:kern w:val="0"/>
          <w:szCs w:val="21"/>
          <w:highlight w:val="none"/>
        </w:rPr>
        <w:t>. 确定中标人和中标候选人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bCs/>
          <w:color w:val="auto"/>
          <w:kern w:val="0"/>
          <w:szCs w:val="21"/>
          <w:highlight w:val="none"/>
        </w:rPr>
        <w:t>本项目由采购人授权评标委员会确定一名中标人并推荐两名中标候选人</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2</w:t>
      </w:r>
      <w:r>
        <w:rPr>
          <w:rFonts w:hint="eastAsia" w:ascii="宋体" w:hAnsi="宋体" w:cs="宋体"/>
          <w:b/>
          <w:bCs/>
          <w:color w:val="auto"/>
          <w:kern w:val="0"/>
          <w:szCs w:val="21"/>
          <w:highlight w:val="none"/>
        </w:rPr>
        <w:t>. 中标通知书及中标公告</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.1评审结束后，</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人将中标候选人的情况在本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项目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公告发布的同一媒介予以公示，公示</w:t>
      </w:r>
      <w:r>
        <w:rPr>
          <w:rFonts w:hint="eastAsia" w:ascii="宋体" w:hAnsi="宋体" w:cs="宋体"/>
          <w:color w:val="auto"/>
          <w:kern w:val="0"/>
          <w:szCs w:val="21"/>
          <w:highlight w:val="none"/>
          <w:lang w:eastAsia="zh-CN"/>
        </w:rPr>
        <w:t>期限</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lang w:eastAsia="zh-CN"/>
        </w:rPr>
        <w:t>个工作日</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val="en-US" w:eastAsia="zh-CN"/>
        </w:rPr>
        <w:t>公示期结束后</w:t>
      </w:r>
      <w:r>
        <w:rPr>
          <w:rFonts w:hint="eastAsia" w:ascii="宋体" w:hAnsi="宋体" w:cs="宋体"/>
          <w:color w:val="auto"/>
          <w:kern w:val="0"/>
          <w:szCs w:val="21"/>
          <w:highlight w:val="none"/>
        </w:rPr>
        <w:t>向中标人发出中标通知书。</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.2中标人在规定的时间内不领取中标通知书的，视为中标后自动放弃中标资格；中标人在有效报价中报价最低,非不可抗力放弃中标资格的。发生上述情况的承担由此引起的一切后果。</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.3中标通知书对采购人和中标人具有同等法律效力。中标通知书发出后，采购人改变中标结果，或者中标人放弃中标，应按相关法律、规章、规范性文件的要求承担相应的法律责任。</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bCs/>
          <w:color w:val="auto"/>
          <w:kern w:val="0"/>
          <w:szCs w:val="21"/>
          <w:highlight w:val="none"/>
        </w:rPr>
        <w:t>.4中标通知书将作为签订合同的依据。合同签订后，中标通知书成为合同的一部分。</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3</w:t>
      </w:r>
      <w:r>
        <w:rPr>
          <w:rFonts w:hint="eastAsia" w:ascii="宋体" w:hAnsi="宋体" w:cs="宋体"/>
          <w:b/>
          <w:bCs/>
          <w:color w:val="auto"/>
          <w:kern w:val="0"/>
          <w:szCs w:val="21"/>
          <w:highlight w:val="none"/>
        </w:rPr>
        <w:t>. 采购人宣布废标的权利</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.1出现下列情况之一时，采购人有权宣布废标，并将理由通知所有投标人：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.1.1出现影响采购公正的违法、违规行为的。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.1.2投标人的报价均超过了</w:t>
      </w:r>
      <w:r>
        <w:rPr>
          <w:rFonts w:hint="eastAsia" w:ascii="宋体" w:hAnsi="宋体" w:cs="宋体"/>
          <w:bCs/>
          <w:color w:val="auto"/>
          <w:kern w:val="0"/>
          <w:szCs w:val="21"/>
          <w:highlight w:val="none"/>
          <w:lang w:val="en-US" w:eastAsia="zh-CN"/>
        </w:rPr>
        <w:t>采购预算金额</w:t>
      </w:r>
      <w:r>
        <w:rPr>
          <w:rFonts w:hint="eastAsia" w:ascii="宋体" w:hAnsi="宋体" w:cs="宋体"/>
          <w:bCs/>
          <w:color w:val="auto"/>
          <w:kern w:val="0"/>
          <w:szCs w:val="21"/>
          <w:highlight w:val="none"/>
        </w:rPr>
        <w:t>，采购人不能支付的。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.1.3因重大变故，采购任务取消的。</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color w:val="auto"/>
          <w:kern w:val="0"/>
          <w:szCs w:val="21"/>
          <w:highlight w:val="none"/>
        </w:rPr>
        <w:t xml:space="preserve">.2 </w:t>
      </w:r>
      <w:r>
        <w:rPr>
          <w:rFonts w:hint="eastAsia" w:ascii="宋体" w:hAnsi="宋体" w:cs="宋体"/>
          <w:color w:val="auto"/>
          <w:szCs w:val="21"/>
          <w:highlight w:val="none"/>
        </w:rPr>
        <w:t>投标截止后投标人不足3家或通过资格性检查或符合性检查的投标人不足3家的，除采购任务取消情形外，按照以下方式处理：</w:t>
      </w:r>
    </w:p>
    <w:p>
      <w:pPr>
        <w:keepNext w:val="0"/>
        <w:keepLines w:val="0"/>
        <w:pageBreakBefore w:val="0"/>
        <w:numPr>
          <w:ilvl w:val="0"/>
          <w:numId w:val="2"/>
        </w:numPr>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文件存在不合理条款或者招标程序不符合规定的，采购人正后依法重新招标；　</w:t>
      </w:r>
    </w:p>
    <w:p>
      <w:pPr>
        <w:keepNext w:val="0"/>
        <w:keepLines w:val="0"/>
        <w:pageBreakBefore w:val="0"/>
        <w:kinsoku/>
        <w:wordWrap/>
        <w:overflowPunct/>
        <w:topLinePunct w:val="0"/>
        <w:bidi w:val="0"/>
        <w:snapToGrid w:val="0"/>
        <w:spacing w:line="360" w:lineRule="auto"/>
        <w:ind w:firstLine="420" w:firstLineChars="200"/>
        <w:rPr>
          <w:rFonts w:ascii="宋体" w:hAnsi="宋体" w:cs="宋体"/>
          <w:b/>
          <w:color w:val="auto"/>
          <w:kern w:val="0"/>
          <w:sz w:val="52"/>
          <w:szCs w:val="52"/>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文件没有不合理条款、招标程序符合规定，需要采用其他采购方式采购的，采购人应当依法报财政部门批准。</w:t>
      </w:r>
    </w:p>
    <w:p>
      <w:pPr>
        <w:keepNext w:val="0"/>
        <w:keepLines w:val="0"/>
        <w:pageBreakBefore w:val="0"/>
        <w:widowControl/>
        <w:kinsoku/>
        <w:wordWrap/>
        <w:overflowPunct/>
        <w:topLinePunct w:val="0"/>
        <w:bidi w:val="0"/>
        <w:snapToGrid w:val="0"/>
        <w:spacing w:line="360" w:lineRule="auto"/>
        <w:ind w:firstLine="2570" w:firstLineChars="800"/>
        <w:jc w:val="left"/>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七</w:t>
      </w:r>
      <w:r>
        <w:rPr>
          <w:rFonts w:hint="eastAsia" w:ascii="黑体" w:hAnsi="宋体" w:eastAsia="黑体" w:cs="宋体"/>
          <w:b/>
          <w:bCs/>
          <w:color w:val="auto"/>
          <w:kern w:val="0"/>
          <w:sz w:val="32"/>
          <w:szCs w:val="32"/>
          <w:highlight w:val="none"/>
        </w:rPr>
        <w:t>、合同授予</w:t>
      </w:r>
    </w:p>
    <w:p>
      <w:pPr>
        <w:keepNext w:val="0"/>
        <w:keepLines w:val="0"/>
        <w:pageBreakBefore w:val="0"/>
        <w:widowControl/>
        <w:kinsoku/>
        <w:wordWrap/>
        <w:overflowPunct/>
        <w:topLinePunct w:val="0"/>
        <w:bidi w:val="0"/>
        <w:snapToGrid w:val="0"/>
        <w:spacing w:line="360" w:lineRule="auto"/>
        <w:ind w:firstLine="472" w:firstLineChars="224"/>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4</w:t>
      </w:r>
      <w:r>
        <w:rPr>
          <w:rFonts w:hint="eastAsia" w:ascii="宋体" w:hAnsi="宋体" w:cs="宋体"/>
          <w:b/>
          <w:bCs/>
          <w:color w:val="auto"/>
          <w:kern w:val="0"/>
          <w:szCs w:val="21"/>
          <w:highlight w:val="none"/>
        </w:rPr>
        <w:t>.合同签订</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u w:val="single"/>
        </w:rPr>
      </w:pPr>
      <w:bookmarkStart w:id="42" w:name="_Toc8594"/>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.1 采购人、中标人自中标通知书发出之日起，在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文件第三章《投标人须知前附表》规定的时间内，根据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文件确定的事项和中标人投标文件签订合同。双方所签订的合同不得对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文件和中标人投标文件作实质性修改。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 xml:space="preserve">.2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文件的修改文件、中标人的投标文件、补充或修改的文件及澄清或承诺文件等，均为双方签订合同的组成部分，并与合同一并作为本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文件所列采购项目的互补性法律文件，与合同具有同等法律效力。</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.3 中标人</w:t>
      </w:r>
      <w:r>
        <w:rPr>
          <w:rFonts w:hint="eastAsia" w:cs="宋体"/>
          <w:color w:val="auto"/>
          <w:kern w:val="0"/>
          <w:szCs w:val="21"/>
          <w:highlight w:val="none"/>
        </w:rPr>
        <w:t>放弃中标、因不可抗力不能履行合同、不按照</w:t>
      </w:r>
      <w:r>
        <w:rPr>
          <w:rFonts w:hint="eastAsia" w:cs="宋体"/>
          <w:color w:val="auto"/>
          <w:kern w:val="0"/>
          <w:szCs w:val="21"/>
          <w:highlight w:val="none"/>
          <w:lang w:val="en-US" w:eastAsia="zh-CN"/>
        </w:rPr>
        <w:t>采购</w:t>
      </w:r>
      <w:r>
        <w:rPr>
          <w:rFonts w:hint="eastAsia" w:cs="宋体"/>
          <w:color w:val="auto"/>
          <w:kern w:val="0"/>
          <w:szCs w:val="21"/>
          <w:highlight w:val="none"/>
        </w:rPr>
        <w:t>文件要求提交履约保证金，或者被查实存在影响中标结果的违法行为等情形，不符合中标条件的，</w:t>
      </w:r>
      <w:r>
        <w:rPr>
          <w:rFonts w:hint="eastAsia" w:ascii="宋体" w:hAnsi="宋体" w:cs="宋体"/>
          <w:color w:val="auto"/>
          <w:kern w:val="0"/>
          <w:szCs w:val="21"/>
          <w:highlight w:val="none"/>
        </w:rPr>
        <w:t>采购人可以</w:t>
      </w:r>
      <w:r>
        <w:rPr>
          <w:rFonts w:hint="eastAsia" w:cs="宋体"/>
          <w:color w:val="auto"/>
          <w:kern w:val="0"/>
          <w:szCs w:val="21"/>
          <w:highlight w:val="none"/>
        </w:rPr>
        <w:t>按照评标委员会提出的中标候选</w:t>
      </w:r>
      <w:r>
        <w:rPr>
          <w:rFonts w:hint="eastAsia" w:ascii="宋体" w:hAnsi="宋体" w:cs="宋体"/>
          <w:color w:val="auto"/>
          <w:kern w:val="0"/>
          <w:szCs w:val="21"/>
          <w:highlight w:val="none"/>
        </w:rPr>
        <w:t>人</w:t>
      </w:r>
      <w:r>
        <w:rPr>
          <w:rFonts w:hint="eastAsia" w:cs="宋体"/>
          <w:color w:val="auto"/>
          <w:kern w:val="0"/>
          <w:szCs w:val="21"/>
          <w:highlight w:val="none"/>
        </w:rPr>
        <w:t>名单排序依次确定其他中标候选</w:t>
      </w:r>
      <w:r>
        <w:rPr>
          <w:rFonts w:hint="eastAsia" w:ascii="宋体" w:hAnsi="宋体" w:cs="宋体"/>
          <w:color w:val="auto"/>
          <w:kern w:val="0"/>
          <w:szCs w:val="21"/>
          <w:highlight w:val="none"/>
        </w:rPr>
        <w:t>人</w:t>
      </w:r>
      <w:r>
        <w:rPr>
          <w:rFonts w:hint="eastAsia" w:cs="宋体"/>
          <w:color w:val="auto"/>
          <w:kern w:val="0"/>
          <w:szCs w:val="21"/>
          <w:highlight w:val="none"/>
        </w:rPr>
        <w:t>为中标</w:t>
      </w:r>
      <w:r>
        <w:rPr>
          <w:rFonts w:hint="eastAsia" w:ascii="宋体" w:hAnsi="宋体" w:cs="宋体"/>
          <w:color w:val="auto"/>
          <w:kern w:val="0"/>
          <w:szCs w:val="21"/>
          <w:highlight w:val="none"/>
        </w:rPr>
        <w:t>人</w:t>
      </w:r>
      <w:r>
        <w:rPr>
          <w:rFonts w:hint="eastAsia" w:cs="宋体"/>
          <w:color w:val="auto"/>
          <w:kern w:val="0"/>
          <w:szCs w:val="21"/>
          <w:highlight w:val="none"/>
        </w:rPr>
        <w:t>，也可以重新招标。</w:t>
      </w:r>
    </w:p>
    <w:bookmarkEnd w:id="42"/>
    <w:p>
      <w:pPr>
        <w:rPr>
          <w:color w:val="auto"/>
          <w:highlight w:val="none"/>
        </w:rPr>
      </w:pPr>
      <w:bookmarkStart w:id="43" w:name="_Toc4700"/>
      <w:bookmarkStart w:id="44" w:name="_Toc16669"/>
      <w:r>
        <w:rPr>
          <w:color w:val="auto"/>
          <w:highlight w:val="none"/>
        </w:rPr>
        <w:br w:type="page"/>
      </w:r>
    </w:p>
    <w:p>
      <w:pPr>
        <w:rPr>
          <w:color w:val="auto"/>
          <w:highlight w:val="none"/>
        </w:rPr>
      </w:pP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0"/>
        <w:rPr>
          <w:rFonts w:ascii="宋体" w:hAnsi="宋体" w:cs="宋体"/>
          <w:color w:val="auto"/>
          <w:kern w:val="0"/>
          <w:sz w:val="24"/>
          <w:highlight w:val="none"/>
        </w:rPr>
      </w:pPr>
      <w:bookmarkStart w:id="45" w:name="_Toc9022"/>
      <w:r>
        <w:rPr>
          <w:rFonts w:hint="eastAsia" w:ascii="黑体" w:hAnsi="宋体" w:eastAsia="黑体" w:cs="宋体"/>
          <w:b/>
          <w:bCs/>
          <w:color w:val="auto"/>
          <w:kern w:val="0"/>
          <w:sz w:val="32"/>
          <w:szCs w:val="32"/>
          <w:highlight w:val="none"/>
        </w:rPr>
        <w:t>第四章  评标办法及评分标准</w:t>
      </w:r>
      <w:bookmarkEnd w:id="43"/>
      <w:bookmarkEnd w:id="45"/>
    </w:p>
    <w:p>
      <w:pPr>
        <w:rPr>
          <w:color w:val="auto"/>
          <w:highlight w:val="none"/>
        </w:rPr>
      </w:pP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（一）评标原则</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按照“公平、公正”的原则对待所有投标人</w:t>
      </w:r>
      <w:r>
        <w:rPr>
          <w:rFonts w:hint="eastAsia" w:ascii="宋体" w:hAnsi="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按照</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文件的相关规定进行评标、定标。</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二</w:t>
      </w:r>
      <w:r>
        <w:rPr>
          <w:rFonts w:hint="eastAsia" w:ascii="宋体" w:hAnsi="宋体" w:eastAsia="宋体" w:cs="宋体"/>
          <w:b w:val="0"/>
          <w:bCs w:val="0"/>
          <w:color w:val="auto"/>
          <w:sz w:val="21"/>
          <w:szCs w:val="21"/>
          <w:highlight w:val="none"/>
        </w:rPr>
        <w:t>）评标办法</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1．本项目采用综合评分法，总分为100分。</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2．评标委员会按照</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文件中规定的评标方法和标准，对投标文件进行综合比较与评价。</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w:t>
      </w:r>
      <w:r>
        <w:rPr>
          <w:rFonts w:hint="eastAsia" w:ascii="宋体" w:hAnsi="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评标结果按评审后得分由高到低顺序排列，得分相同的，按投标报价由低到高顺序排列。得分且投标报价相同的，按技术部分得分顺序排列。</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.投标文件满足</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文件全部实质性要求，且评审得分最高的投标人为第一中标候选人。</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三</w:t>
      </w:r>
      <w:r>
        <w:rPr>
          <w:rFonts w:hint="eastAsia" w:ascii="宋体" w:hAnsi="宋体" w:eastAsia="宋体" w:cs="宋体"/>
          <w:b w:val="0"/>
          <w:bCs w:val="0"/>
          <w:color w:val="auto"/>
          <w:sz w:val="21"/>
          <w:szCs w:val="21"/>
          <w:highlight w:val="none"/>
        </w:rPr>
        <w:t>）评标程序</w:t>
      </w:r>
    </w:p>
    <w:p>
      <w:pPr>
        <w:keepNext w:val="0"/>
        <w:keepLines w:val="0"/>
        <w:pageBreakBefore w:val="0"/>
        <w:numPr>
          <w:ilvl w:val="0"/>
          <w:numId w:val="3"/>
        </w:numPr>
        <w:kinsoku/>
        <w:overflowPunct/>
        <w:topLinePunct w:val="0"/>
        <w:bidi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详细评审（100分）</w:t>
      </w:r>
    </w:p>
    <w:tbl>
      <w:tblPr>
        <w:tblStyle w:val="33"/>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2140"/>
        <w:gridCol w:w="6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9482" w:type="dxa"/>
            <w:gridSpan w:val="3"/>
            <w:noWrap w:val="0"/>
            <w:vAlign w:val="center"/>
          </w:tcPr>
          <w:p>
            <w:pPr>
              <w:keepNext w:val="0"/>
              <w:keepLines w:val="0"/>
              <w:pageBreakBefore w:val="0"/>
              <w:widowControl w:val="0"/>
              <w:tabs>
                <w:tab w:val="left" w:pos="3000"/>
              </w:tabs>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价格标部分 (30分)</w:t>
            </w:r>
          </w:p>
        </w:tc>
        <w:tc>
          <w:tcPr>
            <w:tcW w:w="8243" w:type="dxa"/>
            <w:gridSpan w:val="2"/>
            <w:noWrap w:val="0"/>
            <w:vAlign w:val="center"/>
          </w:tcPr>
          <w:p>
            <w:pPr>
              <w:pStyle w:val="12"/>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u w:val="none"/>
              </w:rPr>
            </w:pPr>
            <w:r>
              <w:rPr>
                <w:rFonts w:hint="eastAsia" w:ascii="宋体" w:hAnsi="宋体" w:eastAsia="宋体" w:cs="宋体"/>
                <w:b w:val="0"/>
                <w:bCs w:val="0"/>
                <w:color w:val="auto"/>
                <w:sz w:val="21"/>
                <w:szCs w:val="21"/>
                <w:highlight w:val="none"/>
                <w:u w:val="none"/>
              </w:rPr>
              <w:t>说明：当评标委员会发现投标人的投标报价明显低于其他投标报价，使其投标报价可能低于其个别成本的，评标委员会可对其质询，并要求该投标人做出书面说明和提供相关的证明材料；该投标人不能合理说明或提供证明材料的，评标委员会应按无效投标处理。</w:t>
            </w:r>
          </w:p>
          <w:p>
            <w:pPr>
              <w:pStyle w:val="12"/>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有效投标报价：投标报价</w:t>
            </w:r>
            <w:r>
              <w:rPr>
                <w:rFonts w:hint="eastAsia" w:hAnsi="宋体" w:cs="宋体"/>
                <w:b w:val="0"/>
                <w:bCs w:val="0"/>
                <w:color w:val="auto"/>
                <w:sz w:val="21"/>
                <w:szCs w:val="21"/>
                <w:highlight w:val="none"/>
                <w:lang w:val="en-US" w:eastAsia="zh-CN"/>
              </w:rPr>
              <w:t>不高于</w:t>
            </w:r>
            <w:r>
              <w:rPr>
                <w:rFonts w:hint="eastAsia" w:ascii="宋体" w:hAnsi="宋体" w:eastAsia="宋体" w:cs="宋体"/>
                <w:b w:val="0"/>
                <w:bCs w:val="0"/>
                <w:color w:val="auto"/>
                <w:sz w:val="21"/>
                <w:szCs w:val="21"/>
                <w:highlight w:val="none"/>
              </w:rPr>
              <w:t>采购预算价的为有效投标报价。</w:t>
            </w:r>
          </w:p>
          <w:p>
            <w:pPr>
              <w:pStyle w:val="12"/>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评标基准值的确定：满足</w:t>
            </w:r>
            <w:r>
              <w:rPr>
                <w:rFonts w:hint="eastAsia"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文件要求且投标价格最低的有效投标报价为评标基准价。</w:t>
            </w:r>
          </w:p>
          <w:p>
            <w:pPr>
              <w:keepNext w:val="0"/>
              <w:keepLines w:val="0"/>
              <w:pageBreakBefore w:val="0"/>
              <w:widowControl/>
              <w:kinsoku/>
              <w:wordWrap/>
              <w:overflowPunct/>
              <w:topLinePunct w:val="0"/>
              <w:bidi w:val="0"/>
              <w:snapToGrid w:val="0"/>
              <w:spacing w:line="320" w:lineRule="exac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投标报价得分=（评标基准价/有效投标报价）×30分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产品质量（30分）</w:t>
            </w:r>
          </w:p>
        </w:tc>
        <w:tc>
          <w:tcPr>
            <w:tcW w:w="2140"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kern w:val="0"/>
                <w:sz w:val="21"/>
                <w:szCs w:val="21"/>
                <w:highlight w:val="none"/>
              </w:rPr>
              <w:t>1</w:t>
            </w:r>
            <w:r>
              <w:rPr>
                <w:rFonts w:hint="eastAsia" w:ascii="宋体" w:hAnsi="宋体" w:eastAsia="宋体" w:cs="宋体"/>
                <w:b w:val="0"/>
                <w:bCs w:val="0"/>
                <w:color w:val="auto"/>
                <w:kern w:val="0"/>
                <w:sz w:val="21"/>
                <w:szCs w:val="21"/>
                <w:highlight w:val="none"/>
                <w:lang w:eastAsia="zh-CN"/>
              </w:rPr>
              <w:t>、技术参数、性能及产品功能等</w:t>
            </w:r>
          </w:p>
        </w:tc>
        <w:tc>
          <w:tcPr>
            <w:tcW w:w="6103" w:type="dxa"/>
            <w:noWrap w:val="0"/>
            <w:vAlign w:val="center"/>
          </w:tcPr>
          <w:p>
            <w:pPr>
              <w:keepNext w:val="0"/>
              <w:keepLines w:val="0"/>
              <w:pageBreakBefore w:val="0"/>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.所投</w:t>
            </w:r>
            <w:r>
              <w:rPr>
                <w:rFonts w:hint="eastAsia" w:ascii="宋体" w:hAnsi="宋体" w:cs="宋体"/>
                <w:b w:val="0"/>
                <w:bCs w:val="0"/>
                <w:color w:val="auto"/>
                <w:sz w:val="21"/>
                <w:szCs w:val="21"/>
                <w:highlight w:val="none"/>
                <w:lang w:val="en-US" w:eastAsia="zh-CN"/>
              </w:rPr>
              <w:t>产品或设备</w:t>
            </w:r>
            <w:r>
              <w:rPr>
                <w:rFonts w:hint="eastAsia" w:ascii="宋体" w:hAnsi="宋体" w:eastAsia="宋体" w:cs="宋体"/>
                <w:b w:val="0"/>
                <w:bCs w:val="0"/>
                <w:color w:val="auto"/>
                <w:sz w:val="21"/>
                <w:szCs w:val="21"/>
                <w:highlight w:val="none"/>
              </w:rPr>
              <w:t>均应提供</w:t>
            </w:r>
            <w:r>
              <w:rPr>
                <w:rFonts w:hint="eastAsia" w:ascii="宋体" w:hAnsi="宋体" w:cs="宋体"/>
                <w:b w:val="0"/>
                <w:bCs w:val="0"/>
                <w:color w:val="auto"/>
                <w:sz w:val="21"/>
                <w:szCs w:val="21"/>
                <w:highlight w:val="none"/>
                <w:lang w:val="en-US" w:eastAsia="zh-CN"/>
              </w:rPr>
              <w:t>相关证明文件资料</w:t>
            </w:r>
            <w:r>
              <w:rPr>
                <w:rFonts w:hint="eastAsia" w:ascii="宋体" w:hAnsi="宋体" w:eastAsia="宋体" w:cs="宋体"/>
                <w:b w:val="0"/>
                <w:bCs w:val="0"/>
                <w:color w:val="auto"/>
                <w:sz w:val="21"/>
                <w:szCs w:val="21"/>
                <w:highlight w:val="none"/>
              </w:rPr>
              <w:t>，所</w:t>
            </w:r>
            <w:r>
              <w:rPr>
                <w:rFonts w:hint="eastAsia" w:ascii="宋体" w:hAnsi="宋体" w:cs="宋体"/>
                <w:b w:val="0"/>
                <w:bCs w:val="0"/>
                <w:color w:val="auto"/>
                <w:sz w:val="21"/>
                <w:szCs w:val="21"/>
                <w:highlight w:val="none"/>
                <w:lang w:val="en-US" w:eastAsia="zh-CN"/>
              </w:rPr>
              <w:t>投产品</w:t>
            </w:r>
            <w:r>
              <w:rPr>
                <w:rFonts w:hint="eastAsia" w:ascii="宋体" w:hAnsi="宋体" w:eastAsia="宋体" w:cs="宋体"/>
                <w:b w:val="0"/>
                <w:bCs w:val="0"/>
                <w:color w:val="auto"/>
                <w:sz w:val="21"/>
                <w:szCs w:val="21"/>
                <w:highlight w:val="none"/>
              </w:rPr>
              <w:t>必须是正规厂家生产的原装正品；</w:t>
            </w:r>
          </w:p>
          <w:p>
            <w:pPr>
              <w:keepNext w:val="0"/>
              <w:keepLines w:val="0"/>
              <w:pageBreakBefore w:val="0"/>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.产品需有注册证</w:t>
            </w:r>
            <w:r>
              <w:rPr>
                <w:rFonts w:hint="eastAsia" w:ascii="宋体" w:hAnsi="宋体" w:eastAsia="宋体" w:cs="宋体"/>
                <w:b w:val="0"/>
                <w:bCs w:val="0"/>
                <w:color w:val="auto"/>
                <w:sz w:val="21"/>
                <w:szCs w:val="21"/>
                <w:highlight w:val="none"/>
                <w:lang w:val="en-US" w:eastAsia="zh-CN"/>
              </w:rPr>
              <w:t>或备案凭</w:t>
            </w:r>
            <w:r>
              <w:rPr>
                <w:rFonts w:hint="eastAsia" w:ascii="宋体" w:hAnsi="宋体" w:eastAsia="宋体" w:cs="宋体"/>
                <w:b w:val="0"/>
                <w:bCs w:val="0"/>
                <w:color w:val="auto"/>
                <w:sz w:val="21"/>
                <w:szCs w:val="21"/>
                <w:highlight w:val="none"/>
              </w:rPr>
              <w:t>证；</w:t>
            </w:r>
          </w:p>
          <w:p>
            <w:pPr>
              <w:keepNext w:val="0"/>
              <w:keepLines w:val="0"/>
              <w:pageBreakBefore w:val="0"/>
              <w:widowControl/>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.提供有关投标货物符合</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文件要求的相关证明文件。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商务</w:t>
            </w:r>
            <w:r>
              <w:rPr>
                <w:rFonts w:hint="eastAsia" w:ascii="宋体" w:hAnsi="宋体" w:eastAsia="宋体" w:cs="宋体"/>
                <w:b w:val="0"/>
                <w:bCs w:val="0"/>
                <w:color w:val="auto"/>
                <w:sz w:val="21"/>
                <w:szCs w:val="21"/>
                <w:highlight w:val="none"/>
              </w:rPr>
              <w:t>部分（</w:t>
            </w:r>
            <w:r>
              <w:rPr>
                <w:rFonts w:hint="eastAsia" w:ascii="宋体" w:hAnsi="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0分）</w:t>
            </w:r>
          </w:p>
        </w:tc>
        <w:tc>
          <w:tcPr>
            <w:tcW w:w="2140" w:type="dxa"/>
            <w:tcBorders>
              <w:top w:val="single" w:color="auto" w:sz="4" w:space="0"/>
            </w:tcBorders>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证书、资信等级、类似业绩、质保期、配件及其他优惠承诺等</w:t>
            </w:r>
          </w:p>
        </w:tc>
        <w:tc>
          <w:tcPr>
            <w:tcW w:w="6103"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both"/>
              <w:textAlignment w:val="auto"/>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提供相关有效证件等资料的复印件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售后服务</w:t>
            </w:r>
          </w:p>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(20分)</w:t>
            </w:r>
          </w:p>
        </w:tc>
        <w:tc>
          <w:tcPr>
            <w:tcW w:w="2140" w:type="dxa"/>
            <w:noWrap w:val="0"/>
            <w:vAlign w:val="center"/>
          </w:tcPr>
          <w:p>
            <w:pPr>
              <w:pStyle w:val="12"/>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kern w:val="2"/>
                <w:sz w:val="21"/>
                <w:szCs w:val="21"/>
                <w:highlight w:val="none"/>
                <w:lang w:val="en-US" w:eastAsia="zh-CN"/>
              </w:rPr>
            </w:pPr>
            <w:r>
              <w:rPr>
                <w:rFonts w:hint="eastAsia" w:ascii="宋体" w:hAnsi="宋体" w:eastAsia="宋体" w:cs="宋体"/>
                <w:b w:val="0"/>
                <w:bCs w:val="0"/>
                <w:color w:val="auto"/>
                <w:kern w:val="2"/>
                <w:sz w:val="21"/>
                <w:szCs w:val="21"/>
                <w:highlight w:val="none"/>
                <w:lang w:val="en-US" w:eastAsia="zh-CN"/>
              </w:rPr>
              <w:t>培训方案、服务站点、服务响应及时性、售后服务方案等</w:t>
            </w:r>
          </w:p>
        </w:tc>
        <w:tc>
          <w:tcPr>
            <w:tcW w:w="6103"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auto"/>
              <w:rPr>
                <w:rFonts w:hint="eastAsia" w:ascii="宋体" w:hAnsi="宋体" w:eastAsia="宋体" w:cs="宋体"/>
                <w:b w:val="0"/>
                <w:bCs w:val="0"/>
                <w:color w:val="auto"/>
                <w:kern w:val="2"/>
                <w:sz w:val="21"/>
                <w:szCs w:val="21"/>
                <w:highlight w:val="none"/>
              </w:rPr>
            </w:pPr>
            <w:r>
              <w:rPr>
                <w:rFonts w:hint="eastAsia" w:ascii="宋体" w:hAnsi="宋体" w:cs="宋体"/>
                <w:b w:val="0"/>
                <w:bCs w:val="0"/>
                <w:color w:val="auto"/>
                <w:kern w:val="0"/>
                <w:sz w:val="21"/>
                <w:szCs w:val="21"/>
                <w:highlight w:val="none"/>
                <w:lang w:val="en-US" w:eastAsia="zh-CN"/>
              </w:rPr>
              <w:t>根据</w:t>
            </w:r>
            <w:r>
              <w:rPr>
                <w:rFonts w:hint="eastAsia" w:ascii="宋体" w:hAnsi="宋体" w:eastAsia="宋体" w:cs="宋体"/>
                <w:b w:val="0"/>
                <w:bCs w:val="0"/>
                <w:color w:val="auto"/>
                <w:kern w:val="0"/>
                <w:sz w:val="21"/>
                <w:szCs w:val="21"/>
                <w:highlight w:val="none"/>
                <w:lang w:val="en-US" w:eastAsia="zh-CN"/>
              </w:rPr>
              <w:t>投标人在投标文件中所投产品的售后服务站设立情况（配备有专业售后服务技术人员，提供售后服务人员名单和售后服务地址、电话）</w:t>
            </w:r>
            <w:r>
              <w:rPr>
                <w:rFonts w:hint="eastAsia" w:ascii="宋体" w:hAnsi="宋体" w:cs="宋体"/>
                <w:b w:val="0"/>
                <w:bCs w:val="0"/>
                <w:color w:val="auto"/>
                <w:kern w:val="0"/>
                <w:sz w:val="21"/>
                <w:szCs w:val="21"/>
                <w:highlight w:val="none"/>
                <w:lang w:val="en-US" w:eastAsia="zh-CN"/>
              </w:rPr>
              <w:t>、培训方案、</w:t>
            </w:r>
            <w:r>
              <w:rPr>
                <w:rFonts w:hint="eastAsia" w:ascii="宋体" w:hAnsi="宋体" w:eastAsia="宋体" w:cs="宋体"/>
                <w:b w:val="0"/>
                <w:bCs w:val="0"/>
                <w:color w:val="auto"/>
                <w:kern w:val="2"/>
                <w:sz w:val="21"/>
                <w:szCs w:val="21"/>
                <w:highlight w:val="none"/>
              </w:rPr>
              <w:t>售后服务及时率、服务到位程度、详细的维修时间和处理办法及针对本项目的售后服务方案及相应的安全质量保障措施等内容</w:t>
            </w:r>
            <w:r>
              <w:rPr>
                <w:rFonts w:hint="eastAsia" w:ascii="宋体" w:hAnsi="宋体" w:cs="宋体"/>
                <w:b w:val="0"/>
                <w:bCs w:val="0"/>
                <w:color w:val="auto"/>
                <w:kern w:val="0"/>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239" w:type="dxa"/>
            <w:noWrap w:val="0"/>
            <w:vAlign w:val="top"/>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得分的计算</w:t>
            </w:r>
          </w:p>
        </w:tc>
        <w:tc>
          <w:tcPr>
            <w:tcW w:w="8243" w:type="dxa"/>
            <w:gridSpan w:val="2"/>
            <w:noWrap w:val="0"/>
            <w:vAlign w:val="center"/>
          </w:tcPr>
          <w:p>
            <w:pPr>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评标委员会成员评分=各项评分因素的汇总得分。</w:t>
            </w:r>
          </w:p>
          <w:p>
            <w:pPr>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评标总得分=评标委员会所有成员合计评分/评标委员会组成人员数。</w:t>
            </w:r>
          </w:p>
        </w:tc>
      </w:tr>
    </w:tbl>
    <w:p>
      <w:pPr>
        <w:spacing w:line="500" w:lineRule="exact"/>
        <w:ind w:firstLine="420" w:firstLineChars="200"/>
        <w:rPr>
          <w:rFonts w:ascii="宋体" w:hAnsi="宋体" w:cs="宋体"/>
          <w:color w:val="auto"/>
          <w:kern w:val="0"/>
          <w:szCs w:val="21"/>
          <w:highlight w:val="none"/>
        </w:rPr>
      </w:pPr>
    </w:p>
    <w:p>
      <w:pPr>
        <w:rPr>
          <w:b/>
          <w:color w:val="auto"/>
          <w:highlight w:val="none"/>
        </w:rPr>
      </w:pPr>
      <w:r>
        <w:rPr>
          <w:rFonts w:hint="eastAsia"/>
          <w:b/>
          <w:color w:val="auto"/>
          <w:highlight w:val="none"/>
        </w:rPr>
        <w:br w:type="page"/>
      </w:r>
    </w:p>
    <w:bookmarkEnd w:id="44"/>
    <w:p>
      <w:pPr>
        <w:rPr>
          <w:color w:val="auto"/>
          <w:highlight w:val="none"/>
        </w:rPr>
      </w:pPr>
      <w:bookmarkStart w:id="46" w:name="_Toc1947"/>
      <w:bookmarkStart w:id="47" w:name="_Toc1482"/>
      <w:bookmarkStart w:id="48" w:name="_Toc326786897"/>
      <w:bookmarkStart w:id="49" w:name="_Toc256519703"/>
    </w:p>
    <w:p>
      <w:pPr>
        <w:pStyle w:val="3"/>
        <w:snapToGrid w:val="0"/>
        <w:spacing w:before="0" w:after="0" w:line="480" w:lineRule="auto"/>
        <w:jc w:val="center"/>
        <w:rPr>
          <w:color w:val="auto"/>
          <w:sz w:val="28"/>
          <w:szCs w:val="28"/>
          <w:highlight w:val="yellow"/>
        </w:rPr>
      </w:pPr>
      <w:bookmarkStart w:id="50" w:name="_Toc28988"/>
      <w:r>
        <w:rPr>
          <w:rFonts w:hint="eastAsia"/>
          <w:color w:val="auto"/>
          <w:sz w:val="28"/>
          <w:szCs w:val="28"/>
          <w:highlight w:val="none"/>
        </w:rPr>
        <w:t>第五章  采购合同</w:t>
      </w:r>
      <w:bookmarkEnd w:id="50"/>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sz w:val="21"/>
          <w:szCs w:val="21"/>
          <w:lang w:eastAsia="zh-CN"/>
        </w:rPr>
      </w:pPr>
      <w:r>
        <w:rPr>
          <w:rFonts w:hint="eastAsia" w:ascii="宋体" w:hAnsi="宋体"/>
          <w:sz w:val="21"/>
          <w:szCs w:val="21"/>
          <w:lang w:eastAsia="zh-CN"/>
        </w:rPr>
        <w:t>（</w:t>
      </w:r>
      <w:r>
        <w:rPr>
          <w:rFonts w:hint="eastAsia" w:ascii="宋体" w:hAnsi="宋体"/>
          <w:sz w:val="21"/>
          <w:szCs w:val="21"/>
          <w:lang w:val="en-US" w:eastAsia="zh-CN"/>
        </w:rPr>
        <w:t>以实际合同为准</w:t>
      </w:r>
      <w:r>
        <w:rPr>
          <w:rFonts w:hint="eastAsia" w:ascii="宋体" w:hAnsi="宋体"/>
          <w:sz w:val="21"/>
          <w:szCs w:val="21"/>
          <w:lang w:eastAsia="zh-CN"/>
        </w:rPr>
        <w:t>）</w:t>
      </w:r>
    </w:p>
    <w:p>
      <w:pPr>
        <w:rPr>
          <w:color w:val="auto"/>
          <w:sz w:val="32"/>
          <w:szCs w:val="32"/>
          <w:highlight w:val="none"/>
        </w:rPr>
      </w:pPr>
    </w:p>
    <w:p>
      <w:pPr>
        <w:rPr>
          <w:color w:val="auto"/>
          <w:highlight w:val="none"/>
        </w:rPr>
      </w:pPr>
      <w:r>
        <w:rPr>
          <w:color w:val="auto"/>
          <w:highlight w:val="none"/>
        </w:rPr>
        <w:br w:type="page"/>
      </w:r>
    </w:p>
    <w:p>
      <w:pPr>
        <w:pStyle w:val="30"/>
      </w:pPr>
    </w:p>
    <w:p>
      <w:pPr>
        <w:pStyle w:val="3"/>
        <w:jc w:val="center"/>
        <w:rPr>
          <w:rFonts w:ascii="宋体" w:hAnsi="宋体" w:cs="宋体"/>
          <w:color w:val="auto"/>
          <w:kern w:val="0"/>
          <w:highlight w:val="none"/>
        </w:rPr>
      </w:pPr>
      <w:bookmarkStart w:id="51" w:name="_Toc2638"/>
      <w:r>
        <w:rPr>
          <w:rFonts w:hint="eastAsia"/>
          <w:color w:val="auto"/>
          <w:sz w:val="32"/>
          <w:szCs w:val="32"/>
          <w:highlight w:val="none"/>
        </w:rPr>
        <w:t>第六章  投标文件格式</w:t>
      </w:r>
      <w:bookmarkEnd w:id="46"/>
      <w:bookmarkEnd w:id="47"/>
      <w:bookmarkEnd w:id="51"/>
    </w:p>
    <w:p>
      <w:pPr>
        <w:spacing w:line="440" w:lineRule="exact"/>
        <w:rPr>
          <w:color w:val="auto"/>
          <w:sz w:val="24"/>
          <w:highlight w:val="none"/>
        </w:rPr>
      </w:pPr>
    </w:p>
    <w:p>
      <w:pPr>
        <w:jc w:val="center"/>
        <w:rPr>
          <w:b/>
          <w:bCs/>
          <w:color w:val="auto"/>
          <w:sz w:val="32"/>
          <w:szCs w:val="32"/>
          <w:highlight w:val="none"/>
        </w:rPr>
      </w:pPr>
      <w:bookmarkStart w:id="52" w:name="_Toc13604"/>
      <w:r>
        <w:rPr>
          <w:rFonts w:hint="eastAsia"/>
          <w:b/>
          <w:bCs/>
          <w:color w:val="auto"/>
          <w:sz w:val="32"/>
          <w:szCs w:val="32"/>
          <w:highlight w:val="none"/>
        </w:rPr>
        <w:t>目    录</w:t>
      </w:r>
      <w:bookmarkEnd w:id="52"/>
    </w:p>
    <w:p>
      <w:pPr>
        <w:widowControl/>
        <w:wordWrap w:val="0"/>
        <w:spacing w:line="460" w:lineRule="exact"/>
        <w:ind w:firstLine="480" w:firstLineChars="200"/>
        <w:jc w:val="left"/>
        <w:rPr>
          <w:rFonts w:ascii="宋体" w:hAnsi="宋体" w:cs="宋体"/>
          <w:color w:val="auto"/>
          <w:kern w:val="0"/>
          <w:sz w:val="24"/>
          <w:highlight w:val="none"/>
        </w:rPr>
      </w:pPr>
    </w:p>
    <w:p>
      <w:pPr>
        <w:snapToGrid w:val="0"/>
        <w:spacing w:line="360" w:lineRule="auto"/>
        <w:ind w:firstLine="480" w:firstLineChars="200"/>
        <w:rPr>
          <w:color w:val="auto"/>
          <w:sz w:val="24"/>
          <w:highlight w:val="none"/>
        </w:rPr>
      </w:pPr>
      <w:bookmarkStart w:id="53" w:name="_Toc11308"/>
      <w:r>
        <w:rPr>
          <w:rFonts w:hint="eastAsia"/>
          <w:color w:val="auto"/>
          <w:sz w:val="24"/>
          <w:highlight w:val="none"/>
        </w:rPr>
        <w:t>附件1投标文件封面（格式）</w:t>
      </w:r>
      <w:bookmarkEnd w:id="53"/>
    </w:p>
    <w:p>
      <w:pPr>
        <w:snapToGrid w:val="0"/>
        <w:spacing w:line="360" w:lineRule="auto"/>
        <w:ind w:firstLine="480" w:firstLineChars="200"/>
        <w:rPr>
          <w:color w:val="auto"/>
          <w:sz w:val="24"/>
          <w:highlight w:val="none"/>
        </w:rPr>
      </w:pPr>
      <w:bookmarkStart w:id="54" w:name="_Toc25345"/>
      <w:r>
        <w:rPr>
          <w:rFonts w:hint="eastAsia"/>
          <w:color w:val="auto"/>
          <w:sz w:val="24"/>
          <w:highlight w:val="none"/>
        </w:rPr>
        <w:t>附件2 投标书（格式）</w:t>
      </w:r>
      <w:bookmarkEnd w:id="54"/>
    </w:p>
    <w:p>
      <w:pPr>
        <w:snapToGrid w:val="0"/>
        <w:spacing w:line="360" w:lineRule="auto"/>
        <w:ind w:firstLine="480" w:firstLineChars="200"/>
        <w:rPr>
          <w:color w:val="auto"/>
          <w:sz w:val="24"/>
          <w:highlight w:val="none"/>
        </w:rPr>
      </w:pPr>
      <w:bookmarkStart w:id="55" w:name="_Toc10217"/>
      <w:r>
        <w:rPr>
          <w:rFonts w:hint="eastAsia"/>
          <w:color w:val="auto"/>
          <w:sz w:val="24"/>
          <w:highlight w:val="none"/>
        </w:rPr>
        <w:t>附件3 开标一览表（格式）</w:t>
      </w:r>
      <w:bookmarkEnd w:id="55"/>
    </w:p>
    <w:p>
      <w:pPr>
        <w:snapToGrid w:val="0"/>
        <w:spacing w:line="360" w:lineRule="auto"/>
        <w:ind w:firstLine="480" w:firstLineChars="200"/>
        <w:rPr>
          <w:color w:val="auto"/>
          <w:sz w:val="24"/>
          <w:highlight w:val="none"/>
        </w:rPr>
      </w:pPr>
      <w:bookmarkStart w:id="56" w:name="_Toc9579"/>
      <w:r>
        <w:rPr>
          <w:rFonts w:hint="eastAsia"/>
          <w:color w:val="auto"/>
          <w:sz w:val="24"/>
          <w:highlight w:val="none"/>
        </w:rPr>
        <w:t>附件4 投标报价明细表（格式）</w:t>
      </w:r>
      <w:bookmarkEnd w:id="56"/>
    </w:p>
    <w:p>
      <w:pPr>
        <w:snapToGrid w:val="0"/>
        <w:spacing w:line="360" w:lineRule="auto"/>
        <w:ind w:firstLine="480" w:firstLineChars="200"/>
        <w:rPr>
          <w:color w:val="auto"/>
          <w:sz w:val="24"/>
          <w:highlight w:val="none"/>
        </w:rPr>
      </w:pPr>
      <w:bookmarkStart w:id="57" w:name="_Toc28392"/>
      <w:r>
        <w:rPr>
          <w:rFonts w:hint="eastAsia"/>
          <w:color w:val="auto"/>
          <w:sz w:val="24"/>
          <w:highlight w:val="none"/>
        </w:rPr>
        <w:t>附件5技术响应表（格式）</w:t>
      </w:r>
      <w:bookmarkEnd w:id="57"/>
    </w:p>
    <w:p>
      <w:pPr>
        <w:snapToGrid w:val="0"/>
        <w:spacing w:line="360" w:lineRule="auto"/>
        <w:ind w:firstLine="480" w:firstLineChars="200"/>
        <w:rPr>
          <w:color w:val="auto"/>
          <w:sz w:val="24"/>
          <w:highlight w:val="none"/>
        </w:rPr>
      </w:pPr>
      <w:bookmarkStart w:id="58" w:name="_Toc6234"/>
      <w:r>
        <w:rPr>
          <w:rFonts w:hint="eastAsia"/>
          <w:color w:val="auto"/>
          <w:sz w:val="24"/>
          <w:highlight w:val="none"/>
        </w:rPr>
        <w:t>附件6 商务响应表（格式）</w:t>
      </w:r>
      <w:bookmarkEnd w:id="58"/>
    </w:p>
    <w:p>
      <w:pPr>
        <w:snapToGrid w:val="0"/>
        <w:spacing w:line="360" w:lineRule="auto"/>
        <w:ind w:firstLine="480" w:firstLineChars="200"/>
        <w:rPr>
          <w:color w:val="auto"/>
          <w:sz w:val="24"/>
          <w:highlight w:val="none"/>
        </w:rPr>
      </w:pPr>
      <w:bookmarkStart w:id="59" w:name="_Toc26231"/>
      <w:r>
        <w:rPr>
          <w:rFonts w:hint="eastAsia"/>
          <w:color w:val="auto"/>
          <w:sz w:val="24"/>
          <w:highlight w:val="none"/>
        </w:rPr>
        <w:t>附件7</w:t>
      </w:r>
      <w:r>
        <w:rPr>
          <w:rFonts w:hint="eastAsia"/>
          <w:color w:val="auto"/>
          <w:sz w:val="24"/>
          <w:highlight w:val="none"/>
          <w:lang w:val="en-US" w:eastAsia="zh-CN"/>
        </w:rPr>
        <w:t xml:space="preserve"> </w:t>
      </w:r>
      <w:r>
        <w:rPr>
          <w:rFonts w:hint="eastAsia"/>
          <w:color w:val="auto"/>
          <w:sz w:val="24"/>
          <w:highlight w:val="none"/>
        </w:rPr>
        <w:t>法定代表人身份证明（格式）</w:t>
      </w:r>
      <w:bookmarkEnd w:id="59"/>
    </w:p>
    <w:p>
      <w:pPr>
        <w:snapToGrid w:val="0"/>
        <w:spacing w:line="360" w:lineRule="auto"/>
        <w:ind w:firstLine="480" w:firstLineChars="200"/>
        <w:rPr>
          <w:color w:val="auto"/>
          <w:sz w:val="24"/>
          <w:highlight w:val="none"/>
        </w:rPr>
      </w:pPr>
      <w:bookmarkStart w:id="60" w:name="_Toc18484"/>
      <w:r>
        <w:rPr>
          <w:rFonts w:hint="eastAsia"/>
          <w:color w:val="auto"/>
          <w:sz w:val="24"/>
          <w:highlight w:val="none"/>
        </w:rPr>
        <w:t>附件8</w:t>
      </w:r>
      <w:r>
        <w:rPr>
          <w:rFonts w:hint="eastAsia"/>
          <w:color w:val="auto"/>
          <w:sz w:val="24"/>
          <w:highlight w:val="none"/>
          <w:lang w:val="en-US" w:eastAsia="zh-CN"/>
        </w:rPr>
        <w:t xml:space="preserve"> </w:t>
      </w:r>
      <w:r>
        <w:rPr>
          <w:rFonts w:hint="eastAsia"/>
          <w:color w:val="auto"/>
          <w:sz w:val="24"/>
          <w:highlight w:val="none"/>
        </w:rPr>
        <w:t>法定代表人授权书（格式）</w:t>
      </w:r>
      <w:bookmarkEnd w:id="60"/>
    </w:p>
    <w:p>
      <w:pPr>
        <w:snapToGrid w:val="0"/>
        <w:spacing w:line="360" w:lineRule="auto"/>
        <w:ind w:firstLine="480" w:firstLineChars="200"/>
        <w:rPr>
          <w:color w:val="auto"/>
          <w:sz w:val="24"/>
          <w:highlight w:val="none"/>
        </w:rPr>
      </w:pPr>
      <w:bookmarkStart w:id="61" w:name="_Toc31857"/>
      <w:r>
        <w:rPr>
          <w:rFonts w:hint="eastAsia"/>
          <w:color w:val="auto"/>
          <w:sz w:val="24"/>
          <w:highlight w:val="none"/>
        </w:rPr>
        <w:t>附件9 证明文件</w:t>
      </w:r>
      <w:bookmarkEnd w:id="61"/>
    </w:p>
    <w:p>
      <w:pPr>
        <w:snapToGrid w:val="0"/>
        <w:spacing w:line="360" w:lineRule="auto"/>
        <w:ind w:firstLine="480" w:firstLineChars="200"/>
        <w:rPr>
          <w:rFonts w:hint="eastAsia"/>
          <w:color w:val="auto"/>
          <w:sz w:val="24"/>
          <w:highlight w:val="none"/>
        </w:rPr>
      </w:pPr>
      <w:bookmarkStart w:id="62" w:name="_Toc23116"/>
      <w:r>
        <w:rPr>
          <w:rFonts w:hint="eastAsia"/>
          <w:color w:val="auto"/>
          <w:sz w:val="24"/>
          <w:highlight w:val="none"/>
        </w:rPr>
        <w:t>附件10 供应商承诺书（格式）</w:t>
      </w:r>
      <w:bookmarkEnd w:id="62"/>
    </w:p>
    <w:p>
      <w:pPr>
        <w:snapToGrid w:val="0"/>
        <w:spacing w:line="360" w:lineRule="auto"/>
        <w:ind w:firstLine="480" w:firstLineChars="200"/>
        <w:rPr>
          <w:rFonts w:hint="eastAsia"/>
          <w:color w:val="auto"/>
          <w:sz w:val="24"/>
          <w:highlight w:val="none"/>
        </w:rPr>
      </w:pPr>
      <w:r>
        <w:rPr>
          <w:rFonts w:hint="eastAsia"/>
          <w:color w:val="auto"/>
          <w:sz w:val="24"/>
          <w:highlight w:val="none"/>
          <w:lang w:val="en-US" w:eastAsia="zh-CN"/>
        </w:rPr>
        <w:t xml:space="preserve">附件11 </w:t>
      </w:r>
      <w:r>
        <w:rPr>
          <w:rFonts w:hint="eastAsia"/>
          <w:color w:val="auto"/>
          <w:sz w:val="24"/>
          <w:highlight w:val="none"/>
        </w:rPr>
        <w:t>采购项目承诺书</w:t>
      </w: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pStyle w:val="11"/>
        <w:rPr>
          <w:rFonts w:ascii="宋体" w:hAnsi="宋体" w:cs="宋体"/>
          <w:b/>
          <w:bCs/>
          <w:color w:val="auto"/>
          <w:kern w:val="0"/>
          <w:sz w:val="24"/>
          <w:highlight w:val="none"/>
        </w:rPr>
      </w:pPr>
    </w:p>
    <w:p>
      <w:pPr>
        <w:pStyle w:val="12"/>
        <w:rPr>
          <w:rFonts w:hAnsi="宋体"/>
          <w:b/>
          <w:bCs/>
          <w:color w:val="auto"/>
          <w:highlight w:val="none"/>
        </w:rPr>
      </w:pPr>
    </w:p>
    <w:p>
      <w:pPr>
        <w:pStyle w:val="12"/>
        <w:rPr>
          <w:rFonts w:hAnsi="宋体"/>
          <w:b/>
          <w:bCs/>
          <w:color w:val="auto"/>
          <w:highlight w:val="none"/>
        </w:rPr>
      </w:pPr>
    </w:p>
    <w:p>
      <w:pPr>
        <w:rPr>
          <w:color w:val="auto"/>
          <w:highlight w:val="none"/>
        </w:rPr>
      </w:pPr>
      <w:r>
        <w:rPr>
          <w:rFonts w:hint="eastAsia"/>
          <w:color w:val="auto"/>
          <w:highlight w:val="none"/>
        </w:rPr>
        <w:br w:type="page"/>
      </w:r>
    </w:p>
    <w:p>
      <w:pPr>
        <w:pStyle w:val="25"/>
        <w:rPr>
          <w:color w:val="auto"/>
          <w:highlight w:val="none"/>
        </w:rPr>
      </w:pPr>
    </w:p>
    <w:p>
      <w:pPr>
        <w:pStyle w:val="2"/>
        <w:rPr>
          <w:color w:val="auto"/>
          <w:highlight w:val="none"/>
        </w:rPr>
      </w:pPr>
      <w:bookmarkStart w:id="63" w:name="_Toc31798"/>
      <w:bookmarkStart w:id="64" w:name="_Toc24743"/>
      <w:r>
        <w:rPr>
          <w:rFonts w:hint="eastAsia"/>
          <w:color w:val="auto"/>
          <w:highlight w:val="none"/>
        </w:rPr>
        <w:t>附件1               投标文件封面（格式）</w:t>
      </w:r>
      <w:bookmarkEnd w:id="63"/>
      <w:bookmarkEnd w:id="64"/>
    </w:p>
    <w:p>
      <w:pPr>
        <w:widowControl/>
        <w:wordWrap w:val="0"/>
        <w:spacing w:line="460" w:lineRule="exact"/>
        <w:ind w:firstLine="482" w:firstLineChars="200"/>
        <w:jc w:val="center"/>
        <w:rPr>
          <w:rFonts w:ascii="宋体" w:hAnsi="宋体" w:cs="宋体"/>
          <w:b/>
          <w:color w:val="auto"/>
          <w:kern w:val="0"/>
          <w:sz w:val="24"/>
          <w:highlight w:val="none"/>
        </w:rPr>
      </w:pPr>
    </w:p>
    <w:p>
      <w:pPr>
        <w:snapToGrid w:val="0"/>
        <w:spacing w:line="360" w:lineRule="auto"/>
        <w:jc w:val="center"/>
        <w:rPr>
          <w:rFonts w:hint="default" w:ascii="宋体" w:hAnsi="宋体" w:eastAsia="宋体" w:cs="宋体"/>
          <w:b/>
          <w:color w:val="auto"/>
          <w:spacing w:val="90"/>
          <w:sz w:val="52"/>
          <w:szCs w:val="52"/>
          <w:highlight w:val="none"/>
          <w:u w:val="none"/>
          <w:lang w:val="en-US" w:eastAsia="zh-CN"/>
        </w:rPr>
      </w:pPr>
      <w:r>
        <w:rPr>
          <w:rFonts w:hint="eastAsia" w:ascii="宋体" w:hAnsi="宋体" w:eastAsia="宋体" w:cs="宋体"/>
          <w:b/>
          <w:snapToGrid w:val="0"/>
          <w:color w:val="auto"/>
          <w:spacing w:val="0"/>
          <w:kern w:val="0"/>
          <w:sz w:val="44"/>
          <w:szCs w:val="44"/>
          <w:highlight w:val="none"/>
          <w:u w:val="none"/>
          <w:lang w:val="en-US" w:eastAsia="zh-CN"/>
        </w:rPr>
        <w:t>驻马店中心医院</w:t>
      </w:r>
      <w:r>
        <w:rPr>
          <w:rFonts w:hint="eastAsia" w:ascii="宋体" w:hAnsi="宋体" w:eastAsia="宋体" w:cs="宋体"/>
          <w:b/>
          <w:snapToGrid w:val="0"/>
          <w:color w:val="auto"/>
          <w:spacing w:val="0"/>
          <w:kern w:val="0"/>
          <w:sz w:val="44"/>
          <w:szCs w:val="44"/>
          <w:highlight w:val="none"/>
          <w:u w:val="single"/>
          <w:lang w:val="en-US" w:eastAsia="zh-CN"/>
        </w:rPr>
        <w:t xml:space="preserve">      </w:t>
      </w:r>
      <w:r>
        <w:rPr>
          <w:rFonts w:hint="eastAsia" w:ascii="宋体" w:hAnsi="宋体" w:eastAsia="宋体" w:cs="宋体"/>
          <w:b/>
          <w:snapToGrid w:val="0"/>
          <w:color w:val="auto"/>
          <w:spacing w:val="0"/>
          <w:kern w:val="0"/>
          <w:sz w:val="44"/>
          <w:szCs w:val="44"/>
          <w:highlight w:val="none"/>
          <w:u w:val="none"/>
          <w:lang w:val="en-US" w:eastAsia="zh-CN"/>
        </w:rPr>
        <w:t>项目</w:t>
      </w:r>
    </w:p>
    <w:p>
      <w:pPr>
        <w:snapToGrid w:val="0"/>
        <w:spacing w:line="360" w:lineRule="auto"/>
        <w:jc w:val="center"/>
        <w:rPr>
          <w:rFonts w:hint="eastAsia" w:ascii="宋体" w:hAnsi="宋体" w:eastAsia="宋体" w:cs="宋体"/>
          <w:b/>
          <w:color w:val="auto"/>
          <w:spacing w:val="90"/>
          <w:sz w:val="52"/>
          <w:szCs w:val="52"/>
          <w:highlight w:val="none"/>
        </w:rPr>
      </w:pPr>
    </w:p>
    <w:p>
      <w:pPr>
        <w:snapToGrid w:val="0"/>
        <w:spacing w:line="360" w:lineRule="auto"/>
        <w:jc w:val="center"/>
        <w:rPr>
          <w:rFonts w:hint="eastAsia" w:ascii="宋体" w:hAnsi="宋体" w:eastAsia="宋体" w:cs="宋体"/>
          <w:b/>
          <w:color w:val="auto"/>
          <w:spacing w:val="90"/>
          <w:sz w:val="52"/>
          <w:szCs w:val="52"/>
          <w:highlight w:val="none"/>
        </w:rPr>
      </w:pPr>
      <w:r>
        <w:rPr>
          <w:rFonts w:hint="eastAsia" w:ascii="宋体" w:hAnsi="宋体" w:eastAsia="宋体" w:cs="宋体"/>
          <w:b/>
          <w:color w:val="auto"/>
          <w:spacing w:val="90"/>
          <w:sz w:val="52"/>
          <w:szCs w:val="52"/>
          <w:highlight w:val="none"/>
        </w:rPr>
        <w:t>投标文件</w:t>
      </w:r>
    </w:p>
    <w:p>
      <w:pPr>
        <w:spacing w:line="360" w:lineRule="auto"/>
        <w:rPr>
          <w:rFonts w:hint="eastAsia" w:ascii="宋体" w:hAnsi="宋体" w:eastAsia="宋体" w:cs="宋体"/>
          <w:color w:val="auto"/>
          <w:sz w:val="28"/>
          <w:highlight w:val="none"/>
        </w:rPr>
      </w:pPr>
    </w:p>
    <w:p>
      <w:pPr>
        <w:pStyle w:val="12"/>
        <w:spacing w:line="360" w:lineRule="auto"/>
        <w:rPr>
          <w:rFonts w:hint="eastAsia" w:ascii="宋体" w:hAnsi="宋体" w:eastAsia="宋体" w:cs="宋体"/>
          <w:color w:val="auto"/>
          <w:highlight w:val="none"/>
        </w:rPr>
      </w:pPr>
    </w:p>
    <w:p>
      <w:pPr>
        <w:pStyle w:val="12"/>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widowControl/>
        <w:wordWrap w:val="0"/>
        <w:spacing w:line="460" w:lineRule="exact"/>
        <w:ind w:left="0" w:leftChars="0" w:firstLine="0" w:firstLineChars="0"/>
        <w:jc w:val="center"/>
        <w:rPr>
          <w:rFonts w:ascii="宋体" w:hAnsi="宋体" w:cs="宋体"/>
          <w:b/>
          <w:color w:val="auto"/>
          <w:kern w:val="0"/>
          <w:sz w:val="24"/>
          <w:highlight w:val="none"/>
        </w:rPr>
      </w:pPr>
      <w:r>
        <w:rPr>
          <w:rFonts w:hint="eastAsia" w:ascii="宋体" w:hAnsi="宋体" w:eastAsia="宋体" w:cs="宋体"/>
          <w:color w:val="auto"/>
          <w:sz w:val="28"/>
          <w:szCs w:val="28"/>
          <w:highlight w:val="none"/>
        </w:rPr>
        <w:t>年   月   日</w:t>
      </w:r>
    </w:p>
    <w:p>
      <w:pPr>
        <w:widowControl/>
        <w:wordWrap w:val="0"/>
        <w:spacing w:line="460" w:lineRule="exact"/>
        <w:ind w:firstLine="482" w:firstLineChars="200"/>
        <w:jc w:val="left"/>
        <w:rPr>
          <w:rFonts w:ascii="宋体" w:hAnsi="宋体" w:cs="宋体"/>
          <w:b/>
          <w:color w:val="auto"/>
          <w:kern w:val="0"/>
          <w:sz w:val="24"/>
          <w:highlight w:val="none"/>
        </w:rPr>
      </w:pPr>
    </w:p>
    <w:p>
      <w:pPr>
        <w:pStyle w:val="11"/>
        <w:rPr>
          <w:rFonts w:ascii="宋体" w:hAnsi="宋体" w:cs="宋体"/>
          <w:b/>
          <w:color w:val="auto"/>
          <w:kern w:val="0"/>
          <w:sz w:val="24"/>
          <w:highlight w:val="none"/>
        </w:rPr>
      </w:pPr>
    </w:p>
    <w:p>
      <w:pP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rPr>
          <w:color w:val="auto"/>
          <w:highlight w:val="none"/>
        </w:rPr>
      </w:pPr>
    </w:p>
    <w:p>
      <w:pPr>
        <w:pStyle w:val="2"/>
        <w:rPr>
          <w:color w:val="auto"/>
          <w:highlight w:val="none"/>
        </w:rPr>
      </w:pPr>
      <w:bookmarkStart w:id="65" w:name="_Toc8818"/>
      <w:bookmarkStart w:id="66" w:name="_Toc14560"/>
      <w:r>
        <w:rPr>
          <w:rFonts w:hint="eastAsia"/>
          <w:color w:val="auto"/>
          <w:highlight w:val="none"/>
        </w:rPr>
        <w:t>附件2               投  标  书（格式）</w:t>
      </w:r>
      <w:bookmarkEnd w:id="65"/>
      <w:bookmarkEnd w:id="66"/>
    </w:p>
    <w:p>
      <w:pPr>
        <w:widowControl/>
        <w:wordWrap w:val="0"/>
        <w:snapToGrid w:val="0"/>
        <w:spacing w:line="46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致：</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u w:val="single"/>
          <w:lang w:eastAsia="zh-CN"/>
        </w:rPr>
        <w:t>采购人</w:t>
      </w:r>
      <w:r>
        <w:rPr>
          <w:rFonts w:hint="eastAsia" w:ascii="宋体" w:hAnsi="宋体" w:cs="宋体"/>
          <w:color w:val="auto"/>
          <w:kern w:val="0"/>
          <w:szCs w:val="21"/>
          <w:highlight w:val="none"/>
          <w:u w:val="single"/>
        </w:rPr>
        <w:t>名称）</w:t>
      </w:r>
      <w:r>
        <w:rPr>
          <w:rFonts w:hint="eastAsia" w:ascii="宋体" w:hAnsi="宋体" w:cs="宋体"/>
          <w:color w:val="auto"/>
          <w:kern w:val="0"/>
          <w:szCs w:val="21"/>
          <w:highlight w:val="none"/>
        </w:rPr>
        <w:t>：</w:t>
      </w:r>
    </w:p>
    <w:p>
      <w:pPr>
        <w:widowControl/>
        <w:wordWrap w:val="0"/>
        <w:spacing w:line="460" w:lineRule="exact"/>
        <w:ind w:firstLine="525" w:firstLineChars="250"/>
        <w:jc w:val="left"/>
        <w:rPr>
          <w:rFonts w:ascii="宋体" w:hAnsi="宋体" w:cs="宋体"/>
          <w:color w:val="auto"/>
          <w:kern w:val="0"/>
          <w:szCs w:val="21"/>
          <w:highlight w:val="none"/>
        </w:rPr>
      </w:pP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u w:val="single"/>
        </w:rPr>
        <w:t>（投标人名称）</w:t>
      </w:r>
      <w:r>
        <w:rPr>
          <w:rFonts w:hint="eastAsia" w:ascii="宋体" w:hAnsi="宋体" w:cs="宋体"/>
          <w:color w:val="auto"/>
          <w:kern w:val="0"/>
          <w:szCs w:val="21"/>
          <w:highlight w:val="none"/>
        </w:rPr>
        <w:t xml:space="preserve">现委托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（姓名）为我方代理人，参加贵方组织的</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项目的投标。现正式提交下述文件1份：</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1、开标一览表。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2、投标报价明细表。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4、技术响应表。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4、商务响应表。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5、证明文件。</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6、抵制商业贿赂承诺。为便于贵方公正、择优地确定中标供应商及其投标产品和服务，我方就本次投标有关事项郑重声明并宣布同意如下：</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1、我方承诺已经具备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文件中规定的参加政府采购活动的投标人应当具备的条件。我方愿意向贵方提供任何与本</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项目投标有关的数据、情况和技术资料，并根据需要提供一切承诺的证明材料，并保证其真实、合法、有效。</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2、我方承诺在投标活动中提供的各种材料真实有效。</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3、我方同意在投标文件有效期内遵守本投标文件中的承诺且在此期限期满之前均具有约束力。如果我方中标，投标文件有效期与合同履行期相同。</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4、我方已详细审查全部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文件，包括修改文件（如有的话）和有关附件，将自行承担因对全部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文件理解不正确或误解而产生的相应后果。</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5、我方保证尊重评标委员会的评标结果，完全理解本</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项目最低投标价不作为中标的保证。</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6、我方理解并遵守</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文件的全部规定，接受</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文件中政府采购合同的全部条款且无任何异议。</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7、如果我方代表</w:t>
      </w:r>
      <w:r>
        <w:rPr>
          <w:rFonts w:hint="eastAsia" w:ascii="宋体" w:hAnsi="宋体" w:cs="宋体"/>
          <w:bCs/>
          <w:color w:val="auto"/>
          <w:kern w:val="0"/>
          <w:szCs w:val="21"/>
          <w:highlight w:val="none"/>
        </w:rPr>
        <w:t>未按时参加开标的，视同放弃开标监督权利，认可开标结果。</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8、如果我方存在投标人须知第9.3项所述情况，同意被认定为在经营活动中有重大违法记录。</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9、如果发生投标人须知第2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.4.1、2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.4.3项所述情况，同意我方投标被作为无效投标处理。</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10、如果发生投标人须知第2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.5项所述情况，同意评标委员会认定我方的行为属于串通投标的行为，并自愿接受监管部门的处罚。</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11、如果现场变更采购方式，我方同意在不改变</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需求、资质条件等情况下，按变更后的采购方式的规定程序进行采购。</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12、如果被确定为中标供应商，我方同意按</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文件的规定领取中标通知书并缴纳服务费。否则，视为我方中标后自动放弃中标资格，承担由此引起的一切后果。</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13、如果被确定为中标供应商，我方同意在领取中标通知书之日起日内，按照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文件的规定与采购人签订采购合同。否则，视为我方中标后无正当理由不与采购人签订合同并承担相应法律责任。</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14、我方最近3年内的被公开披露或查处的违法违规行为有：</w:t>
      </w:r>
    </w:p>
    <w:p>
      <w:pPr>
        <w:widowControl/>
        <w:tabs>
          <w:tab w:val="left" w:pos="939"/>
        </w:tabs>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15、以上事项如有虚假或隐瞒，我方愿意承担一切后果和责任。</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16、与本投标有关的一切正式往来通讯请寄（地址电话必须为最新并可以联系到）：</w:t>
      </w:r>
    </w:p>
    <w:p>
      <w:pPr>
        <w:widowControl/>
        <w:wordWrap w:val="0"/>
        <w:spacing w:line="460" w:lineRule="exact"/>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   地址：  邮编：</w:t>
      </w:r>
    </w:p>
    <w:p>
      <w:pPr>
        <w:widowControl/>
        <w:wordWrap w:val="0"/>
        <w:spacing w:line="460" w:lineRule="exact"/>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   电话：  传真： </w:t>
      </w:r>
    </w:p>
    <w:p>
      <w:pPr>
        <w:widowControl/>
        <w:wordWrap w:val="0"/>
        <w:spacing w:line="460" w:lineRule="exact"/>
        <w:ind w:firstLine="420" w:firstLineChars="200"/>
        <w:jc w:val="left"/>
        <w:rPr>
          <w:rFonts w:ascii="宋体" w:hAnsi="宋体" w:cs="宋体"/>
          <w:color w:val="auto"/>
          <w:kern w:val="0"/>
          <w:szCs w:val="21"/>
          <w:highlight w:val="none"/>
        </w:rPr>
      </w:pPr>
    </w:p>
    <w:p>
      <w:pPr>
        <w:widowControl/>
        <w:wordWrap w:val="0"/>
        <w:spacing w:line="460" w:lineRule="exact"/>
        <w:ind w:firstLine="735" w:firstLineChars="35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投标人代表签字： </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   投标人：（全称并加盖公章）</w:t>
      </w:r>
    </w:p>
    <w:p>
      <w:pPr>
        <w:widowControl/>
        <w:wordWrap w:val="0"/>
        <w:spacing w:line="460" w:lineRule="exact"/>
        <w:ind w:firstLine="420" w:firstLineChars="200"/>
        <w:jc w:val="left"/>
        <w:rPr>
          <w:rFonts w:ascii="宋体" w:hAnsi="宋体" w:cs="宋体"/>
          <w:color w:val="auto"/>
          <w:kern w:val="0"/>
          <w:szCs w:val="21"/>
          <w:highlight w:val="none"/>
        </w:rPr>
      </w:pPr>
    </w:p>
    <w:p>
      <w:pPr>
        <w:widowControl/>
        <w:snapToGrid w:val="0"/>
        <w:spacing w:line="460" w:lineRule="exact"/>
        <w:ind w:firstLine="3360" w:firstLineChars="1600"/>
        <w:rPr>
          <w:rFonts w:ascii="宋体" w:hAnsi="宋体" w:cs="宋体"/>
          <w:color w:val="auto"/>
          <w:kern w:val="0"/>
          <w:sz w:val="24"/>
          <w:highlight w:val="none"/>
        </w:rPr>
      </w:pPr>
      <w:r>
        <w:rPr>
          <w:rFonts w:hint="eastAsia" w:ascii="宋体" w:hAnsi="宋体" w:cs="宋体"/>
          <w:color w:val="auto"/>
          <w:kern w:val="0"/>
          <w:szCs w:val="21"/>
          <w:highlight w:val="none"/>
        </w:rPr>
        <w:t xml:space="preserve">年    月   日 </w:t>
      </w:r>
    </w:p>
    <w:p>
      <w:pPr>
        <w:widowControl/>
        <w:wordWrap w:val="0"/>
        <w:snapToGrid w:val="0"/>
        <w:spacing w:before="50" w:after="50" w:line="480" w:lineRule="auto"/>
        <w:jc w:val="left"/>
        <w:rPr>
          <w:rFonts w:ascii="宋体" w:hAnsi="宋体" w:cs="宋体"/>
          <w:b/>
          <w:color w:val="auto"/>
          <w:kern w:val="0"/>
          <w:sz w:val="24"/>
          <w:highlight w:val="none"/>
        </w:rPr>
      </w:pPr>
    </w:p>
    <w:p>
      <w:pPr>
        <w:widowControl/>
        <w:wordWrap w:val="0"/>
        <w:snapToGrid w:val="0"/>
        <w:spacing w:before="50" w:after="50" w:line="480" w:lineRule="auto"/>
        <w:jc w:val="left"/>
        <w:rPr>
          <w:rFonts w:ascii="宋体" w:hAnsi="宋体" w:cs="宋体"/>
          <w:b/>
          <w:color w:val="auto"/>
          <w:kern w:val="0"/>
          <w:sz w:val="24"/>
          <w:highlight w:val="none"/>
        </w:rPr>
      </w:pPr>
    </w:p>
    <w:p>
      <w:pPr>
        <w:spacing w:line="500" w:lineRule="exact"/>
        <w:jc w:val="center"/>
        <w:rPr>
          <w:rFonts w:ascii="宋体" w:hAnsi="宋体"/>
          <w:b/>
          <w:bCs/>
          <w:color w:val="auto"/>
          <w:sz w:val="24"/>
          <w:highlight w:val="none"/>
        </w:rPr>
      </w:pPr>
    </w:p>
    <w:p>
      <w:pPr>
        <w:rPr>
          <w:color w:val="auto"/>
          <w:sz w:val="28"/>
          <w:szCs w:val="28"/>
          <w:highlight w:val="none"/>
        </w:rPr>
      </w:pPr>
      <w:r>
        <w:rPr>
          <w:rFonts w:hint="eastAsia"/>
          <w:color w:val="auto"/>
          <w:sz w:val="28"/>
          <w:szCs w:val="28"/>
          <w:highlight w:val="none"/>
        </w:rPr>
        <w:br w:type="page"/>
      </w:r>
    </w:p>
    <w:p>
      <w:pPr>
        <w:rPr>
          <w:color w:val="auto"/>
          <w:highlight w:val="none"/>
        </w:rPr>
      </w:pPr>
    </w:p>
    <w:p>
      <w:pPr>
        <w:pStyle w:val="2"/>
        <w:spacing w:before="20" w:after="20"/>
        <w:rPr>
          <w:color w:val="auto"/>
          <w:highlight w:val="none"/>
        </w:rPr>
      </w:pPr>
      <w:bookmarkStart w:id="67" w:name="_Toc7838"/>
      <w:r>
        <w:rPr>
          <w:rFonts w:hint="eastAsia"/>
          <w:color w:val="auto"/>
          <w:highlight w:val="none"/>
        </w:rPr>
        <w:t>附件3               开标一览表</w:t>
      </w:r>
      <w:bookmarkEnd w:id="67"/>
    </w:p>
    <w:p>
      <w:pPr>
        <w:spacing w:line="239" w:lineRule="auto"/>
        <w:jc w:val="right"/>
        <w:rPr>
          <w:rFonts w:ascii="宋体" w:hAnsi="宋体"/>
          <w:color w:val="auto"/>
          <w:sz w:val="24"/>
          <w:highlight w:val="none"/>
        </w:rPr>
      </w:pPr>
      <w:r>
        <w:rPr>
          <w:rFonts w:ascii="宋体" w:hAnsi="宋体"/>
          <w:color w:val="auto"/>
          <w:sz w:val="24"/>
          <w:highlight w:val="none"/>
        </w:rPr>
        <w:t>单位：人民币元</w:t>
      </w:r>
    </w:p>
    <w:p>
      <w:pPr>
        <w:rPr>
          <w:color w:val="auto"/>
          <w:highlight w:val="none"/>
        </w:rPr>
      </w:pPr>
    </w:p>
    <w:tbl>
      <w:tblPr>
        <w:tblStyle w:val="33"/>
        <w:tblW w:w="9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8"/>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项目名称</w:t>
            </w:r>
          </w:p>
        </w:tc>
        <w:tc>
          <w:tcPr>
            <w:tcW w:w="7708" w:type="dxa"/>
            <w:noWrap/>
            <w:vAlign w:val="center"/>
          </w:tcPr>
          <w:p>
            <w:pP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投标人名称</w:t>
            </w:r>
          </w:p>
        </w:tc>
        <w:tc>
          <w:tcPr>
            <w:tcW w:w="7708" w:type="dxa"/>
            <w:noWrap/>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pacing w:val="-20"/>
                <w:szCs w:val="21"/>
                <w:highlight w:val="none"/>
              </w:rPr>
            </w:pPr>
            <w:r>
              <w:rPr>
                <w:rFonts w:hint="eastAsia" w:ascii="宋体" w:hAnsi="宋体"/>
                <w:color w:val="auto"/>
                <w:szCs w:val="21"/>
                <w:highlight w:val="none"/>
              </w:rPr>
              <w:t>投标报价</w:t>
            </w:r>
          </w:p>
        </w:tc>
        <w:tc>
          <w:tcPr>
            <w:tcW w:w="7708" w:type="dxa"/>
            <w:noWrap/>
            <w:vAlign w:val="center"/>
          </w:tcPr>
          <w:p>
            <w:pP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大写：        元</w:t>
            </w:r>
          </w:p>
          <w:p>
            <w:pP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小写：        元（详见报价明细表）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合同履行期限</w:t>
            </w:r>
          </w:p>
        </w:tc>
        <w:tc>
          <w:tcPr>
            <w:tcW w:w="7708" w:type="dxa"/>
            <w:noWrap/>
            <w:vAlign w:val="bottom"/>
          </w:tcPr>
          <w:p>
            <w:pPr>
              <w:spacing w:line="360" w:lineRule="auto"/>
              <w:ind w:firstLine="1155" w:firstLineChars="55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交货地点</w:t>
            </w:r>
          </w:p>
        </w:tc>
        <w:tc>
          <w:tcPr>
            <w:tcW w:w="7708" w:type="dxa"/>
            <w:noWrap/>
            <w:vAlign w:val="bottom"/>
          </w:tcPr>
          <w:p>
            <w:pPr>
              <w:spacing w:line="360" w:lineRule="auto"/>
              <w:ind w:firstLine="1155" w:firstLineChars="55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投标有效期</w:t>
            </w:r>
          </w:p>
        </w:tc>
        <w:tc>
          <w:tcPr>
            <w:tcW w:w="7708" w:type="dxa"/>
            <w:noWrap/>
            <w:vAlign w:val="bottom"/>
          </w:tcPr>
          <w:p>
            <w:pPr>
              <w:spacing w:line="360" w:lineRule="auto"/>
              <w:ind w:firstLine="1155" w:firstLineChars="55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zCs w:val="21"/>
                <w:highlight w:val="none"/>
              </w:rPr>
            </w:pPr>
            <w:r>
              <w:rPr>
                <w:rFonts w:hint="eastAsia" w:ascii="宋体" w:hAnsi="宋体"/>
                <w:color w:val="auto"/>
                <w:szCs w:val="21"/>
                <w:highlight w:val="none"/>
              </w:rPr>
              <w:t>质量标准</w:t>
            </w:r>
          </w:p>
        </w:tc>
        <w:tc>
          <w:tcPr>
            <w:tcW w:w="7708" w:type="dxa"/>
            <w:noWrap/>
            <w:vAlign w:val="bottom"/>
          </w:tcPr>
          <w:p>
            <w:pPr>
              <w:spacing w:line="360" w:lineRule="auto"/>
              <w:ind w:firstLine="1155" w:firstLineChars="550"/>
              <w:rPr>
                <w:rFonts w:ascii="宋体" w:hAnsi="宋体"/>
                <w:color w:val="auto"/>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zCs w:val="21"/>
                <w:highlight w:val="none"/>
              </w:rPr>
            </w:pPr>
            <w:r>
              <w:rPr>
                <w:rFonts w:hint="eastAsia" w:ascii="宋体" w:hAnsi="宋体"/>
                <w:color w:val="auto"/>
                <w:szCs w:val="21"/>
                <w:highlight w:val="none"/>
              </w:rPr>
              <w:t>备  注</w:t>
            </w:r>
          </w:p>
        </w:tc>
        <w:tc>
          <w:tcPr>
            <w:tcW w:w="7708" w:type="dxa"/>
            <w:noWrap/>
            <w:vAlign w:val="center"/>
          </w:tcPr>
          <w:p>
            <w:pPr>
              <w:pStyle w:val="19"/>
              <w:ind w:left="0" w:leftChars="0"/>
              <w:rPr>
                <w:color w:val="auto"/>
                <w:sz w:val="21"/>
                <w:szCs w:val="21"/>
                <w:highlight w:val="none"/>
              </w:rPr>
            </w:pPr>
          </w:p>
        </w:tc>
      </w:tr>
    </w:tbl>
    <w:p>
      <w:pPr>
        <w:rPr>
          <w:color w:val="auto"/>
          <w:highlight w:val="none"/>
        </w:rPr>
      </w:pP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注: 1、报价一经涂改，应在涂改处加盖单位公章或投标人代表签字或盖章，否则其投标作无效标处理。</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2、以上报价应与“投标报价明细表”中的报价相一致。</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3、凡认为所投产品符合价格折扣条件的，在相应的产品的“备注”栏内注明符合何种折扣条件。</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4、投标人按格式填列，不得自行更改。否则引起的不利后果由投标人承担。</w:t>
      </w:r>
    </w:p>
    <w:p>
      <w:pPr>
        <w:spacing w:line="360" w:lineRule="auto"/>
        <w:ind w:firstLine="480" w:firstLineChars="200"/>
        <w:rPr>
          <w:rFonts w:ascii="宋体" w:hAnsi="宋体" w:cs="宋体"/>
          <w:color w:val="auto"/>
          <w:kern w:val="0"/>
          <w:sz w:val="24"/>
          <w:highlight w:val="none"/>
        </w:rPr>
      </w:pPr>
    </w:p>
    <w:p>
      <w:pPr>
        <w:rPr>
          <w:color w:val="auto"/>
          <w:highlight w:val="none"/>
        </w:rPr>
      </w:pPr>
    </w:p>
    <w:p>
      <w:pPr>
        <w:rPr>
          <w:color w:val="auto"/>
          <w:highlight w:val="none"/>
        </w:rPr>
      </w:pPr>
    </w:p>
    <w:p>
      <w:pPr>
        <w:spacing w:line="360" w:lineRule="auto"/>
        <w:ind w:firstLine="420" w:firstLineChars="200"/>
        <w:jc w:val="center"/>
        <w:rPr>
          <w:rFonts w:ascii="宋体" w:hAnsi="宋体"/>
          <w:color w:val="auto"/>
          <w:szCs w:val="21"/>
          <w:highlight w:val="none"/>
        </w:rPr>
      </w:pPr>
      <w:bookmarkStart w:id="68" w:name="_Toc11620"/>
      <w:bookmarkStart w:id="69" w:name="_Toc20877"/>
      <w:r>
        <w:rPr>
          <w:rFonts w:hint="eastAsia" w:ascii="宋体" w:hAnsi="宋体"/>
          <w:color w:val="auto"/>
          <w:szCs w:val="21"/>
          <w:highlight w:val="none"/>
        </w:rPr>
        <w:t>投标人（全称并加盖公章）：</w:t>
      </w:r>
      <w:bookmarkEnd w:id="68"/>
      <w:bookmarkEnd w:id="69"/>
    </w:p>
    <w:p>
      <w:pPr>
        <w:jc w:val="center"/>
        <w:rPr>
          <w:rFonts w:ascii="宋体" w:hAnsi="宋体"/>
          <w:color w:val="auto"/>
          <w:szCs w:val="21"/>
          <w:highlight w:val="none"/>
        </w:rPr>
      </w:pPr>
    </w:p>
    <w:p>
      <w:pPr>
        <w:spacing w:line="360" w:lineRule="auto"/>
        <w:ind w:firstLine="420" w:firstLineChars="200"/>
        <w:jc w:val="center"/>
        <w:rPr>
          <w:rFonts w:ascii="宋体" w:hAnsi="宋体"/>
          <w:color w:val="auto"/>
          <w:szCs w:val="21"/>
          <w:highlight w:val="none"/>
          <w:u w:val="single"/>
        </w:rPr>
      </w:pPr>
      <w:bookmarkStart w:id="70" w:name="_Toc625"/>
      <w:bookmarkStart w:id="71" w:name="_Toc12222"/>
      <w:r>
        <w:rPr>
          <w:rFonts w:hint="eastAsia" w:ascii="宋体" w:hAnsi="宋体"/>
          <w:color w:val="auto"/>
          <w:szCs w:val="21"/>
          <w:highlight w:val="none"/>
        </w:rPr>
        <w:t>法定代表人或其委托代理人（签字）：</w:t>
      </w:r>
      <w:bookmarkEnd w:id="70"/>
      <w:bookmarkEnd w:id="71"/>
    </w:p>
    <w:p>
      <w:pPr>
        <w:jc w:val="center"/>
        <w:rPr>
          <w:rFonts w:ascii="宋体" w:hAnsi="宋体"/>
          <w:color w:val="auto"/>
          <w:szCs w:val="21"/>
          <w:highlight w:val="none"/>
        </w:rPr>
      </w:pPr>
    </w:p>
    <w:p>
      <w:pPr>
        <w:spacing w:line="360" w:lineRule="auto"/>
        <w:ind w:firstLine="420" w:firstLineChars="200"/>
        <w:jc w:val="center"/>
        <w:rPr>
          <w:rFonts w:ascii="宋体" w:hAnsi="宋体"/>
          <w:color w:val="auto"/>
          <w:szCs w:val="21"/>
          <w:highlight w:val="none"/>
        </w:rPr>
      </w:pPr>
      <w:bookmarkStart w:id="72" w:name="_Toc9950"/>
      <w:bookmarkStart w:id="73" w:name="_Toc1330"/>
      <w:r>
        <w:rPr>
          <w:rFonts w:hint="eastAsia" w:ascii="宋体" w:hAnsi="宋体"/>
          <w:color w:val="auto"/>
          <w:szCs w:val="21"/>
          <w:highlight w:val="none"/>
        </w:rPr>
        <w:t>年  月  日</w:t>
      </w:r>
      <w:bookmarkEnd w:id="72"/>
      <w:bookmarkEnd w:id="73"/>
    </w:p>
    <w:p>
      <w:pPr>
        <w:rPr>
          <w:color w:val="auto"/>
          <w:highlight w:val="none"/>
        </w:rPr>
      </w:pPr>
      <w:r>
        <w:rPr>
          <w:color w:val="auto"/>
          <w:highlight w:val="none"/>
        </w:rPr>
        <w:br w:type="page"/>
      </w:r>
    </w:p>
    <w:p>
      <w:pPr>
        <w:rPr>
          <w:color w:val="auto"/>
          <w:highlight w:val="none"/>
        </w:rPr>
      </w:pPr>
    </w:p>
    <w:bookmarkEnd w:id="48"/>
    <w:bookmarkEnd w:id="49"/>
    <w:p>
      <w:pPr>
        <w:pStyle w:val="2"/>
        <w:spacing w:before="20" w:after="20"/>
        <w:rPr>
          <w:color w:val="auto"/>
          <w:highlight w:val="none"/>
        </w:rPr>
      </w:pPr>
      <w:bookmarkStart w:id="74" w:name="_Toc24984"/>
      <w:bookmarkStart w:id="75" w:name="_Toc22004"/>
      <w:r>
        <w:rPr>
          <w:rFonts w:hint="eastAsia"/>
          <w:color w:val="auto"/>
          <w:highlight w:val="none"/>
        </w:rPr>
        <w:t>附件4               报价明细表</w:t>
      </w:r>
      <w:bookmarkEnd w:id="74"/>
      <w:bookmarkEnd w:id="75"/>
    </w:p>
    <w:p>
      <w:pPr>
        <w:widowControl/>
        <w:wordWrap w:val="0"/>
        <w:snapToGrid w:val="0"/>
        <w:spacing w:before="50" w:after="50"/>
        <w:ind w:left="-3" w:leftChars="-72" w:right="-817" w:rightChars="-389" w:hanging="148" w:hangingChars="62"/>
        <w:jc w:val="left"/>
        <w:rPr>
          <w:rFonts w:ascii="宋体" w:hAnsi="宋体" w:cs="宋体"/>
          <w:color w:val="auto"/>
          <w:kern w:val="0"/>
          <w:sz w:val="24"/>
          <w:highlight w:val="none"/>
        </w:rPr>
      </w:pPr>
      <w:r>
        <w:rPr>
          <w:rFonts w:hint="eastAsia" w:cs="宋体"/>
          <w:color w:val="auto"/>
          <w:kern w:val="0"/>
          <w:sz w:val="24"/>
          <w:highlight w:val="none"/>
          <w:lang w:val="en-US" w:eastAsia="zh-CN"/>
        </w:rPr>
        <w:t xml:space="preserve">                               </w:t>
      </w:r>
      <w:r>
        <w:rPr>
          <w:rFonts w:hint="eastAsia" w:ascii="宋体" w:hAnsi="宋体" w:cs="宋体"/>
          <w:color w:val="auto"/>
          <w:kern w:val="0"/>
          <w:sz w:val="24"/>
          <w:highlight w:val="none"/>
        </w:rPr>
        <w:t xml:space="preserve">                       金额单位：人民币（元）</w:t>
      </w:r>
    </w:p>
    <w:tbl>
      <w:tblPr>
        <w:tblStyle w:val="33"/>
        <w:tblW w:w="8301" w:type="dxa"/>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2012"/>
        <w:gridCol w:w="1172"/>
        <w:gridCol w:w="1494"/>
        <w:gridCol w:w="1026"/>
        <w:gridCol w:w="1127"/>
        <w:gridCol w:w="9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4" w:hRule="atLeast"/>
        </w:trPr>
        <w:tc>
          <w:tcPr>
            <w:tcW w:w="540"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kern w:val="0"/>
                <w:sz w:val="24"/>
                <w:highlight w:val="none"/>
              </w:rPr>
              <w:t>序号</w:t>
            </w:r>
          </w:p>
        </w:tc>
        <w:tc>
          <w:tcPr>
            <w:tcW w:w="2012" w:type="dxa"/>
            <w:tcBorders>
              <w:top w:val="single" w:color="auto" w:sz="4" w:space="0"/>
              <w:left w:val="single" w:color="auto" w:sz="4" w:space="0"/>
              <w:bottom w:val="nil"/>
              <w:right w:val="single" w:color="auto" w:sz="4" w:space="0"/>
            </w:tcBorders>
            <w:vAlign w:val="center"/>
          </w:tcPr>
          <w:p>
            <w:pPr>
              <w:widowControl/>
              <w:snapToGrid w:val="0"/>
              <w:spacing w:before="50" w:after="50"/>
              <w:jc w:val="center"/>
              <w:rPr>
                <w:rFonts w:ascii="宋体" w:hAnsi="宋体" w:cs="宋体"/>
                <w:color w:val="auto"/>
                <w:kern w:val="0"/>
                <w:sz w:val="24"/>
                <w:highlight w:val="none"/>
              </w:rPr>
            </w:pPr>
            <w:r>
              <w:rPr>
                <w:rFonts w:hint="eastAsia" w:ascii="宋体" w:hAnsi="宋体" w:cs="宋体"/>
                <w:color w:val="auto"/>
                <w:kern w:val="0"/>
                <w:sz w:val="24"/>
                <w:highlight w:val="none"/>
              </w:rPr>
              <w:t>货物名称</w:t>
            </w:r>
          </w:p>
        </w:tc>
        <w:tc>
          <w:tcPr>
            <w:tcW w:w="1172"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品牌</w:t>
            </w:r>
          </w:p>
        </w:tc>
        <w:tc>
          <w:tcPr>
            <w:tcW w:w="1494"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auto"/>
                <w:spacing w:val="20"/>
                <w:kern w:val="0"/>
                <w:sz w:val="24"/>
                <w:highlight w:val="none"/>
                <w:lang w:val="en-US" w:eastAsia="zh-CN"/>
              </w:rPr>
            </w:pPr>
            <w:r>
              <w:rPr>
                <w:rFonts w:hint="eastAsia" w:ascii="宋体" w:hAnsi="宋体" w:cs="宋体"/>
                <w:color w:val="auto"/>
                <w:kern w:val="0"/>
                <w:sz w:val="24"/>
                <w:highlight w:val="none"/>
              </w:rPr>
              <w:t>规格/</w:t>
            </w:r>
            <w:r>
              <w:rPr>
                <w:rFonts w:hint="eastAsia" w:ascii="宋体" w:hAnsi="宋体" w:cs="宋体"/>
                <w:color w:val="auto"/>
                <w:kern w:val="0"/>
                <w:sz w:val="24"/>
                <w:highlight w:val="none"/>
                <w:lang w:val="en-US" w:eastAsia="zh-CN"/>
              </w:rPr>
              <w:t>型号</w:t>
            </w:r>
          </w:p>
        </w:tc>
        <w:tc>
          <w:tcPr>
            <w:tcW w:w="1026"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kern w:val="0"/>
                <w:sz w:val="24"/>
                <w:highlight w:val="none"/>
              </w:rPr>
              <w:t>单位</w:t>
            </w:r>
          </w:p>
        </w:tc>
        <w:tc>
          <w:tcPr>
            <w:tcW w:w="1127"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kern w:val="0"/>
                <w:sz w:val="24"/>
                <w:highlight w:val="none"/>
              </w:rPr>
              <w:t>数量</w:t>
            </w:r>
          </w:p>
        </w:tc>
        <w:tc>
          <w:tcPr>
            <w:tcW w:w="930"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kern w:val="0"/>
                <w:sz w:val="24"/>
                <w:highlight w:val="none"/>
              </w:rPr>
              <w:t>单价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spacing w:val="20"/>
                <w:kern w:val="0"/>
                <w:sz w:val="24"/>
                <w:highlight w:val="none"/>
              </w:rPr>
              <w:t xml:space="preserve">…… </w:t>
            </w: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371" w:type="dxa"/>
            <w:gridSpan w:val="6"/>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default" w:ascii="宋体" w:hAnsi="宋体" w:eastAsia="宋体" w:cs="宋体"/>
                <w:color w:val="auto"/>
                <w:spacing w:val="20"/>
                <w:kern w:val="0"/>
                <w:sz w:val="24"/>
                <w:highlight w:val="none"/>
                <w:lang w:val="en-US" w:eastAsia="zh-CN"/>
              </w:rPr>
            </w:pPr>
            <w:r>
              <w:rPr>
                <w:rFonts w:hint="eastAsia" w:ascii="宋体" w:hAnsi="宋体" w:cs="宋体"/>
                <w:color w:val="auto"/>
                <w:spacing w:val="20"/>
                <w:kern w:val="0"/>
                <w:sz w:val="24"/>
                <w:highlight w:val="none"/>
              </w:rPr>
              <w:t>投标总价(</w:t>
            </w:r>
            <w:r>
              <w:rPr>
                <w:rFonts w:hint="eastAsia" w:ascii="宋体" w:hAnsi="宋体" w:cs="宋体"/>
                <w:color w:val="auto"/>
                <w:kern w:val="0"/>
                <w:sz w:val="24"/>
                <w:szCs w:val="21"/>
                <w:highlight w:val="none"/>
              </w:rPr>
              <w:t>大写)：</w:t>
            </w:r>
          </w:p>
        </w:tc>
        <w:tc>
          <w:tcPr>
            <w:tcW w:w="930"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eastAsia" w:ascii="宋体" w:hAnsi="宋体" w:cs="宋体"/>
                <w:color w:val="auto"/>
                <w:spacing w:val="20"/>
                <w:kern w:val="0"/>
                <w:sz w:val="24"/>
                <w:highlight w:val="none"/>
                <w:lang w:val="en-US" w:eastAsia="zh-CN"/>
              </w:rPr>
            </w:pPr>
            <w:r>
              <w:rPr>
                <w:rFonts w:hint="eastAsia" w:ascii="宋体" w:hAnsi="宋体" w:cs="宋体"/>
                <w:color w:val="auto"/>
                <w:kern w:val="0"/>
                <w:sz w:val="24"/>
                <w:szCs w:val="21"/>
                <w:highlight w:val="none"/>
              </w:rPr>
              <w:t>￥</w:t>
            </w:r>
          </w:p>
        </w:tc>
      </w:tr>
    </w:tbl>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u w:val="single"/>
        </w:rPr>
      </w:pPr>
      <w:r>
        <w:rPr>
          <w:rFonts w:hint="eastAsia" w:ascii="宋体" w:hAnsi="宋体" w:cs="宋体"/>
          <w:color w:val="auto"/>
          <w:kern w:val="0"/>
          <w:sz w:val="24"/>
          <w:highlight w:val="none"/>
        </w:rPr>
        <w:t xml:space="preserve">投标人代表签字： </w:t>
      </w:r>
    </w:p>
    <w:p>
      <w:pPr>
        <w:widowControl/>
        <w:wordWrap w:val="0"/>
        <w:snapToGrid w:val="0"/>
        <w:spacing w:line="460" w:lineRule="exact"/>
        <w:ind w:firstLine="2760" w:firstLineChars="1150"/>
        <w:jc w:val="left"/>
        <w:rPr>
          <w:rFonts w:ascii="宋体" w:hAnsi="宋体" w:cs="宋体"/>
          <w:color w:val="auto"/>
          <w:kern w:val="0"/>
          <w:sz w:val="52"/>
          <w:szCs w:val="52"/>
          <w:highlight w:val="none"/>
        </w:rPr>
      </w:pPr>
      <w:r>
        <w:rPr>
          <w:rFonts w:hint="eastAsia" w:ascii="宋体" w:hAnsi="宋体" w:cs="宋体"/>
          <w:color w:val="auto"/>
          <w:kern w:val="0"/>
          <w:sz w:val="24"/>
          <w:highlight w:val="none"/>
        </w:rPr>
        <w:t>投标人：（全称并加盖公章）</w:t>
      </w:r>
    </w:p>
    <w:p>
      <w:pPr>
        <w:widowControl/>
        <w:wordWrap w:val="0"/>
        <w:snapToGrid w:val="0"/>
        <w:spacing w:line="460" w:lineRule="exact"/>
        <w:ind w:firstLine="1040" w:firstLineChars="200"/>
        <w:jc w:val="left"/>
        <w:rPr>
          <w:rFonts w:ascii="宋体" w:hAnsi="宋体" w:cs="宋体"/>
          <w:color w:val="auto"/>
          <w:kern w:val="0"/>
          <w:sz w:val="52"/>
          <w:szCs w:val="52"/>
          <w:highlight w:val="none"/>
          <w:u w:val="single"/>
        </w:rPr>
      </w:pPr>
    </w:p>
    <w:p>
      <w:pPr>
        <w:widowControl/>
        <w:wordWrap w:val="0"/>
        <w:spacing w:line="460" w:lineRule="exact"/>
        <w:ind w:firstLine="4800" w:firstLineChars="2000"/>
        <w:jc w:val="left"/>
        <w:rPr>
          <w:color w:val="auto"/>
          <w:highlight w:val="none"/>
        </w:rPr>
      </w:pPr>
      <w:r>
        <w:rPr>
          <w:rFonts w:hint="eastAsia" w:ascii="宋体" w:hAnsi="宋体" w:cs="宋体"/>
          <w:color w:val="auto"/>
          <w:kern w:val="0"/>
          <w:sz w:val="24"/>
          <w:highlight w:val="none"/>
        </w:rPr>
        <w:t>年    月    日</w:t>
      </w:r>
    </w:p>
    <w:p>
      <w:pPr>
        <w:pStyle w:val="2"/>
        <w:rPr>
          <w:color w:val="auto"/>
          <w:highlight w:val="none"/>
        </w:rPr>
      </w:pPr>
      <w:r>
        <w:rPr>
          <w:rFonts w:hint="eastAsia"/>
          <w:color w:val="auto"/>
          <w:highlight w:val="none"/>
        </w:rPr>
        <w:br w:type="page"/>
      </w:r>
      <w:bookmarkStart w:id="76" w:name="_Toc15804"/>
      <w:bookmarkStart w:id="77" w:name="_Toc226"/>
      <w:r>
        <w:rPr>
          <w:rFonts w:hint="eastAsia"/>
          <w:color w:val="auto"/>
          <w:highlight w:val="none"/>
        </w:rPr>
        <w:t>附件5               技术响应表（格式）</w:t>
      </w:r>
      <w:bookmarkEnd w:id="76"/>
      <w:bookmarkEnd w:id="77"/>
    </w:p>
    <w:p>
      <w:pPr>
        <w:widowControl/>
        <w:wordWrap w:val="0"/>
        <w:snapToGrid w:val="0"/>
        <w:spacing w:before="50" w:afterLines="50"/>
        <w:jc w:val="left"/>
        <w:rPr>
          <w:rFonts w:hint="eastAsia" w:ascii="宋体" w:hAnsi="宋体" w:eastAsia="宋体" w:cs="宋体"/>
          <w:color w:val="auto"/>
          <w:kern w:val="0"/>
          <w:sz w:val="24"/>
          <w:highlight w:val="none"/>
          <w:u w:val="single"/>
          <w:lang w:eastAsia="zh-CN"/>
        </w:rPr>
      </w:pPr>
      <w:r>
        <w:rPr>
          <w:rFonts w:hint="eastAsia" w:cs="宋体"/>
          <w:color w:val="auto"/>
          <w:kern w:val="0"/>
          <w:sz w:val="24"/>
          <w:highlight w:val="none"/>
          <w:lang w:val="en-US" w:eastAsia="zh-CN"/>
        </w:rPr>
        <w:t xml:space="preserve"> </w:t>
      </w:r>
    </w:p>
    <w:tbl>
      <w:tblPr>
        <w:tblStyle w:val="34"/>
        <w:tblpPr w:leftFromText="180" w:rightFromText="180" w:vertAnchor="text" w:horzAnchor="page" w:tblpX="1410" w:tblpY="53"/>
        <w:tblOverlap w:val="never"/>
        <w:tblW w:w="8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9"/>
        <w:gridCol w:w="1712"/>
        <w:gridCol w:w="2114"/>
        <w:gridCol w:w="2273"/>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869" w:type="dxa"/>
            <w:vAlign w:val="center"/>
          </w:tcPr>
          <w:p>
            <w:pPr>
              <w:jc w:val="center"/>
              <w:rPr>
                <w:color w:val="auto"/>
                <w:sz w:val="24"/>
                <w:highlight w:val="none"/>
              </w:rPr>
            </w:pPr>
            <w:r>
              <w:rPr>
                <w:rFonts w:hint="eastAsia"/>
                <w:color w:val="auto"/>
                <w:sz w:val="24"/>
                <w:highlight w:val="none"/>
              </w:rPr>
              <w:t>序号</w:t>
            </w:r>
          </w:p>
        </w:tc>
        <w:tc>
          <w:tcPr>
            <w:tcW w:w="1712" w:type="dxa"/>
            <w:vAlign w:val="center"/>
          </w:tcPr>
          <w:p>
            <w:pPr>
              <w:jc w:val="center"/>
              <w:rPr>
                <w:color w:val="auto"/>
                <w:sz w:val="24"/>
                <w:highlight w:val="none"/>
              </w:rPr>
            </w:pPr>
            <w:r>
              <w:rPr>
                <w:rFonts w:hint="eastAsia"/>
                <w:color w:val="auto"/>
                <w:sz w:val="24"/>
                <w:highlight w:val="none"/>
              </w:rPr>
              <w:t>货物名称</w:t>
            </w:r>
          </w:p>
        </w:tc>
        <w:tc>
          <w:tcPr>
            <w:tcW w:w="2114" w:type="dxa"/>
            <w:vAlign w:val="center"/>
          </w:tcPr>
          <w:p>
            <w:pPr>
              <w:spacing w:line="360" w:lineRule="auto"/>
              <w:jc w:val="center"/>
              <w:rPr>
                <w:color w:val="auto"/>
                <w:sz w:val="24"/>
                <w:highlight w:val="none"/>
              </w:rPr>
            </w:pPr>
            <w:r>
              <w:rPr>
                <w:rFonts w:hint="eastAsia" w:ascii="宋体" w:hAnsi="宋体" w:cs="宋体"/>
                <w:color w:val="auto"/>
                <w:kern w:val="0"/>
                <w:sz w:val="24"/>
                <w:highlight w:val="none"/>
                <w:lang w:val="en-US" w:eastAsia="zh-CN"/>
              </w:rPr>
              <w:t>采购</w:t>
            </w:r>
            <w:r>
              <w:rPr>
                <w:rFonts w:hint="eastAsia" w:ascii="宋体" w:hAnsi="宋体" w:cs="宋体"/>
                <w:color w:val="auto"/>
                <w:kern w:val="0"/>
                <w:sz w:val="24"/>
                <w:highlight w:val="none"/>
              </w:rPr>
              <w:t>文件要求</w:t>
            </w:r>
          </w:p>
        </w:tc>
        <w:tc>
          <w:tcPr>
            <w:tcW w:w="2273" w:type="dxa"/>
            <w:vAlign w:val="center"/>
          </w:tcPr>
          <w:p>
            <w:pPr>
              <w:spacing w:line="360" w:lineRule="auto"/>
              <w:jc w:val="center"/>
              <w:rPr>
                <w:rFonts w:ascii="宋体" w:hAnsi="宋体" w:cs="宋体"/>
                <w:color w:val="auto"/>
                <w:sz w:val="24"/>
                <w:highlight w:val="none"/>
              </w:rPr>
            </w:pPr>
            <w:r>
              <w:rPr>
                <w:rFonts w:hint="eastAsia" w:ascii="宋体" w:hAnsi="宋体" w:cs="宋体"/>
                <w:color w:val="auto"/>
                <w:kern w:val="0"/>
                <w:sz w:val="24"/>
                <w:highlight w:val="none"/>
              </w:rPr>
              <w:t>投标文件响应</w:t>
            </w:r>
          </w:p>
        </w:tc>
        <w:tc>
          <w:tcPr>
            <w:tcW w:w="1952" w:type="dxa"/>
            <w:vAlign w:val="center"/>
          </w:tcPr>
          <w:p>
            <w:pPr>
              <w:spacing w:line="360" w:lineRule="auto"/>
              <w:jc w:val="center"/>
              <w:rPr>
                <w:rFonts w:ascii="宋体" w:hAnsi="宋体" w:cs="宋体"/>
                <w:color w:val="auto"/>
                <w:sz w:val="24"/>
                <w:highlight w:val="none"/>
              </w:rPr>
            </w:pPr>
            <w:r>
              <w:rPr>
                <w:rFonts w:hint="eastAsia" w:ascii="宋体" w:hAnsi="宋体" w:cs="宋体"/>
                <w:color w:val="auto"/>
                <w:kern w:val="0"/>
                <w:sz w:val="24"/>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1</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color w:val="auto"/>
                <w:sz w:val="24"/>
                <w:highlight w:val="none"/>
              </w:rPr>
            </w:pPr>
          </w:p>
        </w:tc>
        <w:tc>
          <w:tcPr>
            <w:tcW w:w="1952" w:type="dxa"/>
            <w:vAlign w:val="center"/>
          </w:tcPr>
          <w:p>
            <w:pPr>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2</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3</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4</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w:t>
            </w:r>
          </w:p>
        </w:tc>
        <w:tc>
          <w:tcPr>
            <w:tcW w:w="1712" w:type="dxa"/>
            <w:vAlign w:val="center"/>
          </w:tcPr>
          <w:p>
            <w:pPr>
              <w:jc w:val="center"/>
              <w:rPr>
                <w:color w:val="auto"/>
                <w:sz w:val="24"/>
                <w:highlight w:val="none"/>
              </w:rPr>
            </w:pPr>
          </w:p>
        </w:tc>
        <w:tc>
          <w:tcPr>
            <w:tcW w:w="2114" w:type="dxa"/>
            <w:vAlign w:val="center"/>
          </w:tcPr>
          <w:p>
            <w:pPr>
              <w:jc w:val="center"/>
              <w:rPr>
                <w:bCs/>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bl>
    <w:p>
      <w:pPr>
        <w:rPr>
          <w:b/>
          <w:color w:val="auto"/>
          <w:kern w:val="0"/>
          <w:sz w:val="24"/>
          <w:highlight w:val="none"/>
        </w:rPr>
      </w:pPr>
    </w:p>
    <w:p>
      <w:pPr>
        <w:widowControl/>
        <w:wordWrap w:val="0"/>
        <w:spacing w:before="50" w:after="50" w:line="480" w:lineRule="auto"/>
        <w:jc w:val="left"/>
        <w:rPr>
          <w:rFonts w:ascii="宋体" w:hAnsi="宋体" w:cs="宋体"/>
          <w:bCs/>
          <w:color w:val="auto"/>
          <w:kern w:val="0"/>
          <w:sz w:val="24"/>
          <w:highlight w:val="none"/>
        </w:rPr>
      </w:pPr>
      <w:r>
        <w:rPr>
          <w:rFonts w:hint="eastAsia" w:ascii="宋体" w:hAnsi="宋体" w:cs="宋体"/>
          <w:bCs/>
          <w:color w:val="auto"/>
          <w:kern w:val="0"/>
          <w:sz w:val="24"/>
          <w:highlight w:val="none"/>
        </w:rPr>
        <w:t>注：投标人必须如实完整填写表格， “偏离情况”是指“正偏离”、“负偏离”或“无偏离”。</w:t>
      </w:r>
    </w:p>
    <w:p>
      <w:pPr>
        <w:pStyle w:val="51"/>
        <w:rPr>
          <w:bCs/>
          <w:color w:val="auto"/>
          <w:kern w:val="0"/>
          <w:highlight w:val="none"/>
        </w:rPr>
      </w:pPr>
    </w:p>
    <w:p>
      <w:pPr>
        <w:pStyle w:val="51"/>
        <w:rPr>
          <w:bCs/>
          <w:color w:val="auto"/>
          <w:kern w:val="0"/>
          <w:highlight w:val="none"/>
        </w:rPr>
      </w:pPr>
    </w:p>
    <w:p>
      <w:pPr>
        <w:pStyle w:val="51"/>
        <w:rPr>
          <w:bCs/>
          <w:color w:val="auto"/>
          <w:kern w:val="0"/>
          <w:highlight w:val="none"/>
        </w:rPr>
      </w:pPr>
    </w:p>
    <w:p>
      <w:pPr>
        <w:widowControl/>
        <w:wordWrap w:val="0"/>
        <w:spacing w:line="460" w:lineRule="exact"/>
        <w:ind w:firstLine="2760" w:firstLineChars="1150"/>
        <w:jc w:val="left"/>
        <w:rPr>
          <w:rFonts w:ascii="宋体" w:hAnsi="宋体" w:cs="宋体"/>
          <w:color w:val="auto"/>
          <w:kern w:val="0"/>
          <w:sz w:val="24"/>
          <w:highlight w:val="none"/>
          <w:u w:val="single"/>
        </w:rPr>
      </w:pPr>
      <w:r>
        <w:rPr>
          <w:rFonts w:hint="eastAsia" w:ascii="宋体" w:hAnsi="宋体" w:cs="宋体"/>
          <w:color w:val="auto"/>
          <w:kern w:val="0"/>
          <w:sz w:val="24"/>
          <w:highlight w:val="none"/>
        </w:rPr>
        <w:t xml:space="preserve">投标人代表签字： </w:t>
      </w:r>
    </w:p>
    <w:p>
      <w:pPr>
        <w:widowControl/>
        <w:wordWrap w:val="0"/>
        <w:snapToGrid w:val="0"/>
        <w:spacing w:line="460" w:lineRule="exact"/>
        <w:ind w:firstLine="2760" w:firstLineChars="1150"/>
        <w:jc w:val="left"/>
        <w:rPr>
          <w:rFonts w:ascii="宋体" w:hAnsi="宋体" w:cs="宋体"/>
          <w:color w:val="auto"/>
          <w:kern w:val="0"/>
          <w:sz w:val="52"/>
          <w:szCs w:val="52"/>
          <w:highlight w:val="none"/>
        </w:rPr>
      </w:pPr>
      <w:r>
        <w:rPr>
          <w:rFonts w:hint="eastAsia" w:ascii="宋体" w:hAnsi="宋体" w:cs="宋体"/>
          <w:color w:val="auto"/>
          <w:kern w:val="0"/>
          <w:sz w:val="24"/>
          <w:highlight w:val="none"/>
        </w:rPr>
        <w:t>投标人：（全称并加盖公章）</w:t>
      </w:r>
    </w:p>
    <w:p>
      <w:pPr>
        <w:widowControl/>
        <w:wordWrap w:val="0"/>
        <w:snapToGrid w:val="0"/>
        <w:spacing w:line="460" w:lineRule="exact"/>
        <w:ind w:firstLine="1040" w:firstLineChars="200"/>
        <w:jc w:val="left"/>
        <w:rPr>
          <w:rFonts w:ascii="宋体" w:hAnsi="宋体" w:cs="宋体"/>
          <w:color w:val="auto"/>
          <w:kern w:val="0"/>
          <w:sz w:val="52"/>
          <w:szCs w:val="52"/>
          <w:highlight w:val="none"/>
          <w:u w:val="single"/>
        </w:rPr>
      </w:pPr>
    </w:p>
    <w:p>
      <w:pPr>
        <w:widowControl/>
        <w:wordWrap w:val="0"/>
        <w:spacing w:line="460" w:lineRule="exact"/>
        <w:ind w:firstLine="4800" w:firstLineChars="2000"/>
        <w:jc w:val="left"/>
        <w:rPr>
          <w:rFonts w:ascii="宋体" w:hAnsi="宋体" w:cs="宋体"/>
          <w:color w:val="auto"/>
          <w:kern w:val="0"/>
          <w:sz w:val="24"/>
          <w:highlight w:val="none"/>
        </w:rPr>
      </w:pPr>
      <w:r>
        <w:rPr>
          <w:rFonts w:hint="eastAsia" w:ascii="宋体" w:hAnsi="宋体" w:cs="宋体"/>
          <w:color w:val="auto"/>
          <w:kern w:val="0"/>
          <w:sz w:val="24"/>
          <w:highlight w:val="none"/>
        </w:rPr>
        <w:t>年    月    日</w:t>
      </w:r>
    </w:p>
    <w:p>
      <w:pP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rPr>
          <w:color w:val="auto"/>
          <w:highlight w:val="none"/>
        </w:rPr>
      </w:pPr>
    </w:p>
    <w:p>
      <w:pPr>
        <w:widowControl/>
        <w:wordWrap w:val="0"/>
        <w:snapToGrid w:val="0"/>
        <w:spacing w:line="460" w:lineRule="exact"/>
        <w:jc w:val="left"/>
        <w:outlineLvl w:val="0"/>
        <w:rPr>
          <w:rFonts w:ascii="Arial" w:hAnsi="Arial" w:eastAsia="新宋体"/>
          <w:b/>
          <w:color w:val="auto"/>
          <w:sz w:val="28"/>
          <w:highlight w:val="none"/>
        </w:rPr>
      </w:pPr>
      <w:bookmarkStart w:id="78" w:name="_Toc20420"/>
      <w:bookmarkStart w:id="79" w:name="_Toc29960"/>
      <w:r>
        <w:rPr>
          <w:rFonts w:hint="eastAsia" w:ascii="Arial" w:hAnsi="Arial" w:eastAsia="新宋体"/>
          <w:b/>
          <w:color w:val="auto"/>
          <w:sz w:val="28"/>
          <w:highlight w:val="none"/>
        </w:rPr>
        <w:t>附件6               商务响应表（格式）</w:t>
      </w:r>
      <w:bookmarkEnd w:id="78"/>
      <w:bookmarkEnd w:id="79"/>
    </w:p>
    <w:p>
      <w:pPr>
        <w:widowControl/>
        <w:wordWrap w:val="0"/>
        <w:snapToGrid w:val="0"/>
        <w:spacing w:before="50" w:afterLines="50"/>
        <w:jc w:val="left"/>
        <w:rPr>
          <w:rFonts w:cs="宋体"/>
          <w:color w:val="auto"/>
          <w:kern w:val="0"/>
          <w:sz w:val="24"/>
          <w:highlight w:val="none"/>
        </w:rPr>
      </w:pPr>
    </w:p>
    <w:p>
      <w:pPr>
        <w:widowControl/>
        <w:wordWrap w:val="0"/>
        <w:snapToGrid w:val="0"/>
        <w:spacing w:before="50" w:afterLines="50"/>
        <w:jc w:val="left"/>
        <w:rPr>
          <w:rFonts w:hint="eastAsia" w:ascii="宋体" w:hAnsi="宋体" w:eastAsia="宋体" w:cs="宋体"/>
          <w:color w:val="auto"/>
          <w:kern w:val="0"/>
          <w:sz w:val="24"/>
          <w:highlight w:val="none"/>
          <w:u w:val="single"/>
          <w:lang w:eastAsia="zh-CN"/>
        </w:rPr>
      </w:pPr>
      <w:r>
        <w:rPr>
          <w:rFonts w:hint="eastAsia" w:cs="宋体"/>
          <w:color w:val="auto"/>
          <w:kern w:val="0"/>
          <w:sz w:val="24"/>
          <w:highlight w:val="none"/>
          <w:lang w:eastAsia="zh-CN"/>
        </w:rPr>
        <w:t xml:space="preserve"> </w:t>
      </w:r>
    </w:p>
    <w:tbl>
      <w:tblPr>
        <w:tblStyle w:val="33"/>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7"/>
        <w:gridCol w:w="2698"/>
        <w:gridCol w:w="1259"/>
        <w:gridCol w:w="30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54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color w:val="auto"/>
                <w:sz w:val="24"/>
                <w:highlight w:val="none"/>
              </w:rPr>
            </w:pPr>
            <w:r>
              <w:rPr>
                <w:rFonts w:hint="eastAsia"/>
                <w:color w:val="auto"/>
                <w:sz w:val="24"/>
                <w:highlight w:val="none"/>
              </w:rPr>
              <w:t>项目</w:t>
            </w:r>
          </w:p>
        </w:tc>
        <w:tc>
          <w:tcPr>
            <w:tcW w:w="269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color w:val="auto"/>
                <w:sz w:val="24"/>
                <w:highlight w:val="none"/>
              </w:rPr>
            </w:pPr>
            <w:r>
              <w:rPr>
                <w:rFonts w:hint="eastAsia"/>
                <w:color w:val="auto"/>
                <w:sz w:val="24"/>
                <w:highlight w:val="none"/>
                <w:lang w:val="en-US" w:eastAsia="zh-CN"/>
              </w:rPr>
              <w:t>采购</w:t>
            </w:r>
            <w:r>
              <w:rPr>
                <w:rFonts w:hint="eastAsia"/>
                <w:color w:val="auto"/>
                <w:sz w:val="24"/>
                <w:highlight w:val="none"/>
              </w:rPr>
              <w:t>文件要求</w:t>
            </w:r>
          </w:p>
        </w:tc>
        <w:tc>
          <w:tcPr>
            <w:tcW w:w="12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color w:val="auto"/>
                <w:sz w:val="24"/>
                <w:highlight w:val="none"/>
              </w:rPr>
            </w:pPr>
            <w:r>
              <w:rPr>
                <w:rFonts w:hint="eastAsia"/>
                <w:color w:val="auto"/>
                <w:sz w:val="24"/>
                <w:highlight w:val="none"/>
              </w:rPr>
              <w:t>响应情况</w:t>
            </w:r>
          </w:p>
        </w:tc>
        <w:tc>
          <w:tcPr>
            <w:tcW w:w="301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color w:val="auto"/>
                <w:sz w:val="24"/>
                <w:highlight w:val="none"/>
              </w:rPr>
            </w:pPr>
            <w:r>
              <w:rPr>
                <w:rFonts w:hint="eastAsia"/>
                <w:color w:val="auto"/>
                <w:sz w:val="24"/>
                <w:highlight w:val="none"/>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7" w:hRule="atLeast"/>
        </w:trPr>
        <w:tc>
          <w:tcPr>
            <w:tcW w:w="1547" w:type="dxa"/>
            <w:tcBorders>
              <w:top w:val="single" w:color="auto" w:sz="4" w:space="0"/>
              <w:left w:val="single" w:color="auto" w:sz="4" w:space="0"/>
              <w:right w:val="single" w:color="auto" w:sz="4" w:space="0"/>
            </w:tcBorders>
            <w:vAlign w:val="center"/>
          </w:tcPr>
          <w:p>
            <w:pPr>
              <w:spacing w:line="0" w:lineRule="atLeast"/>
              <w:jc w:val="center"/>
              <w:rPr>
                <w:color w:val="auto"/>
                <w:sz w:val="24"/>
                <w:highlight w:val="none"/>
              </w:rPr>
            </w:pPr>
            <w:r>
              <w:rPr>
                <w:rFonts w:hint="eastAsia"/>
                <w:color w:val="auto"/>
                <w:sz w:val="24"/>
                <w:highlight w:val="none"/>
              </w:rPr>
              <w:t>质保期</w:t>
            </w:r>
          </w:p>
        </w:tc>
        <w:tc>
          <w:tcPr>
            <w:tcW w:w="2698" w:type="dxa"/>
            <w:tcBorders>
              <w:top w:val="single" w:color="auto" w:sz="4" w:space="0"/>
              <w:left w:val="single" w:color="auto" w:sz="4" w:space="0"/>
              <w:right w:val="single" w:color="auto" w:sz="4" w:space="0"/>
            </w:tcBorders>
            <w:vAlign w:val="center"/>
          </w:tcPr>
          <w:p>
            <w:pPr>
              <w:spacing w:line="0" w:lineRule="atLeast"/>
              <w:jc w:val="center"/>
              <w:rPr>
                <w:color w:val="auto"/>
                <w:sz w:val="24"/>
                <w:highlight w:val="none"/>
              </w:rPr>
            </w:pPr>
          </w:p>
        </w:tc>
        <w:tc>
          <w:tcPr>
            <w:tcW w:w="1259" w:type="dxa"/>
            <w:tcBorders>
              <w:top w:val="single" w:color="auto" w:sz="4" w:space="0"/>
              <w:left w:val="single" w:color="auto" w:sz="4" w:space="0"/>
              <w:right w:val="single" w:color="auto" w:sz="4" w:space="0"/>
            </w:tcBorders>
            <w:vAlign w:val="center"/>
          </w:tcPr>
          <w:p>
            <w:pPr>
              <w:spacing w:line="0" w:lineRule="atLeast"/>
              <w:jc w:val="center"/>
              <w:rPr>
                <w:color w:val="auto"/>
                <w:sz w:val="24"/>
                <w:highlight w:val="none"/>
              </w:rPr>
            </w:pPr>
          </w:p>
          <w:p>
            <w:pPr>
              <w:spacing w:line="0" w:lineRule="atLeast"/>
              <w:jc w:val="center"/>
              <w:rPr>
                <w:color w:val="auto"/>
                <w:sz w:val="24"/>
                <w:highlight w:val="none"/>
              </w:rPr>
            </w:pPr>
          </w:p>
        </w:tc>
        <w:tc>
          <w:tcPr>
            <w:tcW w:w="3018" w:type="dxa"/>
            <w:tcBorders>
              <w:top w:val="single" w:color="auto" w:sz="4" w:space="0"/>
              <w:left w:val="single" w:color="auto" w:sz="4" w:space="0"/>
              <w:right w:val="single" w:color="auto" w:sz="4" w:space="0"/>
            </w:tcBorders>
            <w:vAlign w:val="center"/>
          </w:tcPr>
          <w:p>
            <w:pPr>
              <w:spacing w:line="0" w:lineRule="atLeast"/>
              <w:jc w:val="center"/>
              <w:rPr>
                <w:color w:val="auto"/>
                <w:sz w:val="24"/>
                <w:highlight w:val="none"/>
              </w:rPr>
            </w:pPr>
          </w:p>
          <w:p>
            <w:pPr>
              <w:spacing w:line="0" w:lineRule="atLeas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7" w:hRule="atLeast"/>
        </w:trPr>
        <w:tc>
          <w:tcPr>
            <w:tcW w:w="1547" w:type="dxa"/>
            <w:tcBorders>
              <w:top w:val="single" w:color="auto" w:sz="4" w:space="0"/>
              <w:left w:val="single" w:color="auto" w:sz="4" w:space="0"/>
              <w:right w:val="single" w:color="auto" w:sz="4" w:space="0"/>
            </w:tcBorders>
            <w:vAlign w:val="center"/>
          </w:tcPr>
          <w:p>
            <w:pPr>
              <w:spacing w:line="0" w:lineRule="atLeast"/>
              <w:jc w:val="center"/>
              <w:rPr>
                <w:color w:val="auto"/>
                <w:sz w:val="24"/>
                <w:highlight w:val="none"/>
              </w:rPr>
            </w:pPr>
            <w:r>
              <w:rPr>
                <w:rFonts w:hint="eastAsia"/>
                <w:color w:val="auto"/>
                <w:sz w:val="24"/>
                <w:highlight w:val="none"/>
              </w:rPr>
              <w:t>质量要求</w:t>
            </w:r>
          </w:p>
        </w:tc>
        <w:tc>
          <w:tcPr>
            <w:tcW w:w="2698" w:type="dxa"/>
            <w:tcBorders>
              <w:top w:val="single" w:color="auto" w:sz="4" w:space="0"/>
              <w:left w:val="single" w:color="auto" w:sz="4" w:space="0"/>
              <w:right w:val="single" w:color="auto" w:sz="4" w:space="0"/>
            </w:tcBorders>
            <w:vAlign w:val="center"/>
          </w:tcPr>
          <w:p>
            <w:pPr>
              <w:spacing w:line="0" w:lineRule="atLeast"/>
              <w:jc w:val="center"/>
              <w:rPr>
                <w:color w:val="auto"/>
                <w:sz w:val="24"/>
                <w:highlight w:val="none"/>
              </w:rPr>
            </w:pPr>
          </w:p>
        </w:tc>
        <w:tc>
          <w:tcPr>
            <w:tcW w:w="1259" w:type="dxa"/>
            <w:tcBorders>
              <w:top w:val="single" w:color="auto" w:sz="4" w:space="0"/>
              <w:left w:val="single" w:color="auto" w:sz="4" w:space="0"/>
              <w:right w:val="single" w:color="auto" w:sz="4" w:space="0"/>
            </w:tcBorders>
            <w:vAlign w:val="center"/>
          </w:tcPr>
          <w:p>
            <w:pPr>
              <w:spacing w:line="0" w:lineRule="atLeast"/>
              <w:jc w:val="center"/>
              <w:rPr>
                <w:color w:val="auto"/>
                <w:sz w:val="24"/>
                <w:highlight w:val="none"/>
              </w:rPr>
            </w:pPr>
          </w:p>
        </w:tc>
        <w:tc>
          <w:tcPr>
            <w:tcW w:w="3018" w:type="dxa"/>
            <w:tcBorders>
              <w:top w:val="single" w:color="auto" w:sz="4" w:space="0"/>
              <w:left w:val="single" w:color="auto" w:sz="4" w:space="0"/>
              <w:right w:val="single" w:color="auto" w:sz="4" w:space="0"/>
            </w:tcBorders>
            <w:vAlign w:val="center"/>
          </w:tcPr>
          <w:p>
            <w:pPr>
              <w:spacing w:line="0" w:lineRule="atLeas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7" w:hRule="atLeast"/>
        </w:trPr>
        <w:tc>
          <w:tcPr>
            <w:tcW w:w="1547" w:type="dxa"/>
            <w:tcBorders>
              <w:top w:val="single" w:color="auto" w:sz="4" w:space="0"/>
              <w:left w:val="single" w:color="auto" w:sz="4" w:space="0"/>
              <w:right w:val="single" w:color="auto" w:sz="4" w:space="0"/>
            </w:tcBorders>
            <w:vAlign w:val="center"/>
          </w:tcPr>
          <w:p>
            <w:pPr>
              <w:spacing w:line="0" w:lineRule="atLeast"/>
              <w:jc w:val="center"/>
              <w:rPr>
                <w:rFonts w:hint="default" w:eastAsia="宋体"/>
                <w:color w:val="auto"/>
                <w:sz w:val="24"/>
                <w:highlight w:val="none"/>
                <w:lang w:val="en-US" w:eastAsia="zh-CN"/>
              </w:rPr>
            </w:pPr>
            <w:r>
              <w:rPr>
                <w:rFonts w:hint="eastAsia"/>
                <w:color w:val="auto"/>
                <w:sz w:val="24"/>
                <w:highlight w:val="none"/>
                <w:lang w:val="en-US" w:eastAsia="zh-CN"/>
              </w:rPr>
              <w:t>交货地点</w:t>
            </w:r>
          </w:p>
        </w:tc>
        <w:tc>
          <w:tcPr>
            <w:tcW w:w="2698" w:type="dxa"/>
            <w:tcBorders>
              <w:top w:val="single" w:color="auto" w:sz="4" w:space="0"/>
              <w:left w:val="single" w:color="auto" w:sz="4" w:space="0"/>
              <w:right w:val="single" w:color="auto" w:sz="4" w:space="0"/>
            </w:tcBorders>
            <w:vAlign w:val="center"/>
          </w:tcPr>
          <w:p>
            <w:pPr>
              <w:spacing w:line="0" w:lineRule="atLeast"/>
              <w:jc w:val="center"/>
              <w:rPr>
                <w:color w:val="auto"/>
                <w:sz w:val="24"/>
                <w:highlight w:val="none"/>
              </w:rPr>
            </w:pPr>
          </w:p>
        </w:tc>
        <w:tc>
          <w:tcPr>
            <w:tcW w:w="1259" w:type="dxa"/>
            <w:tcBorders>
              <w:top w:val="single" w:color="auto" w:sz="4" w:space="0"/>
              <w:left w:val="single" w:color="auto" w:sz="4" w:space="0"/>
              <w:right w:val="single" w:color="auto" w:sz="4" w:space="0"/>
            </w:tcBorders>
            <w:vAlign w:val="center"/>
          </w:tcPr>
          <w:p>
            <w:pPr>
              <w:spacing w:line="0" w:lineRule="atLeast"/>
              <w:jc w:val="center"/>
              <w:rPr>
                <w:color w:val="auto"/>
                <w:sz w:val="24"/>
                <w:highlight w:val="none"/>
              </w:rPr>
            </w:pPr>
          </w:p>
        </w:tc>
        <w:tc>
          <w:tcPr>
            <w:tcW w:w="3018" w:type="dxa"/>
            <w:tcBorders>
              <w:top w:val="single" w:color="auto" w:sz="4" w:space="0"/>
              <w:left w:val="single" w:color="auto" w:sz="4" w:space="0"/>
              <w:right w:val="single" w:color="auto" w:sz="4" w:space="0"/>
            </w:tcBorders>
            <w:vAlign w:val="center"/>
          </w:tcPr>
          <w:p>
            <w:pPr>
              <w:spacing w:line="0" w:lineRule="atLeas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8" w:hRule="atLeast"/>
        </w:trPr>
        <w:tc>
          <w:tcPr>
            <w:tcW w:w="154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color w:val="auto"/>
                <w:sz w:val="24"/>
                <w:highlight w:val="none"/>
                <w:lang w:val="en-US" w:eastAsia="zh-CN"/>
              </w:rPr>
            </w:pPr>
            <w:r>
              <w:rPr>
                <w:rFonts w:hint="eastAsia"/>
                <w:color w:val="auto"/>
                <w:sz w:val="24"/>
                <w:highlight w:val="none"/>
                <w:lang w:val="en-US" w:eastAsia="zh-CN"/>
              </w:rPr>
              <w:t>合同履行期限</w:t>
            </w:r>
          </w:p>
        </w:tc>
        <w:tc>
          <w:tcPr>
            <w:tcW w:w="269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color w:val="auto"/>
                <w:sz w:val="24"/>
                <w:highlight w:val="none"/>
              </w:rPr>
            </w:pPr>
          </w:p>
        </w:tc>
        <w:tc>
          <w:tcPr>
            <w:tcW w:w="12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color w:val="auto"/>
                <w:sz w:val="24"/>
                <w:highlight w:val="none"/>
              </w:rPr>
            </w:pPr>
          </w:p>
        </w:tc>
        <w:tc>
          <w:tcPr>
            <w:tcW w:w="301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54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imes New Roman" w:hAnsi="Times New Roman" w:eastAsia="宋体" w:cs="Times New Roman"/>
                <w:color w:val="auto"/>
                <w:kern w:val="2"/>
                <w:sz w:val="24"/>
                <w:szCs w:val="24"/>
                <w:highlight w:val="none"/>
                <w:lang w:val="en-US" w:eastAsia="zh-CN" w:bidi="ar-SA"/>
              </w:rPr>
            </w:pPr>
            <w:r>
              <w:rPr>
                <w:rFonts w:hint="eastAsia"/>
                <w:color w:val="auto"/>
                <w:sz w:val="24"/>
                <w:highlight w:val="none"/>
              </w:rPr>
              <w:t>合同签订</w:t>
            </w:r>
          </w:p>
        </w:tc>
        <w:tc>
          <w:tcPr>
            <w:tcW w:w="269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color w:val="auto"/>
                <w:sz w:val="24"/>
                <w:highlight w:val="none"/>
              </w:rPr>
            </w:pPr>
          </w:p>
        </w:tc>
        <w:tc>
          <w:tcPr>
            <w:tcW w:w="12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color w:val="auto"/>
                <w:sz w:val="24"/>
                <w:highlight w:val="none"/>
              </w:rPr>
            </w:pPr>
          </w:p>
        </w:tc>
        <w:tc>
          <w:tcPr>
            <w:tcW w:w="301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54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imes New Roman" w:hAnsi="Times New Roman" w:eastAsia="宋体" w:cs="Times New Roman"/>
                <w:color w:val="auto"/>
                <w:kern w:val="2"/>
                <w:sz w:val="24"/>
                <w:szCs w:val="24"/>
                <w:highlight w:val="none"/>
                <w:lang w:val="en-US" w:eastAsia="zh-CN" w:bidi="ar-SA"/>
              </w:rPr>
            </w:pPr>
            <w:r>
              <w:rPr>
                <w:rFonts w:hint="eastAsia"/>
                <w:color w:val="auto"/>
                <w:sz w:val="24"/>
                <w:highlight w:val="none"/>
              </w:rPr>
              <w:t>付款方式</w:t>
            </w:r>
          </w:p>
        </w:tc>
        <w:tc>
          <w:tcPr>
            <w:tcW w:w="269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color w:val="auto"/>
                <w:sz w:val="24"/>
                <w:highlight w:val="none"/>
              </w:rPr>
            </w:pPr>
          </w:p>
        </w:tc>
        <w:tc>
          <w:tcPr>
            <w:tcW w:w="12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color w:val="auto"/>
                <w:sz w:val="24"/>
                <w:highlight w:val="none"/>
              </w:rPr>
            </w:pPr>
          </w:p>
        </w:tc>
        <w:tc>
          <w:tcPr>
            <w:tcW w:w="301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54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宋体" w:cs="Times New Roman"/>
                <w:color w:val="auto"/>
                <w:kern w:val="2"/>
                <w:sz w:val="24"/>
                <w:szCs w:val="24"/>
                <w:highlight w:val="none"/>
                <w:lang w:val="en-US" w:eastAsia="zh-CN" w:bidi="ar-SA"/>
              </w:rPr>
            </w:pPr>
            <w:r>
              <w:rPr>
                <w:rFonts w:hint="eastAsia"/>
                <w:color w:val="auto"/>
                <w:sz w:val="24"/>
                <w:highlight w:val="none"/>
                <w:lang w:val="en-US" w:eastAsia="zh-CN"/>
              </w:rPr>
              <w:t>......</w:t>
            </w:r>
          </w:p>
        </w:tc>
        <w:tc>
          <w:tcPr>
            <w:tcW w:w="269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color w:val="auto"/>
                <w:sz w:val="24"/>
                <w:highlight w:val="none"/>
              </w:rPr>
            </w:pPr>
          </w:p>
        </w:tc>
        <w:tc>
          <w:tcPr>
            <w:tcW w:w="12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color w:val="auto"/>
                <w:sz w:val="24"/>
                <w:highlight w:val="none"/>
              </w:rPr>
            </w:pPr>
          </w:p>
        </w:tc>
        <w:tc>
          <w:tcPr>
            <w:tcW w:w="301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154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宋体" w:cs="Times New Roman"/>
                <w:color w:val="auto"/>
                <w:kern w:val="2"/>
                <w:sz w:val="24"/>
                <w:szCs w:val="24"/>
                <w:highlight w:val="none"/>
                <w:lang w:val="en-US" w:eastAsia="zh-CN" w:bidi="ar-SA"/>
              </w:rPr>
            </w:pPr>
            <w:r>
              <w:rPr>
                <w:rFonts w:hint="eastAsia"/>
                <w:color w:val="auto"/>
                <w:sz w:val="24"/>
                <w:highlight w:val="none"/>
                <w:lang w:val="en-US" w:eastAsia="zh-CN"/>
              </w:rPr>
              <w:t>......</w:t>
            </w:r>
          </w:p>
        </w:tc>
        <w:tc>
          <w:tcPr>
            <w:tcW w:w="269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color w:val="auto"/>
                <w:sz w:val="24"/>
                <w:highlight w:val="none"/>
              </w:rPr>
            </w:pPr>
          </w:p>
        </w:tc>
        <w:tc>
          <w:tcPr>
            <w:tcW w:w="12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color w:val="auto"/>
                <w:sz w:val="24"/>
                <w:highlight w:val="none"/>
              </w:rPr>
            </w:pPr>
          </w:p>
        </w:tc>
        <w:tc>
          <w:tcPr>
            <w:tcW w:w="301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color w:val="auto"/>
                <w:sz w:val="24"/>
                <w:highlight w:val="none"/>
              </w:rPr>
            </w:pPr>
          </w:p>
        </w:tc>
      </w:tr>
    </w:tbl>
    <w:p>
      <w:pPr>
        <w:widowControl/>
        <w:wordWrap w:val="0"/>
        <w:snapToGrid w:val="0"/>
        <w:spacing w:before="50" w:line="480" w:lineRule="auto"/>
        <w:jc w:val="left"/>
        <w:rPr>
          <w:rFonts w:ascii="仿宋_GB2312" w:cs="宋体"/>
          <w:color w:val="auto"/>
          <w:kern w:val="0"/>
          <w:sz w:val="24"/>
          <w:highlight w:val="none"/>
        </w:rPr>
      </w:pPr>
    </w:p>
    <w:p>
      <w:pPr>
        <w:widowControl/>
        <w:wordWrap w:val="0"/>
        <w:spacing w:line="460" w:lineRule="exact"/>
        <w:ind w:firstLine="2400" w:firstLineChars="10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 xml:space="preserve">投标人代表签字： </w:t>
      </w:r>
    </w:p>
    <w:p>
      <w:pPr>
        <w:widowControl/>
        <w:wordWrap w:val="0"/>
        <w:spacing w:line="460" w:lineRule="exact"/>
        <w:ind w:firstLine="2280" w:firstLineChars="950"/>
        <w:jc w:val="left"/>
        <w:rPr>
          <w:rFonts w:ascii="宋体" w:hAnsi="宋体" w:cs="宋体"/>
          <w:color w:val="auto"/>
          <w:kern w:val="0"/>
          <w:sz w:val="24"/>
          <w:highlight w:val="none"/>
          <w:u w:val="single"/>
        </w:rPr>
      </w:pPr>
      <w:r>
        <w:rPr>
          <w:rFonts w:hint="eastAsia" w:ascii="宋体" w:hAnsi="宋体" w:cs="宋体"/>
          <w:color w:val="auto"/>
          <w:kern w:val="0"/>
          <w:sz w:val="24"/>
          <w:highlight w:val="none"/>
        </w:rPr>
        <w:t xml:space="preserve"> 投标人：（全称并加盖公章）</w:t>
      </w:r>
    </w:p>
    <w:p>
      <w:pPr>
        <w:widowControl/>
        <w:wordWrap w:val="0"/>
        <w:snapToGrid w:val="0"/>
        <w:spacing w:before="156" w:after="156"/>
        <w:ind w:firstLine="420"/>
        <w:jc w:val="center"/>
        <w:rPr>
          <w:rFonts w:ascii="宋体" w:hAnsi="宋体" w:cs="宋体"/>
          <w:b/>
          <w:color w:val="auto"/>
          <w:kern w:val="0"/>
          <w:sz w:val="32"/>
          <w:szCs w:val="32"/>
          <w:highlight w:val="none"/>
        </w:rPr>
      </w:pPr>
      <w:r>
        <w:rPr>
          <w:rFonts w:hint="eastAsia" w:ascii="宋体" w:hAnsi="宋体" w:cs="宋体"/>
          <w:color w:val="auto"/>
          <w:kern w:val="0"/>
          <w:sz w:val="24"/>
          <w:highlight w:val="none"/>
        </w:rPr>
        <w:t>年    月    日</w:t>
      </w:r>
    </w:p>
    <w:p>
      <w:pPr>
        <w:widowControl/>
        <w:wordWrap w:val="0"/>
        <w:spacing w:line="460" w:lineRule="exact"/>
        <w:jc w:val="left"/>
        <w:rPr>
          <w:rFonts w:cs="宋体"/>
          <w:b/>
          <w:color w:val="auto"/>
          <w:kern w:val="0"/>
          <w:sz w:val="24"/>
          <w:highlight w:val="none"/>
        </w:rPr>
      </w:pPr>
    </w:p>
    <w:p>
      <w:pPr>
        <w:widowControl/>
        <w:wordWrap w:val="0"/>
        <w:spacing w:line="460" w:lineRule="exact"/>
        <w:jc w:val="left"/>
        <w:rPr>
          <w:rFonts w:cs="宋体"/>
          <w:b/>
          <w:color w:val="auto"/>
          <w:kern w:val="0"/>
          <w:sz w:val="24"/>
          <w:highlight w:val="none"/>
        </w:rPr>
      </w:pPr>
    </w:p>
    <w:p>
      <w:pPr>
        <w:rPr>
          <w:rFonts w:cs="宋体"/>
          <w:b/>
          <w:color w:val="auto"/>
          <w:kern w:val="0"/>
          <w:sz w:val="24"/>
          <w:highlight w:val="none"/>
        </w:rPr>
      </w:pPr>
      <w:r>
        <w:rPr>
          <w:rFonts w:cs="宋体"/>
          <w:b/>
          <w:color w:val="auto"/>
          <w:kern w:val="0"/>
          <w:sz w:val="24"/>
          <w:highlight w:val="none"/>
        </w:rPr>
        <w:br w:type="page"/>
      </w:r>
    </w:p>
    <w:p>
      <w:pPr>
        <w:pStyle w:val="30"/>
      </w:pPr>
    </w:p>
    <w:p>
      <w:pPr>
        <w:widowControl/>
        <w:wordWrap w:val="0"/>
        <w:spacing w:line="460" w:lineRule="exact"/>
        <w:jc w:val="left"/>
        <w:outlineLvl w:val="0"/>
        <w:rPr>
          <w:rFonts w:ascii="Arial" w:hAnsi="Arial" w:eastAsia="新宋体"/>
          <w:b/>
          <w:color w:val="auto"/>
          <w:sz w:val="28"/>
          <w:highlight w:val="none"/>
        </w:rPr>
      </w:pPr>
      <w:bookmarkStart w:id="80" w:name="_Toc31526"/>
      <w:bookmarkStart w:id="81" w:name="_Toc28621"/>
      <w:r>
        <w:rPr>
          <w:rFonts w:hint="eastAsia" w:ascii="Arial" w:hAnsi="Arial" w:eastAsia="新宋体"/>
          <w:b/>
          <w:color w:val="auto"/>
          <w:sz w:val="28"/>
          <w:highlight w:val="none"/>
        </w:rPr>
        <w:t>附件7               法定代表人身份证明（格式）</w:t>
      </w:r>
      <w:bookmarkEnd w:id="80"/>
      <w:bookmarkEnd w:id="81"/>
    </w:p>
    <w:p>
      <w:pPr>
        <w:widowControl/>
        <w:wordWrap w:val="0"/>
        <w:spacing w:line="460" w:lineRule="exact"/>
        <w:jc w:val="left"/>
        <w:rPr>
          <w:rFonts w:ascii="宋体" w:hAnsi="宋体" w:cs="宋体"/>
          <w:color w:val="auto"/>
          <w:kern w:val="0"/>
          <w:sz w:val="24"/>
          <w:highlight w:val="none"/>
        </w:rPr>
      </w:pPr>
    </w:p>
    <w:p>
      <w:pPr>
        <w:widowControl/>
        <w:wordWrap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投标人名称：</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地址：</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 w:val="24"/>
          <w:szCs w:val="20"/>
          <w:highlight w:val="none"/>
        </w:rPr>
      </w:pPr>
      <w:r>
        <w:rPr>
          <w:rFonts w:hint="eastAsia" w:ascii="宋体" w:hAnsi="宋体" w:cs="宋体"/>
          <w:color w:val="auto"/>
          <w:kern w:val="0"/>
          <w:sz w:val="24"/>
          <w:highlight w:val="none"/>
        </w:rPr>
        <w:t>成立时间：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szCs w:val="20"/>
          <w:highlight w:val="none"/>
        </w:rPr>
        <w:t>年</w:t>
      </w:r>
      <w:r>
        <w:rPr>
          <w:rFonts w:hint="eastAsia" w:ascii="宋体" w:hAnsi="宋体" w:cs="宋体"/>
          <w:color w:val="auto"/>
          <w:kern w:val="0"/>
          <w:sz w:val="24"/>
          <w:szCs w:val="20"/>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月</w:t>
      </w:r>
      <w:r>
        <w:rPr>
          <w:rFonts w:hint="eastAsia" w:ascii="宋体" w:hAnsi="宋体" w:cs="宋体"/>
          <w:color w:val="auto"/>
          <w:kern w:val="0"/>
          <w:sz w:val="24"/>
          <w:szCs w:val="20"/>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日</w:t>
      </w:r>
    </w:p>
    <w:p>
      <w:pPr>
        <w:widowControl/>
        <w:wordWrap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szCs w:val="20"/>
          <w:highlight w:val="none"/>
        </w:rPr>
        <w:t>经营期限：</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Cs w:val="21"/>
          <w:highlight w:val="none"/>
          <w:u w:val="single"/>
        </w:rPr>
      </w:pPr>
      <w:r>
        <w:rPr>
          <w:rFonts w:hint="eastAsia" w:ascii="宋体" w:hAnsi="宋体" w:cs="宋体"/>
          <w:color w:val="auto"/>
          <w:kern w:val="0"/>
          <w:sz w:val="24"/>
          <w:highlight w:val="none"/>
        </w:rPr>
        <w:t>姓名：</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szCs w:val="20"/>
          <w:highlight w:val="none"/>
        </w:rPr>
        <w:t>，性别：</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，年龄：</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，职务：</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系</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（投标人名称）的法定代表人。</w:t>
      </w:r>
    </w:p>
    <w:p>
      <w:pPr>
        <w:widowControl/>
        <w:wordWrap w:val="0"/>
        <w:spacing w:line="460" w:lineRule="exact"/>
        <w:jc w:val="left"/>
        <w:rPr>
          <w:rFonts w:ascii="宋体" w:hAnsi="宋体" w:cs="宋体"/>
          <w:color w:val="auto"/>
          <w:kern w:val="0"/>
          <w:sz w:val="24"/>
          <w:szCs w:val="20"/>
          <w:highlight w:val="none"/>
        </w:rPr>
      </w:pPr>
    </w:p>
    <w:p>
      <w:pPr>
        <w:widowControl/>
        <w:wordWrap w:val="0"/>
        <w:spacing w:line="460" w:lineRule="exact"/>
        <w:ind w:firstLine="480" w:firstLineChars="200"/>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特此证明。</w:t>
      </w:r>
    </w:p>
    <w:p>
      <w:pPr>
        <w:widowControl/>
        <w:wordWrap w:val="0"/>
        <w:spacing w:line="460" w:lineRule="exact"/>
        <w:jc w:val="left"/>
        <w:rPr>
          <w:rFonts w:ascii="宋体" w:hAnsi="宋体" w:cs="宋体"/>
          <w:color w:val="auto"/>
          <w:kern w:val="0"/>
          <w:sz w:val="24"/>
          <w:szCs w:val="20"/>
          <w:highlight w:val="none"/>
        </w:rPr>
      </w:pPr>
    </w:p>
    <w:p>
      <w:pPr>
        <w:widowControl/>
        <w:wordWrap w:val="0"/>
        <w:spacing w:beforeLines="100" w:afterLines="100" w:line="480" w:lineRule="exact"/>
        <w:jc w:val="center"/>
        <w:rPr>
          <w:rFonts w:ascii="宋体" w:hAnsi="宋体" w:cs="Lucida Sans Unicode"/>
          <w:b/>
          <w:color w:val="auto"/>
          <w:kern w:val="0"/>
          <w:sz w:val="36"/>
          <w:szCs w:val="36"/>
          <w:highlight w:val="none"/>
        </w:rPr>
      </w:pPr>
    </w:p>
    <w:tbl>
      <w:tblPr>
        <w:tblStyle w:val="33"/>
        <w:tblpPr w:leftFromText="180" w:rightFromText="180" w:topFromText="100" w:bottomFromText="100" w:vertAnchor="text" w:horzAnchor="page" w:tblpX="2773" w:tblpY="20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0" w:hRule="atLeast"/>
        </w:trPr>
        <w:tc>
          <w:tcPr>
            <w:tcW w:w="532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bCs/>
                <w:color w:val="auto"/>
                <w:kern w:val="0"/>
                <w:sz w:val="24"/>
                <w:highlight w:val="none"/>
              </w:rPr>
            </w:pPr>
            <w:r>
              <w:rPr>
                <w:rFonts w:hint="eastAsia" w:ascii="宋体" w:hAnsi="宋体" w:cs="Lucida Sans Unicode"/>
                <w:bCs/>
                <w:color w:val="auto"/>
                <w:kern w:val="0"/>
                <w:sz w:val="24"/>
                <w:highlight w:val="none"/>
              </w:rPr>
              <w:t>此处请粘贴法定代表人身份证复印件</w:t>
            </w:r>
          </w:p>
          <w:p>
            <w:pPr>
              <w:widowControl/>
              <w:spacing w:line="480" w:lineRule="exact"/>
              <w:jc w:val="left"/>
              <w:rPr>
                <w:rFonts w:ascii="仿宋_GB2312" w:hAnsi="Lucida Sans Unicode" w:eastAsia="仿宋_GB2312" w:cs="Lucida Sans Unicode"/>
                <w:color w:val="auto"/>
                <w:kern w:val="0"/>
                <w:sz w:val="24"/>
                <w:highlight w:val="none"/>
              </w:rPr>
            </w:pPr>
          </w:p>
          <w:p>
            <w:pPr>
              <w:widowControl/>
              <w:spacing w:line="480" w:lineRule="exact"/>
              <w:jc w:val="left"/>
              <w:rPr>
                <w:rFonts w:ascii="仿宋_GB2312" w:hAnsi="Lucida Sans Unicode" w:eastAsia="仿宋_GB2312" w:cs="Lucida Sans Unicode"/>
                <w:color w:val="auto"/>
                <w:kern w:val="0"/>
                <w:sz w:val="24"/>
                <w:highlight w:val="none"/>
              </w:rPr>
            </w:pPr>
          </w:p>
        </w:tc>
      </w:tr>
    </w:tbl>
    <w:p>
      <w:pPr>
        <w:widowControl/>
        <w:wordWrap w:val="0"/>
        <w:spacing w:beforeLines="100" w:afterLines="100" w:line="480" w:lineRule="exact"/>
        <w:jc w:val="center"/>
        <w:rPr>
          <w:rFonts w:ascii="宋体" w:hAnsi="宋体" w:cs="Lucida Sans Unicode"/>
          <w:b/>
          <w:color w:val="auto"/>
          <w:kern w:val="0"/>
          <w:sz w:val="24"/>
          <w:highlight w:val="none"/>
        </w:rPr>
      </w:pPr>
    </w:p>
    <w:p>
      <w:pPr>
        <w:widowControl/>
        <w:wordWrap w:val="0"/>
        <w:spacing w:beforeLines="100" w:afterLines="100" w:line="480" w:lineRule="exact"/>
        <w:jc w:val="center"/>
        <w:rPr>
          <w:rFonts w:ascii="Lucida Sans Unicode" w:hAnsi="Lucida Sans Unicode" w:cs="Lucida Sans Unicode"/>
          <w:b/>
          <w:color w:val="auto"/>
          <w:kern w:val="0"/>
          <w:sz w:val="36"/>
          <w:szCs w:val="36"/>
          <w:highlight w:val="none"/>
        </w:rPr>
      </w:pPr>
    </w:p>
    <w:p>
      <w:pPr>
        <w:widowControl/>
        <w:wordWrap w:val="0"/>
        <w:spacing w:beforeLines="100" w:afterLines="100" w:line="480" w:lineRule="exact"/>
        <w:jc w:val="center"/>
        <w:rPr>
          <w:rFonts w:ascii="Lucida Sans Unicode" w:hAnsi="Lucida Sans Unicode" w:cs="Lucida Sans Unicode"/>
          <w:b/>
          <w:color w:val="auto"/>
          <w:kern w:val="0"/>
          <w:sz w:val="36"/>
          <w:szCs w:val="36"/>
          <w:highlight w:val="none"/>
        </w:rPr>
      </w:pPr>
    </w:p>
    <w:p>
      <w:pPr>
        <w:widowControl/>
        <w:wordWrap w:val="0"/>
        <w:spacing w:line="480" w:lineRule="exact"/>
        <w:jc w:val="right"/>
        <w:rPr>
          <w:rFonts w:ascii="仿宋_GB2312" w:hAnsi="仿宋_GB2312" w:eastAsia="仿宋_GB2312" w:cs="Lucida Sans Unicode"/>
          <w:color w:val="auto"/>
          <w:kern w:val="0"/>
          <w:sz w:val="24"/>
          <w:highlight w:val="none"/>
        </w:rPr>
      </w:pPr>
    </w:p>
    <w:p>
      <w:pPr>
        <w:widowControl/>
        <w:wordWrap w:val="0"/>
        <w:spacing w:line="480" w:lineRule="exact"/>
        <w:jc w:val="right"/>
        <w:rPr>
          <w:rFonts w:ascii="仿宋_GB2312" w:hAnsi="仿宋_GB2312" w:eastAsia="仿宋_GB2312" w:cs="Lucida Sans Unicode"/>
          <w:color w:val="auto"/>
          <w:kern w:val="0"/>
          <w:sz w:val="24"/>
          <w:highlight w:val="none"/>
        </w:rPr>
      </w:pPr>
    </w:p>
    <w:p>
      <w:pPr>
        <w:widowControl/>
        <w:wordWrap w:val="0"/>
        <w:snapToGrid w:val="0"/>
        <w:spacing w:line="460" w:lineRule="exact"/>
        <w:ind w:firstLine="2760" w:firstLineChars="1150"/>
        <w:jc w:val="left"/>
        <w:rPr>
          <w:rFonts w:ascii="宋体" w:hAnsi="宋体" w:cs="宋体"/>
          <w:color w:val="auto"/>
          <w:kern w:val="0"/>
          <w:sz w:val="24"/>
          <w:highlight w:val="none"/>
        </w:rPr>
      </w:pPr>
      <w:r>
        <w:rPr>
          <w:rFonts w:hint="eastAsia" w:ascii="宋体" w:hAnsi="宋体" w:cs="宋体"/>
          <w:color w:val="auto"/>
          <w:kern w:val="0"/>
          <w:sz w:val="24"/>
          <w:highlight w:val="none"/>
        </w:rPr>
        <w:t>投标人：</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（全称并加盖公章）</w:t>
      </w:r>
    </w:p>
    <w:p>
      <w:pPr>
        <w:widowControl/>
        <w:wordWrap w:val="0"/>
        <w:spacing w:line="460" w:lineRule="exact"/>
        <w:ind w:left="3780" w:leftChars="1800"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年    月    日</w:t>
      </w:r>
    </w:p>
    <w:p>
      <w:pPr>
        <w:rPr>
          <w:color w:val="auto"/>
          <w:highlight w:val="none"/>
        </w:rPr>
      </w:pPr>
    </w:p>
    <w:p>
      <w:pPr>
        <w:rPr>
          <w:color w:val="auto"/>
          <w:highlight w:val="none"/>
        </w:rPr>
      </w:pPr>
      <w:r>
        <w:rPr>
          <w:color w:val="auto"/>
          <w:highlight w:val="none"/>
        </w:rPr>
        <w:br w:type="page"/>
      </w:r>
    </w:p>
    <w:p>
      <w:pPr>
        <w:pStyle w:val="51"/>
        <w:rPr>
          <w:color w:val="auto"/>
          <w:highlight w:val="none"/>
        </w:rPr>
      </w:pPr>
    </w:p>
    <w:p>
      <w:pPr>
        <w:widowControl/>
        <w:wordWrap w:val="0"/>
        <w:spacing w:line="460" w:lineRule="exact"/>
        <w:ind w:firstLine="365" w:firstLineChars="130"/>
        <w:jc w:val="left"/>
        <w:outlineLvl w:val="0"/>
        <w:rPr>
          <w:rFonts w:ascii="Arial" w:hAnsi="Arial" w:eastAsia="新宋体"/>
          <w:b/>
          <w:color w:val="auto"/>
          <w:sz w:val="28"/>
          <w:highlight w:val="none"/>
        </w:rPr>
      </w:pPr>
      <w:bookmarkStart w:id="82" w:name="_Toc13976"/>
      <w:bookmarkStart w:id="83" w:name="_Toc30519"/>
      <w:r>
        <w:rPr>
          <w:rFonts w:hint="eastAsia" w:ascii="Arial" w:hAnsi="Arial" w:eastAsia="新宋体"/>
          <w:b/>
          <w:color w:val="auto"/>
          <w:sz w:val="28"/>
          <w:highlight w:val="none"/>
        </w:rPr>
        <w:t>附件8               法定代表人授权书（格式）</w:t>
      </w:r>
      <w:bookmarkEnd w:id="82"/>
      <w:bookmarkEnd w:id="83"/>
    </w:p>
    <w:p>
      <w:pPr>
        <w:widowControl/>
        <w:tabs>
          <w:tab w:val="left" w:pos="420"/>
          <w:tab w:val="left" w:pos="2160"/>
        </w:tabs>
        <w:wordWrap w:val="0"/>
        <w:spacing w:line="460" w:lineRule="exact"/>
        <w:ind w:firstLine="480" w:firstLineChars="200"/>
        <w:jc w:val="left"/>
        <w:rPr>
          <w:rFonts w:ascii="宋体" w:hAnsi="宋体" w:cs="宋体"/>
          <w:color w:val="auto"/>
          <w:kern w:val="0"/>
          <w:sz w:val="24"/>
          <w:highlight w:val="none"/>
        </w:rPr>
      </w:pPr>
    </w:p>
    <w:p>
      <w:pPr>
        <w:widowControl/>
        <w:wordWrap w:val="0"/>
        <w:snapToGrid w:val="0"/>
        <w:spacing w:line="460" w:lineRule="exact"/>
        <w:jc w:val="left"/>
        <w:rPr>
          <w:rFonts w:ascii="宋体" w:hAnsi="宋体" w:cs="宋体"/>
          <w:b/>
          <w:bCs/>
          <w:color w:val="auto"/>
          <w:kern w:val="0"/>
          <w:sz w:val="24"/>
          <w:highlight w:val="none"/>
        </w:rPr>
      </w:pPr>
      <w:r>
        <w:rPr>
          <w:rFonts w:hint="eastAsia" w:ascii="宋体" w:hAnsi="宋体" w:cs="宋体"/>
          <w:bCs/>
          <w:color w:val="auto"/>
          <w:kern w:val="0"/>
          <w:sz w:val="24"/>
          <w:highlight w:val="none"/>
        </w:rPr>
        <w:t>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w:t>
      </w:r>
      <w:r>
        <w:rPr>
          <w:rFonts w:hint="eastAsia" w:ascii="宋体" w:hAnsi="宋体" w:cs="宋体"/>
          <w:color w:val="auto"/>
          <w:kern w:val="0"/>
          <w:sz w:val="24"/>
          <w:highlight w:val="none"/>
          <w:lang w:eastAsia="zh-CN"/>
        </w:rPr>
        <w:t>采购人</w:t>
      </w:r>
      <w:r>
        <w:rPr>
          <w:rFonts w:hint="eastAsia" w:ascii="宋体" w:hAnsi="宋体" w:cs="宋体"/>
          <w:color w:val="auto"/>
          <w:kern w:val="0"/>
          <w:sz w:val="24"/>
          <w:highlight w:val="none"/>
        </w:rPr>
        <w:t>名称）：</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（姓名）系</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 xml:space="preserve">（投标人名称）的法定代表人，现委托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（姓名）为我方代理人。代理人根据本授权，以我方的名义参加</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项目的投标活动，并代表我方全权办理针对上述项目的投标、开标、评标、签约等具体事务和签署相关文件。</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我方对代理人的签名负全部责任。在撤销授权的书面通知以前，本授权书一直有效。代理人在授权书有效期内签署的所有文件不因授权的撤销而失效。</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如果本次采购活动现场变更采购方式，本授权书有效。</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代理人无转委托权。</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委托期限：</w:t>
      </w:r>
    </w:p>
    <w:p>
      <w:pPr>
        <w:widowControl/>
        <w:wordWrap w:val="0"/>
        <w:snapToGrid w:val="0"/>
        <w:spacing w:line="460" w:lineRule="exact"/>
        <w:ind w:firstLine="480" w:firstLineChars="200"/>
        <w:jc w:val="left"/>
        <w:rPr>
          <w:rFonts w:ascii="宋体" w:hAnsi="宋体" w:cs="宋体"/>
          <w:color w:val="auto"/>
          <w:kern w:val="0"/>
          <w:sz w:val="24"/>
          <w:highlight w:val="none"/>
        </w:rPr>
      </w:pPr>
    </w:p>
    <w:p>
      <w:pPr>
        <w:widowControl/>
        <w:wordWrap w:val="0"/>
        <w:snapToGrid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委托代理人签名：             法定代表人签名：</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职务：                      职务：</w:t>
      </w:r>
    </w:p>
    <w:tbl>
      <w:tblPr>
        <w:tblStyle w:val="33"/>
        <w:tblpPr w:leftFromText="180" w:rightFromText="180" w:topFromText="100" w:bottomFromText="100" w:vertAnchor="text" w:horzAnchor="page" w:tblpX="2551" w:tblpY="9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2" w:hRule="atLeast"/>
        </w:trPr>
        <w:tc>
          <w:tcPr>
            <w:tcW w:w="550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color w:val="auto"/>
                <w:kern w:val="0"/>
                <w:sz w:val="24"/>
                <w:highlight w:val="none"/>
              </w:rPr>
            </w:pPr>
            <w:r>
              <w:rPr>
                <w:rFonts w:hint="eastAsia" w:ascii="宋体" w:hAnsi="宋体" w:cs="Lucida Sans Unicode"/>
                <w:bCs/>
                <w:color w:val="auto"/>
                <w:kern w:val="0"/>
                <w:sz w:val="24"/>
                <w:highlight w:val="none"/>
              </w:rPr>
              <w:t>此处请粘贴</w:t>
            </w:r>
            <w:r>
              <w:rPr>
                <w:rFonts w:hint="eastAsia" w:ascii="宋体" w:hAnsi="宋体" w:cs="宋体"/>
                <w:color w:val="auto"/>
                <w:kern w:val="0"/>
                <w:sz w:val="24"/>
                <w:highlight w:val="none"/>
              </w:rPr>
              <w:t>委托代理人</w:t>
            </w:r>
            <w:r>
              <w:rPr>
                <w:rFonts w:hint="eastAsia" w:ascii="宋体" w:hAnsi="宋体" w:cs="Lucida Sans Unicode"/>
                <w:bCs/>
                <w:color w:val="auto"/>
                <w:kern w:val="0"/>
                <w:sz w:val="24"/>
                <w:highlight w:val="none"/>
              </w:rPr>
              <w:t>身份证复印件</w:t>
            </w:r>
          </w:p>
        </w:tc>
      </w:tr>
    </w:tbl>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委托代理人身份证号码：</w:t>
      </w:r>
    </w:p>
    <w:p>
      <w:pPr>
        <w:widowControl/>
        <w:wordWrap w:val="0"/>
        <w:spacing w:line="460" w:lineRule="exact"/>
        <w:ind w:firstLine="4800" w:firstLineChars="2000"/>
        <w:jc w:val="left"/>
        <w:rPr>
          <w:rFonts w:ascii="仿宋_GB2312" w:hAnsi="Lucida Sans Unicode" w:eastAsia="仿宋_GB2312" w:cs="Lucida Sans Unicode"/>
          <w:color w:val="auto"/>
          <w:kern w:val="0"/>
          <w:sz w:val="24"/>
          <w:highlight w:val="none"/>
        </w:rPr>
      </w:pPr>
    </w:p>
    <w:p>
      <w:pPr>
        <w:widowControl/>
        <w:wordWrap w:val="0"/>
        <w:spacing w:line="360" w:lineRule="auto"/>
        <w:jc w:val="center"/>
        <w:rPr>
          <w:rFonts w:ascii="仿宋_GB2312" w:hAnsi="Lucida Sans Unicode" w:eastAsia="仿宋_GB2312" w:cs="Lucida Sans Unicode"/>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投标人：</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（全称并加盖公章）</w:t>
      </w:r>
    </w:p>
    <w:p>
      <w:pPr>
        <w:widowControl/>
        <w:wordWrap w:val="0"/>
        <w:spacing w:line="460" w:lineRule="exact"/>
        <w:ind w:firstLine="3840" w:firstLineChars="1600"/>
        <w:jc w:val="left"/>
        <w:rPr>
          <w:rFonts w:ascii="宋体" w:hAnsi="宋体" w:cs="宋体"/>
          <w:b/>
          <w:color w:val="auto"/>
          <w:kern w:val="0"/>
          <w:sz w:val="32"/>
          <w:szCs w:val="32"/>
          <w:highlight w:val="none"/>
        </w:rPr>
      </w:pPr>
      <w:r>
        <w:rPr>
          <w:rFonts w:hint="eastAsia" w:ascii="宋体" w:hAnsi="宋体" w:cs="宋体"/>
          <w:color w:val="auto"/>
          <w:kern w:val="0"/>
          <w:sz w:val="24"/>
          <w:highlight w:val="none"/>
        </w:rPr>
        <w:t>年    月    日</w:t>
      </w:r>
    </w:p>
    <w:p>
      <w:pPr>
        <w:widowControl/>
        <w:spacing w:line="360" w:lineRule="auto"/>
        <w:ind w:firstLine="7228" w:firstLineChars="2250"/>
        <w:jc w:val="left"/>
        <w:rPr>
          <w:rFonts w:ascii="宋体" w:hAnsi="宋体" w:cs="宋体"/>
          <w:b/>
          <w:color w:val="auto"/>
          <w:kern w:val="0"/>
          <w:sz w:val="32"/>
          <w:szCs w:val="32"/>
          <w:highlight w:val="none"/>
        </w:rPr>
      </w:pPr>
    </w:p>
    <w:p>
      <w:pPr>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widowControl/>
        <w:snapToGrid w:val="0"/>
        <w:spacing w:before="156" w:after="156" w:line="360" w:lineRule="auto"/>
        <w:jc w:val="left"/>
        <w:rPr>
          <w:rFonts w:ascii="宋体" w:hAnsi="宋体" w:cs="宋体"/>
          <w:b/>
          <w:color w:val="auto"/>
          <w:kern w:val="0"/>
          <w:sz w:val="24"/>
          <w:highlight w:val="none"/>
        </w:rPr>
      </w:pPr>
    </w:p>
    <w:p>
      <w:pPr>
        <w:widowControl/>
        <w:snapToGrid w:val="0"/>
        <w:spacing w:before="156" w:after="156" w:line="360" w:lineRule="auto"/>
        <w:jc w:val="left"/>
        <w:outlineLvl w:val="0"/>
        <w:rPr>
          <w:rFonts w:ascii="宋体" w:hAnsi="宋体" w:cs="宋体"/>
          <w:b/>
          <w:color w:val="auto"/>
          <w:kern w:val="0"/>
          <w:sz w:val="24"/>
          <w:highlight w:val="none"/>
        </w:rPr>
      </w:pPr>
      <w:bookmarkStart w:id="84" w:name="_Toc24693"/>
      <w:bookmarkStart w:id="85" w:name="_Toc18105"/>
      <w:r>
        <w:rPr>
          <w:rFonts w:hint="eastAsia" w:ascii="Arial" w:hAnsi="Arial" w:eastAsia="新宋体"/>
          <w:b/>
          <w:color w:val="auto"/>
          <w:sz w:val="28"/>
          <w:highlight w:val="none"/>
        </w:rPr>
        <w:t>附件9               证明文件</w:t>
      </w:r>
      <w:bookmarkEnd w:id="84"/>
      <w:bookmarkEnd w:id="85"/>
    </w:p>
    <w:p>
      <w:pPr>
        <w:pStyle w:val="7"/>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9.1</w:t>
      </w:r>
      <w:r>
        <w:rPr>
          <w:rFonts w:hint="eastAsia"/>
          <w:bCs/>
          <w:color w:val="auto"/>
          <w:sz w:val="21"/>
          <w:szCs w:val="21"/>
          <w:highlight w:val="none"/>
          <w:lang w:val="en-US" w:eastAsia="zh-CN"/>
        </w:rPr>
        <w:t xml:space="preserve"> </w:t>
      </w:r>
      <w:r>
        <w:rPr>
          <w:rFonts w:hint="eastAsia"/>
          <w:bCs/>
          <w:color w:val="auto"/>
          <w:sz w:val="21"/>
          <w:szCs w:val="21"/>
          <w:highlight w:val="none"/>
        </w:rPr>
        <w:t>资格审查资料</w:t>
      </w:r>
    </w:p>
    <w:p>
      <w:pPr>
        <w:pStyle w:val="7"/>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9.2</w:t>
      </w:r>
      <w:r>
        <w:rPr>
          <w:rFonts w:hint="eastAsia"/>
          <w:bCs/>
          <w:color w:val="auto"/>
          <w:sz w:val="21"/>
          <w:szCs w:val="21"/>
          <w:highlight w:val="none"/>
          <w:lang w:val="en-US" w:eastAsia="zh-CN"/>
        </w:rPr>
        <w:t xml:space="preserve"> </w:t>
      </w:r>
      <w:r>
        <w:rPr>
          <w:rFonts w:hint="eastAsia"/>
          <w:bCs/>
          <w:color w:val="auto"/>
          <w:sz w:val="21"/>
          <w:szCs w:val="21"/>
          <w:highlight w:val="none"/>
        </w:rPr>
        <w:t>技术方案</w:t>
      </w:r>
    </w:p>
    <w:p>
      <w:pPr>
        <w:pStyle w:val="7"/>
        <w:spacing w:beforeAutospacing="0" w:afterAutospacing="0" w:line="480" w:lineRule="auto"/>
        <w:ind w:firstLine="470" w:firstLineChars="224"/>
        <w:jc w:val="both"/>
        <w:rPr>
          <w:rFonts w:hint="eastAsia"/>
          <w:bCs/>
          <w:color w:val="auto"/>
          <w:sz w:val="21"/>
          <w:szCs w:val="21"/>
          <w:highlight w:val="none"/>
        </w:rPr>
      </w:pPr>
      <w:r>
        <w:rPr>
          <w:rFonts w:hint="eastAsia"/>
          <w:bCs/>
          <w:color w:val="auto"/>
          <w:sz w:val="21"/>
          <w:szCs w:val="21"/>
          <w:highlight w:val="none"/>
        </w:rPr>
        <w:t>9.3</w:t>
      </w:r>
      <w:r>
        <w:rPr>
          <w:rFonts w:hint="eastAsia"/>
          <w:bCs/>
          <w:color w:val="auto"/>
          <w:sz w:val="21"/>
          <w:szCs w:val="21"/>
          <w:highlight w:val="none"/>
          <w:lang w:val="en-US" w:eastAsia="zh-CN"/>
        </w:rPr>
        <w:t xml:space="preserve"> </w:t>
      </w:r>
      <w:r>
        <w:rPr>
          <w:rFonts w:hint="eastAsia"/>
          <w:bCs/>
          <w:color w:val="auto"/>
          <w:sz w:val="21"/>
          <w:szCs w:val="21"/>
          <w:highlight w:val="none"/>
        </w:rPr>
        <w:t>其他需要提供的证明材料</w:t>
      </w:r>
      <w:bookmarkStart w:id="86" w:name="_Toc17966"/>
    </w:p>
    <w:p>
      <w:pPr>
        <w:pStyle w:val="7"/>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w:t>
      </w:r>
      <w:r>
        <w:rPr>
          <w:rFonts w:hint="eastAsia"/>
          <w:bCs/>
          <w:color w:val="auto"/>
          <w:sz w:val="21"/>
          <w:szCs w:val="21"/>
          <w:highlight w:val="none"/>
          <w:lang w:val="en-US" w:eastAsia="zh-CN"/>
        </w:rPr>
        <w:t xml:space="preserve">4 </w:t>
      </w:r>
      <w:r>
        <w:rPr>
          <w:rFonts w:hint="eastAsia"/>
          <w:bCs/>
          <w:color w:val="auto"/>
          <w:sz w:val="21"/>
          <w:szCs w:val="21"/>
          <w:highlight w:val="none"/>
        </w:rPr>
        <w:t>其他证明材料。</w:t>
      </w:r>
    </w:p>
    <w:p>
      <w:pPr>
        <w:pStyle w:val="7"/>
        <w:spacing w:beforeAutospacing="0" w:afterAutospacing="0" w:line="480" w:lineRule="auto"/>
        <w:ind w:firstLine="540" w:firstLineChars="224"/>
        <w:jc w:val="both"/>
        <w:rPr>
          <w:b/>
          <w:bCs/>
          <w:color w:val="auto"/>
          <w:highlight w:val="none"/>
        </w:rPr>
      </w:pPr>
    </w:p>
    <w:p>
      <w:pPr>
        <w:rPr>
          <w:b/>
          <w:bCs/>
          <w:color w:val="auto"/>
          <w:highlight w:val="none"/>
        </w:rPr>
      </w:pPr>
      <w:r>
        <w:rPr>
          <w:b/>
          <w:bCs/>
          <w:color w:val="auto"/>
          <w:highlight w:val="none"/>
        </w:rPr>
        <w:br w:type="page"/>
      </w:r>
    </w:p>
    <w:p>
      <w:pPr>
        <w:pStyle w:val="7"/>
        <w:spacing w:beforeAutospacing="0" w:afterAutospacing="0" w:line="480" w:lineRule="auto"/>
        <w:ind w:firstLine="540" w:firstLineChars="224"/>
        <w:jc w:val="both"/>
        <w:rPr>
          <w:b/>
          <w:bCs/>
          <w:color w:val="auto"/>
          <w:highlight w:val="none"/>
        </w:rPr>
      </w:pPr>
    </w:p>
    <w:p>
      <w:pPr>
        <w:widowControl/>
        <w:snapToGrid w:val="0"/>
        <w:spacing w:line="360" w:lineRule="auto"/>
        <w:jc w:val="center"/>
        <w:outlineLvl w:val="0"/>
        <w:rPr>
          <w:rFonts w:ascii="宋体" w:hAnsi="宋体" w:cs="宋体"/>
          <w:b/>
          <w:color w:val="auto"/>
          <w:kern w:val="0"/>
          <w:sz w:val="28"/>
          <w:szCs w:val="28"/>
          <w:highlight w:val="none"/>
        </w:rPr>
      </w:pPr>
      <w:bookmarkStart w:id="87" w:name="_Toc12888"/>
      <w:bookmarkStart w:id="88" w:name="_Toc13726"/>
      <w:r>
        <w:rPr>
          <w:rFonts w:hint="eastAsia" w:ascii="宋体" w:hAnsi="宋体" w:cs="Lucida Sans Unicode"/>
          <w:b/>
          <w:color w:val="auto"/>
          <w:kern w:val="0"/>
          <w:sz w:val="28"/>
          <w:szCs w:val="28"/>
          <w:highlight w:val="none"/>
        </w:rPr>
        <w:t xml:space="preserve">附件10        </w:t>
      </w:r>
      <w:bookmarkEnd w:id="86"/>
      <w:r>
        <w:rPr>
          <w:rFonts w:hint="eastAsia" w:ascii="宋体" w:hAnsi="宋体" w:cs="Lucida Sans Unicode"/>
          <w:b/>
          <w:color w:val="auto"/>
          <w:kern w:val="0"/>
          <w:sz w:val="28"/>
          <w:szCs w:val="28"/>
          <w:highlight w:val="none"/>
        </w:rPr>
        <w:t>供 应 商 承 诺 书</w:t>
      </w:r>
      <w:r>
        <w:rPr>
          <w:rFonts w:hint="eastAsia" w:ascii="宋体" w:hAnsi="宋体" w:cs="Lucida Sans Unicode"/>
          <w:b/>
          <w:color w:val="auto"/>
          <w:kern w:val="0"/>
          <w:sz w:val="28"/>
          <w:szCs w:val="28"/>
          <w:highlight w:val="none"/>
          <w:lang w:val="en-US" w:eastAsia="zh-CN"/>
        </w:rPr>
        <w:t xml:space="preserve"> </w:t>
      </w:r>
      <w:r>
        <w:rPr>
          <w:rFonts w:hint="eastAsia" w:ascii="宋体" w:hAnsi="宋体" w:cs="宋体"/>
          <w:color w:val="auto"/>
          <w:kern w:val="0"/>
          <w:sz w:val="28"/>
          <w:szCs w:val="28"/>
          <w:highlight w:val="none"/>
        </w:rPr>
        <w:t>（格式）</w:t>
      </w:r>
      <w:bookmarkEnd w:id="87"/>
      <w:bookmarkEnd w:id="88"/>
    </w:p>
    <w:p>
      <w:pPr>
        <w:bidi w:val="0"/>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我院（以下简称甲方）组织的本次采购，在遵守《招标投标法》、《政府采购法》、《合同法》、《反不正当竞争法》和《关于推进招投标监督领域诚信建设的意见》等法律法规的基础上，要求贵方（以下简称乙方）做出如下承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1、遵循公开、公平、公正和诚实信用的原则自愿参加，所提供的一切材料真实、有效、合法。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2、遵守甲方采购纪律，诚实守信地为甲方提供安全可靠的产品、服务及相关技术，保证质量并主动做好售后服务工作。</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3、杜绝利用提供财物或给予其他不正当利益谋取中标的不良行为。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4、不发生其他任何可能影响甲方工作人员公正执行公务或者职务廉洁的行为。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5、不参与串标、围标或其他不正当竞争行为；杜绝以虚报资质、业绩或其他弄虚作假等方式骗取中标。</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6、响应时，杜绝擅自修改采购文件或技术标准（包括差异表）技术配置的行为。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7、严格按照采购、投标文件要求签订合同，不违反法律无故拒签合同，不签订背离合同（或技术协议书）实质性内容的协议。</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sz w:val="24"/>
          <w:szCs w:val="24"/>
        </w:rPr>
      </w:pPr>
      <w:r>
        <w:rPr>
          <w:rFonts w:hint="eastAsia" w:ascii="宋体" w:hAnsi="宋体" w:eastAsia="宋体" w:cs="宋体"/>
          <w:sz w:val="24"/>
          <w:szCs w:val="24"/>
        </w:rPr>
        <w:t>投标人（</w:t>
      </w:r>
      <w:r>
        <w:rPr>
          <w:rFonts w:hint="eastAsia" w:ascii="宋体" w:hAnsi="宋体" w:eastAsia="宋体" w:cs="宋体"/>
          <w:sz w:val="24"/>
          <w:szCs w:val="24"/>
          <w:lang w:val="en-US" w:eastAsia="zh-CN"/>
        </w:rPr>
        <w:t>公司名称</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sz w:val="28"/>
          <w:szCs w:val="28"/>
        </w:rPr>
      </w:pPr>
      <w:r>
        <w:rPr>
          <w:rFonts w:hint="eastAsia" w:ascii="宋体" w:hAnsi="宋体" w:eastAsia="宋体" w:cs="宋体"/>
          <w:sz w:val="24"/>
          <w:szCs w:val="24"/>
        </w:rPr>
        <w:t>法定代表人或委托人（签字）：                   年   月   日</w:t>
      </w:r>
    </w:p>
    <w:p>
      <w:pPr>
        <w:widowControl/>
        <w:spacing w:line="360" w:lineRule="auto"/>
        <w:ind w:firstLine="4305" w:firstLineChars="2050"/>
        <w:jc w:val="left"/>
        <w:rPr>
          <w:rFonts w:ascii="宋体" w:hAnsi="宋体" w:cs="宋体"/>
          <w:color w:val="auto"/>
          <w:kern w:val="0"/>
          <w:szCs w:val="21"/>
          <w:highlight w:val="none"/>
        </w:rPr>
      </w:pPr>
    </w:p>
    <w:p>
      <w:pPr>
        <w:spacing w:line="360" w:lineRule="auto"/>
        <w:rPr>
          <w:color w:val="auto"/>
          <w:highlight w:val="none"/>
        </w:rPr>
      </w:pPr>
    </w:p>
    <w:p>
      <w:pPr>
        <w:rPr>
          <w:color w:val="auto"/>
          <w:highlight w:val="none"/>
        </w:rPr>
      </w:pPr>
      <w:r>
        <w:rPr>
          <w:color w:val="auto"/>
          <w:highlight w:val="none"/>
        </w:rPr>
        <w:br w:type="page"/>
      </w:r>
    </w:p>
    <w:p>
      <w:pPr>
        <w:bidi w:val="0"/>
        <w:rPr>
          <w:rFonts w:hint="eastAsia"/>
          <w:lang w:val="en-US" w:eastAsia="zh-CN"/>
        </w:rPr>
      </w:pPr>
    </w:p>
    <w:p>
      <w:pPr>
        <w:widowControl/>
        <w:snapToGrid w:val="0"/>
        <w:spacing w:line="360" w:lineRule="auto"/>
        <w:jc w:val="left"/>
        <w:outlineLvl w:val="0"/>
        <w:rPr>
          <w:rFonts w:hint="eastAsia" w:ascii="宋体" w:hAnsi="宋体" w:cs="Lucida Sans Unicode"/>
          <w:b/>
          <w:color w:val="auto"/>
          <w:kern w:val="0"/>
          <w:sz w:val="24"/>
          <w:highlight w:val="none"/>
        </w:rPr>
      </w:pPr>
      <w:r>
        <w:rPr>
          <w:rFonts w:hint="eastAsia" w:ascii="宋体" w:hAnsi="宋体" w:cs="Lucida Sans Unicode"/>
          <w:b/>
          <w:color w:val="auto"/>
          <w:kern w:val="0"/>
          <w:sz w:val="24"/>
          <w:highlight w:val="none"/>
          <w:lang w:val="en-US" w:eastAsia="zh-CN"/>
        </w:rPr>
        <w:t xml:space="preserve">附件11                        </w:t>
      </w:r>
      <w:r>
        <w:rPr>
          <w:rFonts w:hint="eastAsia" w:ascii="宋体" w:hAnsi="宋体" w:cs="Lucida Sans Unicode"/>
          <w:b/>
          <w:color w:val="auto"/>
          <w:kern w:val="0"/>
          <w:sz w:val="24"/>
          <w:highlight w:val="none"/>
        </w:rPr>
        <w:t>采购项目承诺书</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致：（采购人）</w:t>
      </w:r>
    </w:p>
    <w:p>
      <w:pPr>
        <w:spacing w:line="360" w:lineRule="auto"/>
        <w:ind w:firstLine="210" w:firstLineChars="100"/>
        <w:rPr>
          <w:rFonts w:hint="eastAsia" w:ascii="宋体" w:hAnsi="宋体" w:eastAsia="宋体" w:cs="宋体"/>
          <w:color w:val="auto"/>
          <w:highlight w:val="none"/>
        </w:rPr>
      </w:pPr>
      <w:r>
        <w:rPr>
          <w:rFonts w:hint="eastAsia" w:ascii="宋体" w:hAnsi="宋体" w:eastAsia="宋体" w:cs="宋体"/>
          <w:color w:val="auto"/>
          <w:highlight w:val="none"/>
        </w:rPr>
        <w:t>本承诺书作为我方参加</w:t>
      </w:r>
      <w:r>
        <w:rPr>
          <w:rFonts w:hint="eastAsia" w:ascii="宋体" w:hAnsi="宋体" w:eastAsia="宋体" w:cs="宋体"/>
          <w:color w:val="auto"/>
          <w:highlight w:val="none"/>
          <w:lang w:eastAsia="zh-CN"/>
        </w:rPr>
        <w:t>本次招标</w:t>
      </w:r>
      <w:r>
        <w:rPr>
          <w:rFonts w:hint="eastAsia" w:ascii="宋体" w:hAnsi="宋体" w:eastAsia="宋体" w:cs="宋体"/>
          <w:color w:val="auto"/>
          <w:highlight w:val="none"/>
        </w:rPr>
        <w:t>采购项目投标文件不可分割的一部分。我方参加本次投标特郑重做出如下承诺：</w:t>
      </w:r>
    </w:p>
    <w:p>
      <w:pPr>
        <w:spacing w:line="360" w:lineRule="auto"/>
        <w:ind w:firstLine="210" w:firstLineChars="100"/>
        <w:rPr>
          <w:rFonts w:hint="eastAsia" w:ascii="宋体" w:hAnsi="宋体" w:eastAsia="宋体" w:cs="宋体"/>
          <w:color w:val="auto"/>
          <w:highlight w:val="none"/>
        </w:rPr>
      </w:pPr>
      <w:r>
        <w:rPr>
          <w:rFonts w:hint="eastAsia" w:ascii="宋体" w:hAnsi="宋体" w:eastAsia="宋体" w:cs="宋体"/>
          <w:color w:val="auto"/>
          <w:highlight w:val="none"/>
        </w:rPr>
        <w:t>1．我方已经过详细市场调查，本次所投报产品货源充足，保证不会出现无货、断货现象。</w:t>
      </w:r>
    </w:p>
    <w:p>
      <w:pPr>
        <w:spacing w:line="360" w:lineRule="auto"/>
        <w:ind w:firstLine="210" w:firstLineChars="100"/>
        <w:rPr>
          <w:rFonts w:hint="eastAsia" w:ascii="宋体" w:hAnsi="宋体" w:eastAsia="宋体" w:cs="宋体"/>
          <w:color w:val="auto"/>
          <w:highlight w:val="none"/>
        </w:rPr>
      </w:pPr>
      <w:r>
        <w:rPr>
          <w:rFonts w:hint="eastAsia" w:ascii="宋体" w:hAnsi="宋体" w:eastAsia="宋体" w:cs="宋体"/>
          <w:color w:val="auto"/>
          <w:highlight w:val="none"/>
        </w:rPr>
        <w:t>2．我方将严格履行采购文件中规定的每一项要求，按所投产品的品牌、型号及约定的交货（完工）期保质、保量提供货物和相关服务，保证所提供的所有产品均符合国家相关标准规范或强制性规定，所供产品均为原厂生产的合格产品、符合采购文件各项技术参数要求的规定，绝不提供假冒伪劣产品，如需要我方可以提供相关出厂合格证明或测试报告；</w:t>
      </w:r>
    </w:p>
    <w:p>
      <w:pPr>
        <w:spacing w:line="360" w:lineRule="auto"/>
        <w:ind w:firstLine="210" w:firstLineChars="100"/>
        <w:rPr>
          <w:rFonts w:hint="eastAsia" w:ascii="宋体" w:hAnsi="宋体" w:eastAsia="宋体" w:cs="宋体"/>
          <w:color w:val="auto"/>
          <w:highlight w:val="none"/>
        </w:rPr>
      </w:pPr>
      <w:r>
        <w:rPr>
          <w:rFonts w:hint="eastAsia" w:ascii="宋体" w:hAnsi="宋体" w:eastAsia="宋体" w:cs="宋体"/>
          <w:color w:val="auto"/>
          <w:highlight w:val="none"/>
        </w:rPr>
        <w:t>3．如无法按我方承诺期限如期供货，我方愿接受</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扣除本项目履约保证金的处理,对</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造成损失的,我方愿承担相应赔偿责任；</w:t>
      </w:r>
    </w:p>
    <w:p>
      <w:pPr>
        <w:spacing w:line="360" w:lineRule="auto"/>
        <w:ind w:firstLine="210" w:firstLineChars="100"/>
        <w:rPr>
          <w:rFonts w:hint="eastAsia" w:ascii="宋体" w:hAnsi="宋体" w:eastAsia="宋体" w:cs="宋体"/>
          <w:color w:val="auto"/>
          <w:highlight w:val="none"/>
        </w:rPr>
      </w:pPr>
      <w:r>
        <w:rPr>
          <w:rFonts w:hint="eastAsia" w:ascii="宋体" w:hAnsi="宋体" w:eastAsia="宋体" w:cs="宋体"/>
          <w:color w:val="auto"/>
          <w:highlight w:val="none"/>
        </w:rPr>
        <w:t>4．</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验收时如发现我方所供产品与投标文件中所承诺的产品型号、规格、技术参数要求不符的，我方将立即无条件更换。如因此造成交货期超出我方承诺期限的，我方接受</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扣除履约保证金的处理，同时愿承担合同约定的违约责任；</w:t>
      </w:r>
    </w:p>
    <w:p>
      <w:pPr>
        <w:spacing w:line="360" w:lineRule="auto"/>
        <w:ind w:firstLine="210" w:firstLineChars="100"/>
        <w:rPr>
          <w:rFonts w:hint="eastAsia" w:ascii="宋体" w:hAnsi="宋体" w:eastAsia="宋体" w:cs="宋体"/>
          <w:color w:val="auto"/>
          <w:highlight w:val="none"/>
        </w:rPr>
      </w:pPr>
      <w:r>
        <w:rPr>
          <w:rFonts w:hint="eastAsia" w:ascii="宋体" w:hAnsi="宋体" w:eastAsia="宋体" w:cs="宋体"/>
          <w:color w:val="auto"/>
          <w:highlight w:val="none"/>
        </w:rPr>
        <w:t>5．我方提供的产品如不能满足采购文件要求的，</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有权拒绝接收；</w:t>
      </w:r>
    </w:p>
    <w:p>
      <w:pPr>
        <w:spacing w:line="360" w:lineRule="auto"/>
        <w:ind w:firstLine="210" w:firstLineChars="100"/>
        <w:rPr>
          <w:rFonts w:hint="eastAsia" w:ascii="宋体" w:hAnsi="宋体" w:eastAsia="宋体" w:cs="宋体"/>
          <w:color w:val="auto"/>
          <w:highlight w:val="none"/>
        </w:rPr>
      </w:pPr>
      <w:r>
        <w:rPr>
          <w:rFonts w:hint="eastAsia" w:ascii="宋体" w:hAnsi="宋体" w:eastAsia="宋体" w:cs="宋体"/>
          <w:color w:val="auto"/>
          <w:highlight w:val="none"/>
        </w:rPr>
        <w:t>6．如评标委员会确定我方为本项目的中标（成交）候选人或中标人，在公示期内或领取中标（成交）通知书后，我方无正当理由（如自身报价失误、无法组织及时供货、资金不到位、账户无法正常使用等）放弃中标（成交）候选人资格或中标资格，我方愿接受财政部门做出的</w:t>
      </w:r>
      <w:r>
        <w:rPr>
          <w:rFonts w:hint="eastAsia" w:ascii="宋体" w:hAnsi="宋体" w:eastAsia="宋体" w:cs="宋体"/>
          <w:color w:val="auto"/>
          <w:highlight w:val="none"/>
          <w:lang w:val="en-US" w:eastAsia="zh-CN"/>
        </w:rPr>
        <w:t>处罚决定</w:t>
      </w:r>
      <w:r>
        <w:rPr>
          <w:rFonts w:hint="eastAsia" w:ascii="宋体" w:hAnsi="宋体" w:eastAsia="宋体" w:cs="宋体"/>
          <w:color w:val="auto"/>
          <w:highlight w:val="none"/>
        </w:rPr>
        <w:t>；</w:t>
      </w:r>
    </w:p>
    <w:p>
      <w:pPr>
        <w:spacing w:line="360" w:lineRule="auto"/>
        <w:ind w:firstLine="210" w:firstLineChars="100"/>
        <w:rPr>
          <w:rFonts w:hint="eastAsia" w:ascii="宋体" w:hAnsi="宋体" w:eastAsia="宋体" w:cs="宋体"/>
          <w:color w:val="auto"/>
          <w:highlight w:val="none"/>
        </w:rPr>
      </w:pPr>
      <w:r>
        <w:rPr>
          <w:rFonts w:hint="eastAsia" w:ascii="宋体" w:hAnsi="宋体" w:eastAsia="宋体" w:cs="宋体"/>
          <w:color w:val="auto"/>
          <w:highlight w:val="none"/>
        </w:rPr>
        <w:t>7．我方已详细阅读了本</w:t>
      </w:r>
      <w:r>
        <w:rPr>
          <w:rFonts w:hint="eastAsia" w:ascii="宋体" w:hAnsi="宋体" w:cs="宋体"/>
          <w:color w:val="auto"/>
          <w:highlight w:val="none"/>
          <w:lang w:val="en-US" w:eastAsia="zh-CN"/>
        </w:rPr>
        <w:t>采购</w:t>
      </w:r>
      <w:r>
        <w:rPr>
          <w:rFonts w:hint="eastAsia" w:ascii="宋体" w:hAnsi="宋体" w:eastAsia="宋体" w:cs="宋体"/>
          <w:color w:val="auto"/>
          <w:highlight w:val="none"/>
        </w:rPr>
        <w:t>文件，保证可以完全响应</w:t>
      </w:r>
      <w:r>
        <w:rPr>
          <w:rFonts w:hint="eastAsia" w:ascii="宋体" w:hAnsi="宋体" w:cs="宋体"/>
          <w:color w:val="auto"/>
          <w:highlight w:val="none"/>
          <w:lang w:val="en-US" w:eastAsia="zh-CN"/>
        </w:rPr>
        <w:t>采购</w:t>
      </w:r>
      <w:r>
        <w:rPr>
          <w:rFonts w:hint="eastAsia" w:ascii="宋体" w:hAnsi="宋体" w:eastAsia="宋体" w:cs="宋体"/>
          <w:color w:val="auto"/>
          <w:highlight w:val="none"/>
        </w:rPr>
        <w:t>文件中所有商务、技术要求，并理解你方或评标委员会对我方进行资格审查的权利，如在资格审查中发现我方存在有违规行为愿承担相应法律责任。</w:t>
      </w:r>
    </w:p>
    <w:p>
      <w:pPr>
        <w:autoSpaceDE w:val="0"/>
        <w:autoSpaceDN w:val="0"/>
        <w:spacing w:line="360" w:lineRule="auto"/>
        <w:rPr>
          <w:rFonts w:hint="eastAsia" w:ascii="宋体" w:hAnsi="宋体" w:eastAsia="宋体" w:cs="宋体"/>
          <w:color w:val="auto"/>
          <w:szCs w:val="21"/>
          <w:highlight w:val="none"/>
        </w:rPr>
      </w:pPr>
    </w:p>
    <w:p>
      <w:pPr>
        <w:topLinePunct/>
        <w:snapToGrid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w:t>
      </w:r>
      <w:r>
        <w:rPr>
          <w:rFonts w:hint="eastAsia" w:ascii="宋体" w:hAnsi="宋体" w:eastAsia="宋体" w:cs="宋体"/>
          <w:color w:val="auto"/>
          <w:szCs w:val="21"/>
          <w:highlight w:val="none"/>
          <w:lang w:eastAsia="zh-CN"/>
        </w:rPr>
        <w:t>盖章</w:t>
      </w:r>
      <w:r>
        <w:rPr>
          <w:rFonts w:hint="eastAsia" w:ascii="宋体" w:hAnsi="宋体" w:eastAsia="宋体" w:cs="宋体"/>
          <w:color w:val="auto"/>
          <w:szCs w:val="21"/>
          <w:highlight w:val="none"/>
        </w:rPr>
        <w:t>）</w:t>
      </w:r>
    </w:p>
    <w:p>
      <w:pPr>
        <w:topLinePunct/>
        <w:snapToGrid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w:t>
      </w:r>
      <w:r>
        <w:rPr>
          <w:rFonts w:hint="eastAsia" w:ascii="宋体" w:hAnsi="宋体" w:eastAsia="宋体" w:cs="宋体"/>
          <w:color w:val="auto"/>
          <w:szCs w:val="21"/>
          <w:highlight w:val="none"/>
          <w:lang w:eastAsia="zh-CN"/>
        </w:rPr>
        <w:t>盖章</w:t>
      </w:r>
      <w:r>
        <w:rPr>
          <w:rFonts w:hint="eastAsia" w:ascii="宋体" w:hAnsi="宋体" w:eastAsia="宋体" w:cs="宋体"/>
          <w:color w:val="auto"/>
          <w:szCs w:val="21"/>
          <w:highlight w:val="none"/>
        </w:rPr>
        <w:t>）</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日期：     年     月     日</w:t>
      </w:r>
    </w:p>
    <w:p>
      <w:pPr>
        <w:spacing w:line="360" w:lineRule="auto"/>
        <w:ind w:left="370" w:leftChars="176"/>
        <w:rPr>
          <w:rFonts w:hint="eastAsia" w:ascii="宋体" w:hAnsi="宋体" w:eastAsia="宋体" w:cs="宋体"/>
          <w:b/>
          <w:color w:val="auto"/>
          <w:szCs w:val="21"/>
          <w:highlight w:val="none"/>
        </w:rPr>
      </w:pPr>
    </w:p>
    <w:p>
      <w:pPr>
        <w:rPr>
          <w:color w:val="auto"/>
          <w:highlight w:val="none"/>
        </w:rPr>
      </w:pPr>
      <w:r>
        <w:rPr>
          <w:color w:val="auto"/>
          <w:highlight w:val="none"/>
        </w:rPr>
        <w:br w:type="page"/>
      </w:r>
    </w:p>
    <w:p>
      <w:pPr>
        <w:pStyle w:val="32"/>
      </w:pPr>
    </w:p>
    <w:p>
      <w:pPr>
        <w:widowControl/>
        <w:snapToGrid w:val="0"/>
        <w:spacing w:line="360" w:lineRule="auto"/>
        <w:jc w:val="center"/>
        <w:outlineLvl w:val="0"/>
        <w:rPr>
          <w:rFonts w:ascii="宋体" w:hAnsi="宋体" w:cs="Lucida Sans Unicode"/>
          <w:b/>
          <w:color w:val="auto"/>
          <w:kern w:val="0"/>
          <w:sz w:val="24"/>
          <w:highlight w:val="none"/>
        </w:rPr>
      </w:pPr>
      <w:bookmarkStart w:id="89" w:name="_Toc25094"/>
      <w:bookmarkStart w:id="90" w:name="_Toc23394"/>
      <w:r>
        <w:rPr>
          <w:rFonts w:hint="eastAsia" w:ascii="宋体" w:hAnsi="宋体" w:cs="Lucida Sans Unicode"/>
          <w:b/>
          <w:color w:val="auto"/>
          <w:kern w:val="0"/>
          <w:sz w:val="24"/>
          <w:highlight w:val="none"/>
        </w:rPr>
        <w:t>投标人认为有必要的其他资料</w:t>
      </w:r>
      <w:bookmarkEnd w:id="89"/>
      <w:bookmarkEnd w:id="90"/>
    </w:p>
    <w:p>
      <w:pPr>
        <w:widowControl/>
        <w:spacing w:line="360" w:lineRule="auto"/>
        <w:ind w:firstLine="420" w:firstLineChars="200"/>
        <w:jc w:val="left"/>
        <w:rPr>
          <w:rFonts w:ascii="宋体" w:hAnsi="宋体" w:cs="Lucida Sans Unicode"/>
          <w:color w:val="auto"/>
          <w:kern w:val="0"/>
          <w:sz w:val="24"/>
          <w:highlight w:val="none"/>
        </w:rPr>
      </w:pPr>
      <w:r>
        <w:rPr>
          <w:rFonts w:hint="eastAsia" w:ascii="宋体" w:hAnsi="宋体" w:cs="Lucida Sans Unicode"/>
          <w:color w:val="auto"/>
          <w:kern w:val="0"/>
          <w:szCs w:val="21"/>
          <w:highlight w:val="none"/>
        </w:rPr>
        <w:t>备注：投标人应当仔细核对</w:t>
      </w:r>
      <w:r>
        <w:rPr>
          <w:rFonts w:hint="eastAsia" w:ascii="宋体" w:hAnsi="宋体" w:cs="Lucida Sans Unicode"/>
          <w:color w:val="auto"/>
          <w:kern w:val="0"/>
          <w:szCs w:val="21"/>
          <w:highlight w:val="none"/>
          <w:lang w:val="en-US" w:eastAsia="zh-CN"/>
        </w:rPr>
        <w:t>采购</w:t>
      </w:r>
      <w:r>
        <w:rPr>
          <w:rFonts w:hint="eastAsia" w:ascii="宋体" w:hAnsi="宋体" w:cs="Lucida Sans Unicode"/>
          <w:color w:val="auto"/>
          <w:kern w:val="0"/>
          <w:szCs w:val="21"/>
          <w:highlight w:val="none"/>
        </w:rPr>
        <w:t>文件中有关废标条款和评标标准，提供投标人认为应当附加的其它内容，以充分证明其投标符合</w:t>
      </w:r>
      <w:r>
        <w:rPr>
          <w:rFonts w:hint="eastAsia" w:ascii="宋体" w:hAnsi="宋体" w:cs="Lucida Sans Unicode"/>
          <w:color w:val="auto"/>
          <w:kern w:val="0"/>
          <w:szCs w:val="21"/>
          <w:highlight w:val="none"/>
          <w:lang w:val="en-US" w:eastAsia="zh-CN"/>
        </w:rPr>
        <w:t>采购</w:t>
      </w:r>
      <w:r>
        <w:rPr>
          <w:rFonts w:hint="eastAsia" w:ascii="宋体" w:hAnsi="宋体" w:cs="Lucida Sans Unicode"/>
          <w:color w:val="auto"/>
          <w:kern w:val="0"/>
          <w:szCs w:val="21"/>
          <w:highlight w:val="none"/>
        </w:rPr>
        <w:t>文件规定，并为评标提供充分依据。如果投标人未能提供相关证明文件，将有可能导致废标或者无法得分。</w:t>
      </w: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both"/>
        <w:rPr>
          <w:b/>
          <w:bCs/>
          <w:color w:val="auto"/>
          <w:sz w:val="28"/>
          <w:szCs w:val="28"/>
          <w:highlight w:val="none"/>
        </w:rPr>
      </w:pPr>
    </w:p>
    <w:sectPr>
      <w:pgSz w:w="11906" w:h="16838"/>
      <w:pgMar w:top="1417" w:right="1474" w:bottom="1417" w:left="1474" w:header="851" w:footer="624" w:gutter="0"/>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Lucida Sans Unicode">
    <w:panose1 w:val="020B0602030504020204"/>
    <w:charset w:val="00"/>
    <w:family w:val="swiss"/>
    <w:pitch w:val="default"/>
    <w:sig w:usb0="80001AFF" w:usb1="0000396B" w:usb2="00000000" w:usb3="00000000" w:csb0="200000BF" w:csb1="D7F70000"/>
  </w:font>
  <w:font w:name="新宋体">
    <w:panose1 w:val="02010609030101010101"/>
    <w:charset w:val="86"/>
    <w:family w:val="modern"/>
    <w:pitch w:val="default"/>
    <w:sig w:usb0="0000028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top w:val="single" w:color="auto" w:sz="4" w:space="1"/>
      </w:pBdr>
      <w:jc w:val="both"/>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14605</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1"/>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1.15pt;height:144pt;width:144pt;mso-position-horizontal:center;mso-position-horizontal-relative:margin;mso-wrap-style:none;z-index:251660288;mso-width-relative:page;mso-height-relative:page;" filled="f" stroked="f" coordsize="21600,21600" o:gfxdata="UEsDBAoAAAAAAIdO4kAAAAAAAAAAAAAAAAAEAAAAZHJzL1BLAwQUAAAACACHTuJAycM2L9MAAAAG&#10;AQAADwAAAGRycy9kb3ducmV2LnhtbE2PwU7DMBBE70j8g7VI3KjTBKEQ4lSiIhyRaDhwdOMlCdjr&#10;yHbT8PcsJ7jNaFYzb+vd6qxYMMTJk4LtJgOB1Hsz0aDgrWtvShAxaTLaekIF3xhh11xe1Loy/kyv&#10;uBzSILiEYqUVjCnNlZSxH9HpuPEzEmcfPjid2IZBmqDPXO6szLPsTjo9ES+Mesb9iP3X4eQU7Nuu&#10;CwvGYN/xuS0+Xx5v8WlV6vpqmz2ASLimv2P4xWd0aJjp6E9korAK+JGkIC9AcJiXJfsji/usANnU&#10;8j9+8wNQSwMEFAAAAAgAh07iQIcgZvnUAQAApQMAAA4AAABkcnMvZTJvRG9jLnhtbK1TS27bMBDd&#10;F+gdCO5rySoSGILpoIWRokDRFkh7AJqiLAL8gUNb8gWaG2TVTfc5l8+RISU5RbrJohtqhjN8M+/N&#10;aH0zGE2OMoByltHloqREWuEaZfeM/vxx+25FCURuG66dlYyeJNCbzds3697XsnKd040MBEEs1L1n&#10;tIvR10UBopOGw8J5aTHYumB4RDfsiybwHtGNLqqyvC56FxofnJAAeLsdg3RCDK8BdG2rhNw6cTDS&#10;xhE1SM0jUoJOeaCb3G3bShG/tS3ISDSjyDTmE4ugvUtnsVnzeh+475SYWuCvaeEFJ8OVxaIXqC2P&#10;nByC+gfKKBEcuDYuhDPFSCQrgiyW5Qtt7jruZeaCUoO/iA7/D1Z8PX4PRDWMVpRYbnDg54f78+/H&#10;859fZFlWV0mh3kONiXceU+Pw0Q24N/M94GUiPrTBpC9SIhhHfU8XfeUQiUiPVtVqVWJIYGx2EL94&#10;fu4DxE/SGZIMRgMOMOvKj18gjqlzSqpm3a3SOg9RW9Izev3+qswPLhEE1xZrJBJjs8mKw26YmO1c&#10;c0JiPS4BoxZ3nhL92aLGaV9mI8zGbjYOPqh9hz0ucz3wHw4Ru8lNpgoj7FQYp5dpTpuW1uNvP2c9&#10;/12b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nDNi/TAAAABgEAAA8AAAAAAAAAAQAgAAAAIgAA&#10;AGRycy9kb3ducmV2LnhtbFBLAQIUABQAAAAIAIdO4kCHIGb51AEAAKUDAAAOAAAAAAAAAAEAIAAA&#10;ACIBAABkcnMvZTJvRG9jLnhtbFBLBQYAAAAABgAGAFkBAABoBQAAAAA=&#10;">
              <v:fill on="f" focussize="0,0"/>
              <v:stroke on="f" weight="0.5pt"/>
              <v:imagedata o:title=""/>
              <o:lock v:ext="edit" aspectratio="f"/>
              <v:textbox inset="0mm,0mm,0mm,0mm" style="mso-fit-shape-to-text:t;">
                <w:txbxContent>
                  <w:p>
                    <w:pPr>
                      <w:pStyle w:val="21"/>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top w:val="single" w:color="auto" w:sz="4" w:space="1"/>
      </w:pBdr>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14605</wp:posOffset>
              </wp:positionV>
              <wp:extent cx="144780" cy="20447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44780" cy="204470"/>
                      </a:xfrm>
                      <a:prstGeom prst="rect">
                        <a:avLst/>
                      </a:prstGeom>
                      <a:noFill/>
                      <a:ln>
                        <a:noFill/>
                      </a:ln>
                    </wps:spPr>
                    <wps:txbx>
                      <w:txbxContent>
                        <w:p>
                          <w:pPr>
                            <w:pStyle w:val="21"/>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wps:txbx>
                    <wps:bodyPr lIns="0" tIns="0" rIns="0" bIns="0" upright="1"/>
                  </wps:wsp>
                </a:graphicData>
              </a:graphic>
            </wp:anchor>
          </w:drawing>
        </mc:Choice>
        <mc:Fallback>
          <w:pict>
            <v:shape id="文本框 1026" o:spid="_x0000_s1026" o:spt="202" type="#_x0000_t202" style="position:absolute;left:0pt;margin-top:1.15pt;height:16.1pt;width:11.4pt;mso-position-horizontal:center;mso-position-horizontal-relative:margin;z-index:251659264;mso-width-relative:page;mso-height-relative:page;" filled="f" stroked="f" coordsize="21600,21600" o:gfxdata="UEsDBAoAAAAAAIdO4kAAAAAAAAAAAAAAAAAEAAAAZHJzL1BLAwQUAAAACACHTuJAl9mmrNQAAAAE&#10;AQAADwAAAGRycy9kb3ducmV2LnhtbE2PzU7DMBCE70i8g7VI3KjdFCqaZlMhBCckRBoOHJ14m1iN&#10;1yF2f3h7zKkcRzOa+abYnN0gjjQF6xlhPlMgiFtvLHcIn/Xr3SOIEDUbPXgmhB8KsCmvrwqdG3/i&#10;io7b2IlUwiHXCH2MYy5laHtyOsz8SJy8nZ+cjklOnTSTPqVyN8hMqaV02nJa6PVIzz21++3BITx9&#10;cfViv9+bj2pX2bpeKX5b7hFvb+ZqDSLSOV7C8Ief0KFMTI0/sAliQEhHIkK2AJHMLEs3GoTF/QPI&#10;spD/4ctfUEsDBBQAAAAIAIdO4kBRWYegugEAAHQDAAAOAAAAZHJzL2Uyb0RvYy54bWytU8GO0zAQ&#10;vSPxD5bv1Gm1WlZR05VW1a6QECAtfIDrOI0l22ON3Sb9AfgDTly48139DsZu2oXlsgcuyXhm8ua9&#10;N87ydnSW7TVGA77h81nFmfYKWuO3Df/y+f7NDWcxSd9KC143/KAjv129frUcQq0X0INtNTIC8bEe&#10;QsP7lEItRFS9djLOIGhPxQ7QyURH3IoW5UDozopFVV2LAbANCErHSNn1qcgnRHwJIHSdUXoNaue0&#10;TydU1FYmkhR7EyJfFbZdp1X62HVRJ2YbTkpTedIQijf5KVZLWW9Rht6oiYJ8CYVnmpw0noZeoNYy&#10;SbZD8w+UMwohQpdmCpw4CSmOkIp59cybx14GXbSQ1TFcTI//D1Z92H9CZlq6CZx56Wjhx+/fjj9+&#10;HX9+ZfNqcZ0dGkKsqfExUGsa72DM3VM+UjILHzt0+U2SGNXJ38PFXz0mpvJHV1dvb6iiqLSo6FD8&#10;F08fB4zpQYNjOWg40vqKq3L/PiYaSK3nljzLw72xtqzQ+r8S1JgzIjM/McxRGjfjRHsD7YHU2Hee&#10;zMwX4xzgOdicg11As+2JTtFcIGkZhcx0cfK2/zyXwU8/y+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9mmrNQAAAAEAQAADwAAAAAAAAABACAAAAAiAAAAZHJzL2Rvd25yZXYueG1sUEsBAhQAFAAA&#10;AAgAh07iQFFZh6C6AQAAdAMAAA4AAAAAAAAAAQAgAAAAIwEAAGRycy9lMm9Eb2MueG1sUEsFBgAA&#10;AAAGAAYAWQEAAE8FAAAAAA==&#10;">
              <v:fill on="f" focussize="0,0"/>
              <v:stroke on="f"/>
              <v:imagedata o:title=""/>
              <o:lock v:ext="edit" aspectratio="f"/>
              <v:textbox inset="0mm,0mm,0mm,0mm">
                <w:txbxContent>
                  <w:p>
                    <w:pPr>
                      <w:pStyle w:val="21"/>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v:textbox>
            </v:shape>
          </w:pict>
        </mc:Fallback>
      </mc:AlternateContent>
    </w:r>
    <w:r>
      <w:rPr>
        <w:rFonts w:hint="eastAsia"/>
      </w:rPr>
      <w:t xml:space="preserve">        </w:t>
    </w:r>
  </w:p>
  <w:p>
    <w:pPr>
      <w:pStyle w:val="2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rPr>
        <w:rFonts w:hint="default"/>
        <w:lang w:val="en-US" w:eastAsia="zh-CN"/>
      </w:rPr>
    </w:pPr>
    <w:r>
      <w:rPr>
        <w:rFonts w:hint="eastAsia"/>
        <w:lang w:val="en-US" w:eastAsia="zh-CN"/>
      </w:rPr>
      <w:t>驻马店市中心医院视听觉注意力持续操作测验、训练系统采购项目采购文件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rPr>
        <w:rFonts w:hint="default"/>
        <w:lang w:val="en-US" w:eastAsia="zh-CN"/>
      </w:rPr>
    </w:pPr>
    <w:r>
      <w:rPr>
        <w:rFonts w:hint="eastAsia"/>
        <w:lang w:val="en-US" w:eastAsia="zh-CN"/>
      </w:rPr>
      <w:t>驻马店市中心医院视听觉注意力持续操作测验、训练系统采购项目采购文件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C3247B"/>
    <w:multiLevelType w:val="singleLevel"/>
    <w:tmpl w:val="93C3247B"/>
    <w:lvl w:ilvl="0" w:tentative="0">
      <w:start w:val="2"/>
      <w:numFmt w:val="decimal"/>
      <w:suff w:val="space"/>
      <w:lvlText w:val="%1."/>
      <w:lvlJc w:val="left"/>
    </w:lvl>
  </w:abstractNum>
  <w:abstractNum w:abstractNumId="1">
    <w:nsid w:val="E8A954FB"/>
    <w:multiLevelType w:val="singleLevel"/>
    <w:tmpl w:val="E8A954FB"/>
    <w:lvl w:ilvl="0" w:tentative="0">
      <w:start w:val="1"/>
      <w:numFmt w:val="decimal"/>
      <w:suff w:val="nothing"/>
      <w:lvlText w:val="%1、"/>
      <w:lvlJc w:val="left"/>
    </w:lvl>
  </w:abstractNum>
  <w:abstractNum w:abstractNumId="2">
    <w:nsid w:val="59B6410A"/>
    <w:multiLevelType w:val="singleLevel"/>
    <w:tmpl w:val="59B6410A"/>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0MTZjMjFkMjFjOGMwYTIzNWEzZDljNjYxZWI0MmYifQ=="/>
  </w:docVars>
  <w:rsids>
    <w:rsidRoot w:val="00172A27"/>
    <w:rsid w:val="00000E51"/>
    <w:rsid w:val="00003688"/>
    <w:rsid w:val="000036EC"/>
    <w:rsid w:val="00012F90"/>
    <w:rsid w:val="000165C3"/>
    <w:rsid w:val="00017230"/>
    <w:rsid w:val="00020C53"/>
    <w:rsid w:val="00021C37"/>
    <w:rsid w:val="00022E51"/>
    <w:rsid w:val="00024627"/>
    <w:rsid w:val="000262D7"/>
    <w:rsid w:val="0002667F"/>
    <w:rsid w:val="000272B2"/>
    <w:rsid w:val="00031431"/>
    <w:rsid w:val="00034F10"/>
    <w:rsid w:val="00035692"/>
    <w:rsid w:val="00036275"/>
    <w:rsid w:val="00037EC8"/>
    <w:rsid w:val="00040F14"/>
    <w:rsid w:val="0004437B"/>
    <w:rsid w:val="000521E5"/>
    <w:rsid w:val="00054740"/>
    <w:rsid w:val="00055707"/>
    <w:rsid w:val="0005650A"/>
    <w:rsid w:val="00057843"/>
    <w:rsid w:val="00061862"/>
    <w:rsid w:val="00064977"/>
    <w:rsid w:val="00065EFE"/>
    <w:rsid w:val="000678CF"/>
    <w:rsid w:val="00067EA4"/>
    <w:rsid w:val="000757DD"/>
    <w:rsid w:val="000771AB"/>
    <w:rsid w:val="000828BF"/>
    <w:rsid w:val="0008472B"/>
    <w:rsid w:val="00085F92"/>
    <w:rsid w:val="000910D5"/>
    <w:rsid w:val="0009148A"/>
    <w:rsid w:val="00092B31"/>
    <w:rsid w:val="00097532"/>
    <w:rsid w:val="00097E42"/>
    <w:rsid w:val="000A0B1B"/>
    <w:rsid w:val="000A126A"/>
    <w:rsid w:val="000A16B7"/>
    <w:rsid w:val="000A7088"/>
    <w:rsid w:val="000A78F6"/>
    <w:rsid w:val="000B0240"/>
    <w:rsid w:val="000B6531"/>
    <w:rsid w:val="000B772E"/>
    <w:rsid w:val="000C43E1"/>
    <w:rsid w:val="000C6342"/>
    <w:rsid w:val="000C6986"/>
    <w:rsid w:val="000C6F01"/>
    <w:rsid w:val="000C73C9"/>
    <w:rsid w:val="000D0D98"/>
    <w:rsid w:val="000D44AD"/>
    <w:rsid w:val="000D72E6"/>
    <w:rsid w:val="000E252C"/>
    <w:rsid w:val="000E6B87"/>
    <w:rsid w:val="000E6D3C"/>
    <w:rsid w:val="000F035B"/>
    <w:rsid w:val="000F2100"/>
    <w:rsid w:val="000F685E"/>
    <w:rsid w:val="00104521"/>
    <w:rsid w:val="00110444"/>
    <w:rsid w:val="0011253B"/>
    <w:rsid w:val="001139C0"/>
    <w:rsid w:val="0011452C"/>
    <w:rsid w:val="00121774"/>
    <w:rsid w:val="00122AE5"/>
    <w:rsid w:val="00127E77"/>
    <w:rsid w:val="0013574E"/>
    <w:rsid w:val="00141C52"/>
    <w:rsid w:val="00145792"/>
    <w:rsid w:val="00147FC2"/>
    <w:rsid w:val="00151D92"/>
    <w:rsid w:val="00153449"/>
    <w:rsid w:val="00155B84"/>
    <w:rsid w:val="00162EA5"/>
    <w:rsid w:val="001630D8"/>
    <w:rsid w:val="001641C5"/>
    <w:rsid w:val="001656CE"/>
    <w:rsid w:val="00166B7C"/>
    <w:rsid w:val="00170488"/>
    <w:rsid w:val="00171081"/>
    <w:rsid w:val="00171DC4"/>
    <w:rsid w:val="00172A27"/>
    <w:rsid w:val="001743D2"/>
    <w:rsid w:val="001756D5"/>
    <w:rsid w:val="00176116"/>
    <w:rsid w:val="00176541"/>
    <w:rsid w:val="001809B6"/>
    <w:rsid w:val="00180A78"/>
    <w:rsid w:val="00181303"/>
    <w:rsid w:val="00183B61"/>
    <w:rsid w:val="001866AC"/>
    <w:rsid w:val="00190212"/>
    <w:rsid w:val="00192E94"/>
    <w:rsid w:val="00193782"/>
    <w:rsid w:val="001A1F77"/>
    <w:rsid w:val="001A6057"/>
    <w:rsid w:val="001A63D5"/>
    <w:rsid w:val="001B4D8E"/>
    <w:rsid w:val="001B6482"/>
    <w:rsid w:val="001C08A9"/>
    <w:rsid w:val="001D0E22"/>
    <w:rsid w:val="001D414F"/>
    <w:rsid w:val="001D4D3C"/>
    <w:rsid w:val="001D784A"/>
    <w:rsid w:val="001D7D80"/>
    <w:rsid w:val="001E3D17"/>
    <w:rsid w:val="001E50E4"/>
    <w:rsid w:val="001F4DBD"/>
    <w:rsid w:val="001F4F1E"/>
    <w:rsid w:val="001F52D5"/>
    <w:rsid w:val="001F60F4"/>
    <w:rsid w:val="001F79C5"/>
    <w:rsid w:val="00207653"/>
    <w:rsid w:val="0021089D"/>
    <w:rsid w:val="00214403"/>
    <w:rsid w:val="0021505B"/>
    <w:rsid w:val="0022103B"/>
    <w:rsid w:val="002219DC"/>
    <w:rsid w:val="00221F7D"/>
    <w:rsid w:val="00231F56"/>
    <w:rsid w:val="00234020"/>
    <w:rsid w:val="00235D34"/>
    <w:rsid w:val="0024066E"/>
    <w:rsid w:val="00243C82"/>
    <w:rsid w:val="0024618D"/>
    <w:rsid w:val="002476D8"/>
    <w:rsid w:val="002727E2"/>
    <w:rsid w:val="00275597"/>
    <w:rsid w:val="002818DD"/>
    <w:rsid w:val="00281F28"/>
    <w:rsid w:val="00286921"/>
    <w:rsid w:val="0028704B"/>
    <w:rsid w:val="002912E9"/>
    <w:rsid w:val="00297DDD"/>
    <w:rsid w:val="002A6EF5"/>
    <w:rsid w:val="002B0A49"/>
    <w:rsid w:val="002B151E"/>
    <w:rsid w:val="002B1F8A"/>
    <w:rsid w:val="002B21DB"/>
    <w:rsid w:val="002B2A18"/>
    <w:rsid w:val="002B2FF2"/>
    <w:rsid w:val="002B39C1"/>
    <w:rsid w:val="002B4688"/>
    <w:rsid w:val="002B59AF"/>
    <w:rsid w:val="002B6028"/>
    <w:rsid w:val="002B6EEC"/>
    <w:rsid w:val="002C318F"/>
    <w:rsid w:val="002C59F0"/>
    <w:rsid w:val="002D28E7"/>
    <w:rsid w:val="002D38D8"/>
    <w:rsid w:val="002D5AB8"/>
    <w:rsid w:val="002D694B"/>
    <w:rsid w:val="002D700F"/>
    <w:rsid w:val="002D7301"/>
    <w:rsid w:val="002D7928"/>
    <w:rsid w:val="002E132A"/>
    <w:rsid w:val="002E1ED0"/>
    <w:rsid w:val="002E62DB"/>
    <w:rsid w:val="002F0B3C"/>
    <w:rsid w:val="002F0CC5"/>
    <w:rsid w:val="002F4F94"/>
    <w:rsid w:val="002F52A8"/>
    <w:rsid w:val="0030109F"/>
    <w:rsid w:val="00302A40"/>
    <w:rsid w:val="00321BAA"/>
    <w:rsid w:val="003251B4"/>
    <w:rsid w:val="00333A21"/>
    <w:rsid w:val="00333A29"/>
    <w:rsid w:val="0034106D"/>
    <w:rsid w:val="003506C4"/>
    <w:rsid w:val="003534C9"/>
    <w:rsid w:val="00353F83"/>
    <w:rsid w:val="003559F8"/>
    <w:rsid w:val="00356B57"/>
    <w:rsid w:val="00360373"/>
    <w:rsid w:val="003634AB"/>
    <w:rsid w:val="00365DBF"/>
    <w:rsid w:val="00373382"/>
    <w:rsid w:val="0037426D"/>
    <w:rsid w:val="00374559"/>
    <w:rsid w:val="0037549E"/>
    <w:rsid w:val="0037721E"/>
    <w:rsid w:val="00380986"/>
    <w:rsid w:val="00382A6A"/>
    <w:rsid w:val="0038356F"/>
    <w:rsid w:val="00383C51"/>
    <w:rsid w:val="003849B3"/>
    <w:rsid w:val="0038547B"/>
    <w:rsid w:val="00386F28"/>
    <w:rsid w:val="00390347"/>
    <w:rsid w:val="00391146"/>
    <w:rsid w:val="00392964"/>
    <w:rsid w:val="0039368B"/>
    <w:rsid w:val="0039495F"/>
    <w:rsid w:val="00394D38"/>
    <w:rsid w:val="003962AF"/>
    <w:rsid w:val="00396D48"/>
    <w:rsid w:val="003A03F9"/>
    <w:rsid w:val="003A56C5"/>
    <w:rsid w:val="003B0180"/>
    <w:rsid w:val="003B06C0"/>
    <w:rsid w:val="003B06EB"/>
    <w:rsid w:val="003B21E0"/>
    <w:rsid w:val="003B419B"/>
    <w:rsid w:val="003B61DA"/>
    <w:rsid w:val="003C3687"/>
    <w:rsid w:val="003D1F44"/>
    <w:rsid w:val="003D2173"/>
    <w:rsid w:val="003D3EAB"/>
    <w:rsid w:val="003D48A8"/>
    <w:rsid w:val="003D5DB0"/>
    <w:rsid w:val="003E1FE2"/>
    <w:rsid w:val="003E35BE"/>
    <w:rsid w:val="003F35EF"/>
    <w:rsid w:val="003F3AED"/>
    <w:rsid w:val="003F4368"/>
    <w:rsid w:val="003F5E68"/>
    <w:rsid w:val="003F63CA"/>
    <w:rsid w:val="0040755F"/>
    <w:rsid w:val="00407F61"/>
    <w:rsid w:val="00410C32"/>
    <w:rsid w:val="00416BEF"/>
    <w:rsid w:val="00420790"/>
    <w:rsid w:val="004212E9"/>
    <w:rsid w:val="00421D27"/>
    <w:rsid w:val="00425B8B"/>
    <w:rsid w:val="004261E2"/>
    <w:rsid w:val="004266B1"/>
    <w:rsid w:val="00435566"/>
    <w:rsid w:val="0043672E"/>
    <w:rsid w:val="00444A2F"/>
    <w:rsid w:val="00446D88"/>
    <w:rsid w:val="0044728E"/>
    <w:rsid w:val="00450723"/>
    <w:rsid w:val="0045184C"/>
    <w:rsid w:val="00454DD9"/>
    <w:rsid w:val="004564BA"/>
    <w:rsid w:val="00460C29"/>
    <w:rsid w:val="00460C96"/>
    <w:rsid w:val="00462411"/>
    <w:rsid w:val="004637BF"/>
    <w:rsid w:val="004638C7"/>
    <w:rsid w:val="00467CD8"/>
    <w:rsid w:val="00467DBB"/>
    <w:rsid w:val="00474C5C"/>
    <w:rsid w:val="00476D4F"/>
    <w:rsid w:val="00477033"/>
    <w:rsid w:val="00481BE4"/>
    <w:rsid w:val="00482A00"/>
    <w:rsid w:val="00483DEE"/>
    <w:rsid w:val="004840F2"/>
    <w:rsid w:val="004860CE"/>
    <w:rsid w:val="00487965"/>
    <w:rsid w:val="0049159F"/>
    <w:rsid w:val="00491CFF"/>
    <w:rsid w:val="00494AE3"/>
    <w:rsid w:val="004A2DC2"/>
    <w:rsid w:val="004A3ED1"/>
    <w:rsid w:val="004A56AA"/>
    <w:rsid w:val="004B0865"/>
    <w:rsid w:val="004B0DC2"/>
    <w:rsid w:val="004B1068"/>
    <w:rsid w:val="004B3872"/>
    <w:rsid w:val="004B479D"/>
    <w:rsid w:val="004B6CE6"/>
    <w:rsid w:val="004C6D19"/>
    <w:rsid w:val="004D5FCF"/>
    <w:rsid w:val="004D751C"/>
    <w:rsid w:val="004D7B42"/>
    <w:rsid w:val="004F0462"/>
    <w:rsid w:val="00503E97"/>
    <w:rsid w:val="005068C0"/>
    <w:rsid w:val="00512A1F"/>
    <w:rsid w:val="005226EE"/>
    <w:rsid w:val="00524147"/>
    <w:rsid w:val="00525D5A"/>
    <w:rsid w:val="0052705E"/>
    <w:rsid w:val="00527303"/>
    <w:rsid w:val="00531A15"/>
    <w:rsid w:val="00536761"/>
    <w:rsid w:val="00543694"/>
    <w:rsid w:val="00545EBC"/>
    <w:rsid w:val="00552CFD"/>
    <w:rsid w:val="005537EC"/>
    <w:rsid w:val="00561DC8"/>
    <w:rsid w:val="00563FCD"/>
    <w:rsid w:val="00567B6D"/>
    <w:rsid w:val="0057221A"/>
    <w:rsid w:val="00574F1C"/>
    <w:rsid w:val="00575874"/>
    <w:rsid w:val="00583F9C"/>
    <w:rsid w:val="005867C0"/>
    <w:rsid w:val="00586B69"/>
    <w:rsid w:val="00587007"/>
    <w:rsid w:val="005916D7"/>
    <w:rsid w:val="00592A6D"/>
    <w:rsid w:val="005946C4"/>
    <w:rsid w:val="00595847"/>
    <w:rsid w:val="005A466D"/>
    <w:rsid w:val="005B1953"/>
    <w:rsid w:val="005B1D93"/>
    <w:rsid w:val="005B3737"/>
    <w:rsid w:val="005B38FA"/>
    <w:rsid w:val="005B79B6"/>
    <w:rsid w:val="005C11E9"/>
    <w:rsid w:val="005C332C"/>
    <w:rsid w:val="005C511F"/>
    <w:rsid w:val="005C6B44"/>
    <w:rsid w:val="005C7F75"/>
    <w:rsid w:val="005D1C21"/>
    <w:rsid w:val="005D3447"/>
    <w:rsid w:val="005D3B26"/>
    <w:rsid w:val="005D5624"/>
    <w:rsid w:val="005D5C32"/>
    <w:rsid w:val="005D788B"/>
    <w:rsid w:val="005D7A7D"/>
    <w:rsid w:val="005D7CD8"/>
    <w:rsid w:val="005E1A51"/>
    <w:rsid w:val="00600486"/>
    <w:rsid w:val="006026D1"/>
    <w:rsid w:val="006026DE"/>
    <w:rsid w:val="00605665"/>
    <w:rsid w:val="00606A63"/>
    <w:rsid w:val="006134B6"/>
    <w:rsid w:val="00622261"/>
    <w:rsid w:val="00627850"/>
    <w:rsid w:val="00627DC7"/>
    <w:rsid w:val="00632751"/>
    <w:rsid w:val="00633657"/>
    <w:rsid w:val="00635EE7"/>
    <w:rsid w:val="00640403"/>
    <w:rsid w:val="00643CF6"/>
    <w:rsid w:val="0064622C"/>
    <w:rsid w:val="0064748F"/>
    <w:rsid w:val="0064772A"/>
    <w:rsid w:val="006506F3"/>
    <w:rsid w:val="006527BA"/>
    <w:rsid w:val="00654D3A"/>
    <w:rsid w:val="00657186"/>
    <w:rsid w:val="00657B85"/>
    <w:rsid w:val="00662038"/>
    <w:rsid w:val="00662F1B"/>
    <w:rsid w:val="00663912"/>
    <w:rsid w:val="00665B74"/>
    <w:rsid w:val="00666E46"/>
    <w:rsid w:val="006733F1"/>
    <w:rsid w:val="00674B7B"/>
    <w:rsid w:val="006774B7"/>
    <w:rsid w:val="00681340"/>
    <w:rsid w:val="00681E00"/>
    <w:rsid w:val="00681EFA"/>
    <w:rsid w:val="00683BD4"/>
    <w:rsid w:val="006901E3"/>
    <w:rsid w:val="00694E40"/>
    <w:rsid w:val="00695469"/>
    <w:rsid w:val="006973BE"/>
    <w:rsid w:val="006A3FAF"/>
    <w:rsid w:val="006A53C0"/>
    <w:rsid w:val="006A5EC9"/>
    <w:rsid w:val="006A6BE3"/>
    <w:rsid w:val="006A6C58"/>
    <w:rsid w:val="006A6CA0"/>
    <w:rsid w:val="006B0BA3"/>
    <w:rsid w:val="006B4389"/>
    <w:rsid w:val="006C1AC3"/>
    <w:rsid w:val="006C3381"/>
    <w:rsid w:val="006C3F8D"/>
    <w:rsid w:val="006C5741"/>
    <w:rsid w:val="006C5895"/>
    <w:rsid w:val="006C7A22"/>
    <w:rsid w:val="006D23F4"/>
    <w:rsid w:val="006D2422"/>
    <w:rsid w:val="006D2754"/>
    <w:rsid w:val="006E0E89"/>
    <w:rsid w:val="006E211C"/>
    <w:rsid w:val="006E3D12"/>
    <w:rsid w:val="006E3F7B"/>
    <w:rsid w:val="006E7834"/>
    <w:rsid w:val="006F1887"/>
    <w:rsid w:val="006F2533"/>
    <w:rsid w:val="006F36C9"/>
    <w:rsid w:val="006F3FF8"/>
    <w:rsid w:val="006F5EBB"/>
    <w:rsid w:val="006F6D76"/>
    <w:rsid w:val="00700968"/>
    <w:rsid w:val="00715942"/>
    <w:rsid w:val="00717D28"/>
    <w:rsid w:val="00720430"/>
    <w:rsid w:val="007213BD"/>
    <w:rsid w:val="0072294E"/>
    <w:rsid w:val="0073362A"/>
    <w:rsid w:val="00734E23"/>
    <w:rsid w:val="007361D9"/>
    <w:rsid w:val="00742A39"/>
    <w:rsid w:val="007442BF"/>
    <w:rsid w:val="007451B7"/>
    <w:rsid w:val="007454DB"/>
    <w:rsid w:val="007477B9"/>
    <w:rsid w:val="00752D80"/>
    <w:rsid w:val="007539E6"/>
    <w:rsid w:val="00753B1A"/>
    <w:rsid w:val="0075506B"/>
    <w:rsid w:val="00756A8B"/>
    <w:rsid w:val="007635C6"/>
    <w:rsid w:val="00766B59"/>
    <w:rsid w:val="0076783A"/>
    <w:rsid w:val="00770296"/>
    <w:rsid w:val="0077380E"/>
    <w:rsid w:val="00776A44"/>
    <w:rsid w:val="007819D5"/>
    <w:rsid w:val="00784D17"/>
    <w:rsid w:val="007855DC"/>
    <w:rsid w:val="00791C0A"/>
    <w:rsid w:val="007A1ABC"/>
    <w:rsid w:val="007A1BDB"/>
    <w:rsid w:val="007A393C"/>
    <w:rsid w:val="007A7CCF"/>
    <w:rsid w:val="007B2EDA"/>
    <w:rsid w:val="007B5BF3"/>
    <w:rsid w:val="007B6B89"/>
    <w:rsid w:val="007C13DE"/>
    <w:rsid w:val="007C1D12"/>
    <w:rsid w:val="007D1504"/>
    <w:rsid w:val="007D7FE5"/>
    <w:rsid w:val="007E07D0"/>
    <w:rsid w:val="007E0DAC"/>
    <w:rsid w:val="007E2E98"/>
    <w:rsid w:val="007E52EB"/>
    <w:rsid w:val="007E5F56"/>
    <w:rsid w:val="007E6644"/>
    <w:rsid w:val="007E69C5"/>
    <w:rsid w:val="007F0E44"/>
    <w:rsid w:val="007F12B5"/>
    <w:rsid w:val="007F1A27"/>
    <w:rsid w:val="007F50E5"/>
    <w:rsid w:val="008018E2"/>
    <w:rsid w:val="00806F13"/>
    <w:rsid w:val="0081025F"/>
    <w:rsid w:val="008104D7"/>
    <w:rsid w:val="0081331D"/>
    <w:rsid w:val="00815884"/>
    <w:rsid w:val="0082101E"/>
    <w:rsid w:val="00821BBB"/>
    <w:rsid w:val="00822315"/>
    <w:rsid w:val="00823BC7"/>
    <w:rsid w:val="00826C87"/>
    <w:rsid w:val="008307A1"/>
    <w:rsid w:val="00831534"/>
    <w:rsid w:val="00831ACF"/>
    <w:rsid w:val="00834B99"/>
    <w:rsid w:val="00835896"/>
    <w:rsid w:val="00844E75"/>
    <w:rsid w:val="00844FCA"/>
    <w:rsid w:val="008500F7"/>
    <w:rsid w:val="008509F0"/>
    <w:rsid w:val="00853408"/>
    <w:rsid w:val="008553A0"/>
    <w:rsid w:val="00862B84"/>
    <w:rsid w:val="008639A5"/>
    <w:rsid w:val="00864F88"/>
    <w:rsid w:val="008717DC"/>
    <w:rsid w:val="008757D7"/>
    <w:rsid w:val="00880AFB"/>
    <w:rsid w:val="0088168B"/>
    <w:rsid w:val="00881F4C"/>
    <w:rsid w:val="00890267"/>
    <w:rsid w:val="00893E5D"/>
    <w:rsid w:val="008A10E8"/>
    <w:rsid w:val="008A115E"/>
    <w:rsid w:val="008A380B"/>
    <w:rsid w:val="008A4B1D"/>
    <w:rsid w:val="008A69F8"/>
    <w:rsid w:val="008A7033"/>
    <w:rsid w:val="008B0660"/>
    <w:rsid w:val="008B51F5"/>
    <w:rsid w:val="008B5432"/>
    <w:rsid w:val="008B5D0F"/>
    <w:rsid w:val="008B7FB1"/>
    <w:rsid w:val="008C2BC7"/>
    <w:rsid w:val="008C31FD"/>
    <w:rsid w:val="008C47EB"/>
    <w:rsid w:val="008C4BE6"/>
    <w:rsid w:val="008C53A8"/>
    <w:rsid w:val="008C698C"/>
    <w:rsid w:val="008C7324"/>
    <w:rsid w:val="008D2BEE"/>
    <w:rsid w:val="008D3384"/>
    <w:rsid w:val="008D64BC"/>
    <w:rsid w:val="008D70CD"/>
    <w:rsid w:val="008E4585"/>
    <w:rsid w:val="008E5901"/>
    <w:rsid w:val="008F07E3"/>
    <w:rsid w:val="008F15BA"/>
    <w:rsid w:val="008F606B"/>
    <w:rsid w:val="00900739"/>
    <w:rsid w:val="00904FE1"/>
    <w:rsid w:val="009072BE"/>
    <w:rsid w:val="00912FF6"/>
    <w:rsid w:val="00914EED"/>
    <w:rsid w:val="009175CA"/>
    <w:rsid w:val="00923C18"/>
    <w:rsid w:val="00924816"/>
    <w:rsid w:val="00927240"/>
    <w:rsid w:val="00930E42"/>
    <w:rsid w:val="009317EA"/>
    <w:rsid w:val="00931BD1"/>
    <w:rsid w:val="009404CE"/>
    <w:rsid w:val="0094252B"/>
    <w:rsid w:val="0094548A"/>
    <w:rsid w:val="00947054"/>
    <w:rsid w:val="00947CF0"/>
    <w:rsid w:val="0095275E"/>
    <w:rsid w:val="00952958"/>
    <w:rsid w:val="0096169A"/>
    <w:rsid w:val="009616B6"/>
    <w:rsid w:val="00961C05"/>
    <w:rsid w:val="009659CB"/>
    <w:rsid w:val="00966ECA"/>
    <w:rsid w:val="00967B87"/>
    <w:rsid w:val="009717CE"/>
    <w:rsid w:val="00975858"/>
    <w:rsid w:val="009808B9"/>
    <w:rsid w:val="00980E18"/>
    <w:rsid w:val="009814D9"/>
    <w:rsid w:val="00990484"/>
    <w:rsid w:val="009923FC"/>
    <w:rsid w:val="00997337"/>
    <w:rsid w:val="009A0964"/>
    <w:rsid w:val="009A0F72"/>
    <w:rsid w:val="009A25B4"/>
    <w:rsid w:val="009A541B"/>
    <w:rsid w:val="009B2766"/>
    <w:rsid w:val="009B41D3"/>
    <w:rsid w:val="009B46DB"/>
    <w:rsid w:val="009C113C"/>
    <w:rsid w:val="009C2AC3"/>
    <w:rsid w:val="009C491F"/>
    <w:rsid w:val="009C4A96"/>
    <w:rsid w:val="009C78C9"/>
    <w:rsid w:val="009C7E8F"/>
    <w:rsid w:val="009D01D7"/>
    <w:rsid w:val="009D0F10"/>
    <w:rsid w:val="009D2408"/>
    <w:rsid w:val="009D63E5"/>
    <w:rsid w:val="009D7201"/>
    <w:rsid w:val="009D7F59"/>
    <w:rsid w:val="009D7FA9"/>
    <w:rsid w:val="009E0962"/>
    <w:rsid w:val="009E0C76"/>
    <w:rsid w:val="009E0FBD"/>
    <w:rsid w:val="009E79A7"/>
    <w:rsid w:val="009F07C2"/>
    <w:rsid w:val="009F4C0F"/>
    <w:rsid w:val="00A02455"/>
    <w:rsid w:val="00A024E5"/>
    <w:rsid w:val="00A050BB"/>
    <w:rsid w:val="00A10EBC"/>
    <w:rsid w:val="00A14E61"/>
    <w:rsid w:val="00A1620E"/>
    <w:rsid w:val="00A16ECE"/>
    <w:rsid w:val="00A17C7A"/>
    <w:rsid w:val="00A21E49"/>
    <w:rsid w:val="00A2511D"/>
    <w:rsid w:val="00A2615F"/>
    <w:rsid w:val="00A32F86"/>
    <w:rsid w:val="00A34848"/>
    <w:rsid w:val="00A34CF7"/>
    <w:rsid w:val="00A37A89"/>
    <w:rsid w:val="00A37F82"/>
    <w:rsid w:val="00A40B5F"/>
    <w:rsid w:val="00A40D02"/>
    <w:rsid w:val="00A41ECD"/>
    <w:rsid w:val="00A4599A"/>
    <w:rsid w:val="00A514B4"/>
    <w:rsid w:val="00A52955"/>
    <w:rsid w:val="00A54D5F"/>
    <w:rsid w:val="00A55D2D"/>
    <w:rsid w:val="00A62166"/>
    <w:rsid w:val="00A65A67"/>
    <w:rsid w:val="00A6650A"/>
    <w:rsid w:val="00A7048A"/>
    <w:rsid w:val="00A70F9F"/>
    <w:rsid w:val="00A7567E"/>
    <w:rsid w:val="00A771FC"/>
    <w:rsid w:val="00A77547"/>
    <w:rsid w:val="00A776A7"/>
    <w:rsid w:val="00A840B0"/>
    <w:rsid w:val="00A87569"/>
    <w:rsid w:val="00A9022C"/>
    <w:rsid w:val="00A906A4"/>
    <w:rsid w:val="00A90A32"/>
    <w:rsid w:val="00A92654"/>
    <w:rsid w:val="00A9622A"/>
    <w:rsid w:val="00A965DA"/>
    <w:rsid w:val="00AA2C6F"/>
    <w:rsid w:val="00AA53A8"/>
    <w:rsid w:val="00AA6A35"/>
    <w:rsid w:val="00AA6C76"/>
    <w:rsid w:val="00AA721E"/>
    <w:rsid w:val="00AB0080"/>
    <w:rsid w:val="00AB0CF3"/>
    <w:rsid w:val="00AB1F09"/>
    <w:rsid w:val="00AB4031"/>
    <w:rsid w:val="00AB4C61"/>
    <w:rsid w:val="00AB55EA"/>
    <w:rsid w:val="00AC0269"/>
    <w:rsid w:val="00AC0B8C"/>
    <w:rsid w:val="00AC201A"/>
    <w:rsid w:val="00AC3299"/>
    <w:rsid w:val="00AC33E8"/>
    <w:rsid w:val="00AC6684"/>
    <w:rsid w:val="00AC6DB7"/>
    <w:rsid w:val="00AC7267"/>
    <w:rsid w:val="00AD1762"/>
    <w:rsid w:val="00AD3F62"/>
    <w:rsid w:val="00AD46D9"/>
    <w:rsid w:val="00AE1276"/>
    <w:rsid w:val="00AE2BC8"/>
    <w:rsid w:val="00AE3879"/>
    <w:rsid w:val="00AE5FE2"/>
    <w:rsid w:val="00AF08ED"/>
    <w:rsid w:val="00AF1F03"/>
    <w:rsid w:val="00AF2487"/>
    <w:rsid w:val="00AF3539"/>
    <w:rsid w:val="00AF6523"/>
    <w:rsid w:val="00B0113C"/>
    <w:rsid w:val="00B02F21"/>
    <w:rsid w:val="00B070F9"/>
    <w:rsid w:val="00B1080F"/>
    <w:rsid w:val="00B112C5"/>
    <w:rsid w:val="00B13637"/>
    <w:rsid w:val="00B139FD"/>
    <w:rsid w:val="00B211B8"/>
    <w:rsid w:val="00B2500C"/>
    <w:rsid w:val="00B2561A"/>
    <w:rsid w:val="00B32876"/>
    <w:rsid w:val="00B349BF"/>
    <w:rsid w:val="00B3724C"/>
    <w:rsid w:val="00B408FD"/>
    <w:rsid w:val="00B40A62"/>
    <w:rsid w:val="00B42996"/>
    <w:rsid w:val="00B524CE"/>
    <w:rsid w:val="00B60FFC"/>
    <w:rsid w:val="00B611E8"/>
    <w:rsid w:val="00B619A1"/>
    <w:rsid w:val="00B71613"/>
    <w:rsid w:val="00B72167"/>
    <w:rsid w:val="00B73C1F"/>
    <w:rsid w:val="00B761C4"/>
    <w:rsid w:val="00B765B2"/>
    <w:rsid w:val="00B8080C"/>
    <w:rsid w:val="00B822BE"/>
    <w:rsid w:val="00B84E29"/>
    <w:rsid w:val="00B84F51"/>
    <w:rsid w:val="00B92A8B"/>
    <w:rsid w:val="00B93759"/>
    <w:rsid w:val="00BA1348"/>
    <w:rsid w:val="00BA2782"/>
    <w:rsid w:val="00BA4A4B"/>
    <w:rsid w:val="00BA5CF4"/>
    <w:rsid w:val="00BA6B20"/>
    <w:rsid w:val="00BA758E"/>
    <w:rsid w:val="00BB1934"/>
    <w:rsid w:val="00BB1FD1"/>
    <w:rsid w:val="00BC04F4"/>
    <w:rsid w:val="00BC0CD9"/>
    <w:rsid w:val="00BC3DA7"/>
    <w:rsid w:val="00BC5EB6"/>
    <w:rsid w:val="00BC74CE"/>
    <w:rsid w:val="00BC7EEF"/>
    <w:rsid w:val="00BD4BE3"/>
    <w:rsid w:val="00BD6D27"/>
    <w:rsid w:val="00BD7E55"/>
    <w:rsid w:val="00BE208F"/>
    <w:rsid w:val="00BE313E"/>
    <w:rsid w:val="00BE31D1"/>
    <w:rsid w:val="00BE45C7"/>
    <w:rsid w:val="00BE615C"/>
    <w:rsid w:val="00BE76F7"/>
    <w:rsid w:val="00BE7760"/>
    <w:rsid w:val="00BE793B"/>
    <w:rsid w:val="00BE7C3C"/>
    <w:rsid w:val="00BF7286"/>
    <w:rsid w:val="00C0335C"/>
    <w:rsid w:val="00C0350B"/>
    <w:rsid w:val="00C03D6A"/>
    <w:rsid w:val="00C0779D"/>
    <w:rsid w:val="00C11486"/>
    <w:rsid w:val="00C12173"/>
    <w:rsid w:val="00C1599C"/>
    <w:rsid w:val="00C15F84"/>
    <w:rsid w:val="00C176C5"/>
    <w:rsid w:val="00C20584"/>
    <w:rsid w:val="00C212BA"/>
    <w:rsid w:val="00C21829"/>
    <w:rsid w:val="00C2194D"/>
    <w:rsid w:val="00C2417F"/>
    <w:rsid w:val="00C25322"/>
    <w:rsid w:val="00C32EF1"/>
    <w:rsid w:val="00C34CD9"/>
    <w:rsid w:val="00C34F32"/>
    <w:rsid w:val="00C35645"/>
    <w:rsid w:val="00C35F68"/>
    <w:rsid w:val="00C369DC"/>
    <w:rsid w:val="00C36E4C"/>
    <w:rsid w:val="00C40F57"/>
    <w:rsid w:val="00C41A5B"/>
    <w:rsid w:val="00C41FC9"/>
    <w:rsid w:val="00C42341"/>
    <w:rsid w:val="00C4729B"/>
    <w:rsid w:val="00C50AEF"/>
    <w:rsid w:val="00C50B42"/>
    <w:rsid w:val="00C52F9F"/>
    <w:rsid w:val="00C53A2B"/>
    <w:rsid w:val="00C623F0"/>
    <w:rsid w:val="00C64491"/>
    <w:rsid w:val="00C66135"/>
    <w:rsid w:val="00C66264"/>
    <w:rsid w:val="00C71532"/>
    <w:rsid w:val="00C75CFC"/>
    <w:rsid w:val="00C75E3A"/>
    <w:rsid w:val="00C760FD"/>
    <w:rsid w:val="00C77F08"/>
    <w:rsid w:val="00C86101"/>
    <w:rsid w:val="00C87916"/>
    <w:rsid w:val="00C90C23"/>
    <w:rsid w:val="00C91556"/>
    <w:rsid w:val="00C915EB"/>
    <w:rsid w:val="00C943E0"/>
    <w:rsid w:val="00CA2EDD"/>
    <w:rsid w:val="00CA4EFF"/>
    <w:rsid w:val="00CA61E0"/>
    <w:rsid w:val="00CC673F"/>
    <w:rsid w:val="00CD000D"/>
    <w:rsid w:val="00CD0D03"/>
    <w:rsid w:val="00CD0D99"/>
    <w:rsid w:val="00CD25AE"/>
    <w:rsid w:val="00CD2661"/>
    <w:rsid w:val="00CD2AD8"/>
    <w:rsid w:val="00CD341A"/>
    <w:rsid w:val="00CD3D11"/>
    <w:rsid w:val="00CD4F14"/>
    <w:rsid w:val="00CD5D67"/>
    <w:rsid w:val="00CD684B"/>
    <w:rsid w:val="00CE0622"/>
    <w:rsid w:val="00CE154B"/>
    <w:rsid w:val="00CE6129"/>
    <w:rsid w:val="00CE685F"/>
    <w:rsid w:val="00CF3C45"/>
    <w:rsid w:val="00CF7778"/>
    <w:rsid w:val="00CF79EC"/>
    <w:rsid w:val="00D01020"/>
    <w:rsid w:val="00D01BCA"/>
    <w:rsid w:val="00D021C1"/>
    <w:rsid w:val="00D05AE8"/>
    <w:rsid w:val="00D07915"/>
    <w:rsid w:val="00D1048E"/>
    <w:rsid w:val="00D10DB0"/>
    <w:rsid w:val="00D11776"/>
    <w:rsid w:val="00D123B7"/>
    <w:rsid w:val="00D13697"/>
    <w:rsid w:val="00D159CE"/>
    <w:rsid w:val="00D161BD"/>
    <w:rsid w:val="00D1688D"/>
    <w:rsid w:val="00D201E2"/>
    <w:rsid w:val="00D20926"/>
    <w:rsid w:val="00D26944"/>
    <w:rsid w:val="00D32CA4"/>
    <w:rsid w:val="00D32D1C"/>
    <w:rsid w:val="00D353D1"/>
    <w:rsid w:val="00D40F53"/>
    <w:rsid w:val="00D4134E"/>
    <w:rsid w:val="00D446F3"/>
    <w:rsid w:val="00D465A6"/>
    <w:rsid w:val="00D515FF"/>
    <w:rsid w:val="00D543BA"/>
    <w:rsid w:val="00D57EC9"/>
    <w:rsid w:val="00D6263E"/>
    <w:rsid w:val="00D644FD"/>
    <w:rsid w:val="00D73DB3"/>
    <w:rsid w:val="00D7434F"/>
    <w:rsid w:val="00D74FBF"/>
    <w:rsid w:val="00D75153"/>
    <w:rsid w:val="00D836FD"/>
    <w:rsid w:val="00D908DF"/>
    <w:rsid w:val="00D91BFF"/>
    <w:rsid w:val="00D92E03"/>
    <w:rsid w:val="00D955C8"/>
    <w:rsid w:val="00D95A7C"/>
    <w:rsid w:val="00D97115"/>
    <w:rsid w:val="00DA47D9"/>
    <w:rsid w:val="00DA61DA"/>
    <w:rsid w:val="00DB3E61"/>
    <w:rsid w:val="00DB49B6"/>
    <w:rsid w:val="00DB7A53"/>
    <w:rsid w:val="00DC3769"/>
    <w:rsid w:val="00DD5E95"/>
    <w:rsid w:val="00DE0848"/>
    <w:rsid w:val="00DE393A"/>
    <w:rsid w:val="00DE59DD"/>
    <w:rsid w:val="00DE70B4"/>
    <w:rsid w:val="00DF7185"/>
    <w:rsid w:val="00E022A9"/>
    <w:rsid w:val="00E06419"/>
    <w:rsid w:val="00E13130"/>
    <w:rsid w:val="00E13275"/>
    <w:rsid w:val="00E148A6"/>
    <w:rsid w:val="00E2001C"/>
    <w:rsid w:val="00E20AD6"/>
    <w:rsid w:val="00E2192B"/>
    <w:rsid w:val="00E2229C"/>
    <w:rsid w:val="00E26E41"/>
    <w:rsid w:val="00E31C6F"/>
    <w:rsid w:val="00E330FE"/>
    <w:rsid w:val="00E3353A"/>
    <w:rsid w:val="00E3421C"/>
    <w:rsid w:val="00E351C1"/>
    <w:rsid w:val="00E37734"/>
    <w:rsid w:val="00E433AC"/>
    <w:rsid w:val="00E537C1"/>
    <w:rsid w:val="00E53F4F"/>
    <w:rsid w:val="00E552BC"/>
    <w:rsid w:val="00E60EF2"/>
    <w:rsid w:val="00E61CC7"/>
    <w:rsid w:val="00E653A3"/>
    <w:rsid w:val="00E661C5"/>
    <w:rsid w:val="00E66369"/>
    <w:rsid w:val="00E6759D"/>
    <w:rsid w:val="00E82A03"/>
    <w:rsid w:val="00E847C5"/>
    <w:rsid w:val="00E91DA8"/>
    <w:rsid w:val="00E92683"/>
    <w:rsid w:val="00E94B0A"/>
    <w:rsid w:val="00E95A32"/>
    <w:rsid w:val="00EA0507"/>
    <w:rsid w:val="00EA0EC3"/>
    <w:rsid w:val="00EA4E35"/>
    <w:rsid w:val="00EA5103"/>
    <w:rsid w:val="00EA64C9"/>
    <w:rsid w:val="00EA6FE2"/>
    <w:rsid w:val="00EB0467"/>
    <w:rsid w:val="00EB0EEF"/>
    <w:rsid w:val="00EB1535"/>
    <w:rsid w:val="00EB20BE"/>
    <w:rsid w:val="00EB3330"/>
    <w:rsid w:val="00EB3D68"/>
    <w:rsid w:val="00EC2669"/>
    <w:rsid w:val="00EC425E"/>
    <w:rsid w:val="00EC517A"/>
    <w:rsid w:val="00EC7303"/>
    <w:rsid w:val="00EC7A5B"/>
    <w:rsid w:val="00ED4C1C"/>
    <w:rsid w:val="00ED53C6"/>
    <w:rsid w:val="00ED6DDC"/>
    <w:rsid w:val="00EE587A"/>
    <w:rsid w:val="00EE76CE"/>
    <w:rsid w:val="00EE7F59"/>
    <w:rsid w:val="00EF1189"/>
    <w:rsid w:val="00EF217F"/>
    <w:rsid w:val="00F10A0C"/>
    <w:rsid w:val="00F12C86"/>
    <w:rsid w:val="00F13026"/>
    <w:rsid w:val="00F202C7"/>
    <w:rsid w:val="00F21CDF"/>
    <w:rsid w:val="00F25755"/>
    <w:rsid w:val="00F278E5"/>
    <w:rsid w:val="00F303A6"/>
    <w:rsid w:val="00F307E9"/>
    <w:rsid w:val="00F31895"/>
    <w:rsid w:val="00F3285E"/>
    <w:rsid w:val="00F32E5B"/>
    <w:rsid w:val="00F34CF8"/>
    <w:rsid w:val="00F3568E"/>
    <w:rsid w:val="00F407A8"/>
    <w:rsid w:val="00F41E77"/>
    <w:rsid w:val="00F44D67"/>
    <w:rsid w:val="00F45EB1"/>
    <w:rsid w:val="00F51957"/>
    <w:rsid w:val="00F52F8B"/>
    <w:rsid w:val="00F63312"/>
    <w:rsid w:val="00F65557"/>
    <w:rsid w:val="00F67593"/>
    <w:rsid w:val="00F74381"/>
    <w:rsid w:val="00F77C03"/>
    <w:rsid w:val="00F82064"/>
    <w:rsid w:val="00F87D1D"/>
    <w:rsid w:val="00F905EC"/>
    <w:rsid w:val="00F91DCB"/>
    <w:rsid w:val="00F924D8"/>
    <w:rsid w:val="00F94816"/>
    <w:rsid w:val="00F96980"/>
    <w:rsid w:val="00FA2055"/>
    <w:rsid w:val="00FA208E"/>
    <w:rsid w:val="00FA382B"/>
    <w:rsid w:val="00FA4C7E"/>
    <w:rsid w:val="00FA4D80"/>
    <w:rsid w:val="00FA4F03"/>
    <w:rsid w:val="00FA50E8"/>
    <w:rsid w:val="00FA6A9D"/>
    <w:rsid w:val="00FA77C8"/>
    <w:rsid w:val="00FB03A1"/>
    <w:rsid w:val="00FB7C15"/>
    <w:rsid w:val="00FC3F1B"/>
    <w:rsid w:val="00FC530A"/>
    <w:rsid w:val="00FC6C54"/>
    <w:rsid w:val="00FD0800"/>
    <w:rsid w:val="00FD364A"/>
    <w:rsid w:val="00FD5205"/>
    <w:rsid w:val="00FD5661"/>
    <w:rsid w:val="00FD58CB"/>
    <w:rsid w:val="00FE2A9D"/>
    <w:rsid w:val="00FE673C"/>
    <w:rsid w:val="00FF1AC1"/>
    <w:rsid w:val="00FF2866"/>
    <w:rsid w:val="00FF3BCD"/>
    <w:rsid w:val="00FF5B28"/>
    <w:rsid w:val="00FF7C18"/>
    <w:rsid w:val="01076050"/>
    <w:rsid w:val="010C3DC8"/>
    <w:rsid w:val="01525212"/>
    <w:rsid w:val="01564054"/>
    <w:rsid w:val="017E6D95"/>
    <w:rsid w:val="01D715BE"/>
    <w:rsid w:val="01EB45BC"/>
    <w:rsid w:val="01FA63A5"/>
    <w:rsid w:val="02011C7D"/>
    <w:rsid w:val="02035523"/>
    <w:rsid w:val="021C6E40"/>
    <w:rsid w:val="02222FF2"/>
    <w:rsid w:val="02384FF4"/>
    <w:rsid w:val="023F67A9"/>
    <w:rsid w:val="025235B1"/>
    <w:rsid w:val="0261662C"/>
    <w:rsid w:val="0262674D"/>
    <w:rsid w:val="02747B01"/>
    <w:rsid w:val="0281653D"/>
    <w:rsid w:val="02890D36"/>
    <w:rsid w:val="02D92EF7"/>
    <w:rsid w:val="02DA4665"/>
    <w:rsid w:val="02F40325"/>
    <w:rsid w:val="031126C4"/>
    <w:rsid w:val="036A009A"/>
    <w:rsid w:val="03844805"/>
    <w:rsid w:val="03845791"/>
    <w:rsid w:val="03A011E9"/>
    <w:rsid w:val="03AE7F27"/>
    <w:rsid w:val="03BD2BCD"/>
    <w:rsid w:val="040B7160"/>
    <w:rsid w:val="04416C20"/>
    <w:rsid w:val="047968B1"/>
    <w:rsid w:val="04870542"/>
    <w:rsid w:val="04B844FD"/>
    <w:rsid w:val="05376505"/>
    <w:rsid w:val="05545DD3"/>
    <w:rsid w:val="05663F99"/>
    <w:rsid w:val="056D52E8"/>
    <w:rsid w:val="056E2AD6"/>
    <w:rsid w:val="05806815"/>
    <w:rsid w:val="058251D3"/>
    <w:rsid w:val="05945CCE"/>
    <w:rsid w:val="059D05A4"/>
    <w:rsid w:val="059D5E17"/>
    <w:rsid w:val="05AB0A28"/>
    <w:rsid w:val="05AB0F81"/>
    <w:rsid w:val="05B93D6B"/>
    <w:rsid w:val="05D53002"/>
    <w:rsid w:val="05D75738"/>
    <w:rsid w:val="05E75EEA"/>
    <w:rsid w:val="06145DC8"/>
    <w:rsid w:val="061E7D14"/>
    <w:rsid w:val="06560AED"/>
    <w:rsid w:val="066469C9"/>
    <w:rsid w:val="066646A1"/>
    <w:rsid w:val="06983B20"/>
    <w:rsid w:val="069A3B66"/>
    <w:rsid w:val="06B91765"/>
    <w:rsid w:val="06CA2AD2"/>
    <w:rsid w:val="06CB2601"/>
    <w:rsid w:val="06CE3071"/>
    <w:rsid w:val="06D33DBA"/>
    <w:rsid w:val="06E13F9F"/>
    <w:rsid w:val="06FB0AC5"/>
    <w:rsid w:val="070D2D5D"/>
    <w:rsid w:val="07111B8D"/>
    <w:rsid w:val="074A5B92"/>
    <w:rsid w:val="075E3193"/>
    <w:rsid w:val="078E18EB"/>
    <w:rsid w:val="07B10EA5"/>
    <w:rsid w:val="07CE3FA1"/>
    <w:rsid w:val="07EC2ECB"/>
    <w:rsid w:val="07FE66CB"/>
    <w:rsid w:val="080B4D47"/>
    <w:rsid w:val="08321601"/>
    <w:rsid w:val="083D5C91"/>
    <w:rsid w:val="0847191F"/>
    <w:rsid w:val="08591DC3"/>
    <w:rsid w:val="08594552"/>
    <w:rsid w:val="087C4541"/>
    <w:rsid w:val="087E5595"/>
    <w:rsid w:val="08C52D6F"/>
    <w:rsid w:val="08EF0201"/>
    <w:rsid w:val="08F41DE8"/>
    <w:rsid w:val="092C4EB6"/>
    <w:rsid w:val="092D54BA"/>
    <w:rsid w:val="09737462"/>
    <w:rsid w:val="099156C3"/>
    <w:rsid w:val="09A53F39"/>
    <w:rsid w:val="09A60E13"/>
    <w:rsid w:val="09D206F0"/>
    <w:rsid w:val="0A0106F5"/>
    <w:rsid w:val="0A11626D"/>
    <w:rsid w:val="0A321AC2"/>
    <w:rsid w:val="0A343D4E"/>
    <w:rsid w:val="0A3E6D2E"/>
    <w:rsid w:val="0AA3501D"/>
    <w:rsid w:val="0AD13A85"/>
    <w:rsid w:val="0B091954"/>
    <w:rsid w:val="0B60559C"/>
    <w:rsid w:val="0B637D77"/>
    <w:rsid w:val="0BAC324F"/>
    <w:rsid w:val="0BF72F1E"/>
    <w:rsid w:val="0C3957A5"/>
    <w:rsid w:val="0C626DA7"/>
    <w:rsid w:val="0C6876AE"/>
    <w:rsid w:val="0C720EC8"/>
    <w:rsid w:val="0C942042"/>
    <w:rsid w:val="0C9D50DC"/>
    <w:rsid w:val="0CA33FE6"/>
    <w:rsid w:val="0CA5271D"/>
    <w:rsid w:val="0CAC4D10"/>
    <w:rsid w:val="0CC72121"/>
    <w:rsid w:val="0CEE5A21"/>
    <w:rsid w:val="0D0646E7"/>
    <w:rsid w:val="0D0C38CA"/>
    <w:rsid w:val="0D350DE1"/>
    <w:rsid w:val="0D3C2711"/>
    <w:rsid w:val="0DAD4070"/>
    <w:rsid w:val="0DC577E0"/>
    <w:rsid w:val="0DDC6319"/>
    <w:rsid w:val="0E0C0D4C"/>
    <w:rsid w:val="0E115DA1"/>
    <w:rsid w:val="0E162D6D"/>
    <w:rsid w:val="0E541CA2"/>
    <w:rsid w:val="0E594756"/>
    <w:rsid w:val="0E770F85"/>
    <w:rsid w:val="0E95596D"/>
    <w:rsid w:val="0EAB264A"/>
    <w:rsid w:val="0EAE6205"/>
    <w:rsid w:val="0EAE6579"/>
    <w:rsid w:val="0EAF71BF"/>
    <w:rsid w:val="0ECE6257"/>
    <w:rsid w:val="0EE4129D"/>
    <w:rsid w:val="0F171032"/>
    <w:rsid w:val="0F335E69"/>
    <w:rsid w:val="0F3D59C9"/>
    <w:rsid w:val="0F516D5A"/>
    <w:rsid w:val="0F565B36"/>
    <w:rsid w:val="0F821E7D"/>
    <w:rsid w:val="0FC7113A"/>
    <w:rsid w:val="0FE7592C"/>
    <w:rsid w:val="0FFD20F0"/>
    <w:rsid w:val="101C45D9"/>
    <w:rsid w:val="103E6E57"/>
    <w:rsid w:val="1041497B"/>
    <w:rsid w:val="10425FF6"/>
    <w:rsid w:val="109010E6"/>
    <w:rsid w:val="109778E6"/>
    <w:rsid w:val="10B271F4"/>
    <w:rsid w:val="10C8275C"/>
    <w:rsid w:val="10E03539"/>
    <w:rsid w:val="10E82D1F"/>
    <w:rsid w:val="10EE5C94"/>
    <w:rsid w:val="113329E7"/>
    <w:rsid w:val="113F294C"/>
    <w:rsid w:val="11437C85"/>
    <w:rsid w:val="115038ED"/>
    <w:rsid w:val="11511160"/>
    <w:rsid w:val="1166372C"/>
    <w:rsid w:val="11700D10"/>
    <w:rsid w:val="11763776"/>
    <w:rsid w:val="1178125A"/>
    <w:rsid w:val="1196056D"/>
    <w:rsid w:val="11D34654"/>
    <w:rsid w:val="12010480"/>
    <w:rsid w:val="120E707F"/>
    <w:rsid w:val="121961FC"/>
    <w:rsid w:val="127A7D1C"/>
    <w:rsid w:val="12836D8B"/>
    <w:rsid w:val="12AB0349"/>
    <w:rsid w:val="12CD57F1"/>
    <w:rsid w:val="12CE7AFA"/>
    <w:rsid w:val="12D67466"/>
    <w:rsid w:val="12E93833"/>
    <w:rsid w:val="13272A5D"/>
    <w:rsid w:val="13493108"/>
    <w:rsid w:val="13733928"/>
    <w:rsid w:val="138A5BED"/>
    <w:rsid w:val="138C7281"/>
    <w:rsid w:val="139C16C9"/>
    <w:rsid w:val="13B63CE1"/>
    <w:rsid w:val="13BC6684"/>
    <w:rsid w:val="13C72B3A"/>
    <w:rsid w:val="13DF575E"/>
    <w:rsid w:val="13EE3A98"/>
    <w:rsid w:val="13F60424"/>
    <w:rsid w:val="142123F7"/>
    <w:rsid w:val="142A11D8"/>
    <w:rsid w:val="144B544C"/>
    <w:rsid w:val="145B7B45"/>
    <w:rsid w:val="14717443"/>
    <w:rsid w:val="148D52E3"/>
    <w:rsid w:val="14992B90"/>
    <w:rsid w:val="14AF1856"/>
    <w:rsid w:val="14AF19A3"/>
    <w:rsid w:val="14B53957"/>
    <w:rsid w:val="14C53ECE"/>
    <w:rsid w:val="14E002E6"/>
    <w:rsid w:val="14FC36BD"/>
    <w:rsid w:val="151E3A0F"/>
    <w:rsid w:val="1557566D"/>
    <w:rsid w:val="156F3F8B"/>
    <w:rsid w:val="15811F1B"/>
    <w:rsid w:val="15A30135"/>
    <w:rsid w:val="15A34015"/>
    <w:rsid w:val="15A85F08"/>
    <w:rsid w:val="15A94E30"/>
    <w:rsid w:val="15E2236F"/>
    <w:rsid w:val="161D09ED"/>
    <w:rsid w:val="162323A3"/>
    <w:rsid w:val="162F30B1"/>
    <w:rsid w:val="16510F12"/>
    <w:rsid w:val="166448F9"/>
    <w:rsid w:val="1677211D"/>
    <w:rsid w:val="167954F9"/>
    <w:rsid w:val="16A060BA"/>
    <w:rsid w:val="16A57EAF"/>
    <w:rsid w:val="16AC6E3F"/>
    <w:rsid w:val="16C872D5"/>
    <w:rsid w:val="16D54FA3"/>
    <w:rsid w:val="16D84D9F"/>
    <w:rsid w:val="16E94D3E"/>
    <w:rsid w:val="17044B01"/>
    <w:rsid w:val="170D06E0"/>
    <w:rsid w:val="17332185"/>
    <w:rsid w:val="17475951"/>
    <w:rsid w:val="17487963"/>
    <w:rsid w:val="179F2E61"/>
    <w:rsid w:val="17B6195E"/>
    <w:rsid w:val="17C227C0"/>
    <w:rsid w:val="17EE4314"/>
    <w:rsid w:val="18097740"/>
    <w:rsid w:val="185D3C42"/>
    <w:rsid w:val="185F38AF"/>
    <w:rsid w:val="18A40BC9"/>
    <w:rsid w:val="18AD1BEB"/>
    <w:rsid w:val="18B3004A"/>
    <w:rsid w:val="18B90B18"/>
    <w:rsid w:val="18B96080"/>
    <w:rsid w:val="18CB1907"/>
    <w:rsid w:val="18F67868"/>
    <w:rsid w:val="190B2D88"/>
    <w:rsid w:val="190E6B63"/>
    <w:rsid w:val="19123928"/>
    <w:rsid w:val="19153875"/>
    <w:rsid w:val="19194264"/>
    <w:rsid w:val="19306900"/>
    <w:rsid w:val="19420786"/>
    <w:rsid w:val="19427EC0"/>
    <w:rsid w:val="195711D7"/>
    <w:rsid w:val="195D2A3F"/>
    <w:rsid w:val="198310E9"/>
    <w:rsid w:val="198D2276"/>
    <w:rsid w:val="198D747A"/>
    <w:rsid w:val="19A15638"/>
    <w:rsid w:val="1A125525"/>
    <w:rsid w:val="1A394CFA"/>
    <w:rsid w:val="1A5F4342"/>
    <w:rsid w:val="1A6A3709"/>
    <w:rsid w:val="1A8C5D82"/>
    <w:rsid w:val="1A994988"/>
    <w:rsid w:val="1A9B546C"/>
    <w:rsid w:val="1AA3511F"/>
    <w:rsid w:val="1AAE3B54"/>
    <w:rsid w:val="1AC10987"/>
    <w:rsid w:val="1B0C5B32"/>
    <w:rsid w:val="1B0D3E82"/>
    <w:rsid w:val="1B1652AB"/>
    <w:rsid w:val="1B181CD5"/>
    <w:rsid w:val="1B265306"/>
    <w:rsid w:val="1B3171D1"/>
    <w:rsid w:val="1B4F2450"/>
    <w:rsid w:val="1B8C18B7"/>
    <w:rsid w:val="1B9958A6"/>
    <w:rsid w:val="1BB73AE1"/>
    <w:rsid w:val="1BBE1FA1"/>
    <w:rsid w:val="1BDA6D68"/>
    <w:rsid w:val="1C555978"/>
    <w:rsid w:val="1C6554A1"/>
    <w:rsid w:val="1C7971B7"/>
    <w:rsid w:val="1CD402EC"/>
    <w:rsid w:val="1CEA3142"/>
    <w:rsid w:val="1CEB7F0B"/>
    <w:rsid w:val="1CF02333"/>
    <w:rsid w:val="1D0C33A2"/>
    <w:rsid w:val="1D113E6E"/>
    <w:rsid w:val="1D114E5E"/>
    <w:rsid w:val="1D1F0050"/>
    <w:rsid w:val="1D2222DC"/>
    <w:rsid w:val="1D5B3CDE"/>
    <w:rsid w:val="1D6E2950"/>
    <w:rsid w:val="1D970CFC"/>
    <w:rsid w:val="1D98209B"/>
    <w:rsid w:val="1DA23746"/>
    <w:rsid w:val="1DAA14B9"/>
    <w:rsid w:val="1DD04513"/>
    <w:rsid w:val="1E656063"/>
    <w:rsid w:val="1E6B06A5"/>
    <w:rsid w:val="1E777B20"/>
    <w:rsid w:val="1E7F7D9E"/>
    <w:rsid w:val="1E840DA4"/>
    <w:rsid w:val="1EA5444C"/>
    <w:rsid w:val="1EB350EF"/>
    <w:rsid w:val="1EC21749"/>
    <w:rsid w:val="1EEB7C4E"/>
    <w:rsid w:val="1F171B83"/>
    <w:rsid w:val="1F2D491A"/>
    <w:rsid w:val="1F7369C7"/>
    <w:rsid w:val="1F94547B"/>
    <w:rsid w:val="1FAF308C"/>
    <w:rsid w:val="1FC11109"/>
    <w:rsid w:val="1FE43FA1"/>
    <w:rsid w:val="1FEF08C8"/>
    <w:rsid w:val="1FF72E6A"/>
    <w:rsid w:val="201B3ED4"/>
    <w:rsid w:val="20310B02"/>
    <w:rsid w:val="20344F28"/>
    <w:rsid w:val="206A7390"/>
    <w:rsid w:val="206F0406"/>
    <w:rsid w:val="20784063"/>
    <w:rsid w:val="207E346A"/>
    <w:rsid w:val="20874663"/>
    <w:rsid w:val="208E12C3"/>
    <w:rsid w:val="209502A3"/>
    <w:rsid w:val="20B767FD"/>
    <w:rsid w:val="210F579E"/>
    <w:rsid w:val="212550B5"/>
    <w:rsid w:val="21592B62"/>
    <w:rsid w:val="21747CD2"/>
    <w:rsid w:val="219E5782"/>
    <w:rsid w:val="21E72B0B"/>
    <w:rsid w:val="221F2D96"/>
    <w:rsid w:val="22246DB1"/>
    <w:rsid w:val="22400268"/>
    <w:rsid w:val="22440067"/>
    <w:rsid w:val="225A6017"/>
    <w:rsid w:val="226C110E"/>
    <w:rsid w:val="227A5532"/>
    <w:rsid w:val="22825B11"/>
    <w:rsid w:val="22843A03"/>
    <w:rsid w:val="22A338AB"/>
    <w:rsid w:val="22AD37A2"/>
    <w:rsid w:val="22B31E8A"/>
    <w:rsid w:val="22C735BD"/>
    <w:rsid w:val="23122833"/>
    <w:rsid w:val="23223458"/>
    <w:rsid w:val="23225D32"/>
    <w:rsid w:val="23357BE6"/>
    <w:rsid w:val="2342574E"/>
    <w:rsid w:val="23681488"/>
    <w:rsid w:val="2377331D"/>
    <w:rsid w:val="237D43DE"/>
    <w:rsid w:val="23827D58"/>
    <w:rsid w:val="23940114"/>
    <w:rsid w:val="23B57016"/>
    <w:rsid w:val="23D4764B"/>
    <w:rsid w:val="23EC3718"/>
    <w:rsid w:val="24044EF2"/>
    <w:rsid w:val="2407139D"/>
    <w:rsid w:val="240B04F4"/>
    <w:rsid w:val="242A0646"/>
    <w:rsid w:val="2435301D"/>
    <w:rsid w:val="243D6E1A"/>
    <w:rsid w:val="24607F91"/>
    <w:rsid w:val="246C581B"/>
    <w:rsid w:val="247C52A2"/>
    <w:rsid w:val="24CC106B"/>
    <w:rsid w:val="24D00598"/>
    <w:rsid w:val="24D725E9"/>
    <w:rsid w:val="24F44E2B"/>
    <w:rsid w:val="25045F70"/>
    <w:rsid w:val="25056E93"/>
    <w:rsid w:val="25092EBA"/>
    <w:rsid w:val="25241020"/>
    <w:rsid w:val="257572C3"/>
    <w:rsid w:val="25790E85"/>
    <w:rsid w:val="25972C60"/>
    <w:rsid w:val="259D1676"/>
    <w:rsid w:val="25A353EB"/>
    <w:rsid w:val="25B87B65"/>
    <w:rsid w:val="25CB78C3"/>
    <w:rsid w:val="25D54390"/>
    <w:rsid w:val="26021193"/>
    <w:rsid w:val="261879A7"/>
    <w:rsid w:val="264B0BA4"/>
    <w:rsid w:val="268C5256"/>
    <w:rsid w:val="268E455B"/>
    <w:rsid w:val="26912B30"/>
    <w:rsid w:val="269772F0"/>
    <w:rsid w:val="26A30712"/>
    <w:rsid w:val="26AC0C27"/>
    <w:rsid w:val="26C708A4"/>
    <w:rsid w:val="26C807A6"/>
    <w:rsid w:val="26DB67BA"/>
    <w:rsid w:val="26E311CD"/>
    <w:rsid w:val="26EF24ED"/>
    <w:rsid w:val="26F1408A"/>
    <w:rsid w:val="27015370"/>
    <w:rsid w:val="270B421F"/>
    <w:rsid w:val="274E2228"/>
    <w:rsid w:val="27517A93"/>
    <w:rsid w:val="276658E8"/>
    <w:rsid w:val="277E30D2"/>
    <w:rsid w:val="27803F2A"/>
    <w:rsid w:val="27A34941"/>
    <w:rsid w:val="27B150B0"/>
    <w:rsid w:val="27DC09B5"/>
    <w:rsid w:val="283C23DF"/>
    <w:rsid w:val="284C16F5"/>
    <w:rsid w:val="28570AB5"/>
    <w:rsid w:val="28573B25"/>
    <w:rsid w:val="28C2534B"/>
    <w:rsid w:val="28C5525A"/>
    <w:rsid w:val="28D14B96"/>
    <w:rsid w:val="29020C46"/>
    <w:rsid w:val="290240C7"/>
    <w:rsid w:val="29274EE0"/>
    <w:rsid w:val="2969197F"/>
    <w:rsid w:val="29746E87"/>
    <w:rsid w:val="297C03C2"/>
    <w:rsid w:val="299573AB"/>
    <w:rsid w:val="29BE5BD0"/>
    <w:rsid w:val="29C01572"/>
    <w:rsid w:val="29E74CE2"/>
    <w:rsid w:val="2A306A36"/>
    <w:rsid w:val="2A5372C6"/>
    <w:rsid w:val="2A5B03D8"/>
    <w:rsid w:val="2A6F6D07"/>
    <w:rsid w:val="2A882500"/>
    <w:rsid w:val="2AB63ABC"/>
    <w:rsid w:val="2B003D00"/>
    <w:rsid w:val="2B074D5E"/>
    <w:rsid w:val="2B100BA9"/>
    <w:rsid w:val="2B1E3AFC"/>
    <w:rsid w:val="2B9E4F56"/>
    <w:rsid w:val="2BDB5A88"/>
    <w:rsid w:val="2BE91C37"/>
    <w:rsid w:val="2BEC3F72"/>
    <w:rsid w:val="2C0634E0"/>
    <w:rsid w:val="2C083572"/>
    <w:rsid w:val="2C185F94"/>
    <w:rsid w:val="2C1F1AC4"/>
    <w:rsid w:val="2C3F3A41"/>
    <w:rsid w:val="2C4431C4"/>
    <w:rsid w:val="2C62059F"/>
    <w:rsid w:val="2C6634FA"/>
    <w:rsid w:val="2C732A67"/>
    <w:rsid w:val="2C9F25CE"/>
    <w:rsid w:val="2CA80956"/>
    <w:rsid w:val="2CAC022C"/>
    <w:rsid w:val="2CC11807"/>
    <w:rsid w:val="2CF16074"/>
    <w:rsid w:val="2CF81D1B"/>
    <w:rsid w:val="2D3F2453"/>
    <w:rsid w:val="2D835174"/>
    <w:rsid w:val="2DD90B7B"/>
    <w:rsid w:val="2DDD3FC1"/>
    <w:rsid w:val="2DF701D8"/>
    <w:rsid w:val="2DF970A1"/>
    <w:rsid w:val="2E085834"/>
    <w:rsid w:val="2E1034F8"/>
    <w:rsid w:val="2E440A2C"/>
    <w:rsid w:val="2E505773"/>
    <w:rsid w:val="2E742F70"/>
    <w:rsid w:val="2E793ED9"/>
    <w:rsid w:val="2EDC2A13"/>
    <w:rsid w:val="2EFD7DB9"/>
    <w:rsid w:val="2F191EB9"/>
    <w:rsid w:val="2F1A081D"/>
    <w:rsid w:val="2F1E3DC0"/>
    <w:rsid w:val="2F3112DE"/>
    <w:rsid w:val="2F38552A"/>
    <w:rsid w:val="2F3B6922"/>
    <w:rsid w:val="2F506C6D"/>
    <w:rsid w:val="2F51291F"/>
    <w:rsid w:val="2F55758A"/>
    <w:rsid w:val="2F6F6A4D"/>
    <w:rsid w:val="2F7F15AE"/>
    <w:rsid w:val="2FA54796"/>
    <w:rsid w:val="2FA674E2"/>
    <w:rsid w:val="2FFE7D49"/>
    <w:rsid w:val="301B1FE2"/>
    <w:rsid w:val="302A5C42"/>
    <w:rsid w:val="302C79CA"/>
    <w:rsid w:val="30B654E5"/>
    <w:rsid w:val="30BF439A"/>
    <w:rsid w:val="30CF6A37"/>
    <w:rsid w:val="30D250CF"/>
    <w:rsid w:val="30E738F1"/>
    <w:rsid w:val="31002970"/>
    <w:rsid w:val="311016AD"/>
    <w:rsid w:val="3136622A"/>
    <w:rsid w:val="3139422E"/>
    <w:rsid w:val="31700E4B"/>
    <w:rsid w:val="3172683C"/>
    <w:rsid w:val="319A0963"/>
    <w:rsid w:val="31A359FC"/>
    <w:rsid w:val="31AD0D61"/>
    <w:rsid w:val="31BC3A1D"/>
    <w:rsid w:val="31CD73BD"/>
    <w:rsid w:val="31D66571"/>
    <w:rsid w:val="31DB4220"/>
    <w:rsid w:val="31E63B94"/>
    <w:rsid w:val="32176602"/>
    <w:rsid w:val="322A7699"/>
    <w:rsid w:val="322B25C6"/>
    <w:rsid w:val="32422E70"/>
    <w:rsid w:val="325E56C6"/>
    <w:rsid w:val="3275698A"/>
    <w:rsid w:val="32B51EF8"/>
    <w:rsid w:val="32B943EC"/>
    <w:rsid w:val="32CE6A40"/>
    <w:rsid w:val="32DC63A0"/>
    <w:rsid w:val="32E429C1"/>
    <w:rsid w:val="330C2739"/>
    <w:rsid w:val="334A3B2A"/>
    <w:rsid w:val="3365592E"/>
    <w:rsid w:val="336F6533"/>
    <w:rsid w:val="337E5E2F"/>
    <w:rsid w:val="3384610D"/>
    <w:rsid w:val="33AA5979"/>
    <w:rsid w:val="33C03E90"/>
    <w:rsid w:val="33C96649"/>
    <w:rsid w:val="33CC3D88"/>
    <w:rsid w:val="33F055DB"/>
    <w:rsid w:val="33FD722F"/>
    <w:rsid w:val="3400362D"/>
    <w:rsid w:val="340B09C5"/>
    <w:rsid w:val="341E4CAB"/>
    <w:rsid w:val="34410298"/>
    <w:rsid w:val="34584EE2"/>
    <w:rsid w:val="347D373F"/>
    <w:rsid w:val="34956481"/>
    <w:rsid w:val="34963E2C"/>
    <w:rsid w:val="34A35871"/>
    <w:rsid w:val="34C06C9D"/>
    <w:rsid w:val="34DF24AE"/>
    <w:rsid w:val="351C4931"/>
    <w:rsid w:val="351D4C26"/>
    <w:rsid w:val="35361A77"/>
    <w:rsid w:val="35461A22"/>
    <w:rsid w:val="35483CC9"/>
    <w:rsid w:val="35A815CB"/>
    <w:rsid w:val="35AA1B9C"/>
    <w:rsid w:val="35DB09A6"/>
    <w:rsid w:val="3627310D"/>
    <w:rsid w:val="36421CF5"/>
    <w:rsid w:val="36973983"/>
    <w:rsid w:val="3699568D"/>
    <w:rsid w:val="369B4CF0"/>
    <w:rsid w:val="36AD060C"/>
    <w:rsid w:val="36B44275"/>
    <w:rsid w:val="36D62629"/>
    <w:rsid w:val="36D76172"/>
    <w:rsid w:val="36E65D57"/>
    <w:rsid w:val="36E833BB"/>
    <w:rsid w:val="36EB1E1B"/>
    <w:rsid w:val="36EE3C2B"/>
    <w:rsid w:val="36F17F0D"/>
    <w:rsid w:val="37010D02"/>
    <w:rsid w:val="3735197D"/>
    <w:rsid w:val="373756A2"/>
    <w:rsid w:val="375E0DA6"/>
    <w:rsid w:val="378B61A6"/>
    <w:rsid w:val="37CD3F98"/>
    <w:rsid w:val="37DF75BA"/>
    <w:rsid w:val="37E148E2"/>
    <w:rsid w:val="38037262"/>
    <w:rsid w:val="38304889"/>
    <w:rsid w:val="38382675"/>
    <w:rsid w:val="3851700B"/>
    <w:rsid w:val="385246B6"/>
    <w:rsid w:val="38A53DB7"/>
    <w:rsid w:val="38BF3388"/>
    <w:rsid w:val="38CC268D"/>
    <w:rsid w:val="38EC2960"/>
    <w:rsid w:val="38F640E2"/>
    <w:rsid w:val="392536E2"/>
    <w:rsid w:val="39395448"/>
    <w:rsid w:val="39465F15"/>
    <w:rsid w:val="396453C5"/>
    <w:rsid w:val="39922CCF"/>
    <w:rsid w:val="39A65327"/>
    <w:rsid w:val="39A65C9B"/>
    <w:rsid w:val="39BC5ED6"/>
    <w:rsid w:val="39EB39E0"/>
    <w:rsid w:val="39EF02D4"/>
    <w:rsid w:val="3A11342A"/>
    <w:rsid w:val="3A153110"/>
    <w:rsid w:val="3A2507C0"/>
    <w:rsid w:val="3A393FA7"/>
    <w:rsid w:val="3A64203E"/>
    <w:rsid w:val="3A663D00"/>
    <w:rsid w:val="3A7428D0"/>
    <w:rsid w:val="3A923AE4"/>
    <w:rsid w:val="3AA50E25"/>
    <w:rsid w:val="3AAF1923"/>
    <w:rsid w:val="3AC566E3"/>
    <w:rsid w:val="3AD24831"/>
    <w:rsid w:val="3AD6747A"/>
    <w:rsid w:val="3B0F5F1E"/>
    <w:rsid w:val="3B3D0FF2"/>
    <w:rsid w:val="3B521A18"/>
    <w:rsid w:val="3B923660"/>
    <w:rsid w:val="3B9823B7"/>
    <w:rsid w:val="3BCA44BE"/>
    <w:rsid w:val="3C061F3A"/>
    <w:rsid w:val="3C495480"/>
    <w:rsid w:val="3C6F0167"/>
    <w:rsid w:val="3C71667B"/>
    <w:rsid w:val="3C914F3B"/>
    <w:rsid w:val="3CC17F13"/>
    <w:rsid w:val="3CE320A3"/>
    <w:rsid w:val="3CE9196C"/>
    <w:rsid w:val="3CF15105"/>
    <w:rsid w:val="3D0C04B9"/>
    <w:rsid w:val="3D1414C5"/>
    <w:rsid w:val="3D1C763E"/>
    <w:rsid w:val="3D201AA5"/>
    <w:rsid w:val="3D2B37EA"/>
    <w:rsid w:val="3D2F7FF3"/>
    <w:rsid w:val="3D3D1507"/>
    <w:rsid w:val="3D5A2496"/>
    <w:rsid w:val="3D62085B"/>
    <w:rsid w:val="3D766DBD"/>
    <w:rsid w:val="3D7B4622"/>
    <w:rsid w:val="3D934BE4"/>
    <w:rsid w:val="3D942E29"/>
    <w:rsid w:val="3DB54E0C"/>
    <w:rsid w:val="3DB900C1"/>
    <w:rsid w:val="3DE91725"/>
    <w:rsid w:val="3DF159B1"/>
    <w:rsid w:val="3E1A106E"/>
    <w:rsid w:val="3E36303B"/>
    <w:rsid w:val="3E526044"/>
    <w:rsid w:val="3E8C5311"/>
    <w:rsid w:val="3E8E7E55"/>
    <w:rsid w:val="3EB61473"/>
    <w:rsid w:val="3EDA0A4D"/>
    <w:rsid w:val="3F315E6B"/>
    <w:rsid w:val="3F5175E2"/>
    <w:rsid w:val="3F56276A"/>
    <w:rsid w:val="3F6018A2"/>
    <w:rsid w:val="3F6C10E0"/>
    <w:rsid w:val="3F870779"/>
    <w:rsid w:val="3F963015"/>
    <w:rsid w:val="3F964D35"/>
    <w:rsid w:val="3FA327ED"/>
    <w:rsid w:val="3FB11738"/>
    <w:rsid w:val="3FB5581B"/>
    <w:rsid w:val="3FC33D05"/>
    <w:rsid w:val="3FF46B18"/>
    <w:rsid w:val="3FF74A2E"/>
    <w:rsid w:val="3FFC36E2"/>
    <w:rsid w:val="4005572D"/>
    <w:rsid w:val="402833BA"/>
    <w:rsid w:val="40283C2B"/>
    <w:rsid w:val="402E4D28"/>
    <w:rsid w:val="40394FD1"/>
    <w:rsid w:val="40425879"/>
    <w:rsid w:val="40765D15"/>
    <w:rsid w:val="407F2DE9"/>
    <w:rsid w:val="40991379"/>
    <w:rsid w:val="409B3C3D"/>
    <w:rsid w:val="40F701DF"/>
    <w:rsid w:val="40FD480A"/>
    <w:rsid w:val="411424E0"/>
    <w:rsid w:val="412A32F8"/>
    <w:rsid w:val="417F433E"/>
    <w:rsid w:val="418238EE"/>
    <w:rsid w:val="41845E18"/>
    <w:rsid w:val="41B617E9"/>
    <w:rsid w:val="41B7239D"/>
    <w:rsid w:val="41F925A6"/>
    <w:rsid w:val="41FF3845"/>
    <w:rsid w:val="420C67D1"/>
    <w:rsid w:val="421104A9"/>
    <w:rsid w:val="42143B88"/>
    <w:rsid w:val="42164586"/>
    <w:rsid w:val="425B5DD1"/>
    <w:rsid w:val="4260300C"/>
    <w:rsid w:val="42800B9B"/>
    <w:rsid w:val="42A06B6C"/>
    <w:rsid w:val="42EA5650"/>
    <w:rsid w:val="431408DA"/>
    <w:rsid w:val="4331401E"/>
    <w:rsid w:val="435A0DF2"/>
    <w:rsid w:val="435E5C94"/>
    <w:rsid w:val="436C42E1"/>
    <w:rsid w:val="437C210F"/>
    <w:rsid w:val="43847F02"/>
    <w:rsid w:val="438F113C"/>
    <w:rsid w:val="439E7EFB"/>
    <w:rsid w:val="43B1568A"/>
    <w:rsid w:val="43D43ECA"/>
    <w:rsid w:val="43DD452F"/>
    <w:rsid w:val="43DE6CD4"/>
    <w:rsid w:val="43E51150"/>
    <w:rsid w:val="43EF28BB"/>
    <w:rsid w:val="43EF56D3"/>
    <w:rsid w:val="440A6FD2"/>
    <w:rsid w:val="444946CA"/>
    <w:rsid w:val="444B3F54"/>
    <w:rsid w:val="4476661F"/>
    <w:rsid w:val="447E3AC5"/>
    <w:rsid w:val="449818E5"/>
    <w:rsid w:val="44A90BAA"/>
    <w:rsid w:val="44B24A20"/>
    <w:rsid w:val="44BC0BEE"/>
    <w:rsid w:val="44C922B6"/>
    <w:rsid w:val="44FB1C9C"/>
    <w:rsid w:val="454F1836"/>
    <w:rsid w:val="45887B45"/>
    <w:rsid w:val="458B66DF"/>
    <w:rsid w:val="45940F0E"/>
    <w:rsid w:val="45AC5DBA"/>
    <w:rsid w:val="45C647AF"/>
    <w:rsid w:val="45DD529D"/>
    <w:rsid w:val="45E57886"/>
    <w:rsid w:val="46003076"/>
    <w:rsid w:val="46177E29"/>
    <w:rsid w:val="46205B7F"/>
    <w:rsid w:val="46476EB4"/>
    <w:rsid w:val="465D501C"/>
    <w:rsid w:val="466060B3"/>
    <w:rsid w:val="466367DB"/>
    <w:rsid w:val="46686D18"/>
    <w:rsid w:val="46C3037C"/>
    <w:rsid w:val="46D218DD"/>
    <w:rsid w:val="46FF15E0"/>
    <w:rsid w:val="4700581C"/>
    <w:rsid w:val="4702516A"/>
    <w:rsid w:val="474A4B33"/>
    <w:rsid w:val="47665A15"/>
    <w:rsid w:val="47677941"/>
    <w:rsid w:val="477F1660"/>
    <w:rsid w:val="4788232A"/>
    <w:rsid w:val="478B0398"/>
    <w:rsid w:val="478F5D0B"/>
    <w:rsid w:val="47B8724E"/>
    <w:rsid w:val="47ED7BCA"/>
    <w:rsid w:val="48016F34"/>
    <w:rsid w:val="480556DB"/>
    <w:rsid w:val="48185C56"/>
    <w:rsid w:val="48450F81"/>
    <w:rsid w:val="484E729D"/>
    <w:rsid w:val="485A23C2"/>
    <w:rsid w:val="488F0E1B"/>
    <w:rsid w:val="48A16B62"/>
    <w:rsid w:val="48BC6222"/>
    <w:rsid w:val="48C245E9"/>
    <w:rsid w:val="48DB312A"/>
    <w:rsid w:val="48DF49D9"/>
    <w:rsid w:val="48E1539E"/>
    <w:rsid w:val="492108CC"/>
    <w:rsid w:val="49F66C27"/>
    <w:rsid w:val="4A05334F"/>
    <w:rsid w:val="4A176B9D"/>
    <w:rsid w:val="4A244932"/>
    <w:rsid w:val="4A2922C8"/>
    <w:rsid w:val="4A4117B2"/>
    <w:rsid w:val="4A730277"/>
    <w:rsid w:val="4A7A4350"/>
    <w:rsid w:val="4A7E2497"/>
    <w:rsid w:val="4A896826"/>
    <w:rsid w:val="4AA900AB"/>
    <w:rsid w:val="4ABF5E17"/>
    <w:rsid w:val="4AE01A66"/>
    <w:rsid w:val="4AED707B"/>
    <w:rsid w:val="4B0B7979"/>
    <w:rsid w:val="4B520DF4"/>
    <w:rsid w:val="4B603107"/>
    <w:rsid w:val="4B7047B7"/>
    <w:rsid w:val="4B78366B"/>
    <w:rsid w:val="4B9802B0"/>
    <w:rsid w:val="4B9E65BE"/>
    <w:rsid w:val="4B9F33A8"/>
    <w:rsid w:val="4BA80AFD"/>
    <w:rsid w:val="4BB033BA"/>
    <w:rsid w:val="4BB469AD"/>
    <w:rsid w:val="4BC06040"/>
    <w:rsid w:val="4BF441D2"/>
    <w:rsid w:val="4C1C2A09"/>
    <w:rsid w:val="4C694192"/>
    <w:rsid w:val="4C71246E"/>
    <w:rsid w:val="4C7964D9"/>
    <w:rsid w:val="4C9269F6"/>
    <w:rsid w:val="4CC84335"/>
    <w:rsid w:val="4CE9350A"/>
    <w:rsid w:val="4CEC4311"/>
    <w:rsid w:val="4CFB27A6"/>
    <w:rsid w:val="4D1C4D73"/>
    <w:rsid w:val="4D297BF3"/>
    <w:rsid w:val="4D2D0EAF"/>
    <w:rsid w:val="4D5B6A3E"/>
    <w:rsid w:val="4D5D0D6B"/>
    <w:rsid w:val="4D7F0082"/>
    <w:rsid w:val="4D952FD9"/>
    <w:rsid w:val="4D970662"/>
    <w:rsid w:val="4DB33393"/>
    <w:rsid w:val="4DCF1E0D"/>
    <w:rsid w:val="4DD632D9"/>
    <w:rsid w:val="4DE05DF9"/>
    <w:rsid w:val="4DE44800"/>
    <w:rsid w:val="4DEE0709"/>
    <w:rsid w:val="4DFC14EA"/>
    <w:rsid w:val="4DFF6815"/>
    <w:rsid w:val="4E0A3427"/>
    <w:rsid w:val="4E304B5D"/>
    <w:rsid w:val="4E682F8C"/>
    <w:rsid w:val="4E6A7BB7"/>
    <w:rsid w:val="4E7914C9"/>
    <w:rsid w:val="4EA56E6D"/>
    <w:rsid w:val="4EC015B1"/>
    <w:rsid w:val="4F0773B4"/>
    <w:rsid w:val="4F2953A8"/>
    <w:rsid w:val="4F307BB1"/>
    <w:rsid w:val="4F3D562D"/>
    <w:rsid w:val="4F4D08E4"/>
    <w:rsid w:val="4F5C4EE0"/>
    <w:rsid w:val="4F6208BA"/>
    <w:rsid w:val="4F6E1972"/>
    <w:rsid w:val="4F943166"/>
    <w:rsid w:val="4FB8672C"/>
    <w:rsid w:val="4FBA02A1"/>
    <w:rsid w:val="4FE7106E"/>
    <w:rsid w:val="50053943"/>
    <w:rsid w:val="501F0559"/>
    <w:rsid w:val="5030075B"/>
    <w:rsid w:val="50550E55"/>
    <w:rsid w:val="509F43E4"/>
    <w:rsid w:val="50A54D3E"/>
    <w:rsid w:val="50F1402B"/>
    <w:rsid w:val="50FD2AD9"/>
    <w:rsid w:val="51097D9A"/>
    <w:rsid w:val="51237D2E"/>
    <w:rsid w:val="51996737"/>
    <w:rsid w:val="51B408B8"/>
    <w:rsid w:val="51CC0868"/>
    <w:rsid w:val="51D5340F"/>
    <w:rsid w:val="51D653D1"/>
    <w:rsid w:val="52382F2A"/>
    <w:rsid w:val="52386E3D"/>
    <w:rsid w:val="523A7DD1"/>
    <w:rsid w:val="525B6CEF"/>
    <w:rsid w:val="5271774C"/>
    <w:rsid w:val="52DE008D"/>
    <w:rsid w:val="52EE341E"/>
    <w:rsid w:val="52F37FE6"/>
    <w:rsid w:val="52FC1CAF"/>
    <w:rsid w:val="531C6FD2"/>
    <w:rsid w:val="532B6CAF"/>
    <w:rsid w:val="53350D91"/>
    <w:rsid w:val="533F3BE9"/>
    <w:rsid w:val="53412644"/>
    <w:rsid w:val="53433903"/>
    <w:rsid w:val="53517A72"/>
    <w:rsid w:val="5361549D"/>
    <w:rsid w:val="536220DA"/>
    <w:rsid w:val="53650637"/>
    <w:rsid w:val="53757C6B"/>
    <w:rsid w:val="537E1075"/>
    <w:rsid w:val="53A44D07"/>
    <w:rsid w:val="53A46AC8"/>
    <w:rsid w:val="53AB7F1F"/>
    <w:rsid w:val="53AC6F7B"/>
    <w:rsid w:val="53C55637"/>
    <w:rsid w:val="53EB297B"/>
    <w:rsid w:val="541C7EC3"/>
    <w:rsid w:val="5422686A"/>
    <w:rsid w:val="542E2BC2"/>
    <w:rsid w:val="54352A96"/>
    <w:rsid w:val="54447390"/>
    <w:rsid w:val="545E1D01"/>
    <w:rsid w:val="54935B8F"/>
    <w:rsid w:val="54977258"/>
    <w:rsid w:val="54AD4386"/>
    <w:rsid w:val="54CC6227"/>
    <w:rsid w:val="54D10F9B"/>
    <w:rsid w:val="54ED6E78"/>
    <w:rsid w:val="551D586C"/>
    <w:rsid w:val="55200298"/>
    <w:rsid w:val="55335E1B"/>
    <w:rsid w:val="55342CF9"/>
    <w:rsid w:val="554B7EF0"/>
    <w:rsid w:val="556F3D99"/>
    <w:rsid w:val="55860894"/>
    <w:rsid w:val="558F587D"/>
    <w:rsid w:val="55A16125"/>
    <w:rsid w:val="55B02DF1"/>
    <w:rsid w:val="55DC290C"/>
    <w:rsid w:val="55F01FA1"/>
    <w:rsid w:val="5666669C"/>
    <w:rsid w:val="56990B7C"/>
    <w:rsid w:val="569E1126"/>
    <w:rsid w:val="56B80DEB"/>
    <w:rsid w:val="56E06E61"/>
    <w:rsid w:val="56E174BF"/>
    <w:rsid w:val="56F653FE"/>
    <w:rsid w:val="572F484E"/>
    <w:rsid w:val="574D1ABF"/>
    <w:rsid w:val="575B7AFD"/>
    <w:rsid w:val="57660D3F"/>
    <w:rsid w:val="57A203EE"/>
    <w:rsid w:val="57D1153D"/>
    <w:rsid w:val="57DC3362"/>
    <w:rsid w:val="57FA3774"/>
    <w:rsid w:val="58084A3C"/>
    <w:rsid w:val="582F1556"/>
    <w:rsid w:val="58324E4B"/>
    <w:rsid w:val="583354EA"/>
    <w:rsid w:val="585D2975"/>
    <w:rsid w:val="587E3341"/>
    <w:rsid w:val="58CF56D8"/>
    <w:rsid w:val="58D31010"/>
    <w:rsid w:val="58D6741E"/>
    <w:rsid w:val="58EA3D0E"/>
    <w:rsid w:val="58F71269"/>
    <w:rsid w:val="58FE045E"/>
    <w:rsid w:val="590074B8"/>
    <w:rsid w:val="590F193D"/>
    <w:rsid w:val="593757BC"/>
    <w:rsid w:val="59561946"/>
    <w:rsid w:val="59670F51"/>
    <w:rsid w:val="596A44F9"/>
    <w:rsid w:val="596C19BB"/>
    <w:rsid w:val="596C21DC"/>
    <w:rsid w:val="59722042"/>
    <w:rsid w:val="59790BDB"/>
    <w:rsid w:val="598653AC"/>
    <w:rsid w:val="59AC3C86"/>
    <w:rsid w:val="59D1293D"/>
    <w:rsid w:val="59D42FDA"/>
    <w:rsid w:val="59DA4E01"/>
    <w:rsid w:val="59F64E82"/>
    <w:rsid w:val="5A10435C"/>
    <w:rsid w:val="5A2654CC"/>
    <w:rsid w:val="5A323A44"/>
    <w:rsid w:val="5A395E66"/>
    <w:rsid w:val="5A427C66"/>
    <w:rsid w:val="5A484352"/>
    <w:rsid w:val="5A49507E"/>
    <w:rsid w:val="5A5321A5"/>
    <w:rsid w:val="5A56101C"/>
    <w:rsid w:val="5A8734AF"/>
    <w:rsid w:val="5A9D3E45"/>
    <w:rsid w:val="5AA4101D"/>
    <w:rsid w:val="5AB17576"/>
    <w:rsid w:val="5ABD68E6"/>
    <w:rsid w:val="5ABF73D2"/>
    <w:rsid w:val="5ACB3D8A"/>
    <w:rsid w:val="5AD14B46"/>
    <w:rsid w:val="5AE1508F"/>
    <w:rsid w:val="5AF80256"/>
    <w:rsid w:val="5B110CC9"/>
    <w:rsid w:val="5B1F7B5D"/>
    <w:rsid w:val="5B585171"/>
    <w:rsid w:val="5B585B78"/>
    <w:rsid w:val="5B6643C2"/>
    <w:rsid w:val="5B9A2B59"/>
    <w:rsid w:val="5BC0085A"/>
    <w:rsid w:val="5BE10DB9"/>
    <w:rsid w:val="5BF03D58"/>
    <w:rsid w:val="5C1A6BB2"/>
    <w:rsid w:val="5C5355FE"/>
    <w:rsid w:val="5C6A7000"/>
    <w:rsid w:val="5C6F4105"/>
    <w:rsid w:val="5CBB7F6F"/>
    <w:rsid w:val="5D7C3F11"/>
    <w:rsid w:val="5D9D49E0"/>
    <w:rsid w:val="5DDF1821"/>
    <w:rsid w:val="5DEA2F91"/>
    <w:rsid w:val="5E3146A3"/>
    <w:rsid w:val="5E442F62"/>
    <w:rsid w:val="5E6C2C5B"/>
    <w:rsid w:val="5E6C52B2"/>
    <w:rsid w:val="5E7251A2"/>
    <w:rsid w:val="5E7C3591"/>
    <w:rsid w:val="5E9D0E18"/>
    <w:rsid w:val="5EA341D7"/>
    <w:rsid w:val="5EA755DE"/>
    <w:rsid w:val="5ED35F0E"/>
    <w:rsid w:val="5EFC1390"/>
    <w:rsid w:val="5EFC3EB6"/>
    <w:rsid w:val="5F03335D"/>
    <w:rsid w:val="5F0368C7"/>
    <w:rsid w:val="5F1544E7"/>
    <w:rsid w:val="5F3C4923"/>
    <w:rsid w:val="5F9A65E6"/>
    <w:rsid w:val="5F9B2627"/>
    <w:rsid w:val="5FAC7B1F"/>
    <w:rsid w:val="5FB80E3D"/>
    <w:rsid w:val="5FB831B4"/>
    <w:rsid w:val="5FBA3DFB"/>
    <w:rsid w:val="5FC86B8C"/>
    <w:rsid w:val="5FD40999"/>
    <w:rsid w:val="5FE5522B"/>
    <w:rsid w:val="5FF03F08"/>
    <w:rsid w:val="5FF2548E"/>
    <w:rsid w:val="5FF313D3"/>
    <w:rsid w:val="602610FD"/>
    <w:rsid w:val="602808B2"/>
    <w:rsid w:val="603814FF"/>
    <w:rsid w:val="603A5DED"/>
    <w:rsid w:val="604109A8"/>
    <w:rsid w:val="605D2617"/>
    <w:rsid w:val="60616CDC"/>
    <w:rsid w:val="60624E53"/>
    <w:rsid w:val="606319E5"/>
    <w:rsid w:val="607B3C50"/>
    <w:rsid w:val="608B6567"/>
    <w:rsid w:val="60FF21D9"/>
    <w:rsid w:val="613253FD"/>
    <w:rsid w:val="61421F29"/>
    <w:rsid w:val="61712185"/>
    <w:rsid w:val="61923281"/>
    <w:rsid w:val="61A90D68"/>
    <w:rsid w:val="61EB0BE3"/>
    <w:rsid w:val="621775E2"/>
    <w:rsid w:val="622F7552"/>
    <w:rsid w:val="6250406E"/>
    <w:rsid w:val="627A2358"/>
    <w:rsid w:val="627D6831"/>
    <w:rsid w:val="62811B1C"/>
    <w:rsid w:val="62A20409"/>
    <w:rsid w:val="62B54B44"/>
    <w:rsid w:val="62E045DA"/>
    <w:rsid w:val="62E454A1"/>
    <w:rsid w:val="62F366BC"/>
    <w:rsid w:val="62F36E4C"/>
    <w:rsid w:val="62F47F8F"/>
    <w:rsid w:val="62F7233F"/>
    <w:rsid w:val="6340438B"/>
    <w:rsid w:val="6353238E"/>
    <w:rsid w:val="63612AB8"/>
    <w:rsid w:val="637D0978"/>
    <w:rsid w:val="638968B0"/>
    <w:rsid w:val="638A282C"/>
    <w:rsid w:val="63A85E90"/>
    <w:rsid w:val="63A962DB"/>
    <w:rsid w:val="63AB1A91"/>
    <w:rsid w:val="63EE4692"/>
    <w:rsid w:val="63FD622D"/>
    <w:rsid w:val="64151F48"/>
    <w:rsid w:val="643F32F9"/>
    <w:rsid w:val="64501EDD"/>
    <w:rsid w:val="64582686"/>
    <w:rsid w:val="64673C87"/>
    <w:rsid w:val="64A251DD"/>
    <w:rsid w:val="650242F0"/>
    <w:rsid w:val="65542778"/>
    <w:rsid w:val="65562452"/>
    <w:rsid w:val="655829AF"/>
    <w:rsid w:val="656B70C3"/>
    <w:rsid w:val="658F4798"/>
    <w:rsid w:val="659B1EBA"/>
    <w:rsid w:val="65B461E9"/>
    <w:rsid w:val="65BE39A8"/>
    <w:rsid w:val="65FB3FBE"/>
    <w:rsid w:val="66247D11"/>
    <w:rsid w:val="662841B4"/>
    <w:rsid w:val="662B0FC4"/>
    <w:rsid w:val="66736112"/>
    <w:rsid w:val="667C4500"/>
    <w:rsid w:val="667F5B5B"/>
    <w:rsid w:val="6694262A"/>
    <w:rsid w:val="66990381"/>
    <w:rsid w:val="66B31B01"/>
    <w:rsid w:val="66CE1E80"/>
    <w:rsid w:val="66D63C10"/>
    <w:rsid w:val="66E362F9"/>
    <w:rsid w:val="66E47FD9"/>
    <w:rsid w:val="67071922"/>
    <w:rsid w:val="67323E04"/>
    <w:rsid w:val="67334BBF"/>
    <w:rsid w:val="673B73C0"/>
    <w:rsid w:val="67401089"/>
    <w:rsid w:val="675608B6"/>
    <w:rsid w:val="67754402"/>
    <w:rsid w:val="677D54ED"/>
    <w:rsid w:val="6784541A"/>
    <w:rsid w:val="67957627"/>
    <w:rsid w:val="67B25E27"/>
    <w:rsid w:val="67C4383B"/>
    <w:rsid w:val="67D35E1A"/>
    <w:rsid w:val="67ED1853"/>
    <w:rsid w:val="67F35317"/>
    <w:rsid w:val="680201B7"/>
    <w:rsid w:val="682664D1"/>
    <w:rsid w:val="68362BFB"/>
    <w:rsid w:val="683F1130"/>
    <w:rsid w:val="684456A1"/>
    <w:rsid w:val="685E1363"/>
    <w:rsid w:val="68763722"/>
    <w:rsid w:val="688E1089"/>
    <w:rsid w:val="68A026F3"/>
    <w:rsid w:val="68AF6C13"/>
    <w:rsid w:val="690C2BBD"/>
    <w:rsid w:val="690E07C7"/>
    <w:rsid w:val="69236A65"/>
    <w:rsid w:val="692E469B"/>
    <w:rsid w:val="69315C48"/>
    <w:rsid w:val="694019EC"/>
    <w:rsid w:val="69584DB4"/>
    <w:rsid w:val="696C3D80"/>
    <w:rsid w:val="698A5EE4"/>
    <w:rsid w:val="69C811ED"/>
    <w:rsid w:val="69D33070"/>
    <w:rsid w:val="69E97E75"/>
    <w:rsid w:val="69FB5D9E"/>
    <w:rsid w:val="6A1A3007"/>
    <w:rsid w:val="6A1E645E"/>
    <w:rsid w:val="6A417049"/>
    <w:rsid w:val="6A585B4A"/>
    <w:rsid w:val="6A7903E5"/>
    <w:rsid w:val="6AA03032"/>
    <w:rsid w:val="6AA86FEC"/>
    <w:rsid w:val="6AC65D4A"/>
    <w:rsid w:val="6ADA6AC4"/>
    <w:rsid w:val="6ADB11D6"/>
    <w:rsid w:val="6B1A2C3C"/>
    <w:rsid w:val="6B20545A"/>
    <w:rsid w:val="6B31644D"/>
    <w:rsid w:val="6B486C86"/>
    <w:rsid w:val="6B554C72"/>
    <w:rsid w:val="6B824366"/>
    <w:rsid w:val="6B847AD7"/>
    <w:rsid w:val="6B9A2DF9"/>
    <w:rsid w:val="6BAC4619"/>
    <w:rsid w:val="6BBF2306"/>
    <w:rsid w:val="6BCD2823"/>
    <w:rsid w:val="6BDD15DD"/>
    <w:rsid w:val="6BDF2966"/>
    <w:rsid w:val="6BE86A5F"/>
    <w:rsid w:val="6C0528A2"/>
    <w:rsid w:val="6C234DED"/>
    <w:rsid w:val="6C29198B"/>
    <w:rsid w:val="6C3A67D1"/>
    <w:rsid w:val="6C3D2D5C"/>
    <w:rsid w:val="6C4800AA"/>
    <w:rsid w:val="6C4D28F8"/>
    <w:rsid w:val="6C573E9C"/>
    <w:rsid w:val="6C6D1126"/>
    <w:rsid w:val="6C845EBC"/>
    <w:rsid w:val="6CA35B3A"/>
    <w:rsid w:val="6CA41A5D"/>
    <w:rsid w:val="6CAF588C"/>
    <w:rsid w:val="6CB4638E"/>
    <w:rsid w:val="6CBF3C6A"/>
    <w:rsid w:val="6CBF5306"/>
    <w:rsid w:val="6CE70FA1"/>
    <w:rsid w:val="6CFA6351"/>
    <w:rsid w:val="6CFC3C40"/>
    <w:rsid w:val="6D480984"/>
    <w:rsid w:val="6DB13E57"/>
    <w:rsid w:val="6DC71662"/>
    <w:rsid w:val="6DCD5126"/>
    <w:rsid w:val="6DDB6CB0"/>
    <w:rsid w:val="6DE52ACD"/>
    <w:rsid w:val="6DFC0B44"/>
    <w:rsid w:val="6E0458E7"/>
    <w:rsid w:val="6E212037"/>
    <w:rsid w:val="6E3B221B"/>
    <w:rsid w:val="6E475779"/>
    <w:rsid w:val="6E7764EF"/>
    <w:rsid w:val="6EAD447C"/>
    <w:rsid w:val="6ECD7F59"/>
    <w:rsid w:val="6EED7C80"/>
    <w:rsid w:val="6EF773A4"/>
    <w:rsid w:val="6F0155A2"/>
    <w:rsid w:val="6F2F2D9E"/>
    <w:rsid w:val="6F2F4D48"/>
    <w:rsid w:val="6F4147D9"/>
    <w:rsid w:val="6F9311E9"/>
    <w:rsid w:val="6F947E4B"/>
    <w:rsid w:val="6F992CB0"/>
    <w:rsid w:val="6FA30BDA"/>
    <w:rsid w:val="6FB80698"/>
    <w:rsid w:val="6FEF2BB1"/>
    <w:rsid w:val="7024611F"/>
    <w:rsid w:val="702937E8"/>
    <w:rsid w:val="70637B96"/>
    <w:rsid w:val="70797317"/>
    <w:rsid w:val="7099044B"/>
    <w:rsid w:val="709D518F"/>
    <w:rsid w:val="70C759D3"/>
    <w:rsid w:val="70CF2B23"/>
    <w:rsid w:val="710952C1"/>
    <w:rsid w:val="71220D40"/>
    <w:rsid w:val="71452CD8"/>
    <w:rsid w:val="7158683A"/>
    <w:rsid w:val="715B2F52"/>
    <w:rsid w:val="71764F23"/>
    <w:rsid w:val="71946576"/>
    <w:rsid w:val="71967E84"/>
    <w:rsid w:val="719820B9"/>
    <w:rsid w:val="71A61873"/>
    <w:rsid w:val="71AF4936"/>
    <w:rsid w:val="71D75D0F"/>
    <w:rsid w:val="721919B3"/>
    <w:rsid w:val="721A6098"/>
    <w:rsid w:val="72310D1A"/>
    <w:rsid w:val="725D6B54"/>
    <w:rsid w:val="72A17C99"/>
    <w:rsid w:val="72AF6F7E"/>
    <w:rsid w:val="72B34E05"/>
    <w:rsid w:val="73047904"/>
    <w:rsid w:val="73414465"/>
    <w:rsid w:val="73432A7A"/>
    <w:rsid w:val="734C1A6A"/>
    <w:rsid w:val="735C5949"/>
    <w:rsid w:val="73737DA5"/>
    <w:rsid w:val="7375030D"/>
    <w:rsid w:val="737A29C8"/>
    <w:rsid w:val="73887B3E"/>
    <w:rsid w:val="73892412"/>
    <w:rsid w:val="73E96BCA"/>
    <w:rsid w:val="73EE4A6E"/>
    <w:rsid w:val="74082F2F"/>
    <w:rsid w:val="741048BC"/>
    <w:rsid w:val="742E78D4"/>
    <w:rsid w:val="74566390"/>
    <w:rsid w:val="74676A28"/>
    <w:rsid w:val="747E40B6"/>
    <w:rsid w:val="74AC3224"/>
    <w:rsid w:val="74BB2C83"/>
    <w:rsid w:val="74DE4E5F"/>
    <w:rsid w:val="74EB54AB"/>
    <w:rsid w:val="74FF6D43"/>
    <w:rsid w:val="750201A2"/>
    <w:rsid w:val="751A76AF"/>
    <w:rsid w:val="75250574"/>
    <w:rsid w:val="7550443E"/>
    <w:rsid w:val="755F0BCC"/>
    <w:rsid w:val="756F17F9"/>
    <w:rsid w:val="75825461"/>
    <w:rsid w:val="759926FC"/>
    <w:rsid w:val="75A24276"/>
    <w:rsid w:val="75AA231D"/>
    <w:rsid w:val="75E8633A"/>
    <w:rsid w:val="75FD4045"/>
    <w:rsid w:val="763F09AA"/>
    <w:rsid w:val="764F3FCC"/>
    <w:rsid w:val="7650339F"/>
    <w:rsid w:val="76603C9A"/>
    <w:rsid w:val="76BB1CAB"/>
    <w:rsid w:val="76C04050"/>
    <w:rsid w:val="76E65049"/>
    <w:rsid w:val="77076007"/>
    <w:rsid w:val="77413F7E"/>
    <w:rsid w:val="77691E21"/>
    <w:rsid w:val="77835654"/>
    <w:rsid w:val="77901BB9"/>
    <w:rsid w:val="7797109C"/>
    <w:rsid w:val="779A2A38"/>
    <w:rsid w:val="77B4450A"/>
    <w:rsid w:val="77B46E73"/>
    <w:rsid w:val="77D56B78"/>
    <w:rsid w:val="77E37A12"/>
    <w:rsid w:val="77FE3468"/>
    <w:rsid w:val="7826607A"/>
    <w:rsid w:val="784505C3"/>
    <w:rsid w:val="78546F0C"/>
    <w:rsid w:val="78EE1C79"/>
    <w:rsid w:val="796432FD"/>
    <w:rsid w:val="797239CC"/>
    <w:rsid w:val="79831473"/>
    <w:rsid w:val="7999527A"/>
    <w:rsid w:val="79AF76C5"/>
    <w:rsid w:val="79C25EE1"/>
    <w:rsid w:val="79C97604"/>
    <w:rsid w:val="79CE2967"/>
    <w:rsid w:val="79EA664C"/>
    <w:rsid w:val="7A2F459A"/>
    <w:rsid w:val="7A517022"/>
    <w:rsid w:val="7A6303C6"/>
    <w:rsid w:val="7A6F5001"/>
    <w:rsid w:val="7A94551C"/>
    <w:rsid w:val="7AA2343E"/>
    <w:rsid w:val="7ACF29F8"/>
    <w:rsid w:val="7ADA73A4"/>
    <w:rsid w:val="7AE66B99"/>
    <w:rsid w:val="7B0A3BCA"/>
    <w:rsid w:val="7B4048C1"/>
    <w:rsid w:val="7B73082F"/>
    <w:rsid w:val="7BA43E85"/>
    <w:rsid w:val="7BB06B1C"/>
    <w:rsid w:val="7BC62E00"/>
    <w:rsid w:val="7BE2279E"/>
    <w:rsid w:val="7BE35E2A"/>
    <w:rsid w:val="7BF5648F"/>
    <w:rsid w:val="7BFA1CC7"/>
    <w:rsid w:val="7BFB70B3"/>
    <w:rsid w:val="7C0251DA"/>
    <w:rsid w:val="7C051AA0"/>
    <w:rsid w:val="7C1052F2"/>
    <w:rsid w:val="7C2668D9"/>
    <w:rsid w:val="7C32497F"/>
    <w:rsid w:val="7C3C69AE"/>
    <w:rsid w:val="7C691974"/>
    <w:rsid w:val="7C8A6570"/>
    <w:rsid w:val="7C8B7390"/>
    <w:rsid w:val="7C9B0D0E"/>
    <w:rsid w:val="7CA42B03"/>
    <w:rsid w:val="7CB47D2E"/>
    <w:rsid w:val="7CBA2CE5"/>
    <w:rsid w:val="7CD2318A"/>
    <w:rsid w:val="7CD2702A"/>
    <w:rsid w:val="7CD34C42"/>
    <w:rsid w:val="7CDE3FF9"/>
    <w:rsid w:val="7CE26EBF"/>
    <w:rsid w:val="7CEE3130"/>
    <w:rsid w:val="7D19465F"/>
    <w:rsid w:val="7D1F6674"/>
    <w:rsid w:val="7D480B34"/>
    <w:rsid w:val="7D894AA5"/>
    <w:rsid w:val="7D9005BC"/>
    <w:rsid w:val="7D9F0AD0"/>
    <w:rsid w:val="7DD12BB7"/>
    <w:rsid w:val="7DFF0955"/>
    <w:rsid w:val="7E0B750E"/>
    <w:rsid w:val="7E185E07"/>
    <w:rsid w:val="7E2822EA"/>
    <w:rsid w:val="7E355A7B"/>
    <w:rsid w:val="7E4E5ABF"/>
    <w:rsid w:val="7E6B7623"/>
    <w:rsid w:val="7E6E3E85"/>
    <w:rsid w:val="7E9C184B"/>
    <w:rsid w:val="7EA72948"/>
    <w:rsid w:val="7EB31EDB"/>
    <w:rsid w:val="7EE70CC0"/>
    <w:rsid w:val="7EEB48DB"/>
    <w:rsid w:val="7EF27444"/>
    <w:rsid w:val="7EF70770"/>
    <w:rsid w:val="7EFE7EFE"/>
    <w:rsid w:val="7F265C58"/>
    <w:rsid w:val="7F582CF2"/>
    <w:rsid w:val="7F5C78AC"/>
    <w:rsid w:val="7F951B40"/>
    <w:rsid w:val="7FBF10B0"/>
    <w:rsid w:val="7FF302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qFormat="1"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bCs/>
      <w:kern w:val="44"/>
      <w:sz w:val="44"/>
      <w:szCs w:val="44"/>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line="360" w:lineRule="auto"/>
      <w:outlineLvl w:val="3"/>
    </w:pPr>
    <w:rPr>
      <w:rFonts w:ascii="Arial" w:hAnsi="Arial"/>
      <w:b/>
      <w:bCs/>
      <w:szCs w:val="28"/>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6">
    <w:name w:val="List Number"/>
    <w:basedOn w:val="1"/>
    <w:qFormat/>
    <w:uiPriority w:val="0"/>
    <w:pPr>
      <w:widowControl/>
      <w:spacing w:beforeAutospacing="1" w:afterAutospacing="1"/>
      <w:jc w:val="left"/>
    </w:pPr>
    <w:rPr>
      <w:rFonts w:ascii="宋体" w:hAnsi="宋体" w:cs="宋体"/>
      <w:kern w:val="0"/>
      <w:sz w:val="24"/>
    </w:rPr>
  </w:style>
  <w:style w:type="paragraph" w:styleId="7">
    <w:name w:val="Normal Indent"/>
    <w:basedOn w:val="1"/>
    <w:qFormat/>
    <w:uiPriority w:val="0"/>
    <w:pPr>
      <w:widowControl/>
      <w:spacing w:beforeAutospacing="1" w:afterAutospacing="1"/>
      <w:jc w:val="left"/>
    </w:pPr>
    <w:rPr>
      <w:rFonts w:ascii="宋体" w:hAnsi="宋体" w:cs="宋体"/>
      <w:kern w:val="0"/>
      <w:sz w:val="24"/>
    </w:rPr>
  </w:style>
  <w:style w:type="paragraph" w:styleId="8">
    <w:name w:val="Document Map"/>
    <w:basedOn w:val="1"/>
    <w:link w:val="74"/>
    <w:qFormat/>
    <w:uiPriority w:val="0"/>
    <w:rPr>
      <w:rFonts w:ascii="宋体" w:hAnsi="Calibri"/>
      <w:sz w:val="18"/>
      <w:szCs w:val="18"/>
    </w:rPr>
  </w:style>
  <w:style w:type="paragraph" w:styleId="9">
    <w:name w:val="annotation text"/>
    <w:basedOn w:val="1"/>
    <w:qFormat/>
    <w:uiPriority w:val="0"/>
    <w:pPr>
      <w:jc w:val="left"/>
    </w:pPr>
  </w:style>
  <w:style w:type="paragraph" w:styleId="10">
    <w:name w:val="Body Text 3"/>
    <w:basedOn w:val="1"/>
    <w:qFormat/>
    <w:uiPriority w:val="0"/>
    <w:rPr>
      <w:sz w:val="16"/>
      <w:szCs w:val="16"/>
    </w:rPr>
  </w:style>
  <w:style w:type="paragraph" w:styleId="11">
    <w:name w:val="Body Text"/>
    <w:basedOn w:val="1"/>
    <w:next w:val="12"/>
    <w:link w:val="72"/>
    <w:qFormat/>
    <w:uiPriority w:val="0"/>
  </w:style>
  <w:style w:type="paragraph" w:customStyle="1" w:styleId="12">
    <w:name w:val="Default"/>
    <w:next w:val="1"/>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13">
    <w:name w:val="Body Text Indent"/>
    <w:basedOn w:val="1"/>
    <w:next w:val="14"/>
    <w:qFormat/>
    <w:uiPriority w:val="0"/>
    <w:pPr>
      <w:widowControl/>
      <w:spacing w:beforeAutospacing="1" w:afterAutospacing="1"/>
      <w:jc w:val="left"/>
    </w:pPr>
    <w:rPr>
      <w:rFonts w:ascii="宋体" w:hAnsi="宋体" w:cs="宋体"/>
      <w:kern w:val="0"/>
      <w:sz w:val="24"/>
    </w:rPr>
  </w:style>
  <w:style w:type="paragraph" w:styleId="14">
    <w:name w:val="envelope return"/>
    <w:basedOn w:val="1"/>
    <w:unhideWhenUsed/>
    <w:qFormat/>
    <w:uiPriority w:val="99"/>
    <w:pPr>
      <w:snapToGrid w:val="0"/>
    </w:pPr>
    <w:rPr>
      <w:rFonts w:ascii="Arial" w:hAnsi="Arial"/>
    </w:rPr>
  </w:style>
  <w:style w:type="paragraph" w:styleId="15">
    <w:name w:val="List 2"/>
    <w:basedOn w:val="1"/>
    <w:qFormat/>
    <w:uiPriority w:val="0"/>
    <w:pPr>
      <w:ind w:left="100" w:leftChars="200" w:hanging="200" w:hangingChars="200"/>
    </w:pPr>
  </w:style>
  <w:style w:type="paragraph" w:styleId="16">
    <w:name w:val="Block Text"/>
    <w:basedOn w:val="1"/>
    <w:unhideWhenUsed/>
    <w:qFormat/>
    <w:uiPriority w:val="99"/>
    <w:pPr>
      <w:snapToGrid w:val="0"/>
      <w:spacing w:before="100" w:after="100"/>
      <w:ind w:left="-22" w:leftChars="-8" w:right="-40" w:firstLine="548" w:firstLineChars="196"/>
    </w:pPr>
    <w:rPr>
      <w:rFonts w:ascii="宋体" w:hAnsi="宋体"/>
      <w:sz w:val="28"/>
    </w:rPr>
  </w:style>
  <w:style w:type="paragraph" w:styleId="17">
    <w:name w:val="toc 3"/>
    <w:basedOn w:val="1"/>
    <w:next w:val="1"/>
    <w:qFormat/>
    <w:uiPriority w:val="0"/>
    <w:pPr>
      <w:tabs>
        <w:tab w:val="left" w:pos="709"/>
        <w:tab w:val="right" w:leader="dot" w:pos="8789"/>
      </w:tabs>
      <w:spacing w:line="400" w:lineRule="atLeast"/>
    </w:pPr>
    <w:rPr>
      <w:rFonts w:ascii="宋体"/>
      <w:kern w:val="0"/>
      <w:szCs w:val="20"/>
    </w:rPr>
  </w:style>
  <w:style w:type="paragraph" w:styleId="18">
    <w:name w:val="Plain Text"/>
    <w:basedOn w:val="1"/>
    <w:qFormat/>
    <w:uiPriority w:val="0"/>
    <w:pPr>
      <w:widowControl/>
      <w:spacing w:beforeAutospacing="1" w:afterAutospacing="1"/>
      <w:jc w:val="left"/>
    </w:pPr>
    <w:rPr>
      <w:rFonts w:ascii="宋体" w:hAnsi="宋体" w:cs="宋体"/>
      <w:kern w:val="0"/>
      <w:sz w:val="24"/>
    </w:rPr>
  </w:style>
  <w:style w:type="paragraph" w:styleId="19">
    <w:name w:val="Date"/>
    <w:basedOn w:val="1"/>
    <w:next w:val="1"/>
    <w:qFormat/>
    <w:uiPriority w:val="0"/>
    <w:pPr>
      <w:ind w:left="100" w:leftChars="2500"/>
    </w:pPr>
    <w:rPr>
      <w:rFonts w:ascii="宋体" w:hAnsi="宋体"/>
      <w:sz w:val="28"/>
    </w:rPr>
  </w:style>
  <w:style w:type="paragraph" w:styleId="20">
    <w:name w:val="Body Text Indent 2"/>
    <w:basedOn w:val="1"/>
    <w:qFormat/>
    <w:uiPriority w:val="0"/>
    <w:pPr>
      <w:spacing w:line="480" w:lineRule="auto"/>
      <w:ind w:left="420" w:leftChars="200"/>
    </w:pPr>
  </w:style>
  <w:style w:type="paragraph" w:styleId="21">
    <w:name w:val="footer"/>
    <w:basedOn w:val="1"/>
    <w:qFormat/>
    <w:uiPriority w:val="0"/>
    <w:pPr>
      <w:tabs>
        <w:tab w:val="center" w:pos="4153"/>
        <w:tab w:val="right" w:pos="8306"/>
      </w:tabs>
      <w:snapToGrid w:val="0"/>
      <w:jc w:val="left"/>
    </w:pPr>
    <w:rPr>
      <w:sz w:val="18"/>
      <w:szCs w:val="18"/>
    </w:rPr>
  </w:style>
  <w:style w:type="paragraph" w:styleId="2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uiPriority w:val="0"/>
  </w:style>
  <w:style w:type="paragraph" w:styleId="24">
    <w:name w:val="List"/>
    <w:basedOn w:val="1"/>
    <w:qFormat/>
    <w:uiPriority w:val="0"/>
    <w:pPr>
      <w:ind w:left="200" w:hanging="200" w:hangingChars="200"/>
    </w:pPr>
  </w:style>
  <w:style w:type="paragraph" w:styleId="25">
    <w:name w:val="Body Text 2"/>
    <w:basedOn w:val="1"/>
    <w:next w:val="11"/>
    <w:qFormat/>
    <w:uiPriority w:val="0"/>
    <w:pPr>
      <w:spacing w:line="480" w:lineRule="auto"/>
    </w:pPr>
  </w:style>
  <w:style w:type="paragraph" w:styleId="26">
    <w:name w:val="Message Header"/>
    <w:basedOn w:val="1"/>
    <w:unhideWhenUsed/>
    <w:qFormat/>
    <w:uiPriority w:val="99"/>
    <w:pPr>
      <w:pBdr>
        <w:top w:val="single" w:color="auto" w:sz="6" w:space="1"/>
        <w:left w:val="single" w:color="auto" w:sz="6" w:space="1"/>
        <w:bottom w:val="single" w:color="auto" w:sz="6" w:space="1"/>
        <w:right w:val="single" w:color="auto" w:sz="6" w:space="1"/>
      </w:pBdr>
      <w:shd w:val="clear" w:color="auto" w:fill="7F7F7F"/>
      <w:spacing w:before="100" w:beforeAutospacing="1" w:after="100" w:afterAutospacing="1"/>
      <w:ind w:left="1080" w:leftChars="500" w:hanging="1080" w:hangingChars="500"/>
    </w:pPr>
    <w:rPr>
      <w:rFonts w:ascii="Cambria" w:hAnsi="Cambria"/>
      <w:sz w:val="24"/>
      <w:szCs w:val="24"/>
    </w:rPr>
  </w:style>
  <w:style w:type="paragraph" w:styleId="2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28">
    <w:name w:val="Normal (Web)"/>
    <w:basedOn w:val="1"/>
    <w:qFormat/>
    <w:uiPriority w:val="99"/>
    <w:pPr>
      <w:spacing w:before="100" w:beforeAutospacing="1" w:after="100" w:afterAutospacing="1"/>
      <w:jc w:val="left"/>
    </w:pPr>
    <w:rPr>
      <w:kern w:val="0"/>
      <w:sz w:val="24"/>
    </w:rPr>
  </w:style>
  <w:style w:type="paragraph" w:styleId="29">
    <w:name w:val="Title"/>
    <w:basedOn w:val="1"/>
    <w:qFormat/>
    <w:uiPriority w:val="0"/>
    <w:pPr>
      <w:jc w:val="center"/>
      <w:outlineLvl w:val="0"/>
    </w:pPr>
    <w:rPr>
      <w:rFonts w:ascii="Arial" w:hAnsi="Arial" w:cs="Arial"/>
      <w:b/>
      <w:bCs/>
      <w:sz w:val="32"/>
      <w:szCs w:val="32"/>
    </w:rPr>
  </w:style>
  <w:style w:type="paragraph" w:styleId="30">
    <w:name w:val="Body Text First Indent"/>
    <w:basedOn w:val="11"/>
    <w:next w:val="1"/>
    <w:qFormat/>
    <w:uiPriority w:val="0"/>
    <w:pPr>
      <w:spacing w:line="360" w:lineRule="auto"/>
      <w:ind w:firstLine="420" w:firstLineChars="100"/>
    </w:pPr>
    <w:rPr>
      <w:szCs w:val="21"/>
    </w:rPr>
  </w:style>
  <w:style w:type="paragraph" w:styleId="31">
    <w:name w:val="Body Text First Indent 2"/>
    <w:basedOn w:val="13"/>
    <w:next w:val="32"/>
    <w:qFormat/>
    <w:uiPriority w:val="0"/>
    <w:pPr>
      <w:ind w:firstLine="420" w:firstLineChars="200"/>
    </w:pPr>
  </w:style>
  <w:style w:type="paragraph" w:customStyle="1" w:styleId="32">
    <w:name w:val="样式 正文首行缩进 2 + Arial"/>
    <w:basedOn w:val="1"/>
    <w:next w:val="1"/>
    <w:qFormat/>
    <w:uiPriority w:val="0"/>
    <w:pPr>
      <w:spacing w:after="120" w:line="320" w:lineRule="atLeast"/>
      <w:ind w:firstLine="200" w:firstLineChars="200"/>
    </w:pPr>
    <w:rPr>
      <w:rFonts w:ascii="Arial" w:hAnsi="Arial"/>
      <w:kern w:val="0"/>
    </w:rPr>
  </w:style>
  <w:style w:type="table" w:styleId="34">
    <w:name w:val="Table Grid"/>
    <w:basedOn w:val="3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6">
    <w:name w:val="Strong"/>
    <w:qFormat/>
    <w:uiPriority w:val="0"/>
    <w:rPr>
      <w:b/>
      <w:bCs/>
      <w:szCs w:val="24"/>
    </w:rPr>
  </w:style>
  <w:style w:type="character" w:styleId="37">
    <w:name w:val="page number"/>
    <w:basedOn w:val="35"/>
    <w:qFormat/>
    <w:uiPriority w:val="0"/>
  </w:style>
  <w:style w:type="character" w:styleId="38">
    <w:name w:val="FollowedHyperlink"/>
    <w:qFormat/>
    <w:uiPriority w:val="0"/>
    <w:rPr>
      <w:color w:val="333333"/>
      <w:szCs w:val="24"/>
      <w:u w:val="none"/>
    </w:rPr>
  </w:style>
  <w:style w:type="character" w:styleId="39">
    <w:name w:val="Emphasis"/>
    <w:basedOn w:val="35"/>
    <w:qFormat/>
    <w:uiPriority w:val="0"/>
  </w:style>
  <w:style w:type="character" w:styleId="40">
    <w:name w:val="HTML Definition"/>
    <w:basedOn w:val="35"/>
    <w:qFormat/>
    <w:uiPriority w:val="0"/>
  </w:style>
  <w:style w:type="character" w:styleId="41">
    <w:name w:val="HTML Typewriter"/>
    <w:basedOn w:val="35"/>
    <w:qFormat/>
    <w:uiPriority w:val="0"/>
    <w:rPr>
      <w:rFonts w:hint="default" w:ascii="monospace" w:hAnsi="monospace" w:eastAsia="monospace" w:cs="monospace"/>
      <w:sz w:val="20"/>
    </w:rPr>
  </w:style>
  <w:style w:type="character" w:styleId="42">
    <w:name w:val="HTML Acronym"/>
    <w:basedOn w:val="35"/>
    <w:qFormat/>
    <w:uiPriority w:val="0"/>
  </w:style>
  <w:style w:type="character" w:styleId="43">
    <w:name w:val="HTML Variable"/>
    <w:basedOn w:val="35"/>
    <w:qFormat/>
    <w:uiPriority w:val="0"/>
  </w:style>
  <w:style w:type="character" w:styleId="44">
    <w:name w:val="Hyperlink"/>
    <w:basedOn w:val="35"/>
    <w:qFormat/>
    <w:uiPriority w:val="0"/>
    <w:rPr>
      <w:color w:val="333333"/>
      <w:szCs w:val="24"/>
      <w:u w:val="none"/>
    </w:rPr>
  </w:style>
  <w:style w:type="character" w:styleId="45">
    <w:name w:val="HTML Code"/>
    <w:basedOn w:val="35"/>
    <w:qFormat/>
    <w:uiPriority w:val="0"/>
    <w:rPr>
      <w:rFonts w:ascii="monospace" w:hAnsi="monospace" w:eastAsia="monospace" w:cs="monospace"/>
      <w:sz w:val="20"/>
    </w:rPr>
  </w:style>
  <w:style w:type="character" w:styleId="46">
    <w:name w:val="HTML Cite"/>
    <w:basedOn w:val="35"/>
    <w:qFormat/>
    <w:uiPriority w:val="0"/>
  </w:style>
  <w:style w:type="character" w:styleId="47">
    <w:name w:val="HTML Keyboard"/>
    <w:basedOn w:val="35"/>
    <w:qFormat/>
    <w:uiPriority w:val="0"/>
    <w:rPr>
      <w:rFonts w:hint="default" w:ascii="monospace" w:hAnsi="monospace" w:eastAsia="monospace" w:cs="monospace"/>
      <w:sz w:val="20"/>
    </w:rPr>
  </w:style>
  <w:style w:type="character" w:styleId="48">
    <w:name w:val="HTML Sample"/>
    <w:basedOn w:val="35"/>
    <w:qFormat/>
    <w:uiPriority w:val="0"/>
    <w:rPr>
      <w:rFonts w:hint="default" w:ascii="monospace" w:hAnsi="monospace" w:eastAsia="monospace" w:cs="monospace"/>
    </w:rPr>
  </w:style>
  <w:style w:type="paragraph" w:customStyle="1" w:styleId="49">
    <w:name w:val="No Spacing1"/>
    <w:basedOn w:val="1"/>
    <w:qFormat/>
    <w:uiPriority w:val="0"/>
    <w:pPr>
      <w:spacing w:line="400" w:lineRule="exact"/>
    </w:pPr>
    <w:rPr>
      <w:sz w:val="24"/>
    </w:rPr>
  </w:style>
  <w:style w:type="paragraph" w:customStyle="1" w:styleId="50">
    <w:name w:val="大标题"/>
    <w:basedOn w:val="1"/>
    <w:next w:val="31"/>
    <w:qFormat/>
    <w:uiPriority w:val="0"/>
    <w:pPr>
      <w:jc w:val="center"/>
    </w:pPr>
    <w:rPr>
      <w:rFonts w:ascii="Arial" w:hAnsi="Arial"/>
      <w:b/>
      <w:sz w:val="28"/>
    </w:rPr>
  </w:style>
  <w:style w:type="paragraph" w:customStyle="1" w:styleId="51">
    <w:name w:val="样式 首行缩进:  2 字符"/>
    <w:basedOn w:val="1"/>
    <w:qFormat/>
    <w:uiPriority w:val="0"/>
    <w:pPr>
      <w:spacing w:line="360" w:lineRule="auto"/>
      <w:ind w:firstLine="480" w:firstLineChars="200"/>
      <w:jc w:val="left"/>
    </w:pPr>
    <w:rPr>
      <w:rFonts w:ascii="宋体" w:hAnsi="宋体" w:cs="宋体"/>
      <w:color w:val="000000"/>
      <w:sz w:val="24"/>
      <w:szCs w:val="20"/>
    </w:rPr>
  </w:style>
  <w:style w:type="paragraph" w:customStyle="1" w:styleId="52">
    <w:name w:val="Char"/>
    <w:basedOn w:val="1"/>
    <w:qFormat/>
    <w:uiPriority w:val="0"/>
  </w:style>
  <w:style w:type="paragraph" w:customStyle="1" w:styleId="53">
    <w:name w:val="正文缩进1"/>
    <w:basedOn w:val="1"/>
    <w:qFormat/>
    <w:uiPriority w:val="0"/>
    <w:pPr>
      <w:widowControl/>
      <w:ind w:firstLine="420"/>
      <w:jc w:val="left"/>
    </w:pPr>
    <w:rPr>
      <w:kern w:val="0"/>
      <w:szCs w:val="20"/>
    </w:rPr>
  </w:style>
  <w:style w:type="paragraph" w:customStyle="1" w:styleId="54">
    <w:name w:val="列出段落2"/>
    <w:basedOn w:val="1"/>
    <w:qFormat/>
    <w:uiPriority w:val="34"/>
    <w:pPr>
      <w:ind w:firstLine="420" w:firstLineChars="200"/>
    </w:pPr>
  </w:style>
  <w:style w:type="paragraph" w:customStyle="1" w:styleId="55">
    <w:name w:val="plaintext"/>
    <w:basedOn w:val="1"/>
    <w:qFormat/>
    <w:uiPriority w:val="0"/>
    <w:pPr>
      <w:widowControl/>
      <w:spacing w:beforeAutospacing="1" w:afterAutospacing="1"/>
      <w:jc w:val="left"/>
    </w:pPr>
    <w:rPr>
      <w:rFonts w:ascii="宋体" w:hAnsi="宋体" w:cs="宋体"/>
      <w:kern w:val="0"/>
      <w:sz w:val="24"/>
    </w:rPr>
  </w:style>
  <w:style w:type="paragraph" w:customStyle="1" w:styleId="56">
    <w:name w:val="1"/>
    <w:basedOn w:val="1"/>
    <w:qFormat/>
    <w:uiPriority w:val="0"/>
    <w:pPr>
      <w:widowControl/>
      <w:spacing w:beforeAutospacing="1" w:afterAutospacing="1"/>
      <w:jc w:val="left"/>
    </w:pPr>
    <w:rPr>
      <w:rFonts w:ascii="宋体" w:hAnsi="宋体" w:cs="宋体"/>
      <w:kern w:val="0"/>
      <w:sz w:val="24"/>
    </w:rPr>
  </w:style>
  <w:style w:type="paragraph" w:styleId="57">
    <w:name w:val="No Spacing"/>
    <w:qFormat/>
    <w:uiPriority w:val="1"/>
    <w:rPr>
      <w:rFonts w:ascii="Calibri" w:hAnsi="Calibri" w:eastAsia="宋体" w:cs="Times New Roman"/>
      <w:sz w:val="22"/>
      <w:szCs w:val="22"/>
      <w:lang w:val="en-US" w:eastAsia="zh-CN" w:bidi="ar-SA"/>
    </w:rPr>
  </w:style>
  <w:style w:type="paragraph" w:customStyle="1" w:styleId="58">
    <w:name w:val="_Style 2"/>
    <w:basedOn w:val="1"/>
    <w:qFormat/>
    <w:uiPriority w:val="34"/>
    <w:pPr>
      <w:ind w:firstLine="420" w:firstLineChars="200"/>
    </w:pPr>
    <w:rPr>
      <w:rFonts w:ascii="Calibri" w:hAnsi="Calibri"/>
    </w:rPr>
  </w:style>
  <w:style w:type="paragraph" w:customStyle="1" w:styleId="59">
    <w:name w:val="paracharcharcharcharcharcharcharcharchar1charcharcharchar"/>
    <w:basedOn w:val="1"/>
    <w:qFormat/>
    <w:uiPriority w:val="0"/>
    <w:pPr>
      <w:widowControl/>
      <w:spacing w:beforeAutospacing="1" w:afterAutospacing="1"/>
      <w:jc w:val="left"/>
    </w:pPr>
    <w:rPr>
      <w:rFonts w:ascii="宋体" w:hAnsi="宋体" w:cs="宋体"/>
      <w:kern w:val="0"/>
      <w:sz w:val="24"/>
    </w:rPr>
  </w:style>
  <w:style w:type="paragraph" w:customStyle="1" w:styleId="60">
    <w:name w:val="样式2"/>
    <w:basedOn w:val="1"/>
    <w:next w:val="1"/>
    <w:qFormat/>
    <w:uiPriority w:val="0"/>
    <w:pPr>
      <w:spacing w:line="360" w:lineRule="exact"/>
      <w:ind w:left="-107" w:leftChars="-51" w:right="-108" w:firstLine="98" w:firstLineChars="41"/>
      <w:jc w:val="left"/>
    </w:pPr>
    <w:rPr>
      <w:rFonts w:ascii="宋体" w:hAnsi="宋体"/>
    </w:rPr>
  </w:style>
  <w:style w:type="paragraph" w:customStyle="1" w:styleId="61">
    <w:name w:val="Char1"/>
    <w:basedOn w:val="1"/>
    <w:qFormat/>
    <w:uiPriority w:val="0"/>
  </w:style>
  <w:style w:type="paragraph" w:customStyle="1" w:styleId="62">
    <w:name w:val="p16"/>
    <w:basedOn w:val="1"/>
    <w:qFormat/>
    <w:uiPriority w:val="0"/>
    <w:pPr>
      <w:widowControl/>
      <w:spacing w:before="100" w:beforeAutospacing="1" w:after="100" w:afterAutospacing="1"/>
      <w:jc w:val="left"/>
    </w:pPr>
    <w:rPr>
      <w:rFonts w:ascii="宋体" w:hAnsi="宋体" w:cs="宋体"/>
      <w:kern w:val="0"/>
      <w:sz w:val="24"/>
    </w:rPr>
  </w:style>
  <w:style w:type="paragraph" w:customStyle="1" w:styleId="63">
    <w:name w:val="Table Paragraph"/>
    <w:basedOn w:val="1"/>
    <w:qFormat/>
    <w:uiPriority w:val="1"/>
    <w:pPr>
      <w:jc w:val="left"/>
    </w:pPr>
    <w:rPr>
      <w:rFonts w:ascii="宋体" w:hAnsi="宋体" w:cs="宋体"/>
      <w:kern w:val="0"/>
      <w:sz w:val="22"/>
      <w:szCs w:val="22"/>
      <w:lang w:eastAsia="en-US"/>
    </w:rPr>
  </w:style>
  <w:style w:type="paragraph" w:customStyle="1" w:styleId="64">
    <w:name w:val="无间隔1"/>
    <w:basedOn w:val="1"/>
    <w:qFormat/>
    <w:uiPriority w:val="1"/>
    <w:pPr>
      <w:spacing w:line="400" w:lineRule="exact"/>
    </w:pPr>
    <w:rPr>
      <w:sz w:val="24"/>
    </w:rPr>
  </w:style>
  <w:style w:type="paragraph" w:customStyle="1" w:styleId="65">
    <w:name w:val="正文格式"/>
    <w:qFormat/>
    <w:uiPriority w:val="0"/>
    <w:pPr>
      <w:widowControl w:val="0"/>
      <w:spacing w:line="360" w:lineRule="auto"/>
      <w:ind w:left="-2" w:leftChars="-1" w:firstLine="422" w:firstLineChars="200"/>
      <w:jc w:val="both"/>
    </w:pPr>
    <w:rPr>
      <w:rFonts w:ascii="宋体" w:hAnsi="宋体" w:eastAsia="宋体" w:cs="Times New Roman"/>
      <w:b/>
      <w:sz w:val="21"/>
      <w:szCs w:val="21"/>
      <w:u w:val="single"/>
      <w:lang w:val="en-US" w:eastAsia="zh-CN" w:bidi="ar-SA"/>
    </w:rPr>
  </w:style>
  <w:style w:type="paragraph" w:customStyle="1" w:styleId="66">
    <w:name w:val="3"/>
    <w:basedOn w:val="1"/>
    <w:qFormat/>
    <w:uiPriority w:val="0"/>
    <w:pPr>
      <w:widowControl/>
      <w:spacing w:beforeAutospacing="1" w:afterAutospacing="1"/>
      <w:jc w:val="left"/>
    </w:pPr>
    <w:rPr>
      <w:rFonts w:ascii="宋体" w:hAnsi="宋体" w:cs="宋体"/>
      <w:kern w:val="0"/>
      <w:sz w:val="24"/>
    </w:rPr>
  </w:style>
  <w:style w:type="paragraph" w:customStyle="1" w:styleId="67">
    <w:name w:val="列出段落1"/>
    <w:basedOn w:val="1"/>
    <w:qFormat/>
    <w:uiPriority w:val="34"/>
    <w:pPr>
      <w:ind w:firstLine="420" w:firstLineChars="200"/>
    </w:pPr>
  </w:style>
  <w:style w:type="paragraph" w:customStyle="1" w:styleId="68">
    <w:name w:val="列出段落111"/>
    <w:qFormat/>
    <w:uiPriority w:val="34"/>
    <w:pPr>
      <w:ind w:firstLine="420" w:firstLineChars="200"/>
    </w:pPr>
    <w:rPr>
      <w:rFonts w:ascii="Times New Roman" w:hAnsi="Times New Roman" w:eastAsia="宋体" w:cs="Times New Roman"/>
      <w:lang w:val="en-US" w:eastAsia="zh-CN" w:bidi="ar-SA"/>
    </w:rPr>
  </w:style>
  <w:style w:type="paragraph" w:customStyle="1" w:styleId="69">
    <w:name w:val="a0"/>
    <w:basedOn w:val="1"/>
    <w:qFormat/>
    <w:uiPriority w:val="0"/>
    <w:pPr>
      <w:widowControl/>
      <w:spacing w:beforeAutospacing="1" w:afterAutospacing="1"/>
      <w:jc w:val="left"/>
    </w:pPr>
    <w:rPr>
      <w:rFonts w:ascii="宋体" w:hAnsi="宋体" w:cs="宋体"/>
      <w:kern w:val="0"/>
      <w:sz w:val="24"/>
    </w:rPr>
  </w:style>
  <w:style w:type="paragraph" w:customStyle="1" w:styleId="70">
    <w:name w:val="default"/>
    <w:basedOn w:val="1"/>
    <w:qFormat/>
    <w:uiPriority w:val="0"/>
    <w:pPr>
      <w:widowControl/>
      <w:spacing w:beforeAutospacing="1" w:afterAutospacing="1"/>
      <w:jc w:val="left"/>
    </w:pPr>
    <w:rPr>
      <w:rFonts w:ascii="宋体" w:hAnsi="宋体" w:cs="宋体"/>
      <w:kern w:val="0"/>
      <w:sz w:val="24"/>
    </w:rPr>
  </w:style>
  <w:style w:type="paragraph" w:customStyle="1" w:styleId="71">
    <w:name w:val="列出段落11"/>
    <w:basedOn w:val="1"/>
    <w:qFormat/>
    <w:uiPriority w:val="0"/>
    <w:pPr>
      <w:ind w:firstLine="420" w:firstLineChars="200"/>
    </w:pPr>
    <w:rPr>
      <w:rFonts w:ascii="Calibri" w:hAnsi="Calibri"/>
      <w:szCs w:val="22"/>
    </w:rPr>
  </w:style>
  <w:style w:type="character" w:customStyle="1" w:styleId="72">
    <w:name w:val="正文文本 Char"/>
    <w:basedOn w:val="35"/>
    <w:link w:val="11"/>
    <w:qFormat/>
    <w:uiPriority w:val="0"/>
  </w:style>
  <w:style w:type="character" w:customStyle="1" w:styleId="73">
    <w:name w:val="apple-converted-space"/>
    <w:basedOn w:val="35"/>
    <w:qFormat/>
    <w:uiPriority w:val="0"/>
  </w:style>
  <w:style w:type="character" w:customStyle="1" w:styleId="74">
    <w:name w:val="文档结构图 Char"/>
    <w:link w:val="8"/>
    <w:qFormat/>
    <w:uiPriority w:val="0"/>
    <w:rPr>
      <w:rFonts w:ascii="宋体"/>
      <w:kern w:val="2"/>
      <w:sz w:val="18"/>
      <w:szCs w:val="18"/>
    </w:rPr>
  </w:style>
  <w:style w:type="character" w:customStyle="1" w:styleId="75">
    <w:name w:val="不明显强调1"/>
    <w:qFormat/>
    <w:uiPriority w:val="19"/>
    <w:rPr>
      <w:i/>
      <w:iCs/>
      <w:color w:val="7F7F7F"/>
      <w:szCs w:val="24"/>
    </w:rPr>
  </w:style>
  <w:style w:type="character" w:customStyle="1" w:styleId="76">
    <w:name w:val="font71"/>
    <w:qFormat/>
    <w:uiPriority w:val="0"/>
    <w:rPr>
      <w:rFonts w:hint="eastAsia" w:ascii="宋体" w:hAnsi="宋体" w:eastAsia="宋体" w:cs="宋体"/>
      <w:color w:val="000000"/>
      <w:sz w:val="28"/>
      <w:szCs w:val="28"/>
      <w:u w:val="none"/>
    </w:rPr>
  </w:style>
  <w:style w:type="character" w:customStyle="1" w:styleId="77">
    <w:name w:val="font21"/>
    <w:qFormat/>
    <w:uiPriority w:val="0"/>
    <w:rPr>
      <w:rFonts w:hint="default" w:ascii="Calibri" w:hAnsi="Calibri" w:cs="Calibri"/>
      <w:color w:val="000000"/>
      <w:sz w:val="28"/>
      <w:szCs w:val="28"/>
      <w:u w:val="none"/>
    </w:rPr>
  </w:style>
  <w:style w:type="character" w:customStyle="1" w:styleId="78">
    <w:name w:val="17"/>
    <w:qFormat/>
    <w:uiPriority w:val="0"/>
    <w:rPr>
      <w:rFonts w:hint="eastAsia" w:ascii="宋体" w:hAnsi="宋体" w:eastAsia="宋体"/>
      <w:color w:val="000000"/>
    </w:rPr>
  </w:style>
  <w:style w:type="character" w:customStyle="1" w:styleId="79">
    <w:name w:val="font91"/>
    <w:qFormat/>
    <w:uiPriority w:val="0"/>
    <w:rPr>
      <w:rFonts w:hint="eastAsia" w:ascii="宋体" w:hAnsi="宋体" w:eastAsia="宋体" w:cs="宋体"/>
      <w:color w:val="FF0000"/>
      <w:sz w:val="28"/>
      <w:szCs w:val="28"/>
      <w:u w:val="none"/>
    </w:rPr>
  </w:style>
  <w:style w:type="paragraph" w:customStyle="1" w:styleId="80">
    <w:name w:val="p"/>
    <w:basedOn w:val="1"/>
    <w:qFormat/>
    <w:uiPriority w:val="0"/>
    <w:pPr>
      <w:widowControl/>
      <w:spacing w:line="432" w:lineRule="auto"/>
      <w:jc w:val="left"/>
    </w:pPr>
    <w:rPr>
      <w:rFonts w:ascii="宋体" w:hAnsi="宋体" w:cs="宋体"/>
      <w:kern w:val="0"/>
      <w:sz w:val="24"/>
    </w:rPr>
  </w:style>
  <w:style w:type="paragraph" w:customStyle="1" w:styleId="81">
    <w:name w:val="WPSOffice手动目录 1"/>
    <w:qFormat/>
    <w:uiPriority w:val="0"/>
    <w:rPr>
      <w:rFonts w:ascii="Times New Roman" w:hAnsi="Times New Roman" w:eastAsia="宋体" w:cs="Times New Roman"/>
      <w:lang w:val="en-US" w:eastAsia="zh-CN" w:bidi="ar-SA"/>
    </w:rPr>
  </w:style>
  <w:style w:type="paragraph" w:customStyle="1" w:styleId="82">
    <w:name w:val="*正文_1"/>
    <w:basedOn w:val="1"/>
    <w:next w:val="1"/>
    <w:qFormat/>
    <w:uiPriority w:val="0"/>
    <w:pPr>
      <w:widowControl/>
      <w:ind w:firstLine="482"/>
    </w:pPr>
    <w:rPr>
      <w:rFonts w:ascii="微软雅黑" w:hAnsi="微软雅黑" w:eastAsia="微软雅黑"/>
      <w:kern w:val="0"/>
      <w:szCs w:val="20"/>
    </w:rPr>
  </w:style>
  <w:style w:type="paragraph" w:customStyle="1" w:styleId="83">
    <w:name w:val="表格文字"/>
    <w:basedOn w:val="1"/>
    <w:next w:val="11"/>
    <w:qFormat/>
    <w:uiPriority w:val="0"/>
    <w:pPr>
      <w:adjustRightInd w:val="0"/>
      <w:spacing w:line="420" w:lineRule="atLeast"/>
      <w:jc w:val="left"/>
      <w:textAlignment w:val="baseline"/>
    </w:pPr>
    <w:rPr>
      <w:kern w:val="0"/>
      <w:szCs w:val="20"/>
    </w:rPr>
  </w:style>
  <w:style w:type="character" w:customStyle="1" w:styleId="84">
    <w:name w:val="NormalCharacter"/>
    <w:semiHidden/>
    <w:qFormat/>
    <w:uiPriority w:val="0"/>
    <w:rPr>
      <w:rFonts w:ascii="Times New Roman" w:hAnsi="Times New Roman" w:eastAsia="宋体" w:cs="Times New Roman"/>
      <w:kern w:val="2"/>
      <w:sz w:val="21"/>
      <w:szCs w:val="24"/>
      <w:lang w:val="en-US" w:eastAsia="zh-CN" w:bidi="ar-SA"/>
    </w:rPr>
  </w:style>
  <w:style w:type="paragraph" w:customStyle="1" w:styleId="85">
    <w:name w:val="列表段落1"/>
    <w:basedOn w:val="1"/>
    <w:qFormat/>
    <w:uiPriority w:val="34"/>
    <w:pPr>
      <w:widowControl/>
      <w:ind w:firstLine="420"/>
      <w:jc w:val="left"/>
    </w:pPr>
    <w:rPr>
      <w:kern w:val="0"/>
    </w:rPr>
  </w:style>
  <w:style w:type="paragraph" w:styleId="86">
    <w:name w:val="List Paragraph"/>
    <w:basedOn w:val="1"/>
    <w:qFormat/>
    <w:uiPriority w:val="34"/>
    <w:pPr>
      <w:ind w:firstLine="420" w:firstLineChars="200"/>
    </w:pPr>
  </w:style>
  <w:style w:type="character" w:customStyle="1" w:styleId="87">
    <w:name w:val="hover18"/>
    <w:basedOn w:val="35"/>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C39694-E2D4-4EC7-B4CE-52C55243A652}">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32</Pages>
  <Words>15233</Words>
  <Characters>15907</Characters>
  <Lines>50</Lines>
  <Paragraphs>68</Paragraphs>
  <TotalTime>0</TotalTime>
  <ScaleCrop>false</ScaleCrop>
  <LinksUpToDate>false</LinksUpToDate>
  <CharactersWithSpaces>16991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2012-11-07T02:07:00Z</dcterms:created>
  <dc:creator>微软用户</dc:creator>
  <cp:lastModifiedBy>admin</cp:lastModifiedBy>
  <cp:lastPrinted>2021-09-30T00:46:00Z</cp:lastPrinted>
  <dcterms:modified xsi:type="dcterms:W3CDTF">2022-05-07T03:37:00Z</dcterms:modified>
  <dc:title>驻马店市政府采购货物项目</dc:title>
  <cp:revision>1088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36F67B911EFE4BCC8707140988937917</vt:lpwstr>
  </property>
  <property fmtid="{D5CDD505-2E9C-101B-9397-08002B2CF9AE}" pid="4" name="commondata">
    <vt:lpwstr>eyJoZGlkIjoiNmUzZTk1NzZiMTcxOTU4MDEwM2VkMmQ5ZjExMTQ1ZDgifQ==</vt:lpwstr>
  </property>
</Properties>
</file>