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9"/>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bookmarkStart w:id="0" w:name="_Toc22804073"/>
      <w:bookmarkEnd w:id="0"/>
      <w:bookmarkStart w:id="1" w:name="_Toc22953395"/>
      <w:bookmarkEnd w:id="1"/>
    </w:p>
    <w:p>
      <w:pPr>
        <w:pStyle w:val="19"/>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p>
    <w:p>
      <w:pPr>
        <w:pStyle w:val="19"/>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r>
        <w:rPr>
          <w:rFonts w:hint="eastAsia" w:ascii="黑体" w:hAnsi="黑体" w:eastAsia="黑体" w:cs="宋体"/>
          <w:bCs/>
          <w:color w:val="auto"/>
          <w:kern w:val="0"/>
          <w:sz w:val="48"/>
          <w:szCs w:val="48"/>
          <w:lang w:eastAsia="zh-CN"/>
        </w:rPr>
        <w:t>驻马店市中心医院重阳节慰问品采购</w:t>
      </w:r>
    </w:p>
    <w:p>
      <w:pPr>
        <w:pStyle w:val="19"/>
        <w:bidi w:val="0"/>
        <w:jc w:val="center"/>
        <w:rPr>
          <w:rStyle w:val="44"/>
          <w:rFonts w:hint="eastAsia" w:ascii="宋体" w:hAnsi="宋体" w:eastAsia="宋体" w:cs="宋体"/>
          <w:b/>
          <w:bCs/>
          <w:color w:val="auto"/>
          <w:sz w:val="48"/>
          <w:szCs w:val="48"/>
        </w:rPr>
      </w:pPr>
    </w:p>
    <w:p>
      <w:pPr>
        <w:pStyle w:val="19"/>
        <w:bidi w:val="0"/>
        <w:jc w:val="center"/>
        <w:rPr>
          <w:rStyle w:val="44"/>
          <w:rFonts w:hint="eastAsia" w:ascii="宋体" w:hAnsi="宋体" w:eastAsia="宋体" w:cs="宋体"/>
          <w:b/>
          <w:bCs/>
          <w:color w:val="auto"/>
          <w:sz w:val="48"/>
          <w:szCs w:val="48"/>
        </w:rPr>
      </w:pPr>
    </w:p>
    <w:p>
      <w:pPr>
        <w:pStyle w:val="19"/>
        <w:bidi w:val="0"/>
        <w:jc w:val="center"/>
        <w:rPr>
          <w:rStyle w:val="44"/>
          <w:rFonts w:hint="eastAsia" w:ascii="宋体" w:hAnsi="宋体" w:eastAsia="宋体" w:cs="宋体"/>
          <w:b/>
          <w:bCs/>
          <w:color w:val="auto"/>
          <w:sz w:val="48"/>
          <w:szCs w:val="48"/>
        </w:rPr>
      </w:pPr>
    </w:p>
    <w:p>
      <w:pPr>
        <w:pStyle w:val="19"/>
        <w:bidi w:val="0"/>
        <w:jc w:val="center"/>
        <w:rPr>
          <w:rStyle w:val="44"/>
          <w:rFonts w:hint="eastAsia" w:ascii="宋体" w:hAnsi="宋体" w:eastAsia="宋体" w:cs="宋体"/>
          <w:b/>
          <w:bCs/>
          <w:color w:val="auto"/>
          <w:sz w:val="48"/>
          <w:szCs w:val="48"/>
        </w:rPr>
      </w:pPr>
    </w:p>
    <w:p>
      <w:pPr>
        <w:pStyle w:val="19"/>
        <w:bidi w:val="0"/>
        <w:jc w:val="center"/>
        <w:rPr>
          <w:rStyle w:val="44"/>
          <w:rFonts w:hint="eastAsia" w:ascii="宋体" w:hAnsi="宋体" w:eastAsia="宋体" w:cs="宋体"/>
          <w:b/>
          <w:bCs/>
          <w:color w:val="auto"/>
          <w:szCs w:val="44"/>
        </w:rPr>
      </w:pPr>
      <w:r>
        <w:rPr>
          <w:rStyle w:val="44"/>
          <w:rFonts w:hint="eastAsia" w:cs="宋体"/>
          <w:b/>
          <w:bCs/>
          <w:color w:val="auto"/>
          <w:sz w:val="72"/>
          <w:szCs w:val="72"/>
          <w:lang w:val="en-US" w:eastAsia="zh-CN"/>
        </w:rPr>
        <w:t>采购</w:t>
      </w:r>
      <w:r>
        <w:rPr>
          <w:rStyle w:val="44"/>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color w:val="auto"/>
          <w:spacing w:val="-10"/>
          <w:sz w:val="34"/>
          <w:szCs w:val="34"/>
          <w:lang w:val="en-US" w:eastAsia="zh-CN"/>
        </w:rPr>
      </w:pPr>
    </w:p>
    <w:p>
      <w:pPr>
        <w:snapToGrid w:val="0"/>
        <w:spacing w:line="380" w:lineRule="exact"/>
        <w:jc w:val="center"/>
        <w:rPr>
          <w:rFonts w:hint="eastAsia" w:ascii="宋体" w:hAnsi="宋体" w:eastAsia="宋体" w:cs="宋体"/>
          <w:b/>
          <w:color w:val="auto"/>
          <w:sz w:val="32"/>
          <w:szCs w:val="32"/>
        </w:rPr>
      </w:pPr>
    </w:p>
    <w:p>
      <w:pPr>
        <w:pStyle w:val="31"/>
        <w:rPr>
          <w:rFonts w:hint="eastAsia"/>
          <w:color w:val="auto"/>
        </w:rPr>
      </w:pPr>
    </w:p>
    <w:p>
      <w:pPr>
        <w:pStyle w:val="59"/>
        <w:rPr>
          <w:rFonts w:hint="eastAsia" w:ascii="宋体" w:hAnsi="宋体" w:eastAsia="宋体" w:cs="宋体"/>
          <w:bCs/>
          <w:color w:val="auto"/>
          <w:sz w:val="2"/>
          <w:szCs w:val="2"/>
        </w:rPr>
      </w:pPr>
    </w:p>
    <w:p>
      <w:pPr>
        <w:rPr>
          <w:rFonts w:hint="eastAsia" w:ascii="宋体" w:hAnsi="宋体" w:eastAsia="宋体" w:cs="宋体"/>
          <w:bCs/>
          <w:color w:val="auto"/>
          <w:sz w:val="2"/>
          <w:szCs w:val="2"/>
        </w:rPr>
      </w:pPr>
    </w:p>
    <w:p>
      <w:pPr>
        <w:spacing w:line="20" w:lineRule="exact"/>
        <w:rPr>
          <w:rFonts w:hint="eastAsia" w:ascii="宋体" w:hAnsi="宋体" w:eastAsia="宋体" w:cs="宋体"/>
          <w:bCs/>
          <w:color w:val="auto"/>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color w:val="auto"/>
          <w:spacing w:val="80"/>
          <w:sz w:val="34"/>
          <w:szCs w:val="34"/>
        </w:rPr>
      </w:pPr>
      <w:r>
        <w:rPr>
          <w:rFonts w:hint="eastAsia" w:ascii="宋体" w:hAnsi="宋体" w:eastAsia="宋体" w:cs="宋体"/>
          <w:b/>
          <w:bCs/>
          <w:color w:val="auto"/>
          <w:spacing w:val="-10"/>
          <w:sz w:val="34"/>
          <w:szCs w:val="34"/>
          <w:lang w:val="en-US" w:eastAsia="zh-CN"/>
        </w:rPr>
        <w:t>采 购</w:t>
      </w:r>
      <w:r>
        <w:rPr>
          <w:rFonts w:hint="eastAsia" w:ascii="宋体" w:hAnsi="宋体" w:eastAsia="宋体" w:cs="宋体"/>
          <w:b/>
          <w:bCs/>
          <w:color w:val="auto"/>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color w:val="auto"/>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color w:val="auto"/>
          <w:spacing w:val="40"/>
          <w:sz w:val="34"/>
          <w:szCs w:val="34"/>
          <w:lang w:val="en-US" w:eastAsia="zh-CN"/>
        </w:rPr>
        <w:t>2022</w:t>
      </w:r>
      <w:r>
        <w:rPr>
          <w:rFonts w:hint="eastAsia" w:ascii="宋体" w:hAnsi="宋体" w:eastAsia="宋体" w:cs="宋体"/>
          <w:b/>
          <w:bCs/>
          <w:color w:val="auto"/>
          <w:spacing w:val="40"/>
          <w:sz w:val="34"/>
          <w:szCs w:val="34"/>
        </w:rPr>
        <w:t>年</w:t>
      </w:r>
      <w:r>
        <w:rPr>
          <w:rFonts w:hint="eastAsia" w:ascii="宋体" w:hAnsi="宋体" w:cs="宋体"/>
          <w:b/>
          <w:bCs/>
          <w:color w:val="auto"/>
          <w:spacing w:val="40"/>
          <w:sz w:val="34"/>
          <w:szCs w:val="34"/>
          <w:lang w:val="en-US" w:eastAsia="zh-CN"/>
        </w:rPr>
        <w:t>09</w:t>
      </w:r>
      <w:r>
        <w:rPr>
          <w:rFonts w:hint="eastAsia" w:ascii="宋体" w:hAnsi="宋体" w:eastAsia="宋体" w:cs="宋体"/>
          <w:b/>
          <w:bCs/>
          <w:color w:val="auto"/>
          <w:spacing w:val="40"/>
          <w:sz w:val="34"/>
          <w:szCs w:val="34"/>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3"/>
        <w:rPr>
          <w:color w:val="auto"/>
          <w:highlight w:val="none"/>
        </w:rPr>
      </w:pPr>
    </w:p>
    <w:p>
      <w:pPr>
        <w:pStyle w:val="25"/>
        <w:tabs>
          <w:tab w:val="right" w:leader="dot" w:pos="8958"/>
        </w:tabs>
        <w:snapToGrid w:val="0"/>
        <w:spacing w:line="480" w:lineRule="auto"/>
        <w:rPr>
          <w:rFonts w:ascii="宋体" w:hAnsi="宋体" w:cs="宋体"/>
          <w:color w:val="auto"/>
          <w:szCs w:val="21"/>
          <w:highlight w:val="none"/>
        </w:rPr>
      </w:pPr>
      <w:r>
        <w:rPr>
          <w:rFonts w:hint="eastAsia" w:ascii="宋体" w:hAnsi="宋体" w:cs="宋体"/>
          <w:b/>
          <w:bCs/>
          <w:color w:val="auto"/>
          <w:sz w:val="32"/>
          <w:szCs w:val="32"/>
          <w:highlight w:val="none"/>
        </w:rPr>
        <w:fldChar w:fldCharType="begin"/>
      </w:r>
      <w:r>
        <w:rPr>
          <w:rFonts w:hint="eastAsia" w:ascii="宋体" w:hAnsi="宋体" w:cs="宋体"/>
          <w:b/>
          <w:bCs/>
          <w:color w:val="auto"/>
          <w:sz w:val="32"/>
          <w:szCs w:val="32"/>
          <w:highlight w:val="none"/>
        </w:rPr>
        <w:instrText xml:space="preserve">TOC \o "1-1" \h \u </w:instrText>
      </w:r>
      <w:r>
        <w:rPr>
          <w:rFonts w:hint="eastAsia" w:ascii="宋体" w:hAnsi="宋体" w:cs="宋体"/>
          <w:b/>
          <w:bCs/>
          <w:color w:val="auto"/>
          <w:sz w:val="32"/>
          <w:szCs w:val="32"/>
          <w:highlight w:val="none"/>
        </w:rPr>
        <w:fldChar w:fldCharType="separate"/>
      </w:r>
      <w:r>
        <w:rPr>
          <w:color w:val="auto"/>
          <w:highlight w:val="none"/>
        </w:rPr>
        <w:fldChar w:fldCharType="begin"/>
      </w:r>
      <w:r>
        <w:rPr>
          <w:color w:val="auto"/>
          <w:highlight w:val="none"/>
        </w:rPr>
        <w:instrText xml:space="preserve"> HYPERLINK \l "_Toc9075" </w:instrText>
      </w:r>
      <w:r>
        <w:rPr>
          <w:color w:val="auto"/>
          <w:highlight w:val="none"/>
        </w:rPr>
        <w:fldChar w:fldCharType="separate"/>
      </w:r>
      <w:r>
        <w:rPr>
          <w:rFonts w:hint="eastAsia" w:ascii="宋体" w:hAnsi="宋体" w:cs="宋体"/>
          <w:color w:val="auto"/>
          <w:szCs w:val="21"/>
          <w:highlight w:val="none"/>
        </w:rPr>
        <w:t>第一章  招 标 公 告</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_Toc9075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5"/>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"_Toc25063" </w:instrText>
      </w:r>
      <w:r>
        <w:rPr>
          <w:color w:val="auto"/>
          <w:highlight w:val="none"/>
        </w:rPr>
        <w:fldChar w:fldCharType="separate"/>
      </w:r>
      <w:r>
        <w:rPr>
          <w:rFonts w:hint="eastAsia" w:ascii="宋体" w:hAnsi="宋体" w:cs="宋体"/>
          <w:color w:val="auto"/>
          <w:szCs w:val="21"/>
          <w:highlight w:val="none"/>
        </w:rPr>
        <w:t xml:space="preserve">第二章  </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需求</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_Toc25063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5"/>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"_Toc14504" </w:instrText>
      </w:r>
      <w:r>
        <w:rPr>
          <w:color w:val="auto"/>
          <w:highlight w:val="none"/>
        </w:rPr>
        <w:fldChar w:fldCharType="separate"/>
      </w:r>
      <w:r>
        <w:rPr>
          <w:rFonts w:hint="eastAsia" w:ascii="宋体" w:hAnsi="宋体" w:cs="宋体"/>
          <w:color w:val="auto"/>
          <w:szCs w:val="21"/>
          <w:highlight w:val="none"/>
        </w:rPr>
        <w:t>第三章  投标人须知</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_Toc14504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5"/>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"_Toc9022" </w:instrText>
      </w:r>
      <w:r>
        <w:rPr>
          <w:color w:val="auto"/>
          <w:highlight w:val="none"/>
        </w:rPr>
        <w:fldChar w:fldCharType="separate"/>
      </w:r>
      <w:r>
        <w:rPr>
          <w:rFonts w:hint="eastAsia" w:ascii="宋体" w:hAnsi="宋体" w:cs="宋体"/>
          <w:color w:val="auto"/>
          <w:kern w:val="0"/>
          <w:szCs w:val="21"/>
          <w:highlight w:val="none"/>
        </w:rPr>
        <w:t>第四章  评标办法及评分标准</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_Toc9022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5"/>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"_Toc28988" </w:instrText>
      </w:r>
      <w:r>
        <w:rPr>
          <w:color w:val="auto"/>
          <w:highlight w:val="none"/>
        </w:rPr>
        <w:fldChar w:fldCharType="separate"/>
      </w:r>
      <w:r>
        <w:rPr>
          <w:rFonts w:hint="eastAsia" w:ascii="宋体" w:hAnsi="宋体" w:cs="宋体"/>
          <w:color w:val="auto"/>
          <w:szCs w:val="21"/>
          <w:highlight w:val="none"/>
        </w:rPr>
        <w:t>第五章  采购合同（主要条款）</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_Toc28988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18</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5"/>
        <w:tabs>
          <w:tab w:val="right" w:leader="dot" w:pos="8958"/>
        </w:tabs>
        <w:snapToGrid w:val="0"/>
        <w:spacing w:line="480" w:lineRule="auto"/>
        <w:rPr>
          <w:rFonts w:ascii="宋体" w:hAnsi="宋体" w:cs="宋体"/>
          <w:b/>
          <w:bCs/>
          <w:color w:val="auto"/>
          <w:sz w:val="32"/>
          <w:szCs w:val="32"/>
          <w:highlight w:val="none"/>
        </w:rPr>
      </w:pPr>
      <w:r>
        <w:rPr>
          <w:color w:val="auto"/>
          <w:highlight w:val="none"/>
        </w:rPr>
        <w:fldChar w:fldCharType="begin"/>
      </w:r>
      <w:r>
        <w:rPr>
          <w:color w:val="auto"/>
          <w:highlight w:val="none"/>
        </w:rPr>
        <w:instrText xml:space="preserve"> HYPERLINK \l "_Toc2638" </w:instrText>
      </w:r>
      <w:r>
        <w:rPr>
          <w:color w:val="auto"/>
          <w:highlight w:val="none"/>
        </w:rPr>
        <w:fldChar w:fldCharType="separate"/>
      </w:r>
      <w:r>
        <w:rPr>
          <w:rFonts w:hint="eastAsia" w:ascii="宋体" w:hAnsi="宋体" w:cs="宋体"/>
          <w:color w:val="auto"/>
          <w:szCs w:val="21"/>
          <w:highlight w:val="none"/>
        </w:rPr>
        <w:t>第六章  投标文件格式</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_Toc2638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19</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82"/>
        <w:tabs>
          <w:tab w:val="right" w:leader="dot" w:pos="8300"/>
        </w:tabs>
        <w:snapToGrid w:val="0"/>
        <w:spacing w:line="480" w:lineRule="auto"/>
        <w:rPr>
          <w:rFonts w:ascii="宋体" w:hAnsi="宋体" w:cs="宋体"/>
          <w:color w:val="auto"/>
          <w:sz w:val="32"/>
          <w:szCs w:val="32"/>
          <w:highlight w:val="none"/>
        </w:rPr>
      </w:pPr>
      <w:r>
        <w:rPr>
          <w:rFonts w:hint="eastAsia" w:ascii="宋体" w:hAnsi="宋体" w:cs="宋体"/>
          <w:b/>
          <w:bCs/>
          <w:color w:val="auto"/>
          <w:sz w:val="32"/>
          <w:szCs w:val="32"/>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ascii="宋体" w:hAnsi="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ascii="宋体" w:hAnsi="宋体"/>
          <w:b/>
          <w:color w:val="auto"/>
          <w:sz w:val="32"/>
          <w:szCs w:val="32"/>
          <w:highlight w:val="none"/>
        </w:rPr>
      </w:pPr>
      <w:bookmarkStart w:id="2" w:name="_Toc9075"/>
      <w:r>
        <w:rPr>
          <w:rFonts w:hint="eastAsia" w:ascii="宋体" w:hAnsi="宋体"/>
          <w:b/>
          <w:color w:val="auto"/>
          <w:sz w:val="32"/>
          <w:szCs w:val="32"/>
          <w:highlight w:val="none"/>
        </w:rPr>
        <w:t xml:space="preserve">第一章  </w:t>
      </w:r>
      <w:r>
        <w:rPr>
          <w:rFonts w:hint="eastAsia" w:ascii="宋体" w:hAnsi="宋体"/>
          <w:b/>
          <w:color w:val="auto"/>
          <w:sz w:val="32"/>
          <w:szCs w:val="32"/>
          <w:highlight w:val="none"/>
          <w:lang w:val="en-US" w:eastAsia="zh-CN"/>
        </w:rPr>
        <w:t>竞争性磋商采购</w:t>
      </w:r>
      <w:r>
        <w:rPr>
          <w:rFonts w:hint="eastAsia" w:ascii="宋体" w:hAnsi="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after="157" w:afterLines="50" w:line="360" w:lineRule="auto"/>
        <w:jc w:val="center"/>
        <w:textAlignment w:val="auto"/>
        <w:rPr>
          <w:rFonts w:hint="eastAsia" w:ascii="黑体" w:hAnsi="黑体" w:eastAsia="黑体" w:cs="宋体"/>
          <w:bCs/>
          <w:color w:val="auto"/>
          <w:kern w:val="0"/>
          <w:sz w:val="28"/>
          <w:szCs w:val="28"/>
          <w:u w:val="none"/>
          <w:lang w:val="en-US" w:eastAsia="zh-CN"/>
        </w:rPr>
      </w:pPr>
      <w:r>
        <w:rPr>
          <w:rFonts w:hint="eastAsia" w:ascii="黑体" w:hAnsi="黑体" w:eastAsia="黑体" w:cs="宋体"/>
          <w:bCs/>
          <w:color w:val="auto"/>
          <w:kern w:val="0"/>
          <w:sz w:val="28"/>
          <w:szCs w:val="28"/>
          <w:lang w:eastAsia="zh-CN"/>
        </w:rPr>
        <w:t>驻马店市中心医院重阳节慰问品采购</w:t>
      </w:r>
    </w:p>
    <w:p>
      <w:pPr>
        <w:keepNext w:val="0"/>
        <w:keepLines w:val="0"/>
        <w:pageBreakBefore w:val="0"/>
        <w:widowControl/>
        <w:kinsoku/>
        <w:wordWrap/>
        <w:overflowPunct/>
        <w:topLinePunct w:val="0"/>
        <w:autoSpaceDE/>
        <w:autoSpaceDN/>
        <w:bidi w:val="0"/>
        <w:adjustRightInd w:val="0"/>
        <w:snapToGrid w:val="0"/>
        <w:spacing w:after="157" w:afterLines="50" w:line="360" w:lineRule="auto"/>
        <w:jc w:val="center"/>
        <w:textAlignment w:val="auto"/>
        <w:rPr>
          <w:rFonts w:hint="eastAsia" w:ascii="黑体" w:hAnsi="黑体" w:eastAsia="黑体" w:cs="宋体"/>
          <w:bCs/>
          <w:color w:val="auto"/>
          <w:kern w:val="0"/>
          <w:sz w:val="28"/>
          <w:szCs w:val="28"/>
        </w:rPr>
      </w:pPr>
      <w:r>
        <w:rPr>
          <w:rFonts w:hint="eastAsia" w:ascii="黑体" w:hAnsi="黑体" w:eastAsia="黑体" w:cs="宋体"/>
          <w:bCs/>
          <w:color w:val="auto"/>
          <w:kern w:val="0"/>
          <w:sz w:val="28"/>
          <w:szCs w:val="28"/>
          <w:u w:val="none"/>
          <w:lang w:val="en-US" w:eastAsia="zh-CN"/>
        </w:rPr>
        <w:t>竞争性磋商</w:t>
      </w:r>
      <w:r>
        <w:rPr>
          <w:rFonts w:hint="eastAsia" w:ascii="黑体" w:hAnsi="黑体" w:eastAsia="黑体" w:cs="宋体"/>
          <w:bCs/>
          <w:color w:val="auto"/>
          <w:kern w:val="0"/>
          <w:sz w:val="28"/>
          <w:szCs w:val="28"/>
        </w:rPr>
        <w:t>公告</w:t>
      </w:r>
    </w:p>
    <w:p>
      <w:pPr>
        <w:snapToGrid w:val="0"/>
        <w:spacing w:line="360" w:lineRule="auto"/>
        <w:ind w:firstLine="420" w:firstLineChars="200"/>
        <w:rPr>
          <w:rFonts w:ascii="宋体" w:hAnsi="宋体" w:eastAsia="宋体" w:cs="宋体"/>
          <w:color w:val="auto"/>
          <w:szCs w:val="21"/>
        </w:rPr>
      </w:pPr>
      <w:bookmarkStart w:id="91" w:name="_GoBack"/>
      <w:r>
        <w:rPr>
          <w:rFonts w:hint="eastAsia" w:ascii="宋体" w:hAnsi="宋体" w:eastAsia="宋体" w:cs="宋体"/>
          <w:color w:val="auto"/>
        </w:rPr>
        <w:t>驻马店市中心医院现对</w:t>
      </w:r>
      <w:r>
        <w:rPr>
          <w:rFonts w:hint="eastAsia" w:ascii="宋体" w:hAnsi="宋体" w:eastAsia="宋体" w:cs="宋体"/>
          <w:color w:val="auto"/>
          <w:u w:val="single"/>
        </w:rPr>
        <w:t xml:space="preserve"> </w:t>
      </w:r>
      <w:r>
        <w:rPr>
          <w:rFonts w:hint="eastAsia" w:ascii="宋体" w:hAnsi="宋体" w:cs="宋体"/>
          <w:color w:val="auto"/>
          <w:u w:val="single"/>
          <w:lang w:eastAsia="zh-CN"/>
        </w:rPr>
        <w:t>驻马店市中心医院重阳节慰问品采购</w:t>
      </w:r>
      <w:r>
        <w:rPr>
          <w:rFonts w:hint="eastAsia" w:ascii="宋体" w:hAnsi="宋体" w:eastAsia="宋体" w:cs="宋体"/>
          <w:color w:val="auto"/>
        </w:rPr>
        <w:t>进行院内</w:t>
      </w:r>
      <w:r>
        <w:rPr>
          <w:rFonts w:hint="eastAsia" w:ascii="宋体" w:hAnsi="宋体" w:eastAsia="宋体" w:cs="宋体"/>
          <w:color w:val="auto"/>
          <w:lang w:val="en-US" w:eastAsia="zh-CN"/>
        </w:rPr>
        <w:t>竞争性磋商</w:t>
      </w:r>
      <w:r>
        <w:rPr>
          <w:rFonts w:hint="eastAsia" w:ascii="宋体" w:hAnsi="宋体" w:eastAsia="宋体" w:cs="宋体"/>
          <w:color w:val="auto"/>
        </w:rPr>
        <w:t>采购，欢迎符合资格条件的供应商前来</w:t>
      </w:r>
      <w:r>
        <w:rPr>
          <w:rFonts w:hint="eastAsia" w:ascii="宋体" w:hAnsi="宋体" w:eastAsia="宋体" w:cs="宋体"/>
          <w:color w:val="auto"/>
          <w:lang w:val="en-US" w:eastAsia="zh-CN"/>
        </w:rPr>
        <w:t>报名并</w:t>
      </w:r>
      <w:r>
        <w:rPr>
          <w:rFonts w:hint="eastAsia" w:ascii="宋体" w:hAnsi="宋体" w:eastAsia="宋体" w:cs="宋体"/>
          <w:color w:val="auto"/>
          <w:szCs w:val="21"/>
        </w:rPr>
        <w:t>获取</w:t>
      </w:r>
      <w:r>
        <w:rPr>
          <w:rFonts w:hint="eastAsia" w:ascii="宋体" w:hAnsi="宋体" w:eastAsia="宋体" w:cs="宋体"/>
          <w:color w:val="auto"/>
          <w:szCs w:val="21"/>
          <w:lang w:val="en-US" w:eastAsia="zh-CN"/>
        </w:rPr>
        <w:t>采购</w:t>
      </w:r>
      <w:r>
        <w:rPr>
          <w:rFonts w:hint="eastAsia" w:ascii="宋体" w:hAnsi="宋体" w:eastAsia="宋体" w:cs="宋体"/>
          <w:color w:val="auto"/>
          <w:szCs w:val="21"/>
        </w:rPr>
        <w:t>文件。</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r>
        <w:rPr>
          <w:rFonts w:hint="eastAsia" w:ascii="宋体" w:hAnsi="宋体" w:eastAsia="宋体" w:cs="宋体"/>
          <w:b/>
          <w:bCs/>
          <w:color w:val="auto"/>
          <w:kern w:val="2"/>
          <w:sz w:val="21"/>
          <w:szCs w:val="21"/>
          <w:shd w:val="clear" w:color="auto" w:fill="FFFFFF"/>
          <w:lang w:val="en-US" w:eastAsia="zh-CN" w:bidi="ar-SA"/>
        </w:rPr>
        <w:t>一、项目基本情况</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1、</w:t>
      </w:r>
      <w:r>
        <w:rPr>
          <w:rFonts w:hint="eastAsia" w:ascii="宋体" w:hAnsi="宋体" w:eastAsia="宋体" w:cs="宋体"/>
          <w:color w:val="auto"/>
          <w:szCs w:val="21"/>
          <w:highlight w:val="none"/>
          <w:shd w:val="clear" w:color="auto" w:fill="FFFFFF"/>
          <w:lang w:val="en-US" w:eastAsia="zh-CN"/>
        </w:rPr>
        <w:t>采购</w:t>
      </w:r>
      <w:r>
        <w:rPr>
          <w:rFonts w:hint="eastAsia" w:ascii="宋体" w:hAnsi="宋体" w:eastAsia="宋体" w:cs="宋体"/>
          <w:color w:val="auto"/>
          <w:szCs w:val="21"/>
          <w:highlight w:val="none"/>
          <w:shd w:val="clear" w:color="auto" w:fill="FFFFFF"/>
        </w:rPr>
        <w:t>项目名称：</w:t>
      </w:r>
      <w:r>
        <w:rPr>
          <w:rFonts w:hint="eastAsia" w:ascii="宋体" w:hAnsi="宋体" w:cs="宋体"/>
          <w:color w:val="auto"/>
          <w:szCs w:val="21"/>
          <w:highlight w:val="none"/>
          <w:shd w:val="clear" w:color="auto" w:fill="FFFFFF"/>
          <w:lang w:eastAsia="zh-CN"/>
        </w:rPr>
        <w:t>驻马店市中心医院重阳节慰问品采购</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2、采购需求</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rPr>
        <w:t>具体要求详见附件</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3</w:t>
      </w:r>
      <w:bookmarkStart w:id="3" w:name="_Toc26725"/>
      <w:r>
        <w:rPr>
          <w:rFonts w:hint="eastAsia" w:ascii="宋体" w:hAnsi="宋体" w:eastAsia="宋体" w:cs="宋体"/>
          <w:color w:val="auto"/>
          <w:szCs w:val="21"/>
          <w:highlight w:val="none"/>
          <w:shd w:val="clear" w:color="auto" w:fill="FFFFFF"/>
        </w:rPr>
        <w:t>、预算金额：</w:t>
      </w:r>
      <w:r>
        <w:rPr>
          <w:rFonts w:hint="eastAsia" w:ascii="宋体" w:hAnsi="宋体" w:cs="宋体"/>
          <w:color w:val="auto"/>
          <w:szCs w:val="21"/>
          <w:highlight w:val="none"/>
          <w:shd w:val="clear" w:color="auto" w:fill="FFFFFF"/>
          <w:lang w:val="en-US" w:eastAsia="zh-CN"/>
        </w:rPr>
        <w:t>9.3万</w:t>
      </w:r>
      <w:r>
        <w:rPr>
          <w:rFonts w:hint="eastAsia" w:ascii="宋体" w:hAnsi="宋体" w:eastAsia="宋体" w:cs="宋体"/>
          <w:color w:val="auto"/>
          <w:szCs w:val="21"/>
          <w:highlight w:val="none"/>
          <w:shd w:val="clear" w:color="auto" w:fill="FFFFFF"/>
        </w:rPr>
        <w:t>元</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lang w:val="en-US" w:eastAsia="zh-CN"/>
        </w:rPr>
        <w:t>自筹资金；</w:t>
      </w:r>
    </w:p>
    <w:p>
      <w:pPr>
        <w:widowControl/>
        <w:tabs>
          <w:tab w:val="left" w:pos="840"/>
        </w:tabs>
        <w:snapToGrid w:val="0"/>
        <w:spacing w:line="360" w:lineRule="auto"/>
        <w:ind w:firstLine="420" w:firstLineChars="200"/>
        <w:jc w:val="left"/>
        <w:rPr>
          <w:rFonts w:hint="default"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rPr>
        <w:t>4、</w:t>
      </w:r>
      <w:r>
        <w:rPr>
          <w:rFonts w:hint="eastAsia" w:ascii="宋体" w:hAnsi="宋体" w:eastAsia="宋体" w:cs="宋体"/>
          <w:color w:val="auto"/>
          <w:szCs w:val="21"/>
          <w:highlight w:val="none"/>
          <w:shd w:val="clear" w:color="auto" w:fill="FFFFFF"/>
          <w:lang w:val="en-US" w:eastAsia="zh-CN"/>
        </w:rPr>
        <w:t>交货地点：采购人指定地点；</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bookmarkStart w:id="4" w:name="_Toc24040"/>
      <w:bookmarkStart w:id="5" w:name="_Toc19521"/>
      <w:bookmarkStart w:id="6" w:name="_Toc21071"/>
      <w:bookmarkStart w:id="7" w:name="_Toc26079"/>
      <w:bookmarkStart w:id="8" w:name="_Toc27913"/>
      <w:r>
        <w:rPr>
          <w:rFonts w:hint="eastAsia" w:ascii="宋体" w:hAnsi="宋体" w:eastAsia="宋体" w:cs="宋体"/>
          <w:color w:val="auto"/>
          <w:szCs w:val="21"/>
          <w:highlight w:val="none"/>
          <w:shd w:val="clear" w:color="auto" w:fill="FFFFFF"/>
        </w:rPr>
        <w:t>5、</w:t>
      </w:r>
      <w:bookmarkEnd w:id="4"/>
      <w:bookmarkEnd w:id="5"/>
      <w:bookmarkEnd w:id="6"/>
      <w:bookmarkEnd w:id="7"/>
      <w:bookmarkEnd w:id="8"/>
      <w:r>
        <w:rPr>
          <w:rFonts w:hint="eastAsia" w:ascii="宋体" w:hAnsi="宋体" w:eastAsia="宋体" w:cs="宋体"/>
          <w:color w:val="auto"/>
          <w:szCs w:val="21"/>
          <w:highlight w:val="none"/>
          <w:shd w:val="clear" w:color="auto" w:fill="FFFFFF"/>
        </w:rPr>
        <w:t>质量要求：符合现行国家质量要求和行业有关标准</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6、标段：共</w:t>
      </w:r>
      <w:r>
        <w:rPr>
          <w:rFonts w:hint="eastAsia" w:ascii="宋体" w:hAnsi="宋体" w:cs="宋体"/>
          <w:color w:val="auto"/>
          <w:szCs w:val="21"/>
          <w:highlight w:val="none"/>
          <w:shd w:val="clear" w:color="auto" w:fill="FFFFFF"/>
          <w:lang w:val="en-US" w:eastAsia="zh-CN"/>
        </w:rPr>
        <w:t>一</w:t>
      </w:r>
      <w:r>
        <w:rPr>
          <w:rFonts w:hint="eastAsia" w:ascii="宋体" w:hAnsi="宋体" w:eastAsia="宋体" w:cs="宋体"/>
          <w:color w:val="auto"/>
          <w:szCs w:val="21"/>
          <w:highlight w:val="none"/>
          <w:shd w:val="clear" w:color="auto" w:fill="FFFFFF"/>
          <w:lang w:val="en-US" w:eastAsia="zh-CN"/>
        </w:rPr>
        <w:t>个标段</w:t>
      </w:r>
      <w:r>
        <w:rPr>
          <w:rFonts w:hint="eastAsia" w:ascii="宋体" w:hAnsi="宋体" w:cs="宋体"/>
          <w:color w:val="auto"/>
          <w:szCs w:val="21"/>
          <w:highlight w:val="none"/>
          <w:shd w:val="clear" w:color="auto" w:fill="FFFFFF"/>
          <w:lang w:val="en-US" w:eastAsia="zh-CN"/>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bookmarkStart w:id="9" w:name="_Toc18607"/>
      <w:bookmarkStart w:id="10" w:name="_Toc27704"/>
      <w:bookmarkStart w:id="11" w:name="_Toc16639"/>
      <w:bookmarkStart w:id="12" w:name="_Toc23626"/>
      <w:r>
        <w:rPr>
          <w:rFonts w:hint="eastAsia" w:ascii="宋体" w:hAnsi="宋体" w:eastAsia="宋体" w:cs="宋体"/>
          <w:b/>
          <w:bCs/>
          <w:color w:val="auto"/>
          <w:kern w:val="2"/>
          <w:sz w:val="21"/>
          <w:szCs w:val="21"/>
          <w:shd w:val="clear" w:color="auto" w:fill="FFFFFF"/>
          <w:lang w:val="en-US" w:eastAsia="zh-CN" w:bidi="ar-SA"/>
        </w:rPr>
        <w:t>二、</w:t>
      </w:r>
      <w:bookmarkEnd w:id="3"/>
      <w:bookmarkEnd w:id="9"/>
      <w:bookmarkEnd w:id="10"/>
      <w:bookmarkEnd w:id="11"/>
      <w:bookmarkEnd w:id="12"/>
      <w:r>
        <w:rPr>
          <w:rFonts w:hint="eastAsia" w:ascii="宋体" w:hAnsi="宋体" w:eastAsia="宋体" w:cs="宋体"/>
          <w:b/>
          <w:bCs/>
          <w:color w:val="auto"/>
          <w:kern w:val="2"/>
          <w:sz w:val="21"/>
          <w:szCs w:val="21"/>
          <w:shd w:val="clear" w:color="auto" w:fill="FFFFFF"/>
          <w:lang w:val="en-US" w:eastAsia="zh-CN" w:bidi="ar-SA"/>
        </w:rPr>
        <w:t>供应商资格要求：</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ascii="宋体" w:hAnsi="宋体" w:eastAsia="宋体" w:cs="宋体"/>
          <w:b w:val="0"/>
          <w:bCs w:val="0"/>
          <w:color w:val="auto"/>
          <w:kern w:val="2"/>
          <w:sz w:val="21"/>
          <w:szCs w:val="21"/>
          <w:shd w:val="clear" w:color="auto" w:fill="FFFFFF"/>
          <w:lang w:val="en-US" w:eastAsia="zh-CN" w:bidi="ar-SA"/>
        </w:rPr>
      </w:pPr>
      <w:bookmarkStart w:id="13" w:name="_Toc30971"/>
      <w:bookmarkStart w:id="14" w:name="_Toc9562"/>
      <w:bookmarkStart w:id="15" w:name="_Toc30643"/>
      <w:bookmarkStart w:id="16" w:name="_Toc23395"/>
      <w:bookmarkStart w:id="17" w:name="_Toc7823"/>
      <w:r>
        <w:rPr>
          <w:rFonts w:hint="eastAsia" w:ascii="宋体" w:hAnsi="宋体" w:eastAsia="宋体" w:cs="宋体"/>
          <w:b w:val="0"/>
          <w:bCs w:val="0"/>
          <w:color w:val="auto"/>
          <w:kern w:val="2"/>
          <w:sz w:val="21"/>
          <w:szCs w:val="21"/>
          <w:shd w:val="clear" w:color="auto" w:fill="FFFFFF"/>
          <w:lang w:val="en-US" w:eastAsia="zh-CN" w:bidi="ar-SA"/>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2、供应商应提供2021年度经审计的财务报告或者其基本开户银行出具的资信证明；</w:t>
      </w:r>
      <w:r>
        <w:rPr>
          <w:rFonts w:hint="eastAsia" w:ascii="宋体" w:hAnsi="宋体" w:cs="宋体"/>
          <w:b w:val="0"/>
          <w:bCs w:val="0"/>
          <w:color w:val="auto"/>
          <w:kern w:val="2"/>
          <w:sz w:val="21"/>
          <w:szCs w:val="21"/>
          <w:shd w:val="clear" w:color="auto" w:fill="FFFFFF"/>
          <w:lang w:val="en-US" w:eastAsia="zh-CN" w:bidi="ar-SA"/>
        </w:rPr>
        <w:t>2022年6月以来</w:t>
      </w:r>
      <w:r>
        <w:rPr>
          <w:rFonts w:hint="eastAsia" w:ascii="宋体" w:hAnsi="宋体" w:eastAsia="宋体" w:cs="宋体"/>
          <w:b w:val="0"/>
          <w:bCs w:val="0"/>
          <w:color w:val="auto"/>
          <w:kern w:val="2"/>
          <w:sz w:val="21"/>
          <w:szCs w:val="21"/>
          <w:shd w:val="clear" w:color="auto" w:fill="FFFFFF"/>
          <w:lang w:val="en-US" w:eastAsia="zh-CN" w:bidi="ar-SA"/>
        </w:rPr>
        <w:t>任意一个月依法缴纳税收的凭据和缴纳社会保险的凭据；依法免税或不需要缴纳社会保障资金的供应商，应提供相应文件证明其依法免税或不需要缴纳社会保障资金。（新成立企业从成立之日起计算）；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3、具有履行合同所必需的设备和专业技术能力（提供书面声明函）；</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4、参加本采购活动前三年内，在经营活动中没有重大违法记录（提供书面声明函）；</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5、符合法律、行政法规规定的其他条件；</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default"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6、须持有有效的《食品经营许可证》、《食品流通许可证》等资质以及相关配送能力，无发生食品安全等相关事故和不良诚信记录</w:t>
      </w:r>
      <w:r>
        <w:rPr>
          <w:rFonts w:hint="eastAsia" w:ascii="宋体" w:hAnsi="宋体" w:cs="宋体"/>
          <w:b w:val="0"/>
          <w:bCs w:val="0"/>
          <w:color w:val="auto"/>
          <w:kern w:val="2"/>
          <w:sz w:val="21"/>
          <w:szCs w:val="21"/>
          <w:shd w:val="clear" w:color="auto" w:fill="FFFFFF"/>
          <w:lang w:val="en-US" w:eastAsia="zh-CN" w:bidi="ar-SA"/>
        </w:rPr>
        <w:t>；</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cs="宋体"/>
          <w:b w:val="0"/>
          <w:bCs w:val="0"/>
          <w:color w:val="auto"/>
          <w:kern w:val="2"/>
          <w:sz w:val="21"/>
          <w:szCs w:val="21"/>
          <w:shd w:val="clear" w:color="auto" w:fill="FFFFFF"/>
          <w:lang w:val="en-US" w:eastAsia="zh-CN" w:bidi="ar-SA"/>
        </w:rPr>
        <w:t>7</w:t>
      </w:r>
      <w:r>
        <w:rPr>
          <w:rFonts w:hint="eastAsia" w:ascii="宋体" w:hAnsi="宋体" w:eastAsia="宋体" w:cs="宋体"/>
          <w:b w:val="0"/>
          <w:bCs w:val="0"/>
          <w:color w:val="auto"/>
          <w:kern w:val="2"/>
          <w:sz w:val="21"/>
          <w:szCs w:val="21"/>
          <w:shd w:val="clear" w:color="auto" w:fill="FFFFFF"/>
          <w:lang w:val="en-US" w:eastAsia="zh-CN" w:bidi="ar-SA"/>
        </w:rPr>
        <w:t>、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cs="宋体"/>
          <w:b w:val="0"/>
          <w:bCs w:val="0"/>
          <w:color w:val="auto"/>
          <w:kern w:val="2"/>
          <w:sz w:val="21"/>
          <w:szCs w:val="21"/>
          <w:shd w:val="clear" w:color="auto" w:fill="FFFFFF"/>
          <w:lang w:val="en-US" w:eastAsia="zh-CN" w:bidi="ar-SA"/>
        </w:rPr>
        <w:t>8</w:t>
      </w:r>
      <w:r>
        <w:rPr>
          <w:rFonts w:hint="eastAsia" w:ascii="宋体" w:hAnsi="宋体" w:eastAsia="宋体" w:cs="宋体"/>
          <w:b w:val="0"/>
          <w:bCs w:val="0"/>
          <w:color w:val="auto"/>
          <w:kern w:val="2"/>
          <w:sz w:val="21"/>
          <w:szCs w:val="21"/>
          <w:shd w:val="clear" w:color="auto" w:fill="FFFFFF"/>
          <w:lang w:val="en-US" w:eastAsia="zh-CN" w:bidi="ar-SA"/>
        </w:rPr>
        <w:t>、该项目不接受联合体投标，不接受供应商项目分包、转包、挂靠。</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4"/>
          <w:lang w:val="en-US" w:eastAsia="zh-CN" w:bidi="ar-SA"/>
        </w:rPr>
      </w:pPr>
      <w:r>
        <w:rPr>
          <w:rFonts w:hint="eastAsia" w:ascii="宋体" w:hAnsi="宋体" w:eastAsia="宋体" w:cs="宋体"/>
          <w:b/>
          <w:bCs/>
          <w:color w:val="auto"/>
          <w:kern w:val="2"/>
          <w:sz w:val="21"/>
          <w:szCs w:val="24"/>
          <w:lang w:val="en-US" w:eastAsia="zh-CN" w:bidi="ar-SA"/>
        </w:rPr>
        <w:t>三、获取采购文件</w:t>
      </w:r>
      <w:bookmarkEnd w:id="13"/>
      <w:bookmarkEnd w:id="14"/>
      <w:bookmarkEnd w:id="15"/>
      <w:bookmarkEnd w:id="16"/>
      <w:bookmarkEnd w:id="17"/>
    </w:p>
    <w:p>
      <w:pPr>
        <w:widowControl/>
        <w:adjustRightInd w:val="0"/>
        <w:snapToGrid w:val="0"/>
        <w:spacing w:line="360" w:lineRule="auto"/>
        <w:ind w:firstLine="420" w:firstLineChars="200"/>
        <w:jc w:val="left"/>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1</w:t>
      </w:r>
      <w:r>
        <w:rPr>
          <w:rFonts w:hint="eastAsia" w:ascii="宋体" w:hAnsi="宋体" w:cs="宋体"/>
          <w:color w:val="auto"/>
          <w:szCs w:val="21"/>
          <w:shd w:val="clear" w:color="auto" w:fill="FFFFFF"/>
          <w:lang w:val="en-US" w:eastAsia="zh-CN"/>
        </w:rPr>
        <w:t>报名</w:t>
      </w:r>
      <w:r>
        <w:rPr>
          <w:rFonts w:hint="eastAsia" w:ascii="宋体" w:hAnsi="宋体" w:eastAsia="宋体" w:cs="宋体"/>
          <w:color w:val="auto"/>
          <w:szCs w:val="21"/>
          <w:shd w:val="clear" w:color="auto" w:fill="FFFFFF"/>
        </w:rPr>
        <w:t>时间：202</w:t>
      </w:r>
      <w:r>
        <w:rPr>
          <w:rFonts w:hint="eastAsia" w:ascii="宋体" w:hAnsi="宋体" w:eastAsia="宋体" w:cs="宋体"/>
          <w:color w:val="auto"/>
          <w:szCs w:val="21"/>
          <w:shd w:val="clear" w:color="auto" w:fill="FFFFFF"/>
          <w:lang w:val="en-US" w:eastAsia="zh-CN"/>
        </w:rPr>
        <w:t>2</w:t>
      </w:r>
      <w:r>
        <w:rPr>
          <w:rFonts w:hint="eastAsia" w:ascii="宋体" w:hAnsi="宋体" w:eastAsia="宋体" w:cs="宋体"/>
          <w:color w:val="auto"/>
          <w:szCs w:val="21"/>
          <w:shd w:val="clear" w:color="auto" w:fill="FFFFFF"/>
        </w:rPr>
        <w:t>年</w:t>
      </w:r>
      <w:r>
        <w:rPr>
          <w:rFonts w:hint="eastAsia" w:ascii="宋体" w:hAnsi="宋体" w:cs="宋体"/>
          <w:color w:val="auto"/>
          <w:szCs w:val="21"/>
          <w:highlight w:val="yellow"/>
          <w:shd w:val="clear" w:color="auto" w:fill="FFFFFF"/>
          <w:lang w:val="en-US" w:eastAsia="zh-CN"/>
        </w:rPr>
        <w:t>09</w:t>
      </w:r>
      <w:r>
        <w:rPr>
          <w:rFonts w:hint="eastAsia" w:ascii="宋体" w:hAnsi="宋体" w:eastAsia="宋体" w:cs="宋体"/>
          <w:color w:val="auto"/>
          <w:szCs w:val="21"/>
          <w:highlight w:val="yellow"/>
          <w:shd w:val="clear" w:color="auto" w:fill="FFFFFF"/>
        </w:rPr>
        <w:t>月</w:t>
      </w:r>
      <w:r>
        <w:rPr>
          <w:rFonts w:hint="eastAsia" w:ascii="宋体" w:hAnsi="宋体" w:cs="宋体"/>
          <w:color w:val="auto"/>
          <w:szCs w:val="21"/>
          <w:highlight w:val="yellow"/>
          <w:shd w:val="clear" w:color="auto" w:fill="FFFFFF"/>
          <w:lang w:val="en-US" w:eastAsia="zh-CN"/>
        </w:rPr>
        <w:t>20</w:t>
      </w:r>
      <w:r>
        <w:rPr>
          <w:rFonts w:hint="eastAsia" w:ascii="宋体" w:hAnsi="宋体" w:eastAsia="宋体" w:cs="宋体"/>
          <w:color w:val="auto"/>
          <w:szCs w:val="21"/>
          <w:highlight w:val="yellow"/>
          <w:shd w:val="clear" w:color="auto" w:fill="FFFFFF"/>
        </w:rPr>
        <w:t>日</w:t>
      </w:r>
      <w:r>
        <w:rPr>
          <w:rFonts w:hint="eastAsia" w:ascii="宋体" w:hAnsi="宋体" w:eastAsia="宋体" w:cs="宋体"/>
          <w:color w:val="auto"/>
          <w:szCs w:val="21"/>
          <w:highlight w:val="none"/>
          <w:shd w:val="clear" w:color="auto" w:fill="FFFFFF"/>
        </w:rPr>
        <w:t>-202</w:t>
      </w:r>
      <w:r>
        <w:rPr>
          <w:rFonts w:hint="eastAsia" w:ascii="宋体" w:hAnsi="宋体" w:eastAsia="宋体" w:cs="宋体"/>
          <w:color w:val="auto"/>
          <w:szCs w:val="21"/>
          <w:highlight w:val="none"/>
          <w:shd w:val="clear" w:color="auto" w:fill="FFFFFF"/>
          <w:lang w:val="en-US" w:eastAsia="zh-CN"/>
        </w:rPr>
        <w:t>2</w:t>
      </w:r>
      <w:r>
        <w:rPr>
          <w:rFonts w:hint="eastAsia" w:ascii="宋体" w:hAnsi="宋体" w:eastAsia="宋体" w:cs="宋体"/>
          <w:color w:val="auto"/>
          <w:szCs w:val="21"/>
          <w:highlight w:val="none"/>
          <w:shd w:val="clear" w:color="auto" w:fill="FFFFFF"/>
        </w:rPr>
        <w:t>年</w:t>
      </w:r>
      <w:r>
        <w:rPr>
          <w:rFonts w:hint="eastAsia" w:ascii="宋体" w:hAnsi="宋体" w:cs="宋体"/>
          <w:color w:val="auto"/>
          <w:szCs w:val="21"/>
          <w:highlight w:val="yellow"/>
          <w:shd w:val="clear" w:color="auto" w:fill="FFFFFF"/>
          <w:lang w:val="en-US" w:eastAsia="zh-CN"/>
        </w:rPr>
        <w:t>09</w:t>
      </w:r>
      <w:r>
        <w:rPr>
          <w:rFonts w:hint="eastAsia" w:ascii="宋体" w:hAnsi="宋体" w:eastAsia="宋体" w:cs="宋体"/>
          <w:color w:val="auto"/>
          <w:szCs w:val="21"/>
          <w:highlight w:val="yellow"/>
          <w:shd w:val="clear" w:color="auto" w:fill="FFFFFF"/>
        </w:rPr>
        <w:t>月</w:t>
      </w:r>
      <w:r>
        <w:rPr>
          <w:rFonts w:hint="eastAsia" w:ascii="宋体" w:hAnsi="宋体" w:cs="宋体"/>
          <w:color w:val="auto"/>
          <w:szCs w:val="21"/>
          <w:highlight w:val="yellow"/>
          <w:shd w:val="clear" w:color="auto" w:fill="FFFFFF"/>
          <w:lang w:val="en-US" w:eastAsia="zh-CN"/>
        </w:rPr>
        <w:t>22</w:t>
      </w:r>
      <w:r>
        <w:rPr>
          <w:rFonts w:hint="eastAsia" w:ascii="宋体" w:hAnsi="宋体" w:eastAsia="宋体" w:cs="宋体"/>
          <w:color w:val="auto"/>
          <w:szCs w:val="21"/>
          <w:highlight w:val="yellow"/>
          <w:shd w:val="clear" w:color="auto" w:fill="FFFFFF"/>
        </w:rPr>
        <w:t>日</w:t>
      </w:r>
      <w:r>
        <w:rPr>
          <w:rFonts w:hint="eastAsia" w:ascii="宋体" w:hAnsi="宋体" w:eastAsia="宋体" w:cs="宋体"/>
          <w:color w:val="auto"/>
          <w:szCs w:val="21"/>
          <w:shd w:val="clear" w:color="auto" w:fill="FFFFFF"/>
        </w:rPr>
        <w:t>，上午8：30-11:30，下午14:30-17:30（北京时间，法定节假日除外）</w:t>
      </w:r>
      <w:r>
        <w:rPr>
          <w:rFonts w:hint="eastAsia" w:ascii="宋体" w:hAnsi="宋体" w:eastAsia="宋体" w:cs="宋体"/>
          <w:color w:val="auto"/>
          <w:szCs w:val="21"/>
          <w:shd w:val="clear" w:color="auto" w:fill="FFFFFF"/>
          <w:lang w:eastAsia="zh-CN"/>
        </w:rPr>
        <w:t>，</w:t>
      </w:r>
      <w:r>
        <w:rPr>
          <w:rFonts w:hint="eastAsia" w:ascii="宋体" w:hAnsi="宋体" w:cs="宋体"/>
          <w:color w:val="auto"/>
          <w:szCs w:val="21"/>
          <w:shd w:val="clear" w:color="auto" w:fill="FFFFFF"/>
          <w:lang w:val="en-US" w:eastAsia="zh-CN"/>
        </w:rPr>
        <w:t>报名费用</w:t>
      </w:r>
      <w:r>
        <w:rPr>
          <w:rFonts w:hint="eastAsia" w:ascii="宋体" w:hAnsi="宋体" w:eastAsia="宋体" w:cs="宋体"/>
          <w:color w:val="auto"/>
          <w:szCs w:val="21"/>
          <w:shd w:val="clear" w:color="auto" w:fill="FFFFFF"/>
          <w:lang w:val="en-US" w:eastAsia="zh-CN"/>
        </w:rPr>
        <w:t>：200元。</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2.凡报名成功的供应商无故不来参与投标的列入我院黑名单，一年内不得参与我院任何采购活动。中标供应商缴纳相应服务费。 </w:t>
      </w:r>
    </w:p>
    <w:p>
      <w:pPr>
        <w:widowControl/>
        <w:wordWrap w:val="0"/>
        <w:snapToGrid w:val="0"/>
        <w:spacing w:before="0" w:beforeAutospacing="0" w:after="0" w:afterAutospacing="0" w:line="360" w:lineRule="auto"/>
        <w:ind w:left="0" w:leftChars="0" w:firstLine="420" w:firstLineChars="200"/>
        <w:jc w:val="left"/>
        <w:rPr>
          <w:rFonts w:ascii="宋体" w:hAnsi="宋体" w:eastAsia="宋体" w:cs="宋体"/>
          <w:color w:val="auto"/>
          <w:kern w:val="0"/>
          <w:sz w:val="21"/>
          <w:szCs w:val="21"/>
          <w:u w:val="single"/>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"mailto:hnwxzb2@163.com并标明XX"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cs="宋体"/>
          <w:color w:val="auto"/>
          <w:kern w:val="0"/>
          <w:sz w:val="21"/>
          <w:szCs w:val="21"/>
          <w:shd w:val="clear" w:color="auto" w:fill="FFFFFF"/>
          <w:lang w:val="en-US" w:eastAsia="zh-CN" w:bidi="ar-SA"/>
        </w:rPr>
        <w:t>1150105437</w:t>
      </w:r>
      <w:r>
        <w:rPr>
          <w:rFonts w:hint="eastAsia" w:ascii="宋体" w:hAnsi="宋体" w:eastAsia="宋体" w:cs="宋体"/>
          <w:color w:val="auto"/>
          <w:kern w:val="0"/>
          <w:sz w:val="21"/>
          <w:szCs w:val="21"/>
          <w:shd w:val="clear" w:color="auto" w:fill="FFFFFF"/>
          <w:lang w:val="en-US" w:eastAsia="zh-CN" w:bidi="ar-SA"/>
        </w:rPr>
        <w:t>@qq.com并标明XX</w:t>
      </w:r>
      <w:r>
        <w:rPr>
          <w:rFonts w:hint="eastAsia" w:ascii="宋体" w:hAnsi="宋体" w:eastAsia="宋体" w:cs="宋体"/>
          <w:color w:val="auto"/>
          <w:kern w:val="0"/>
          <w:sz w:val="21"/>
          <w:szCs w:val="21"/>
          <w:shd w:val="clear" w:color="auto" w:fill="FFFFFF"/>
          <w:lang w:val="en-US" w:eastAsia="zh-CN" w:bidi="ar-SA"/>
        </w:rPr>
        <w:fldChar w:fldCharType="end"/>
      </w:r>
      <w:r>
        <w:rPr>
          <w:rFonts w:hint="eastAsia" w:ascii="宋体" w:hAnsi="宋体" w:eastAsia="宋体" w:cs="宋体"/>
          <w:color w:val="auto"/>
          <w:kern w:val="0"/>
          <w:sz w:val="21"/>
          <w:szCs w:val="21"/>
          <w:shd w:val="clear" w:color="auto" w:fill="FFFFFF"/>
          <w:lang w:val="en-US" w:eastAsia="zh-CN" w:bidi="ar-SA"/>
        </w:rPr>
        <w:t>项目报名资料；审核通过后按要求交纳</w:t>
      </w:r>
      <w:r>
        <w:rPr>
          <w:rFonts w:hint="eastAsia" w:ascii="宋体" w:hAnsi="宋体" w:cs="宋体"/>
          <w:color w:val="auto"/>
          <w:kern w:val="0"/>
          <w:sz w:val="21"/>
          <w:szCs w:val="21"/>
          <w:shd w:val="clear" w:color="auto" w:fill="FFFFFF"/>
          <w:lang w:val="en-US" w:eastAsia="zh-CN" w:bidi="ar-SA"/>
        </w:rPr>
        <w:t>报名费</w:t>
      </w:r>
      <w:r>
        <w:rPr>
          <w:rFonts w:hint="eastAsia" w:ascii="宋体" w:hAnsi="宋体" w:eastAsia="宋体" w:cs="宋体"/>
          <w:color w:val="auto"/>
          <w:kern w:val="0"/>
          <w:sz w:val="21"/>
          <w:szCs w:val="21"/>
          <w:shd w:val="clear" w:color="auto" w:fill="FFFFFF"/>
          <w:lang w:val="en-US" w:eastAsia="zh-CN" w:bidi="ar-SA"/>
        </w:rPr>
        <w:t>。</w:t>
      </w:r>
    </w:p>
    <w:p>
      <w:pPr>
        <w:widowControl/>
        <w:wordWrap w:val="0"/>
        <w:snapToGrid w:val="0"/>
        <w:spacing w:before="0" w:beforeAutospacing="0" w:after="0" w:afterAutospacing="0" w:line="360" w:lineRule="auto"/>
        <w:ind w:left="420" w:left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4.报名登记表：请从附件中下载。</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18" w:name="_Toc15111"/>
      <w:bookmarkStart w:id="19" w:name="_Toc10738"/>
      <w:bookmarkStart w:id="20" w:name="_Toc15135"/>
      <w:bookmarkStart w:id="21" w:name="_Toc27480"/>
      <w:bookmarkStart w:id="22" w:name="_Toc25869"/>
      <w:r>
        <w:rPr>
          <w:rFonts w:hint="eastAsia" w:ascii="宋体" w:hAnsi="宋体" w:eastAsia="宋体" w:cs="宋体"/>
          <w:b/>
          <w:bCs/>
          <w:color w:val="auto"/>
          <w:kern w:val="2"/>
          <w:sz w:val="21"/>
          <w:szCs w:val="21"/>
          <w:shd w:val="clear" w:color="auto" w:fill="FFFFFF"/>
          <w:lang w:val="en-US" w:eastAsia="zh-CN" w:bidi="ar-SA"/>
        </w:rPr>
        <w:t>四、投标截止时间及地点</w:t>
      </w:r>
      <w:bookmarkEnd w:id="18"/>
      <w:bookmarkEnd w:id="19"/>
      <w:bookmarkEnd w:id="20"/>
      <w:bookmarkEnd w:id="21"/>
      <w:bookmarkEnd w:id="22"/>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1.时间：详见采购文件。</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2.地点：详见采购文件。</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shd w:val="clear" w:color="auto" w:fill="FFFFFF"/>
          <w:lang w:val="en-US" w:eastAsia="zh-CN" w:bidi="ar-SA"/>
        </w:rPr>
        <w:t>五、开标时间及地点</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1.时间：详见采购文件。</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2.地点：详见采购文件。</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23" w:name="_Toc29784"/>
      <w:bookmarkStart w:id="24" w:name="_Toc6523"/>
      <w:bookmarkStart w:id="25" w:name="_Toc20287"/>
      <w:bookmarkStart w:id="26" w:name="_Toc30918"/>
      <w:r>
        <w:rPr>
          <w:rFonts w:hint="eastAsia" w:ascii="宋体" w:hAnsi="宋体" w:eastAsia="宋体" w:cs="宋体"/>
          <w:b/>
          <w:bCs/>
          <w:color w:val="auto"/>
          <w:kern w:val="2"/>
          <w:sz w:val="21"/>
          <w:szCs w:val="21"/>
          <w:shd w:val="clear" w:color="auto" w:fill="FFFFFF"/>
          <w:lang w:val="en-US" w:eastAsia="zh-CN" w:bidi="ar-SA"/>
        </w:rPr>
        <w:t>六、发布公告的媒介及</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b/>
          <w:bCs/>
          <w:color w:val="auto"/>
          <w:kern w:val="2"/>
          <w:sz w:val="21"/>
          <w:szCs w:val="21"/>
          <w:shd w:val="clear" w:color="auto" w:fill="FFFFFF"/>
          <w:lang w:val="en-US" w:eastAsia="zh-CN" w:bidi="ar-SA"/>
        </w:rPr>
        <w:t>公告期限</w:t>
      </w:r>
      <w:bookmarkEnd w:id="23"/>
      <w:bookmarkEnd w:id="24"/>
      <w:bookmarkEnd w:id="25"/>
      <w:bookmarkEnd w:id="26"/>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本次</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color w:val="auto"/>
          <w:kern w:val="0"/>
          <w:sz w:val="21"/>
          <w:szCs w:val="21"/>
          <w:shd w:val="clear" w:color="auto" w:fill="FFFFFF"/>
          <w:lang w:val="en-US" w:eastAsia="zh-CN" w:bidi="ar-SA"/>
        </w:rPr>
        <w:t>公告在《驻马店市中心医院》</w:t>
      </w:r>
      <w:r>
        <w:rPr>
          <w:rFonts w:hint="eastAsia" w:ascii="宋体" w:hAnsi="宋体" w:cs="宋体"/>
          <w:color w:val="auto"/>
          <w:kern w:val="0"/>
          <w:sz w:val="21"/>
          <w:szCs w:val="21"/>
          <w:shd w:val="clear" w:color="auto" w:fill="FFFFFF"/>
          <w:lang w:val="en-US" w:eastAsia="zh-CN" w:bidi="ar-SA"/>
        </w:rPr>
        <w:t>院内</w:t>
      </w:r>
      <w:r>
        <w:rPr>
          <w:rFonts w:hint="eastAsia" w:ascii="宋体" w:hAnsi="宋体" w:eastAsia="宋体" w:cs="宋体"/>
          <w:color w:val="auto"/>
          <w:kern w:val="0"/>
          <w:sz w:val="21"/>
          <w:szCs w:val="21"/>
          <w:shd w:val="clear" w:color="auto" w:fill="FFFFFF"/>
          <w:lang w:val="en-US" w:eastAsia="zh-CN" w:bidi="ar-SA"/>
        </w:rPr>
        <w:t>网</w:t>
      </w:r>
      <w:r>
        <w:rPr>
          <w:rFonts w:hint="eastAsia" w:ascii="宋体" w:hAnsi="宋体" w:eastAsia="宋体" w:cs="宋体"/>
          <w:color w:val="auto"/>
          <w:sz w:val="21"/>
          <w:szCs w:val="21"/>
          <w:shd w:val="clear" w:color="auto" w:fill="auto"/>
        </w:rPr>
        <w:t>上发布</w:t>
      </w:r>
      <w:r>
        <w:rPr>
          <w:rFonts w:hint="eastAsia" w:ascii="宋体" w:hAnsi="宋体" w:cs="宋体"/>
          <w:color w:val="auto"/>
          <w:sz w:val="21"/>
          <w:szCs w:val="21"/>
          <w:highlight w:val="none"/>
          <w:shd w:val="clear" w:color="auto" w:fill="auto"/>
          <w:lang w:eastAsia="zh-CN"/>
        </w:rPr>
        <w:t>，</w:t>
      </w:r>
      <w:r>
        <w:rPr>
          <w:rFonts w:hint="eastAsia" w:ascii="宋体" w:hAnsi="宋体" w:eastAsia="宋体" w:cs="宋体"/>
          <w:color w:val="auto"/>
          <w:sz w:val="21"/>
          <w:szCs w:val="21"/>
          <w:shd w:val="clear" w:color="auto" w:fill="auto"/>
          <w:lang w:val="en-US" w:eastAsia="zh-CN"/>
        </w:rPr>
        <w:t>采购</w:t>
      </w:r>
      <w:r>
        <w:rPr>
          <w:rFonts w:hint="eastAsia" w:ascii="宋体" w:hAnsi="宋体" w:cs="宋体"/>
          <w:color w:val="auto"/>
          <w:sz w:val="21"/>
          <w:szCs w:val="21"/>
          <w:highlight w:val="none"/>
          <w:shd w:val="clear" w:color="auto" w:fill="auto"/>
          <w:lang w:eastAsia="zh-CN"/>
        </w:rPr>
        <w:t>公告期限为</w:t>
      </w:r>
      <w:r>
        <w:rPr>
          <w:rFonts w:hint="eastAsia" w:ascii="宋体" w:hAnsi="宋体" w:cs="宋体"/>
          <w:color w:val="auto"/>
          <w:sz w:val="21"/>
          <w:szCs w:val="21"/>
          <w:highlight w:val="none"/>
          <w:shd w:val="clear" w:color="auto" w:fill="auto"/>
          <w:lang w:val="en-US" w:eastAsia="zh-CN"/>
        </w:rPr>
        <w:t>三</w:t>
      </w:r>
      <w:r>
        <w:rPr>
          <w:rFonts w:hint="eastAsia" w:ascii="宋体" w:hAnsi="宋体" w:cs="宋体"/>
          <w:color w:val="auto"/>
          <w:sz w:val="21"/>
          <w:szCs w:val="21"/>
          <w:highlight w:val="none"/>
          <w:shd w:val="clear" w:color="auto" w:fill="auto"/>
          <w:lang w:eastAsia="zh-CN"/>
        </w:rPr>
        <w:t>个工作日</w:t>
      </w:r>
      <w:r>
        <w:rPr>
          <w:rFonts w:hint="eastAsia" w:ascii="宋体" w:hAnsi="宋体" w:eastAsia="宋体" w:cs="宋体"/>
          <w:color w:val="auto"/>
          <w:kern w:val="0"/>
          <w:sz w:val="21"/>
          <w:szCs w:val="21"/>
          <w:highlight w:val="none"/>
          <w:shd w:val="clear" w:color="auto" w:fill="FFFFFF"/>
          <w:lang w:val="en-US" w:eastAsia="zh-CN" w:bidi="ar-SA"/>
        </w:rPr>
        <w:t>。</w:t>
      </w:r>
      <w:bookmarkStart w:id="27" w:name="_Toc35393795"/>
      <w:bookmarkStart w:id="28" w:name="_Toc35393626"/>
    </w:p>
    <w:bookmarkEnd w:id="27"/>
    <w:bookmarkEnd w:id="28"/>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highlight w:val="none"/>
          <w:lang w:val="en-US" w:eastAsia="zh-CN" w:bidi="ar-SA"/>
        </w:rPr>
      </w:pPr>
      <w:bookmarkStart w:id="29" w:name="_Toc3604"/>
      <w:bookmarkStart w:id="30" w:name="_Toc31928"/>
      <w:bookmarkStart w:id="31" w:name="_Toc24274"/>
      <w:bookmarkStart w:id="32" w:name="_Toc27370"/>
      <w:bookmarkStart w:id="33" w:name="_Toc16291"/>
      <w:r>
        <w:rPr>
          <w:rFonts w:hint="eastAsia" w:ascii="宋体" w:hAnsi="宋体" w:eastAsia="宋体" w:cs="宋体"/>
          <w:b/>
          <w:bCs/>
          <w:color w:val="auto"/>
          <w:kern w:val="2"/>
          <w:sz w:val="21"/>
          <w:szCs w:val="21"/>
          <w:shd w:val="clear" w:color="auto" w:fill="FFFFFF"/>
          <w:lang w:val="en-US" w:eastAsia="zh-CN" w:bidi="ar-SA"/>
        </w:rPr>
        <w:t>八、</w:t>
      </w:r>
      <w:bookmarkEnd w:id="29"/>
      <w:bookmarkEnd w:id="30"/>
      <w:bookmarkEnd w:id="31"/>
      <w:bookmarkEnd w:id="32"/>
      <w:bookmarkEnd w:id="33"/>
      <w:r>
        <w:rPr>
          <w:rFonts w:hint="eastAsia" w:ascii="宋体" w:hAnsi="宋体" w:eastAsia="宋体" w:cs="宋体"/>
          <w:b/>
          <w:bCs/>
          <w:color w:val="auto"/>
          <w:kern w:val="2"/>
          <w:sz w:val="21"/>
          <w:szCs w:val="21"/>
          <w:highlight w:val="none"/>
          <w:shd w:val="clear" w:color="auto" w:fill="FFFFFF"/>
          <w:lang w:val="en-US" w:eastAsia="zh-CN" w:bidi="ar-SA"/>
        </w:rPr>
        <w:t>凡对本次招标提出询问，请按照以下方式联系</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报名联系人</w:t>
      </w:r>
      <w:r>
        <w:rPr>
          <w:rFonts w:hint="eastAsia" w:ascii="宋体" w:hAnsi="宋体" w:cs="宋体"/>
          <w:color w:val="auto"/>
          <w:kern w:val="0"/>
          <w:sz w:val="21"/>
          <w:szCs w:val="21"/>
          <w:highlight w:val="none"/>
          <w:shd w:val="clear" w:color="auto" w:fill="FFFFFF"/>
          <w:lang w:val="en-US" w:eastAsia="zh-CN" w:bidi="ar-SA"/>
        </w:rPr>
        <w:t>1</w:t>
      </w:r>
      <w:r>
        <w:rPr>
          <w:rFonts w:hint="eastAsia" w:ascii="宋体" w:hAnsi="宋体" w:eastAsia="宋体" w:cs="宋体"/>
          <w:color w:val="auto"/>
          <w:kern w:val="0"/>
          <w:sz w:val="21"/>
          <w:szCs w:val="21"/>
          <w:highlight w:val="none"/>
          <w:shd w:val="clear" w:color="auto" w:fill="FFFFFF"/>
          <w:lang w:val="en-US" w:eastAsia="zh-CN" w:bidi="ar-SA"/>
        </w:rPr>
        <w:t>：</w:t>
      </w:r>
      <w:r>
        <w:rPr>
          <w:rFonts w:hint="eastAsia" w:ascii="宋体" w:hAnsi="宋体" w:cs="宋体"/>
          <w:color w:val="auto"/>
          <w:kern w:val="0"/>
          <w:sz w:val="21"/>
          <w:szCs w:val="21"/>
          <w:highlight w:val="none"/>
          <w:shd w:val="clear" w:color="auto" w:fill="FFFFFF"/>
          <w:lang w:val="en-US" w:eastAsia="zh-CN" w:bidi="ar-SA"/>
        </w:rPr>
        <w:t>王女士</w:t>
      </w:r>
    </w:p>
    <w:p>
      <w:pPr>
        <w:widowControl/>
        <w:snapToGrid w:val="0"/>
        <w:spacing w:before="0" w:beforeAutospacing="0" w:after="0" w:afterAutospacing="0" w:line="360" w:lineRule="auto"/>
        <w:ind w:firstLine="420" w:firstLineChars="200"/>
        <w:jc w:val="left"/>
        <w:rPr>
          <w:rFonts w:hint="eastAsia" w:ascii="宋体" w:hAnsi="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联系电话</w:t>
      </w:r>
      <w:r>
        <w:rPr>
          <w:rFonts w:hint="eastAsia" w:ascii="宋体" w:hAnsi="宋体" w:cs="宋体"/>
          <w:color w:val="auto"/>
          <w:kern w:val="0"/>
          <w:sz w:val="21"/>
          <w:szCs w:val="21"/>
          <w:highlight w:val="none"/>
          <w:shd w:val="clear" w:color="auto" w:fill="FFFFFF"/>
          <w:lang w:val="en-US" w:eastAsia="zh-CN" w:bidi="ar-SA"/>
        </w:rPr>
        <w:t>：18639627370</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default" w:ascii="宋体" w:hAnsi="宋体" w:eastAsia="宋体" w:cs="宋体"/>
          <w:color w:val="auto"/>
          <w:kern w:val="0"/>
          <w:sz w:val="21"/>
          <w:szCs w:val="21"/>
          <w:highlight w:val="none"/>
          <w:shd w:val="clear" w:color="auto" w:fill="FFFFFF"/>
          <w:lang w:val="en-US" w:eastAsia="zh-CN" w:bidi="ar-SA"/>
        </w:rPr>
        <w:t>报名联系人</w:t>
      </w:r>
      <w:r>
        <w:rPr>
          <w:rFonts w:hint="eastAsia" w:ascii="宋体" w:hAnsi="宋体" w:cs="宋体"/>
          <w:color w:val="auto"/>
          <w:kern w:val="0"/>
          <w:sz w:val="21"/>
          <w:szCs w:val="21"/>
          <w:highlight w:val="none"/>
          <w:shd w:val="clear" w:color="auto" w:fill="FFFFFF"/>
          <w:lang w:val="en-US" w:eastAsia="zh-CN" w:bidi="ar-SA"/>
        </w:rPr>
        <w:t>2</w:t>
      </w:r>
      <w:r>
        <w:rPr>
          <w:rFonts w:hint="default" w:ascii="宋体" w:hAnsi="宋体" w:eastAsia="宋体" w:cs="宋体"/>
          <w:color w:val="auto"/>
          <w:kern w:val="0"/>
          <w:sz w:val="21"/>
          <w:szCs w:val="21"/>
          <w:highlight w:val="none"/>
          <w:shd w:val="clear" w:color="auto" w:fill="FFFFFF"/>
          <w:lang w:val="en-US" w:eastAsia="zh-CN" w:bidi="ar-SA"/>
        </w:rPr>
        <w:t>：</w:t>
      </w:r>
      <w:r>
        <w:rPr>
          <w:rFonts w:hint="eastAsia" w:ascii="宋体" w:hAnsi="宋体" w:cs="宋体"/>
          <w:color w:val="auto"/>
          <w:kern w:val="0"/>
          <w:sz w:val="21"/>
          <w:szCs w:val="21"/>
          <w:highlight w:val="none"/>
          <w:shd w:val="clear" w:color="auto" w:fill="FFFFFF"/>
          <w:lang w:val="en-US" w:eastAsia="zh-CN" w:bidi="ar-SA"/>
        </w:rPr>
        <w:t>吴先生</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default" w:ascii="宋体" w:hAnsi="宋体" w:eastAsia="宋体" w:cs="宋体"/>
          <w:color w:val="auto"/>
          <w:kern w:val="0"/>
          <w:sz w:val="21"/>
          <w:szCs w:val="21"/>
          <w:highlight w:val="none"/>
          <w:shd w:val="clear" w:color="auto" w:fill="FFFFFF"/>
          <w:lang w:val="en-US" w:eastAsia="zh-CN" w:bidi="ar-SA"/>
        </w:rPr>
        <w:t>联系电话</w:t>
      </w:r>
      <w:r>
        <w:rPr>
          <w:rFonts w:hint="eastAsia" w:ascii="宋体" w:hAnsi="宋体" w:cs="宋体"/>
          <w:color w:val="auto"/>
          <w:kern w:val="0"/>
          <w:sz w:val="21"/>
          <w:szCs w:val="21"/>
          <w:highlight w:val="none"/>
          <w:shd w:val="clear" w:color="auto" w:fill="FFFFFF"/>
          <w:lang w:val="en-US" w:eastAsia="zh-CN" w:bidi="ar-SA"/>
        </w:rPr>
        <w:t>：18939661675</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联系人：陈先生</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联系电话：0396-2726379</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"mailto:zxyyjzcgbgs@163.com"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zxyyjzcgbgs@163.com</w:t>
      </w:r>
      <w:r>
        <w:rPr>
          <w:rFonts w:hint="eastAsia" w:ascii="宋体" w:hAnsi="宋体" w:eastAsia="宋体" w:cs="宋体"/>
          <w:color w:val="auto"/>
          <w:kern w:val="0"/>
          <w:sz w:val="21"/>
          <w:szCs w:val="21"/>
          <w:shd w:val="clear" w:color="auto" w:fill="FFFFFF"/>
          <w:lang w:val="en-US" w:eastAsia="zh-CN" w:bidi="ar-SA"/>
        </w:rPr>
        <w:fldChar w:fldCharType="end"/>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监督部门：驻马店市中心医院纪检监察室</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监督电话：0396-2725435</w:t>
      </w:r>
    </w:p>
    <w:p>
      <w:pPr>
        <w:pStyle w:val="31"/>
        <w:rPr>
          <w:rFonts w:hint="eastAsia"/>
          <w:color w:val="auto"/>
          <w:lang w:val="en-US" w:eastAsia="zh-CN"/>
        </w:rPr>
      </w:pPr>
    </w:p>
    <w:p>
      <w:pPr>
        <w:widowControl/>
        <w:snapToGrid w:val="0"/>
        <w:spacing w:before="0" w:beforeAutospacing="0" w:after="0" w:afterAutospacing="0" w:line="360" w:lineRule="auto"/>
        <w:ind w:firstLine="420" w:firstLineChars="200"/>
        <w:jc w:val="righ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驻马店市中心医院采购科</w:t>
      </w:r>
    </w:p>
    <w:p>
      <w:pPr>
        <w:pStyle w:val="29"/>
        <w:widowControl/>
        <w:snapToGrid w:val="0"/>
        <w:spacing w:before="0" w:beforeAutospacing="0" w:after="0" w:afterAutospacing="0" w:line="360" w:lineRule="auto"/>
        <w:ind w:firstLine="420" w:firstLineChars="200"/>
        <w:jc w:val="right"/>
        <w:rPr>
          <w:rFonts w:ascii="宋体" w:hAnsi="宋体" w:cs="宋体"/>
          <w:color w:val="auto"/>
          <w:sz w:val="21"/>
          <w:szCs w:val="21"/>
          <w:highlight w:val="none"/>
          <w:shd w:val="clear" w:color="auto" w:fill="FFFFFF"/>
        </w:rPr>
      </w:pPr>
      <w:r>
        <w:rPr>
          <w:rFonts w:hint="eastAsia" w:ascii="宋体" w:hAnsi="宋体" w:eastAsia="宋体" w:cs="宋体"/>
          <w:color w:val="auto"/>
          <w:kern w:val="0"/>
          <w:sz w:val="21"/>
          <w:szCs w:val="21"/>
          <w:shd w:val="clear" w:color="auto" w:fill="FFFFFF"/>
          <w:lang w:val="en-US" w:eastAsia="zh-CN" w:bidi="ar-SA"/>
        </w:rPr>
        <w:t>2022年0</w:t>
      </w:r>
      <w:r>
        <w:rPr>
          <w:rFonts w:hint="eastAsia" w:ascii="宋体" w:hAnsi="宋体" w:cs="宋体"/>
          <w:color w:val="auto"/>
          <w:kern w:val="0"/>
          <w:sz w:val="21"/>
          <w:szCs w:val="21"/>
          <w:shd w:val="clear" w:color="auto" w:fill="FFFFFF"/>
          <w:lang w:val="en-US" w:eastAsia="zh-CN" w:bidi="ar-SA"/>
        </w:rPr>
        <w:t>9</w:t>
      </w:r>
      <w:r>
        <w:rPr>
          <w:rFonts w:hint="eastAsia" w:ascii="宋体" w:hAnsi="宋体" w:eastAsia="宋体" w:cs="宋体"/>
          <w:color w:val="auto"/>
          <w:kern w:val="0"/>
          <w:sz w:val="21"/>
          <w:szCs w:val="21"/>
          <w:shd w:val="clear" w:color="auto" w:fill="FFFFFF"/>
          <w:lang w:val="en-US" w:eastAsia="zh-CN" w:bidi="ar-SA"/>
        </w:rPr>
        <w:t>月</w:t>
      </w:r>
      <w:r>
        <w:rPr>
          <w:rFonts w:hint="eastAsia" w:ascii="宋体" w:hAnsi="宋体" w:cs="宋体"/>
          <w:color w:val="auto"/>
          <w:kern w:val="0"/>
          <w:sz w:val="21"/>
          <w:szCs w:val="21"/>
          <w:highlight w:val="yellow"/>
          <w:shd w:val="clear" w:color="auto" w:fill="FFFFFF"/>
          <w:lang w:val="en-US" w:eastAsia="zh-CN" w:bidi="ar-SA"/>
        </w:rPr>
        <w:t>19</w:t>
      </w:r>
      <w:r>
        <w:rPr>
          <w:rFonts w:hint="eastAsia" w:ascii="宋体" w:hAnsi="宋体" w:eastAsia="宋体" w:cs="宋体"/>
          <w:color w:val="auto"/>
          <w:kern w:val="0"/>
          <w:sz w:val="21"/>
          <w:szCs w:val="21"/>
          <w:highlight w:val="yellow"/>
          <w:shd w:val="clear" w:color="auto" w:fill="FFFFFF"/>
          <w:lang w:val="en-US" w:eastAsia="zh-CN" w:bidi="ar-SA"/>
        </w:rPr>
        <w:t>日</w:t>
      </w:r>
    </w:p>
    <w:bookmarkEnd w:id="91"/>
    <w:p>
      <w:pPr>
        <w:pStyle w:val="29"/>
        <w:widowControl/>
        <w:snapToGrid w:val="0"/>
        <w:spacing w:before="0" w:beforeAutospacing="0" w:after="0" w:afterAutospacing="0" w:line="360" w:lineRule="auto"/>
        <w:ind w:firstLine="420" w:firstLineChars="200"/>
        <w:rPr>
          <w:rFonts w:ascii="宋体" w:hAnsi="宋体" w:cs="宋体"/>
          <w:color w:val="auto"/>
          <w:sz w:val="21"/>
          <w:szCs w:val="21"/>
          <w:highlight w:val="none"/>
          <w:shd w:val="clear" w:color="auto" w:fill="FFFFFF"/>
        </w:rPr>
      </w:pPr>
    </w:p>
    <w:p>
      <w:pPr>
        <w:widowControl/>
        <w:spacing w:line="360" w:lineRule="auto"/>
        <w:ind w:firstLine="480" w:firstLineChars="200"/>
        <w:jc w:val="left"/>
        <w:rPr>
          <w:rFonts w:ascii="宋体" w:hAnsi="宋体" w:cs="宋体"/>
          <w:b/>
          <w:color w:val="auto"/>
          <w:sz w:val="24"/>
          <w:highlight w:val="none"/>
        </w:rPr>
      </w:pPr>
      <w:r>
        <w:rPr>
          <w:rFonts w:hint="eastAsia" w:ascii="宋体" w:hAnsi="宋体" w:cs="宋体"/>
          <w:color w:val="auto"/>
          <w:kern w:val="0"/>
          <w:sz w:val="24"/>
          <w:highlight w:val="none"/>
        </w:rPr>
        <w:t>  </w:t>
      </w:r>
    </w:p>
    <w:p>
      <w:pPr>
        <w:rPr>
          <w:b/>
          <w:bCs/>
          <w:color w:val="auto"/>
          <w:sz w:val="24"/>
          <w:highlight w:val="none"/>
        </w:rPr>
      </w:pPr>
      <w:r>
        <w:rPr>
          <w:rFonts w:hint="eastAsia"/>
          <w:b/>
          <w:bCs/>
          <w:color w:val="auto"/>
          <w:sz w:val="24"/>
          <w:highlight w:val="none"/>
        </w:rPr>
        <w:br w:type="page"/>
      </w:r>
    </w:p>
    <w:p>
      <w:pPr>
        <w:keepNext w:val="0"/>
        <w:keepLines w:val="0"/>
        <w:pageBreakBefore w:val="0"/>
        <w:widowControl w:val="0"/>
        <w:kinsoku/>
        <w:wordWrap/>
        <w:overflowPunct/>
        <w:topLinePunct w:val="0"/>
        <w:autoSpaceDE/>
        <w:autoSpaceDN/>
        <w:bidi w:val="0"/>
        <w:adjustRightInd/>
        <w:snapToGrid w:val="0"/>
        <w:spacing w:after="161" w:afterLines="50" w:line="240" w:lineRule="auto"/>
        <w:jc w:val="center"/>
        <w:textAlignment w:val="auto"/>
        <w:outlineLvl w:val="0"/>
        <w:rPr>
          <w:rFonts w:ascii="宋体" w:hAnsi="宋体"/>
          <w:b/>
          <w:color w:val="auto"/>
          <w:sz w:val="32"/>
          <w:szCs w:val="32"/>
          <w:highlight w:val="none"/>
        </w:rPr>
      </w:pPr>
      <w:bookmarkStart w:id="34" w:name="_Toc25063"/>
      <w:bookmarkStart w:id="35" w:name="_Toc29890"/>
      <w:bookmarkStart w:id="36" w:name="_Toc23793"/>
      <w:r>
        <w:rPr>
          <w:rFonts w:hint="eastAsia" w:ascii="宋体" w:hAnsi="宋体"/>
          <w:b/>
          <w:color w:val="auto"/>
          <w:sz w:val="32"/>
          <w:szCs w:val="32"/>
          <w:highlight w:val="none"/>
        </w:rPr>
        <w:t xml:space="preserve">第二章  </w:t>
      </w:r>
      <w:r>
        <w:rPr>
          <w:rFonts w:hint="eastAsia" w:ascii="宋体" w:hAnsi="宋体"/>
          <w:b/>
          <w:color w:val="auto"/>
          <w:sz w:val="32"/>
          <w:szCs w:val="32"/>
          <w:highlight w:val="none"/>
          <w:lang w:eastAsia="zh-CN"/>
        </w:rPr>
        <w:t>采购</w:t>
      </w:r>
      <w:r>
        <w:rPr>
          <w:rFonts w:hint="eastAsia" w:ascii="宋体" w:hAnsi="宋体"/>
          <w:b/>
          <w:color w:val="auto"/>
          <w:sz w:val="32"/>
          <w:szCs w:val="32"/>
          <w:highlight w:val="none"/>
        </w:rPr>
        <w:t>需求</w:t>
      </w:r>
      <w:bookmarkEnd w:id="34"/>
      <w:bookmarkStart w:id="37" w:name="_Toc31536"/>
      <w:bookmarkStart w:id="38" w:name="_Toc9989"/>
      <w:bookmarkStart w:id="39" w:name="_Toc23610"/>
    </w:p>
    <w:bookmarkEnd w:id="35"/>
    <w:bookmarkEnd w:id="36"/>
    <w:bookmarkEnd w:id="37"/>
    <w:bookmarkEnd w:id="38"/>
    <w:bookmarkEnd w:id="39"/>
    <w:tbl>
      <w:tblPr>
        <w:tblStyle w:val="33"/>
        <w:tblW w:w="93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1631"/>
        <w:gridCol w:w="1988"/>
        <w:gridCol w:w="1575"/>
        <w:gridCol w:w="1518"/>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941" w:type="dxa"/>
            <w:tcBorders>
              <w:top w:val="single" w:color="auto" w:sz="4" w:space="0"/>
              <w:left w:val="single" w:color="auto" w:sz="4" w:space="0"/>
              <w:bottom w:val="single" w:color="auto" w:sz="4" w:space="0"/>
              <w:right w:val="single" w:color="auto" w:sz="4" w:space="0"/>
            </w:tcBorders>
            <w:vAlign w:val="center"/>
          </w:tcPr>
          <w:p>
            <w:pPr>
              <w:pStyle w:val="14"/>
              <w:ind w:left="0" w:leftChars="0"/>
              <w:jc w:val="center"/>
              <w:rPr>
                <w:rFonts w:ascii="宋体" w:hAnsi="宋体"/>
                <w:b/>
                <w:bCs/>
                <w:sz w:val="30"/>
                <w:szCs w:val="30"/>
              </w:rPr>
            </w:pPr>
            <w:r>
              <w:rPr>
                <w:rFonts w:hint="eastAsia" w:ascii="宋体" w:hAnsi="宋体"/>
                <w:b/>
                <w:bCs/>
                <w:sz w:val="30"/>
                <w:szCs w:val="30"/>
              </w:rPr>
              <w:t>序号</w:t>
            </w:r>
          </w:p>
        </w:tc>
        <w:tc>
          <w:tcPr>
            <w:tcW w:w="1631" w:type="dxa"/>
            <w:tcBorders>
              <w:top w:val="single" w:color="auto" w:sz="4" w:space="0"/>
              <w:left w:val="nil"/>
              <w:bottom w:val="single" w:color="auto" w:sz="4" w:space="0"/>
              <w:right w:val="single" w:color="auto" w:sz="4" w:space="0"/>
            </w:tcBorders>
            <w:vAlign w:val="center"/>
          </w:tcPr>
          <w:p>
            <w:pPr>
              <w:pStyle w:val="14"/>
              <w:ind w:left="0" w:leftChars="0"/>
              <w:jc w:val="center"/>
              <w:rPr>
                <w:rFonts w:ascii="宋体" w:hAnsi="宋体"/>
                <w:b/>
                <w:bCs/>
                <w:sz w:val="30"/>
                <w:szCs w:val="30"/>
              </w:rPr>
            </w:pPr>
            <w:r>
              <w:rPr>
                <w:rFonts w:hint="eastAsia" w:ascii="宋体" w:hAnsi="宋体"/>
                <w:b/>
                <w:bCs/>
                <w:sz w:val="30"/>
                <w:szCs w:val="30"/>
              </w:rPr>
              <w:t>项目名称</w:t>
            </w:r>
          </w:p>
        </w:tc>
        <w:tc>
          <w:tcPr>
            <w:tcW w:w="1988" w:type="dxa"/>
            <w:tcBorders>
              <w:top w:val="single" w:color="auto" w:sz="4" w:space="0"/>
              <w:left w:val="nil"/>
              <w:bottom w:val="single" w:color="auto" w:sz="4" w:space="0"/>
              <w:right w:val="single" w:color="auto" w:sz="4" w:space="0"/>
            </w:tcBorders>
            <w:vAlign w:val="center"/>
          </w:tcPr>
          <w:p>
            <w:pPr>
              <w:pStyle w:val="14"/>
              <w:ind w:left="0" w:leftChars="0"/>
              <w:jc w:val="center"/>
              <w:rPr>
                <w:rFonts w:ascii="宋体" w:hAnsi="宋体"/>
                <w:b/>
                <w:bCs/>
                <w:sz w:val="30"/>
                <w:szCs w:val="30"/>
              </w:rPr>
            </w:pPr>
            <w:r>
              <w:rPr>
                <w:rFonts w:hint="eastAsia" w:ascii="宋体" w:hAnsi="宋体"/>
                <w:b/>
                <w:bCs/>
                <w:sz w:val="30"/>
                <w:szCs w:val="30"/>
              </w:rPr>
              <w:t>数量或规模</w:t>
            </w:r>
          </w:p>
        </w:tc>
        <w:tc>
          <w:tcPr>
            <w:tcW w:w="1575" w:type="dxa"/>
            <w:tcBorders>
              <w:top w:val="single" w:color="auto" w:sz="4" w:space="0"/>
              <w:left w:val="nil"/>
              <w:bottom w:val="single" w:color="auto" w:sz="4" w:space="0"/>
              <w:right w:val="single" w:color="auto" w:sz="4" w:space="0"/>
            </w:tcBorders>
            <w:vAlign w:val="center"/>
          </w:tcPr>
          <w:p>
            <w:pPr>
              <w:pStyle w:val="14"/>
              <w:ind w:left="0" w:leftChars="0"/>
              <w:jc w:val="center"/>
              <w:rPr>
                <w:rFonts w:ascii="宋体" w:hAnsi="宋体"/>
                <w:b/>
                <w:bCs/>
                <w:sz w:val="30"/>
                <w:szCs w:val="30"/>
              </w:rPr>
            </w:pPr>
            <w:r>
              <w:rPr>
                <w:rFonts w:hint="eastAsia" w:ascii="宋体" w:hAnsi="宋体"/>
                <w:b/>
                <w:bCs/>
                <w:sz w:val="30"/>
                <w:szCs w:val="30"/>
              </w:rPr>
              <w:t>资金预算</w:t>
            </w:r>
          </w:p>
        </w:tc>
        <w:tc>
          <w:tcPr>
            <w:tcW w:w="1518" w:type="dxa"/>
            <w:tcBorders>
              <w:top w:val="single" w:color="auto" w:sz="4" w:space="0"/>
              <w:left w:val="nil"/>
              <w:bottom w:val="single" w:color="auto" w:sz="4" w:space="0"/>
              <w:right w:val="single" w:color="auto" w:sz="4" w:space="0"/>
            </w:tcBorders>
            <w:vAlign w:val="center"/>
          </w:tcPr>
          <w:p>
            <w:pPr>
              <w:pStyle w:val="14"/>
              <w:ind w:left="0" w:leftChars="0"/>
              <w:jc w:val="center"/>
              <w:rPr>
                <w:rFonts w:ascii="宋体" w:hAnsi="宋体"/>
                <w:b/>
                <w:bCs/>
                <w:sz w:val="30"/>
                <w:szCs w:val="30"/>
              </w:rPr>
            </w:pPr>
            <w:r>
              <w:rPr>
                <w:rFonts w:hint="eastAsia" w:ascii="宋体" w:hAnsi="宋体"/>
                <w:b/>
                <w:bCs/>
                <w:sz w:val="30"/>
                <w:szCs w:val="30"/>
              </w:rPr>
              <w:t>资金来源</w:t>
            </w:r>
          </w:p>
        </w:tc>
        <w:tc>
          <w:tcPr>
            <w:tcW w:w="1688" w:type="dxa"/>
            <w:tcBorders>
              <w:top w:val="single" w:color="auto" w:sz="4" w:space="0"/>
              <w:left w:val="nil"/>
              <w:bottom w:val="single" w:color="auto" w:sz="4" w:space="0"/>
              <w:right w:val="single" w:color="auto" w:sz="4" w:space="0"/>
            </w:tcBorders>
            <w:vAlign w:val="center"/>
          </w:tcPr>
          <w:p>
            <w:pPr>
              <w:pStyle w:val="14"/>
              <w:ind w:left="0" w:leftChars="0"/>
              <w:jc w:val="center"/>
              <w:rPr>
                <w:rFonts w:hint="eastAsia" w:ascii="宋体" w:hAnsi="宋体" w:eastAsia="宋体"/>
                <w:b/>
                <w:bCs/>
                <w:sz w:val="30"/>
                <w:szCs w:val="30"/>
                <w:lang w:eastAsia="zh-CN"/>
              </w:rPr>
            </w:pPr>
            <w:r>
              <w:rPr>
                <w:rFonts w:hint="eastAsia" w:ascii="宋体" w:hAnsi="宋体"/>
                <w:b/>
                <w:bCs/>
                <w:sz w:val="30"/>
                <w:szCs w:val="3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941" w:type="dxa"/>
            <w:tcBorders>
              <w:top w:val="single" w:color="auto" w:sz="4" w:space="0"/>
              <w:left w:val="single" w:color="auto" w:sz="4" w:space="0"/>
              <w:bottom w:val="single" w:color="auto" w:sz="4" w:space="0"/>
              <w:right w:val="single" w:color="auto" w:sz="4" w:space="0"/>
            </w:tcBorders>
            <w:vAlign w:val="center"/>
          </w:tcPr>
          <w:p>
            <w:pPr>
              <w:pStyle w:val="14"/>
              <w:ind w:left="0" w:leftChars="0" w:firstLine="0" w:firstLineChars="0"/>
              <w:jc w:val="center"/>
              <w:rPr>
                <w:rFonts w:hint="eastAsia" w:ascii="宋体" w:hAnsi="宋体" w:eastAsia="宋体"/>
                <w:sz w:val="24"/>
                <w:szCs w:val="24"/>
                <w:lang w:val="en-US" w:eastAsia="zh-CN"/>
              </w:rPr>
            </w:pPr>
            <w:r>
              <w:rPr>
                <w:rFonts w:hint="eastAsia" w:ascii="宋体" w:hAnsi="宋体"/>
                <w:sz w:val="24"/>
                <w:szCs w:val="24"/>
                <w:lang w:val="en-US" w:eastAsia="zh-CN"/>
              </w:rPr>
              <w:t>1</w:t>
            </w:r>
          </w:p>
        </w:tc>
        <w:tc>
          <w:tcPr>
            <w:tcW w:w="1631" w:type="dxa"/>
            <w:tcBorders>
              <w:top w:val="single" w:color="auto" w:sz="4" w:space="0"/>
              <w:left w:val="nil"/>
              <w:bottom w:val="single" w:color="auto" w:sz="4" w:space="0"/>
              <w:right w:val="single" w:color="auto" w:sz="4" w:space="0"/>
            </w:tcBorders>
            <w:vAlign w:val="center"/>
          </w:tcPr>
          <w:p>
            <w:pPr>
              <w:pStyle w:val="14"/>
              <w:ind w:left="0" w:leftChars="0" w:firstLine="0" w:firstLineChars="0"/>
              <w:jc w:val="center"/>
              <w:rPr>
                <w:rFonts w:hint="eastAsia" w:ascii="宋体" w:hAnsi="宋体" w:eastAsia="宋体"/>
                <w:sz w:val="24"/>
                <w:szCs w:val="24"/>
                <w:lang w:eastAsia="zh-CN"/>
              </w:rPr>
            </w:pPr>
            <w:r>
              <w:rPr>
                <w:rFonts w:hint="eastAsia" w:ascii="宋体" w:hAnsi="宋体"/>
                <w:sz w:val="24"/>
                <w:szCs w:val="24"/>
                <w:lang w:val="en-US" w:eastAsia="zh-CN"/>
              </w:rPr>
              <w:t>市</w:t>
            </w:r>
            <w:r>
              <w:rPr>
                <w:rFonts w:hint="eastAsia" w:ascii="宋体" w:hAnsi="宋体" w:eastAsia="宋体"/>
                <w:sz w:val="24"/>
                <w:szCs w:val="24"/>
                <w:lang w:eastAsia="zh-CN"/>
              </w:rPr>
              <w:t>中心医院</w:t>
            </w:r>
            <w:r>
              <w:rPr>
                <w:rFonts w:hint="eastAsia" w:ascii="宋体" w:hAnsi="宋体"/>
                <w:sz w:val="24"/>
                <w:szCs w:val="24"/>
                <w:lang w:val="en-US" w:eastAsia="zh-CN"/>
              </w:rPr>
              <w:t>重阳节</w:t>
            </w:r>
            <w:r>
              <w:rPr>
                <w:rFonts w:hint="eastAsia" w:ascii="宋体" w:hAnsi="宋体" w:eastAsia="宋体"/>
                <w:sz w:val="24"/>
                <w:szCs w:val="24"/>
                <w:lang w:eastAsia="zh-CN"/>
              </w:rPr>
              <w:t>慰问品采购</w:t>
            </w:r>
          </w:p>
        </w:tc>
        <w:tc>
          <w:tcPr>
            <w:tcW w:w="1988" w:type="dxa"/>
            <w:tcBorders>
              <w:top w:val="single" w:color="auto" w:sz="4" w:space="0"/>
              <w:left w:val="nil"/>
              <w:bottom w:val="single" w:color="auto" w:sz="4" w:space="0"/>
              <w:right w:val="single" w:color="auto" w:sz="4" w:space="0"/>
            </w:tcBorders>
            <w:vAlign w:val="center"/>
          </w:tcPr>
          <w:p>
            <w:pPr>
              <w:pStyle w:val="14"/>
              <w:ind w:left="0" w:leftChars="0" w:firstLine="0" w:firstLineChars="0"/>
              <w:jc w:val="center"/>
              <w:rPr>
                <w:rFonts w:hint="default" w:ascii="宋体" w:hAnsi="宋体" w:eastAsia="宋体"/>
                <w:sz w:val="24"/>
                <w:szCs w:val="24"/>
                <w:lang w:val="en-US" w:eastAsia="zh-CN"/>
              </w:rPr>
            </w:pPr>
            <w:r>
              <w:rPr>
                <w:rFonts w:hint="default" w:ascii="宋体" w:hAnsi="宋体" w:eastAsia="宋体"/>
                <w:sz w:val="24"/>
                <w:szCs w:val="24"/>
                <w:lang w:val="en-US" w:eastAsia="zh-CN"/>
              </w:rPr>
              <w:t>按照350元/人份的标准，以实际发放人数结算</w:t>
            </w:r>
          </w:p>
        </w:tc>
        <w:tc>
          <w:tcPr>
            <w:tcW w:w="1575" w:type="dxa"/>
            <w:tcBorders>
              <w:top w:val="single" w:color="auto" w:sz="4" w:space="0"/>
              <w:left w:val="nil"/>
              <w:bottom w:val="single" w:color="auto" w:sz="4" w:space="0"/>
              <w:right w:val="single" w:color="auto" w:sz="4" w:space="0"/>
            </w:tcBorders>
            <w:vAlign w:val="center"/>
          </w:tcPr>
          <w:p>
            <w:pPr>
              <w:pStyle w:val="14"/>
              <w:ind w:left="0" w:leftChars="0" w:firstLine="0" w:firstLineChars="0"/>
              <w:jc w:val="center"/>
              <w:rPr>
                <w:rFonts w:hint="default"/>
                <w:lang w:val="en-US" w:eastAsia="zh-CN"/>
              </w:rPr>
            </w:pPr>
            <w:r>
              <w:rPr>
                <w:rFonts w:hint="eastAsia" w:ascii="宋体" w:hAnsi="宋体"/>
                <w:sz w:val="24"/>
                <w:szCs w:val="24"/>
                <w:lang w:val="en-US" w:eastAsia="zh-CN"/>
              </w:rPr>
              <w:t>9.3万元</w:t>
            </w:r>
          </w:p>
        </w:tc>
        <w:tc>
          <w:tcPr>
            <w:tcW w:w="1518" w:type="dxa"/>
            <w:tcBorders>
              <w:top w:val="single" w:color="auto" w:sz="4" w:space="0"/>
              <w:left w:val="nil"/>
              <w:bottom w:val="single" w:color="auto" w:sz="4" w:space="0"/>
              <w:right w:val="single" w:color="auto" w:sz="4" w:space="0"/>
            </w:tcBorders>
            <w:vAlign w:val="center"/>
          </w:tcPr>
          <w:p>
            <w:pPr>
              <w:pStyle w:val="14"/>
              <w:ind w:left="0" w:leftChars="0" w:firstLine="0" w:firstLineChars="0"/>
              <w:jc w:val="center"/>
              <w:rPr>
                <w:rFonts w:hint="eastAsia" w:ascii="宋体" w:hAnsi="宋体" w:eastAsia="宋体"/>
                <w:lang w:eastAsia="zh-CN"/>
              </w:rPr>
            </w:pPr>
            <w:r>
              <w:rPr>
                <w:rFonts w:hint="eastAsia" w:ascii="宋体" w:hAnsi="宋体"/>
                <w:lang w:eastAsia="zh-CN"/>
              </w:rPr>
              <w:t>自筹</w:t>
            </w:r>
          </w:p>
        </w:tc>
        <w:tc>
          <w:tcPr>
            <w:tcW w:w="1688" w:type="dxa"/>
            <w:vMerge w:val="restart"/>
            <w:tcBorders>
              <w:top w:val="single" w:color="auto" w:sz="4" w:space="0"/>
              <w:left w:val="nil"/>
              <w:right w:val="single" w:color="auto" w:sz="4" w:space="0"/>
            </w:tcBorders>
            <w:vAlign w:val="center"/>
          </w:tcPr>
          <w:p>
            <w:pPr>
              <w:pStyle w:val="14"/>
              <w:ind w:left="0" w:leftChars="0" w:firstLine="0" w:firstLineChars="0"/>
              <w:jc w:val="center"/>
              <w:rPr>
                <w:rFonts w:hint="eastAsia" w:ascii="宋体" w:hAnsi="宋体"/>
                <w:lang w:eastAsia="zh-CN"/>
              </w:rPr>
            </w:pPr>
            <w:r>
              <w:rPr>
                <w:rFonts w:hint="eastAsia" w:ascii="宋体" w:hAnsi="宋体"/>
                <w:lang w:val="en-US" w:eastAsia="zh-CN"/>
              </w:rPr>
              <w:t>本项目拟遴选一家入围供应商，服务期限为一年</w:t>
            </w:r>
            <w:r>
              <w:rPr>
                <w:rFonts w:hint="eastAsia" w:ascii="宋体" w:hAnsi="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941" w:type="dxa"/>
            <w:tcBorders>
              <w:top w:val="single" w:color="auto" w:sz="4" w:space="0"/>
              <w:left w:val="single" w:color="auto" w:sz="4" w:space="0"/>
              <w:bottom w:val="single" w:color="auto" w:sz="4" w:space="0"/>
              <w:right w:val="single" w:color="auto" w:sz="4" w:space="0"/>
            </w:tcBorders>
          </w:tcPr>
          <w:p>
            <w:pPr>
              <w:pStyle w:val="14"/>
              <w:ind w:left="0" w:leftChars="0"/>
              <w:rPr>
                <w:rFonts w:ascii="宋体" w:hAnsi="宋体"/>
                <w:b/>
                <w:bCs/>
                <w:sz w:val="30"/>
                <w:szCs w:val="30"/>
              </w:rPr>
            </w:pPr>
            <w:r>
              <w:rPr>
                <w:rFonts w:hint="eastAsia" w:ascii="宋体" w:hAnsi="宋体"/>
                <w:b/>
                <w:bCs/>
                <w:sz w:val="30"/>
                <w:szCs w:val="30"/>
              </w:rPr>
              <w:t>合计</w:t>
            </w:r>
          </w:p>
        </w:tc>
        <w:tc>
          <w:tcPr>
            <w:tcW w:w="1631" w:type="dxa"/>
            <w:tcBorders>
              <w:top w:val="single" w:color="auto" w:sz="4" w:space="0"/>
              <w:left w:val="nil"/>
              <w:bottom w:val="single" w:color="auto" w:sz="4" w:space="0"/>
              <w:right w:val="single" w:color="auto" w:sz="4" w:space="0"/>
            </w:tcBorders>
          </w:tcPr>
          <w:p>
            <w:pPr>
              <w:pStyle w:val="14"/>
              <w:jc w:val="center"/>
              <w:rPr>
                <w:rFonts w:ascii="宋体" w:hAnsi="宋体"/>
                <w:sz w:val="24"/>
                <w:szCs w:val="24"/>
              </w:rPr>
            </w:pPr>
          </w:p>
        </w:tc>
        <w:tc>
          <w:tcPr>
            <w:tcW w:w="1988" w:type="dxa"/>
            <w:tcBorders>
              <w:top w:val="single" w:color="auto" w:sz="4" w:space="0"/>
              <w:left w:val="nil"/>
              <w:bottom w:val="single" w:color="auto" w:sz="4" w:space="0"/>
              <w:right w:val="single" w:color="auto" w:sz="4" w:space="0"/>
            </w:tcBorders>
          </w:tcPr>
          <w:p>
            <w:pPr>
              <w:pStyle w:val="14"/>
              <w:jc w:val="center"/>
              <w:rPr>
                <w:rFonts w:ascii="宋体" w:hAnsi="宋体"/>
                <w:sz w:val="24"/>
                <w:szCs w:val="24"/>
              </w:rPr>
            </w:pPr>
          </w:p>
        </w:tc>
        <w:tc>
          <w:tcPr>
            <w:tcW w:w="1575" w:type="dxa"/>
            <w:tcBorders>
              <w:top w:val="single" w:color="auto" w:sz="4" w:space="0"/>
              <w:left w:val="nil"/>
              <w:bottom w:val="single" w:color="auto" w:sz="4" w:space="0"/>
              <w:right w:val="single" w:color="auto" w:sz="4" w:space="0"/>
            </w:tcBorders>
          </w:tcPr>
          <w:p>
            <w:pPr>
              <w:pStyle w:val="14"/>
              <w:jc w:val="center"/>
              <w:rPr>
                <w:rFonts w:ascii="宋体" w:hAnsi="宋体"/>
                <w:sz w:val="24"/>
                <w:szCs w:val="24"/>
              </w:rPr>
            </w:pPr>
          </w:p>
        </w:tc>
        <w:tc>
          <w:tcPr>
            <w:tcW w:w="1518" w:type="dxa"/>
            <w:tcBorders>
              <w:top w:val="single" w:color="auto" w:sz="4" w:space="0"/>
              <w:left w:val="nil"/>
              <w:bottom w:val="single" w:color="auto" w:sz="4" w:space="0"/>
              <w:right w:val="single" w:color="auto" w:sz="4" w:space="0"/>
            </w:tcBorders>
          </w:tcPr>
          <w:p>
            <w:pPr>
              <w:pStyle w:val="14"/>
              <w:rPr>
                <w:rFonts w:ascii="宋体" w:hAnsi="宋体"/>
              </w:rPr>
            </w:pPr>
          </w:p>
        </w:tc>
        <w:tc>
          <w:tcPr>
            <w:tcW w:w="1688" w:type="dxa"/>
            <w:vMerge w:val="continue"/>
            <w:tcBorders>
              <w:left w:val="nil"/>
              <w:bottom w:val="single" w:color="auto" w:sz="4" w:space="0"/>
              <w:right w:val="single" w:color="auto" w:sz="4" w:space="0"/>
            </w:tcBorders>
          </w:tcPr>
          <w:p>
            <w:pPr>
              <w:pStyle w:val="14"/>
              <w:rPr>
                <w:rFonts w:ascii="宋体" w:hAnsi="宋体"/>
              </w:rPr>
            </w:pPr>
          </w:p>
        </w:tc>
      </w:tr>
    </w:tbl>
    <w:p>
      <w:pPr>
        <w:snapToGrid w:val="0"/>
        <w:spacing w:line="360" w:lineRule="auto"/>
        <w:jc w:val="center"/>
        <w:rPr>
          <w:rFonts w:hint="eastAsia"/>
          <w:b/>
          <w:bCs/>
          <w:color w:val="auto"/>
          <w:sz w:val="30"/>
          <w:szCs w:val="30"/>
          <w:highlight w:val="none"/>
        </w:rPr>
      </w:pPr>
    </w:p>
    <w:p>
      <w:pPr>
        <w:pStyle w:val="14"/>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00" w:lineRule="exact"/>
        <w:textAlignment w:val="auto"/>
        <w:rPr>
          <w:rFonts w:hint="eastAsia" w:ascii="宋体" w:hAnsi="宋体" w:eastAsia="宋体" w:cs="宋体"/>
          <w:sz w:val="24"/>
          <w:szCs w:val="24"/>
          <w:u w:val="none"/>
        </w:rPr>
      </w:pPr>
      <w:r>
        <w:rPr>
          <w:rFonts w:hint="eastAsia" w:ascii="宋体" w:hAnsi="宋体" w:eastAsia="宋体" w:cs="宋体"/>
          <w:b/>
          <w:bCs/>
          <w:sz w:val="24"/>
          <w:szCs w:val="24"/>
          <w:lang w:eastAsia="zh-CN"/>
        </w:rPr>
        <w:t>一、</w:t>
      </w:r>
      <w:r>
        <w:rPr>
          <w:rFonts w:hint="eastAsia" w:ascii="宋体" w:hAnsi="宋体" w:eastAsia="宋体" w:cs="宋体"/>
          <w:b/>
          <w:bCs/>
          <w:sz w:val="24"/>
          <w:szCs w:val="24"/>
        </w:rPr>
        <w:t>项目名称、数量：</w:t>
      </w:r>
      <w:r>
        <w:rPr>
          <w:rFonts w:hint="eastAsia" w:ascii="宋体" w:hAnsi="宋体" w:eastAsia="宋体" w:cs="宋体"/>
          <w:sz w:val="24"/>
          <w:szCs w:val="24"/>
          <w:u w:val="none"/>
        </w:rPr>
        <w:t>市中心医院重阳节慰问品采购；以实际发放人数结算</w:t>
      </w:r>
    </w:p>
    <w:p>
      <w:pPr>
        <w:pStyle w:val="14"/>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00" w:lineRule="exact"/>
        <w:textAlignment w:val="auto"/>
        <w:rPr>
          <w:rFonts w:hint="eastAsia" w:ascii="宋体" w:hAnsi="宋体" w:eastAsia="宋体" w:cs="宋体"/>
          <w:sz w:val="24"/>
          <w:szCs w:val="24"/>
          <w:u w:val="none"/>
        </w:rPr>
      </w:pPr>
      <w:r>
        <w:rPr>
          <w:rFonts w:hint="eastAsia" w:ascii="宋体" w:hAnsi="宋体" w:eastAsia="宋体" w:cs="宋体"/>
          <w:b/>
          <w:bCs/>
          <w:sz w:val="24"/>
          <w:szCs w:val="24"/>
          <w:u w:val="none"/>
          <w:lang w:eastAsia="zh-CN"/>
        </w:rPr>
        <w:t>二、</w:t>
      </w:r>
      <w:r>
        <w:rPr>
          <w:rFonts w:hint="eastAsia" w:ascii="宋体" w:hAnsi="宋体" w:eastAsia="宋体" w:cs="宋体"/>
          <w:b/>
          <w:bCs/>
          <w:sz w:val="24"/>
          <w:szCs w:val="24"/>
          <w:u w:val="none"/>
        </w:rPr>
        <w:t>项目用途说明：</w:t>
      </w:r>
      <w:r>
        <w:rPr>
          <w:rFonts w:hint="eastAsia" w:ascii="宋体" w:hAnsi="宋体" w:eastAsia="宋体" w:cs="宋体"/>
          <w:sz w:val="24"/>
          <w:szCs w:val="24"/>
          <w:u w:val="none"/>
        </w:rPr>
        <w:t>为落实医院党委对职工的关心爱护，定于今年重阳节前继续开展80岁以上职工父母慰问活动，活动由工会组织落实，按照350元/人份的标准，采购包含：鲜花、牛奶、鸡蛋、米、面等生活用品的慰问品。</w:t>
      </w:r>
    </w:p>
    <w:p>
      <w:pPr>
        <w:pStyle w:val="14"/>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00" w:lineRule="exact"/>
        <w:jc w:val="left"/>
        <w:textAlignment w:val="auto"/>
        <w:rPr>
          <w:rFonts w:hint="eastAsia" w:ascii="宋体" w:hAnsi="宋体" w:eastAsia="宋体" w:cs="宋体"/>
          <w:b/>
          <w:bCs/>
          <w:sz w:val="24"/>
          <w:szCs w:val="24"/>
          <w:u w:val="none"/>
        </w:rPr>
      </w:pPr>
      <w:r>
        <w:rPr>
          <w:rFonts w:hint="eastAsia" w:ascii="宋体" w:hAnsi="宋体" w:eastAsia="宋体" w:cs="宋体"/>
          <w:b/>
          <w:bCs/>
          <w:sz w:val="24"/>
          <w:szCs w:val="24"/>
          <w:u w:val="none"/>
          <w:lang w:eastAsia="zh-CN"/>
        </w:rPr>
        <w:t>三、</w:t>
      </w:r>
      <w:r>
        <w:rPr>
          <w:rFonts w:hint="eastAsia" w:ascii="宋体" w:hAnsi="宋体" w:eastAsia="宋体" w:cs="宋体"/>
          <w:b/>
          <w:bCs/>
          <w:sz w:val="24"/>
          <w:szCs w:val="24"/>
          <w:u w:val="none"/>
        </w:rPr>
        <w:t xml:space="preserve">配置规格、附件及零配件（包括专用工具）： </w:t>
      </w:r>
    </w:p>
    <w:p>
      <w:pPr>
        <w:pStyle w:val="14"/>
        <w:keepNext w:val="0"/>
        <w:keepLines w:val="0"/>
        <w:pageBreakBefore w:val="0"/>
        <w:widowControl/>
        <w:kinsoku/>
        <w:wordWrap/>
        <w:overflowPunct/>
        <w:topLinePunct w:val="0"/>
        <w:autoSpaceDE/>
        <w:autoSpaceDN/>
        <w:bidi w:val="0"/>
        <w:adjustRightInd/>
        <w:snapToGrid/>
        <w:spacing w:beforeAutospacing="0" w:afterAutospacing="0" w:line="500" w:lineRule="exact"/>
        <w:ind w:firstLine="480" w:firstLineChars="200"/>
        <w:jc w:val="left"/>
        <w:textAlignment w:val="auto"/>
        <w:rPr>
          <w:rFonts w:hint="eastAsia" w:ascii="宋体" w:hAnsi="宋体" w:eastAsia="宋体" w:cs="宋体"/>
          <w:sz w:val="24"/>
          <w:szCs w:val="24"/>
          <w:u w:val="none"/>
        </w:rPr>
      </w:pPr>
      <w:r>
        <w:rPr>
          <w:rFonts w:hint="eastAsia" w:ascii="宋体" w:hAnsi="宋体" w:eastAsia="宋体" w:cs="宋体"/>
          <w:sz w:val="24"/>
          <w:szCs w:val="24"/>
          <w:u w:val="none"/>
        </w:rPr>
        <w:t>按照350元/人份，总预算9.3万元的标准，拟采购264套（具体数量以活动开展时符合条件的人数为准）慰问品。产品要求：每份慰问品须包括：鲜花一束、鸡蛋90个、纯牛奶（250mL*24盒）、米（10kg）、面（10kg）。（注：投标人须携带样品及产品清单参加投标。）</w:t>
      </w:r>
    </w:p>
    <w:p>
      <w:pPr>
        <w:pStyle w:val="14"/>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00" w:lineRule="exact"/>
        <w:jc w:val="left"/>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四、</w:t>
      </w:r>
      <w:r>
        <w:rPr>
          <w:rFonts w:hint="eastAsia" w:ascii="宋体" w:hAnsi="宋体" w:eastAsia="宋体" w:cs="宋体"/>
          <w:b/>
          <w:bCs/>
          <w:sz w:val="24"/>
          <w:szCs w:val="24"/>
        </w:rPr>
        <w:t>详细技术要求、参数及产品资料等：</w:t>
      </w:r>
    </w:p>
    <w:p>
      <w:pPr>
        <w:pStyle w:val="14"/>
        <w:keepNext w:val="0"/>
        <w:keepLines w:val="0"/>
        <w:pageBreakBefore w:val="0"/>
        <w:widowControl/>
        <w:kinsoku/>
        <w:wordWrap/>
        <w:overflowPunct/>
        <w:topLinePunct w:val="0"/>
        <w:autoSpaceDE/>
        <w:autoSpaceDN/>
        <w:bidi w:val="0"/>
        <w:adjustRightInd/>
        <w:snapToGrid/>
        <w:spacing w:beforeAutospacing="0" w:afterAutospacing="0" w:line="500" w:lineRule="exact"/>
        <w:ind w:firstLine="480" w:firstLineChars="200"/>
        <w:jc w:val="left"/>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产品整体要求：1.提供免费送货上门服务。2.所包含食品须符合《中华人民共和国食品安全法》及国家卫生标准，生活用品须符合国家行业生产及有关标准，如不符合报价文件所描述的质量标准，必须退货并承担违约责任。</w:t>
      </w:r>
    </w:p>
    <w:p>
      <w:pPr>
        <w:pStyle w:val="14"/>
        <w:keepNext w:val="0"/>
        <w:keepLines w:val="0"/>
        <w:pageBreakBefore w:val="0"/>
        <w:widowControl/>
        <w:kinsoku/>
        <w:wordWrap/>
        <w:overflowPunct/>
        <w:topLinePunct w:val="0"/>
        <w:autoSpaceDE/>
        <w:autoSpaceDN/>
        <w:bidi w:val="0"/>
        <w:adjustRightInd/>
        <w:snapToGrid/>
        <w:spacing w:beforeAutospacing="0" w:afterAutospacing="0" w:line="500" w:lineRule="exact"/>
        <w:ind w:firstLine="480" w:firstLineChars="200"/>
        <w:jc w:val="left"/>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服务期要求：本项目拟遴选一家入围供应商，服务期限为一年。</w:t>
      </w:r>
    </w:p>
    <w:p>
      <w:pPr>
        <w:pStyle w:val="14"/>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00" w:lineRule="exact"/>
        <w:jc w:val="left"/>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五、</w:t>
      </w:r>
      <w:r>
        <w:rPr>
          <w:rFonts w:hint="eastAsia" w:ascii="宋体" w:hAnsi="宋体" w:eastAsia="宋体" w:cs="宋体"/>
          <w:b/>
          <w:bCs/>
          <w:sz w:val="24"/>
          <w:szCs w:val="24"/>
        </w:rPr>
        <w:t>售后服务条件及交货日期（或工期）：</w:t>
      </w:r>
    </w:p>
    <w:p>
      <w:pPr>
        <w:pStyle w:val="14"/>
        <w:keepNext w:val="0"/>
        <w:keepLines w:val="0"/>
        <w:pageBreakBefore w:val="0"/>
        <w:widowControl/>
        <w:kinsoku/>
        <w:wordWrap/>
        <w:overflowPunct/>
        <w:topLinePunct w:val="0"/>
        <w:autoSpaceDE/>
        <w:autoSpaceDN/>
        <w:bidi w:val="0"/>
        <w:adjustRightInd/>
        <w:snapToGrid/>
        <w:spacing w:beforeAutospacing="0" w:afterAutospacing="0" w:line="500" w:lineRule="exact"/>
        <w:ind w:firstLine="480" w:firstLineChars="200"/>
        <w:jc w:val="left"/>
        <w:textAlignment w:val="auto"/>
        <w:rPr>
          <w:rFonts w:hint="eastAsia" w:ascii="宋体" w:hAnsi="宋体" w:eastAsia="宋体" w:cs="宋体"/>
          <w:b w:val="0"/>
          <w:bCs w:val="0"/>
          <w:sz w:val="24"/>
          <w:szCs w:val="24"/>
          <w:u w:val="none"/>
          <w:lang w:eastAsia="zh-CN"/>
        </w:rPr>
      </w:pPr>
      <w:r>
        <w:rPr>
          <w:rFonts w:hint="eastAsia" w:ascii="宋体" w:hAnsi="宋体" w:eastAsia="宋体" w:cs="宋体"/>
          <w:b w:val="0"/>
          <w:bCs w:val="0"/>
          <w:sz w:val="24"/>
          <w:szCs w:val="24"/>
          <w:u w:val="none"/>
          <w:lang w:eastAsia="zh-CN"/>
        </w:rPr>
        <w:t>服务条件：1.根据采购方需求，配送重阳节慰问品至指定地点；2.中标供应商按采购方要求的供货数量交货；3.具体内容以双方签订合同为准。</w:t>
      </w:r>
    </w:p>
    <w:p>
      <w:pPr>
        <w:pStyle w:val="14"/>
        <w:keepNext w:val="0"/>
        <w:keepLines w:val="0"/>
        <w:pageBreakBefore w:val="0"/>
        <w:widowControl/>
        <w:kinsoku/>
        <w:wordWrap/>
        <w:overflowPunct/>
        <w:topLinePunct w:val="0"/>
        <w:autoSpaceDE/>
        <w:autoSpaceDN/>
        <w:bidi w:val="0"/>
        <w:adjustRightInd/>
        <w:snapToGrid/>
        <w:spacing w:beforeAutospacing="0" w:afterAutospacing="0" w:line="500" w:lineRule="exact"/>
        <w:ind w:firstLine="480" w:firstLineChars="200"/>
        <w:jc w:val="left"/>
        <w:textAlignment w:val="auto"/>
        <w:rPr>
          <w:rFonts w:hint="eastAsia" w:ascii="宋体" w:hAnsi="宋体" w:eastAsia="宋体" w:cs="宋体"/>
          <w:b w:val="0"/>
          <w:bCs w:val="0"/>
          <w:sz w:val="24"/>
          <w:szCs w:val="24"/>
          <w:u w:val="none"/>
          <w:lang w:eastAsia="zh-CN"/>
        </w:rPr>
      </w:pPr>
      <w:r>
        <w:rPr>
          <w:rFonts w:hint="eastAsia" w:ascii="宋体" w:hAnsi="宋体" w:eastAsia="宋体" w:cs="宋体"/>
          <w:b w:val="0"/>
          <w:bCs w:val="0"/>
          <w:sz w:val="24"/>
          <w:szCs w:val="24"/>
          <w:u w:val="none"/>
          <w:lang w:eastAsia="zh-CN"/>
        </w:rPr>
        <w:t>结算方式：中标人根据采购人的实际采购数量，以中标单价，凭以下有效文件与采购人结算：1.采购合同；2.中标人开具的正式发票；3.配送签收表。</w:t>
      </w:r>
    </w:p>
    <w:p>
      <w:pPr>
        <w:pStyle w:val="14"/>
        <w:keepNext w:val="0"/>
        <w:keepLines w:val="0"/>
        <w:pageBreakBefore w:val="0"/>
        <w:widowControl/>
        <w:kinsoku/>
        <w:wordWrap/>
        <w:overflowPunct/>
        <w:topLinePunct w:val="0"/>
        <w:autoSpaceDE/>
        <w:autoSpaceDN/>
        <w:bidi w:val="0"/>
        <w:adjustRightInd/>
        <w:snapToGrid/>
        <w:spacing w:beforeAutospacing="0" w:afterAutospacing="0" w:line="500" w:lineRule="exact"/>
        <w:ind w:firstLine="480" w:firstLineChars="200"/>
        <w:jc w:val="left"/>
        <w:textAlignment w:val="auto"/>
        <w:rPr>
          <w:rFonts w:hint="eastAsia" w:ascii="宋体" w:hAnsi="宋体" w:eastAsia="宋体" w:cs="宋体"/>
          <w:b/>
          <w:bCs/>
          <w:sz w:val="24"/>
          <w:szCs w:val="24"/>
          <w:u w:val="none"/>
        </w:rPr>
      </w:pPr>
      <w:r>
        <w:rPr>
          <w:rFonts w:hint="eastAsia" w:ascii="宋体" w:hAnsi="宋体" w:eastAsia="宋体" w:cs="宋体"/>
          <w:b w:val="0"/>
          <w:bCs w:val="0"/>
          <w:sz w:val="24"/>
          <w:szCs w:val="24"/>
          <w:u w:val="none"/>
          <w:lang w:eastAsia="zh-CN"/>
        </w:rPr>
        <w:t>其他：若产品质量及供货日期未达到要求，采购方则有权拒收货物并终止合同，一切损失及后果由供应商承担。</w:t>
      </w:r>
    </w:p>
    <w:p>
      <w:pPr>
        <w:snapToGrid w:val="0"/>
        <w:spacing w:line="360" w:lineRule="auto"/>
        <w:jc w:val="center"/>
        <w:rPr>
          <w:b/>
          <w:bCs/>
          <w:color w:val="auto"/>
          <w:sz w:val="30"/>
          <w:szCs w:val="30"/>
          <w:highlight w:val="none"/>
        </w:rPr>
      </w:pPr>
      <w:r>
        <w:rPr>
          <w:rFonts w:hint="eastAsia"/>
          <w:b/>
          <w:bCs/>
          <w:color w:val="auto"/>
          <w:sz w:val="30"/>
          <w:szCs w:val="30"/>
          <w:highlight w:val="none"/>
        </w:rPr>
        <w:t>商务要求</w:t>
      </w:r>
    </w:p>
    <w:tbl>
      <w:tblPr>
        <w:tblStyle w:val="33"/>
        <w:tblpPr w:leftFromText="180" w:rightFromText="180" w:vertAnchor="text" w:tblpXSpec="center" w:tblpY="1"/>
        <w:tblOverlap w:val="never"/>
        <w:tblW w:w="96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6"/>
        <w:gridCol w:w="73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合同签订时间</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日历日</w:t>
            </w:r>
            <w:r>
              <w:rPr>
                <w:rFonts w:hint="eastAsia" w:ascii="宋体" w:hAnsi="宋体" w:cs="宋体"/>
                <w:color w:val="auto"/>
                <w:kern w:val="0"/>
                <w:szCs w:val="21"/>
                <w:highlight w:val="none"/>
              </w:rPr>
              <w:t>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交货地点</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hint="default" w:ascii="宋体" w:hAnsi="宋体" w:eastAsia="宋体" w:cs="宋体"/>
                <w:color w:val="auto"/>
                <w:kern w:val="0"/>
                <w:szCs w:val="21"/>
                <w:highlight w:val="none"/>
                <w:lang w:val="en-US" w:eastAsia="zh-CN"/>
              </w:rPr>
            </w:pPr>
            <w:r>
              <w:rPr>
                <w:rFonts w:hint="eastAsia" w:ascii="宋体" w:hAnsi="宋体" w:eastAsia="宋体" w:cs="宋体"/>
                <w:color w:val="auto"/>
                <w:lang w:val="en-US" w:eastAsia="zh-CN"/>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验   收</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由采购人按照有关规定组织验收。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质量要求</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食品须符合《中华人民共和国食品安全法》及国家卫生标准，生活用品须符合国家行业生产及有关标准。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付款方式</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以合同签订为准。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hAnsi="宋体" w:cs="宋体"/>
                <w:color w:val="auto"/>
                <w:kern w:val="0"/>
                <w:szCs w:val="21"/>
                <w:highlight w:val="none"/>
              </w:rPr>
            </w:pPr>
            <w:r>
              <w:rPr>
                <w:rFonts w:hint="eastAsia" w:ascii="宋体" w:hAnsi="宋体"/>
                <w:color w:val="auto"/>
                <w:kern w:val="0"/>
                <w:szCs w:val="21"/>
                <w:highlight w:val="none"/>
              </w:rPr>
              <w:t>售后技术服务要求、售后服务保障要求</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中标人须提供后期服务保障。</w:t>
            </w:r>
          </w:p>
        </w:tc>
      </w:tr>
    </w:tbl>
    <w:p>
      <w:pPr>
        <w:pStyle w:val="31"/>
        <w:ind w:firstLine="0" w:firstLineChars="0"/>
        <w:rPr>
          <w:color w:val="auto"/>
          <w:highlight w:val="none"/>
        </w:rPr>
      </w:pPr>
    </w:p>
    <w:p>
      <w:pPr>
        <w:snapToGrid w:val="0"/>
        <w:spacing w:line="480" w:lineRule="auto"/>
        <w:jc w:val="center"/>
        <w:rPr>
          <w:b/>
          <w:bCs/>
          <w:color w:val="auto"/>
          <w:sz w:val="30"/>
          <w:szCs w:val="30"/>
          <w:highlight w:val="none"/>
        </w:rPr>
      </w:pPr>
      <w:r>
        <w:rPr>
          <w:rFonts w:hint="eastAsia"/>
          <w:b/>
          <w:bCs/>
          <w:color w:val="auto"/>
          <w:sz w:val="30"/>
          <w:szCs w:val="30"/>
          <w:highlight w:val="none"/>
        </w:rPr>
        <w:t xml:space="preserve"> 采购人对项目的特殊要求及说明</w:t>
      </w:r>
    </w:p>
    <w:tbl>
      <w:tblPr>
        <w:tblStyle w:val="33"/>
        <w:tblW w:w="936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80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51" w:hRule="atLeast"/>
        </w:trPr>
        <w:tc>
          <w:tcPr>
            <w:tcW w:w="136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采购人的特殊要求及说明理由</w:t>
            </w:r>
          </w:p>
        </w:tc>
        <w:tc>
          <w:tcPr>
            <w:tcW w:w="8001"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napToGrid w:val="0"/>
              <w:spacing w:line="360" w:lineRule="auto"/>
              <w:rPr>
                <w:color w:val="auto"/>
              </w:rPr>
            </w:pPr>
            <w:r>
              <w:rPr>
                <w:rFonts w:hint="eastAsia"/>
                <w:color w:val="auto"/>
              </w:rPr>
              <w:t>不接受联合体投标，不接受供应商项目分包、转包、挂靠。</w:t>
            </w:r>
          </w:p>
          <w:p>
            <w:pPr>
              <w:widowControl/>
              <w:snapToGrid w:val="0"/>
              <w:spacing w:line="360" w:lineRule="auto"/>
              <w:rPr>
                <w:rFonts w:ascii="宋体" w:hAnsi="宋体" w:cs="宋体"/>
                <w:color w:val="auto"/>
                <w:kern w:val="0"/>
                <w:szCs w:val="21"/>
                <w:highlight w:val="none"/>
              </w:rPr>
            </w:pPr>
            <w:r>
              <w:rPr>
                <w:rFonts w:hint="eastAsia"/>
                <w:color w:val="auto"/>
                <w:lang w:val="en-US" w:eastAsia="zh-CN"/>
              </w:rPr>
              <w:t>2</w:t>
            </w:r>
            <w:r>
              <w:rPr>
                <w:rFonts w:hint="eastAsia"/>
                <w:color w:val="auto"/>
              </w:rPr>
              <w:t>、</w:t>
            </w:r>
            <w:r>
              <w:rPr>
                <w:rFonts w:hint="eastAsia" w:ascii="宋体" w:hAnsi="宋体" w:cs="宋体"/>
                <w:color w:val="auto"/>
                <w:kern w:val="0"/>
                <w:szCs w:val="21"/>
                <w:highlight w:val="none"/>
              </w:rPr>
              <w:t>授权评标委员会确定一名中标人并推荐两名中标候选人。</w:t>
            </w:r>
          </w:p>
          <w:p>
            <w:pPr>
              <w:widowControl/>
              <w:snapToGrid w:val="0"/>
              <w:spacing w:line="360" w:lineRule="auto"/>
              <w:rPr>
                <w:color w:val="auto"/>
              </w:rPr>
            </w:pPr>
            <w:r>
              <w:rPr>
                <w:rFonts w:hint="eastAsia"/>
                <w:color w:val="auto"/>
                <w:lang w:val="en-US" w:eastAsia="zh-CN"/>
              </w:rPr>
              <w:t>3</w:t>
            </w:r>
            <w:r>
              <w:rPr>
                <w:rFonts w:hint="eastAsia"/>
                <w:color w:val="auto"/>
              </w:rPr>
              <w:t>、供应商应根据</w:t>
            </w:r>
            <w:r>
              <w:rPr>
                <w:rFonts w:hint="eastAsia"/>
                <w:color w:val="auto"/>
                <w:lang w:eastAsia="zh-CN"/>
              </w:rPr>
              <w:t>采购</w:t>
            </w:r>
            <w:r>
              <w:rPr>
                <w:rFonts w:hint="eastAsia"/>
                <w:color w:val="auto"/>
              </w:rPr>
              <w:t>文件的要求提供技术响应表、商务响应表等内容以对</w:t>
            </w:r>
            <w:r>
              <w:rPr>
                <w:rFonts w:hint="eastAsia"/>
                <w:color w:val="auto"/>
                <w:lang w:eastAsia="zh-CN"/>
              </w:rPr>
              <w:t>采购</w:t>
            </w:r>
            <w:r>
              <w:rPr>
                <w:rFonts w:hint="eastAsia"/>
                <w:color w:val="auto"/>
              </w:rPr>
              <w:t>文件作出响应。</w:t>
            </w:r>
          </w:p>
        </w:tc>
      </w:tr>
    </w:tbl>
    <w:p>
      <w:pPr>
        <w:rPr>
          <w:color w:val="auto"/>
          <w:highlight w:val="none"/>
        </w:rPr>
      </w:pPr>
    </w:p>
    <w:p>
      <w:pPr>
        <w:rPr>
          <w:color w:val="auto"/>
          <w:highlight w:val="none"/>
        </w:rPr>
      </w:pPr>
    </w:p>
    <w:p>
      <w:pPr>
        <w:rPr>
          <w:color w:val="auto"/>
          <w:sz w:val="32"/>
          <w:szCs w:val="32"/>
          <w:highlight w:val="none"/>
        </w:rPr>
      </w:pPr>
      <w:r>
        <w:rPr>
          <w:color w:val="auto"/>
          <w:sz w:val="32"/>
          <w:szCs w:val="32"/>
          <w:highlight w:val="none"/>
        </w:rPr>
        <w:br w:type="page"/>
      </w:r>
    </w:p>
    <w:p>
      <w:pPr>
        <w:rPr>
          <w:color w:val="auto"/>
          <w:highlight w:val="none"/>
        </w:rPr>
      </w:pPr>
    </w:p>
    <w:p>
      <w:pPr>
        <w:pStyle w:val="3"/>
        <w:spacing w:before="0" w:after="0" w:line="240" w:lineRule="atLeast"/>
        <w:jc w:val="center"/>
        <w:rPr>
          <w:color w:val="auto"/>
          <w:sz w:val="32"/>
          <w:szCs w:val="32"/>
          <w:highlight w:val="none"/>
        </w:rPr>
      </w:pPr>
      <w:bookmarkStart w:id="40" w:name="_Toc14504"/>
      <w:r>
        <w:rPr>
          <w:rFonts w:hint="eastAsia"/>
          <w:color w:val="auto"/>
          <w:sz w:val="32"/>
          <w:szCs w:val="32"/>
          <w:highlight w:val="none"/>
        </w:rPr>
        <w:t>第三章  投标人须知</w:t>
      </w:r>
      <w:bookmarkEnd w:id="40"/>
    </w:p>
    <w:p>
      <w:pPr>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投标人须知前附表</w:t>
      </w:r>
    </w:p>
    <w:tbl>
      <w:tblPr>
        <w:tblStyle w:val="33"/>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eastAsia" w:ascii="宋体" w:hAnsi="宋体" w:eastAsia="宋体" w:cs="宋体"/>
                <w:color w:val="auto"/>
              </w:rPr>
            </w:pPr>
            <w:r>
              <w:rPr>
                <w:rFonts w:hint="eastAsia"/>
                <w:color w:val="auto"/>
                <w:highlight w:val="none"/>
              </w:rPr>
              <w:t>1.1 项目名称：</w:t>
            </w:r>
            <w:r>
              <w:rPr>
                <w:rFonts w:hint="eastAsia" w:ascii="宋体" w:hAnsi="宋体" w:cs="宋体"/>
                <w:color w:val="auto"/>
                <w:lang w:eastAsia="zh-CN"/>
              </w:rPr>
              <w:t>驻马店市中心医院重阳节慰问品采购</w:t>
            </w:r>
          </w:p>
          <w:p>
            <w:pPr>
              <w:widowControl/>
              <w:snapToGrid w:val="0"/>
              <w:spacing w:line="440" w:lineRule="exact"/>
              <w:jc w:val="left"/>
              <w:outlineLvl w:val="0"/>
              <w:rPr>
                <w:color w:val="auto"/>
                <w:highlight w:val="none"/>
              </w:rPr>
            </w:pPr>
            <w:r>
              <w:rPr>
                <w:rFonts w:hint="eastAsia"/>
                <w:color w:val="auto"/>
                <w:highlight w:val="none"/>
              </w:rPr>
              <w:t>1.2 采购人名称：</w:t>
            </w:r>
            <w:r>
              <w:rPr>
                <w:rFonts w:hint="eastAsia" w:ascii="宋体" w:hAnsi="宋体" w:eastAsia="宋体" w:cs="宋体"/>
                <w:color w:val="auto"/>
              </w:rPr>
              <w:t>驻马店市中心医院</w:t>
            </w:r>
          </w:p>
          <w:p>
            <w:pPr>
              <w:widowControl/>
              <w:snapToGrid w:val="0"/>
              <w:spacing w:line="440" w:lineRule="exact"/>
              <w:jc w:val="left"/>
              <w:outlineLvl w:val="0"/>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1.</w:t>
            </w:r>
            <w:r>
              <w:rPr>
                <w:rFonts w:hint="eastAsia"/>
                <w:color w:val="auto"/>
                <w:highlight w:val="none"/>
                <w:lang w:val="en-US" w:eastAsia="zh-CN"/>
              </w:rPr>
              <w:t>3</w:t>
            </w:r>
            <w:r>
              <w:rPr>
                <w:rFonts w:hint="eastAsia"/>
                <w:color w:val="auto"/>
                <w:highlight w:val="none"/>
              </w:rPr>
              <w:t>采购范围：详</w:t>
            </w:r>
            <w:r>
              <w:rPr>
                <w:rFonts w:hint="eastAsia"/>
                <w:color w:val="auto"/>
                <w:highlight w:val="none"/>
                <w:lang w:val="en-US" w:eastAsia="zh-CN"/>
              </w:rPr>
              <w:t>见第二章采购</w:t>
            </w:r>
            <w:r>
              <w:rPr>
                <w:rFonts w:hint="eastAsia"/>
                <w:color w:val="auto"/>
                <w:highlight w:val="none"/>
              </w:rPr>
              <w:t>需求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合格投标人：具备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采购预算（最高投标限价）：</w:t>
            </w:r>
            <w:r>
              <w:rPr>
                <w:rFonts w:hint="eastAsia" w:ascii="宋体" w:hAnsi="宋体" w:cs="宋体"/>
                <w:color w:val="auto"/>
                <w:kern w:val="0"/>
                <w:szCs w:val="21"/>
                <w:highlight w:val="none"/>
                <w:lang w:val="en-US" w:eastAsia="zh-CN"/>
              </w:rPr>
              <w:t>9.3万</w:t>
            </w:r>
            <w:r>
              <w:rPr>
                <w:rFonts w:hint="eastAsia" w:ascii="宋体" w:hAnsi="宋体" w:eastAsia="宋体" w:cs="宋体"/>
                <w:color w:val="auto"/>
                <w:kern w:val="0"/>
                <w:szCs w:val="21"/>
                <w:highlight w:val="none"/>
              </w:rPr>
              <w:t>元</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3.1 本项目投标以人民币报价。</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3.2 供应商的报价超过采购预算，采购人不能支付的，按废标处理。</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3.3 本项目</w:t>
            </w:r>
            <w:r>
              <w:rPr>
                <w:rFonts w:hint="eastAsia" w:ascii="宋体" w:hAnsi="宋体" w:cs="宋体"/>
                <w:color w:val="auto"/>
                <w:kern w:val="0"/>
                <w:szCs w:val="21"/>
                <w:highlight w:val="none"/>
                <w:lang w:val="en-US" w:eastAsia="zh-CN"/>
              </w:rPr>
              <w:t>由成交供应商缴纳</w:t>
            </w:r>
            <w:r>
              <w:rPr>
                <w:rFonts w:hint="eastAsia" w:ascii="宋体" w:hAnsi="宋体" w:cs="宋体"/>
                <w:color w:val="auto"/>
                <w:kern w:val="0"/>
                <w:szCs w:val="21"/>
                <w:highlight w:val="none"/>
              </w:rPr>
              <w:t>招标代理服务费。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color w:val="auto"/>
              </w:rPr>
            </w:pPr>
            <w:r>
              <w:rPr>
                <w:rFonts w:hint="eastAsia"/>
                <w:color w:val="auto"/>
              </w:rPr>
              <w:t>投标文件组成：纸质投标文件正本1份</w:t>
            </w:r>
            <w:r>
              <w:rPr>
                <w:rFonts w:hint="eastAsia"/>
                <w:color w:val="auto"/>
                <w:lang w:eastAsia="zh-CN"/>
              </w:rPr>
              <w:t>、</w:t>
            </w:r>
            <w:r>
              <w:rPr>
                <w:rFonts w:hint="eastAsia"/>
                <w:color w:val="auto"/>
                <w:lang w:val="en-US" w:eastAsia="zh-CN"/>
              </w:rPr>
              <w:t>副本2份</w:t>
            </w:r>
            <w:r>
              <w:rPr>
                <w:rFonts w:hint="eastAsia"/>
                <w:color w:val="auto"/>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投标截止时间</w:t>
            </w:r>
            <w:r>
              <w:rPr>
                <w:rFonts w:hint="eastAsia" w:ascii="宋体" w:hAnsi="宋体" w:cs="宋体"/>
                <w:color w:val="auto"/>
                <w:kern w:val="0"/>
                <w:szCs w:val="21"/>
                <w:highlight w:val="none"/>
                <w:lang w:val="en-US" w:eastAsia="zh-CN"/>
              </w:rPr>
              <w:t>及开标时间</w:t>
            </w:r>
            <w:r>
              <w:rPr>
                <w:rFonts w:hint="eastAsia" w:ascii="宋体" w:hAnsi="宋体" w:cs="宋体"/>
                <w:color w:val="auto"/>
                <w:kern w:val="0"/>
                <w:szCs w:val="21"/>
                <w:highlight w:val="none"/>
              </w:rPr>
              <w:t>：</w:t>
            </w:r>
            <w:r>
              <w:rPr>
                <w:rFonts w:hint="eastAsia" w:ascii="宋体" w:hAnsi="宋体" w:cs="宋体"/>
                <w:color w:val="auto"/>
                <w:szCs w:val="21"/>
                <w:highlight w:val="none"/>
                <w:lang w:val="en-US" w:eastAsia="zh-CN"/>
              </w:rPr>
              <w:t>另行通知</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投标文件递交地点</w:t>
            </w:r>
            <w:r>
              <w:rPr>
                <w:rFonts w:hint="eastAsia" w:ascii="宋体" w:hAnsi="宋体" w:cs="宋体"/>
                <w:color w:val="auto"/>
                <w:kern w:val="0"/>
                <w:szCs w:val="21"/>
                <w:highlight w:val="none"/>
                <w:lang w:val="en-US" w:eastAsia="zh-CN"/>
              </w:rPr>
              <w:t>及开标地点</w:t>
            </w:r>
            <w:r>
              <w:rPr>
                <w:rFonts w:hint="eastAsia" w:ascii="宋体" w:hAnsi="宋体" w:cs="宋体"/>
                <w:color w:val="auto"/>
                <w:kern w:val="0"/>
                <w:szCs w:val="21"/>
                <w:highlight w:val="none"/>
              </w:rPr>
              <w:t>：</w:t>
            </w:r>
            <w:r>
              <w:rPr>
                <w:rFonts w:hint="eastAsia" w:ascii="宋体" w:hAnsi="宋体" w:cs="宋体"/>
                <w:color w:val="auto"/>
                <w:szCs w:val="21"/>
                <w:highlight w:val="none"/>
                <w:lang w:val="en-US" w:eastAsia="zh-CN"/>
              </w:rPr>
              <w:t>另行通知</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评审委员会成</w:t>
            </w:r>
            <w:r>
              <w:rPr>
                <w:rFonts w:hint="eastAsia" w:ascii="宋体" w:hAnsi="宋体" w:cs="宋体"/>
                <w:color w:val="auto"/>
                <w:kern w:val="0"/>
                <w:szCs w:val="21"/>
                <w:highlight w:val="none"/>
              </w:rPr>
              <w:t>员：</w:t>
            </w:r>
            <w:r>
              <w:rPr>
                <w:rFonts w:hint="eastAsia" w:ascii="宋体" w:hAnsi="宋体" w:cs="宋体"/>
                <w:color w:val="auto"/>
                <w:szCs w:val="21"/>
                <w:highlight w:val="none"/>
                <w:lang w:val="en-US" w:eastAsia="zh-CN"/>
              </w:rPr>
              <w:t>3</w:t>
            </w:r>
            <w:r>
              <w:rPr>
                <w:rFonts w:hint="eastAsia" w:ascii="宋体" w:hAnsi="宋体" w:cs="宋体"/>
                <w:color w:val="auto"/>
                <w:highlight w:val="none"/>
              </w:rPr>
              <w:t>人</w:t>
            </w:r>
            <w:r>
              <w:rPr>
                <w:rFonts w:hint="eastAsia" w:ascii="宋体" w:hAnsi="宋体" w:cs="宋体"/>
                <w:color w:val="auto"/>
                <w:highlight w:val="none"/>
                <w:lang w:val="en-US" w:eastAsia="zh-CN"/>
              </w:rPr>
              <w:t>及以上单数</w:t>
            </w:r>
            <w:r>
              <w:rPr>
                <w:rFonts w:hint="eastAsia" w:ascii="宋体" w:hAnsi="宋体" w:cs="宋体"/>
                <w:color w:val="auto"/>
                <w:kern w:val="0"/>
                <w:szCs w:val="21"/>
                <w:highlight w:val="none"/>
              </w:rPr>
              <w:t>。</w:t>
            </w:r>
          </w:p>
          <w:p>
            <w:pPr>
              <w:widowControl/>
              <w:spacing w:line="440" w:lineRule="exact"/>
              <w:jc w:val="left"/>
              <w:rPr>
                <w:rFonts w:ascii="宋体" w:hAnsi="宋体" w:cs="宋体"/>
                <w:color w:val="auto"/>
                <w:kern w:val="0"/>
                <w:szCs w:val="21"/>
                <w:highlight w:val="none"/>
              </w:rPr>
            </w:pPr>
            <w:r>
              <w:rPr>
                <w:rFonts w:hint="eastAsia" w:ascii="宋体" w:hAnsi="宋体" w:cs="宋体"/>
                <w:color w:val="auto"/>
                <w:szCs w:val="21"/>
                <w:highlight w:val="none"/>
              </w:rPr>
              <w:t>专家确定方式：</w:t>
            </w:r>
            <w:r>
              <w:rPr>
                <w:rFonts w:hint="eastAsia" w:ascii="宋体" w:hAnsi="宋体" w:cs="宋体"/>
                <w:color w:val="auto"/>
                <w:kern w:val="0"/>
                <w:szCs w:val="21"/>
                <w:highlight w:val="none"/>
              </w:rPr>
              <w:t>由采购人</w:t>
            </w:r>
            <w:r>
              <w:rPr>
                <w:rFonts w:hint="eastAsia" w:ascii="宋体" w:hAnsi="宋体" w:cs="宋体"/>
                <w:color w:val="auto"/>
                <w:kern w:val="0"/>
                <w:szCs w:val="21"/>
                <w:highlight w:val="none"/>
                <w:lang w:val="en-US" w:eastAsia="zh-CN"/>
              </w:rPr>
              <w:t>抽取相关的技术人员组成</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ascii="宋体" w:hAnsi="宋体" w:cs="宋体"/>
                <w:color w:val="auto"/>
                <w:kern w:val="0"/>
                <w:szCs w:val="21"/>
                <w:highlight w:val="none"/>
              </w:rPr>
            </w:pPr>
            <w:r>
              <w:rPr>
                <w:rFonts w:hint="eastAsia" w:ascii="宋体" w:hAnsi="宋体" w:cs="宋体"/>
                <w:color w:val="auto"/>
                <w:szCs w:val="21"/>
                <w:highlight w:val="none"/>
              </w:rPr>
              <w:t>评标办法：</w:t>
            </w:r>
            <w:r>
              <w:rPr>
                <w:rFonts w:hint="eastAsia" w:ascii="宋体" w:hAnsi="宋体" w:cs="宋体"/>
                <w:color w:val="auto"/>
                <w:kern w:val="0"/>
                <w:szCs w:val="21"/>
                <w:highlight w:val="none"/>
              </w:rPr>
              <w:t>本项目采用</w:t>
            </w:r>
            <w:r>
              <w:rPr>
                <w:rFonts w:hint="eastAsia" w:ascii="宋体" w:hAnsi="宋体" w:cs="宋体"/>
                <w:color w:val="auto"/>
                <w:szCs w:val="21"/>
                <w:highlight w:val="none"/>
              </w:rPr>
              <w:t>综合评分法</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中标公告及中标通知书：由采购人授权评标委员会确定一名中标人并推荐两名中标候选人。评审结束后</w:t>
            </w:r>
            <w:r>
              <w:rPr>
                <w:rFonts w:hint="eastAsia" w:ascii="宋体" w:hAnsi="宋体" w:cs="宋体"/>
                <w:color w:val="auto"/>
                <w:kern w:val="0"/>
                <w:szCs w:val="21"/>
                <w:highlight w:val="none"/>
                <w:lang w:val="en-US" w:eastAsia="zh-CN"/>
              </w:rPr>
              <w:t>在</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驻马店市中心医院网</w:t>
            </w:r>
            <w:r>
              <w:rPr>
                <w:rFonts w:hint="eastAsia" w:ascii="宋体" w:hAnsi="宋体" w:cs="宋体"/>
                <w:color w:val="auto"/>
                <w:kern w:val="0"/>
                <w:szCs w:val="21"/>
                <w:highlight w:val="none"/>
                <w:lang w:eastAsia="zh-CN"/>
              </w:rPr>
              <w:t>》</w:t>
            </w:r>
            <w:r>
              <w:rPr>
                <w:rFonts w:hint="eastAsia" w:ascii="宋体" w:hAnsi="宋体" w:cs="Arial"/>
                <w:color w:val="auto"/>
                <w:kern w:val="0"/>
                <w:szCs w:val="21"/>
                <w:highlight w:val="none"/>
              </w:rPr>
              <w:t>上</w:t>
            </w:r>
            <w:r>
              <w:rPr>
                <w:rFonts w:hint="eastAsia" w:ascii="宋体" w:hAnsi="宋体" w:cs="宋体"/>
                <w:color w:val="auto"/>
                <w:kern w:val="0"/>
                <w:szCs w:val="21"/>
                <w:highlight w:val="none"/>
              </w:rPr>
              <w:t>发布中标公告，</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签订合同：自中标通知书发出之日起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w:t>
            </w:r>
            <w:r>
              <w:rPr>
                <w:rFonts w:hint="eastAsia" w:ascii="宋体" w:hAnsi="宋体" w:cs="宋体"/>
                <w:color w:val="auto"/>
                <w:kern w:val="0"/>
                <w:szCs w:val="21"/>
                <w:highlight w:val="none"/>
              </w:rPr>
              <w:t>日内。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付款方式：详见第二章</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投标文件有效期：投标</w:t>
            </w:r>
            <w:r>
              <w:rPr>
                <w:rFonts w:hint="eastAsia" w:ascii="宋体" w:hAnsi="宋体" w:cs="宋体"/>
                <w:color w:val="auto"/>
                <w:kern w:val="0"/>
                <w:szCs w:val="21"/>
                <w:highlight w:val="none"/>
                <w:lang w:val="en-US" w:eastAsia="zh-CN"/>
              </w:rPr>
              <w:t>文件递交</w:t>
            </w:r>
            <w:r>
              <w:rPr>
                <w:rFonts w:hint="eastAsia" w:ascii="宋体" w:hAnsi="宋体" w:cs="宋体"/>
                <w:color w:val="auto"/>
                <w:kern w:val="0"/>
                <w:szCs w:val="21"/>
                <w:highlight w:val="none"/>
              </w:rPr>
              <w:t>截止期结束后</w:t>
            </w:r>
            <w:r>
              <w:rPr>
                <w:rFonts w:hint="eastAsia" w:ascii="宋体" w:hAnsi="宋体" w:cs="宋体"/>
                <w:color w:val="auto"/>
                <w:kern w:val="0"/>
                <w:szCs w:val="21"/>
                <w:highlight w:val="none"/>
                <w:lang w:val="en-US" w:eastAsia="zh-CN"/>
              </w:rPr>
              <w:t>90</w:t>
            </w:r>
            <w:r>
              <w:rPr>
                <w:rFonts w:hint="eastAsia" w:ascii="宋体" w:hAnsi="宋体" w:cs="宋体"/>
                <w:color w:val="auto"/>
                <w:kern w:val="0"/>
                <w:szCs w:val="21"/>
                <w:highlight w:val="none"/>
              </w:rPr>
              <w:t>日。中标人的投标文件是合同的组成部分,有效期至合同完全履行止。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rPr>
              <w:t>供应商须提供信用中国网站、中国政府采购网网站查询的网页截图。</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cs="宋体"/>
                <w:color w:val="auto"/>
                <w:szCs w:val="21"/>
                <w:highlight w:val="none"/>
              </w:rPr>
              <w:t>。</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ascii="宋体" w:hAnsi="宋体" w:cs="宋体"/>
                <w:color w:val="auto"/>
                <w:kern w:val="0"/>
                <w:szCs w:val="21"/>
                <w:highlight w:val="none"/>
              </w:rPr>
            </w:pPr>
            <w:r>
              <w:rPr>
                <w:rFonts w:hint="eastAsia" w:ascii="宋体" w:hAnsi="宋体" w:cs="宋体"/>
                <w:bCs/>
                <w:color w:val="auto"/>
                <w:kern w:val="0"/>
                <w:szCs w:val="21"/>
                <w:highlight w:val="none"/>
              </w:rPr>
              <w:t>质疑和投诉：供应商认为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bCs/>
                <w:color w:val="auto"/>
                <w:kern w:val="0"/>
                <w:szCs w:val="21"/>
                <w:highlight w:val="none"/>
                <w:lang w:eastAsia="zh-CN"/>
              </w:rPr>
              <w:t>。</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color w:val="auto"/>
                <w:highlight w:val="none"/>
              </w:rPr>
            </w:pPr>
            <w:r>
              <w:rPr>
                <w:rFonts w:hint="eastAsia"/>
                <w:color w:val="auto"/>
                <w:highlight w:val="none"/>
              </w:rPr>
              <w:t>解释：1、构成本</w:t>
            </w:r>
            <w:r>
              <w:rPr>
                <w:rFonts w:hint="eastAsia"/>
                <w:color w:val="auto"/>
                <w:highlight w:val="none"/>
                <w:lang w:val="en-US" w:eastAsia="zh-CN"/>
              </w:rPr>
              <w:t>采购</w:t>
            </w:r>
            <w:r>
              <w:rPr>
                <w:rFonts w:hint="eastAsia"/>
                <w:color w:val="auto"/>
                <w:highlight w:val="none"/>
              </w:rPr>
              <w:t>文件的各个组成文件应互为解释，互为说明；如有不明确或不一致，构成合同文件组成内容的，以合同文件约定内容为准；除</w:t>
            </w:r>
            <w:r>
              <w:rPr>
                <w:rFonts w:hint="eastAsia"/>
                <w:color w:val="auto"/>
                <w:highlight w:val="none"/>
                <w:lang w:val="en-US" w:eastAsia="zh-CN"/>
              </w:rPr>
              <w:t>采购</w:t>
            </w:r>
            <w:r>
              <w:rPr>
                <w:rFonts w:hint="eastAsia"/>
                <w:color w:val="auto"/>
                <w:highlight w:val="none"/>
              </w:rPr>
              <w:t>文件中有特殊规定外，仅适用于招标投标阶段的规定，按</w:t>
            </w:r>
            <w:r>
              <w:rPr>
                <w:rFonts w:hint="eastAsia"/>
                <w:color w:val="auto"/>
                <w:highlight w:val="none"/>
                <w:lang w:val="en-US" w:eastAsia="zh-CN"/>
              </w:rPr>
              <w:t>采购</w:t>
            </w:r>
            <w:r>
              <w:rPr>
                <w:rFonts w:hint="eastAsia"/>
                <w:color w:val="auto"/>
                <w:highlight w:val="none"/>
              </w:rPr>
              <w:t>公告、供应商须知、评标办法、投标文件格式的先后顺序解释；同一组成文件中就同一事项的规定或约定不一致的，以编排顺序在后者为准；当</w:t>
            </w:r>
            <w:r>
              <w:rPr>
                <w:rFonts w:hint="eastAsia"/>
                <w:color w:val="auto"/>
                <w:highlight w:val="none"/>
                <w:lang w:val="en-US" w:eastAsia="zh-CN"/>
              </w:rPr>
              <w:t>采购</w:t>
            </w:r>
            <w:r>
              <w:rPr>
                <w:rFonts w:hint="eastAsia"/>
                <w:color w:val="auto"/>
                <w:highlight w:val="none"/>
              </w:rPr>
              <w:t>文件与</w:t>
            </w:r>
            <w:r>
              <w:rPr>
                <w:rFonts w:hint="eastAsia"/>
                <w:color w:val="auto"/>
                <w:highlight w:val="none"/>
                <w:lang w:val="en-US" w:eastAsia="zh-CN"/>
              </w:rPr>
              <w:t>采购</w:t>
            </w:r>
            <w:r>
              <w:rPr>
                <w:rFonts w:hint="eastAsia"/>
                <w:color w:val="auto"/>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ascii="宋体" w:hAnsi="宋体" w:cs="宋体"/>
                <w:color w:val="auto"/>
                <w:kern w:val="0"/>
                <w:szCs w:val="21"/>
                <w:highlight w:val="none"/>
              </w:rPr>
            </w:pPr>
            <w:r>
              <w:rPr>
                <w:rFonts w:hint="eastAsia"/>
                <w:color w:val="auto"/>
                <w:highlight w:val="none"/>
              </w:rPr>
              <w:t>2、本</w:t>
            </w:r>
            <w:r>
              <w:rPr>
                <w:rFonts w:hint="eastAsia"/>
                <w:color w:val="auto"/>
                <w:highlight w:val="none"/>
                <w:lang w:val="en-US" w:eastAsia="zh-CN"/>
              </w:rPr>
              <w:t>采购</w:t>
            </w:r>
            <w:r>
              <w:rPr>
                <w:rFonts w:hint="eastAsia"/>
                <w:color w:val="auto"/>
                <w:highlight w:val="none"/>
              </w:rPr>
              <w:t>文件解释权归采购人。</w:t>
            </w:r>
          </w:p>
        </w:tc>
      </w:tr>
    </w:tbl>
    <w:p>
      <w:pPr>
        <w:rPr>
          <w:color w:val="auto"/>
          <w:highlight w:val="none"/>
        </w:rPr>
      </w:pPr>
    </w:p>
    <w:p>
      <w:pPr>
        <w:keepNext w:val="0"/>
        <w:keepLines w:val="0"/>
        <w:pageBreakBefore w:val="0"/>
        <w:widowControl/>
        <w:kinsoku/>
        <w:wordWrap/>
        <w:overflowPunct/>
        <w:topLinePunct w:val="0"/>
        <w:bidi w:val="0"/>
        <w:snapToGrid w:val="0"/>
        <w:spacing w:line="360" w:lineRule="auto"/>
        <w:ind w:firstLine="2760"/>
        <w:jc w:val="left"/>
        <w:rPr>
          <w:rFonts w:ascii="宋体" w:hAnsi="宋体" w:cs="宋体"/>
          <w:color w:val="auto"/>
          <w:kern w:val="0"/>
          <w:sz w:val="24"/>
          <w:highlight w:val="none"/>
        </w:rPr>
      </w:pPr>
      <w:r>
        <w:rPr>
          <w:rFonts w:hint="eastAsia" w:ascii="黑体" w:hAnsi="宋体" w:eastAsia="黑体" w:cs="宋体"/>
          <w:b/>
          <w:bCs/>
          <w:color w:val="auto"/>
          <w:kern w:val="0"/>
          <w:sz w:val="28"/>
          <w:szCs w:val="28"/>
          <w:highlight w:val="none"/>
        </w:rPr>
        <w:t>一 、说 明</w:t>
      </w:r>
    </w:p>
    <w:p>
      <w:pPr>
        <w:keepNext w:val="0"/>
        <w:keepLines w:val="0"/>
        <w:pageBreakBefore w:val="0"/>
        <w:kinsoku/>
        <w:wordWrap/>
        <w:overflowPunct/>
        <w:topLinePunct w:val="0"/>
        <w:bidi w:val="0"/>
        <w:snapToGrid w:val="0"/>
        <w:spacing w:line="360" w:lineRule="auto"/>
        <w:rPr>
          <w:color w:val="auto"/>
          <w:highlight w:val="none"/>
        </w:rPr>
      </w:pP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1.适用范围</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文件仅适用于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公告中所叙述项目的货物采购。</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2.定义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 “采购人”系指本次采购项目的业主方。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2.2 “投标人”系指</w:t>
      </w:r>
      <w:r>
        <w:rPr>
          <w:rFonts w:hint="eastAsia" w:ascii="宋体" w:hAnsi="宋体" w:cs="宋体"/>
          <w:color w:val="auto"/>
          <w:kern w:val="0"/>
          <w:szCs w:val="21"/>
          <w:highlight w:val="none"/>
          <w:lang w:val="en-US" w:eastAsia="zh-CN"/>
        </w:rPr>
        <w:t>领取</w:t>
      </w:r>
      <w:r>
        <w:rPr>
          <w:rFonts w:hint="eastAsia" w:ascii="宋体" w:hAnsi="宋体" w:cs="宋体"/>
          <w:color w:val="auto"/>
          <w:kern w:val="0"/>
          <w:szCs w:val="21"/>
          <w:highlight w:val="none"/>
        </w:rPr>
        <w:t>了本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文件，且已经提交本次投标文件的投标人。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 “投标人代表”系指代表投标人参加本次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活动的投标人的法定代表人或其委托代理人。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2.4 “货物”系指投标人按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文件规定向采购人提供的一切设备、机械、仪器仪表、备品备件、工具、手册及其它有关技术资料和材料。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2.5 “相关服务”系指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文件规定投标人须承担的与本次采购货物相关的安装、调试、技术协助、校准、培训以及其他类似的义务。</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3.本次采购预算（最高限价）为</w:t>
      </w:r>
      <w:r>
        <w:rPr>
          <w:rFonts w:hint="eastAsia" w:ascii="宋体" w:hAnsi="宋体" w:cs="宋体"/>
          <w:b/>
          <w:bCs/>
          <w:color w:val="auto"/>
          <w:kern w:val="0"/>
          <w:szCs w:val="21"/>
          <w:highlight w:val="none"/>
          <w:lang w:val="en-US" w:eastAsia="zh-CN"/>
        </w:rPr>
        <w:t>9.3万</w:t>
      </w:r>
      <w:r>
        <w:rPr>
          <w:rFonts w:hint="eastAsia" w:ascii="宋体" w:hAnsi="宋体" w:cs="宋体"/>
          <w:b/>
          <w:bCs/>
          <w:color w:val="auto"/>
          <w:kern w:val="0"/>
          <w:szCs w:val="21"/>
          <w:highlight w:val="none"/>
        </w:rPr>
        <w:t>元</w:t>
      </w:r>
      <w:r>
        <w:rPr>
          <w:rFonts w:hint="eastAsia" w:ascii="宋体" w:hAnsi="宋体" w:cs="宋体"/>
          <w:b/>
          <w:bCs/>
          <w:color w:val="auto"/>
          <w:kern w:val="0"/>
          <w:szCs w:val="21"/>
          <w:highlight w:val="none"/>
          <w:lang w:eastAsia="zh-CN"/>
        </w:rPr>
        <w:t>，350元/人份</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szCs w:val="21"/>
          <w:highlight w:val="none"/>
        </w:rPr>
      </w:pPr>
      <w:r>
        <w:rPr>
          <w:rFonts w:hint="eastAsia" w:ascii="宋体" w:hAnsi="宋体" w:cs="宋体"/>
          <w:b/>
          <w:bCs/>
          <w:color w:val="auto"/>
          <w:kern w:val="0"/>
          <w:szCs w:val="21"/>
          <w:highlight w:val="none"/>
        </w:rPr>
        <w:t>4.投标人应提交的证明文件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4.1 </w:t>
      </w:r>
      <w:r>
        <w:rPr>
          <w:rFonts w:hint="eastAsia" w:ascii="宋体" w:hAnsi="宋体" w:cs="宋体"/>
          <w:color w:val="auto"/>
          <w:szCs w:val="21"/>
          <w:highlight w:val="none"/>
          <w:lang w:eastAsia="zh-CN"/>
        </w:rPr>
        <w:t>供应商应为注册在中华人民共和国境内的，且具有独立承担民事责任能力，</w:t>
      </w:r>
      <w:r>
        <w:rPr>
          <w:rFonts w:hint="eastAsia" w:ascii="宋体" w:hAnsi="宋体" w:cs="宋体"/>
          <w:color w:val="auto"/>
          <w:szCs w:val="21"/>
          <w:highlight w:val="none"/>
        </w:rPr>
        <w:t>提供法人或者其他组织的营业执照等证明文件</w:t>
      </w:r>
      <w:r>
        <w:rPr>
          <w:rFonts w:hint="eastAsia" w:ascii="宋体" w:hAnsi="宋体" w:cs="宋体"/>
          <w:color w:val="auto"/>
          <w:szCs w:val="21"/>
          <w:highlight w:val="none"/>
          <w:lang w:eastAsia="zh-CN"/>
        </w:rPr>
        <w:t>。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4.2 </w:t>
      </w:r>
      <w:r>
        <w:rPr>
          <w:rFonts w:hint="eastAsia" w:ascii="宋体" w:hAnsi="宋体" w:eastAsia="宋体" w:cs="宋体"/>
          <w:color w:val="auto"/>
          <w:kern w:val="2"/>
          <w:sz w:val="21"/>
          <w:szCs w:val="24"/>
          <w:lang w:val="en-US" w:eastAsia="zh-CN" w:bidi="ar-SA"/>
        </w:rPr>
        <w:t>供应商应提供202</w:t>
      </w:r>
      <w:r>
        <w:rPr>
          <w:rFonts w:hint="eastAsia" w:ascii="宋体" w:hAnsi="宋体" w:cs="宋体"/>
          <w:color w:val="auto"/>
          <w:kern w:val="2"/>
          <w:sz w:val="21"/>
          <w:szCs w:val="24"/>
          <w:lang w:val="en-US" w:eastAsia="zh-CN" w:bidi="ar-SA"/>
        </w:rPr>
        <w:t>1</w:t>
      </w:r>
      <w:r>
        <w:rPr>
          <w:rFonts w:hint="eastAsia" w:ascii="宋体" w:hAnsi="宋体" w:eastAsia="宋体" w:cs="宋体"/>
          <w:color w:val="auto"/>
          <w:kern w:val="2"/>
          <w:sz w:val="21"/>
          <w:szCs w:val="24"/>
          <w:lang w:val="en-US" w:eastAsia="zh-CN" w:bidi="ar-SA"/>
        </w:rPr>
        <w:t>年度经审计的财务报告或者其基本开户银行出具的资信证明；采购活动前三个月中任意一个月依法缴纳税收的凭据和缴纳社会保险的凭据；依法免税或不需要缴纳社会保障资金的供应商，应提供相应文件证明其依法免税或不需要缴纳社会保障资金。（新成立企业从成立之日起计算）</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4.3 </w:t>
      </w:r>
      <w:r>
        <w:rPr>
          <w:rFonts w:hint="eastAsia" w:ascii="宋体" w:hAnsi="宋体" w:eastAsia="宋体" w:cs="宋体"/>
          <w:color w:val="auto"/>
          <w:kern w:val="2"/>
          <w:sz w:val="21"/>
          <w:szCs w:val="24"/>
          <w:lang w:val="en-US" w:eastAsia="zh-CN" w:bidi="ar-SA"/>
        </w:rPr>
        <w:t>参加本采购活动前三年内，在经营活动中没有重大违法记录</w:t>
      </w:r>
      <w:r>
        <w:rPr>
          <w:rFonts w:hint="eastAsia" w:ascii="宋体" w:hAnsi="宋体" w:cs="宋体"/>
          <w:color w:val="auto"/>
          <w:szCs w:val="21"/>
          <w:highlight w:val="none"/>
        </w:rPr>
        <w:t>的书面声明函；</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4.4 具备履行合同所必需的设备和专业技术能力的书面声明函；</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4.5 须持有有效的《食品经营许可证》、《食品流通许可证》等资质以及相关配送能力，无发生食品安全等相关事故和不良诚信记录</w:t>
      </w:r>
      <w:r>
        <w:rPr>
          <w:rFonts w:hint="eastAsia" w:ascii="宋体" w:hAnsi="宋体" w:cs="宋体"/>
          <w:color w:val="auto"/>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
          <w:bCs/>
          <w:color w:val="auto"/>
          <w:kern w:val="0"/>
          <w:szCs w:val="21"/>
          <w:highlight w:val="none"/>
        </w:rPr>
      </w:pPr>
      <w:r>
        <w:rPr>
          <w:rFonts w:hint="eastAsia" w:ascii="宋体" w:hAnsi="宋体" w:cs="宋体"/>
          <w:color w:val="auto"/>
          <w:szCs w:val="21"/>
          <w:highlight w:val="none"/>
        </w:rPr>
        <w:t>4.</w:t>
      </w:r>
      <w:r>
        <w:rPr>
          <w:rFonts w:hint="eastAsia" w:ascii="宋体" w:hAnsi="宋体" w:cs="宋体"/>
          <w:color w:val="auto"/>
          <w:szCs w:val="21"/>
          <w:highlight w:val="none"/>
          <w:lang w:val="en-US" w:eastAsia="zh-CN"/>
        </w:rPr>
        <w:t xml:space="preserve">6 </w:t>
      </w:r>
      <w:r>
        <w:rPr>
          <w:rFonts w:hint="eastAsia"/>
          <w:color w:val="auto"/>
          <w:lang w:val="en-US" w:eastAsia="zh-CN"/>
        </w:rPr>
        <w:t>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不论投标结果如何，投标人均应自行承担所有与投标有关的全部费用。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7.1 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9.1 投标人投标所使用的资格、信誉、荣誉、业绩与企业认证必须为本法人所拥有。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9.2 投标人代表只能接受一个投标人的委托参加投标。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9.3《政府采购法》第二十二条第五款“参加政府采购活动前三年内，在经营活动中没有重大违法记录”，“重大违法记录”包括投标人或者其法定代表人、董事、监事、高级管理人员因经营活动中的违法行为受到行政处罚，但警告和罚款额在人民币3万元以下的行政处罚除外；投标人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9.4投标人在投标活动中提供虚假材料或从事其他违法活动的,其投标无效，由相关部门查处。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10.质疑和投诉</w:t>
      </w:r>
    </w:p>
    <w:p>
      <w:pPr>
        <w:keepNext w:val="0"/>
        <w:keepLines w:val="0"/>
        <w:pageBreakBefore w:val="0"/>
        <w:widowControl/>
        <w:kinsoku/>
        <w:wordWrap/>
        <w:overflowPunct/>
        <w:topLinePunct w:val="0"/>
        <w:bidi w:val="0"/>
        <w:snapToGrid w:val="0"/>
        <w:spacing w:line="360" w:lineRule="auto"/>
        <w:ind w:firstLine="411" w:firstLineChars="196"/>
        <w:jc w:val="left"/>
        <w:rPr>
          <w:rFonts w:ascii="宋体" w:hAnsi="宋体" w:cs="宋体"/>
          <w:color w:val="auto"/>
          <w:kern w:val="0"/>
          <w:szCs w:val="21"/>
          <w:highlight w:val="none"/>
        </w:rPr>
      </w:pPr>
      <w:r>
        <w:rPr>
          <w:rFonts w:hint="eastAsia" w:ascii="宋体" w:hAnsi="宋体" w:cs="宋体"/>
          <w:color w:val="auto"/>
          <w:kern w:val="0"/>
          <w:szCs w:val="21"/>
          <w:highlight w:val="none"/>
        </w:rPr>
        <w:t>10.1 </w:t>
      </w:r>
      <w:r>
        <w:rPr>
          <w:rFonts w:hint="eastAsia" w:ascii="宋体" w:hAnsi="宋体" w:cs="宋体"/>
          <w:bCs/>
          <w:color w:val="auto"/>
          <w:kern w:val="0"/>
          <w:szCs w:val="21"/>
          <w:highlight w:val="none"/>
        </w:rPr>
        <w:t>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color w:val="auto"/>
          <w:kern w:val="0"/>
          <w:szCs w:val="21"/>
          <w:highlight w:val="none"/>
          <w:lang w:val="en-US" w:eastAsia="zh-CN"/>
        </w:rPr>
        <w:t>医院纪检</w:t>
      </w:r>
      <w:r>
        <w:rPr>
          <w:rFonts w:hint="eastAsia" w:ascii="宋体" w:hAnsi="宋体" w:cs="宋体"/>
          <w:color w:val="auto"/>
          <w:kern w:val="0"/>
          <w:szCs w:val="21"/>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10.2 </w:t>
      </w:r>
      <w:r>
        <w:rPr>
          <w:rFonts w:hint="eastAsia" w:ascii="宋体" w:hAnsi="宋体" w:cs="宋体"/>
          <w:bCs/>
          <w:color w:val="auto"/>
          <w:kern w:val="0"/>
          <w:szCs w:val="21"/>
          <w:highlight w:val="none"/>
        </w:rPr>
        <w:t>质疑、投诉应当采用书面形式，质疑书、投诉书均应明确阐述</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11.投标人的风险</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投标人没有按照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文件要求提供全部资料，或者投标人没有对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文件在各方面都作出实质性响应是投标人的风险，并可能导致其投标被拒绝。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二、</w:t>
      </w:r>
      <w:r>
        <w:rPr>
          <w:rFonts w:hint="eastAsia" w:ascii="黑体" w:hAnsi="宋体" w:eastAsia="黑体" w:cs="宋体"/>
          <w:b/>
          <w:bCs/>
          <w:color w:val="auto"/>
          <w:kern w:val="0"/>
          <w:sz w:val="32"/>
          <w:szCs w:val="32"/>
          <w:highlight w:val="none"/>
          <w:lang w:val="en-US" w:eastAsia="zh-CN"/>
        </w:rPr>
        <w:t>采购</w:t>
      </w:r>
      <w:r>
        <w:rPr>
          <w:rFonts w:hint="eastAsia" w:ascii="黑体" w:hAnsi="宋体" w:eastAsia="黑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12.</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文件的构成。本</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文件由以下部分组成：</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12.1 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需求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 投标人须知</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 评标办法</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12.5 合同主要条款</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12.6 投标文件格式</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bCs/>
          <w:color w:val="auto"/>
          <w:kern w:val="0"/>
          <w:szCs w:val="21"/>
          <w:highlight w:val="none"/>
        </w:rPr>
      </w:pPr>
      <w:r>
        <w:rPr>
          <w:rFonts w:hint="eastAsia" w:ascii="宋体" w:hAnsi="宋体" w:cs="宋体"/>
          <w:b/>
          <w:bCs/>
          <w:color w:val="auto"/>
          <w:kern w:val="0"/>
          <w:szCs w:val="21"/>
          <w:highlight w:val="none"/>
        </w:rPr>
        <w:t>13.</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文件的澄清与修改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13.1 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对已发出的</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文件进行必要澄清、修改或补充的，应当在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文件要求提交投标文件截止时间</w:t>
      </w:r>
      <w:r>
        <w:rPr>
          <w:rFonts w:hint="eastAsia" w:ascii="宋体" w:hAnsi="宋体" w:cs="宋体"/>
          <w:color w:val="auto"/>
          <w:kern w:val="0"/>
          <w:szCs w:val="21"/>
          <w:highlight w:val="none"/>
          <w:lang w:val="en-US" w:eastAsia="zh-CN"/>
        </w:rPr>
        <w:t>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前，在</w:t>
      </w:r>
      <w:r>
        <w:rPr>
          <w:rFonts w:hint="eastAsia" w:ascii="宋体" w:hAnsi="宋体" w:cs="宋体"/>
          <w:color w:val="auto"/>
          <w:kern w:val="0"/>
          <w:szCs w:val="21"/>
          <w:highlight w:val="none"/>
          <w:lang w:val="en-US" w:eastAsia="zh-CN"/>
        </w:rPr>
        <w:t>原采购公告发布</w:t>
      </w:r>
      <w:r>
        <w:rPr>
          <w:rFonts w:hint="eastAsia" w:ascii="宋体" w:hAnsi="宋体" w:cs="宋体"/>
          <w:color w:val="auto"/>
          <w:kern w:val="0"/>
          <w:szCs w:val="21"/>
          <w:highlight w:val="none"/>
        </w:rPr>
        <w:t>相关媒体上发布更正公告或变更公告。</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文件公示期间对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文件澄清、修改或补充的内容为</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13.3 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文件的澄清、修改或补充都应以法定形式发布。采购人未对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13.4 </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可以视招标具体情况延长投标截止时间和开标时间，但至少应当在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文件要求提交投标文件的截止时间3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前，将变更时间</w:t>
      </w:r>
      <w:r>
        <w:rPr>
          <w:rFonts w:hint="eastAsia" w:ascii="宋体" w:hAnsi="宋体" w:cs="宋体"/>
          <w:color w:val="auto"/>
          <w:kern w:val="0"/>
          <w:szCs w:val="21"/>
          <w:highlight w:val="none"/>
          <w:lang w:val="en-US" w:eastAsia="zh-CN"/>
        </w:rPr>
        <w:t>通知所有潜在投标人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2229" w:firstLineChars="694"/>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三</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投标文件的编制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14.要求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14.1 投标人应仔细阅读</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文件的所有内容，按照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文件提供的格式编写投标文件，不得缺少或留空任何</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文件要求填写的表格或提交的资料。</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文件提供格式的按格式填列，未提供格式的可自行拟定。投标文件应对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文件的要求作出实质性响应（包括投标人资格要求、技术要求、商务要求和投标文件格式中对投标的要求），投标人对所提供的全部资料的合法性、真实性负责。</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14.2 投标人应完整签署投标文件格式附件中《投标书》和《抵制商业贿赂承诺》，不得增减或修改内容。否则视为对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15.1投标文件以及投标人与采购人就有关投标事宜的所有来往函电均应使用简体中文书写。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15.2 关于投标计量单位，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文件已有明确规定的，使用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文件规定的计量单位；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文件没有规定的，应采用中华人民共和国法定计量单位。否则视为对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15.3 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16.投标文件的组成</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16.1、投标书及开标一览表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16.2、</w:t>
      </w:r>
      <w:r>
        <w:rPr>
          <w:rFonts w:hint="eastAsia" w:ascii="宋体" w:hAnsi="宋体" w:cs="宋体"/>
          <w:color w:val="auto"/>
          <w:kern w:val="0"/>
          <w:szCs w:val="21"/>
          <w:highlight w:val="none"/>
        </w:rPr>
        <w:t>投标报价明细表（格式）</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、技术响应表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、商务响应表</w:t>
      </w:r>
    </w:p>
    <w:p>
      <w:pPr>
        <w:keepNext w:val="0"/>
        <w:keepLines w:val="0"/>
        <w:pageBreakBefore w:val="0"/>
        <w:widowControl/>
        <w:kinsoku/>
        <w:wordWrap/>
        <w:overflowPunct/>
        <w:topLinePunct w:val="0"/>
        <w:bidi w:val="0"/>
        <w:snapToGrid w:val="0"/>
        <w:spacing w:line="360" w:lineRule="auto"/>
        <w:ind w:left="208" w:leftChars="99"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、法定代表人身份证明</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、法定代表人授权书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、证明文件</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、抵制商业贿赂承诺</w:t>
      </w:r>
    </w:p>
    <w:p>
      <w:pPr>
        <w:pStyle w:val="32"/>
        <w:keepNext w:val="0"/>
        <w:keepLines w:val="0"/>
        <w:pageBreakBefore w:val="0"/>
        <w:kinsoku/>
        <w:wordWrap/>
        <w:overflowPunct/>
        <w:topLinePunct w:val="0"/>
        <w:bidi w:val="0"/>
        <w:snapToGrid w:val="0"/>
        <w:spacing w:beforeAutospacing="0" w:afterAutospacing="0" w:line="360" w:lineRule="auto"/>
        <w:rPr>
          <w:color w:val="auto"/>
          <w:sz w:val="21"/>
          <w:szCs w:val="21"/>
          <w:highlight w:val="none"/>
        </w:rPr>
      </w:pPr>
      <w:r>
        <w:rPr>
          <w:rFonts w:hint="eastAsia"/>
          <w:color w:val="auto"/>
          <w:sz w:val="21"/>
          <w:szCs w:val="21"/>
          <w:highlight w:val="none"/>
        </w:rPr>
        <w:t>16.</w:t>
      </w:r>
      <w:r>
        <w:rPr>
          <w:rFonts w:hint="eastAsia"/>
          <w:color w:val="auto"/>
          <w:sz w:val="21"/>
          <w:szCs w:val="21"/>
          <w:highlight w:val="none"/>
          <w:lang w:val="en-US" w:eastAsia="zh-CN"/>
        </w:rPr>
        <w:t>9</w:t>
      </w:r>
      <w:r>
        <w:rPr>
          <w:rFonts w:hint="eastAsia"/>
          <w:color w:val="auto"/>
          <w:sz w:val="21"/>
          <w:szCs w:val="21"/>
          <w:highlight w:val="none"/>
        </w:rPr>
        <w:t>、投标人认为有必要的其他资料</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17.投标有效期</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17.1 投标文件从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公告所规定的投标截止期之后开始生效，在</w:t>
      </w:r>
      <w:r>
        <w:rPr>
          <w:rFonts w:hint="eastAsia" w:ascii="宋体" w:hAnsi="宋体" w:cs="宋体"/>
          <w:bCs/>
          <w:color w:val="auto"/>
          <w:kern w:val="0"/>
          <w:szCs w:val="21"/>
          <w:highlight w:val="none"/>
        </w:rPr>
        <w:t>投标人须知前附表</w:t>
      </w:r>
      <w:r>
        <w:rPr>
          <w:rFonts w:hint="eastAsia" w:ascii="宋体" w:hAnsi="宋体" w:cs="宋体"/>
          <w:color w:val="auto"/>
          <w:kern w:val="0"/>
          <w:szCs w:val="21"/>
          <w:highlight w:val="none"/>
        </w:rPr>
        <w:t>第16项所规定的期限内保持有效。有效期不足将导致其投标文件被拒绝。中标人的投标文件有效期至合同完全履行止。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17.2特殊情况下</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可于投标有效期满之前书面要求投标人同意延长有效期，投标人应在</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规定的期限内以书面形式予以答复。投标人可以拒绝上述要求。投标人答复不明确或者逾期未答复的，均视为拒绝上述要求。对于接受该要求的投标人，既不要求也不允许其修改投标文件。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18.投标报价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18.1 所有投标报价均以人民币元为计算单位。投标人的投标报价为交货地点交货价格，包括货物、随配附件、备品备件、工具、厂家赠品、运抵指定交货地点费用、保险费、安装调试费、服务费、售后服务、税金及其他所有费用的总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18.2 投标人要按开标一览表的内容填写。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18.3 </w:t>
      </w:r>
      <w:r>
        <w:rPr>
          <w:rFonts w:hint="eastAsia" w:ascii="宋体" w:hAnsi="宋体" w:cs="宋体"/>
          <w:color w:val="auto"/>
          <w:spacing w:val="10"/>
          <w:kern w:val="0"/>
          <w:szCs w:val="21"/>
          <w:highlight w:val="none"/>
        </w:rPr>
        <w:t>投标人投报多标包的，应对每标包分别报价并分别填报开标一览表。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18.4 开标一览表中标明的价格在政府采购合同执行过程中是固定不变的，投标人不得以任何理由予以变更。以可调整的价格提交的投标将被作为无效投标处理。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18.5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18.6 对于投标人在开标一览表和投标文件中列出的赠送条款，在评审时不得作为价格评分因素或者调整评标价格的依据。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eastAsia="zh-CN"/>
        </w:rPr>
      </w:pPr>
      <w:r>
        <w:rPr>
          <w:rFonts w:hint="eastAsia" w:ascii="宋体" w:hAnsi="宋体" w:cs="宋体"/>
          <w:b/>
          <w:color w:val="auto"/>
          <w:kern w:val="0"/>
          <w:szCs w:val="21"/>
          <w:highlight w:val="none"/>
        </w:rPr>
        <w:t>19.投标保证金</w:t>
      </w: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详见采购公告</w:t>
      </w:r>
      <w:r>
        <w:rPr>
          <w:rFonts w:hint="eastAsia" w:ascii="宋体" w:hAnsi="宋体" w:cs="宋体"/>
          <w:b/>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17" w:firstLineChars="198"/>
        <w:rPr>
          <w:rFonts w:hint="default" w:ascii="宋体" w:hAnsi="宋体" w:eastAsia="宋体" w:cs="宋体"/>
          <w:b/>
          <w:color w:val="auto"/>
          <w:kern w:val="0"/>
          <w:szCs w:val="21"/>
          <w:highlight w:val="none"/>
          <w:lang w:val="en-US" w:eastAsia="zh-CN"/>
        </w:rPr>
      </w:pPr>
      <w:r>
        <w:rPr>
          <w:rFonts w:hint="eastAsia" w:ascii="宋体" w:hAnsi="宋体" w:cs="宋体"/>
          <w:b/>
          <w:color w:val="auto"/>
          <w:kern w:val="0"/>
          <w:szCs w:val="21"/>
          <w:highlight w:val="none"/>
        </w:rPr>
        <w:t>20.投标文件的签署</w:t>
      </w:r>
      <w:r>
        <w:rPr>
          <w:rFonts w:hint="eastAsia" w:ascii="宋体" w:hAnsi="宋体" w:cs="宋体"/>
          <w:b/>
          <w:color w:val="auto"/>
          <w:kern w:val="0"/>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.1投标文件应按第六章“投标文件格式”进行编写，如有必要，可以增加附页，作为投标文件的组成部分。其中，投标报价一览表在满足</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文件实质性要求的基础上，可以提出比</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文件要求更有利于采购人的承诺。</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.2 投标文件应当对</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文件有关服务期、投标有效期、质量要求、技术标准和要求、</w:t>
      </w:r>
      <w:r>
        <w:rPr>
          <w:rFonts w:hint="eastAsia" w:ascii="宋体" w:hAnsi="宋体" w:cs="宋体"/>
          <w:color w:val="auto"/>
          <w:kern w:val="0"/>
          <w:szCs w:val="21"/>
          <w:highlight w:val="none"/>
          <w:lang w:eastAsia="zh-CN"/>
        </w:rPr>
        <w:t>磋商</w:t>
      </w:r>
      <w:r>
        <w:rPr>
          <w:rFonts w:hint="eastAsia" w:ascii="宋体" w:hAnsi="宋体" w:eastAsia="宋体" w:cs="宋体"/>
          <w:color w:val="auto"/>
          <w:kern w:val="0"/>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3投标文件应用不褪色的材料书写或打印，并由投标人的法定代表人盖章或盖单位公章；投标文件应尽量避免涂改、行间插字或删除，如果出现上述情况，改动之处应加盖单位公章或由投标人的法定代表人盖章确认。签字或盖章的具体要求见投标人须知前附表。</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.4投标文件份数见投标人须知前附表。投标文件正本和副本的封面上应清楚地标记“正本”或“副本”的字样。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.5投标文件的具体装订要求见投标人须知前附表规定。</w:t>
      </w:r>
    </w:p>
    <w:p>
      <w:pPr>
        <w:keepNext w:val="0"/>
        <w:keepLines w:val="0"/>
        <w:pageBreakBefore w:val="0"/>
        <w:widowControl/>
        <w:kinsoku/>
        <w:wordWrap/>
        <w:overflowPunct/>
        <w:topLinePunct w:val="0"/>
        <w:bidi w:val="0"/>
        <w:snapToGrid w:val="0"/>
        <w:spacing w:line="360" w:lineRule="auto"/>
        <w:ind w:firstLine="2554" w:firstLineChars="795"/>
        <w:jc w:val="left"/>
        <w:rPr>
          <w:rFonts w:ascii="黑体" w:hAnsi="宋体" w:eastAsia="黑体" w:cs="宋体"/>
          <w:b/>
          <w:color w:val="auto"/>
          <w:kern w:val="0"/>
          <w:sz w:val="32"/>
          <w:szCs w:val="32"/>
          <w:highlight w:val="none"/>
        </w:rPr>
      </w:pPr>
      <w:r>
        <w:rPr>
          <w:rFonts w:hint="eastAsia" w:ascii="黑体" w:hAnsi="宋体" w:eastAsia="黑体" w:cs="宋体"/>
          <w:b/>
          <w:color w:val="auto"/>
          <w:kern w:val="0"/>
          <w:sz w:val="32"/>
          <w:szCs w:val="32"/>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17" w:firstLineChars="198"/>
        <w:textAlignment w:val="auto"/>
        <w:rPr>
          <w:rFonts w:ascii="宋体" w:hAnsi="宋体" w:cs="宋体"/>
          <w:b/>
          <w:color w:val="auto"/>
          <w:kern w:val="0"/>
          <w:szCs w:val="21"/>
          <w:highlight w:val="none"/>
        </w:rPr>
      </w:pPr>
      <w:r>
        <w:rPr>
          <w:rFonts w:hint="eastAsia" w:ascii="宋体" w:hAnsi="宋体" w:cs="宋体"/>
          <w:b/>
          <w:color w:val="auto"/>
          <w:kern w:val="0"/>
          <w:szCs w:val="21"/>
          <w:highlight w:val="none"/>
        </w:rPr>
        <w:t>21. 投标文件的密封、标记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21.1</w:t>
      </w:r>
      <w:r>
        <w:rPr>
          <w:color w:val="auto"/>
          <w:highlight w:val="none"/>
        </w:rPr>
        <w:t>响应文件应密封包装，并在封套的封口处加盖供应商单位章或由供应商的法定代表人（单位负责人）或其授权的代理人签字。</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21.2 投标文件的封套上应清楚地标记“正本”或“副本”字样，封套上应写明的其他内容见投标人须知前附表</w:t>
      </w:r>
      <w:r>
        <w:rPr>
          <w:rFonts w:hint="eastAsia" w:ascii="宋体" w:hAnsi="宋体" w:cs="宋体"/>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color w:val="auto"/>
          <w:lang w:eastAsia="zh-CN"/>
        </w:rPr>
      </w:pPr>
      <w:r>
        <w:rPr>
          <w:rFonts w:hint="eastAsia"/>
          <w:color w:val="auto"/>
          <w:lang w:eastAsia="zh-CN"/>
        </w:rPr>
        <w:t>2</w:t>
      </w:r>
      <w:r>
        <w:rPr>
          <w:rFonts w:hint="eastAsia"/>
          <w:color w:val="auto"/>
          <w:lang w:val="en-US" w:eastAsia="zh-CN"/>
        </w:rPr>
        <w:t>1</w:t>
      </w:r>
      <w:r>
        <w:rPr>
          <w:rFonts w:hint="eastAsia"/>
          <w:color w:val="auto"/>
          <w:lang w:eastAsia="zh-CN"/>
        </w:rPr>
        <w:t>.3 未按本章第2</w:t>
      </w:r>
      <w:r>
        <w:rPr>
          <w:rFonts w:hint="eastAsia"/>
          <w:color w:val="auto"/>
          <w:lang w:val="en-US" w:eastAsia="zh-CN"/>
        </w:rPr>
        <w:t>1</w:t>
      </w:r>
      <w:r>
        <w:rPr>
          <w:rFonts w:hint="eastAsia"/>
          <w:color w:val="auto"/>
          <w:lang w:eastAsia="zh-CN"/>
        </w:rPr>
        <w:t>.1项或第2</w:t>
      </w:r>
      <w:r>
        <w:rPr>
          <w:rFonts w:hint="eastAsia"/>
          <w:color w:val="auto"/>
          <w:lang w:val="en-US" w:eastAsia="zh-CN"/>
        </w:rPr>
        <w:t>1</w:t>
      </w:r>
      <w:r>
        <w:rPr>
          <w:rFonts w:hint="eastAsia"/>
          <w:color w:val="auto"/>
          <w:lang w:eastAsia="zh-CN"/>
        </w:rPr>
        <w:t>.2项要求密封和加写标记的投标文件，采购人不予受理。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 投标人应在规定的投标截止时间前</w:t>
      </w:r>
      <w:r>
        <w:rPr>
          <w:rFonts w:hint="eastAsia" w:ascii="宋体" w:hAnsi="宋体" w:cs="宋体"/>
          <w:color w:val="auto"/>
          <w:kern w:val="0"/>
          <w:szCs w:val="21"/>
          <w:highlight w:val="none"/>
          <w:lang w:eastAsia="zh-CN"/>
        </w:rPr>
        <w:t>递交</w:t>
      </w:r>
      <w:r>
        <w:rPr>
          <w:rFonts w:hint="eastAsia" w:ascii="宋体" w:hAnsi="宋体" w:cs="宋体"/>
          <w:color w:val="auto"/>
          <w:kern w:val="0"/>
          <w:szCs w:val="21"/>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 投标人递交投标文件的地点：见投标人须知前附表。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 除投标人须知前附表另有规定外，投标人所递交的投标文件不予退还。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23.1 投标人在投标截止时间前，可以对所提交的投标文件进行补充、修改或者撤回，并书面通知</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color w:val="auto"/>
          <w:kern w:val="0"/>
          <w:szCs w:val="21"/>
          <w:highlight w:val="none"/>
        </w:rPr>
        <w:t>23.2 投标人在投标截止期后不得修改、撤回投标文件。投标人在投标截止期后修改投标文件的，其投标将被拒绝。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五</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 组建评标委员会</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评标委员会由采购人代表和评审专家组成。成员由</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人以上单数组成。</w:t>
      </w:r>
      <w:r>
        <w:rPr>
          <w:rFonts w:hint="eastAsia" w:ascii="宋体" w:hAnsi="宋体" w:cs="宋体"/>
          <w:color w:val="auto"/>
          <w:szCs w:val="21"/>
          <w:highlight w:val="none"/>
        </w:rPr>
        <w:t>在开标后由评标委员会对投标文件进行审查、质疑、评估和比较，并做合理的建议。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.2评标委员会成员要依法独立评审，并对评审意见承担个人责任。</w:t>
      </w:r>
      <w:r>
        <w:rPr>
          <w:rFonts w:hint="eastAsia" w:ascii="宋体" w:hAnsi="宋体" w:cs="宋体"/>
          <w:color w:val="auto"/>
          <w:szCs w:val="21"/>
          <w:highlight w:val="none"/>
        </w:rPr>
        <w:t>评标委员会成员对需要共同认定的事项存在争议的，按照少数服从多数的原则</w:t>
      </w:r>
      <w:r>
        <w:rPr>
          <w:rFonts w:hint="eastAsia" w:ascii="宋体" w:hAnsi="宋体" w:cs="宋体"/>
          <w:color w:val="auto"/>
          <w:kern w:val="0"/>
          <w:szCs w:val="21"/>
          <w:highlight w:val="none"/>
        </w:rPr>
        <w:t>做</w:t>
      </w:r>
      <w:r>
        <w:rPr>
          <w:rFonts w:hint="eastAsia" w:ascii="宋体" w:hAnsi="宋体" w:cs="宋体"/>
          <w:color w:val="auto"/>
          <w:szCs w:val="21"/>
          <w:highlight w:val="none"/>
        </w:rPr>
        <w:t>出结论。持不同意见的评标委员会成员应当在评标报告上签署不同意见</w:t>
      </w:r>
      <w:r>
        <w:rPr>
          <w:rFonts w:hint="eastAsia" w:ascii="宋体" w:hAnsi="宋体" w:cs="宋体"/>
          <w:color w:val="auto"/>
          <w:kern w:val="0"/>
          <w:szCs w:val="21"/>
          <w:highlight w:val="none"/>
        </w:rPr>
        <w:t>并说明</w:t>
      </w:r>
      <w:r>
        <w:rPr>
          <w:rFonts w:hint="eastAsia" w:ascii="宋体" w:hAnsi="宋体" w:cs="宋体"/>
          <w:color w:val="auto"/>
          <w:szCs w:val="21"/>
          <w:highlight w:val="none"/>
        </w:rPr>
        <w:t>理由，否则视为同意。</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 投标文件的初审</w:t>
      </w:r>
    </w:p>
    <w:p>
      <w:pPr>
        <w:pStyle w:val="29"/>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.1对所有投标人的评估，都采用相同的程序和标准。评标过程将严格按照</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 评标委员会将对投标文件进行检查，以确定投标文件是否完整、有无计算上的错误、文件是否已正确签署等。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ascii="宋体" w:hAnsi="宋体" w:cs="宋体"/>
          <w:color w:val="auto"/>
          <w:kern w:val="0"/>
          <w:szCs w:val="21"/>
          <w:highlight w:val="none"/>
        </w:rPr>
        <w:t>.</w:t>
      </w:r>
      <w:r>
        <w:rPr>
          <w:rFonts w:hint="eastAsia" w:ascii="宋体" w:hAnsi="宋体" w:cs="宋体"/>
          <w:color w:val="auto"/>
          <w:kern w:val="0"/>
          <w:szCs w:val="21"/>
          <w:highlight w:val="none"/>
        </w:rPr>
        <w:t>3</w:t>
      </w:r>
      <w:r>
        <w:rPr>
          <w:rFonts w:ascii="宋体" w:hAnsi="宋体" w:cs="宋体"/>
          <w:color w:val="auto"/>
          <w:kern w:val="0"/>
          <w:szCs w:val="21"/>
          <w:highlight w:val="none"/>
        </w:rPr>
        <w:t> </w:t>
      </w:r>
      <w:r>
        <w:rPr>
          <w:rFonts w:hint="eastAsia"/>
          <w:color w:val="auto"/>
          <w:kern w:val="0"/>
          <w:szCs w:val="21"/>
          <w:highlight w:val="none"/>
        </w:rPr>
        <w:t>投标文件报价出现前后不一致的，除</w:t>
      </w:r>
      <w:r>
        <w:rPr>
          <w:rFonts w:hint="eastAsia"/>
          <w:color w:val="auto"/>
          <w:kern w:val="0"/>
          <w:szCs w:val="21"/>
          <w:highlight w:val="none"/>
          <w:lang w:val="en-US" w:eastAsia="zh-CN"/>
        </w:rPr>
        <w:t>采购</w:t>
      </w:r>
      <w:r>
        <w:rPr>
          <w:rFonts w:hint="eastAsia"/>
          <w:color w:val="auto"/>
          <w:kern w:val="0"/>
          <w:szCs w:val="21"/>
          <w:highlight w:val="none"/>
        </w:rPr>
        <w:t>文件另有规定外，</w:t>
      </w:r>
      <w:r>
        <w:rPr>
          <w:rFonts w:hint="eastAsia" w:cs="宋体"/>
          <w:color w:val="auto"/>
          <w:kern w:val="0"/>
          <w:szCs w:val="21"/>
          <w:highlight w:val="none"/>
        </w:rPr>
        <w:t>修正错误的原则如下：</w:t>
      </w:r>
    </w:p>
    <w:p>
      <w:pPr>
        <w:pStyle w:val="29"/>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.3.1</w:t>
      </w:r>
      <w:r>
        <w:rPr>
          <w:rFonts w:hint="eastAsia" w:ascii="宋体" w:hAnsi="宋体" w:cs="宋体"/>
          <w:color w:val="auto"/>
          <w:sz w:val="21"/>
          <w:szCs w:val="21"/>
          <w:highlight w:val="none"/>
          <w:shd w:val="clear" w:color="auto" w:fill="FFFFFF"/>
        </w:rPr>
        <w:t>投标文件开标一览表（报价表）内容与投标文件中相应内容不一致的，以开标一览表（报价表）为准；</w:t>
      </w:r>
    </w:p>
    <w:p>
      <w:pPr>
        <w:pStyle w:val="29"/>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.3.2</w:t>
      </w:r>
      <w:r>
        <w:rPr>
          <w:rFonts w:hint="eastAsia" w:ascii="宋体" w:hAnsi="宋体" w:cs="宋体"/>
          <w:color w:val="auto"/>
          <w:sz w:val="21"/>
          <w:szCs w:val="21"/>
          <w:highlight w:val="none"/>
          <w:shd w:val="clear" w:color="auto" w:fill="FFFFFF"/>
        </w:rPr>
        <w:t>大写金额</w:t>
      </w:r>
      <w:r>
        <w:rPr>
          <w:rFonts w:hint="eastAsia" w:ascii="宋体" w:hAnsi="宋体" w:cs="宋体"/>
          <w:color w:val="auto"/>
          <w:sz w:val="21"/>
          <w:szCs w:val="21"/>
          <w:highlight w:val="none"/>
        </w:rPr>
        <w:t>与</w:t>
      </w:r>
      <w:r>
        <w:rPr>
          <w:rFonts w:hint="eastAsia" w:ascii="宋体" w:hAnsi="宋体" w:cs="宋体"/>
          <w:color w:val="auto"/>
          <w:sz w:val="21"/>
          <w:szCs w:val="21"/>
          <w:highlight w:val="none"/>
          <w:shd w:val="clear" w:color="auto" w:fill="FFFFFF"/>
        </w:rPr>
        <w:t>小写金额不一致的，以大写金额为准；</w:t>
      </w:r>
    </w:p>
    <w:p>
      <w:pPr>
        <w:pStyle w:val="29"/>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.3.3</w:t>
      </w:r>
      <w:r>
        <w:rPr>
          <w:rFonts w:hint="eastAsia" w:ascii="宋体" w:hAnsi="宋体" w:cs="宋体"/>
          <w:color w:val="auto"/>
          <w:sz w:val="21"/>
          <w:szCs w:val="21"/>
          <w:highlight w:val="none"/>
          <w:shd w:val="clear" w:color="auto" w:fill="FFFFFF"/>
        </w:rPr>
        <w:t>单价金额小数点或者百分比有明显错位的，以开标一览表的总价为准，并修改单价；</w:t>
      </w:r>
    </w:p>
    <w:p>
      <w:pPr>
        <w:pStyle w:val="29"/>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.3.4</w:t>
      </w:r>
      <w:r>
        <w:rPr>
          <w:rFonts w:hint="eastAsia" w:ascii="宋体" w:hAnsi="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.3.6 同时出现两种以上不一致的，按照前款规定的顺序修正。修正后的报价按照财政部87号令第五十一条第二款的规定经投标人确认后产生约束力，投标人不确认的，其投标无效。</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w:t>
      </w:r>
      <w:r>
        <w:rPr>
          <w:rFonts w:hint="eastAsia" w:ascii="宋体" w:hAnsi="宋体"/>
          <w:color w:val="auto"/>
          <w:szCs w:val="21"/>
          <w:highlight w:val="none"/>
        </w:rPr>
        <w:t>资格性检查。依据法规政策和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文件的规定，在对投标文件详细评估之前，采购人将依据投标人提交的投标文件按</w:t>
      </w:r>
      <w:r>
        <w:rPr>
          <w:rFonts w:hint="eastAsia" w:ascii="宋体" w:hAnsi="宋体"/>
          <w:color w:val="auto"/>
          <w:szCs w:val="21"/>
          <w:highlight w:val="none"/>
          <w:lang w:val="en-US" w:eastAsia="zh-CN"/>
        </w:rPr>
        <w:t>采购</w:t>
      </w:r>
      <w:r>
        <w:rPr>
          <w:rFonts w:hint="eastAsia" w:ascii="宋体" w:hAnsi="宋体"/>
          <w:color w:val="auto"/>
          <w:szCs w:val="21"/>
          <w:highlight w:val="none"/>
        </w:rPr>
        <w:t>公告第二项和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文件第三章4.投标人应提交的证明文件所述的资格标准对投标人进行资格审查,以确定其是否具备投标资格。如果投标人不具备投标资格、不满足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文件所规定的资格标准或提供资格证明文件不全,其投标将被作为无效投标。</w:t>
      </w:r>
      <w:r>
        <w:rPr>
          <w:rFonts w:hint="eastAsia" w:ascii="宋体" w:hAnsi="宋体" w:cs="Lucida Sans Unicode"/>
          <w:color w:val="auto"/>
          <w:szCs w:val="21"/>
          <w:highlight w:val="none"/>
        </w:rPr>
        <w:t>在审查过程中，采购人有权要求投标人按</w:t>
      </w:r>
      <w:r>
        <w:rPr>
          <w:rFonts w:hint="eastAsia" w:ascii="宋体" w:hAnsi="宋体" w:cs="Lucida Sans Unicode"/>
          <w:color w:val="auto"/>
          <w:szCs w:val="21"/>
          <w:highlight w:val="none"/>
          <w:lang w:val="en-US" w:eastAsia="zh-CN"/>
        </w:rPr>
        <w:t>采购</w:t>
      </w:r>
      <w:r>
        <w:rPr>
          <w:rFonts w:hint="eastAsia" w:ascii="宋体" w:hAnsi="宋体" w:cs="Lucida Sans Unicode"/>
          <w:color w:val="auto"/>
          <w:szCs w:val="21"/>
          <w:highlight w:val="none"/>
        </w:rPr>
        <w:t>文件的规定提供相关资格证明材料的原件以供审查。投标人应在规定的时限内提供。投标人拒不提供的，或者不能在规定时限内提供的，视为其不具备该资格条件。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Lucida Sans Unicode"/>
          <w:color w:val="auto"/>
          <w:szCs w:val="21"/>
          <w:highlight w:val="none"/>
        </w:rPr>
      </w:pPr>
      <w:r>
        <w:rPr>
          <w:rFonts w:hint="eastAsia" w:ascii="宋体" w:hAnsi="宋体" w:cs="Lucida Sans Unicode"/>
          <w:color w:val="auto"/>
          <w:szCs w:val="21"/>
          <w:highlight w:val="none"/>
        </w:rPr>
        <w:t>2</w:t>
      </w:r>
      <w:r>
        <w:rPr>
          <w:rFonts w:hint="eastAsia" w:ascii="宋体" w:hAnsi="宋体" w:cs="Lucida Sans Unicode"/>
          <w:color w:val="auto"/>
          <w:szCs w:val="21"/>
          <w:highlight w:val="none"/>
          <w:lang w:val="en-US" w:eastAsia="zh-CN"/>
        </w:rPr>
        <w:t>5</w:t>
      </w:r>
      <w:r>
        <w:rPr>
          <w:rFonts w:hint="eastAsia" w:ascii="宋体" w:hAnsi="宋体" w:cs="Lucida Sans Unicode"/>
          <w:color w:val="auto"/>
          <w:szCs w:val="21"/>
          <w:highlight w:val="none"/>
        </w:rPr>
        <w:t>.4.2 资格审查后合格的投标人不足3家的，不得评标。</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 符合性检查。依据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文件的规定，评标委员会将从投标文件的有效性、完整性和对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文件的响应程度进行审查，以确定是否符合对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（2）投标人未能出具有效身份证明，或与身份不符的。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（3）资格证明文件不全的，或不符合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（4）投标有效期、交货时间、质保期等不满足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（5）未按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（6）投标文件的实质性内容未使用中文表述，或意思表述不明确，或前后矛盾，或使用计量单位不符合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olor w:val="auto"/>
          <w:szCs w:val="21"/>
          <w:highlight w:val="none"/>
        </w:rPr>
        <w:t>（8）投标文件内容未按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（9）不符合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评标委员会决定投标的响应性只根据投标文件本身的内容，而不寻求其他的外部证据。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.4.4 对资格性检查和符合性检查不合格的投标人，将</w:t>
      </w:r>
      <w:r>
        <w:rPr>
          <w:rFonts w:hint="eastAsia" w:ascii="宋体" w:hAnsi="宋体" w:cs="宋体"/>
          <w:color w:val="auto"/>
          <w:kern w:val="0"/>
          <w:szCs w:val="21"/>
          <w:highlight w:val="none"/>
          <w:lang w:val="en-US" w:eastAsia="zh-CN"/>
        </w:rPr>
        <w:t>通过评标系统</w:t>
      </w:r>
      <w:r>
        <w:rPr>
          <w:rFonts w:hint="eastAsia" w:ascii="宋体" w:hAnsi="宋体" w:cs="宋体"/>
          <w:color w:val="auto"/>
          <w:kern w:val="0"/>
          <w:szCs w:val="21"/>
          <w:highlight w:val="none"/>
        </w:rPr>
        <w:t>告知其理由。</w:t>
      </w:r>
    </w:p>
    <w:p>
      <w:pPr>
        <w:pStyle w:val="29"/>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5</w:t>
      </w:r>
      <w:r>
        <w:rPr>
          <w:rFonts w:hint="eastAsia" w:ascii="宋体" w:hAnsi="宋体" w:cs="宋体"/>
          <w:color w:val="auto"/>
          <w:sz w:val="21"/>
          <w:szCs w:val="21"/>
          <w:highlight w:val="none"/>
        </w:rPr>
        <w:t>.5 在评审过程中，评标委员会发现投标人有下列情形之一的，视为投标人串通投标，其投标无效：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.5.1不同投标人的投标文件异常一致。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.5.2不同投标人的投标文件由同一单位或者个人编制；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.5.3不同投标人委托同一单位或者个人办理投标事宜；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.5.4不同投标人的投标文件载明的项目管理成员或者联系人员为同一人；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.5.5不同投标人的投标文件相互混装；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.5.6不同投标人的投标保证金从同一单位或者个人的账户转出（若收取）。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399" w:firstLineChars="190"/>
        <w:jc w:val="left"/>
        <w:textAlignment w:val="baseline"/>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.5.7 有证据证明投标人串通投标的其他情形的；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.5.8 不同投标人的投标文件制作机器码一致；</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.5.9 评标委员会认定的其他串通投标情形。</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6</w:t>
      </w:r>
      <w:r>
        <w:rPr>
          <w:rFonts w:hint="eastAsia" w:ascii="宋体" w:hAnsi="宋体" w:cs="宋体"/>
          <w:b/>
          <w:bCs/>
          <w:color w:val="auto"/>
          <w:kern w:val="0"/>
          <w:szCs w:val="21"/>
          <w:highlight w:val="none"/>
        </w:rPr>
        <w:t>. 投标文件的澄清</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对投标文件中含义不明确、同类问题表述不一致或者有明显文字和计算错误的内容，评标委员会可以书面形式要求投标人作出必要的澄清。投标人的澄清应当在评标委员会规定的时间内以书面形式作出，由其投标人代表签字。但澄清事项不得超出投标文件的范围，不得实质性改变投标文件的内容，不得通过澄清等方式对投标人实行差别对待。评标委员会不得接受投标人主动提出的澄清和解释。</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7</w:t>
      </w:r>
      <w:r>
        <w:rPr>
          <w:rFonts w:hint="eastAsia" w:ascii="宋体" w:hAnsi="宋体" w:cs="宋体"/>
          <w:b/>
          <w:bCs/>
          <w:color w:val="auto"/>
          <w:kern w:val="0"/>
          <w:szCs w:val="21"/>
          <w:highlight w:val="none"/>
        </w:rPr>
        <w:t>. 比较与评价</w:t>
      </w:r>
    </w:p>
    <w:p>
      <w:pPr>
        <w:pStyle w:val="29"/>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.1 评标委员会将按本</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文件规定的评标方法与标准，对资格性检查和符合性检查合格的投标文件进行商务和技术评估，综合比较与评价。</w:t>
      </w:r>
    </w:p>
    <w:p>
      <w:pPr>
        <w:pStyle w:val="29"/>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.2对漏（缺）报项的处理：</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文件中要求列入报价的费用（含配置、功能），漏（缺）报的视同已含在投标总价中。</w:t>
      </w:r>
    </w:p>
    <w:p>
      <w:pPr>
        <w:pStyle w:val="29"/>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b/>
          <w:bCs/>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8</w:t>
      </w:r>
      <w:r>
        <w:rPr>
          <w:rFonts w:hint="eastAsia" w:ascii="宋体" w:hAnsi="宋体" w:cs="宋体"/>
          <w:b/>
          <w:bCs/>
          <w:color w:val="auto"/>
          <w:kern w:val="0"/>
          <w:szCs w:val="21"/>
          <w:highlight w:val="none"/>
        </w:rPr>
        <w:t>. 评标过程及保密原则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.1 凡与本次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有关人员对属于审查、澄清、评价和比较投标的有关资料以及定标意向等，均不得向投标人或其他人员透露。否则,将按有关规定追究相关人员的责任。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.2 在评标期间，投标人试图影响或干预评审的任何行为，将导致其投标被作为无效投标，并承担相应的法律责任。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lang w:val="en-US" w:eastAsia="zh-CN"/>
        </w:rPr>
        <w:t>29</w:t>
      </w:r>
      <w:r>
        <w:rPr>
          <w:rFonts w:hint="eastAsia" w:ascii="宋体" w:hAnsi="宋体" w:cs="宋体"/>
          <w:b/>
          <w:color w:val="auto"/>
          <w:kern w:val="0"/>
          <w:szCs w:val="21"/>
          <w:highlight w:val="none"/>
        </w:rPr>
        <w:t>.评标异议登记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ind w:firstLine="305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六</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0</w:t>
      </w:r>
      <w:r>
        <w:rPr>
          <w:rFonts w:hint="eastAsia" w:ascii="宋体" w:hAnsi="宋体" w:cs="宋体"/>
          <w:b/>
          <w:bCs/>
          <w:color w:val="auto"/>
          <w:kern w:val="0"/>
          <w:szCs w:val="21"/>
          <w:highlight w:val="none"/>
        </w:rPr>
        <w:t>. 定标原则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 确定实质上响应</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文件且满足下列条件的为中标候选人（或中标人）</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bookmarkStart w:id="41" w:name="_Toc32200"/>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.2.1</w:t>
      </w:r>
      <w:bookmarkEnd w:id="41"/>
      <w:r>
        <w:rPr>
          <w:rFonts w:hint="eastAsia" w:ascii="宋体" w:hAnsi="宋体" w:cs="宋体"/>
          <w:bCs/>
          <w:color w:val="auto"/>
          <w:kern w:val="0"/>
          <w:szCs w:val="21"/>
          <w:highlight w:val="none"/>
        </w:rPr>
        <w:t>本次评标采用</w:t>
      </w:r>
      <w:r>
        <w:rPr>
          <w:rFonts w:hint="eastAsia" w:ascii="宋体" w:hAnsi="宋体" w:cs="宋体"/>
          <w:color w:val="auto"/>
          <w:szCs w:val="21"/>
          <w:highlight w:val="none"/>
        </w:rPr>
        <w:t>综合评分法，是指响应文件满足采购文件全部实质性要求，且按照评审因素的量化指标评审得分最高的投标人为中标候选人的评标方法。</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采用综合评分法的，评标结果按评审后得分由高到低顺序排列。投标文件满足</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全部实质性要求，且按照评审因素的量化指标评审得分最高的投标人为排名第一的中标候选人，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1</w:t>
      </w:r>
      <w:r>
        <w:rPr>
          <w:rFonts w:hint="eastAsia" w:ascii="宋体" w:hAnsi="宋体" w:cs="宋体"/>
          <w:b/>
          <w:bCs/>
          <w:color w:val="auto"/>
          <w:kern w:val="0"/>
          <w:szCs w:val="21"/>
          <w:highlight w:val="none"/>
        </w:rPr>
        <w:t>. 确定中标人和中标候选人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bCs/>
          <w:color w:val="auto"/>
          <w:kern w:val="0"/>
          <w:szCs w:val="21"/>
          <w:highlight w:val="none"/>
        </w:rPr>
        <w:t>本项目由采购人授权评标委员会确定一名中标人并推荐两名中标候选人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2</w:t>
      </w:r>
      <w:r>
        <w:rPr>
          <w:rFonts w:hint="eastAsia" w:ascii="宋体" w:hAnsi="宋体" w:cs="宋体"/>
          <w:b/>
          <w:bCs/>
          <w:color w:val="auto"/>
          <w:kern w:val="0"/>
          <w:szCs w:val="21"/>
          <w:highlight w:val="none"/>
        </w:rPr>
        <w:t>. 中标通知书及中标公告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.1评审结束后，</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人将中标候选人的情况在本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项目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公告发布的同一媒介予以公示，公示</w:t>
      </w:r>
      <w:r>
        <w:rPr>
          <w:rFonts w:hint="eastAsia" w:ascii="宋体" w:hAnsi="宋体" w:cs="宋体"/>
          <w:color w:val="auto"/>
          <w:kern w:val="0"/>
          <w:szCs w:val="21"/>
          <w:highlight w:val="none"/>
          <w:lang w:eastAsia="zh-CN"/>
        </w:rPr>
        <w:t>期限</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个工作日</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.2中标人在规定的时间内不领取中标通知书的，视为中标后自动放弃中标资格；中标人在有效报价中报价最低,非不可抗力放弃中标资格的。发生上述情况的承担由此引起的一切后果。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.3中标通知书对采购人和中标人具有同等法律效力。中标通知书发出后，采购人改变中标结果，或者中标人放弃中标，应按相关法律、规章、规范性文件的要求承担相应的法律责任。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bCs/>
          <w:color w:val="auto"/>
          <w:kern w:val="0"/>
          <w:szCs w:val="21"/>
          <w:highlight w:val="none"/>
        </w:rPr>
        <w:t>.4中标通知书将作为签订合同的依据。合同签订后，中标通知书成为合同的一部分。</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3</w:t>
      </w:r>
      <w:r>
        <w:rPr>
          <w:rFonts w:hint="eastAsia" w:ascii="宋体" w:hAnsi="宋体" w:cs="宋体"/>
          <w:b/>
          <w:bCs/>
          <w:color w:val="auto"/>
          <w:kern w:val="0"/>
          <w:szCs w:val="21"/>
          <w:highlight w:val="none"/>
        </w:rPr>
        <w:t>. 采购人宣布废标的权利</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.1出现下列情况之一时，采购人有权宣布废标，并将理由通知所有投标人：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.1.2投标人的报价均超过了</w:t>
      </w:r>
      <w:r>
        <w:rPr>
          <w:rFonts w:hint="eastAsia" w:ascii="宋体" w:hAnsi="宋体" w:cs="宋体"/>
          <w:bCs/>
          <w:color w:val="auto"/>
          <w:kern w:val="0"/>
          <w:szCs w:val="21"/>
          <w:highlight w:val="none"/>
          <w:lang w:val="en-US" w:eastAsia="zh-CN"/>
        </w:rPr>
        <w:t>采购预算金额</w:t>
      </w:r>
      <w:r>
        <w:rPr>
          <w:rFonts w:hint="eastAsia" w:ascii="宋体" w:hAnsi="宋体" w:cs="宋体"/>
          <w:bCs/>
          <w:color w:val="auto"/>
          <w:kern w:val="0"/>
          <w:szCs w:val="21"/>
          <w:highlight w:val="none"/>
        </w:rPr>
        <w:t>，采购人不能支付的。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.1.3因重大变故，采购任务取消的。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color w:val="auto"/>
          <w:kern w:val="0"/>
          <w:szCs w:val="21"/>
          <w:highlight w:val="none"/>
        </w:rPr>
        <w:t xml:space="preserve">.2 </w:t>
      </w:r>
      <w:r>
        <w:rPr>
          <w:rFonts w:hint="eastAsia" w:ascii="宋体" w:hAnsi="宋体" w:cs="宋体"/>
          <w:color w:val="auto"/>
          <w:szCs w:val="21"/>
          <w:highlight w:val="none"/>
        </w:rPr>
        <w:t>投标截止后投标人不足3家或通过资格性检查或符合性检查的投标人不足3家的，除采购任务取消情形外，按照以下方式处理：</w:t>
      </w:r>
    </w:p>
    <w:p>
      <w:pPr>
        <w:keepNext w:val="0"/>
        <w:keepLines w:val="0"/>
        <w:pageBreakBefore w:val="0"/>
        <w:numPr>
          <w:ilvl w:val="0"/>
          <w:numId w:val="2"/>
        </w:numPr>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20" w:firstLineChars="200"/>
        <w:rPr>
          <w:rFonts w:ascii="宋体" w:hAnsi="宋体" w:cs="宋体"/>
          <w:b/>
          <w:color w:val="auto"/>
          <w:kern w:val="0"/>
          <w:sz w:val="52"/>
          <w:szCs w:val="52"/>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ind w:firstLine="2570" w:firstLineChars="80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七</w:t>
      </w:r>
      <w:r>
        <w:rPr>
          <w:rFonts w:hint="eastAsia" w:ascii="黑体" w:hAnsi="宋体" w:eastAsia="黑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472" w:firstLineChars="224"/>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.合同签订</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u w:val="single"/>
        </w:rPr>
      </w:pPr>
      <w:bookmarkStart w:id="42" w:name="_Toc8594"/>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采购人、中标人自中标通知书发出之日起，在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文件第三章《投标人须知前附表》规定的时间内，根据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文件确定的事项和中标人投标文件签订合同。双方所签订的合同不得对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文件和中标人投标文件作实质性修改。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文件的修改文件、中标人的投标文件、补充或修改的文件及澄清或承诺文件等，均为双方签订合同的组成部分，并与合同一并作为本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.3 中标人</w:t>
      </w:r>
      <w:r>
        <w:rPr>
          <w:rFonts w:hint="eastAsia" w:cs="宋体"/>
          <w:color w:val="auto"/>
          <w:kern w:val="0"/>
          <w:szCs w:val="21"/>
          <w:highlight w:val="none"/>
        </w:rPr>
        <w:t>放弃中标、因不可抗力不能履行合同、不按照</w:t>
      </w:r>
      <w:r>
        <w:rPr>
          <w:rFonts w:hint="eastAsia" w:cs="宋体"/>
          <w:color w:val="auto"/>
          <w:kern w:val="0"/>
          <w:szCs w:val="21"/>
          <w:highlight w:val="none"/>
          <w:lang w:val="en-US" w:eastAsia="zh-CN"/>
        </w:rPr>
        <w:t>采购</w:t>
      </w:r>
      <w:r>
        <w:rPr>
          <w:rFonts w:hint="eastAsia" w:cs="宋体"/>
          <w:color w:val="auto"/>
          <w:kern w:val="0"/>
          <w:szCs w:val="21"/>
          <w:highlight w:val="none"/>
        </w:rPr>
        <w:t>文件要求提交履约保证金，或者被查实存在影响中标结果的违法行为等情形，不符合中标条件的，</w:t>
      </w:r>
      <w:r>
        <w:rPr>
          <w:rFonts w:hint="eastAsia" w:ascii="宋体" w:hAnsi="宋体" w:cs="宋体"/>
          <w:color w:val="auto"/>
          <w:kern w:val="0"/>
          <w:szCs w:val="21"/>
          <w:highlight w:val="none"/>
        </w:rPr>
        <w:t>采购人可以</w:t>
      </w:r>
      <w:r>
        <w:rPr>
          <w:rFonts w:hint="eastAsia" w:cs="宋体"/>
          <w:color w:val="auto"/>
          <w:kern w:val="0"/>
          <w:szCs w:val="21"/>
          <w:highlight w:val="none"/>
        </w:rPr>
        <w:t>按照评标委员会提出的中标候选</w:t>
      </w:r>
      <w:r>
        <w:rPr>
          <w:rFonts w:hint="eastAsia" w:ascii="宋体" w:hAnsi="宋体" w:cs="宋体"/>
          <w:color w:val="auto"/>
          <w:kern w:val="0"/>
          <w:szCs w:val="21"/>
          <w:highlight w:val="none"/>
        </w:rPr>
        <w:t>人</w:t>
      </w:r>
      <w:r>
        <w:rPr>
          <w:rFonts w:hint="eastAsia" w:cs="宋体"/>
          <w:color w:val="auto"/>
          <w:kern w:val="0"/>
          <w:szCs w:val="21"/>
          <w:highlight w:val="none"/>
        </w:rPr>
        <w:t>名单排序依次确定其他中标候选</w:t>
      </w:r>
      <w:r>
        <w:rPr>
          <w:rFonts w:hint="eastAsia" w:ascii="宋体" w:hAnsi="宋体" w:cs="宋体"/>
          <w:color w:val="auto"/>
          <w:kern w:val="0"/>
          <w:szCs w:val="21"/>
          <w:highlight w:val="none"/>
        </w:rPr>
        <w:t>人</w:t>
      </w:r>
      <w:r>
        <w:rPr>
          <w:rFonts w:hint="eastAsia" w:cs="宋体"/>
          <w:color w:val="auto"/>
          <w:kern w:val="0"/>
          <w:szCs w:val="21"/>
          <w:highlight w:val="none"/>
        </w:rPr>
        <w:t>为中标</w:t>
      </w:r>
      <w:r>
        <w:rPr>
          <w:rFonts w:hint="eastAsia" w:ascii="宋体" w:hAnsi="宋体" w:cs="宋体"/>
          <w:color w:val="auto"/>
          <w:kern w:val="0"/>
          <w:szCs w:val="21"/>
          <w:highlight w:val="none"/>
        </w:rPr>
        <w:t>人</w:t>
      </w:r>
      <w:r>
        <w:rPr>
          <w:rFonts w:hint="eastAsia" w:cs="宋体"/>
          <w:color w:val="auto"/>
          <w:kern w:val="0"/>
          <w:szCs w:val="21"/>
          <w:highlight w:val="none"/>
        </w:rPr>
        <w:t>，也可以重新招标。</w:t>
      </w:r>
    </w:p>
    <w:bookmarkEnd w:id="42"/>
    <w:p>
      <w:pPr>
        <w:rPr>
          <w:color w:val="auto"/>
          <w:highlight w:val="none"/>
        </w:rPr>
      </w:pPr>
      <w:bookmarkStart w:id="43" w:name="_Toc4700"/>
      <w:bookmarkStart w:id="44" w:name="_Toc16669"/>
      <w:r>
        <w:rPr>
          <w:color w:val="auto"/>
          <w:highlight w:val="none"/>
        </w:rPr>
        <w:br w:type="page"/>
      </w:r>
    </w:p>
    <w:p>
      <w:pPr>
        <w:rPr>
          <w:color w:val="auto"/>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ascii="宋体" w:hAnsi="宋体" w:cs="宋体"/>
          <w:color w:val="auto"/>
          <w:kern w:val="0"/>
          <w:sz w:val="24"/>
          <w:highlight w:val="none"/>
        </w:rPr>
      </w:pPr>
      <w:bookmarkStart w:id="45" w:name="_Toc9022"/>
      <w:r>
        <w:rPr>
          <w:rFonts w:hint="eastAsia" w:ascii="黑体" w:hAnsi="宋体" w:eastAsia="黑体" w:cs="宋体"/>
          <w:b/>
          <w:bCs/>
          <w:color w:val="auto"/>
          <w:kern w:val="0"/>
          <w:sz w:val="32"/>
          <w:szCs w:val="32"/>
          <w:highlight w:val="none"/>
        </w:rPr>
        <w:t>第四章  评标办法及评分标准</w:t>
      </w:r>
      <w:bookmarkEnd w:id="43"/>
      <w:bookmarkEnd w:id="45"/>
    </w:p>
    <w:p>
      <w:pPr>
        <w:rPr>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按照“公平、公正”的原则对待所有投标人</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2．评标委员会按照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.投标文件满足</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文件全部实质性要求，且评审得分最高的投标人为第一中标候选人。</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3"/>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详细评审（100分）</w:t>
      </w:r>
    </w:p>
    <w:tbl>
      <w:tblPr>
        <w:tblStyle w:val="33"/>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14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价格标部分 (30分)</w:t>
            </w:r>
          </w:p>
        </w:tc>
        <w:tc>
          <w:tcPr>
            <w:tcW w:w="8243" w:type="dxa"/>
            <w:gridSpan w:val="2"/>
            <w:noWrap w:val="0"/>
            <w:vAlign w:val="center"/>
          </w:tcPr>
          <w:p>
            <w:pPr>
              <w:pStyle w:val="51"/>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u w:val="none"/>
              </w:rPr>
            </w:pPr>
            <w:r>
              <w:rPr>
                <w:rFonts w:hint="eastAsia" w:ascii="宋体" w:hAnsi="宋体" w:eastAsia="宋体" w:cs="宋体"/>
                <w:b w:val="0"/>
                <w:bCs w:val="0"/>
                <w:color w:val="auto"/>
                <w:sz w:val="21"/>
                <w:szCs w:val="21"/>
                <w:highlight w:val="none"/>
                <w:u w:val="none"/>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p>
            <w:pPr>
              <w:pStyle w:val="51"/>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有效投标报价：投标报价</w:t>
            </w:r>
            <w:r>
              <w:rPr>
                <w:rFonts w:hint="eastAsia" w:hAnsi="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采购预算价的为有效投标报价。</w:t>
            </w:r>
          </w:p>
          <w:p>
            <w:pPr>
              <w:pStyle w:val="51"/>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文件要求且投标价格最低的有效投标报价为评标基准价。</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投标报价得分=（评标基准价/有效投标报价）×30分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产品质量（30分）</w:t>
            </w:r>
          </w:p>
        </w:tc>
        <w:tc>
          <w:tcPr>
            <w:tcW w:w="2140"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rPr>
              <w:t>1</w:t>
            </w:r>
            <w:r>
              <w:rPr>
                <w:rFonts w:hint="eastAsia" w:ascii="宋体" w:hAnsi="宋体" w:eastAsia="宋体" w:cs="宋体"/>
                <w:b w:val="0"/>
                <w:bCs w:val="0"/>
                <w:color w:val="auto"/>
                <w:kern w:val="0"/>
                <w:sz w:val="21"/>
                <w:szCs w:val="21"/>
                <w:highlight w:val="none"/>
                <w:lang w:eastAsia="zh-CN"/>
              </w:rPr>
              <w:t>、</w:t>
            </w:r>
            <w:r>
              <w:rPr>
                <w:rFonts w:hint="eastAsia" w:ascii="宋体" w:hAnsi="宋体" w:cs="宋体"/>
                <w:b w:val="0"/>
                <w:bCs w:val="0"/>
                <w:color w:val="auto"/>
                <w:kern w:val="0"/>
                <w:sz w:val="21"/>
                <w:szCs w:val="21"/>
                <w:highlight w:val="none"/>
                <w:lang w:val="en-US" w:eastAsia="zh-CN"/>
              </w:rPr>
              <w:t>对“</w:t>
            </w:r>
            <w:r>
              <w:rPr>
                <w:rFonts w:hint="eastAsia" w:ascii="宋体" w:hAnsi="宋体" w:eastAsia="宋体" w:cs="宋体"/>
                <w:b w:val="0"/>
                <w:bCs w:val="0"/>
                <w:color w:val="auto"/>
                <w:kern w:val="0"/>
                <w:sz w:val="21"/>
                <w:szCs w:val="21"/>
                <w:highlight w:val="none"/>
                <w:lang w:eastAsia="zh-CN"/>
              </w:rPr>
              <w:t>第二章  采购需求</w:t>
            </w:r>
            <w:r>
              <w:rPr>
                <w:rFonts w:hint="eastAsia" w:ascii="宋体" w:hAnsi="宋体" w:cs="宋体"/>
                <w:b w:val="0"/>
                <w:bCs w:val="0"/>
                <w:color w:val="auto"/>
                <w:kern w:val="0"/>
                <w:sz w:val="21"/>
                <w:szCs w:val="21"/>
                <w:highlight w:val="none"/>
                <w:lang w:val="en-US" w:eastAsia="zh-CN"/>
              </w:rPr>
              <w:t>”</w:t>
            </w:r>
            <w:r>
              <w:rPr>
                <w:rFonts w:hint="eastAsia" w:ascii="宋体" w:hAnsi="宋体" w:eastAsia="宋体" w:cs="宋体"/>
                <w:b w:val="0"/>
                <w:bCs w:val="0"/>
                <w:color w:val="auto"/>
                <w:kern w:val="0"/>
                <w:sz w:val="21"/>
                <w:szCs w:val="21"/>
                <w:highlight w:val="none"/>
                <w:lang w:eastAsia="zh-CN"/>
              </w:rPr>
              <w:t>技术</w:t>
            </w:r>
            <w:r>
              <w:rPr>
                <w:rFonts w:hint="eastAsia" w:ascii="宋体" w:hAnsi="宋体" w:cs="宋体"/>
                <w:b w:val="0"/>
                <w:bCs w:val="0"/>
                <w:color w:val="auto"/>
                <w:kern w:val="0"/>
                <w:sz w:val="21"/>
                <w:szCs w:val="21"/>
                <w:highlight w:val="none"/>
                <w:lang w:eastAsia="zh-CN"/>
              </w:rPr>
              <w:t>要求</w:t>
            </w:r>
            <w:r>
              <w:rPr>
                <w:rFonts w:hint="eastAsia" w:ascii="宋体" w:hAnsi="宋体" w:cs="宋体"/>
                <w:b w:val="0"/>
                <w:bCs w:val="0"/>
                <w:color w:val="auto"/>
                <w:kern w:val="0"/>
                <w:sz w:val="21"/>
                <w:szCs w:val="21"/>
                <w:highlight w:val="none"/>
                <w:lang w:val="en-US" w:eastAsia="zh-CN"/>
              </w:rPr>
              <w:t>的响应</w:t>
            </w:r>
            <w:r>
              <w:rPr>
                <w:rFonts w:hint="eastAsia" w:ascii="宋体" w:hAnsi="宋体" w:eastAsia="宋体" w:cs="宋体"/>
                <w:b w:val="0"/>
                <w:bCs w:val="0"/>
                <w:color w:val="auto"/>
                <w:kern w:val="0"/>
                <w:sz w:val="21"/>
                <w:szCs w:val="21"/>
                <w:highlight w:val="none"/>
                <w:lang w:eastAsia="zh-CN"/>
              </w:rPr>
              <w:t>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包含但不限于以下内容：公司情况介绍、在售产品彩页（价格清单）、配送人员情况、应急措施、产品质保以及</w:t>
            </w:r>
            <w:r>
              <w:rPr>
                <w:rFonts w:hint="eastAsia" w:ascii="宋体" w:hAnsi="宋体" w:cs="宋体"/>
                <w:b w:val="0"/>
                <w:bCs w:val="0"/>
                <w:color w:val="auto"/>
                <w:sz w:val="21"/>
                <w:szCs w:val="21"/>
                <w:highlight w:val="none"/>
                <w:lang w:eastAsia="zh-CN"/>
              </w:rPr>
              <w:t>供应商</w:t>
            </w:r>
            <w:r>
              <w:rPr>
                <w:rFonts w:hint="eastAsia" w:ascii="宋体" w:hAnsi="宋体" w:eastAsia="宋体" w:cs="宋体"/>
                <w:b w:val="0"/>
                <w:bCs w:val="0"/>
                <w:color w:val="auto"/>
                <w:sz w:val="21"/>
                <w:szCs w:val="21"/>
                <w:highlight w:val="none"/>
              </w:rPr>
              <w:t>认为需要提供的其他材料</w:t>
            </w:r>
            <w:r>
              <w:rPr>
                <w:rFonts w:hint="eastAsia" w:ascii="宋体" w:hAnsi="宋体" w:cs="宋体"/>
                <w:b w:val="0"/>
                <w:bCs w:val="0"/>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商务</w:t>
            </w:r>
            <w:r>
              <w:rPr>
                <w:rFonts w:hint="eastAsia" w:ascii="宋体" w:hAnsi="宋体" w:eastAsia="宋体" w:cs="宋体"/>
                <w:b w:val="0"/>
                <w:bCs w:val="0"/>
                <w:color w:val="auto"/>
                <w:sz w:val="21"/>
                <w:szCs w:val="21"/>
                <w:highlight w:val="none"/>
              </w:rPr>
              <w:t>部分（</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0分）</w:t>
            </w:r>
          </w:p>
        </w:tc>
        <w:tc>
          <w:tcPr>
            <w:tcW w:w="2140" w:type="dxa"/>
            <w:tcBorders>
              <w:top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证书、资信等级、类似业绩、质保期及其他优惠承诺等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提供相关有效证件等资料的复印件。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售后服务</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(20分)</w:t>
            </w:r>
          </w:p>
        </w:tc>
        <w:tc>
          <w:tcPr>
            <w:tcW w:w="2140" w:type="dxa"/>
            <w:noWrap w:val="0"/>
            <w:vAlign w:val="center"/>
          </w:tcPr>
          <w:p>
            <w:pPr>
              <w:pStyle w:val="51"/>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kern w:val="2"/>
                <w:sz w:val="21"/>
                <w:szCs w:val="21"/>
                <w:highlight w:val="none"/>
                <w:lang w:val="en-US" w:eastAsia="zh-CN"/>
              </w:rPr>
            </w:pPr>
            <w:r>
              <w:rPr>
                <w:rFonts w:hint="eastAsia" w:ascii="宋体" w:hAnsi="宋体" w:eastAsia="宋体" w:cs="宋体"/>
                <w:b w:val="0"/>
                <w:bCs w:val="0"/>
                <w:color w:val="auto"/>
                <w:kern w:val="2"/>
                <w:sz w:val="21"/>
                <w:szCs w:val="21"/>
                <w:highlight w:val="none"/>
                <w:lang w:val="en-US" w:eastAsia="zh-CN"/>
              </w:rPr>
              <w:t>服务站点、服务响应及时性、售后服务方案等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宋体" w:hAnsi="宋体" w:eastAsia="宋体" w:cs="宋体"/>
                <w:b w:val="0"/>
                <w:bCs w:val="0"/>
                <w:color w:val="auto"/>
                <w:kern w:val="2"/>
                <w:sz w:val="21"/>
                <w:szCs w:val="21"/>
                <w:highlight w:val="none"/>
              </w:rPr>
            </w:pPr>
            <w:r>
              <w:rPr>
                <w:rFonts w:hint="eastAsia" w:ascii="宋体" w:hAnsi="宋体" w:cs="宋体"/>
                <w:b w:val="0"/>
                <w:bCs w:val="0"/>
                <w:color w:val="auto"/>
                <w:kern w:val="0"/>
                <w:sz w:val="21"/>
                <w:szCs w:val="21"/>
                <w:highlight w:val="none"/>
                <w:lang w:val="en-US" w:eastAsia="zh-CN"/>
              </w:rPr>
              <w:t>根据</w:t>
            </w:r>
            <w:r>
              <w:rPr>
                <w:rFonts w:hint="eastAsia" w:ascii="宋体" w:hAnsi="宋体" w:eastAsia="宋体" w:cs="宋体"/>
                <w:b w:val="0"/>
                <w:bCs w:val="0"/>
                <w:color w:val="auto"/>
                <w:kern w:val="0"/>
                <w:sz w:val="21"/>
                <w:szCs w:val="21"/>
                <w:highlight w:val="none"/>
                <w:lang w:val="en-US" w:eastAsia="zh-CN"/>
              </w:rPr>
              <w:t>投标人在投标文件中所投产品的售后服务站设立情况（配备有专业售后服务人员，提供售后服务人员名单和售后服务地址、电话）</w:t>
            </w:r>
            <w:r>
              <w:rPr>
                <w:rFonts w:hint="eastAsia" w:ascii="宋体" w:hAnsi="宋体" w:cs="宋体"/>
                <w:b w:val="0"/>
                <w:bCs w:val="0"/>
                <w:color w:val="auto"/>
                <w:kern w:val="0"/>
                <w:sz w:val="21"/>
                <w:szCs w:val="21"/>
                <w:highlight w:val="none"/>
                <w:lang w:val="en-US" w:eastAsia="zh-CN"/>
              </w:rPr>
              <w:t>、</w:t>
            </w:r>
            <w:r>
              <w:rPr>
                <w:rFonts w:hint="eastAsia" w:ascii="宋体" w:hAnsi="宋体" w:eastAsia="宋体" w:cs="宋体"/>
                <w:b w:val="0"/>
                <w:bCs w:val="0"/>
                <w:color w:val="auto"/>
                <w:kern w:val="2"/>
                <w:sz w:val="21"/>
                <w:szCs w:val="21"/>
                <w:highlight w:val="none"/>
              </w:rPr>
              <w:t>售后服务及时率、服务到位程度及针对本项目的售后服务方案及相应的安全质量保障措施等内容</w:t>
            </w:r>
            <w:r>
              <w:rPr>
                <w:rFonts w:hint="eastAsia" w:ascii="宋体" w:hAnsi="宋体" w:cs="宋体"/>
                <w:b w:val="0"/>
                <w:bCs w:val="0"/>
                <w:color w:val="auto"/>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9" w:type="dxa"/>
            <w:noWrap w:val="0"/>
            <w:vAlign w:val="top"/>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得分的计算</w:t>
            </w:r>
          </w:p>
        </w:tc>
        <w:tc>
          <w:tcPr>
            <w:tcW w:w="8243" w:type="dxa"/>
            <w:gridSpan w:val="2"/>
            <w:noWrap w:val="0"/>
            <w:vAlign w:val="center"/>
          </w:tcPr>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评标委员会成员评分=各项评分因素的汇总得分。</w:t>
            </w:r>
          </w:p>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评标总得分=评标委员会所有成员合计评分/评标委员会组成人员数。</w:t>
            </w:r>
          </w:p>
        </w:tc>
      </w:tr>
    </w:tbl>
    <w:p>
      <w:pPr>
        <w:spacing w:line="500" w:lineRule="exact"/>
        <w:ind w:firstLine="420" w:firstLineChars="200"/>
        <w:rPr>
          <w:rFonts w:ascii="宋体" w:hAnsi="宋体" w:cs="宋体"/>
          <w:color w:val="auto"/>
          <w:kern w:val="0"/>
          <w:szCs w:val="21"/>
          <w:highlight w:val="none"/>
        </w:rPr>
      </w:pPr>
    </w:p>
    <w:p>
      <w:pPr>
        <w:rPr>
          <w:b/>
          <w:color w:val="auto"/>
          <w:highlight w:val="none"/>
        </w:rPr>
      </w:pPr>
      <w:r>
        <w:rPr>
          <w:rFonts w:hint="eastAsia"/>
          <w:b/>
          <w:color w:val="auto"/>
          <w:highlight w:val="none"/>
        </w:rPr>
        <w:br w:type="page"/>
      </w:r>
    </w:p>
    <w:bookmarkEnd w:id="44"/>
    <w:p>
      <w:pPr>
        <w:rPr>
          <w:color w:val="auto"/>
          <w:highlight w:val="none"/>
        </w:rPr>
      </w:pPr>
      <w:bookmarkStart w:id="46" w:name="_Toc1947"/>
      <w:bookmarkStart w:id="47" w:name="_Toc1482"/>
      <w:bookmarkStart w:id="48" w:name="_Toc326786897"/>
      <w:bookmarkStart w:id="49" w:name="_Toc256519703"/>
    </w:p>
    <w:p>
      <w:pPr>
        <w:pStyle w:val="3"/>
        <w:snapToGrid w:val="0"/>
        <w:spacing w:before="0" w:after="0" w:line="480" w:lineRule="auto"/>
        <w:jc w:val="center"/>
        <w:rPr>
          <w:color w:val="auto"/>
          <w:sz w:val="28"/>
          <w:szCs w:val="28"/>
          <w:highlight w:val="yellow"/>
        </w:rPr>
      </w:pPr>
      <w:bookmarkStart w:id="50" w:name="_Toc28988"/>
      <w:r>
        <w:rPr>
          <w:rFonts w:hint="eastAsia"/>
          <w:color w:val="auto"/>
          <w:sz w:val="28"/>
          <w:szCs w:val="28"/>
          <w:highlight w:val="none"/>
        </w:rPr>
        <w:t>第五章  采购合同</w:t>
      </w:r>
      <w:bookmarkEnd w:id="50"/>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olor w:val="auto"/>
          <w:sz w:val="21"/>
          <w:szCs w:val="21"/>
          <w:lang w:eastAsia="zh-CN"/>
        </w:rPr>
      </w:pPr>
      <w:r>
        <w:rPr>
          <w:rFonts w:hint="eastAsia" w:ascii="宋体" w:hAnsi="宋体"/>
          <w:color w:val="auto"/>
          <w:sz w:val="21"/>
          <w:szCs w:val="21"/>
          <w:lang w:eastAsia="zh-CN"/>
        </w:rPr>
        <w:t>（</w:t>
      </w:r>
      <w:r>
        <w:rPr>
          <w:rFonts w:hint="eastAsia" w:ascii="宋体" w:hAnsi="宋体"/>
          <w:color w:val="auto"/>
          <w:sz w:val="21"/>
          <w:szCs w:val="21"/>
          <w:lang w:val="en-US" w:eastAsia="zh-CN"/>
        </w:rPr>
        <w:t>以实际合同为准</w:t>
      </w:r>
      <w:r>
        <w:rPr>
          <w:rFonts w:hint="eastAsia" w:ascii="宋体" w:hAnsi="宋体"/>
          <w:color w:val="auto"/>
          <w:sz w:val="21"/>
          <w:szCs w:val="21"/>
          <w:lang w:eastAsia="zh-CN"/>
        </w:rPr>
        <w:t>）</w:t>
      </w:r>
    </w:p>
    <w:p>
      <w:pPr>
        <w:rPr>
          <w:color w:val="auto"/>
          <w:sz w:val="32"/>
          <w:szCs w:val="32"/>
          <w:highlight w:val="none"/>
        </w:rPr>
      </w:pPr>
    </w:p>
    <w:p>
      <w:pPr>
        <w:rPr>
          <w:color w:val="auto"/>
          <w:highlight w:val="none"/>
        </w:rPr>
      </w:pPr>
      <w:r>
        <w:rPr>
          <w:color w:val="auto"/>
          <w:highlight w:val="none"/>
        </w:rPr>
        <w:br w:type="page"/>
      </w:r>
    </w:p>
    <w:p>
      <w:pPr>
        <w:pStyle w:val="31"/>
        <w:rPr>
          <w:color w:val="auto"/>
        </w:rPr>
      </w:pPr>
    </w:p>
    <w:p>
      <w:pPr>
        <w:pStyle w:val="3"/>
        <w:jc w:val="center"/>
        <w:rPr>
          <w:rFonts w:ascii="宋体" w:hAnsi="宋体" w:cs="宋体"/>
          <w:color w:val="auto"/>
          <w:kern w:val="0"/>
          <w:highlight w:val="none"/>
        </w:rPr>
      </w:pPr>
      <w:bookmarkStart w:id="51" w:name="_Toc2638"/>
      <w:r>
        <w:rPr>
          <w:rFonts w:hint="eastAsia"/>
          <w:color w:val="auto"/>
          <w:sz w:val="32"/>
          <w:szCs w:val="32"/>
          <w:highlight w:val="none"/>
        </w:rPr>
        <w:t>第六章  投标文件格式</w:t>
      </w:r>
      <w:bookmarkEnd w:id="46"/>
      <w:bookmarkEnd w:id="47"/>
      <w:bookmarkEnd w:id="51"/>
    </w:p>
    <w:p>
      <w:pPr>
        <w:spacing w:line="440" w:lineRule="exact"/>
        <w:rPr>
          <w:color w:val="auto"/>
          <w:sz w:val="24"/>
          <w:highlight w:val="none"/>
        </w:rPr>
      </w:pPr>
    </w:p>
    <w:p>
      <w:pPr>
        <w:jc w:val="center"/>
        <w:rPr>
          <w:b/>
          <w:bCs/>
          <w:color w:val="auto"/>
          <w:sz w:val="32"/>
          <w:szCs w:val="32"/>
          <w:highlight w:val="none"/>
        </w:rPr>
      </w:pPr>
      <w:bookmarkStart w:id="52" w:name="_Toc13604"/>
      <w:r>
        <w:rPr>
          <w:rFonts w:hint="eastAsia"/>
          <w:b/>
          <w:bCs/>
          <w:color w:val="auto"/>
          <w:sz w:val="32"/>
          <w:szCs w:val="32"/>
          <w:highlight w:val="none"/>
        </w:rPr>
        <w:t>目    录</w:t>
      </w:r>
      <w:bookmarkEnd w:id="52"/>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53" w:name="_Toc11308"/>
      <w:r>
        <w:rPr>
          <w:rFonts w:hint="eastAsia"/>
          <w:color w:val="auto"/>
          <w:sz w:val="24"/>
          <w:highlight w:val="none"/>
        </w:rPr>
        <w:t>附件1投标文件封面（格式）</w:t>
      </w:r>
      <w:bookmarkEnd w:id="53"/>
    </w:p>
    <w:p>
      <w:pPr>
        <w:snapToGrid w:val="0"/>
        <w:spacing w:line="360" w:lineRule="auto"/>
        <w:ind w:firstLine="480" w:firstLineChars="200"/>
        <w:rPr>
          <w:color w:val="auto"/>
          <w:sz w:val="24"/>
          <w:highlight w:val="none"/>
        </w:rPr>
      </w:pPr>
      <w:bookmarkStart w:id="54" w:name="_Toc25345"/>
      <w:r>
        <w:rPr>
          <w:rFonts w:hint="eastAsia"/>
          <w:color w:val="auto"/>
          <w:sz w:val="24"/>
          <w:highlight w:val="none"/>
        </w:rPr>
        <w:t>附件2 投标书（格式）</w:t>
      </w:r>
      <w:bookmarkEnd w:id="54"/>
    </w:p>
    <w:p>
      <w:pPr>
        <w:snapToGrid w:val="0"/>
        <w:spacing w:line="360" w:lineRule="auto"/>
        <w:ind w:firstLine="480" w:firstLineChars="200"/>
        <w:rPr>
          <w:color w:val="auto"/>
          <w:sz w:val="24"/>
          <w:highlight w:val="none"/>
        </w:rPr>
      </w:pPr>
      <w:bookmarkStart w:id="55" w:name="_Toc10217"/>
      <w:r>
        <w:rPr>
          <w:rFonts w:hint="eastAsia"/>
          <w:color w:val="auto"/>
          <w:sz w:val="24"/>
          <w:highlight w:val="none"/>
        </w:rPr>
        <w:t>附件3 开标一览表（格式）</w:t>
      </w:r>
      <w:bookmarkEnd w:id="55"/>
    </w:p>
    <w:p>
      <w:pPr>
        <w:snapToGrid w:val="0"/>
        <w:spacing w:line="360" w:lineRule="auto"/>
        <w:ind w:firstLine="480" w:firstLineChars="200"/>
        <w:rPr>
          <w:color w:val="auto"/>
          <w:sz w:val="24"/>
          <w:highlight w:val="none"/>
        </w:rPr>
      </w:pPr>
      <w:bookmarkStart w:id="56" w:name="_Toc9579"/>
      <w:r>
        <w:rPr>
          <w:rFonts w:hint="eastAsia"/>
          <w:color w:val="auto"/>
          <w:sz w:val="24"/>
          <w:highlight w:val="none"/>
        </w:rPr>
        <w:t>附件4 投标报价明细表（格式）</w:t>
      </w:r>
      <w:bookmarkEnd w:id="56"/>
    </w:p>
    <w:p>
      <w:pPr>
        <w:snapToGrid w:val="0"/>
        <w:spacing w:line="360" w:lineRule="auto"/>
        <w:ind w:firstLine="480" w:firstLineChars="200"/>
        <w:rPr>
          <w:color w:val="auto"/>
          <w:sz w:val="24"/>
          <w:highlight w:val="none"/>
        </w:rPr>
      </w:pPr>
      <w:bookmarkStart w:id="57" w:name="_Toc28392"/>
      <w:r>
        <w:rPr>
          <w:rFonts w:hint="eastAsia"/>
          <w:color w:val="auto"/>
          <w:sz w:val="24"/>
          <w:highlight w:val="none"/>
        </w:rPr>
        <w:t>附件5技术响应表（格式）</w:t>
      </w:r>
      <w:bookmarkEnd w:id="57"/>
    </w:p>
    <w:p>
      <w:pPr>
        <w:snapToGrid w:val="0"/>
        <w:spacing w:line="360" w:lineRule="auto"/>
        <w:ind w:firstLine="480" w:firstLineChars="200"/>
        <w:rPr>
          <w:color w:val="auto"/>
          <w:sz w:val="24"/>
          <w:highlight w:val="none"/>
        </w:rPr>
      </w:pPr>
      <w:bookmarkStart w:id="58" w:name="_Toc6234"/>
      <w:r>
        <w:rPr>
          <w:rFonts w:hint="eastAsia"/>
          <w:color w:val="auto"/>
          <w:sz w:val="24"/>
          <w:highlight w:val="none"/>
        </w:rPr>
        <w:t>附件6 商务响应表（格式）</w:t>
      </w:r>
      <w:bookmarkEnd w:id="58"/>
    </w:p>
    <w:p>
      <w:pPr>
        <w:snapToGrid w:val="0"/>
        <w:spacing w:line="360" w:lineRule="auto"/>
        <w:ind w:firstLine="480" w:firstLineChars="200"/>
        <w:rPr>
          <w:color w:val="auto"/>
          <w:sz w:val="24"/>
          <w:highlight w:val="none"/>
        </w:rPr>
      </w:pPr>
      <w:bookmarkStart w:id="59" w:name="_Toc26231"/>
      <w:r>
        <w:rPr>
          <w:rFonts w:hint="eastAsia"/>
          <w:color w:val="auto"/>
          <w:sz w:val="24"/>
          <w:highlight w:val="none"/>
        </w:rPr>
        <w:t>附件7</w:t>
      </w:r>
      <w:r>
        <w:rPr>
          <w:rFonts w:hint="eastAsia"/>
          <w:color w:val="auto"/>
          <w:sz w:val="24"/>
          <w:highlight w:val="none"/>
          <w:lang w:val="en-US" w:eastAsia="zh-CN"/>
        </w:rPr>
        <w:t xml:space="preserve"> </w:t>
      </w:r>
      <w:r>
        <w:rPr>
          <w:rFonts w:hint="eastAsia"/>
          <w:color w:val="auto"/>
          <w:sz w:val="24"/>
          <w:highlight w:val="none"/>
        </w:rPr>
        <w:t>法定代表人身份证明（格式）</w:t>
      </w:r>
      <w:bookmarkEnd w:id="59"/>
    </w:p>
    <w:p>
      <w:pPr>
        <w:snapToGrid w:val="0"/>
        <w:spacing w:line="360" w:lineRule="auto"/>
        <w:ind w:firstLine="480" w:firstLineChars="200"/>
        <w:rPr>
          <w:color w:val="auto"/>
          <w:sz w:val="24"/>
          <w:highlight w:val="none"/>
        </w:rPr>
      </w:pPr>
      <w:bookmarkStart w:id="60" w:name="_Toc18484"/>
      <w:r>
        <w:rPr>
          <w:rFonts w:hint="eastAsia"/>
          <w:color w:val="auto"/>
          <w:sz w:val="24"/>
          <w:highlight w:val="none"/>
        </w:rPr>
        <w:t>附件8</w:t>
      </w:r>
      <w:r>
        <w:rPr>
          <w:rFonts w:hint="eastAsia"/>
          <w:color w:val="auto"/>
          <w:sz w:val="24"/>
          <w:highlight w:val="none"/>
          <w:lang w:val="en-US" w:eastAsia="zh-CN"/>
        </w:rPr>
        <w:t xml:space="preserve"> </w:t>
      </w:r>
      <w:r>
        <w:rPr>
          <w:rFonts w:hint="eastAsia"/>
          <w:color w:val="auto"/>
          <w:sz w:val="24"/>
          <w:highlight w:val="none"/>
        </w:rPr>
        <w:t>法定代表人授权书（格式）</w:t>
      </w:r>
      <w:bookmarkEnd w:id="60"/>
    </w:p>
    <w:p>
      <w:pPr>
        <w:snapToGrid w:val="0"/>
        <w:spacing w:line="360" w:lineRule="auto"/>
        <w:ind w:firstLine="480" w:firstLineChars="200"/>
        <w:rPr>
          <w:color w:val="auto"/>
          <w:sz w:val="24"/>
          <w:highlight w:val="none"/>
        </w:rPr>
      </w:pPr>
      <w:bookmarkStart w:id="61" w:name="_Toc31857"/>
      <w:r>
        <w:rPr>
          <w:rFonts w:hint="eastAsia"/>
          <w:color w:val="auto"/>
          <w:sz w:val="24"/>
          <w:highlight w:val="none"/>
        </w:rPr>
        <w:t>附件9 证明文件</w:t>
      </w:r>
      <w:bookmarkEnd w:id="61"/>
    </w:p>
    <w:p>
      <w:pPr>
        <w:snapToGrid w:val="0"/>
        <w:spacing w:line="360" w:lineRule="auto"/>
        <w:ind w:firstLine="480" w:firstLineChars="200"/>
        <w:rPr>
          <w:rFonts w:hint="eastAsia"/>
          <w:color w:val="auto"/>
          <w:sz w:val="24"/>
          <w:highlight w:val="none"/>
        </w:rPr>
      </w:pPr>
      <w:bookmarkStart w:id="62" w:name="_Toc23116"/>
      <w:r>
        <w:rPr>
          <w:rFonts w:hint="eastAsia"/>
          <w:color w:val="auto"/>
          <w:sz w:val="24"/>
          <w:highlight w:val="none"/>
        </w:rPr>
        <w:t>附件10 供应商承诺书（格式）</w:t>
      </w:r>
      <w:bookmarkEnd w:id="62"/>
    </w:p>
    <w:p>
      <w:pPr>
        <w:snapToGrid w:val="0"/>
        <w:spacing w:line="360" w:lineRule="auto"/>
        <w:ind w:firstLine="480" w:firstLineChars="200"/>
        <w:rPr>
          <w:rFonts w:hint="eastAsia" w:eastAsia="宋体"/>
          <w:color w:val="auto"/>
          <w:sz w:val="24"/>
          <w:highlight w:val="none"/>
          <w:lang w:val="en-US" w:eastAsia="zh-CN"/>
        </w:rPr>
      </w:pPr>
      <w:r>
        <w:rPr>
          <w:rFonts w:hint="eastAsia" w:eastAsia="宋体"/>
          <w:color w:val="auto"/>
          <w:sz w:val="24"/>
          <w:highlight w:val="none"/>
          <w:lang w:val="en-US" w:eastAsia="zh-CN"/>
        </w:rPr>
        <w:t>附件11 供应商信用承诺函（格式）</w:t>
      </w:r>
    </w:p>
    <w:p>
      <w:pPr>
        <w:pStyle w:val="31"/>
        <w:rPr>
          <w:rFonts w:hint="eastAsia"/>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12"/>
        <w:rPr>
          <w:rFonts w:ascii="宋体" w:hAnsi="宋体" w:cs="宋体"/>
          <w:b/>
          <w:bCs/>
          <w:color w:val="auto"/>
          <w:kern w:val="0"/>
          <w:sz w:val="24"/>
          <w:highlight w:val="none"/>
        </w:rPr>
      </w:pPr>
    </w:p>
    <w:p>
      <w:pPr>
        <w:pStyle w:val="51"/>
        <w:rPr>
          <w:rFonts w:hAnsi="宋体"/>
          <w:b/>
          <w:bCs/>
          <w:color w:val="auto"/>
          <w:highlight w:val="none"/>
        </w:rPr>
      </w:pPr>
    </w:p>
    <w:p>
      <w:pPr>
        <w:pStyle w:val="51"/>
        <w:rPr>
          <w:rFonts w:hAnsi="宋体"/>
          <w:b/>
          <w:bCs/>
          <w:color w:val="auto"/>
          <w:highlight w:val="none"/>
        </w:rPr>
      </w:pPr>
    </w:p>
    <w:p>
      <w:pPr>
        <w:rPr>
          <w:color w:val="auto"/>
          <w:highlight w:val="none"/>
        </w:rPr>
      </w:pPr>
      <w:r>
        <w:rPr>
          <w:rFonts w:hint="eastAsia"/>
          <w:color w:val="auto"/>
          <w:highlight w:val="none"/>
        </w:rPr>
        <w:br w:type="page"/>
      </w:r>
    </w:p>
    <w:p>
      <w:pPr>
        <w:pStyle w:val="13"/>
        <w:rPr>
          <w:color w:val="auto"/>
          <w:highlight w:val="none"/>
        </w:rPr>
      </w:pPr>
    </w:p>
    <w:p>
      <w:pPr>
        <w:pStyle w:val="4"/>
        <w:rPr>
          <w:color w:val="auto"/>
          <w:highlight w:val="none"/>
        </w:rPr>
      </w:pPr>
      <w:bookmarkStart w:id="63" w:name="_Toc24743"/>
      <w:bookmarkStart w:id="64" w:name="_Toc31798"/>
      <w:r>
        <w:rPr>
          <w:rFonts w:hint="eastAsia"/>
          <w:color w:val="auto"/>
          <w:highlight w:val="none"/>
        </w:rPr>
        <w:t>附件1               投标文件封面（格式）</w:t>
      </w:r>
      <w:bookmarkEnd w:id="63"/>
      <w:bookmarkEnd w:id="64"/>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default" w:ascii="宋体" w:hAnsi="宋体" w:eastAsia="宋体" w:cs="宋体"/>
          <w:b/>
          <w:color w:val="auto"/>
          <w:spacing w:val="90"/>
          <w:sz w:val="52"/>
          <w:szCs w:val="52"/>
          <w:highlight w:val="none"/>
          <w:u w:val="single"/>
          <w:lang w:val="en-US" w:eastAsia="zh-CN"/>
        </w:rPr>
      </w:pPr>
      <w:r>
        <w:rPr>
          <w:rFonts w:hint="eastAsia" w:ascii="宋体" w:hAnsi="宋体" w:eastAsia="宋体" w:cs="宋体"/>
          <w:b/>
          <w:snapToGrid w:val="0"/>
          <w:color w:val="auto"/>
          <w:spacing w:val="0"/>
          <w:kern w:val="0"/>
          <w:sz w:val="44"/>
          <w:szCs w:val="44"/>
          <w:highlight w:val="none"/>
          <w:u w:val="none"/>
          <w:lang w:val="en-US" w:eastAsia="zh-CN"/>
        </w:rPr>
        <w:t>驻马店中心医院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51"/>
        <w:spacing w:line="360" w:lineRule="auto"/>
        <w:rPr>
          <w:rFonts w:hint="eastAsia" w:ascii="宋体" w:hAnsi="宋体" w:eastAsia="宋体" w:cs="宋体"/>
          <w:color w:val="auto"/>
          <w:highlight w:val="none"/>
        </w:rPr>
      </w:pPr>
    </w:p>
    <w:p>
      <w:pPr>
        <w:pStyle w:val="51"/>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12"/>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4"/>
        <w:rPr>
          <w:color w:val="auto"/>
          <w:highlight w:val="none"/>
        </w:rPr>
      </w:pPr>
      <w:bookmarkStart w:id="65" w:name="_Toc8818"/>
      <w:bookmarkStart w:id="66" w:name="_Toc14560"/>
      <w:r>
        <w:rPr>
          <w:rFonts w:hint="eastAsia"/>
          <w:color w:val="auto"/>
          <w:highlight w:val="none"/>
        </w:rPr>
        <w:t>附件2               投  标  书（格式）</w:t>
      </w:r>
      <w:bookmarkEnd w:id="65"/>
      <w:bookmarkEnd w:id="66"/>
    </w:p>
    <w:p>
      <w:pPr>
        <w:widowControl/>
        <w:wordWrap w:val="0"/>
        <w:snapToGrid w:val="0"/>
        <w:spacing w:line="4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采购人</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w:t>
      </w:r>
    </w:p>
    <w:p>
      <w:pPr>
        <w:widowControl/>
        <w:wordWrap w:val="0"/>
        <w:spacing w:line="46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（投标人名称）</w:t>
      </w:r>
      <w:r>
        <w:rPr>
          <w:rFonts w:hint="eastAsia" w:ascii="宋体" w:hAnsi="宋体" w:cs="宋体"/>
          <w:color w:val="auto"/>
          <w:kern w:val="0"/>
          <w:szCs w:val="21"/>
          <w:highlight w:val="none"/>
        </w:rPr>
        <w:t xml:space="preserve">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（姓名）为我方代理人，参加贵方组织的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项目的投标。现正式提交下述文件1份：</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1、开标一览表。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2、投标报价明细表。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4、技术响应表。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4、商务响应表。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5、证明文件。</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1、我方承诺已经具备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文件中规定的参加政府采购活动的投标人应当具备的条件。我方愿意向贵方提供任何与本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4、我方已详细审查全部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文件，包括修改文件（如有的话）和有关附件，将自行承担因对全部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5、我方保证尊重评标委员会的评标结果，完全理解本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项目最低投标价不作为中标的保证。</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6、我方理解并遵守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文件的全部规定，接受</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7、如果我方代表</w:t>
      </w:r>
      <w:r>
        <w:rPr>
          <w:rFonts w:hint="eastAsia" w:ascii="宋体" w:hAnsi="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8、如果我方存在投标人须知第9.3项所述情况，同意被认定为在经营活动中有重大违法记录。</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9、如果发生投标人须知第2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10、如果发生投标人须知第2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.5项所述情况，同意评标委员会认定我方的行为属于串通投标的行为，并自愿接受监管部门的处罚。</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11、如果现场变更采购方式，我方同意在不改变</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12、如果被确定为中标供应商，我方同意按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文件的规定领取中标通知书并缴纳服务费。否则，视为我方中标后自动放弃中标资格，承担由此引起的一切后果。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13、如果被确定为中标供应商，我方同意在领取中标通知书之日起日内，按照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14、我方最近3年内的被公开披露或查处的违法违规行为有：</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地址：  邮编：</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电话：  传真： </w:t>
      </w:r>
    </w:p>
    <w:p>
      <w:pPr>
        <w:widowControl/>
        <w:wordWrap w:val="0"/>
        <w:spacing w:line="460" w:lineRule="exact"/>
        <w:ind w:firstLine="420" w:firstLineChars="200"/>
        <w:jc w:val="left"/>
        <w:rPr>
          <w:rFonts w:ascii="宋体" w:hAnsi="宋体" w:cs="宋体"/>
          <w:color w:val="auto"/>
          <w:kern w:val="0"/>
          <w:szCs w:val="21"/>
          <w:highlight w:val="none"/>
        </w:rPr>
      </w:pPr>
    </w:p>
    <w:p>
      <w:pPr>
        <w:widowControl/>
        <w:wordWrap w:val="0"/>
        <w:spacing w:line="460" w:lineRule="exact"/>
        <w:ind w:firstLine="735" w:firstLineChars="35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投标人代表签字： </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投标人：（全称并加盖公章）</w:t>
      </w:r>
    </w:p>
    <w:p>
      <w:pPr>
        <w:widowControl/>
        <w:wordWrap w:val="0"/>
        <w:spacing w:line="460" w:lineRule="exact"/>
        <w:ind w:firstLine="420" w:firstLineChars="200"/>
        <w:jc w:val="left"/>
        <w:rPr>
          <w:rFonts w:ascii="宋体" w:hAnsi="宋体" w:cs="宋体"/>
          <w:color w:val="auto"/>
          <w:kern w:val="0"/>
          <w:szCs w:val="21"/>
          <w:highlight w:val="none"/>
        </w:rPr>
      </w:pPr>
    </w:p>
    <w:p>
      <w:pPr>
        <w:widowControl/>
        <w:snapToGrid w:val="0"/>
        <w:spacing w:line="460" w:lineRule="exact"/>
        <w:ind w:firstLine="3360" w:firstLineChars="1600"/>
        <w:rPr>
          <w:rFonts w:ascii="宋体" w:hAnsi="宋体" w:cs="宋体"/>
          <w:color w:val="auto"/>
          <w:kern w:val="0"/>
          <w:sz w:val="24"/>
          <w:highlight w:val="none"/>
        </w:rPr>
      </w:pPr>
      <w:r>
        <w:rPr>
          <w:rFonts w:hint="eastAsia" w:ascii="宋体" w:hAnsi="宋体" w:cs="宋体"/>
          <w:color w:val="auto"/>
          <w:kern w:val="0"/>
          <w:szCs w:val="21"/>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4"/>
        <w:spacing w:before="20" w:after="20"/>
        <w:rPr>
          <w:color w:val="auto"/>
          <w:highlight w:val="none"/>
        </w:rPr>
      </w:pPr>
      <w:bookmarkStart w:id="67" w:name="_Toc7838"/>
      <w:r>
        <w:rPr>
          <w:rFonts w:hint="eastAsia"/>
          <w:color w:val="auto"/>
          <w:highlight w:val="none"/>
        </w:rPr>
        <w:t>附件3               开标一览表</w:t>
      </w:r>
      <w:bookmarkEnd w:id="67"/>
    </w:p>
    <w:p>
      <w:pPr>
        <w:spacing w:line="239" w:lineRule="auto"/>
        <w:jc w:val="right"/>
        <w:rPr>
          <w:rFonts w:ascii="宋体" w:hAnsi="宋体"/>
          <w:color w:val="auto"/>
          <w:sz w:val="24"/>
          <w:highlight w:val="none"/>
        </w:rPr>
      </w:pPr>
      <w:r>
        <w:rPr>
          <w:rFonts w:ascii="宋体" w:hAnsi="宋体"/>
          <w:color w:val="auto"/>
          <w:sz w:val="24"/>
          <w:highlight w:val="none"/>
        </w:rPr>
        <w:t>单位：人民币元</w:t>
      </w:r>
    </w:p>
    <w:p>
      <w:pPr>
        <w:rPr>
          <w:color w:val="auto"/>
          <w:highlight w:val="none"/>
        </w:rPr>
      </w:pPr>
    </w:p>
    <w:tbl>
      <w:tblPr>
        <w:tblStyle w:val="33"/>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项目名称</w:t>
            </w:r>
          </w:p>
        </w:tc>
        <w:tc>
          <w:tcPr>
            <w:tcW w:w="7708" w:type="dxa"/>
            <w:noWrap/>
            <w:vAlign w:val="center"/>
          </w:tcPr>
          <w:p>
            <w:pP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投标人名称</w:t>
            </w:r>
          </w:p>
        </w:tc>
        <w:tc>
          <w:tcPr>
            <w:tcW w:w="7708" w:type="dxa"/>
            <w:noWrap/>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olor w:val="auto"/>
                <w:spacing w:val="-20"/>
                <w:szCs w:val="21"/>
                <w:highlight w:val="none"/>
                <w:lang w:eastAsia="zh-CN"/>
              </w:rPr>
            </w:pPr>
            <w:r>
              <w:rPr>
                <w:rFonts w:hint="eastAsia" w:ascii="宋体" w:hAnsi="宋体"/>
                <w:color w:val="auto"/>
                <w:szCs w:val="21"/>
                <w:highlight w:val="none"/>
              </w:rPr>
              <w:t>投标报价</w:t>
            </w:r>
            <w:r>
              <w:rPr>
                <w:rFonts w:hint="eastAsia" w:ascii="宋体" w:hAnsi="宋体"/>
                <w:color w:val="auto"/>
                <w:szCs w:val="21"/>
                <w:highlight w:val="none"/>
                <w:lang w:eastAsia="zh-CN"/>
              </w:rPr>
              <w:t>（元</w:t>
            </w:r>
            <w:r>
              <w:rPr>
                <w:rFonts w:hint="eastAsia" w:ascii="宋体" w:hAnsi="宋体"/>
                <w:color w:val="auto"/>
                <w:szCs w:val="21"/>
                <w:highlight w:val="none"/>
                <w:lang w:val="en-US" w:eastAsia="zh-CN"/>
              </w:rPr>
              <w:t>/人份</w:t>
            </w:r>
            <w:r>
              <w:rPr>
                <w:rFonts w:hint="eastAsia" w:ascii="宋体" w:hAnsi="宋体"/>
                <w:color w:val="auto"/>
                <w:szCs w:val="21"/>
                <w:highlight w:val="none"/>
                <w:lang w:eastAsia="zh-CN"/>
              </w:rPr>
              <w:t>）</w:t>
            </w:r>
          </w:p>
        </w:tc>
        <w:tc>
          <w:tcPr>
            <w:tcW w:w="7708" w:type="dxa"/>
            <w:noWrap/>
            <w:vAlign w:val="center"/>
          </w:tcPr>
          <w:p>
            <w:pP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 xml:space="preserve">大写：        </w:t>
            </w:r>
          </w:p>
          <w:p>
            <w:pP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小写：        元（详见报价明细表）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交货地点</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投标有效期</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质量标准</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备  注</w:t>
            </w:r>
          </w:p>
        </w:tc>
        <w:tc>
          <w:tcPr>
            <w:tcW w:w="7708" w:type="dxa"/>
            <w:noWrap/>
            <w:vAlign w:val="center"/>
          </w:tcPr>
          <w:p>
            <w:pPr>
              <w:pStyle w:val="20"/>
              <w:ind w:left="0" w:leftChars="0"/>
              <w:rPr>
                <w:color w:val="auto"/>
                <w:sz w:val="21"/>
                <w:szCs w:val="21"/>
                <w:highlight w:val="none"/>
              </w:rPr>
            </w:pPr>
          </w:p>
        </w:tc>
      </w:tr>
    </w:tbl>
    <w:p>
      <w:pPr>
        <w:rPr>
          <w:color w:val="auto"/>
          <w:highlight w:val="none"/>
        </w:rPr>
      </w:pP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 1、报价一经涂改，应在涂改处加盖单位公章或投标人代表签字或盖章，否则其投标作无效标处理。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2、以上报价应与“投标报价明细表”中的报价相一致。</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4、投标人按格式填列，不得自行更改。否则引起的不利后果由投标人承担。</w:t>
      </w:r>
    </w:p>
    <w:p>
      <w:pPr>
        <w:spacing w:line="360" w:lineRule="auto"/>
        <w:ind w:firstLine="480" w:firstLineChars="200"/>
        <w:rPr>
          <w:rFonts w:ascii="宋体" w:hAnsi="宋体" w:cs="宋体"/>
          <w:color w:val="auto"/>
          <w:kern w:val="0"/>
          <w:sz w:val="24"/>
          <w:highlight w:val="none"/>
        </w:rPr>
      </w:pPr>
    </w:p>
    <w:p>
      <w:pPr>
        <w:rPr>
          <w:color w:val="auto"/>
          <w:highlight w:val="none"/>
        </w:rPr>
      </w:pPr>
    </w:p>
    <w:p>
      <w:pPr>
        <w:rPr>
          <w:color w:val="auto"/>
          <w:highlight w:val="none"/>
        </w:rPr>
      </w:pPr>
    </w:p>
    <w:p>
      <w:pPr>
        <w:spacing w:line="360" w:lineRule="auto"/>
        <w:ind w:firstLine="420" w:firstLineChars="200"/>
        <w:jc w:val="center"/>
        <w:rPr>
          <w:rFonts w:ascii="宋体" w:hAnsi="宋体"/>
          <w:color w:val="auto"/>
          <w:szCs w:val="21"/>
          <w:highlight w:val="none"/>
        </w:rPr>
      </w:pPr>
      <w:bookmarkStart w:id="68" w:name="_Toc20877"/>
      <w:bookmarkStart w:id="69" w:name="_Toc11620"/>
      <w:r>
        <w:rPr>
          <w:rFonts w:hint="eastAsia" w:ascii="宋体" w:hAnsi="宋体"/>
          <w:color w:val="auto"/>
          <w:szCs w:val="21"/>
          <w:highlight w:val="none"/>
        </w:rPr>
        <w:t>投标人（全称并加盖公章）：</w:t>
      </w:r>
      <w:bookmarkEnd w:id="68"/>
      <w:bookmarkEnd w:id="69"/>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u w:val="single"/>
        </w:rPr>
      </w:pPr>
      <w:bookmarkStart w:id="70" w:name="_Toc12222"/>
      <w:bookmarkStart w:id="71" w:name="_Toc625"/>
      <w:r>
        <w:rPr>
          <w:rFonts w:hint="eastAsia" w:ascii="宋体" w:hAnsi="宋体"/>
          <w:color w:val="auto"/>
          <w:szCs w:val="21"/>
          <w:highlight w:val="none"/>
        </w:rPr>
        <w:t>法定代表人或其委托代理人（签字）：</w:t>
      </w:r>
      <w:bookmarkEnd w:id="70"/>
      <w:bookmarkEnd w:id="71"/>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rPr>
      </w:pPr>
      <w:bookmarkStart w:id="72" w:name="_Toc9950"/>
      <w:bookmarkStart w:id="73" w:name="_Toc1330"/>
      <w:r>
        <w:rPr>
          <w:rFonts w:hint="eastAsia" w:ascii="宋体" w:hAnsi="宋体"/>
          <w:color w:val="auto"/>
          <w:szCs w:val="21"/>
          <w:highlight w:val="none"/>
        </w:rPr>
        <w:t>年  月  日</w:t>
      </w:r>
      <w:bookmarkEnd w:id="72"/>
      <w:bookmarkEnd w:id="73"/>
    </w:p>
    <w:p>
      <w:pPr>
        <w:rPr>
          <w:color w:val="auto"/>
          <w:highlight w:val="none"/>
        </w:rPr>
      </w:pPr>
      <w:r>
        <w:rPr>
          <w:color w:val="auto"/>
          <w:highlight w:val="none"/>
        </w:rPr>
        <w:br w:type="page"/>
      </w:r>
    </w:p>
    <w:p>
      <w:pPr>
        <w:rPr>
          <w:color w:val="auto"/>
          <w:highlight w:val="none"/>
        </w:rPr>
      </w:pPr>
    </w:p>
    <w:bookmarkEnd w:id="48"/>
    <w:bookmarkEnd w:id="49"/>
    <w:p>
      <w:pPr>
        <w:pStyle w:val="4"/>
        <w:spacing w:before="20" w:after="20"/>
        <w:rPr>
          <w:color w:val="auto"/>
          <w:highlight w:val="none"/>
        </w:rPr>
      </w:pPr>
      <w:bookmarkStart w:id="74" w:name="_Toc22004"/>
      <w:bookmarkStart w:id="75" w:name="_Toc24984"/>
      <w:r>
        <w:rPr>
          <w:rFonts w:hint="eastAsia"/>
          <w:color w:val="auto"/>
          <w:highlight w:val="none"/>
        </w:rPr>
        <w:t>附件4               报价明细表</w:t>
      </w:r>
      <w:bookmarkEnd w:id="74"/>
      <w:bookmarkEnd w:id="75"/>
    </w:p>
    <w:p>
      <w:pPr>
        <w:widowControl/>
        <w:wordWrap w:val="0"/>
        <w:snapToGrid w:val="0"/>
        <w:spacing w:before="50" w:after="50"/>
        <w:ind w:left="-3" w:leftChars="-72" w:right="-817" w:rightChars="-389" w:hanging="148" w:hangingChars="62"/>
        <w:jc w:val="left"/>
        <w:rPr>
          <w:rFonts w:ascii="宋体" w:hAnsi="宋体" w:cs="宋体"/>
          <w:color w:val="auto"/>
          <w:kern w:val="0"/>
          <w:sz w:val="24"/>
          <w:highlight w:val="none"/>
        </w:rPr>
      </w:pPr>
      <w:r>
        <w:rPr>
          <w:rFonts w:hint="eastAsia" w:cs="宋体"/>
          <w:color w:val="auto"/>
          <w:kern w:val="0"/>
          <w:sz w:val="24"/>
          <w:highlight w:val="none"/>
          <w:lang w:val="en-US" w:eastAsia="zh-CN"/>
        </w:rPr>
        <w:t xml:space="preserve">                               </w:t>
      </w:r>
      <w:r>
        <w:rPr>
          <w:rFonts w:hint="eastAsia" w:ascii="宋体" w:hAnsi="宋体" w:cs="宋体"/>
          <w:color w:val="auto"/>
          <w:kern w:val="0"/>
          <w:sz w:val="24"/>
          <w:highlight w:val="none"/>
        </w:rPr>
        <w:t xml:space="preserve">                       金额单位：人民币（元）</w:t>
      </w:r>
    </w:p>
    <w:tbl>
      <w:tblPr>
        <w:tblStyle w:val="33"/>
        <w:tblW w:w="830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2012"/>
        <w:gridCol w:w="1172"/>
        <w:gridCol w:w="1494"/>
        <w:gridCol w:w="1026"/>
        <w:gridCol w:w="1127"/>
        <w:gridCol w:w="9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jc w:val="center"/>
        </w:trPr>
        <w:tc>
          <w:tcPr>
            <w:tcW w:w="54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序号</w:t>
            </w:r>
          </w:p>
        </w:tc>
        <w:tc>
          <w:tcPr>
            <w:tcW w:w="2012" w:type="dxa"/>
            <w:tcBorders>
              <w:top w:val="single" w:color="auto" w:sz="4" w:space="0"/>
              <w:left w:val="single" w:color="auto" w:sz="4" w:space="0"/>
              <w:bottom w:val="nil"/>
              <w:right w:val="single" w:color="auto" w:sz="4" w:space="0"/>
            </w:tcBorders>
            <w:vAlign w:val="center"/>
          </w:tcPr>
          <w:p>
            <w:pPr>
              <w:widowControl/>
              <w:snapToGrid w:val="0"/>
              <w:spacing w:before="50" w:after="50"/>
              <w:jc w:val="center"/>
              <w:rPr>
                <w:rFonts w:ascii="宋体" w:hAnsi="宋体" w:cs="宋体"/>
                <w:color w:val="auto"/>
                <w:kern w:val="0"/>
                <w:sz w:val="24"/>
                <w:highlight w:val="none"/>
              </w:rPr>
            </w:pPr>
            <w:r>
              <w:rPr>
                <w:rFonts w:hint="eastAsia" w:ascii="宋体" w:hAnsi="宋体" w:cs="宋体"/>
                <w:color w:val="auto"/>
                <w:kern w:val="0"/>
                <w:sz w:val="24"/>
                <w:highlight w:val="none"/>
              </w:rPr>
              <w:t>货物名称</w:t>
            </w:r>
          </w:p>
        </w:tc>
        <w:tc>
          <w:tcPr>
            <w:tcW w:w="1172"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品牌</w:t>
            </w:r>
          </w:p>
        </w:tc>
        <w:tc>
          <w:tcPr>
            <w:tcW w:w="1494"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spacing w:val="20"/>
                <w:kern w:val="0"/>
                <w:sz w:val="24"/>
                <w:highlight w:val="none"/>
                <w:lang w:val="en-US" w:eastAsia="zh-CN"/>
              </w:rPr>
            </w:pPr>
            <w:r>
              <w:rPr>
                <w:rFonts w:hint="eastAsia" w:ascii="宋体" w:hAnsi="宋体" w:cs="宋体"/>
                <w:color w:val="auto"/>
                <w:kern w:val="0"/>
                <w:sz w:val="24"/>
                <w:highlight w:val="none"/>
              </w:rPr>
              <w:t>规格/</w:t>
            </w:r>
            <w:r>
              <w:rPr>
                <w:rFonts w:hint="eastAsia" w:ascii="宋体" w:hAnsi="宋体" w:cs="宋体"/>
                <w:color w:val="auto"/>
                <w:kern w:val="0"/>
                <w:sz w:val="24"/>
                <w:highlight w:val="none"/>
                <w:lang w:val="en-US" w:eastAsia="zh-CN"/>
              </w:rPr>
              <w:t>型号</w:t>
            </w:r>
          </w:p>
        </w:tc>
        <w:tc>
          <w:tcPr>
            <w:tcW w:w="102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单位</w:t>
            </w:r>
          </w:p>
        </w:tc>
        <w:tc>
          <w:tcPr>
            <w:tcW w:w="112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数量</w:t>
            </w:r>
          </w:p>
        </w:tc>
        <w:tc>
          <w:tcPr>
            <w:tcW w:w="93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51" w:hRule="atLeast"/>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spacing w:val="20"/>
                <w:kern w:val="0"/>
                <w:sz w:val="24"/>
                <w:highlight w:val="none"/>
              </w:rPr>
              <w:t xml:space="preserve">…… </w:t>
            </w: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371" w:type="dxa"/>
            <w:gridSpan w:val="6"/>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default" w:ascii="宋体" w:hAnsi="宋体" w:eastAsia="宋体" w:cs="宋体"/>
                <w:color w:val="auto"/>
                <w:spacing w:val="20"/>
                <w:kern w:val="0"/>
                <w:sz w:val="24"/>
                <w:highlight w:val="none"/>
                <w:lang w:val="en-US" w:eastAsia="zh-CN"/>
              </w:rPr>
            </w:pPr>
            <w:r>
              <w:rPr>
                <w:rFonts w:hint="eastAsia" w:ascii="宋体" w:hAnsi="宋体" w:cs="宋体"/>
                <w:color w:val="auto"/>
                <w:spacing w:val="20"/>
                <w:kern w:val="0"/>
                <w:sz w:val="24"/>
                <w:highlight w:val="none"/>
              </w:rPr>
              <w:t>投标总价</w:t>
            </w:r>
            <w:r>
              <w:rPr>
                <w:rFonts w:hint="eastAsia" w:ascii="宋体" w:hAnsi="宋体" w:cs="宋体"/>
                <w:color w:val="auto"/>
                <w:spacing w:val="20"/>
                <w:kern w:val="0"/>
                <w:sz w:val="24"/>
                <w:highlight w:val="none"/>
                <w:lang w:eastAsia="zh-CN"/>
              </w:rPr>
              <w:t>（人份）</w:t>
            </w:r>
            <w:r>
              <w:rPr>
                <w:rFonts w:hint="eastAsia" w:ascii="宋体" w:hAnsi="宋体" w:cs="宋体"/>
                <w:color w:val="auto"/>
                <w:spacing w:val="20"/>
                <w:kern w:val="0"/>
                <w:sz w:val="24"/>
                <w:highlight w:val="none"/>
              </w:rPr>
              <w:t>(</w:t>
            </w:r>
            <w:r>
              <w:rPr>
                <w:rFonts w:hint="eastAsia" w:ascii="宋体" w:hAnsi="宋体" w:cs="宋体"/>
                <w:color w:val="auto"/>
                <w:kern w:val="0"/>
                <w:sz w:val="24"/>
                <w:szCs w:val="21"/>
                <w:highlight w:val="none"/>
              </w:rPr>
              <w:t>大写)：</w:t>
            </w:r>
          </w:p>
        </w:tc>
        <w:tc>
          <w:tcPr>
            <w:tcW w:w="930"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auto"/>
                <w:spacing w:val="20"/>
                <w:kern w:val="0"/>
                <w:sz w:val="24"/>
                <w:highlight w:val="none"/>
                <w:lang w:val="en-US" w:eastAsia="zh-CN"/>
              </w:rPr>
            </w:pPr>
            <w:r>
              <w:rPr>
                <w:rFonts w:hint="eastAsia" w:ascii="宋体" w:hAnsi="宋体" w:cs="宋体"/>
                <w:color w:val="auto"/>
                <w:kern w:val="0"/>
                <w:sz w:val="24"/>
                <w:szCs w:val="21"/>
                <w:highlight w:val="none"/>
              </w:rPr>
              <w:t>￥</w:t>
            </w:r>
          </w:p>
        </w:tc>
      </w:tr>
    </w:tbl>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color w:val="auto"/>
          <w:highlight w:val="none"/>
        </w:rPr>
      </w:pPr>
      <w:r>
        <w:rPr>
          <w:rFonts w:hint="eastAsia" w:ascii="宋体" w:hAnsi="宋体" w:cs="宋体"/>
          <w:color w:val="auto"/>
          <w:kern w:val="0"/>
          <w:sz w:val="24"/>
          <w:highlight w:val="none"/>
        </w:rPr>
        <w:t>年    月    日</w:t>
      </w:r>
    </w:p>
    <w:p>
      <w:pPr>
        <w:pStyle w:val="4"/>
        <w:rPr>
          <w:color w:val="auto"/>
          <w:highlight w:val="none"/>
        </w:rPr>
      </w:pPr>
      <w:r>
        <w:rPr>
          <w:rFonts w:hint="eastAsia"/>
          <w:color w:val="auto"/>
          <w:highlight w:val="none"/>
        </w:rPr>
        <w:br w:type="page"/>
      </w:r>
      <w:bookmarkStart w:id="76" w:name="_Toc15804"/>
      <w:bookmarkStart w:id="77" w:name="_Toc226"/>
      <w:r>
        <w:rPr>
          <w:rFonts w:hint="eastAsia"/>
          <w:color w:val="auto"/>
          <w:highlight w:val="none"/>
        </w:rPr>
        <w:t>附件5               技术响应表（格式）</w:t>
      </w:r>
      <w:bookmarkEnd w:id="76"/>
      <w:bookmarkEnd w:id="77"/>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r>
        <w:rPr>
          <w:rFonts w:hint="eastAsia" w:cs="宋体"/>
          <w:color w:val="auto"/>
          <w:kern w:val="0"/>
          <w:sz w:val="24"/>
          <w:highlight w:val="none"/>
          <w:lang w:val="en-US" w:eastAsia="zh-CN"/>
        </w:rPr>
        <w:t xml:space="preserve"> </w:t>
      </w:r>
    </w:p>
    <w:tbl>
      <w:tblPr>
        <w:tblStyle w:val="34"/>
        <w:tblpPr w:leftFromText="180" w:rightFromText="180" w:vertAnchor="text" w:horzAnchor="page" w:tblpX="1410" w:tblpY="53"/>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712"/>
        <w:gridCol w:w="2114"/>
        <w:gridCol w:w="2273"/>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69" w:type="dxa"/>
            <w:vAlign w:val="center"/>
          </w:tcPr>
          <w:p>
            <w:pPr>
              <w:jc w:val="center"/>
              <w:rPr>
                <w:color w:val="auto"/>
                <w:sz w:val="24"/>
                <w:highlight w:val="none"/>
              </w:rPr>
            </w:pPr>
            <w:r>
              <w:rPr>
                <w:rFonts w:hint="eastAsia"/>
                <w:color w:val="auto"/>
                <w:sz w:val="24"/>
                <w:highlight w:val="none"/>
              </w:rPr>
              <w:t>序号</w:t>
            </w:r>
          </w:p>
        </w:tc>
        <w:tc>
          <w:tcPr>
            <w:tcW w:w="1712" w:type="dxa"/>
            <w:vAlign w:val="center"/>
          </w:tcPr>
          <w:p>
            <w:pPr>
              <w:jc w:val="center"/>
              <w:rPr>
                <w:color w:val="auto"/>
                <w:sz w:val="24"/>
                <w:highlight w:val="none"/>
              </w:rPr>
            </w:pPr>
            <w:r>
              <w:rPr>
                <w:rFonts w:hint="eastAsia"/>
                <w:color w:val="auto"/>
                <w:sz w:val="24"/>
                <w:highlight w:val="none"/>
              </w:rPr>
              <w:t>货物名称</w:t>
            </w:r>
          </w:p>
        </w:tc>
        <w:tc>
          <w:tcPr>
            <w:tcW w:w="2114" w:type="dxa"/>
            <w:vAlign w:val="center"/>
          </w:tcPr>
          <w:p>
            <w:pPr>
              <w:spacing w:line="360" w:lineRule="auto"/>
              <w:jc w:val="center"/>
              <w:rPr>
                <w:color w:val="auto"/>
                <w:sz w:val="24"/>
                <w:highlight w:val="none"/>
              </w:rPr>
            </w:pPr>
            <w:r>
              <w:rPr>
                <w:rFonts w:hint="eastAsia" w:ascii="宋体" w:hAnsi="宋体" w:cs="宋体"/>
                <w:color w:val="auto"/>
                <w:kern w:val="0"/>
                <w:sz w:val="24"/>
                <w:highlight w:val="none"/>
                <w:lang w:val="en-US" w:eastAsia="zh-CN"/>
              </w:rPr>
              <w:t>采购</w:t>
            </w:r>
            <w:r>
              <w:rPr>
                <w:rFonts w:hint="eastAsia" w:ascii="宋体" w:hAnsi="宋体" w:cs="宋体"/>
                <w:color w:val="auto"/>
                <w:kern w:val="0"/>
                <w:sz w:val="24"/>
                <w:highlight w:val="none"/>
              </w:rPr>
              <w:t>文件要求</w:t>
            </w:r>
          </w:p>
        </w:tc>
        <w:tc>
          <w:tcPr>
            <w:tcW w:w="227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投标文件响应</w:t>
            </w:r>
          </w:p>
        </w:tc>
        <w:tc>
          <w:tcPr>
            <w:tcW w:w="1952"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1</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color w:val="auto"/>
                <w:sz w:val="24"/>
                <w:highlight w:val="none"/>
              </w:rPr>
            </w:pPr>
          </w:p>
        </w:tc>
        <w:tc>
          <w:tcPr>
            <w:tcW w:w="1952" w:type="dxa"/>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2</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3</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4</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w:t>
            </w:r>
          </w:p>
        </w:tc>
        <w:tc>
          <w:tcPr>
            <w:tcW w:w="1712" w:type="dxa"/>
            <w:vAlign w:val="center"/>
          </w:tcPr>
          <w:p>
            <w:pPr>
              <w:jc w:val="center"/>
              <w:rPr>
                <w:color w:val="auto"/>
                <w:sz w:val="24"/>
                <w:highlight w:val="none"/>
              </w:rPr>
            </w:pPr>
          </w:p>
        </w:tc>
        <w:tc>
          <w:tcPr>
            <w:tcW w:w="2114" w:type="dxa"/>
            <w:vAlign w:val="center"/>
          </w:tcPr>
          <w:p>
            <w:pPr>
              <w:jc w:val="center"/>
              <w:rPr>
                <w:bCs/>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bl>
    <w:p>
      <w:pPr>
        <w:rPr>
          <w:b/>
          <w:color w:val="auto"/>
          <w:kern w:val="0"/>
          <w:sz w:val="24"/>
          <w:highlight w:val="none"/>
        </w:rPr>
      </w:pPr>
    </w:p>
    <w:p>
      <w:pPr>
        <w:widowControl/>
        <w:wordWrap w:val="0"/>
        <w:spacing w:before="50" w:after="50" w:line="480" w:lineRule="auto"/>
        <w:jc w:val="left"/>
        <w:rPr>
          <w:rFonts w:ascii="宋体" w:hAnsi="宋体" w:cs="宋体"/>
          <w:bCs/>
          <w:color w:val="auto"/>
          <w:kern w:val="0"/>
          <w:sz w:val="24"/>
          <w:highlight w:val="none"/>
        </w:rPr>
      </w:pPr>
      <w:r>
        <w:rPr>
          <w:rFonts w:hint="eastAsia" w:ascii="宋体" w:hAnsi="宋体" w:cs="宋体"/>
          <w:bCs/>
          <w:color w:val="auto"/>
          <w:kern w:val="0"/>
          <w:sz w:val="24"/>
          <w:highlight w:val="none"/>
        </w:rPr>
        <w:t>注：投标人必须如实完整填写表格， “偏离情况”是指“正偏离”、“负偏离”或“无偏离”。</w:t>
      </w:r>
    </w:p>
    <w:p>
      <w:pPr>
        <w:pStyle w:val="53"/>
        <w:rPr>
          <w:bCs/>
          <w:color w:val="auto"/>
          <w:kern w:val="0"/>
          <w:highlight w:val="none"/>
        </w:rPr>
      </w:pPr>
    </w:p>
    <w:p>
      <w:pPr>
        <w:pStyle w:val="53"/>
        <w:rPr>
          <w:bCs/>
          <w:color w:val="auto"/>
          <w:kern w:val="0"/>
          <w:highlight w:val="none"/>
        </w:rPr>
      </w:pPr>
    </w:p>
    <w:p>
      <w:pPr>
        <w:pStyle w:val="53"/>
        <w:rPr>
          <w:bCs/>
          <w:color w:val="auto"/>
          <w:kern w:val="0"/>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widowControl/>
        <w:wordWrap w:val="0"/>
        <w:snapToGrid w:val="0"/>
        <w:spacing w:line="460" w:lineRule="exact"/>
        <w:jc w:val="left"/>
        <w:outlineLvl w:val="0"/>
        <w:rPr>
          <w:rFonts w:hint="eastAsia" w:ascii="Arial" w:hAnsi="Arial" w:eastAsia="新宋体"/>
          <w:b/>
          <w:color w:val="auto"/>
          <w:sz w:val="28"/>
          <w:highlight w:val="none"/>
          <w:lang w:eastAsia="zh-CN"/>
        </w:rPr>
      </w:pPr>
      <w:bookmarkStart w:id="78" w:name="_Toc20420"/>
      <w:bookmarkStart w:id="79" w:name="_Toc29960"/>
      <w:r>
        <w:rPr>
          <w:rFonts w:hint="eastAsia" w:ascii="Arial" w:hAnsi="Arial" w:eastAsia="新宋体"/>
          <w:b/>
          <w:color w:val="auto"/>
          <w:sz w:val="28"/>
          <w:highlight w:val="none"/>
        </w:rPr>
        <w:t>附件6               商务响应</w:t>
      </w:r>
      <w:bookmarkEnd w:id="78"/>
      <w:bookmarkEnd w:id="79"/>
      <w:r>
        <w:rPr>
          <w:rFonts w:hint="eastAsia" w:ascii="Arial" w:hAnsi="Arial" w:eastAsia="新宋体"/>
          <w:b/>
          <w:color w:val="auto"/>
          <w:sz w:val="28"/>
          <w:highlight w:val="none"/>
          <w:lang w:val="en-US" w:eastAsia="zh-CN"/>
        </w:rPr>
        <w:t>部分</w:t>
      </w:r>
    </w:p>
    <w:p>
      <w:pPr>
        <w:widowControl/>
        <w:wordWrap w:val="0"/>
        <w:snapToGrid w:val="0"/>
        <w:spacing w:before="50" w:afterLines="50"/>
        <w:jc w:val="left"/>
        <w:rPr>
          <w:rFonts w:cs="宋体"/>
          <w:color w:val="auto"/>
          <w:kern w:val="0"/>
          <w:sz w:val="24"/>
          <w:highlight w:val="none"/>
        </w:rPr>
      </w:pPr>
    </w:p>
    <w:p>
      <w:pPr>
        <w:widowControl/>
        <w:wordWrap w:val="0"/>
        <w:spacing w:line="460" w:lineRule="exact"/>
        <w:ind w:firstLine="480" w:firstLineChars="200"/>
        <w:jc w:val="left"/>
        <w:rPr>
          <w:rFonts w:hint="default" w:ascii="宋体" w:hAnsi="宋体" w:eastAsia="宋体" w:cs="宋体"/>
          <w:b/>
          <w:color w:val="auto"/>
          <w:kern w:val="0"/>
          <w:sz w:val="32"/>
          <w:szCs w:val="32"/>
          <w:highlight w:val="none"/>
          <w:lang w:val="en-US" w:eastAsia="zh-CN"/>
        </w:rPr>
      </w:pPr>
      <w:r>
        <w:rPr>
          <w:rFonts w:hint="eastAsia" w:cs="宋体"/>
          <w:color w:val="auto"/>
          <w:kern w:val="0"/>
          <w:sz w:val="24"/>
          <w:highlight w:val="none"/>
          <w:lang w:eastAsia="zh-CN"/>
        </w:rPr>
        <w:t xml:space="preserve"> </w:t>
      </w:r>
      <w:r>
        <w:rPr>
          <w:rFonts w:hint="eastAsia" w:ascii="宋体" w:hAnsi="宋体" w:cs="宋体"/>
          <w:b/>
          <w:color w:val="auto"/>
          <w:kern w:val="0"/>
          <w:sz w:val="32"/>
          <w:szCs w:val="32"/>
          <w:highlight w:val="none"/>
          <w:lang w:val="en-US" w:eastAsia="zh-CN"/>
        </w:rPr>
        <w:t>商务部分相关证明文件</w:t>
      </w:r>
    </w:p>
    <w:p>
      <w:pPr>
        <w:widowControl/>
        <w:wordWrap w:val="0"/>
        <w:snapToGrid w:val="0"/>
        <w:spacing w:before="156" w:after="156"/>
        <w:ind w:firstLine="420"/>
        <w:jc w:val="center"/>
        <w:rPr>
          <w:rFonts w:ascii="宋体" w:hAnsi="宋体" w:cs="宋体"/>
          <w:b/>
          <w:color w:val="auto"/>
          <w:kern w:val="0"/>
          <w:sz w:val="32"/>
          <w:szCs w:val="32"/>
          <w:highlight w:val="none"/>
        </w:rPr>
      </w:pPr>
    </w:p>
    <w:p>
      <w:pPr>
        <w:widowControl/>
        <w:wordWrap w:val="0"/>
        <w:spacing w:line="460" w:lineRule="exact"/>
        <w:jc w:val="left"/>
        <w:outlineLvl w:val="9"/>
        <w:rPr>
          <w:rFonts w:cs="宋体"/>
          <w:b/>
          <w:color w:val="auto"/>
          <w:kern w:val="0"/>
          <w:sz w:val="24"/>
          <w:highlight w:val="none"/>
        </w:rPr>
      </w:pPr>
    </w:p>
    <w:p>
      <w:pPr>
        <w:widowControl/>
        <w:wordWrap w:val="0"/>
        <w:spacing w:line="460" w:lineRule="exact"/>
        <w:jc w:val="left"/>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color w:val="auto"/>
        </w:rPr>
      </w:pPr>
    </w:p>
    <w:p>
      <w:pPr>
        <w:outlineLvl w:val="9"/>
        <w:rPr>
          <w:rFonts w:cs="宋体"/>
          <w:b/>
          <w:color w:val="auto"/>
          <w:kern w:val="0"/>
          <w:sz w:val="24"/>
          <w:highlight w:val="none"/>
        </w:rPr>
      </w:pPr>
      <w:r>
        <w:rPr>
          <w:rFonts w:cs="宋体"/>
          <w:b/>
          <w:color w:val="auto"/>
          <w:kern w:val="0"/>
          <w:sz w:val="24"/>
          <w:highlight w:val="none"/>
        </w:rPr>
        <w:br w:type="page"/>
      </w:r>
    </w:p>
    <w:p>
      <w:pPr>
        <w:pStyle w:val="31"/>
        <w:rPr>
          <w:color w:val="auto"/>
        </w:rPr>
      </w:pPr>
    </w:p>
    <w:p>
      <w:pPr>
        <w:widowControl/>
        <w:wordWrap w:val="0"/>
        <w:spacing w:line="460" w:lineRule="exact"/>
        <w:jc w:val="left"/>
        <w:outlineLvl w:val="0"/>
        <w:rPr>
          <w:rFonts w:ascii="Arial" w:hAnsi="Arial" w:eastAsia="新宋体"/>
          <w:b/>
          <w:color w:val="auto"/>
          <w:sz w:val="28"/>
          <w:highlight w:val="none"/>
        </w:rPr>
      </w:pPr>
      <w:bookmarkStart w:id="80" w:name="_Toc31526"/>
      <w:bookmarkStart w:id="81" w:name="_Toc28621"/>
      <w:r>
        <w:rPr>
          <w:rFonts w:hint="eastAsia" w:ascii="Arial" w:hAnsi="Arial" w:eastAsia="新宋体"/>
          <w:b/>
          <w:color w:val="auto"/>
          <w:sz w:val="28"/>
          <w:highlight w:val="none"/>
        </w:rPr>
        <w:t>附件7               法定代表人身份证明（格式）</w:t>
      </w:r>
      <w:bookmarkEnd w:id="80"/>
      <w:bookmarkEnd w:id="81"/>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投标人名称：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（投标人名称）的法定代表人。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3"/>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3"/>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82" w:name="_Toc13976"/>
      <w:bookmarkStart w:id="83" w:name="_Toc30519"/>
      <w:r>
        <w:rPr>
          <w:rFonts w:hint="eastAsia" w:ascii="Arial" w:hAnsi="Arial" w:eastAsia="新宋体"/>
          <w:b/>
          <w:color w:val="auto"/>
          <w:sz w:val="28"/>
          <w:highlight w:val="none"/>
        </w:rPr>
        <w:t>附件8               法定代表人授权书（格式）</w:t>
      </w:r>
      <w:bookmarkEnd w:id="82"/>
      <w:bookmarkEnd w:id="83"/>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 xml:space="preserve">（投标人名称）的法定代表人，现委托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3"/>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ascii="宋体" w:hAnsi="宋体" w:cs="宋体"/>
          <w:b/>
          <w:color w:val="auto"/>
          <w:kern w:val="0"/>
          <w:sz w:val="24"/>
          <w:highlight w:val="none"/>
        </w:rPr>
      </w:pPr>
      <w:bookmarkStart w:id="84" w:name="_Toc24693"/>
      <w:bookmarkStart w:id="85" w:name="_Toc18105"/>
      <w:r>
        <w:rPr>
          <w:rFonts w:hint="eastAsia" w:ascii="Arial" w:hAnsi="Arial" w:eastAsia="新宋体"/>
          <w:b/>
          <w:color w:val="auto"/>
          <w:sz w:val="28"/>
          <w:highlight w:val="none"/>
        </w:rPr>
        <w:t>附件9               证明文件</w:t>
      </w:r>
      <w:bookmarkEnd w:id="84"/>
      <w:bookmarkEnd w:id="85"/>
    </w:p>
    <w:p>
      <w:pPr>
        <w:pStyle w:val="8"/>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9.1</w:t>
      </w:r>
      <w:r>
        <w:rPr>
          <w:rFonts w:hint="eastAsia"/>
          <w:bCs/>
          <w:color w:val="auto"/>
          <w:sz w:val="21"/>
          <w:szCs w:val="21"/>
          <w:highlight w:val="none"/>
          <w:lang w:val="en-US" w:eastAsia="zh-CN"/>
        </w:rPr>
        <w:t xml:space="preserve"> </w:t>
      </w:r>
      <w:r>
        <w:rPr>
          <w:rFonts w:hint="eastAsia"/>
          <w:bCs/>
          <w:color w:val="auto"/>
          <w:sz w:val="21"/>
          <w:szCs w:val="21"/>
          <w:highlight w:val="none"/>
        </w:rPr>
        <w:t>资格审查资料</w:t>
      </w:r>
    </w:p>
    <w:p>
      <w:pPr>
        <w:pStyle w:val="8"/>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9.2</w:t>
      </w:r>
      <w:r>
        <w:rPr>
          <w:rFonts w:hint="eastAsia"/>
          <w:bCs/>
          <w:color w:val="auto"/>
          <w:sz w:val="21"/>
          <w:szCs w:val="21"/>
          <w:highlight w:val="none"/>
          <w:lang w:val="en-US" w:eastAsia="zh-CN"/>
        </w:rPr>
        <w:t xml:space="preserve"> </w:t>
      </w:r>
      <w:r>
        <w:rPr>
          <w:rFonts w:hint="eastAsia"/>
          <w:bCs/>
          <w:color w:val="auto"/>
          <w:sz w:val="21"/>
          <w:szCs w:val="21"/>
          <w:highlight w:val="none"/>
        </w:rPr>
        <w:t>技术方案</w:t>
      </w:r>
    </w:p>
    <w:p>
      <w:pPr>
        <w:pStyle w:val="8"/>
        <w:spacing w:beforeAutospacing="0" w:afterAutospacing="0" w:line="480" w:lineRule="auto"/>
        <w:ind w:firstLine="470" w:firstLineChars="224"/>
        <w:jc w:val="both"/>
        <w:rPr>
          <w:rFonts w:hint="eastAsia"/>
          <w:bCs/>
          <w:color w:val="auto"/>
          <w:sz w:val="21"/>
          <w:szCs w:val="21"/>
          <w:highlight w:val="none"/>
        </w:rPr>
      </w:pPr>
      <w:r>
        <w:rPr>
          <w:rFonts w:hint="eastAsia"/>
          <w:bCs/>
          <w:color w:val="auto"/>
          <w:sz w:val="21"/>
          <w:szCs w:val="21"/>
          <w:highlight w:val="none"/>
        </w:rPr>
        <w:t>9.3</w:t>
      </w:r>
      <w:r>
        <w:rPr>
          <w:rFonts w:hint="eastAsia"/>
          <w:bCs/>
          <w:color w:val="auto"/>
          <w:sz w:val="21"/>
          <w:szCs w:val="21"/>
          <w:highlight w:val="none"/>
          <w:lang w:val="en-US" w:eastAsia="zh-CN"/>
        </w:rPr>
        <w:t xml:space="preserve"> </w:t>
      </w:r>
      <w:r>
        <w:rPr>
          <w:rFonts w:hint="eastAsia"/>
          <w:bCs/>
          <w:color w:val="auto"/>
          <w:sz w:val="21"/>
          <w:szCs w:val="21"/>
          <w:highlight w:val="none"/>
        </w:rPr>
        <w:t>其他需要提供的证明材料</w:t>
      </w:r>
      <w:bookmarkStart w:id="86" w:name="_Toc17966"/>
    </w:p>
    <w:p>
      <w:pPr>
        <w:pStyle w:val="8"/>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w:t>
      </w:r>
      <w:r>
        <w:rPr>
          <w:rFonts w:hint="eastAsia"/>
          <w:bCs/>
          <w:color w:val="auto"/>
          <w:sz w:val="21"/>
          <w:szCs w:val="21"/>
          <w:highlight w:val="none"/>
          <w:lang w:val="en-US" w:eastAsia="zh-CN"/>
        </w:rPr>
        <w:t xml:space="preserve">4 </w:t>
      </w:r>
      <w:r>
        <w:rPr>
          <w:rFonts w:hint="eastAsia"/>
          <w:bCs/>
          <w:color w:val="auto"/>
          <w:sz w:val="21"/>
          <w:szCs w:val="21"/>
          <w:highlight w:val="none"/>
        </w:rPr>
        <w:t>其他证明材料。</w:t>
      </w:r>
    </w:p>
    <w:p>
      <w:pPr>
        <w:pStyle w:val="8"/>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pStyle w:val="8"/>
        <w:spacing w:beforeAutospacing="0" w:afterAutospacing="0" w:line="480" w:lineRule="auto"/>
        <w:ind w:firstLine="540" w:firstLineChars="224"/>
        <w:jc w:val="both"/>
        <w:rPr>
          <w:b/>
          <w:bCs/>
          <w:color w:val="auto"/>
          <w:highlight w:val="none"/>
        </w:rPr>
      </w:pPr>
    </w:p>
    <w:p>
      <w:pPr>
        <w:widowControl/>
        <w:snapToGrid w:val="0"/>
        <w:spacing w:line="360" w:lineRule="auto"/>
        <w:jc w:val="center"/>
        <w:outlineLvl w:val="0"/>
        <w:rPr>
          <w:rFonts w:ascii="宋体" w:hAnsi="宋体" w:cs="宋体"/>
          <w:b/>
          <w:color w:val="auto"/>
          <w:kern w:val="0"/>
          <w:sz w:val="28"/>
          <w:szCs w:val="28"/>
          <w:highlight w:val="none"/>
        </w:rPr>
      </w:pPr>
      <w:bookmarkStart w:id="87" w:name="_Toc12888"/>
      <w:bookmarkStart w:id="88" w:name="_Toc13726"/>
      <w:r>
        <w:rPr>
          <w:rFonts w:hint="eastAsia" w:ascii="宋体" w:hAnsi="宋体" w:cs="Lucida Sans Unicode"/>
          <w:b/>
          <w:color w:val="auto"/>
          <w:kern w:val="0"/>
          <w:sz w:val="28"/>
          <w:szCs w:val="28"/>
          <w:highlight w:val="none"/>
        </w:rPr>
        <w:t xml:space="preserve">附件10        </w:t>
      </w:r>
      <w:bookmarkEnd w:id="86"/>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87"/>
      <w:bookmarkEnd w:id="88"/>
    </w:p>
    <w:p>
      <w:pPr>
        <w:bidi w:val="0"/>
        <w:rPr>
          <w:color w:val="auto"/>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lang w:val="en-US" w:eastAsia="zh-CN"/>
        </w:rPr>
        <w:t>公司名称</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color w:val="auto"/>
          <w:sz w:val="28"/>
          <w:szCs w:val="28"/>
        </w:rPr>
      </w:pPr>
      <w:r>
        <w:rPr>
          <w:rFonts w:hint="eastAsia" w:ascii="宋体" w:hAnsi="宋体" w:eastAsia="宋体" w:cs="宋体"/>
          <w:color w:val="auto"/>
          <w:sz w:val="24"/>
          <w:szCs w:val="24"/>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spacing w:line="360" w:lineRule="auto"/>
        <w:rPr>
          <w:color w:val="auto"/>
          <w:highlight w:val="none"/>
        </w:rPr>
      </w:pPr>
    </w:p>
    <w:p>
      <w:pPr>
        <w:rPr>
          <w:color w:val="auto"/>
          <w:highlight w:val="none"/>
        </w:rPr>
      </w:pPr>
      <w:r>
        <w:rPr>
          <w:color w:val="auto"/>
          <w:highlight w:val="none"/>
        </w:rPr>
        <w:br w:type="page"/>
      </w:r>
    </w:p>
    <w:p>
      <w:pPr>
        <w:jc w:val="center"/>
        <w:rPr>
          <w:rFonts w:hint="eastAsia" w:ascii="宋体" w:hAnsi="宋体" w:eastAsia="宋体" w:cs="宋体"/>
          <w:b/>
          <w:bCs/>
          <w:color w:val="auto"/>
          <w:kern w:val="2"/>
          <w:sz w:val="28"/>
          <w:szCs w:val="18"/>
          <w:highlight w:val="none"/>
          <w:lang w:val="en-US" w:eastAsia="zh-CN" w:bidi="ar-SA"/>
        </w:rPr>
      </w:pPr>
      <w:r>
        <w:rPr>
          <w:rFonts w:hint="eastAsia" w:ascii="宋体" w:hAnsi="宋体" w:eastAsia="宋体" w:cs="宋体"/>
          <w:b/>
          <w:bCs/>
          <w:color w:val="auto"/>
          <w:kern w:val="2"/>
          <w:sz w:val="28"/>
          <w:szCs w:val="18"/>
          <w:highlight w:val="none"/>
          <w:lang w:val="en-US" w:eastAsia="zh-CN" w:bidi="ar-SA"/>
        </w:rPr>
        <w:t>附件11     供应商信用承诺函（格式）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致（采购人或政府采购代理机构）：</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单位名称（自然人姓名）：</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统一社会信用代码（身份证号码）：</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法定代表人（负责人）：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联系地址和电话：</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我单位（本人）自愿参加本次政府采购活动，严格遵守《中华人民共和国政府采购法》及相关法律法规，坚守公开、公平、公正和诚实信用的原则，依法诚信经营，无条件遵守本次政府采购活动的各项规定。我单位（本人）郑重承诺，我单位（本人）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（一）具有独立承担民事责任的能力；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仿宋" w:hAnsi="仿宋" w:eastAsia="仿宋" w:cs="仿宋"/>
          <w:sz w:val="32"/>
          <w:szCs w:val="32"/>
        </w:rPr>
      </w:pPr>
      <w:r>
        <w:rPr>
          <w:rFonts w:hint="eastAsia" w:ascii="宋体" w:hAnsi="宋体" w:eastAsia="宋体" w:cs="宋体"/>
          <w:color w:val="auto"/>
          <w:sz w:val="24"/>
          <w:szCs w:val="24"/>
          <w:lang w:val="en-US" w:eastAsia="zh-CN"/>
        </w:rPr>
        <w:t>（四）有依法缴纳税收和社会保障资金的良好</w:t>
      </w:r>
      <w:r>
        <w:rPr>
          <w:rFonts w:hint="eastAsia" w:ascii="仿宋" w:hAnsi="仿宋" w:eastAsia="仿宋" w:cs="仿宋"/>
          <w:sz w:val="32"/>
          <w:szCs w:val="32"/>
          <w:lang w:val="en-US" w:eastAsia="zh-CN"/>
        </w:rPr>
        <w:t>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（六）未被列入严重失信主体名单、失信被执行人、税收违法黑名单、政府采购严重违法失信行为记录名单，未曾作出虚假承诺；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（七）符合法律、行政法规规定的其他条件。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我单位（本人）保证上述承诺事项的真实性，如有弄虚作假或其他违法违规行为，愿意承担一切法律责任，并承担因此所造成的一切损失。</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供应商名称（盖章）：</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法定代表人、负责人、自然人或授权代表(签字)：</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日期：       年         月          日</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注：1.供应商须在投标（响应性）文件中按此模板提供承诺函，未提供视为未实质性响应招标文件要求，按无效投标（响应）处理。</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2.供应商的法定代表人或者授权代表的签字或盖章应真实、有效，如由授权代表签字或盖章的，应提供“法定代表人授权书”。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widowControl/>
        <w:shd w:val="clear" w:color="auto" w:fill="auto"/>
        <w:ind w:firstLine="360" w:firstLineChars="150"/>
        <w:jc w:val="left"/>
        <w:rPr>
          <w:rFonts w:hint="eastAsia" w:ascii="宋体" w:hAnsi="宋体" w:eastAsia="宋体" w:cs="宋体"/>
          <w:sz w:val="24"/>
          <w:szCs w:val="24"/>
        </w:rPr>
      </w:pPr>
    </w:p>
    <w:p>
      <w:pPr>
        <w:pStyle w:val="31"/>
        <w:rPr>
          <w:rFonts w:hint="eastAsia" w:ascii="宋体" w:hAnsi="宋体" w:eastAsia="宋体" w:cs="宋体"/>
          <w:sz w:val="24"/>
          <w:szCs w:val="24"/>
        </w:rPr>
      </w:pPr>
    </w:p>
    <w:p>
      <w:pPr>
        <w:pStyle w:val="32"/>
        <w:rPr>
          <w:rFonts w:hint="eastAsia" w:ascii="宋体" w:hAnsi="宋体" w:eastAsia="宋体" w:cs="宋体"/>
          <w:sz w:val="24"/>
          <w:szCs w:val="24"/>
        </w:rPr>
      </w:pPr>
    </w:p>
    <w:p>
      <w:pPr>
        <w:rPr>
          <w:rFonts w:hint="eastAsia" w:ascii="宋体" w:hAnsi="宋体" w:eastAsia="宋体" w:cs="宋体"/>
          <w:sz w:val="24"/>
          <w:szCs w:val="24"/>
        </w:rPr>
      </w:pPr>
    </w:p>
    <w:p>
      <w:pPr>
        <w:pStyle w:val="31"/>
        <w:rPr>
          <w:rFonts w:hint="eastAsia" w:ascii="宋体" w:hAnsi="宋体" w:eastAsia="宋体" w:cs="宋体"/>
          <w:sz w:val="24"/>
          <w:szCs w:val="24"/>
        </w:rPr>
      </w:pPr>
    </w:p>
    <w:p>
      <w:pPr>
        <w:pStyle w:val="32"/>
        <w:rPr>
          <w:rFonts w:hint="eastAsia" w:ascii="宋体" w:hAnsi="宋体" w:eastAsia="宋体" w:cs="宋体"/>
          <w:sz w:val="24"/>
          <w:szCs w:val="24"/>
        </w:rPr>
      </w:pPr>
    </w:p>
    <w:p>
      <w:pPr>
        <w:rPr>
          <w:rFonts w:hint="eastAsia" w:ascii="宋体" w:hAnsi="宋体" w:eastAsia="宋体" w:cs="宋体"/>
          <w:sz w:val="24"/>
          <w:szCs w:val="24"/>
        </w:rPr>
      </w:pPr>
    </w:p>
    <w:p>
      <w:pPr>
        <w:pStyle w:val="31"/>
        <w:rPr>
          <w:rFonts w:hint="eastAsia" w:ascii="宋体" w:hAnsi="宋体" w:eastAsia="宋体" w:cs="宋体"/>
          <w:sz w:val="24"/>
          <w:szCs w:val="24"/>
        </w:rPr>
      </w:pPr>
    </w:p>
    <w:p>
      <w:pPr>
        <w:pStyle w:val="32"/>
        <w:rPr>
          <w:rFonts w:hint="eastAsia" w:ascii="宋体" w:hAnsi="宋体" w:eastAsia="宋体" w:cs="宋体"/>
          <w:sz w:val="24"/>
          <w:szCs w:val="24"/>
        </w:rPr>
      </w:pPr>
    </w:p>
    <w:p>
      <w:pPr>
        <w:rPr>
          <w:rFonts w:hint="eastAsia" w:ascii="宋体" w:hAnsi="宋体" w:eastAsia="宋体" w:cs="宋体"/>
          <w:sz w:val="24"/>
          <w:szCs w:val="24"/>
        </w:rPr>
      </w:pPr>
    </w:p>
    <w:p>
      <w:pPr>
        <w:pStyle w:val="31"/>
        <w:rPr>
          <w:rFonts w:hint="eastAsia" w:ascii="宋体" w:hAnsi="宋体" w:eastAsia="宋体" w:cs="宋体"/>
          <w:sz w:val="24"/>
          <w:szCs w:val="24"/>
        </w:rPr>
      </w:pPr>
    </w:p>
    <w:p>
      <w:pPr>
        <w:pStyle w:val="32"/>
        <w:rPr>
          <w:rFonts w:hint="eastAsia" w:ascii="宋体" w:hAnsi="宋体" w:eastAsia="宋体" w:cs="宋体"/>
          <w:sz w:val="24"/>
          <w:szCs w:val="24"/>
        </w:rPr>
      </w:pPr>
    </w:p>
    <w:p>
      <w:pPr>
        <w:rPr>
          <w:rFonts w:hint="eastAsia" w:ascii="宋体" w:hAnsi="宋体" w:eastAsia="宋体" w:cs="宋体"/>
          <w:sz w:val="24"/>
          <w:szCs w:val="24"/>
        </w:rPr>
      </w:pPr>
    </w:p>
    <w:p>
      <w:pPr>
        <w:pStyle w:val="31"/>
        <w:rPr>
          <w:rFonts w:hint="eastAsia"/>
        </w:rPr>
      </w:pPr>
    </w:p>
    <w:p>
      <w:pPr>
        <w:pStyle w:val="49"/>
        <w:rPr>
          <w:color w:val="auto"/>
        </w:rPr>
      </w:pPr>
    </w:p>
    <w:p>
      <w:pPr>
        <w:widowControl/>
        <w:snapToGrid w:val="0"/>
        <w:spacing w:line="360" w:lineRule="auto"/>
        <w:jc w:val="center"/>
        <w:outlineLvl w:val="0"/>
        <w:rPr>
          <w:rFonts w:ascii="宋体" w:hAnsi="宋体" w:cs="Lucida Sans Unicode"/>
          <w:b/>
          <w:color w:val="auto"/>
          <w:kern w:val="0"/>
          <w:sz w:val="24"/>
          <w:highlight w:val="none"/>
        </w:rPr>
      </w:pPr>
      <w:bookmarkStart w:id="89" w:name="_Toc25094"/>
      <w:bookmarkStart w:id="90" w:name="_Toc23394"/>
      <w:r>
        <w:rPr>
          <w:rFonts w:hint="eastAsia" w:ascii="宋体" w:hAnsi="宋体" w:cs="Lucida Sans Unicode"/>
          <w:b/>
          <w:color w:val="auto"/>
          <w:kern w:val="0"/>
          <w:sz w:val="24"/>
          <w:highlight w:val="none"/>
        </w:rPr>
        <w:t>投标人认为有必要的其他资料</w:t>
      </w:r>
      <w:bookmarkEnd w:id="89"/>
      <w:bookmarkEnd w:id="90"/>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备注：投标人应当仔细核对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文件中有关废标条款和评标标准，提供投标人认为应当附加的其它内容，以充分证明其投标符合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文件规定，并为评标提供充分依据。如果投标人未能提供相关证明文件，将有可能导致废标或者无法得分。</w:t>
      </w: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both"/>
        <w:rPr>
          <w:b/>
          <w:bCs/>
          <w:color w:val="auto"/>
          <w:sz w:val="28"/>
          <w:szCs w:val="28"/>
          <w:highlight w:val="none"/>
        </w:rPr>
      </w:pPr>
    </w:p>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2"/>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2"/>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right"/>
    </w:pPr>
    <w:r>
      <w:rPr>
        <w:rFonts w:hint="eastAsia" w:ascii="宋体" w:hAnsi="宋体" w:cs="宋体"/>
        <w:color w:val="auto"/>
        <w:lang w:eastAsia="zh-CN"/>
      </w:rPr>
      <w:t>驻马店市中心医院重阳节慰问品采购</w:t>
    </w:r>
    <w:r>
      <w:rPr>
        <w:rFonts w:hint="eastAsia" w:ascii="宋体" w:hAnsi="宋体" w:eastAsia="宋体" w:cs="宋体"/>
        <w:color w:val="auto"/>
        <w:lang w:val="en-US" w:eastAsia="zh-CN"/>
      </w:rPr>
      <w:t>采</w:t>
    </w:r>
    <w:r>
      <w:rPr>
        <w:rFonts w:hint="eastAsia" w:ascii="宋体" w:hAnsi="宋体" w:cs="宋体"/>
        <w:color w:val="auto"/>
        <w:szCs w:val="21"/>
        <w:highlight w:val="none"/>
        <w:u w:val="none"/>
        <w:shd w:val="clear" w:color="auto" w:fill="FFFFFF"/>
        <w:lang w:val="en-US" w:eastAsia="zh-CN"/>
      </w:rPr>
      <w:t>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right"/>
      <w:rPr>
        <w:rFonts w:hint="eastAsia" w:eastAsia="宋体"/>
        <w:lang w:val="en-US" w:eastAsia="zh-CN"/>
      </w:rPr>
    </w:pPr>
    <w:r>
      <w:rPr>
        <w:rFonts w:hint="eastAsia"/>
      </w:rPr>
      <w:t xml:space="preserve">                            </w:t>
    </w:r>
    <w:r>
      <w:rPr>
        <w:rFonts w:hint="eastAsia" w:ascii="宋体" w:hAnsi="宋体" w:cs="宋体"/>
        <w:color w:val="auto"/>
        <w:lang w:eastAsia="zh-CN"/>
      </w:rPr>
      <w:t>驻马店市中心医院重阳节慰问品采购</w:t>
    </w:r>
    <w:r>
      <w:rPr>
        <w:rFonts w:hint="eastAsia" w:ascii="宋体" w:hAnsi="宋体" w:eastAsia="宋体" w:cs="宋体"/>
        <w:color w:val="auto"/>
        <w:lang w:val="en-US" w:eastAsia="zh-CN"/>
      </w:rPr>
      <w:t>采</w:t>
    </w:r>
    <w:r>
      <w:rPr>
        <w:rFonts w:hint="eastAsia" w:ascii="宋体" w:hAnsi="宋体" w:cs="宋体"/>
        <w:color w:val="auto"/>
        <w:szCs w:val="21"/>
        <w:highlight w:val="none"/>
        <w:u w:val="none"/>
        <w:shd w:val="clear" w:color="auto" w:fill="FFFFFF"/>
        <w:lang w:val="en-US" w:eastAsia="zh-CN"/>
      </w:rPr>
      <w:t>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E8A954FB"/>
    <w:multiLevelType w:val="singleLevel"/>
    <w:tmpl w:val="E8A954FB"/>
    <w:lvl w:ilvl="0" w:tentative="0">
      <w:start w:val="1"/>
      <w:numFmt w:val="decimal"/>
      <w:suff w:val="nothing"/>
      <w:lvlText w:val="%1、"/>
      <w:lvlJc w:val="left"/>
    </w:lvl>
  </w:abstractNum>
  <w:abstractNum w:abstractNumId="2">
    <w:nsid w:val="59B6410A"/>
    <w:multiLevelType w:val="singleLevel"/>
    <w:tmpl w:val="59B6410A"/>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MjRmYTY4OTJhZjc1NTA1MGQwNDc0NzZhNTkwMmU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697C"/>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BCD"/>
    <w:rsid w:val="00FF5B28"/>
    <w:rsid w:val="00FF7C18"/>
    <w:rsid w:val="01076050"/>
    <w:rsid w:val="010C3DC8"/>
    <w:rsid w:val="01525212"/>
    <w:rsid w:val="01564054"/>
    <w:rsid w:val="017E6D95"/>
    <w:rsid w:val="01D715BE"/>
    <w:rsid w:val="01EB45BC"/>
    <w:rsid w:val="01FA63A5"/>
    <w:rsid w:val="02011C7D"/>
    <w:rsid w:val="02035523"/>
    <w:rsid w:val="021C6E40"/>
    <w:rsid w:val="02222FF2"/>
    <w:rsid w:val="02384FF4"/>
    <w:rsid w:val="023F67A9"/>
    <w:rsid w:val="025235B1"/>
    <w:rsid w:val="0262674D"/>
    <w:rsid w:val="02747B01"/>
    <w:rsid w:val="02890D36"/>
    <w:rsid w:val="02D92EF7"/>
    <w:rsid w:val="02DA4665"/>
    <w:rsid w:val="02F40325"/>
    <w:rsid w:val="031126C4"/>
    <w:rsid w:val="036A009A"/>
    <w:rsid w:val="03844805"/>
    <w:rsid w:val="03845791"/>
    <w:rsid w:val="03A011E9"/>
    <w:rsid w:val="03AE7F27"/>
    <w:rsid w:val="03BD2BCD"/>
    <w:rsid w:val="04070D64"/>
    <w:rsid w:val="04416C20"/>
    <w:rsid w:val="047968B1"/>
    <w:rsid w:val="04870542"/>
    <w:rsid w:val="04B9160E"/>
    <w:rsid w:val="05545DD3"/>
    <w:rsid w:val="056E2AD6"/>
    <w:rsid w:val="05806815"/>
    <w:rsid w:val="058251D3"/>
    <w:rsid w:val="05945CCE"/>
    <w:rsid w:val="059D05A4"/>
    <w:rsid w:val="059D5E17"/>
    <w:rsid w:val="05AB0A28"/>
    <w:rsid w:val="05AB0F81"/>
    <w:rsid w:val="05B93D6B"/>
    <w:rsid w:val="05D53002"/>
    <w:rsid w:val="05D75738"/>
    <w:rsid w:val="061E7D14"/>
    <w:rsid w:val="06560AED"/>
    <w:rsid w:val="066469C9"/>
    <w:rsid w:val="066646A1"/>
    <w:rsid w:val="06983B20"/>
    <w:rsid w:val="069A3B66"/>
    <w:rsid w:val="06B91765"/>
    <w:rsid w:val="06CA2AD2"/>
    <w:rsid w:val="06CE3071"/>
    <w:rsid w:val="06D33DBA"/>
    <w:rsid w:val="06E13F9F"/>
    <w:rsid w:val="06FB0AC5"/>
    <w:rsid w:val="070D2D5D"/>
    <w:rsid w:val="07111B8D"/>
    <w:rsid w:val="074A5B92"/>
    <w:rsid w:val="075E3193"/>
    <w:rsid w:val="078E18EB"/>
    <w:rsid w:val="07996868"/>
    <w:rsid w:val="07B10EA5"/>
    <w:rsid w:val="07CE3FA1"/>
    <w:rsid w:val="07EC2ECB"/>
    <w:rsid w:val="07FE66CB"/>
    <w:rsid w:val="080B4D47"/>
    <w:rsid w:val="08321601"/>
    <w:rsid w:val="083D5C91"/>
    <w:rsid w:val="0847191F"/>
    <w:rsid w:val="08591DC3"/>
    <w:rsid w:val="087C4541"/>
    <w:rsid w:val="087E5595"/>
    <w:rsid w:val="08C52D6F"/>
    <w:rsid w:val="08D01612"/>
    <w:rsid w:val="08EF0201"/>
    <w:rsid w:val="08F41DE8"/>
    <w:rsid w:val="09737462"/>
    <w:rsid w:val="099156C3"/>
    <w:rsid w:val="09A53F39"/>
    <w:rsid w:val="09A60E13"/>
    <w:rsid w:val="09BF6D42"/>
    <w:rsid w:val="09D206F0"/>
    <w:rsid w:val="09D93766"/>
    <w:rsid w:val="0A321AC2"/>
    <w:rsid w:val="0A343D4E"/>
    <w:rsid w:val="0A3E6D2E"/>
    <w:rsid w:val="0A6C3DC0"/>
    <w:rsid w:val="0AD13A85"/>
    <w:rsid w:val="0AE033D9"/>
    <w:rsid w:val="0B091954"/>
    <w:rsid w:val="0B167AE8"/>
    <w:rsid w:val="0B1A1257"/>
    <w:rsid w:val="0B637D77"/>
    <w:rsid w:val="0BAC324F"/>
    <w:rsid w:val="0BF72F1E"/>
    <w:rsid w:val="0C3957A5"/>
    <w:rsid w:val="0C626DA7"/>
    <w:rsid w:val="0C6876AE"/>
    <w:rsid w:val="0C720EC8"/>
    <w:rsid w:val="0C942042"/>
    <w:rsid w:val="0C9D50DC"/>
    <w:rsid w:val="0CA5271D"/>
    <w:rsid w:val="0CAC4D10"/>
    <w:rsid w:val="0CC72121"/>
    <w:rsid w:val="0CEE5A21"/>
    <w:rsid w:val="0D0646E7"/>
    <w:rsid w:val="0D0C38CA"/>
    <w:rsid w:val="0D3F3A0E"/>
    <w:rsid w:val="0DC577E0"/>
    <w:rsid w:val="0DDC6319"/>
    <w:rsid w:val="0E0C0D4C"/>
    <w:rsid w:val="0E115DA1"/>
    <w:rsid w:val="0E162D6D"/>
    <w:rsid w:val="0E541CA2"/>
    <w:rsid w:val="0E594756"/>
    <w:rsid w:val="0E95596D"/>
    <w:rsid w:val="0EAE6205"/>
    <w:rsid w:val="0EAE6579"/>
    <w:rsid w:val="0EAF71BF"/>
    <w:rsid w:val="0ECE6257"/>
    <w:rsid w:val="0EE4129D"/>
    <w:rsid w:val="0F171032"/>
    <w:rsid w:val="0F335E69"/>
    <w:rsid w:val="0F3D59C9"/>
    <w:rsid w:val="0F516D5A"/>
    <w:rsid w:val="0F565B36"/>
    <w:rsid w:val="0F821E7D"/>
    <w:rsid w:val="0FE7592C"/>
    <w:rsid w:val="0FFD20F0"/>
    <w:rsid w:val="103E6E57"/>
    <w:rsid w:val="1041497B"/>
    <w:rsid w:val="10425FF6"/>
    <w:rsid w:val="109010E6"/>
    <w:rsid w:val="10B271F4"/>
    <w:rsid w:val="10C8275C"/>
    <w:rsid w:val="10E03539"/>
    <w:rsid w:val="10E82D1F"/>
    <w:rsid w:val="10EE5C94"/>
    <w:rsid w:val="113329E7"/>
    <w:rsid w:val="113F294C"/>
    <w:rsid w:val="11437C85"/>
    <w:rsid w:val="1166372C"/>
    <w:rsid w:val="11700D10"/>
    <w:rsid w:val="1178125A"/>
    <w:rsid w:val="1196056D"/>
    <w:rsid w:val="11D34654"/>
    <w:rsid w:val="11DE0FD1"/>
    <w:rsid w:val="12010480"/>
    <w:rsid w:val="120E707F"/>
    <w:rsid w:val="127A7D1C"/>
    <w:rsid w:val="12836D8B"/>
    <w:rsid w:val="12A40F79"/>
    <w:rsid w:val="12AB0349"/>
    <w:rsid w:val="12CD57F1"/>
    <w:rsid w:val="12CE7AFA"/>
    <w:rsid w:val="12D67466"/>
    <w:rsid w:val="13272A5D"/>
    <w:rsid w:val="13493108"/>
    <w:rsid w:val="13733928"/>
    <w:rsid w:val="137C7BCD"/>
    <w:rsid w:val="139C16C9"/>
    <w:rsid w:val="13B63CE1"/>
    <w:rsid w:val="13BC6684"/>
    <w:rsid w:val="13C72B3A"/>
    <w:rsid w:val="13DF575E"/>
    <w:rsid w:val="13EE3A98"/>
    <w:rsid w:val="142123F7"/>
    <w:rsid w:val="142A11D8"/>
    <w:rsid w:val="144B544C"/>
    <w:rsid w:val="145B7B45"/>
    <w:rsid w:val="14717443"/>
    <w:rsid w:val="148D52E3"/>
    <w:rsid w:val="14992B90"/>
    <w:rsid w:val="14AF1856"/>
    <w:rsid w:val="14AF19A3"/>
    <w:rsid w:val="14B53957"/>
    <w:rsid w:val="14C53ECE"/>
    <w:rsid w:val="14E002E6"/>
    <w:rsid w:val="14FC36BD"/>
    <w:rsid w:val="151E3A0F"/>
    <w:rsid w:val="1557566D"/>
    <w:rsid w:val="15811F1B"/>
    <w:rsid w:val="15A30135"/>
    <w:rsid w:val="15A34015"/>
    <w:rsid w:val="15E2236F"/>
    <w:rsid w:val="161D09ED"/>
    <w:rsid w:val="162323A3"/>
    <w:rsid w:val="162F30B1"/>
    <w:rsid w:val="16510F12"/>
    <w:rsid w:val="166448F9"/>
    <w:rsid w:val="16647475"/>
    <w:rsid w:val="16726180"/>
    <w:rsid w:val="1677211D"/>
    <w:rsid w:val="167954F9"/>
    <w:rsid w:val="16A060BA"/>
    <w:rsid w:val="16A57EAF"/>
    <w:rsid w:val="16AC6E3F"/>
    <w:rsid w:val="16C872D5"/>
    <w:rsid w:val="16D54FA3"/>
    <w:rsid w:val="16D84D9F"/>
    <w:rsid w:val="16E94D3E"/>
    <w:rsid w:val="170D06E0"/>
    <w:rsid w:val="17332185"/>
    <w:rsid w:val="17475951"/>
    <w:rsid w:val="179F2E61"/>
    <w:rsid w:val="17C227C0"/>
    <w:rsid w:val="18097740"/>
    <w:rsid w:val="185D3C42"/>
    <w:rsid w:val="185F38AF"/>
    <w:rsid w:val="18AD1BEB"/>
    <w:rsid w:val="18B3004A"/>
    <w:rsid w:val="18B96080"/>
    <w:rsid w:val="18F67868"/>
    <w:rsid w:val="18F71640"/>
    <w:rsid w:val="190B2D88"/>
    <w:rsid w:val="190E6B63"/>
    <w:rsid w:val="19123928"/>
    <w:rsid w:val="19194264"/>
    <w:rsid w:val="19420786"/>
    <w:rsid w:val="19427EC0"/>
    <w:rsid w:val="195711D7"/>
    <w:rsid w:val="195D2A3F"/>
    <w:rsid w:val="198310E9"/>
    <w:rsid w:val="198D747A"/>
    <w:rsid w:val="19A15638"/>
    <w:rsid w:val="1A125525"/>
    <w:rsid w:val="1A514E33"/>
    <w:rsid w:val="1A5F4342"/>
    <w:rsid w:val="1A8C5D82"/>
    <w:rsid w:val="1A994988"/>
    <w:rsid w:val="1A9B546C"/>
    <w:rsid w:val="1AA3511F"/>
    <w:rsid w:val="1AAE3B54"/>
    <w:rsid w:val="1AC10987"/>
    <w:rsid w:val="1B0C5B32"/>
    <w:rsid w:val="1B0D3E82"/>
    <w:rsid w:val="1B1652AB"/>
    <w:rsid w:val="1B181CD5"/>
    <w:rsid w:val="1B265306"/>
    <w:rsid w:val="1B4F2450"/>
    <w:rsid w:val="1B8C18B7"/>
    <w:rsid w:val="1BB73AE1"/>
    <w:rsid w:val="1BCD0437"/>
    <w:rsid w:val="1BDA6D68"/>
    <w:rsid w:val="1C555978"/>
    <w:rsid w:val="1C6554A1"/>
    <w:rsid w:val="1C7971B7"/>
    <w:rsid w:val="1CD402EC"/>
    <w:rsid w:val="1CF02333"/>
    <w:rsid w:val="1D0C33A2"/>
    <w:rsid w:val="1D113E6E"/>
    <w:rsid w:val="1D114E5E"/>
    <w:rsid w:val="1D1F0050"/>
    <w:rsid w:val="1D2222DC"/>
    <w:rsid w:val="1D545FFC"/>
    <w:rsid w:val="1D5B3CDE"/>
    <w:rsid w:val="1D6E2950"/>
    <w:rsid w:val="1D98209B"/>
    <w:rsid w:val="1DA23746"/>
    <w:rsid w:val="1DAA14B9"/>
    <w:rsid w:val="1DD04513"/>
    <w:rsid w:val="1E4C5F8A"/>
    <w:rsid w:val="1E656063"/>
    <w:rsid w:val="1E6B06A5"/>
    <w:rsid w:val="1E7F7D9E"/>
    <w:rsid w:val="1E840DA4"/>
    <w:rsid w:val="1EA5444C"/>
    <w:rsid w:val="1EB350EF"/>
    <w:rsid w:val="1EC21749"/>
    <w:rsid w:val="1EEB7C4E"/>
    <w:rsid w:val="1F171B83"/>
    <w:rsid w:val="1F2D491A"/>
    <w:rsid w:val="1F7369C7"/>
    <w:rsid w:val="1F94547B"/>
    <w:rsid w:val="1FAF308C"/>
    <w:rsid w:val="1FC11109"/>
    <w:rsid w:val="1FEF08C8"/>
    <w:rsid w:val="1FF72E6A"/>
    <w:rsid w:val="201B3ED4"/>
    <w:rsid w:val="20310B02"/>
    <w:rsid w:val="206F0406"/>
    <w:rsid w:val="20784063"/>
    <w:rsid w:val="207E346A"/>
    <w:rsid w:val="208E12C3"/>
    <w:rsid w:val="209502A3"/>
    <w:rsid w:val="20B9460A"/>
    <w:rsid w:val="210F579E"/>
    <w:rsid w:val="212550B5"/>
    <w:rsid w:val="21484F14"/>
    <w:rsid w:val="21592B62"/>
    <w:rsid w:val="21747CD2"/>
    <w:rsid w:val="219E5782"/>
    <w:rsid w:val="21E72B0B"/>
    <w:rsid w:val="21F03389"/>
    <w:rsid w:val="221F2D96"/>
    <w:rsid w:val="22246DB1"/>
    <w:rsid w:val="22440067"/>
    <w:rsid w:val="225A6017"/>
    <w:rsid w:val="227A5532"/>
    <w:rsid w:val="22843A03"/>
    <w:rsid w:val="22A338AB"/>
    <w:rsid w:val="22AD37A2"/>
    <w:rsid w:val="22B31E8A"/>
    <w:rsid w:val="22C735BD"/>
    <w:rsid w:val="23122833"/>
    <w:rsid w:val="23223458"/>
    <w:rsid w:val="23225D32"/>
    <w:rsid w:val="23357BE6"/>
    <w:rsid w:val="2342574E"/>
    <w:rsid w:val="2377331D"/>
    <w:rsid w:val="237D43DE"/>
    <w:rsid w:val="23940114"/>
    <w:rsid w:val="23B57016"/>
    <w:rsid w:val="23D4764B"/>
    <w:rsid w:val="23EC3718"/>
    <w:rsid w:val="24044EF2"/>
    <w:rsid w:val="2407139D"/>
    <w:rsid w:val="240B04F4"/>
    <w:rsid w:val="242A0646"/>
    <w:rsid w:val="2435301D"/>
    <w:rsid w:val="243D6E1A"/>
    <w:rsid w:val="24607F91"/>
    <w:rsid w:val="246C581B"/>
    <w:rsid w:val="247C52A2"/>
    <w:rsid w:val="24CC106B"/>
    <w:rsid w:val="24D00598"/>
    <w:rsid w:val="24D725E9"/>
    <w:rsid w:val="25045F70"/>
    <w:rsid w:val="25056E93"/>
    <w:rsid w:val="25092EBA"/>
    <w:rsid w:val="25241020"/>
    <w:rsid w:val="256016AA"/>
    <w:rsid w:val="257572C3"/>
    <w:rsid w:val="25790E85"/>
    <w:rsid w:val="25972C60"/>
    <w:rsid w:val="259D1676"/>
    <w:rsid w:val="25A353EB"/>
    <w:rsid w:val="25B87B65"/>
    <w:rsid w:val="25CB78C3"/>
    <w:rsid w:val="25D54390"/>
    <w:rsid w:val="261879A7"/>
    <w:rsid w:val="264B0BA4"/>
    <w:rsid w:val="268C5256"/>
    <w:rsid w:val="268E455B"/>
    <w:rsid w:val="26912B30"/>
    <w:rsid w:val="269772F0"/>
    <w:rsid w:val="26A30712"/>
    <w:rsid w:val="26AC0C27"/>
    <w:rsid w:val="26C807A6"/>
    <w:rsid w:val="26DB67BA"/>
    <w:rsid w:val="26E311CD"/>
    <w:rsid w:val="26EF24ED"/>
    <w:rsid w:val="26F1408A"/>
    <w:rsid w:val="27015370"/>
    <w:rsid w:val="270B421F"/>
    <w:rsid w:val="274E2228"/>
    <w:rsid w:val="27517A93"/>
    <w:rsid w:val="276658E8"/>
    <w:rsid w:val="277E30D2"/>
    <w:rsid w:val="27803F2A"/>
    <w:rsid w:val="27A34941"/>
    <w:rsid w:val="283C23DF"/>
    <w:rsid w:val="284C16F5"/>
    <w:rsid w:val="28570AB5"/>
    <w:rsid w:val="28C2534B"/>
    <w:rsid w:val="28C5525A"/>
    <w:rsid w:val="28D14B96"/>
    <w:rsid w:val="29020C46"/>
    <w:rsid w:val="290240C7"/>
    <w:rsid w:val="29274EE0"/>
    <w:rsid w:val="2969197F"/>
    <w:rsid w:val="29746E87"/>
    <w:rsid w:val="297C03C2"/>
    <w:rsid w:val="299573AB"/>
    <w:rsid w:val="29BE5BD0"/>
    <w:rsid w:val="29C01572"/>
    <w:rsid w:val="29E74CE2"/>
    <w:rsid w:val="2A306A36"/>
    <w:rsid w:val="2A5372C6"/>
    <w:rsid w:val="2A5B03D8"/>
    <w:rsid w:val="2A6F6D07"/>
    <w:rsid w:val="2A882500"/>
    <w:rsid w:val="2AB63ABC"/>
    <w:rsid w:val="2B003D00"/>
    <w:rsid w:val="2B074D5E"/>
    <w:rsid w:val="2B0B7C95"/>
    <w:rsid w:val="2B100BA9"/>
    <w:rsid w:val="2B1E3AFC"/>
    <w:rsid w:val="2B9E4F56"/>
    <w:rsid w:val="2BDB5A88"/>
    <w:rsid w:val="2BE91C37"/>
    <w:rsid w:val="2BEC3F72"/>
    <w:rsid w:val="2C083572"/>
    <w:rsid w:val="2C185F94"/>
    <w:rsid w:val="2C1F1AC4"/>
    <w:rsid w:val="2C3F3A41"/>
    <w:rsid w:val="2C4431C4"/>
    <w:rsid w:val="2C62059F"/>
    <w:rsid w:val="2C6634FA"/>
    <w:rsid w:val="2CAC022C"/>
    <w:rsid w:val="2CC11807"/>
    <w:rsid w:val="2CF16074"/>
    <w:rsid w:val="2CF81D1B"/>
    <w:rsid w:val="2D3F2453"/>
    <w:rsid w:val="2D835174"/>
    <w:rsid w:val="2DD90B7B"/>
    <w:rsid w:val="2DDD3FC1"/>
    <w:rsid w:val="2DF701D8"/>
    <w:rsid w:val="2DF970A1"/>
    <w:rsid w:val="2E085834"/>
    <w:rsid w:val="2E1034F8"/>
    <w:rsid w:val="2E505773"/>
    <w:rsid w:val="2E536D4E"/>
    <w:rsid w:val="2E742F70"/>
    <w:rsid w:val="2EDC2A13"/>
    <w:rsid w:val="2EFD7DB9"/>
    <w:rsid w:val="2F1A081D"/>
    <w:rsid w:val="2F1E3DC0"/>
    <w:rsid w:val="2F3112DE"/>
    <w:rsid w:val="2F3B6922"/>
    <w:rsid w:val="2F506C6D"/>
    <w:rsid w:val="2F51291F"/>
    <w:rsid w:val="2F55758A"/>
    <w:rsid w:val="2F57478F"/>
    <w:rsid w:val="2F7F15AE"/>
    <w:rsid w:val="2FA54796"/>
    <w:rsid w:val="2FA674E2"/>
    <w:rsid w:val="2FFE7D49"/>
    <w:rsid w:val="302A5C42"/>
    <w:rsid w:val="3075258E"/>
    <w:rsid w:val="30865A55"/>
    <w:rsid w:val="30BF439A"/>
    <w:rsid w:val="30CB1B61"/>
    <w:rsid w:val="30CF6A37"/>
    <w:rsid w:val="30D250CF"/>
    <w:rsid w:val="31002970"/>
    <w:rsid w:val="311016AD"/>
    <w:rsid w:val="3136622A"/>
    <w:rsid w:val="3139422E"/>
    <w:rsid w:val="31700E4B"/>
    <w:rsid w:val="3172683C"/>
    <w:rsid w:val="31A359FC"/>
    <w:rsid w:val="31AD0D61"/>
    <w:rsid w:val="31CD73BD"/>
    <w:rsid w:val="31D66571"/>
    <w:rsid w:val="31DB4220"/>
    <w:rsid w:val="31E63B94"/>
    <w:rsid w:val="32176602"/>
    <w:rsid w:val="322A7699"/>
    <w:rsid w:val="322B25C6"/>
    <w:rsid w:val="32422E70"/>
    <w:rsid w:val="325E56C6"/>
    <w:rsid w:val="3275698A"/>
    <w:rsid w:val="32B943EC"/>
    <w:rsid w:val="32DC63A0"/>
    <w:rsid w:val="32E429C1"/>
    <w:rsid w:val="334A3B2A"/>
    <w:rsid w:val="3365592E"/>
    <w:rsid w:val="336F6533"/>
    <w:rsid w:val="337E5E2F"/>
    <w:rsid w:val="3384610D"/>
    <w:rsid w:val="33AA5979"/>
    <w:rsid w:val="33C03E90"/>
    <w:rsid w:val="33C346B6"/>
    <w:rsid w:val="33C96649"/>
    <w:rsid w:val="33CC3D88"/>
    <w:rsid w:val="33D76F4A"/>
    <w:rsid w:val="33FD722F"/>
    <w:rsid w:val="3400362D"/>
    <w:rsid w:val="340B09C5"/>
    <w:rsid w:val="34153E0C"/>
    <w:rsid w:val="341E4CAB"/>
    <w:rsid w:val="34584EE2"/>
    <w:rsid w:val="347D373F"/>
    <w:rsid w:val="34956481"/>
    <w:rsid w:val="34A35871"/>
    <w:rsid w:val="34C06C9D"/>
    <w:rsid w:val="34DF24AE"/>
    <w:rsid w:val="351C4931"/>
    <w:rsid w:val="351D4C26"/>
    <w:rsid w:val="35361A77"/>
    <w:rsid w:val="35461A22"/>
    <w:rsid w:val="35483CC9"/>
    <w:rsid w:val="35A815CB"/>
    <w:rsid w:val="35AA1B9C"/>
    <w:rsid w:val="35DB09A6"/>
    <w:rsid w:val="35FA60C0"/>
    <w:rsid w:val="360D2FA1"/>
    <w:rsid w:val="369B4CF0"/>
    <w:rsid w:val="36D62629"/>
    <w:rsid w:val="36D76172"/>
    <w:rsid w:val="36E833BB"/>
    <w:rsid w:val="36EB1E1B"/>
    <w:rsid w:val="36F17F0D"/>
    <w:rsid w:val="3735197D"/>
    <w:rsid w:val="373756A2"/>
    <w:rsid w:val="375E0DA6"/>
    <w:rsid w:val="378B61A6"/>
    <w:rsid w:val="37CD3F98"/>
    <w:rsid w:val="37DF75BA"/>
    <w:rsid w:val="37E148E2"/>
    <w:rsid w:val="38304889"/>
    <w:rsid w:val="38382675"/>
    <w:rsid w:val="3851700B"/>
    <w:rsid w:val="385246B6"/>
    <w:rsid w:val="38A53DB7"/>
    <w:rsid w:val="38BF3388"/>
    <w:rsid w:val="38CC268D"/>
    <w:rsid w:val="38EC2960"/>
    <w:rsid w:val="3904606D"/>
    <w:rsid w:val="3906718E"/>
    <w:rsid w:val="392536E2"/>
    <w:rsid w:val="39465F15"/>
    <w:rsid w:val="396453C5"/>
    <w:rsid w:val="39922CCF"/>
    <w:rsid w:val="39A65327"/>
    <w:rsid w:val="39A65C9B"/>
    <w:rsid w:val="39BC5ED6"/>
    <w:rsid w:val="39EB39E0"/>
    <w:rsid w:val="39EF02D4"/>
    <w:rsid w:val="3A11342A"/>
    <w:rsid w:val="3A153110"/>
    <w:rsid w:val="3A2507C0"/>
    <w:rsid w:val="3A297E52"/>
    <w:rsid w:val="3A393FA7"/>
    <w:rsid w:val="3A3C5CF8"/>
    <w:rsid w:val="3A64203E"/>
    <w:rsid w:val="3A663D00"/>
    <w:rsid w:val="3A7428D0"/>
    <w:rsid w:val="3A923AE4"/>
    <w:rsid w:val="3AA50E25"/>
    <w:rsid w:val="3AC566E3"/>
    <w:rsid w:val="3AC76C6D"/>
    <w:rsid w:val="3AD6747A"/>
    <w:rsid w:val="3B3D0FF2"/>
    <w:rsid w:val="3B48756F"/>
    <w:rsid w:val="3B521A18"/>
    <w:rsid w:val="3B923660"/>
    <w:rsid w:val="3BCA44BE"/>
    <w:rsid w:val="3C061F3A"/>
    <w:rsid w:val="3C244FFA"/>
    <w:rsid w:val="3C495480"/>
    <w:rsid w:val="3C6F0167"/>
    <w:rsid w:val="3C71667B"/>
    <w:rsid w:val="3C914F3B"/>
    <w:rsid w:val="3CA72347"/>
    <w:rsid w:val="3CC17F13"/>
    <w:rsid w:val="3CE320A3"/>
    <w:rsid w:val="3CE9196C"/>
    <w:rsid w:val="3CF15105"/>
    <w:rsid w:val="3D0C04B9"/>
    <w:rsid w:val="3D1414C5"/>
    <w:rsid w:val="3D1C763E"/>
    <w:rsid w:val="3D201AA5"/>
    <w:rsid w:val="3D2B37EA"/>
    <w:rsid w:val="3D2F7FF3"/>
    <w:rsid w:val="3D3D1507"/>
    <w:rsid w:val="3D62085B"/>
    <w:rsid w:val="3D7B4622"/>
    <w:rsid w:val="3D942E29"/>
    <w:rsid w:val="3DB54E0C"/>
    <w:rsid w:val="3DB900C1"/>
    <w:rsid w:val="3DE91725"/>
    <w:rsid w:val="3DF159B1"/>
    <w:rsid w:val="3E0B6E71"/>
    <w:rsid w:val="3E1A106E"/>
    <w:rsid w:val="3E36303B"/>
    <w:rsid w:val="3E526044"/>
    <w:rsid w:val="3E8C5311"/>
    <w:rsid w:val="3E8E7E55"/>
    <w:rsid w:val="3EB61473"/>
    <w:rsid w:val="3ECD4837"/>
    <w:rsid w:val="3F2C3542"/>
    <w:rsid w:val="3F315E6B"/>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394FD1"/>
    <w:rsid w:val="40425879"/>
    <w:rsid w:val="40765D15"/>
    <w:rsid w:val="40786454"/>
    <w:rsid w:val="407F2DE9"/>
    <w:rsid w:val="408C5A03"/>
    <w:rsid w:val="40991379"/>
    <w:rsid w:val="409B3C3D"/>
    <w:rsid w:val="40F701DF"/>
    <w:rsid w:val="40FD480A"/>
    <w:rsid w:val="412A32F8"/>
    <w:rsid w:val="417F433E"/>
    <w:rsid w:val="41B7239D"/>
    <w:rsid w:val="41E47AD6"/>
    <w:rsid w:val="41FF3845"/>
    <w:rsid w:val="421104A9"/>
    <w:rsid w:val="42143B88"/>
    <w:rsid w:val="42164586"/>
    <w:rsid w:val="422143B7"/>
    <w:rsid w:val="425B5DD1"/>
    <w:rsid w:val="4260300C"/>
    <w:rsid w:val="42800B9B"/>
    <w:rsid w:val="42A06B6C"/>
    <w:rsid w:val="42EA5650"/>
    <w:rsid w:val="431408DA"/>
    <w:rsid w:val="4331401E"/>
    <w:rsid w:val="434C7A70"/>
    <w:rsid w:val="435A0DF2"/>
    <w:rsid w:val="436C42E1"/>
    <w:rsid w:val="437C210F"/>
    <w:rsid w:val="43847F02"/>
    <w:rsid w:val="438F113C"/>
    <w:rsid w:val="439E7EFB"/>
    <w:rsid w:val="43B1568A"/>
    <w:rsid w:val="43D43ECA"/>
    <w:rsid w:val="43DD452F"/>
    <w:rsid w:val="43DE6CD4"/>
    <w:rsid w:val="43E51150"/>
    <w:rsid w:val="43EF28BB"/>
    <w:rsid w:val="43EF56D3"/>
    <w:rsid w:val="440A6FD2"/>
    <w:rsid w:val="444946CA"/>
    <w:rsid w:val="444B3F54"/>
    <w:rsid w:val="4476661F"/>
    <w:rsid w:val="447E3AC5"/>
    <w:rsid w:val="44A90BAA"/>
    <w:rsid w:val="44B24A20"/>
    <w:rsid w:val="44BC0BEE"/>
    <w:rsid w:val="44FB1C9C"/>
    <w:rsid w:val="451C313A"/>
    <w:rsid w:val="454F1836"/>
    <w:rsid w:val="45887B45"/>
    <w:rsid w:val="458B66DF"/>
    <w:rsid w:val="45940F0E"/>
    <w:rsid w:val="45AC5DBA"/>
    <w:rsid w:val="45C647AF"/>
    <w:rsid w:val="45DD529D"/>
    <w:rsid w:val="45E57886"/>
    <w:rsid w:val="46003076"/>
    <w:rsid w:val="46177E29"/>
    <w:rsid w:val="46205B7F"/>
    <w:rsid w:val="465D501C"/>
    <w:rsid w:val="466367DB"/>
    <w:rsid w:val="46686D18"/>
    <w:rsid w:val="46C3037C"/>
    <w:rsid w:val="46FF15E0"/>
    <w:rsid w:val="4700581C"/>
    <w:rsid w:val="4702516A"/>
    <w:rsid w:val="474A4B33"/>
    <w:rsid w:val="47665A15"/>
    <w:rsid w:val="47677941"/>
    <w:rsid w:val="477F1660"/>
    <w:rsid w:val="4788232A"/>
    <w:rsid w:val="478B0398"/>
    <w:rsid w:val="478F5D0B"/>
    <w:rsid w:val="47974BB9"/>
    <w:rsid w:val="47B8724E"/>
    <w:rsid w:val="47ED7BCA"/>
    <w:rsid w:val="48016F34"/>
    <w:rsid w:val="480556DB"/>
    <w:rsid w:val="48185C56"/>
    <w:rsid w:val="4832531E"/>
    <w:rsid w:val="48450F81"/>
    <w:rsid w:val="484E729D"/>
    <w:rsid w:val="485A23C2"/>
    <w:rsid w:val="48A16B62"/>
    <w:rsid w:val="48BC6222"/>
    <w:rsid w:val="48C245E9"/>
    <w:rsid w:val="48DB312A"/>
    <w:rsid w:val="48DF49D9"/>
    <w:rsid w:val="492108CC"/>
    <w:rsid w:val="49E669E4"/>
    <w:rsid w:val="4A05334F"/>
    <w:rsid w:val="4A082FF4"/>
    <w:rsid w:val="4A244932"/>
    <w:rsid w:val="4A2922C8"/>
    <w:rsid w:val="4A4117B2"/>
    <w:rsid w:val="4A7A4350"/>
    <w:rsid w:val="4A7E2497"/>
    <w:rsid w:val="4A896826"/>
    <w:rsid w:val="4ABF5E17"/>
    <w:rsid w:val="4AE01A66"/>
    <w:rsid w:val="4AED707B"/>
    <w:rsid w:val="4B0B7979"/>
    <w:rsid w:val="4B520DF4"/>
    <w:rsid w:val="4B603107"/>
    <w:rsid w:val="4B9802B0"/>
    <w:rsid w:val="4B9E65BE"/>
    <w:rsid w:val="4B9F33A8"/>
    <w:rsid w:val="4BA80AFD"/>
    <w:rsid w:val="4BB033BA"/>
    <w:rsid w:val="4BB469AD"/>
    <w:rsid w:val="4BC06040"/>
    <w:rsid w:val="4BF441D2"/>
    <w:rsid w:val="4C1C2A09"/>
    <w:rsid w:val="4C694192"/>
    <w:rsid w:val="4C7964D9"/>
    <w:rsid w:val="4C9269F6"/>
    <w:rsid w:val="4CC84335"/>
    <w:rsid w:val="4CCF375F"/>
    <w:rsid w:val="4CE9350A"/>
    <w:rsid w:val="4CF632F0"/>
    <w:rsid w:val="4D297BF3"/>
    <w:rsid w:val="4D2D0EAF"/>
    <w:rsid w:val="4D63401A"/>
    <w:rsid w:val="4D7F0082"/>
    <w:rsid w:val="4D7F33D4"/>
    <w:rsid w:val="4D952FD9"/>
    <w:rsid w:val="4D970662"/>
    <w:rsid w:val="4DB33393"/>
    <w:rsid w:val="4DCF1E0D"/>
    <w:rsid w:val="4DD632D9"/>
    <w:rsid w:val="4DE05DF9"/>
    <w:rsid w:val="4DE44800"/>
    <w:rsid w:val="4DEE0709"/>
    <w:rsid w:val="4DFC14EA"/>
    <w:rsid w:val="4DFF6815"/>
    <w:rsid w:val="4E0A3427"/>
    <w:rsid w:val="4E27036A"/>
    <w:rsid w:val="4E304B5D"/>
    <w:rsid w:val="4E682F8C"/>
    <w:rsid w:val="4E6A7BB7"/>
    <w:rsid w:val="4F0773B4"/>
    <w:rsid w:val="4F307BB1"/>
    <w:rsid w:val="4F3D562D"/>
    <w:rsid w:val="4F5C4EE0"/>
    <w:rsid w:val="4F6E1972"/>
    <w:rsid w:val="4F943166"/>
    <w:rsid w:val="4FBA02A1"/>
    <w:rsid w:val="4FE7106E"/>
    <w:rsid w:val="50053943"/>
    <w:rsid w:val="50550E55"/>
    <w:rsid w:val="509F43E4"/>
    <w:rsid w:val="50A54D3E"/>
    <w:rsid w:val="50F1402B"/>
    <w:rsid w:val="50FD2AD9"/>
    <w:rsid w:val="51097D9A"/>
    <w:rsid w:val="51237D2E"/>
    <w:rsid w:val="51996737"/>
    <w:rsid w:val="51B408B8"/>
    <w:rsid w:val="51CC0868"/>
    <w:rsid w:val="51D5340F"/>
    <w:rsid w:val="52382F2A"/>
    <w:rsid w:val="52386E3D"/>
    <w:rsid w:val="523A7DD1"/>
    <w:rsid w:val="5271774C"/>
    <w:rsid w:val="529003B1"/>
    <w:rsid w:val="52DE008D"/>
    <w:rsid w:val="52EE341E"/>
    <w:rsid w:val="52F37FE6"/>
    <w:rsid w:val="52FC1CAF"/>
    <w:rsid w:val="532540D9"/>
    <w:rsid w:val="532B6CAF"/>
    <w:rsid w:val="53350D91"/>
    <w:rsid w:val="53412644"/>
    <w:rsid w:val="53433903"/>
    <w:rsid w:val="53517A72"/>
    <w:rsid w:val="5361549D"/>
    <w:rsid w:val="536220DA"/>
    <w:rsid w:val="53650637"/>
    <w:rsid w:val="53757C6B"/>
    <w:rsid w:val="537E1075"/>
    <w:rsid w:val="53A44D07"/>
    <w:rsid w:val="53A46AC8"/>
    <w:rsid w:val="53AB7F1F"/>
    <w:rsid w:val="53AC6F7B"/>
    <w:rsid w:val="53EB297B"/>
    <w:rsid w:val="542E2BC2"/>
    <w:rsid w:val="54352A96"/>
    <w:rsid w:val="54425CFB"/>
    <w:rsid w:val="54447390"/>
    <w:rsid w:val="545E1D01"/>
    <w:rsid w:val="54935B8F"/>
    <w:rsid w:val="54CC6227"/>
    <w:rsid w:val="54D10F9B"/>
    <w:rsid w:val="551D586C"/>
    <w:rsid w:val="55200298"/>
    <w:rsid w:val="55335E1B"/>
    <w:rsid w:val="554B7EF0"/>
    <w:rsid w:val="556F3D99"/>
    <w:rsid w:val="55860894"/>
    <w:rsid w:val="55B02DF1"/>
    <w:rsid w:val="55DC290C"/>
    <w:rsid w:val="55F01FA1"/>
    <w:rsid w:val="56990B7C"/>
    <w:rsid w:val="569E1126"/>
    <w:rsid w:val="56AC249A"/>
    <w:rsid w:val="56B80DEB"/>
    <w:rsid w:val="56E06E61"/>
    <w:rsid w:val="56F653FE"/>
    <w:rsid w:val="575B7AFD"/>
    <w:rsid w:val="57660D3F"/>
    <w:rsid w:val="57706F91"/>
    <w:rsid w:val="57D1153D"/>
    <w:rsid w:val="57FA3774"/>
    <w:rsid w:val="58084A3C"/>
    <w:rsid w:val="585D2975"/>
    <w:rsid w:val="587E3341"/>
    <w:rsid w:val="58CF56D8"/>
    <w:rsid w:val="58D31010"/>
    <w:rsid w:val="58D6741E"/>
    <w:rsid w:val="58EA3D0E"/>
    <w:rsid w:val="58F71269"/>
    <w:rsid w:val="58FE045E"/>
    <w:rsid w:val="590F448D"/>
    <w:rsid w:val="59561946"/>
    <w:rsid w:val="596707B8"/>
    <w:rsid w:val="59670F51"/>
    <w:rsid w:val="596A44F9"/>
    <w:rsid w:val="596C19BB"/>
    <w:rsid w:val="59790BDB"/>
    <w:rsid w:val="598653AC"/>
    <w:rsid w:val="59AB52AC"/>
    <w:rsid w:val="59AC3C86"/>
    <w:rsid w:val="59D42FDA"/>
    <w:rsid w:val="59DA4E01"/>
    <w:rsid w:val="59F64E82"/>
    <w:rsid w:val="5A10435C"/>
    <w:rsid w:val="5A2654CC"/>
    <w:rsid w:val="5A323A44"/>
    <w:rsid w:val="5A395E66"/>
    <w:rsid w:val="5A484352"/>
    <w:rsid w:val="5A5321A5"/>
    <w:rsid w:val="5A745221"/>
    <w:rsid w:val="5A8734AF"/>
    <w:rsid w:val="5A9D3E45"/>
    <w:rsid w:val="5AA4101D"/>
    <w:rsid w:val="5AB17576"/>
    <w:rsid w:val="5ABD68E6"/>
    <w:rsid w:val="5ABF73D2"/>
    <w:rsid w:val="5ACB3D8A"/>
    <w:rsid w:val="5AE1508F"/>
    <w:rsid w:val="5AF80256"/>
    <w:rsid w:val="5B110CC9"/>
    <w:rsid w:val="5B1F7B5D"/>
    <w:rsid w:val="5B585171"/>
    <w:rsid w:val="5B585B78"/>
    <w:rsid w:val="5B9A2B59"/>
    <w:rsid w:val="5BC0085A"/>
    <w:rsid w:val="5BC349B4"/>
    <w:rsid w:val="5BF03D58"/>
    <w:rsid w:val="5C0F0D26"/>
    <w:rsid w:val="5C1A6BB2"/>
    <w:rsid w:val="5C5355FE"/>
    <w:rsid w:val="5C6F4105"/>
    <w:rsid w:val="5C7A4EE2"/>
    <w:rsid w:val="5CBB7F6F"/>
    <w:rsid w:val="5CCE3A33"/>
    <w:rsid w:val="5D426797"/>
    <w:rsid w:val="5D7C3F11"/>
    <w:rsid w:val="5D9D49E0"/>
    <w:rsid w:val="5DDF1821"/>
    <w:rsid w:val="5DEA2F91"/>
    <w:rsid w:val="5E3146A3"/>
    <w:rsid w:val="5E442F62"/>
    <w:rsid w:val="5E6C2C5B"/>
    <w:rsid w:val="5E7251A2"/>
    <w:rsid w:val="5E7C3591"/>
    <w:rsid w:val="5E9D0E18"/>
    <w:rsid w:val="5EA2144B"/>
    <w:rsid w:val="5EA341D7"/>
    <w:rsid w:val="5EA755DE"/>
    <w:rsid w:val="5ED35F0E"/>
    <w:rsid w:val="5EFC1390"/>
    <w:rsid w:val="5EFC3EB6"/>
    <w:rsid w:val="5F03335D"/>
    <w:rsid w:val="5F0368C7"/>
    <w:rsid w:val="5F1544E7"/>
    <w:rsid w:val="5F3C4923"/>
    <w:rsid w:val="5F9A65E6"/>
    <w:rsid w:val="5F9B2627"/>
    <w:rsid w:val="5FAC7B1F"/>
    <w:rsid w:val="5FB80E3D"/>
    <w:rsid w:val="5FB831B4"/>
    <w:rsid w:val="5FD40999"/>
    <w:rsid w:val="5FE5522B"/>
    <w:rsid w:val="5FF03F08"/>
    <w:rsid w:val="5FF2548E"/>
    <w:rsid w:val="5FF313D3"/>
    <w:rsid w:val="602610FD"/>
    <w:rsid w:val="602808B2"/>
    <w:rsid w:val="603814FF"/>
    <w:rsid w:val="604109A8"/>
    <w:rsid w:val="605D2617"/>
    <w:rsid w:val="60616CDC"/>
    <w:rsid w:val="60624E53"/>
    <w:rsid w:val="606319E5"/>
    <w:rsid w:val="607B3C50"/>
    <w:rsid w:val="6080262B"/>
    <w:rsid w:val="608B6567"/>
    <w:rsid w:val="60FF21D9"/>
    <w:rsid w:val="613253FD"/>
    <w:rsid w:val="61421F29"/>
    <w:rsid w:val="61712185"/>
    <w:rsid w:val="61970898"/>
    <w:rsid w:val="61A90D68"/>
    <w:rsid w:val="621775E2"/>
    <w:rsid w:val="622F7552"/>
    <w:rsid w:val="6250406E"/>
    <w:rsid w:val="627D6831"/>
    <w:rsid w:val="62811B1C"/>
    <w:rsid w:val="62A20409"/>
    <w:rsid w:val="62B54B44"/>
    <w:rsid w:val="62E045DA"/>
    <w:rsid w:val="62E454A1"/>
    <w:rsid w:val="62F36E4C"/>
    <w:rsid w:val="62F47F8F"/>
    <w:rsid w:val="62F7233F"/>
    <w:rsid w:val="6340438B"/>
    <w:rsid w:val="6353238E"/>
    <w:rsid w:val="63612AB8"/>
    <w:rsid w:val="637D0978"/>
    <w:rsid w:val="638968B0"/>
    <w:rsid w:val="638A282C"/>
    <w:rsid w:val="63A85E90"/>
    <w:rsid w:val="63A962DB"/>
    <w:rsid w:val="63AB1A91"/>
    <w:rsid w:val="63BD41A6"/>
    <w:rsid w:val="63EE4692"/>
    <w:rsid w:val="63FD622D"/>
    <w:rsid w:val="64035FDE"/>
    <w:rsid w:val="643F32F9"/>
    <w:rsid w:val="64582686"/>
    <w:rsid w:val="64673C87"/>
    <w:rsid w:val="64964373"/>
    <w:rsid w:val="64A251DD"/>
    <w:rsid w:val="64AF4418"/>
    <w:rsid w:val="64DB63AB"/>
    <w:rsid w:val="650242F0"/>
    <w:rsid w:val="65542778"/>
    <w:rsid w:val="655829AF"/>
    <w:rsid w:val="656B70C3"/>
    <w:rsid w:val="658F4798"/>
    <w:rsid w:val="659B1EBA"/>
    <w:rsid w:val="65B461E9"/>
    <w:rsid w:val="65BE39A8"/>
    <w:rsid w:val="65FB3FBE"/>
    <w:rsid w:val="66247D11"/>
    <w:rsid w:val="66736112"/>
    <w:rsid w:val="66763171"/>
    <w:rsid w:val="667F5B5B"/>
    <w:rsid w:val="66897C79"/>
    <w:rsid w:val="6694262A"/>
    <w:rsid w:val="669609C2"/>
    <w:rsid w:val="66990381"/>
    <w:rsid w:val="66B31B01"/>
    <w:rsid w:val="66CE1E80"/>
    <w:rsid w:val="66E362F9"/>
    <w:rsid w:val="66E47FD9"/>
    <w:rsid w:val="67071922"/>
    <w:rsid w:val="671626D9"/>
    <w:rsid w:val="673B73C0"/>
    <w:rsid w:val="675608B6"/>
    <w:rsid w:val="67754402"/>
    <w:rsid w:val="677D54ED"/>
    <w:rsid w:val="67AC6886"/>
    <w:rsid w:val="67B25E27"/>
    <w:rsid w:val="67C4383B"/>
    <w:rsid w:val="67D35E1A"/>
    <w:rsid w:val="67F35317"/>
    <w:rsid w:val="680201B7"/>
    <w:rsid w:val="68362BFB"/>
    <w:rsid w:val="683F1130"/>
    <w:rsid w:val="684456A1"/>
    <w:rsid w:val="685E1363"/>
    <w:rsid w:val="688E1089"/>
    <w:rsid w:val="68A026F3"/>
    <w:rsid w:val="68AF6C13"/>
    <w:rsid w:val="690E07C7"/>
    <w:rsid w:val="69236A65"/>
    <w:rsid w:val="692E469B"/>
    <w:rsid w:val="69315C48"/>
    <w:rsid w:val="694019EC"/>
    <w:rsid w:val="69584DB4"/>
    <w:rsid w:val="696C3D80"/>
    <w:rsid w:val="69792EBA"/>
    <w:rsid w:val="698A5EE4"/>
    <w:rsid w:val="69C811ED"/>
    <w:rsid w:val="69D33070"/>
    <w:rsid w:val="69E97E75"/>
    <w:rsid w:val="69FB5D9E"/>
    <w:rsid w:val="6A1A3007"/>
    <w:rsid w:val="6A1E645E"/>
    <w:rsid w:val="6A417049"/>
    <w:rsid w:val="6A7903E5"/>
    <w:rsid w:val="6AA03032"/>
    <w:rsid w:val="6AA86FEC"/>
    <w:rsid w:val="6ADA6AC4"/>
    <w:rsid w:val="6ADB11D6"/>
    <w:rsid w:val="6B1A2C3C"/>
    <w:rsid w:val="6B31644D"/>
    <w:rsid w:val="6B486C86"/>
    <w:rsid w:val="6B554C72"/>
    <w:rsid w:val="6B847AD7"/>
    <w:rsid w:val="6B9A2DF9"/>
    <w:rsid w:val="6BAC4619"/>
    <w:rsid w:val="6BCD2823"/>
    <w:rsid w:val="6BDD15DD"/>
    <w:rsid w:val="6BDF2966"/>
    <w:rsid w:val="6BE86A5F"/>
    <w:rsid w:val="6BF84629"/>
    <w:rsid w:val="6C234DED"/>
    <w:rsid w:val="6C29198B"/>
    <w:rsid w:val="6C3A67D1"/>
    <w:rsid w:val="6C3D2D5C"/>
    <w:rsid w:val="6C4800AA"/>
    <w:rsid w:val="6C4D28F8"/>
    <w:rsid w:val="6C5101CA"/>
    <w:rsid w:val="6C573E9C"/>
    <w:rsid w:val="6C6D1126"/>
    <w:rsid w:val="6CA35B3A"/>
    <w:rsid w:val="6CA41A5D"/>
    <w:rsid w:val="6CAF588C"/>
    <w:rsid w:val="6CB4638E"/>
    <w:rsid w:val="6CBF3C6A"/>
    <w:rsid w:val="6CBF5306"/>
    <w:rsid w:val="6CE70FA1"/>
    <w:rsid w:val="6CFA6351"/>
    <w:rsid w:val="6CFC3C40"/>
    <w:rsid w:val="6D480984"/>
    <w:rsid w:val="6DB13E57"/>
    <w:rsid w:val="6DC71662"/>
    <w:rsid w:val="6DCD5126"/>
    <w:rsid w:val="6DDB6CB0"/>
    <w:rsid w:val="6DE52ACD"/>
    <w:rsid w:val="6DFC0B44"/>
    <w:rsid w:val="6E0458E7"/>
    <w:rsid w:val="6E212037"/>
    <w:rsid w:val="6E3B221B"/>
    <w:rsid w:val="6E475779"/>
    <w:rsid w:val="6E7764EF"/>
    <w:rsid w:val="6EAD447C"/>
    <w:rsid w:val="6ECD7F59"/>
    <w:rsid w:val="6EED7C80"/>
    <w:rsid w:val="6EF773A4"/>
    <w:rsid w:val="6F2F2D9E"/>
    <w:rsid w:val="6F4147D9"/>
    <w:rsid w:val="6F947E4B"/>
    <w:rsid w:val="6FA30BDA"/>
    <w:rsid w:val="6FB80698"/>
    <w:rsid w:val="7024611F"/>
    <w:rsid w:val="70637B96"/>
    <w:rsid w:val="70797317"/>
    <w:rsid w:val="7099044B"/>
    <w:rsid w:val="709D518F"/>
    <w:rsid w:val="70C759D3"/>
    <w:rsid w:val="70CF2B23"/>
    <w:rsid w:val="710952C1"/>
    <w:rsid w:val="71452CD8"/>
    <w:rsid w:val="7158683A"/>
    <w:rsid w:val="715B2F52"/>
    <w:rsid w:val="71764F23"/>
    <w:rsid w:val="71946576"/>
    <w:rsid w:val="71967E84"/>
    <w:rsid w:val="71A61873"/>
    <w:rsid w:val="71AF4936"/>
    <w:rsid w:val="71D75D0F"/>
    <w:rsid w:val="721919B3"/>
    <w:rsid w:val="721A6098"/>
    <w:rsid w:val="72310D1A"/>
    <w:rsid w:val="725D6B54"/>
    <w:rsid w:val="729C6026"/>
    <w:rsid w:val="72A17C99"/>
    <w:rsid w:val="72AF6F7E"/>
    <w:rsid w:val="72C576C8"/>
    <w:rsid w:val="73047904"/>
    <w:rsid w:val="734C1A6A"/>
    <w:rsid w:val="735C5949"/>
    <w:rsid w:val="73737DA5"/>
    <w:rsid w:val="73851FDD"/>
    <w:rsid w:val="73887B3E"/>
    <w:rsid w:val="73892412"/>
    <w:rsid w:val="73E96BCA"/>
    <w:rsid w:val="73EE4A6E"/>
    <w:rsid w:val="741048BC"/>
    <w:rsid w:val="742E78D4"/>
    <w:rsid w:val="74676A28"/>
    <w:rsid w:val="7479207F"/>
    <w:rsid w:val="747E40B6"/>
    <w:rsid w:val="74AC3224"/>
    <w:rsid w:val="74BB2C83"/>
    <w:rsid w:val="74DE4E5F"/>
    <w:rsid w:val="74EB54AB"/>
    <w:rsid w:val="74FF6D43"/>
    <w:rsid w:val="750201A2"/>
    <w:rsid w:val="751A76AF"/>
    <w:rsid w:val="75250574"/>
    <w:rsid w:val="7550443E"/>
    <w:rsid w:val="755F0BCC"/>
    <w:rsid w:val="756F17F9"/>
    <w:rsid w:val="75825461"/>
    <w:rsid w:val="759926FC"/>
    <w:rsid w:val="75A24276"/>
    <w:rsid w:val="75AA231D"/>
    <w:rsid w:val="75E8633A"/>
    <w:rsid w:val="763F09AA"/>
    <w:rsid w:val="764F3FCC"/>
    <w:rsid w:val="7650339F"/>
    <w:rsid w:val="76603C9A"/>
    <w:rsid w:val="76BB1CAB"/>
    <w:rsid w:val="76C04050"/>
    <w:rsid w:val="76E65049"/>
    <w:rsid w:val="77076007"/>
    <w:rsid w:val="77413F7E"/>
    <w:rsid w:val="77835654"/>
    <w:rsid w:val="7797109C"/>
    <w:rsid w:val="779A2A38"/>
    <w:rsid w:val="77B07B65"/>
    <w:rsid w:val="77B4450A"/>
    <w:rsid w:val="77B46E73"/>
    <w:rsid w:val="77E37A12"/>
    <w:rsid w:val="77FE3468"/>
    <w:rsid w:val="78546F0C"/>
    <w:rsid w:val="78B9794C"/>
    <w:rsid w:val="78EE1C79"/>
    <w:rsid w:val="797239CC"/>
    <w:rsid w:val="79831473"/>
    <w:rsid w:val="7999527A"/>
    <w:rsid w:val="79AF76C5"/>
    <w:rsid w:val="79C25EE1"/>
    <w:rsid w:val="79CE2967"/>
    <w:rsid w:val="79EA664C"/>
    <w:rsid w:val="7A2A3030"/>
    <w:rsid w:val="7A2F459A"/>
    <w:rsid w:val="7A517022"/>
    <w:rsid w:val="7A602571"/>
    <w:rsid w:val="7A6F5001"/>
    <w:rsid w:val="7AA2343E"/>
    <w:rsid w:val="7ADA73A4"/>
    <w:rsid w:val="7AE66B99"/>
    <w:rsid w:val="7B0A3BCA"/>
    <w:rsid w:val="7B4048C1"/>
    <w:rsid w:val="7B6B33FF"/>
    <w:rsid w:val="7B73082F"/>
    <w:rsid w:val="7BC62E00"/>
    <w:rsid w:val="7BE35E2A"/>
    <w:rsid w:val="7BFA1CC7"/>
    <w:rsid w:val="7BFB70B3"/>
    <w:rsid w:val="7C0251DA"/>
    <w:rsid w:val="7C1052F2"/>
    <w:rsid w:val="7C1160F6"/>
    <w:rsid w:val="7C2668D9"/>
    <w:rsid w:val="7C32497F"/>
    <w:rsid w:val="7C3C69AE"/>
    <w:rsid w:val="7C691974"/>
    <w:rsid w:val="7C8A6570"/>
    <w:rsid w:val="7C8B7390"/>
    <w:rsid w:val="7C9B0D0E"/>
    <w:rsid w:val="7CA42B03"/>
    <w:rsid w:val="7CD2318A"/>
    <w:rsid w:val="7CD2702A"/>
    <w:rsid w:val="7CD34C42"/>
    <w:rsid w:val="7CDE3FF9"/>
    <w:rsid w:val="7CE26EBF"/>
    <w:rsid w:val="7CEE3130"/>
    <w:rsid w:val="7D1F6674"/>
    <w:rsid w:val="7D480B34"/>
    <w:rsid w:val="7D9005BC"/>
    <w:rsid w:val="7D9F0AD0"/>
    <w:rsid w:val="7DD12BB7"/>
    <w:rsid w:val="7DFF0955"/>
    <w:rsid w:val="7E0B750E"/>
    <w:rsid w:val="7E2822EA"/>
    <w:rsid w:val="7E355A7B"/>
    <w:rsid w:val="7E6E3E85"/>
    <w:rsid w:val="7E9C184B"/>
    <w:rsid w:val="7EA72948"/>
    <w:rsid w:val="7EB31EDB"/>
    <w:rsid w:val="7EE70CC0"/>
    <w:rsid w:val="7EEB48DB"/>
    <w:rsid w:val="7EF27444"/>
    <w:rsid w:val="7F265C58"/>
    <w:rsid w:val="7F582CF2"/>
    <w:rsid w:val="7F951B4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5"/>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line="360" w:lineRule="auto"/>
      <w:outlineLvl w:val="3"/>
    </w:pPr>
    <w:rPr>
      <w:rFonts w:ascii="Arial" w:hAnsi="Arial"/>
      <w:b/>
      <w:bCs/>
      <w:szCs w:val="28"/>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customStyle="1" w:styleId="2">
    <w:name w:val="无间隔1"/>
    <w:basedOn w:val="1"/>
    <w:qFormat/>
    <w:uiPriority w:val="1"/>
    <w:pPr>
      <w:spacing w:line="400" w:lineRule="exact"/>
    </w:pPr>
    <w:rPr>
      <w:sz w:val="24"/>
    </w:rPr>
  </w:style>
  <w:style w:type="paragraph" w:styleId="7">
    <w:name w:val="List Number"/>
    <w:basedOn w:val="1"/>
    <w:qFormat/>
    <w:uiPriority w:val="0"/>
    <w:pPr>
      <w:widowControl/>
      <w:spacing w:beforeAutospacing="1" w:afterAutospacing="1"/>
      <w:jc w:val="left"/>
    </w:pPr>
    <w:rPr>
      <w:rFonts w:ascii="宋体" w:hAnsi="宋体" w:cs="宋体"/>
      <w:kern w:val="0"/>
      <w:sz w:val="24"/>
    </w:rPr>
  </w:style>
  <w:style w:type="paragraph" w:styleId="8">
    <w:name w:val="Normal Indent"/>
    <w:basedOn w:val="1"/>
    <w:qFormat/>
    <w:uiPriority w:val="0"/>
    <w:pPr>
      <w:widowControl/>
      <w:spacing w:beforeAutospacing="1" w:afterAutospacing="1"/>
      <w:jc w:val="left"/>
    </w:pPr>
    <w:rPr>
      <w:rFonts w:ascii="宋体" w:hAnsi="宋体" w:cs="宋体"/>
      <w:kern w:val="0"/>
      <w:sz w:val="24"/>
    </w:rPr>
  </w:style>
  <w:style w:type="paragraph" w:styleId="9">
    <w:name w:val="Document Map"/>
    <w:basedOn w:val="1"/>
    <w:link w:val="75"/>
    <w:qFormat/>
    <w:uiPriority w:val="0"/>
    <w:rPr>
      <w:rFonts w:ascii="宋体" w:hAnsi="Calibri"/>
      <w:sz w:val="18"/>
      <w:szCs w:val="18"/>
    </w:rPr>
  </w:style>
  <w:style w:type="paragraph" w:styleId="10">
    <w:name w:val="annotation text"/>
    <w:basedOn w:val="1"/>
    <w:qFormat/>
    <w:uiPriority w:val="0"/>
    <w:pPr>
      <w:jc w:val="left"/>
    </w:pPr>
  </w:style>
  <w:style w:type="paragraph" w:styleId="11">
    <w:name w:val="Body Text 3"/>
    <w:basedOn w:val="1"/>
    <w:qFormat/>
    <w:uiPriority w:val="0"/>
    <w:rPr>
      <w:sz w:val="16"/>
      <w:szCs w:val="16"/>
    </w:rPr>
  </w:style>
  <w:style w:type="paragraph" w:styleId="12">
    <w:name w:val="Body Text"/>
    <w:basedOn w:val="1"/>
    <w:next w:val="13"/>
    <w:link w:val="73"/>
    <w:qFormat/>
    <w:uiPriority w:val="0"/>
  </w:style>
  <w:style w:type="paragraph" w:styleId="13">
    <w:name w:val="Body Text 2"/>
    <w:basedOn w:val="1"/>
    <w:next w:val="12"/>
    <w:qFormat/>
    <w:uiPriority w:val="0"/>
    <w:pPr>
      <w:spacing w:line="480" w:lineRule="auto"/>
    </w:pPr>
  </w:style>
  <w:style w:type="paragraph" w:styleId="14">
    <w:name w:val="Body Text Indent"/>
    <w:basedOn w:val="1"/>
    <w:next w:val="15"/>
    <w:qFormat/>
    <w:uiPriority w:val="0"/>
    <w:pPr>
      <w:widowControl/>
      <w:spacing w:beforeAutospacing="1" w:afterAutospacing="1"/>
      <w:jc w:val="left"/>
    </w:pPr>
    <w:rPr>
      <w:rFonts w:ascii="宋体" w:hAnsi="宋体" w:cs="宋体"/>
      <w:kern w:val="0"/>
      <w:sz w:val="24"/>
    </w:rPr>
  </w:style>
  <w:style w:type="paragraph" w:customStyle="1" w:styleId="15">
    <w:name w:val="目录 51"/>
    <w:next w:val="1"/>
    <w:qFormat/>
    <w:uiPriority w:val="0"/>
    <w:pPr>
      <w:wordWrap w:val="0"/>
      <w:ind w:left="1700"/>
      <w:jc w:val="both"/>
    </w:pPr>
    <w:rPr>
      <w:rFonts w:ascii="Calibri" w:hAnsi="Calibri" w:eastAsia="Calibri" w:cs="Times New Roman"/>
      <w:sz w:val="21"/>
      <w:lang w:val="en-US" w:eastAsia="zh-CN" w:bidi="ar-SA"/>
    </w:rPr>
  </w:style>
  <w:style w:type="paragraph" w:styleId="16">
    <w:name w:val="List 2"/>
    <w:basedOn w:val="1"/>
    <w:qFormat/>
    <w:uiPriority w:val="0"/>
    <w:pPr>
      <w:ind w:left="100" w:leftChars="200" w:hanging="200" w:hangingChars="200"/>
    </w:pPr>
  </w:style>
  <w:style w:type="paragraph" w:styleId="17">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8">
    <w:name w:val="toc 3"/>
    <w:basedOn w:val="1"/>
    <w:next w:val="1"/>
    <w:qFormat/>
    <w:uiPriority w:val="0"/>
    <w:pPr>
      <w:tabs>
        <w:tab w:val="left" w:pos="709"/>
        <w:tab w:val="right" w:leader="dot" w:pos="8789"/>
      </w:tabs>
      <w:spacing w:line="400" w:lineRule="atLeast"/>
    </w:pPr>
    <w:rPr>
      <w:rFonts w:ascii="宋体"/>
      <w:kern w:val="0"/>
      <w:szCs w:val="20"/>
    </w:rPr>
  </w:style>
  <w:style w:type="paragraph" w:styleId="19">
    <w:name w:val="Plain Text"/>
    <w:basedOn w:val="1"/>
    <w:qFormat/>
    <w:uiPriority w:val="0"/>
    <w:pPr>
      <w:widowControl/>
      <w:spacing w:beforeAutospacing="1" w:afterAutospacing="1"/>
      <w:jc w:val="left"/>
    </w:pPr>
    <w:rPr>
      <w:rFonts w:ascii="宋体" w:hAnsi="宋体" w:cs="宋体"/>
      <w:kern w:val="0"/>
      <w:sz w:val="24"/>
    </w:rPr>
  </w:style>
  <w:style w:type="paragraph" w:styleId="20">
    <w:name w:val="Date"/>
    <w:basedOn w:val="1"/>
    <w:next w:val="1"/>
    <w:qFormat/>
    <w:uiPriority w:val="0"/>
    <w:pPr>
      <w:ind w:left="100" w:leftChars="2500"/>
    </w:pPr>
    <w:rPr>
      <w:rFonts w:ascii="宋体" w:hAnsi="宋体"/>
      <w:sz w:val="28"/>
    </w:rPr>
  </w:style>
  <w:style w:type="paragraph" w:styleId="21">
    <w:name w:val="Body Text Indent 2"/>
    <w:basedOn w:val="1"/>
    <w:qFormat/>
    <w:uiPriority w:val="0"/>
    <w:pPr>
      <w:spacing w:line="480" w:lineRule="auto"/>
      <w:ind w:left="420" w:leftChars="200"/>
    </w:pPr>
  </w:style>
  <w:style w:type="paragraph" w:styleId="22">
    <w:name w:val="footer"/>
    <w:basedOn w:val="1"/>
    <w:qFormat/>
    <w:uiPriority w:val="0"/>
    <w:pPr>
      <w:tabs>
        <w:tab w:val="center" w:pos="4153"/>
        <w:tab w:val="right" w:pos="8306"/>
      </w:tabs>
      <w:snapToGrid w:val="0"/>
      <w:jc w:val="left"/>
    </w:pPr>
    <w:rPr>
      <w:sz w:val="18"/>
      <w:szCs w:val="18"/>
    </w:rPr>
  </w:style>
  <w:style w:type="paragraph" w:styleId="23">
    <w:name w:val="envelope return"/>
    <w:basedOn w:val="1"/>
    <w:unhideWhenUsed/>
    <w:qFormat/>
    <w:uiPriority w:val="99"/>
    <w:pPr>
      <w:snapToGrid w:val="0"/>
    </w:pPr>
    <w:rPr>
      <w:rFonts w:ascii="Arial" w:hAnsi="Arial"/>
    </w:rPr>
  </w:style>
  <w:style w:type="paragraph" w:styleId="2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0"/>
  </w:style>
  <w:style w:type="paragraph" w:styleId="26">
    <w:name w:val="List"/>
    <w:basedOn w:val="1"/>
    <w:qFormat/>
    <w:uiPriority w:val="0"/>
    <w:pPr>
      <w:ind w:left="200" w:hanging="200" w:hangingChars="200"/>
    </w:pPr>
  </w:style>
  <w:style w:type="paragraph" w:styleId="27">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9">
    <w:name w:val="Normal (Web)"/>
    <w:basedOn w:val="1"/>
    <w:qFormat/>
    <w:uiPriority w:val="99"/>
    <w:pPr>
      <w:spacing w:before="100" w:beforeAutospacing="1" w:after="100" w:afterAutospacing="1"/>
      <w:jc w:val="left"/>
    </w:pPr>
    <w:rPr>
      <w:kern w:val="0"/>
      <w:sz w:val="24"/>
    </w:rPr>
  </w:style>
  <w:style w:type="paragraph" w:styleId="30">
    <w:name w:val="Title"/>
    <w:basedOn w:val="1"/>
    <w:qFormat/>
    <w:uiPriority w:val="0"/>
    <w:pPr>
      <w:jc w:val="center"/>
      <w:outlineLvl w:val="0"/>
    </w:pPr>
    <w:rPr>
      <w:rFonts w:ascii="Arial" w:hAnsi="Arial" w:cs="Arial"/>
      <w:b/>
      <w:bCs/>
      <w:sz w:val="32"/>
      <w:szCs w:val="32"/>
    </w:rPr>
  </w:style>
  <w:style w:type="paragraph" w:styleId="31">
    <w:name w:val="Body Text First Indent"/>
    <w:basedOn w:val="12"/>
    <w:next w:val="32"/>
    <w:qFormat/>
    <w:uiPriority w:val="0"/>
    <w:pPr>
      <w:spacing w:line="360" w:lineRule="auto"/>
      <w:ind w:firstLine="420" w:firstLineChars="100"/>
    </w:pPr>
    <w:rPr>
      <w:szCs w:val="21"/>
    </w:rPr>
  </w:style>
  <w:style w:type="paragraph" w:styleId="32">
    <w:name w:val="Body Text First Indent 2"/>
    <w:basedOn w:val="14"/>
    <w:next w:val="1"/>
    <w:qFormat/>
    <w:uiPriority w:val="0"/>
    <w:pPr>
      <w:ind w:firstLine="420" w:firstLineChars="200"/>
    </w:pPr>
  </w:style>
  <w:style w:type="table" w:styleId="34">
    <w:name w:val="Table Grid"/>
    <w:basedOn w:val="3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qFormat/>
    <w:uiPriority w:val="0"/>
    <w:rPr>
      <w:b/>
      <w:bCs/>
      <w:szCs w:val="24"/>
    </w:rPr>
  </w:style>
  <w:style w:type="character" w:styleId="37">
    <w:name w:val="page number"/>
    <w:basedOn w:val="35"/>
    <w:qFormat/>
    <w:uiPriority w:val="0"/>
  </w:style>
  <w:style w:type="character" w:styleId="38">
    <w:name w:val="FollowedHyperlink"/>
    <w:qFormat/>
    <w:uiPriority w:val="0"/>
    <w:rPr>
      <w:color w:val="333333"/>
      <w:szCs w:val="24"/>
      <w:u w:val="none"/>
    </w:rPr>
  </w:style>
  <w:style w:type="character" w:styleId="39">
    <w:name w:val="Emphasis"/>
    <w:basedOn w:val="35"/>
    <w:qFormat/>
    <w:uiPriority w:val="0"/>
  </w:style>
  <w:style w:type="character" w:styleId="40">
    <w:name w:val="HTML Definition"/>
    <w:basedOn w:val="35"/>
    <w:qFormat/>
    <w:uiPriority w:val="0"/>
  </w:style>
  <w:style w:type="character" w:styleId="41">
    <w:name w:val="HTML Typewriter"/>
    <w:basedOn w:val="35"/>
    <w:qFormat/>
    <w:uiPriority w:val="0"/>
    <w:rPr>
      <w:rFonts w:hint="default" w:ascii="monospace" w:hAnsi="monospace" w:eastAsia="monospace" w:cs="monospace"/>
      <w:sz w:val="20"/>
    </w:rPr>
  </w:style>
  <w:style w:type="character" w:styleId="42">
    <w:name w:val="HTML Acronym"/>
    <w:basedOn w:val="35"/>
    <w:qFormat/>
    <w:uiPriority w:val="0"/>
  </w:style>
  <w:style w:type="character" w:styleId="43">
    <w:name w:val="HTML Variable"/>
    <w:basedOn w:val="35"/>
    <w:qFormat/>
    <w:uiPriority w:val="0"/>
  </w:style>
  <w:style w:type="character" w:styleId="44">
    <w:name w:val="Hyperlink"/>
    <w:basedOn w:val="35"/>
    <w:qFormat/>
    <w:uiPriority w:val="0"/>
    <w:rPr>
      <w:color w:val="333333"/>
      <w:szCs w:val="24"/>
      <w:u w:val="none"/>
    </w:rPr>
  </w:style>
  <w:style w:type="character" w:styleId="45">
    <w:name w:val="HTML Code"/>
    <w:basedOn w:val="35"/>
    <w:qFormat/>
    <w:uiPriority w:val="0"/>
    <w:rPr>
      <w:rFonts w:ascii="monospace" w:hAnsi="monospace" w:eastAsia="monospace" w:cs="monospace"/>
      <w:sz w:val="20"/>
    </w:rPr>
  </w:style>
  <w:style w:type="character" w:styleId="46">
    <w:name w:val="HTML Cite"/>
    <w:basedOn w:val="35"/>
    <w:qFormat/>
    <w:uiPriority w:val="0"/>
  </w:style>
  <w:style w:type="character" w:styleId="47">
    <w:name w:val="HTML Keyboard"/>
    <w:basedOn w:val="35"/>
    <w:qFormat/>
    <w:uiPriority w:val="0"/>
    <w:rPr>
      <w:rFonts w:hint="default" w:ascii="monospace" w:hAnsi="monospace" w:eastAsia="monospace" w:cs="monospace"/>
      <w:sz w:val="20"/>
    </w:rPr>
  </w:style>
  <w:style w:type="character" w:styleId="48">
    <w:name w:val="HTML Sample"/>
    <w:basedOn w:val="35"/>
    <w:qFormat/>
    <w:uiPriority w:val="0"/>
    <w:rPr>
      <w:rFonts w:hint="default" w:ascii="monospace" w:hAnsi="monospace" w:eastAsia="monospace" w:cs="monospace"/>
    </w:rPr>
  </w:style>
  <w:style w:type="paragraph" w:customStyle="1" w:styleId="49">
    <w:name w:val="样式 正文首行缩进 2 + Arial"/>
    <w:basedOn w:val="1"/>
    <w:next w:val="1"/>
    <w:qFormat/>
    <w:uiPriority w:val="0"/>
    <w:pPr>
      <w:spacing w:after="120" w:line="320" w:lineRule="atLeast"/>
      <w:ind w:firstLine="200" w:firstLineChars="200"/>
    </w:pPr>
    <w:rPr>
      <w:rFonts w:ascii="Arial" w:hAnsi="Arial"/>
      <w:kern w:val="0"/>
    </w:rPr>
  </w:style>
  <w:style w:type="paragraph" w:customStyle="1" w:styleId="50">
    <w:name w:val="No Spacing1"/>
    <w:basedOn w:val="1"/>
    <w:qFormat/>
    <w:uiPriority w:val="0"/>
    <w:pPr>
      <w:spacing w:line="400" w:lineRule="exact"/>
    </w:pPr>
    <w:rPr>
      <w:sz w:val="24"/>
    </w:rPr>
  </w:style>
  <w:style w:type="paragraph" w:customStyle="1" w:styleId="51">
    <w:name w:val="Default"/>
    <w:next w:val="52"/>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52">
    <w:name w:val="大标题"/>
    <w:basedOn w:val="1"/>
    <w:next w:val="32"/>
    <w:qFormat/>
    <w:uiPriority w:val="0"/>
    <w:pPr>
      <w:jc w:val="center"/>
    </w:pPr>
    <w:rPr>
      <w:rFonts w:ascii="Arial" w:hAnsi="Arial"/>
      <w:b/>
      <w:sz w:val="28"/>
    </w:rPr>
  </w:style>
  <w:style w:type="paragraph" w:customStyle="1" w:styleId="53">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4">
    <w:name w:val="Char"/>
    <w:basedOn w:val="1"/>
    <w:qFormat/>
    <w:uiPriority w:val="0"/>
  </w:style>
  <w:style w:type="paragraph" w:customStyle="1" w:styleId="55">
    <w:name w:val="正文缩进1"/>
    <w:basedOn w:val="1"/>
    <w:qFormat/>
    <w:uiPriority w:val="0"/>
    <w:pPr>
      <w:widowControl/>
      <w:ind w:firstLine="420"/>
      <w:jc w:val="left"/>
    </w:pPr>
    <w:rPr>
      <w:kern w:val="0"/>
      <w:szCs w:val="20"/>
    </w:rPr>
  </w:style>
  <w:style w:type="paragraph" w:customStyle="1" w:styleId="56">
    <w:name w:val="列出段落2"/>
    <w:basedOn w:val="1"/>
    <w:qFormat/>
    <w:uiPriority w:val="34"/>
    <w:pPr>
      <w:ind w:firstLine="420" w:firstLineChars="200"/>
    </w:pPr>
  </w:style>
  <w:style w:type="paragraph" w:customStyle="1" w:styleId="57">
    <w:name w:val="plaintext"/>
    <w:basedOn w:val="1"/>
    <w:qFormat/>
    <w:uiPriority w:val="0"/>
    <w:pPr>
      <w:widowControl/>
      <w:spacing w:beforeAutospacing="1" w:afterAutospacing="1"/>
      <w:jc w:val="left"/>
    </w:pPr>
    <w:rPr>
      <w:rFonts w:ascii="宋体" w:hAnsi="宋体" w:cs="宋体"/>
      <w:kern w:val="0"/>
      <w:sz w:val="24"/>
    </w:rPr>
  </w:style>
  <w:style w:type="paragraph" w:customStyle="1" w:styleId="58">
    <w:name w:val="1"/>
    <w:basedOn w:val="1"/>
    <w:qFormat/>
    <w:uiPriority w:val="0"/>
    <w:pPr>
      <w:widowControl/>
      <w:spacing w:beforeAutospacing="1" w:afterAutospacing="1"/>
      <w:jc w:val="left"/>
    </w:pPr>
    <w:rPr>
      <w:rFonts w:ascii="宋体" w:hAnsi="宋体" w:cs="宋体"/>
      <w:kern w:val="0"/>
      <w:sz w:val="24"/>
    </w:rPr>
  </w:style>
  <w:style w:type="paragraph" w:styleId="59">
    <w:name w:val="No Spacing"/>
    <w:qFormat/>
    <w:uiPriority w:val="1"/>
    <w:rPr>
      <w:rFonts w:ascii="Calibri" w:hAnsi="Calibri" w:eastAsia="宋体" w:cs="Times New Roman"/>
      <w:sz w:val="22"/>
      <w:szCs w:val="22"/>
      <w:lang w:val="en-US" w:eastAsia="zh-CN" w:bidi="ar-SA"/>
    </w:rPr>
  </w:style>
  <w:style w:type="paragraph" w:customStyle="1" w:styleId="60">
    <w:name w:val="_Style 2"/>
    <w:basedOn w:val="1"/>
    <w:qFormat/>
    <w:uiPriority w:val="34"/>
    <w:pPr>
      <w:ind w:firstLine="420" w:firstLineChars="200"/>
    </w:pPr>
    <w:rPr>
      <w:rFonts w:ascii="Calibri" w:hAnsi="Calibri"/>
    </w:rPr>
  </w:style>
  <w:style w:type="paragraph" w:customStyle="1" w:styleId="61">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2">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3">
    <w:name w:val="Char1"/>
    <w:basedOn w:val="1"/>
    <w:qFormat/>
    <w:uiPriority w:val="0"/>
  </w:style>
  <w:style w:type="paragraph" w:customStyle="1" w:styleId="64">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5">
    <w:name w:val="Table Paragraph"/>
    <w:basedOn w:val="1"/>
    <w:qFormat/>
    <w:uiPriority w:val="1"/>
    <w:pPr>
      <w:jc w:val="left"/>
    </w:pPr>
    <w:rPr>
      <w:rFonts w:ascii="宋体" w:hAnsi="宋体" w:cs="宋体"/>
      <w:kern w:val="0"/>
      <w:sz w:val="22"/>
      <w:szCs w:val="22"/>
      <w:lang w:eastAsia="en-US"/>
    </w:rPr>
  </w:style>
  <w:style w:type="paragraph" w:customStyle="1" w:styleId="66">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7">
    <w:name w:val="3"/>
    <w:basedOn w:val="1"/>
    <w:qFormat/>
    <w:uiPriority w:val="0"/>
    <w:pPr>
      <w:widowControl/>
      <w:spacing w:beforeAutospacing="1" w:afterAutospacing="1"/>
      <w:jc w:val="left"/>
    </w:pPr>
    <w:rPr>
      <w:rFonts w:ascii="宋体" w:hAnsi="宋体" w:cs="宋体"/>
      <w:kern w:val="0"/>
      <w:sz w:val="24"/>
    </w:rPr>
  </w:style>
  <w:style w:type="paragraph" w:customStyle="1" w:styleId="68">
    <w:name w:val="列出段落1"/>
    <w:basedOn w:val="1"/>
    <w:qFormat/>
    <w:uiPriority w:val="34"/>
    <w:pPr>
      <w:ind w:firstLine="420" w:firstLineChars="200"/>
    </w:pPr>
  </w:style>
  <w:style w:type="paragraph" w:customStyle="1" w:styleId="69">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70">
    <w:name w:val="a0"/>
    <w:basedOn w:val="1"/>
    <w:qFormat/>
    <w:uiPriority w:val="0"/>
    <w:pPr>
      <w:widowControl/>
      <w:spacing w:beforeAutospacing="1" w:afterAutospacing="1"/>
      <w:jc w:val="left"/>
    </w:pPr>
    <w:rPr>
      <w:rFonts w:ascii="宋体" w:hAnsi="宋体" w:cs="宋体"/>
      <w:kern w:val="0"/>
      <w:sz w:val="24"/>
    </w:rPr>
  </w:style>
  <w:style w:type="paragraph" w:customStyle="1" w:styleId="71">
    <w:name w:val="default"/>
    <w:basedOn w:val="1"/>
    <w:qFormat/>
    <w:uiPriority w:val="0"/>
    <w:pPr>
      <w:widowControl/>
      <w:spacing w:beforeAutospacing="1" w:afterAutospacing="1"/>
      <w:jc w:val="left"/>
    </w:pPr>
    <w:rPr>
      <w:rFonts w:ascii="宋体" w:hAnsi="宋体" w:cs="宋体"/>
      <w:kern w:val="0"/>
      <w:sz w:val="24"/>
    </w:rPr>
  </w:style>
  <w:style w:type="paragraph" w:customStyle="1" w:styleId="72">
    <w:name w:val="列出段落11"/>
    <w:basedOn w:val="1"/>
    <w:qFormat/>
    <w:uiPriority w:val="0"/>
    <w:pPr>
      <w:ind w:firstLine="420" w:firstLineChars="200"/>
    </w:pPr>
    <w:rPr>
      <w:rFonts w:ascii="Calibri" w:hAnsi="Calibri"/>
      <w:szCs w:val="22"/>
    </w:rPr>
  </w:style>
  <w:style w:type="character" w:customStyle="1" w:styleId="73">
    <w:name w:val="正文文本 Char"/>
    <w:basedOn w:val="35"/>
    <w:link w:val="12"/>
    <w:qFormat/>
    <w:uiPriority w:val="0"/>
  </w:style>
  <w:style w:type="character" w:customStyle="1" w:styleId="74">
    <w:name w:val="apple-converted-space"/>
    <w:basedOn w:val="35"/>
    <w:qFormat/>
    <w:uiPriority w:val="0"/>
  </w:style>
  <w:style w:type="character" w:customStyle="1" w:styleId="75">
    <w:name w:val="文档结构图 Char"/>
    <w:link w:val="9"/>
    <w:qFormat/>
    <w:uiPriority w:val="0"/>
    <w:rPr>
      <w:rFonts w:ascii="宋体"/>
      <w:kern w:val="2"/>
      <w:sz w:val="18"/>
      <w:szCs w:val="18"/>
    </w:rPr>
  </w:style>
  <w:style w:type="character" w:customStyle="1" w:styleId="76">
    <w:name w:val="不明显强调1"/>
    <w:qFormat/>
    <w:uiPriority w:val="19"/>
    <w:rPr>
      <w:i/>
      <w:iCs/>
      <w:color w:val="7F7F7F"/>
      <w:szCs w:val="24"/>
    </w:rPr>
  </w:style>
  <w:style w:type="character" w:customStyle="1" w:styleId="77">
    <w:name w:val="font71"/>
    <w:qFormat/>
    <w:uiPriority w:val="0"/>
    <w:rPr>
      <w:rFonts w:hint="eastAsia" w:ascii="宋体" w:hAnsi="宋体" w:eastAsia="宋体" w:cs="宋体"/>
      <w:color w:val="000000"/>
      <w:sz w:val="28"/>
      <w:szCs w:val="28"/>
      <w:u w:val="none"/>
    </w:rPr>
  </w:style>
  <w:style w:type="character" w:customStyle="1" w:styleId="78">
    <w:name w:val="font21"/>
    <w:qFormat/>
    <w:uiPriority w:val="0"/>
    <w:rPr>
      <w:rFonts w:hint="default" w:ascii="Calibri" w:hAnsi="Calibri" w:cs="Calibri"/>
      <w:color w:val="000000"/>
      <w:sz w:val="28"/>
      <w:szCs w:val="28"/>
      <w:u w:val="none"/>
    </w:rPr>
  </w:style>
  <w:style w:type="character" w:customStyle="1" w:styleId="79">
    <w:name w:val="17"/>
    <w:qFormat/>
    <w:uiPriority w:val="0"/>
    <w:rPr>
      <w:rFonts w:hint="eastAsia" w:ascii="宋体" w:hAnsi="宋体" w:eastAsia="宋体"/>
      <w:color w:val="000000"/>
    </w:rPr>
  </w:style>
  <w:style w:type="character" w:customStyle="1" w:styleId="80">
    <w:name w:val="font91"/>
    <w:qFormat/>
    <w:uiPriority w:val="0"/>
    <w:rPr>
      <w:rFonts w:hint="eastAsia" w:ascii="宋体" w:hAnsi="宋体" w:eastAsia="宋体" w:cs="宋体"/>
      <w:color w:val="FF0000"/>
      <w:sz w:val="28"/>
      <w:szCs w:val="28"/>
      <w:u w:val="none"/>
    </w:rPr>
  </w:style>
  <w:style w:type="paragraph" w:customStyle="1" w:styleId="81">
    <w:name w:val="p"/>
    <w:basedOn w:val="1"/>
    <w:qFormat/>
    <w:uiPriority w:val="0"/>
    <w:pPr>
      <w:widowControl/>
      <w:spacing w:line="432" w:lineRule="auto"/>
      <w:jc w:val="left"/>
    </w:pPr>
    <w:rPr>
      <w:rFonts w:ascii="宋体" w:hAnsi="宋体" w:cs="宋体"/>
      <w:kern w:val="0"/>
      <w:sz w:val="24"/>
    </w:rPr>
  </w:style>
  <w:style w:type="paragraph" w:customStyle="1" w:styleId="82">
    <w:name w:val="WPSOffice手动目录 1"/>
    <w:qFormat/>
    <w:uiPriority w:val="0"/>
    <w:rPr>
      <w:rFonts w:ascii="Times New Roman" w:hAnsi="Times New Roman" w:eastAsia="宋体" w:cs="Times New Roman"/>
      <w:lang w:val="en-US" w:eastAsia="zh-CN" w:bidi="ar-SA"/>
    </w:rPr>
  </w:style>
  <w:style w:type="paragraph" w:customStyle="1" w:styleId="83">
    <w:name w:val="*正文_1"/>
    <w:basedOn w:val="1"/>
    <w:next w:val="1"/>
    <w:qFormat/>
    <w:uiPriority w:val="0"/>
    <w:pPr>
      <w:widowControl/>
      <w:ind w:firstLine="482"/>
    </w:pPr>
    <w:rPr>
      <w:rFonts w:ascii="微软雅黑" w:hAnsi="微软雅黑" w:eastAsia="微软雅黑"/>
      <w:kern w:val="0"/>
      <w:szCs w:val="20"/>
    </w:rPr>
  </w:style>
  <w:style w:type="paragraph" w:customStyle="1" w:styleId="84">
    <w:name w:val="表格文字"/>
    <w:basedOn w:val="1"/>
    <w:next w:val="12"/>
    <w:qFormat/>
    <w:uiPriority w:val="0"/>
    <w:pPr>
      <w:adjustRightInd w:val="0"/>
      <w:spacing w:line="420" w:lineRule="atLeast"/>
      <w:jc w:val="left"/>
      <w:textAlignment w:val="baseline"/>
    </w:pPr>
    <w:rPr>
      <w:kern w:val="0"/>
      <w:szCs w:val="20"/>
    </w:rPr>
  </w:style>
  <w:style w:type="character" w:customStyle="1" w:styleId="85">
    <w:name w:val="NormalCharacter"/>
    <w:link w:val="1"/>
    <w:semiHidden/>
    <w:qFormat/>
    <w:uiPriority w:val="0"/>
    <w:rPr>
      <w:rFonts w:ascii="Times New Roman" w:hAnsi="Times New Roman" w:eastAsia="宋体" w:cs="Times New Roman"/>
      <w:kern w:val="2"/>
      <w:sz w:val="21"/>
      <w:szCs w:val="24"/>
      <w:lang w:val="en-US" w:eastAsia="zh-CN" w:bidi="ar-SA"/>
    </w:rPr>
  </w:style>
  <w:style w:type="paragraph" w:customStyle="1" w:styleId="86">
    <w:name w:val="列表段落1"/>
    <w:basedOn w:val="1"/>
    <w:qFormat/>
    <w:uiPriority w:val="34"/>
    <w:pPr>
      <w:widowControl/>
      <w:ind w:firstLine="420"/>
      <w:jc w:val="left"/>
    </w:pPr>
    <w:rPr>
      <w:kern w:val="0"/>
    </w:rPr>
  </w:style>
  <w:style w:type="paragraph" w:styleId="87">
    <w:name w:val="List Paragraph"/>
    <w:basedOn w:val="1"/>
    <w:qFormat/>
    <w:uiPriority w:val="34"/>
    <w:pPr>
      <w:ind w:firstLine="420" w:firstLineChars="200"/>
    </w:pPr>
  </w:style>
  <w:style w:type="character" w:customStyle="1" w:styleId="88">
    <w:name w:val="hover18"/>
    <w:basedOn w:val="35"/>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33</Pages>
  <Words>15092</Words>
  <Characters>15824</Characters>
  <Lines>50</Lines>
  <Paragraphs>68</Paragraphs>
  <TotalTime>1</TotalTime>
  <ScaleCrop>false</ScaleCrop>
  <LinksUpToDate>false</LinksUpToDate>
  <CharactersWithSpaces>16688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陈壹</cp:lastModifiedBy>
  <cp:lastPrinted>2021-09-30T00:46:00Z</cp:lastPrinted>
  <dcterms:modified xsi:type="dcterms:W3CDTF">2022-09-19T08:45:25Z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562A285641654D2EA086C4325B3B203C</vt:lpwstr>
  </property>
</Properties>
</file>