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0"/>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bookmarkStart w:id="0" w:name="_Toc22804073"/>
      <w:bookmarkEnd w:id="0"/>
      <w:bookmarkStart w:id="1" w:name="_Toc22953395"/>
      <w:bookmarkEnd w:id="1"/>
    </w:p>
    <w:p>
      <w:pPr>
        <w:pStyle w:val="20"/>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p>
    <w:p>
      <w:pPr>
        <w:pStyle w:val="20"/>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r>
        <w:rPr>
          <w:rFonts w:hint="eastAsia" w:ascii="黑体" w:hAnsi="黑体" w:eastAsia="黑体" w:cs="宋体"/>
          <w:bCs/>
          <w:color w:val="auto"/>
          <w:kern w:val="0"/>
          <w:sz w:val="48"/>
          <w:szCs w:val="48"/>
          <w:lang w:eastAsia="zh-CN"/>
        </w:rPr>
        <w:t>驻马店市中心医院氟[18F]脱氧葡糖注射液采购</w:t>
      </w:r>
    </w:p>
    <w:p>
      <w:pPr>
        <w:pStyle w:val="20"/>
        <w:bidi w:val="0"/>
        <w:jc w:val="center"/>
        <w:rPr>
          <w:rStyle w:val="43"/>
          <w:rFonts w:hint="eastAsia" w:ascii="宋体" w:hAnsi="宋体" w:eastAsia="宋体" w:cs="宋体"/>
          <w:b/>
          <w:bCs/>
          <w:color w:val="auto"/>
          <w:sz w:val="48"/>
          <w:szCs w:val="48"/>
        </w:rPr>
      </w:pPr>
    </w:p>
    <w:p>
      <w:pPr>
        <w:pStyle w:val="20"/>
        <w:bidi w:val="0"/>
        <w:jc w:val="center"/>
        <w:rPr>
          <w:rStyle w:val="43"/>
          <w:rFonts w:hint="eastAsia" w:ascii="宋体" w:hAnsi="宋体" w:eastAsia="宋体" w:cs="宋体"/>
          <w:b/>
          <w:bCs/>
          <w:color w:val="auto"/>
          <w:sz w:val="48"/>
          <w:szCs w:val="48"/>
        </w:rPr>
      </w:pPr>
    </w:p>
    <w:p>
      <w:pPr>
        <w:pStyle w:val="20"/>
        <w:bidi w:val="0"/>
        <w:jc w:val="center"/>
        <w:rPr>
          <w:rStyle w:val="43"/>
          <w:rFonts w:hint="eastAsia" w:ascii="宋体" w:hAnsi="宋体" w:eastAsia="宋体" w:cs="宋体"/>
          <w:b/>
          <w:bCs/>
          <w:color w:val="auto"/>
          <w:sz w:val="48"/>
          <w:szCs w:val="48"/>
        </w:rPr>
      </w:pPr>
    </w:p>
    <w:p>
      <w:pPr>
        <w:pStyle w:val="20"/>
        <w:bidi w:val="0"/>
        <w:jc w:val="center"/>
        <w:rPr>
          <w:rStyle w:val="43"/>
          <w:rFonts w:hint="eastAsia" w:ascii="宋体" w:hAnsi="宋体" w:eastAsia="宋体" w:cs="宋体"/>
          <w:b/>
          <w:bCs/>
          <w:color w:val="auto"/>
          <w:sz w:val="48"/>
          <w:szCs w:val="48"/>
        </w:rPr>
      </w:pPr>
    </w:p>
    <w:p>
      <w:pPr>
        <w:pStyle w:val="20"/>
        <w:bidi w:val="0"/>
        <w:jc w:val="center"/>
        <w:rPr>
          <w:rStyle w:val="43"/>
          <w:rFonts w:hint="eastAsia" w:ascii="宋体" w:hAnsi="宋体" w:eastAsia="宋体" w:cs="宋体"/>
          <w:b/>
          <w:bCs/>
          <w:color w:val="auto"/>
          <w:szCs w:val="44"/>
        </w:rPr>
      </w:pPr>
      <w:r>
        <w:rPr>
          <w:rStyle w:val="43"/>
          <w:rFonts w:hint="eastAsia" w:cs="宋体"/>
          <w:b/>
          <w:bCs/>
          <w:color w:val="auto"/>
          <w:sz w:val="72"/>
          <w:szCs w:val="72"/>
          <w:lang w:val="en-US" w:eastAsia="zh-CN"/>
        </w:rPr>
        <w:t>采购</w:t>
      </w:r>
      <w:r>
        <w:rPr>
          <w:rStyle w:val="43"/>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color w:val="auto"/>
          <w:spacing w:val="-10"/>
          <w:sz w:val="34"/>
          <w:szCs w:val="34"/>
          <w:lang w:val="en-US" w:eastAsia="zh-CN"/>
        </w:rPr>
      </w:pPr>
    </w:p>
    <w:p>
      <w:pPr>
        <w:snapToGrid w:val="0"/>
        <w:spacing w:line="380" w:lineRule="exact"/>
        <w:jc w:val="center"/>
        <w:rPr>
          <w:rFonts w:hint="eastAsia" w:ascii="宋体" w:hAnsi="宋体" w:eastAsia="宋体" w:cs="宋体"/>
          <w:b/>
          <w:color w:val="auto"/>
          <w:sz w:val="32"/>
          <w:szCs w:val="32"/>
        </w:rPr>
      </w:pPr>
    </w:p>
    <w:p>
      <w:pPr>
        <w:pStyle w:val="2"/>
        <w:rPr>
          <w:rFonts w:hint="eastAsia"/>
          <w:color w:val="auto"/>
        </w:rPr>
      </w:pPr>
    </w:p>
    <w:p>
      <w:pPr>
        <w:pStyle w:val="59"/>
        <w:rPr>
          <w:rFonts w:hint="eastAsia" w:ascii="宋体" w:hAnsi="宋体" w:eastAsia="宋体" w:cs="宋体"/>
          <w:bCs/>
          <w:color w:val="auto"/>
          <w:sz w:val="2"/>
          <w:szCs w:val="2"/>
        </w:rPr>
      </w:pPr>
    </w:p>
    <w:p>
      <w:pPr>
        <w:rPr>
          <w:rFonts w:hint="eastAsia" w:ascii="宋体" w:hAnsi="宋体" w:eastAsia="宋体" w:cs="宋体"/>
          <w:bCs/>
          <w:color w:val="auto"/>
          <w:sz w:val="2"/>
          <w:szCs w:val="2"/>
        </w:rPr>
      </w:pPr>
    </w:p>
    <w:p>
      <w:pPr>
        <w:spacing w:line="20" w:lineRule="exact"/>
        <w:rPr>
          <w:rFonts w:hint="eastAsia" w:ascii="宋体" w:hAnsi="宋体" w:eastAsia="宋体" w:cs="宋体"/>
          <w:bCs/>
          <w:color w:val="auto"/>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80"/>
          <w:sz w:val="34"/>
          <w:szCs w:val="34"/>
        </w:rPr>
      </w:pPr>
      <w:r>
        <w:rPr>
          <w:rFonts w:hint="eastAsia" w:ascii="宋体" w:hAnsi="宋体" w:eastAsia="宋体" w:cs="宋体"/>
          <w:b/>
          <w:bCs/>
          <w:color w:val="auto"/>
          <w:spacing w:val="-10"/>
          <w:sz w:val="34"/>
          <w:szCs w:val="34"/>
          <w:lang w:val="en-US" w:eastAsia="zh-CN"/>
        </w:rPr>
        <w:t>采 购</w:t>
      </w:r>
      <w:r>
        <w:rPr>
          <w:rFonts w:hint="eastAsia" w:ascii="宋体" w:hAnsi="宋体" w:eastAsia="宋体" w:cs="宋体"/>
          <w:b/>
          <w:bCs/>
          <w:color w:val="auto"/>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color w:val="auto"/>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color w:val="auto"/>
          <w:spacing w:val="40"/>
          <w:sz w:val="34"/>
          <w:szCs w:val="34"/>
          <w:lang w:val="en-US" w:eastAsia="zh-CN"/>
        </w:rPr>
        <w:t>2022</w:t>
      </w:r>
      <w:r>
        <w:rPr>
          <w:rFonts w:hint="eastAsia" w:ascii="宋体" w:hAnsi="宋体" w:eastAsia="宋体" w:cs="宋体"/>
          <w:b/>
          <w:bCs/>
          <w:color w:val="auto"/>
          <w:spacing w:val="40"/>
          <w:sz w:val="34"/>
          <w:szCs w:val="34"/>
        </w:rPr>
        <w:t>年</w:t>
      </w:r>
      <w:r>
        <w:rPr>
          <w:rFonts w:hint="eastAsia" w:ascii="宋体" w:hAnsi="宋体" w:cs="宋体"/>
          <w:b/>
          <w:bCs/>
          <w:color w:val="auto"/>
          <w:spacing w:val="40"/>
          <w:sz w:val="34"/>
          <w:szCs w:val="34"/>
          <w:lang w:val="en-US" w:eastAsia="zh-CN"/>
        </w:rPr>
        <w:t>09</w:t>
      </w:r>
      <w:r>
        <w:rPr>
          <w:rFonts w:hint="eastAsia" w:ascii="宋体" w:hAnsi="宋体" w:eastAsia="宋体" w:cs="宋体"/>
          <w:b/>
          <w:bCs/>
          <w:color w:val="auto"/>
          <w:spacing w:val="40"/>
          <w:sz w:val="34"/>
          <w:szCs w:val="34"/>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3"/>
        <w:rPr>
          <w:color w:val="auto"/>
          <w:highlight w:val="none"/>
        </w:rPr>
      </w:pPr>
    </w:p>
    <w:p>
      <w:pPr>
        <w:pStyle w:val="26"/>
        <w:tabs>
          <w:tab w:val="right" w:leader="dot" w:pos="8958"/>
        </w:tabs>
        <w:snapToGrid w:val="0"/>
        <w:spacing w:line="480" w:lineRule="auto"/>
        <w:rPr>
          <w:rFonts w:ascii="宋体" w:hAnsi="宋体" w:cs="宋体"/>
          <w:color w:val="auto"/>
          <w:szCs w:val="21"/>
          <w:highlight w:val="none"/>
        </w:rPr>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color w:val="auto"/>
          <w:highlight w:val="none"/>
        </w:rPr>
        <w:fldChar w:fldCharType="begin"/>
      </w:r>
      <w:r>
        <w:rPr>
          <w:color w:val="auto"/>
          <w:highlight w:val="none"/>
        </w:rPr>
        <w:instrText xml:space="preserve"> HYPERLINK \l "_Toc9075" </w:instrText>
      </w:r>
      <w:r>
        <w:rPr>
          <w:color w:val="auto"/>
          <w:highlight w:val="none"/>
        </w:rPr>
        <w:fldChar w:fldCharType="separate"/>
      </w:r>
      <w:r>
        <w:rPr>
          <w:rFonts w:hint="eastAsia" w:ascii="宋体" w:hAnsi="宋体" w:cs="宋体"/>
          <w:color w:val="auto"/>
          <w:szCs w:val="21"/>
          <w:highlight w:val="none"/>
        </w:rPr>
        <w:t>第一章  招 标 公 告</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_Toc9075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6"/>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"_Toc25063" </w:instrText>
      </w:r>
      <w:r>
        <w:rPr>
          <w:color w:val="auto"/>
          <w:highlight w:val="none"/>
        </w:rPr>
        <w:fldChar w:fldCharType="separate"/>
      </w:r>
      <w:r>
        <w:rPr>
          <w:rFonts w:hint="eastAsia" w:ascii="宋体" w:hAnsi="宋体" w:cs="宋体"/>
          <w:color w:val="auto"/>
          <w:szCs w:val="21"/>
          <w:highlight w:val="none"/>
        </w:rPr>
        <w:t xml:space="preserve">第二章  </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需求</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_Toc25063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6"/>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"_Toc14504" </w:instrText>
      </w:r>
      <w:r>
        <w:rPr>
          <w:color w:val="auto"/>
          <w:highlight w:val="none"/>
        </w:rPr>
        <w:fldChar w:fldCharType="separate"/>
      </w:r>
      <w:r>
        <w:rPr>
          <w:rFonts w:hint="eastAsia" w:ascii="宋体" w:hAnsi="宋体" w:cs="宋体"/>
          <w:color w:val="auto"/>
          <w:szCs w:val="21"/>
          <w:highlight w:val="none"/>
        </w:rPr>
        <w:t>第三章  投标人须知</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_Toc14504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6"/>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"_Toc9022" </w:instrText>
      </w:r>
      <w:r>
        <w:rPr>
          <w:color w:val="auto"/>
          <w:highlight w:val="none"/>
        </w:rPr>
        <w:fldChar w:fldCharType="separate"/>
      </w:r>
      <w:r>
        <w:rPr>
          <w:rFonts w:hint="eastAsia" w:ascii="宋体" w:hAnsi="宋体" w:cs="宋体"/>
          <w:color w:val="auto"/>
          <w:kern w:val="0"/>
          <w:szCs w:val="21"/>
          <w:highlight w:val="none"/>
        </w:rPr>
        <w:t>第四章  评标办法及评分标准</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_Toc9022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6"/>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"_Toc28988" </w:instrText>
      </w:r>
      <w:r>
        <w:rPr>
          <w:color w:val="auto"/>
          <w:highlight w:val="none"/>
        </w:rPr>
        <w:fldChar w:fldCharType="separate"/>
      </w:r>
      <w:r>
        <w:rPr>
          <w:rFonts w:hint="eastAsia" w:ascii="宋体" w:hAnsi="宋体" w:cs="宋体"/>
          <w:color w:val="auto"/>
          <w:szCs w:val="21"/>
          <w:highlight w:val="none"/>
        </w:rPr>
        <w:t>第五章  采购合同（主要条款）</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_Toc28988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18</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6"/>
        <w:tabs>
          <w:tab w:val="right" w:leader="dot" w:pos="8958"/>
        </w:tabs>
        <w:snapToGrid w:val="0"/>
        <w:spacing w:line="480" w:lineRule="auto"/>
        <w:rPr>
          <w:rFonts w:ascii="宋体" w:hAnsi="宋体" w:cs="宋体"/>
          <w:b/>
          <w:bCs/>
          <w:color w:val="auto"/>
          <w:sz w:val="32"/>
          <w:szCs w:val="32"/>
          <w:highlight w:val="none"/>
        </w:rPr>
      </w:pPr>
      <w:r>
        <w:rPr>
          <w:color w:val="auto"/>
          <w:highlight w:val="none"/>
        </w:rPr>
        <w:fldChar w:fldCharType="begin"/>
      </w:r>
      <w:r>
        <w:rPr>
          <w:color w:val="auto"/>
          <w:highlight w:val="none"/>
        </w:rPr>
        <w:instrText xml:space="preserve"> HYPERLINK \l "_Toc2638" </w:instrText>
      </w:r>
      <w:r>
        <w:rPr>
          <w:color w:val="auto"/>
          <w:highlight w:val="none"/>
        </w:rPr>
        <w:fldChar w:fldCharType="separate"/>
      </w:r>
      <w:r>
        <w:rPr>
          <w:rFonts w:hint="eastAsia" w:ascii="宋体" w:hAnsi="宋体" w:cs="宋体"/>
          <w:color w:val="auto"/>
          <w:szCs w:val="21"/>
          <w:highlight w:val="none"/>
        </w:rPr>
        <w:t>第六章  投标文件格式</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_Toc2638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19</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82"/>
        <w:tabs>
          <w:tab w:val="right" w:leader="dot" w:pos="8300"/>
        </w:tabs>
        <w:snapToGrid w:val="0"/>
        <w:spacing w:line="480" w:lineRule="auto"/>
        <w:rPr>
          <w:rFonts w:ascii="宋体" w:hAnsi="宋体" w:cs="宋体"/>
          <w:color w:val="auto"/>
          <w:sz w:val="32"/>
          <w:szCs w:val="32"/>
          <w:highlight w:val="none"/>
        </w:rPr>
      </w:pPr>
      <w:r>
        <w:rPr>
          <w:rFonts w:hint="eastAsia" w:ascii="宋体" w:hAnsi="宋体" w:cs="宋体"/>
          <w:b/>
          <w:bCs/>
          <w:color w:val="auto"/>
          <w:sz w:val="32"/>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9075"/>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eastAsia" w:ascii="黑体" w:hAnsi="黑体" w:eastAsia="黑体" w:cs="宋体"/>
          <w:bCs/>
          <w:color w:val="auto"/>
          <w:kern w:val="0"/>
          <w:sz w:val="28"/>
          <w:szCs w:val="28"/>
          <w:u w:val="none"/>
          <w:lang w:val="en-US" w:eastAsia="zh-CN"/>
        </w:rPr>
      </w:pPr>
      <w:r>
        <w:rPr>
          <w:rFonts w:hint="eastAsia" w:ascii="黑体" w:hAnsi="黑体" w:eastAsia="黑体" w:cs="宋体"/>
          <w:bCs/>
          <w:color w:val="auto"/>
          <w:kern w:val="0"/>
          <w:sz w:val="28"/>
          <w:szCs w:val="28"/>
          <w:lang w:eastAsia="zh-CN"/>
        </w:rPr>
        <w:t>驻马店市中心医院氟[18F]脱氧葡糖注射液采购</w:t>
      </w:r>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eastAsia" w:ascii="黑体" w:hAnsi="黑体" w:eastAsia="黑体" w:cs="宋体"/>
          <w:bCs/>
          <w:color w:val="auto"/>
          <w:kern w:val="0"/>
          <w:sz w:val="28"/>
          <w:szCs w:val="28"/>
        </w:rPr>
      </w:pPr>
      <w:r>
        <w:rPr>
          <w:rFonts w:hint="eastAsia" w:ascii="黑体" w:hAnsi="黑体" w:eastAsia="黑体" w:cs="宋体"/>
          <w:bCs/>
          <w:color w:val="auto"/>
          <w:kern w:val="0"/>
          <w:sz w:val="28"/>
          <w:szCs w:val="28"/>
          <w:u w:val="none"/>
          <w:lang w:val="en-US" w:eastAsia="zh-CN"/>
        </w:rPr>
        <w:t>竞争性磋商</w:t>
      </w:r>
      <w:r>
        <w:rPr>
          <w:rFonts w:hint="eastAsia" w:ascii="黑体" w:hAnsi="黑体" w:eastAsia="黑体" w:cs="宋体"/>
          <w:bCs/>
          <w:color w:val="auto"/>
          <w:kern w:val="0"/>
          <w:sz w:val="28"/>
          <w:szCs w:val="28"/>
        </w:rPr>
        <w:t>公告</w:t>
      </w:r>
    </w:p>
    <w:p>
      <w:pPr>
        <w:snapToGrid w:val="0"/>
        <w:spacing w:line="360" w:lineRule="auto"/>
        <w:ind w:firstLine="420" w:firstLineChars="200"/>
        <w:rPr>
          <w:rFonts w:ascii="宋体" w:hAnsi="宋体" w:eastAsia="宋体" w:cs="宋体"/>
          <w:color w:val="auto"/>
          <w:szCs w:val="21"/>
        </w:rPr>
      </w:pPr>
      <w:r>
        <w:rPr>
          <w:rFonts w:hint="eastAsia" w:ascii="宋体" w:hAnsi="宋体" w:eastAsia="宋体" w:cs="宋体"/>
          <w:color w:val="auto"/>
        </w:rPr>
        <w:t>驻马店市中心医院现对</w:t>
      </w:r>
      <w:r>
        <w:rPr>
          <w:rFonts w:hint="eastAsia" w:ascii="宋体" w:hAnsi="宋体" w:eastAsia="宋体" w:cs="宋体"/>
          <w:color w:val="auto"/>
          <w:u w:val="single"/>
        </w:rPr>
        <w:t xml:space="preserve"> </w:t>
      </w:r>
      <w:r>
        <w:rPr>
          <w:rFonts w:hint="eastAsia" w:ascii="宋体" w:hAnsi="宋体" w:cs="宋体"/>
          <w:color w:val="auto"/>
          <w:u w:val="single"/>
          <w:lang w:eastAsia="zh-CN"/>
        </w:rPr>
        <w:t>驻马店市中心医院氟[18F]脱氧葡糖注射液采购</w:t>
      </w:r>
      <w:r>
        <w:rPr>
          <w:rFonts w:hint="eastAsia" w:ascii="宋体" w:hAnsi="宋体" w:eastAsia="宋体" w:cs="宋体"/>
          <w:color w:val="auto"/>
        </w:rPr>
        <w:t>进行院内</w:t>
      </w:r>
      <w:r>
        <w:rPr>
          <w:rFonts w:hint="eastAsia" w:ascii="宋体" w:hAnsi="宋体" w:eastAsia="宋体" w:cs="宋体"/>
          <w:color w:val="auto"/>
          <w:lang w:val="en-US" w:eastAsia="zh-CN"/>
        </w:rPr>
        <w:t>竞争性磋商</w:t>
      </w:r>
      <w:r>
        <w:rPr>
          <w:rFonts w:hint="eastAsia" w:ascii="宋体" w:hAnsi="宋体" w:eastAsia="宋体" w:cs="宋体"/>
          <w:color w:val="auto"/>
        </w:rPr>
        <w:t>采购，欢迎符合资格条件的供应商前来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w:t>
      </w:r>
      <w:r>
        <w:rPr>
          <w:rFonts w:hint="eastAsia" w:ascii="宋体" w:hAnsi="宋体" w:cs="宋体"/>
          <w:color w:val="auto"/>
          <w:szCs w:val="21"/>
          <w:highlight w:val="none"/>
          <w:shd w:val="clear" w:color="auto" w:fill="FFFFFF"/>
          <w:lang w:eastAsia="zh-CN"/>
        </w:rPr>
        <w:t>驻马店市中心医院氟[18F]脱氧葡糖注射液采购</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、预算金额：</w:t>
      </w:r>
      <w:r>
        <w:rPr>
          <w:rFonts w:hint="eastAsia" w:ascii="宋体" w:hAnsi="宋体" w:cs="宋体"/>
          <w:color w:val="auto"/>
          <w:szCs w:val="21"/>
          <w:highlight w:val="none"/>
          <w:shd w:val="clear" w:color="auto" w:fill="FFFFFF"/>
          <w:lang w:val="en-US" w:eastAsia="zh-CN"/>
        </w:rPr>
        <w:t>10万</w:t>
      </w:r>
      <w:r>
        <w:rPr>
          <w:rFonts w:hint="eastAsia" w:ascii="宋体" w:hAnsi="宋体" w:eastAsia="宋体" w:cs="宋体"/>
          <w:color w:val="auto"/>
          <w:szCs w:val="21"/>
          <w:highlight w:val="none"/>
          <w:shd w:val="clear" w:color="auto" w:fill="FFFFFF"/>
        </w:rPr>
        <w:t>元</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lang w:val="en-US" w:eastAsia="zh-CN"/>
        </w:rPr>
        <w:t>自筹资金；</w:t>
      </w:r>
    </w:p>
    <w:p>
      <w:pPr>
        <w:widowControl/>
        <w:tabs>
          <w:tab w:val="left" w:pos="840"/>
        </w:tabs>
        <w:snapToGrid w:val="0"/>
        <w:spacing w:line="360" w:lineRule="auto"/>
        <w:ind w:firstLine="420" w:firstLineChars="200"/>
        <w:jc w:val="left"/>
        <w:rPr>
          <w:rFonts w:hint="default"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rPr>
        <w:t>4、</w:t>
      </w:r>
      <w:r>
        <w:rPr>
          <w:rFonts w:hint="eastAsia" w:ascii="宋体" w:hAnsi="宋体" w:eastAsia="宋体" w:cs="宋体"/>
          <w:color w:val="auto"/>
          <w:szCs w:val="21"/>
          <w:highlight w:val="none"/>
          <w:shd w:val="clear" w:color="auto" w:fill="FFFFFF"/>
          <w:lang w:val="en-US" w:eastAsia="zh-CN"/>
        </w:rPr>
        <w:t>交货地点：采购人指定地点；</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bookmarkStart w:id="4" w:name="_Toc24040"/>
      <w:bookmarkStart w:id="5" w:name="_Toc21071"/>
      <w:bookmarkStart w:id="6" w:name="_Toc26079"/>
      <w:bookmarkStart w:id="7" w:name="_Toc19521"/>
      <w:bookmarkStart w:id="8" w:name="_Toc27913"/>
      <w:r>
        <w:rPr>
          <w:rFonts w:hint="eastAsia" w:ascii="宋体" w:hAnsi="宋体" w:eastAsia="宋体" w:cs="宋体"/>
          <w:color w:val="auto"/>
          <w:szCs w:val="21"/>
          <w:highlight w:val="none"/>
          <w:shd w:val="clear" w:color="auto" w:fill="FFFFFF"/>
        </w:rPr>
        <w:t>5、</w:t>
      </w:r>
      <w:bookmarkEnd w:id="4"/>
      <w:bookmarkEnd w:id="5"/>
      <w:bookmarkEnd w:id="6"/>
      <w:bookmarkEnd w:id="7"/>
      <w:bookmarkEnd w:id="8"/>
      <w:r>
        <w:rPr>
          <w:rFonts w:hint="eastAsia" w:ascii="宋体" w:hAnsi="宋体" w:eastAsia="宋体" w:cs="宋体"/>
          <w:color w:val="auto"/>
          <w:szCs w:val="21"/>
          <w:highlight w:val="none"/>
          <w:shd w:val="clear" w:color="auto" w:fill="FFFFFF"/>
        </w:rPr>
        <w:t>质量要求：符合现行国家质量要求和行业有关标准</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6、标段：共</w:t>
      </w:r>
      <w:r>
        <w:rPr>
          <w:rFonts w:hint="eastAsia" w:ascii="宋体" w:hAnsi="宋体" w:cs="宋体"/>
          <w:color w:val="auto"/>
          <w:szCs w:val="21"/>
          <w:highlight w:val="none"/>
          <w:shd w:val="clear" w:color="auto" w:fill="FFFFFF"/>
          <w:lang w:val="en-US" w:eastAsia="zh-CN"/>
        </w:rPr>
        <w:t>一</w:t>
      </w:r>
      <w:r>
        <w:rPr>
          <w:rFonts w:hint="eastAsia" w:ascii="宋体" w:hAnsi="宋体" w:eastAsia="宋体" w:cs="宋体"/>
          <w:color w:val="auto"/>
          <w:szCs w:val="21"/>
          <w:highlight w:val="none"/>
          <w:shd w:val="clear" w:color="auto" w:fill="FFFFFF"/>
          <w:lang w:val="en-US" w:eastAsia="zh-CN"/>
        </w:rPr>
        <w:t>个标段</w:t>
      </w:r>
      <w:r>
        <w:rPr>
          <w:rFonts w:hint="eastAsia" w:ascii="宋体" w:hAnsi="宋体" w:cs="宋体"/>
          <w:color w:val="auto"/>
          <w:szCs w:val="21"/>
          <w:highlight w:val="none"/>
          <w:shd w:val="clear" w:color="auto" w:fill="FFFFFF"/>
          <w:lang w:val="en-US" w:eastAsia="zh-CN"/>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bookmarkStart w:id="9" w:name="_Toc18607"/>
      <w:bookmarkStart w:id="10" w:name="_Toc23626"/>
      <w:bookmarkStart w:id="11" w:name="_Toc27704"/>
      <w:bookmarkStart w:id="12" w:name="_Toc16639"/>
      <w:r>
        <w:rPr>
          <w:rFonts w:hint="eastAsia" w:ascii="宋体" w:hAnsi="宋体" w:eastAsia="宋体" w:cs="宋体"/>
          <w:b/>
          <w:bCs/>
          <w:color w:val="auto"/>
          <w:kern w:val="2"/>
          <w:sz w:val="21"/>
          <w:szCs w:val="21"/>
          <w:shd w:val="clear" w:color="auto" w:fill="FFFFFF"/>
          <w:lang w:val="en-US" w:eastAsia="zh-CN" w:bidi="ar-SA"/>
        </w:rPr>
        <w:t>二、</w:t>
      </w:r>
      <w:bookmarkEnd w:id="3"/>
      <w:bookmarkEnd w:id="9"/>
      <w:bookmarkEnd w:id="10"/>
      <w:bookmarkEnd w:id="11"/>
      <w:bookmarkEnd w:id="12"/>
      <w:r>
        <w:rPr>
          <w:rFonts w:hint="eastAsia" w:ascii="宋体" w:hAnsi="宋体" w:eastAsia="宋体" w:cs="宋体"/>
          <w:b/>
          <w:bCs/>
          <w:color w:val="auto"/>
          <w:kern w:val="2"/>
          <w:sz w:val="21"/>
          <w:szCs w:val="21"/>
          <w:shd w:val="clear" w:color="auto" w:fill="FFFFFF"/>
          <w:lang w:val="en-US" w:eastAsia="zh-CN" w:bidi="ar-SA"/>
        </w:rPr>
        <w:t>供应商资格要求：</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ascii="宋体" w:hAnsi="宋体" w:eastAsia="宋体" w:cs="宋体"/>
          <w:b w:val="0"/>
          <w:bCs w:val="0"/>
          <w:color w:val="auto"/>
          <w:kern w:val="2"/>
          <w:sz w:val="21"/>
          <w:szCs w:val="21"/>
          <w:shd w:val="clear" w:color="auto" w:fill="FFFFFF"/>
          <w:lang w:val="en-US" w:eastAsia="zh-CN" w:bidi="ar-SA"/>
        </w:rPr>
      </w:pPr>
      <w:bookmarkStart w:id="13" w:name="_Toc7823"/>
      <w:bookmarkStart w:id="14" w:name="_Toc30971"/>
      <w:bookmarkStart w:id="15" w:name="_Toc23395"/>
      <w:bookmarkStart w:id="16" w:name="_Toc30643"/>
      <w:bookmarkStart w:id="17" w:name="_Toc9562"/>
      <w:r>
        <w:rPr>
          <w:rFonts w:hint="eastAsia" w:ascii="宋体" w:hAnsi="宋体" w:eastAsia="宋体" w:cs="宋体"/>
          <w:b w:val="0"/>
          <w:bCs w:val="0"/>
          <w:color w:val="auto"/>
          <w:kern w:val="2"/>
          <w:sz w:val="21"/>
          <w:szCs w:val="21"/>
          <w:shd w:val="clear" w:color="auto" w:fill="FFFFFF"/>
          <w:lang w:val="en-US" w:eastAsia="zh-CN" w:bidi="ar-SA"/>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2、供应商应提供2021年度经审计的财务报告或者其基本开户银行出具的资信证明；2022年6月</w:t>
      </w:r>
      <w:r>
        <w:rPr>
          <w:rFonts w:hint="eastAsia" w:ascii="宋体" w:hAnsi="宋体" w:cs="宋体"/>
          <w:b w:val="0"/>
          <w:bCs w:val="0"/>
          <w:color w:val="auto"/>
          <w:kern w:val="2"/>
          <w:sz w:val="21"/>
          <w:szCs w:val="21"/>
          <w:shd w:val="clear" w:color="auto" w:fill="FFFFFF"/>
          <w:lang w:val="en-US" w:eastAsia="zh-CN" w:bidi="ar-SA"/>
        </w:rPr>
        <w:t>份</w:t>
      </w:r>
      <w:r>
        <w:rPr>
          <w:rFonts w:hint="eastAsia" w:ascii="宋体" w:hAnsi="宋体" w:eastAsia="宋体" w:cs="宋体"/>
          <w:b w:val="0"/>
          <w:bCs w:val="0"/>
          <w:color w:val="auto"/>
          <w:kern w:val="2"/>
          <w:sz w:val="21"/>
          <w:szCs w:val="21"/>
          <w:shd w:val="clear" w:color="auto" w:fill="FFFFFF"/>
          <w:lang w:val="en-US" w:eastAsia="zh-CN" w:bidi="ar-SA"/>
        </w:rPr>
        <w:t>以来任意一个月依法缴纳税收的凭据和缴纳社会保险的凭据；依法免税或不需要缴纳社会保障资金的供应商，应提供相应文件证明其依法免税或不需要缴纳社会保障资金。（新成立企业从成立之日起计算）；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3、具有履行合同所必需的设备和专业技术能力（提供书面声明函）；</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4、参加本采购活动前三年内，在经营活动中没有重大违法记录（提供书面声明函）；</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5、符合法律、行政法规规定的其他条件；</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default"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6、具有《放射性药品生产许可证》</w:t>
      </w:r>
      <w:r>
        <w:rPr>
          <w:rFonts w:hint="eastAsia" w:ascii="宋体" w:hAnsi="宋体" w:cs="宋体"/>
          <w:b w:val="0"/>
          <w:bCs w:val="0"/>
          <w:color w:val="auto"/>
          <w:kern w:val="2"/>
          <w:sz w:val="21"/>
          <w:szCs w:val="21"/>
          <w:shd w:val="clear" w:color="auto" w:fill="FFFFFF"/>
          <w:lang w:val="en-US" w:eastAsia="zh-CN" w:bidi="ar-SA"/>
        </w:rPr>
        <w:t>或</w:t>
      </w:r>
      <w:r>
        <w:rPr>
          <w:rFonts w:hint="eastAsia" w:ascii="宋体" w:hAnsi="宋体" w:eastAsia="宋体" w:cs="宋体"/>
          <w:b w:val="0"/>
          <w:bCs w:val="0"/>
          <w:color w:val="auto"/>
          <w:kern w:val="2"/>
          <w:sz w:val="21"/>
          <w:szCs w:val="21"/>
          <w:shd w:val="clear" w:color="auto" w:fill="FFFFFF"/>
          <w:lang w:val="en-US" w:eastAsia="zh-CN" w:bidi="ar-SA"/>
        </w:rPr>
        <w:t>《放射性药品经营许可证》、《辐射安全许可证》、《注册批件》；</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cs="宋体"/>
          <w:b w:val="0"/>
          <w:bCs w:val="0"/>
          <w:color w:val="auto"/>
          <w:kern w:val="2"/>
          <w:sz w:val="21"/>
          <w:szCs w:val="21"/>
          <w:shd w:val="clear" w:color="auto" w:fill="FFFFFF"/>
          <w:lang w:val="en-US" w:eastAsia="zh-CN" w:bidi="ar-SA"/>
        </w:rPr>
        <w:t>7</w:t>
      </w:r>
      <w:r>
        <w:rPr>
          <w:rFonts w:hint="eastAsia" w:ascii="宋体" w:hAnsi="宋体" w:eastAsia="宋体" w:cs="宋体"/>
          <w:b w:val="0"/>
          <w:bCs w:val="0"/>
          <w:color w:val="auto"/>
          <w:kern w:val="2"/>
          <w:sz w:val="21"/>
          <w:szCs w:val="21"/>
          <w:shd w:val="clear" w:color="auto" w:fill="FFFFFF"/>
          <w:lang w:val="en-US" w:eastAsia="zh-CN" w:bidi="ar-SA"/>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cs="宋体"/>
          <w:b w:val="0"/>
          <w:bCs w:val="0"/>
          <w:color w:val="auto"/>
          <w:kern w:val="2"/>
          <w:sz w:val="21"/>
          <w:szCs w:val="21"/>
          <w:shd w:val="clear" w:color="auto" w:fill="FFFFFF"/>
          <w:lang w:val="en-US" w:eastAsia="zh-CN" w:bidi="ar-SA"/>
        </w:rPr>
        <w:t>8</w:t>
      </w:r>
      <w:r>
        <w:rPr>
          <w:rFonts w:hint="eastAsia" w:ascii="宋体" w:hAnsi="宋体" w:eastAsia="宋体" w:cs="宋体"/>
          <w:b w:val="0"/>
          <w:bCs w:val="0"/>
          <w:color w:val="auto"/>
          <w:kern w:val="2"/>
          <w:sz w:val="21"/>
          <w:szCs w:val="21"/>
          <w:shd w:val="clear" w:color="auto" w:fill="FFFFFF"/>
          <w:lang w:val="en-US" w:eastAsia="zh-CN" w:bidi="ar-SA"/>
        </w:rPr>
        <w:t>、不接受联合体投标，不允许转包和分包。</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4"/>
          <w:lang w:val="en-US" w:eastAsia="zh-CN" w:bidi="ar-SA"/>
        </w:rPr>
      </w:pPr>
      <w:r>
        <w:rPr>
          <w:rFonts w:hint="eastAsia" w:ascii="宋体" w:hAnsi="宋体" w:eastAsia="宋体" w:cs="宋体"/>
          <w:b/>
          <w:bCs/>
          <w:color w:val="auto"/>
          <w:kern w:val="2"/>
          <w:sz w:val="21"/>
          <w:szCs w:val="24"/>
          <w:lang w:val="en-US" w:eastAsia="zh-CN" w:bidi="ar-SA"/>
        </w:rPr>
        <w:t>三、获取采购文件</w:t>
      </w:r>
      <w:bookmarkEnd w:id="13"/>
      <w:bookmarkEnd w:id="14"/>
      <w:bookmarkEnd w:id="15"/>
      <w:bookmarkEnd w:id="16"/>
      <w:bookmarkEnd w:id="17"/>
    </w:p>
    <w:p>
      <w:pPr>
        <w:widowControl/>
        <w:adjustRightInd w:val="0"/>
        <w:snapToGrid w:val="0"/>
        <w:spacing w:line="360" w:lineRule="auto"/>
        <w:ind w:firstLine="420" w:firstLineChars="200"/>
        <w:jc w:val="left"/>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1</w:t>
      </w:r>
      <w:r>
        <w:rPr>
          <w:rFonts w:hint="eastAsia" w:ascii="宋体" w:hAnsi="宋体" w:cs="宋体"/>
          <w:color w:val="auto"/>
          <w:szCs w:val="21"/>
          <w:shd w:val="clear" w:color="auto" w:fill="FFFFFF"/>
          <w:lang w:val="en-US" w:eastAsia="zh-CN"/>
        </w:rPr>
        <w:t>报名</w:t>
      </w:r>
      <w:r>
        <w:rPr>
          <w:rFonts w:hint="eastAsia" w:ascii="宋体" w:hAnsi="宋体" w:eastAsia="宋体" w:cs="宋体"/>
          <w:color w:val="auto"/>
          <w:szCs w:val="21"/>
          <w:shd w:val="clear" w:color="auto" w:fill="FFFFFF"/>
        </w:rPr>
        <w:t>时间：202</w:t>
      </w:r>
      <w:r>
        <w:rPr>
          <w:rFonts w:hint="eastAsia" w:ascii="宋体" w:hAnsi="宋体" w:eastAsia="宋体" w:cs="宋体"/>
          <w:color w:val="auto"/>
          <w:szCs w:val="21"/>
          <w:shd w:val="clear" w:color="auto" w:fill="FFFFFF"/>
          <w:lang w:val="en-US" w:eastAsia="zh-CN"/>
        </w:rPr>
        <w:t>2</w:t>
      </w:r>
      <w:r>
        <w:rPr>
          <w:rFonts w:hint="eastAsia" w:ascii="宋体" w:hAnsi="宋体" w:eastAsia="宋体" w:cs="宋体"/>
          <w:color w:val="auto"/>
          <w:szCs w:val="21"/>
          <w:shd w:val="clear" w:color="auto" w:fill="FFFFFF"/>
        </w:rPr>
        <w:t>年</w:t>
      </w:r>
      <w:r>
        <w:rPr>
          <w:rFonts w:hint="eastAsia" w:ascii="宋体" w:hAnsi="宋体" w:cs="宋体"/>
          <w:color w:val="auto"/>
          <w:szCs w:val="21"/>
          <w:highlight w:val="yellow"/>
          <w:shd w:val="clear" w:color="auto" w:fill="FFFFFF"/>
          <w:lang w:val="en-US" w:eastAsia="zh-CN"/>
        </w:rPr>
        <w:t>09</w:t>
      </w:r>
      <w:r>
        <w:rPr>
          <w:rFonts w:hint="eastAsia" w:ascii="宋体" w:hAnsi="宋体" w:eastAsia="宋体" w:cs="宋体"/>
          <w:color w:val="auto"/>
          <w:szCs w:val="21"/>
          <w:highlight w:val="yellow"/>
          <w:shd w:val="clear" w:color="auto" w:fill="FFFFFF"/>
        </w:rPr>
        <w:t>月</w:t>
      </w:r>
      <w:r>
        <w:rPr>
          <w:rFonts w:hint="eastAsia" w:ascii="宋体" w:hAnsi="宋体" w:cs="宋体"/>
          <w:color w:val="auto"/>
          <w:szCs w:val="21"/>
          <w:highlight w:val="yellow"/>
          <w:shd w:val="clear" w:color="auto" w:fill="FFFFFF"/>
          <w:lang w:val="en-US" w:eastAsia="zh-CN"/>
        </w:rPr>
        <w:t>22</w:t>
      </w:r>
      <w:r>
        <w:rPr>
          <w:rFonts w:hint="eastAsia" w:ascii="宋体" w:hAnsi="宋体" w:eastAsia="宋体" w:cs="宋体"/>
          <w:color w:val="auto"/>
          <w:szCs w:val="21"/>
          <w:highlight w:val="yellow"/>
          <w:shd w:val="clear" w:color="auto" w:fill="FFFFFF"/>
        </w:rPr>
        <w:t>日</w:t>
      </w:r>
      <w:r>
        <w:rPr>
          <w:rFonts w:hint="eastAsia" w:ascii="宋体" w:hAnsi="宋体" w:eastAsia="宋体" w:cs="宋体"/>
          <w:color w:val="auto"/>
          <w:szCs w:val="21"/>
          <w:highlight w:val="none"/>
          <w:shd w:val="clear" w:color="auto" w:fill="FFFFFF"/>
        </w:rPr>
        <w:t>-202</w:t>
      </w:r>
      <w:r>
        <w:rPr>
          <w:rFonts w:hint="eastAsia" w:ascii="宋体" w:hAnsi="宋体" w:eastAsia="宋体" w:cs="宋体"/>
          <w:color w:val="auto"/>
          <w:szCs w:val="21"/>
          <w:highlight w:val="none"/>
          <w:shd w:val="clear" w:color="auto" w:fill="FFFFFF"/>
          <w:lang w:val="en-US" w:eastAsia="zh-CN"/>
        </w:rPr>
        <w:t>2</w:t>
      </w:r>
      <w:r>
        <w:rPr>
          <w:rFonts w:hint="eastAsia" w:ascii="宋体" w:hAnsi="宋体" w:eastAsia="宋体" w:cs="宋体"/>
          <w:color w:val="auto"/>
          <w:szCs w:val="21"/>
          <w:highlight w:val="none"/>
          <w:shd w:val="clear" w:color="auto" w:fill="FFFFFF"/>
        </w:rPr>
        <w:t>年</w:t>
      </w:r>
      <w:r>
        <w:rPr>
          <w:rFonts w:hint="eastAsia" w:ascii="宋体" w:hAnsi="宋体" w:cs="宋体"/>
          <w:color w:val="auto"/>
          <w:szCs w:val="21"/>
          <w:highlight w:val="yellow"/>
          <w:shd w:val="clear" w:color="auto" w:fill="FFFFFF"/>
          <w:lang w:val="en-US" w:eastAsia="zh-CN"/>
        </w:rPr>
        <w:t>09</w:t>
      </w:r>
      <w:r>
        <w:rPr>
          <w:rFonts w:hint="eastAsia" w:ascii="宋体" w:hAnsi="宋体" w:eastAsia="宋体" w:cs="宋体"/>
          <w:color w:val="auto"/>
          <w:szCs w:val="21"/>
          <w:highlight w:val="yellow"/>
          <w:shd w:val="clear" w:color="auto" w:fill="FFFFFF"/>
        </w:rPr>
        <w:t>月</w:t>
      </w:r>
      <w:r>
        <w:rPr>
          <w:rFonts w:hint="eastAsia" w:ascii="宋体" w:hAnsi="宋体" w:cs="宋体"/>
          <w:color w:val="auto"/>
          <w:szCs w:val="21"/>
          <w:highlight w:val="yellow"/>
          <w:shd w:val="clear" w:color="auto" w:fill="FFFFFF"/>
          <w:lang w:val="en-US" w:eastAsia="zh-CN"/>
        </w:rPr>
        <w:t>26</w:t>
      </w:r>
      <w:r>
        <w:rPr>
          <w:rFonts w:hint="eastAsia" w:ascii="宋体" w:hAnsi="宋体" w:eastAsia="宋体" w:cs="宋体"/>
          <w:color w:val="auto"/>
          <w:szCs w:val="21"/>
          <w:highlight w:val="yellow"/>
          <w:shd w:val="clear" w:color="auto" w:fill="FFFFFF"/>
        </w:rPr>
        <w:t>日</w:t>
      </w:r>
      <w:r>
        <w:rPr>
          <w:rFonts w:hint="eastAsia" w:ascii="宋体" w:hAnsi="宋体" w:eastAsia="宋体" w:cs="宋体"/>
          <w:color w:val="auto"/>
          <w:szCs w:val="21"/>
          <w:shd w:val="clear" w:color="auto" w:fill="FFFFFF"/>
        </w:rPr>
        <w:t>，上午8：30-11:30，下午14:30-17:30（北京时间，法定节假日除外）</w:t>
      </w:r>
      <w:r>
        <w:rPr>
          <w:rFonts w:hint="eastAsia" w:ascii="宋体" w:hAnsi="宋体" w:eastAsia="宋体" w:cs="宋体"/>
          <w:color w:val="auto"/>
          <w:szCs w:val="21"/>
          <w:shd w:val="clear" w:color="auto" w:fill="FFFFFF"/>
          <w:lang w:eastAsia="zh-CN"/>
        </w:rPr>
        <w:t>，</w:t>
      </w:r>
      <w:r>
        <w:rPr>
          <w:rFonts w:hint="eastAsia" w:ascii="宋体" w:hAnsi="宋体" w:cs="宋体"/>
          <w:color w:val="auto"/>
          <w:szCs w:val="21"/>
          <w:shd w:val="clear" w:color="auto" w:fill="FFFFFF"/>
          <w:lang w:val="en-US" w:eastAsia="zh-CN"/>
        </w:rPr>
        <w:t>报名费用</w:t>
      </w:r>
      <w:r>
        <w:rPr>
          <w:rFonts w:hint="eastAsia" w:ascii="宋体" w:hAnsi="宋体" w:eastAsia="宋体" w:cs="宋体"/>
          <w:color w:val="auto"/>
          <w:szCs w:val="21"/>
          <w:shd w:val="clear" w:color="auto" w:fill="FFFFFF"/>
          <w:lang w:val="en-US" w:eastAsia="zh-CN"/>
        </w:rPr>
        <w:t>：200元。</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2.凡报名成功的供应商无故不来参与投标的列入我院黑名单，一年内不得参与我院任何采购活动。中标供应商缴纳相应服务费。 </w:t>
      </w:r>
    </w:p>
    <w:p>
      <w:pPr>
        <w:widowControl/>
        <w:wordWrap w:val="0"/>
        <w:snapToGrid w:val="0"/>
        <w:spacing w:before="0" w:beforeAutospacing="0" w:after="0" w:afterAutospacing="0" w:line="360" w:lineRule="auto"/>
        <w:ind w:left="0" w:leftChars="0" w:firstLine="420" w:firstLineChars="200"/>
        <w:jc w:val="left"/>
        <w:rPr>
          <w:rFonts w:ascii="宋体" w:hAnsi="宋体" w:eastAsia="宋体" w:cs="宋体"/>
          <w:color w:val="auto"/>
          <w:kern w:val="0"/>
          <w:sz w:val="21"/>
          <w:szCs w:val="21"/>
          <w:u w:val="singl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cs="宋体"/>
          <w:color w:val="auto"/>
          <w:kern w:val="0"/>
          <w:sz w:val="21"/>
          <w:szCs w:val="21"/>
          <w:shd w:val="clear" w:color="auto" w:fill="FFFFFF"/>
          <w:lang w:val="en-US" w:eastAsia="zh-CN" w:bidi="ar-SA"/>
        </w:rPr>
        <w:t>1150105437</w:t>
      </w:r>
      <w:r>
        <w:rPr>
          <w:rFonts w:hint="eastAsia" w:ascii="宋体" w:hAnsi="宋体" w:eastAsia="宋体" w:cs="宋体"/>
          <w:color w:val="auto"/>
          <w:kern w:val="0"/>
          <w:sz w:val="21"/>
          <w:szCs w:val="21"/>
          <w:shd w:val="clear" w:color="auto" w:fill="FFFFFF"/>
          <w:lang w:val="en-US" w:eastAsia="zh-CN" w:bidi="ar-SA"/>
        </w:rPr>
        <w:t>@qq.com并标明XX</w:t>
      </w:r>
      <w:r>
        <w:rPr>
          <w:rFonts w:hint="eastAsia" w:ascii="宋体" w:hAnsi="宋体" w:eastAsia="宋体" w:cs="宋体"/>
          <w:color w:val="auto"/>
          <w:kern w:val="0"/>
          <w:sz w:val="21"/>
          <w:szCs w:val="21"/>
          <w:shd w:val="clear" w:color="auto" w:fill="FFFFFF"/>
          <w:lang w:val="en-US" w:eastAsia="zh-CN" w:bidi="ar-SA"/>
        </w:rPr>
        <w:fldChar w:fldCharType="end"/>
      </w:r>
      <w:r>
        <w:rPr>
          <w:rFonts w:hint="eastAsia" w:ascii="宋体" w:hAnsi="宋体" w:eastAsia="宋体" w:cs="宋体"/>
          <w:color w:val="auto"/>
          <w:kern w:val="0"/>
          <w:sz w:val="21"/>
          <w:szCs w:val="21"/>
          <w:shd w:val="clear" w:color="auto" w:fill="FFFFFF"/>
          <w:lang w:val="en-US" w:eastAsia="zh-CN" w:bidi="ar-SA"/>
        </w:rPr>
        <w:t>项目报名资料；审核通过后按要求交纳</w:t>
      </w:r>
      <w:r>
        <w:rPr>
          <w:rFonts w:hint="eastAsia" w:ascii="宋体" w:hAnsi="宋体" w:cs="宋体"/>
          <w:color w:val="auto"/>
          <w:kern w:val="0"/>
          <w:sz w:val="21"/>
          <w:szCs w:val="21"/>
          <w:shd w:val="clear" w:color="auto" w:fill="FFFFFF"/>
          <w:lang w:val="en-US" w:eastAsia="zh-CN" w:bidi="ar-SA"/>
        </w:rPr>
        <w:t>报名费</w:t>
      </w:r>
      <w:r>
        <w:rPr>
          <w:rFonts w:hint="eastAsia" w:ascii="宋体" w:hAnsi="宋体" w:eastAsia="宋体" w:cs="宋体"/>
          <w:color w:val="auto"/>
          <w:kern w:val="0"/>
          <w:sz w:val="21"/>
          <w:szCs w:val="21"/>
          <w:shd w:val="clear" w:color="auto" w:fill="FFFFFF"/>
          <w:lang w:val="en-US" w:eastAsia="zh-CN" w:bidi="ar-SA"/>
        </w:rPr>
        <w:t>。</w:t>
      </w:r>
    </w:p>
    <w:p>
      <w:pPr>
        <w:widowControl/>
        <w:wordWrap w:val="0"/>
        <w:snapToGrid w:val="0"/>
        <w:spacing w:before="0" w:beforeAutospacing="0" w:after="0" w:afterAutospacing="0" w:line="360" w:lineRule="auto"/>
        <w:ind w:left="420" w:left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4.报名登记表：请从附件中下载。</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18" w:name="_Toc10738"/>
      <w:bookmarkStart w:id="19" w:name="_Toc27480"/>
      <w:bookmarkStart w:id="20" w:name="_Toc25869"/>
      <w:bookmarkStart w:id="21" w:name="_Toc15135"/>
      <w:bookmarkStart w:id="22" w:name="_Toc15111"/>
      <w:r>
        <w:rPr>
          <w:rFonts w:hint="eastAsia" w:ascii="宋体" w:hAnsi="宋体" w:eastAsia="宋体" w:cs="宋体"/>
          <w:b/>
          <w:bCs/>
          <w:color w:val="auto"/>
          <w:kern w:val="2"/>
          <w:sz w:val="21"/>
          <w:szCs w:val="21"/>
          <w:shd w:val="clear" w:color="auto" w:fill="FFFFFF"/>
          <w:lang w:val="en-US" w:eastAsia="zh-CN" w:bidi="ar-SA"/>
        </w:rPr>
        <w:t>四、投标截止时间及地点</w:t>
      </w:r>
      <w:bookmarkEnd w:id="18"/>
      <w:bookmarkEnd w:id="19"/>
      <w:bookmarkEnd w:id="20"/>
      <w:bookmarkEnd w:id="21"/>
      <w:bookmarkEnd w:id="22"/>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1.时间：详见采购文件。</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2.地点：详见采购文件。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shd w:val="clear" w:color="auto" w:fill="FFFFFF"/>
          <w:lang w:val="en-US" w:eastAsia="zh-CN" w:bidi="ar-SA"/>
        </w:rPr>
        <w:t>五、开标时间及地点</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1.时间：详见采购文件。</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2.地点：详见采购文件。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23" w:name="_Toc20287"/>
      <w:bookmarkStart w:id="24" w:name="_Toc30918"/>
      <w:bookmarkStart w:id="25" w:name="_Toc29784"/>
      <w:bookmarkStart w:id="26" w:name="_Toc6523"/>
      <w:r>
        <w:rPr>
          <w:rFonts w:hint="eastAsia" w:ascii="宋体" w:hAnsi="宋体" w:eastAsia="宋体" w:cs="宋体"/>
          <w:b/>
          <w:bCs/>
          <w:color w:val="auto"/>
          <w:kern w:val="2"/>
          <w:sz w:val="21"/>
          <w:szCs w:val="21"/>
          <w:shd w:val="clear" w:color="auto" w:fill="FFFFFF"/>
          <w:lang w:val="en-US" w:eastAsia="zh-CN" w:bidi="ar-SA"/>
        </w:rPr>
        <w:t>六、发布公告的媒介及</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b/>
          <w:bCs/>
          <w:color w:val="auto"/>
          <w:kern w:val="2"/>
          <w:sz w:val="21"/>
          <w:szCs w:val="21"/>
          <w:shd w:val="clear" w:color="auto" w:fill="FFFFFF"/>
          <w:lang w:val="en-US" w:eastAsia="zh-CN" w:bidi="ar-SA"/>
        </w:rPr>
        <w:t>公告期限</w:t>
      </w:r>
      <w:bookmarkEnd w:id="23"/>
      <w:bookmarkEnd w:id="24"/>
      <w:bookmarkEnd w:id="25"/>
      <w:bookmarkEnd w:id="26"/>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本次</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color w:val="auto"/>
          <w:kern w:val="0"/>
          <w:sz w:val="21"/>
          <w:szCs w:val="21"/>
          <w:shd w:val="clear" w:color="auto" w:fill="FFFFFF"/>
          <w:lang w:val="en-US" w:eastAsia="zh-CN" w:bidi="ar-SA"/>
        </w:rPr>
        <w:t>公告在《驻马店市中心医院》</w:t>
      </w:r>
      <w:r>
        <w:rPr>
          <w:rFonts w:hint="eastAsia" w:ascii="宋体" w:hAnsi="宋体" w:cs="宋体"/>
          <w:color w:val="auto"/>
          <w:kern w:val="0"/>
          <w:sz w:val="21"/>
          <w:szCs w:val="21"/>
          <w:shd w:val="clear" w:color="auto" w:fill="FFFFFF"/>
          <w:lang w:val="en-US" w:eastAsia="zh-CN" w:bidi="ar-SA"/>
        </w:rPr>
        <w:t>院内</w:t>
      </w:r>
      <w:r>
        <w:rPr>
          <w:rFonts w:hint="eastAsia" w:ascii="宋体" w:hAnsi="宋体" w:eastAsia="宋体" w:cs="宋体"/>
          <w:color w:val="auto"/>
          <w:kern w:val="0"/>
          <w:sz w:val="21"/>
          <w:szCs w:val="21"/>
          <w:shd w:val="clear" w:color="auto" w:fill="FFFFFF"/>
          <w:lang w:val="en-US" w:eastAsia="zh-CN" w:bidi="ar-SA"/>
        </w:rPr>
        <w:t>网</w:t>
      </w:r>
      <w:r>
        <w:rPr>
          <w:rFonts w:hint="eastAsia" w:ascii="宋体" w:hAnsi="宋体" w:eastAsia="宋体" w:cs="宋体"/>
          <w:color w:val="auto"/>
          <w:sz w:val="21"/>
          <w:szCs w:val="21"/>
          <w:shd w:val="clear" w:color="auto" w:fill="auto"/>
        </w:rPr>
        <w:t>上发布</w:t>
      </w:r>
      <w:r>
        <w:rPr>
          <w:rFonts w:hint="eastAsia" w:ascii="宋体" w:hAnsi="宋体" w:cs="宋体"/>
          <w:color w:val="auto"/>
          <w:sz w:val="21"/>
          <w:szCs w:val="21"/>
          <w:highlight w:val="none"/>
          <w:shd w:val="clear" w:color="auto" w:fill="auto"/>
          <w:lang w:eastAsia="zh-CN"/>
        </w:rPr>
        <w:t>，</w:t>
      </w:r>
      <w:r>
        <w:rPr>
          <w:rFonts w:hint="eastAsia" w:ascii="宋体" w:hAnsi="宋体" w:eastAsia="宋体" w:cs="宋体"/>
          <w:color w:val="auto"/>
          <w:sz w:val="21"/>
          <w:szCs w:val="21"/>
          <w:shd w:val="clear" w:color="auto" w:fill="auto"/>
          <w:lang w:val="en-US" w:eastAsia="zh-CN"/>
        </w:rPr>
        <w:t>采购</w:t>
      </w:r>
      <w:r>
        <w:rPr>
          <w:rFonts w:hint="eastAsia" w:ascii="宋体" w:hAnsi="宋体" w:cs="宋体"/>
          <w:color w:val="auto"/>
          <w:sz w:val="21"/>
          <w:szCs w:val="21"/>
          <w:highlight w:val="none"/>
          <w:shd w:val="clear" w:color="auto" w:fill="auto"/>
          <w:lang w:eastAsia="zh-CN"/>
        </w:rPr>
        <w:t>公告期限为</w:t>
      </w:r>
      <w:r>
        <w:rPr>
          <w:rFonts w:hint="eastAsia" w:ascii="宋体" w:hAnsi="宋体" w:cs="宋体"/>
          <w:color w:val="auto"/>
          <w:sz w:val="21"/>
          <w:szCs w:val="21"/>
          <w:highlight w:val="none"/>
          <w:shd w:val="clear" w:color="auto" w:fill="auto"/>
          <w:lang w:val="en-US" w:eastAsia="zh-CN"/>
        </w:rPr>
        <w:t>三</w:t>
      </w:r>
      <w:r>
        <w:rPr>
          <w:rFonts w:hint="eastAsia" w:ascii="宋体" w:hAnsi="宋体" w:cs="宋体"/>
          <w:color w:val="auto"/>
          <w:sz w:val="21"/>
          <w:szCs w:val="21"/>
          <w:highlight w:val="none"/>
          <w:shd w:val="clear" w:color="auto" w:fill="auto"/>
          <w:lang w:eastAsia="zh-CN"/>
        </w:rPr>
        <w:t>个工作日</w:t>
      </w:r>
      <w:r>
        <w:rPr>
          <w:rFonts w:hint="eastAsia" w:ascii="宋体" w:hAnsi="宋体" w:eastAsia="宋体" w:cs="宋体"/>
          <w:color w:val="auto"/>
          <w:kern w:val="0"/>
          <w:sz w:val="21"/>
          <w:szCs w:val="21"/>
          <w:highlight w:val="none"/>
          <w:shd w:val="clear" w:color="auto" w:fill="FFFFFF"/>
          <w:lang w:val="en-US" w:eastAsia="zh-CN" w:bidi="ar-SA"/>
        </w:rPr>
        <w:t>。</w:t>
      </w:r>
      <w:bookmarkStart w:id="27" w:name="_Toc35393626"/>
      <w:bookmarkStart w:id="28" w:name="_Toc35393795"/>
    </w:p>
    <w:bookmarkEnd w:id="27"/>
    <w:bookmarkEnd w:id="28"/>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highlight w:val="none"/>
          <w:lang w:val="en-US" w:eastAsia="zh-CN" w:bidi="ar-SA"/>
        </w:rPr>
      </w:pPr>
      <w:bookmarkStart w:id="29" w:name="_Toc31928"/>
      <w:bookmarkStart w:id="30" w:name="_Toc3604"/>
      <w:bookmarkStart w:id="31" w:name="_Toc24274"/>
      <w:bookmarkStart w:id="32" w:name="_Toc27370"/>
      <w:bookmarkStart w:id="33" w:name="_Toc16291"/>
      <w:r>
        <w:rPr>
          <w:rFonts w:hint="eastAsia" w:ascii="宋体" w:hAnsi="宋体" w:eastAsia="宋体" w:cs="宋体"/>
          <w:b/>
          <w:bCs/>
          <w:color w:val="auto"/>
          <w:kern w:val="2"/>
          <w:sz w:val="21"/>
          <w:szCs w:val="21"/>
          <w:shd w:val="clear" w:color="auto" w:fill="FFFFFF"/>
          <w:lang w:val="en-US" w:eastAsia="zh-CN" w:bidi="ar-SA"/>
        </w:rPr>
        <w:t>八、</w:t>
      </w:r>
      <w:bookmarkEnd w:id="29"/>
      <w:bookmarkEnd w:id="30"/>
      <w:bookmarkEnd w:id="31"/>
      <w:bookmarkEnd w:id="32"/>
      <w:bookmarkEnd w:id="33"/>
      <w:r>
        <w:rPr>
          <w:rFonts w:hint="eastAsia" w:ascii="宋体" w:hAnsi="宋体" w:eastAsia="宋体" w:cs="宋体"/>
          <w:b/>
          <w:bCs/>
          <w:color w:val="auto"/>
          <w:kern w:val="2"/>
          <w:sz w:val="21"/>
          <w:szCs w:val="21"/>
          <w:highlight w:val="none"/>
          <w:shd w:val="clear" w:color="auto" w:fill="FFFFFF"/>
          <w:lang w:val="en-US" w:eastAsia="zh-CN" w:bidi="ar-SA"/>
        </w:rPr>
        <w:t>凡对本次招标提出询问，请按照以下方式联系</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报名联系人</w:t>
      </w:r>
      <w:r>
        <w:rPr>
          <w:rFonts w:hint="eastAsia" w:ascii="宋体" w:hAnsi="宋体" w:cs="宋体"/>
          <w:color w:val="auto"/>
          <w:kern w:val="0"/>
          <w:sz w:val="21"/>
          <w:szCs w:val="21"/>
          <w:highlight w:val="none"/>
          <w:shd w:val="clear" w:color="auto" w:fill="FFFFFF"/>
          <w:lang w:val="en-US" w:eastAsia="zh-CN" w:bidi="ar-SA"/>
        </w:rPr>
        <w:t>1</w:t>
      </w:r>
      <w:r>
        <w:rPr>
          <w:rFonts w:hint="eastAsia" w:ascii="宋体" w:hAnsi="宋体" w:eastAsia="宋体" w:cs="宋体"/>
          <w:color w:val="auto"/>
          <w:kern w:val="0"/>
          <w:sz w:val="21"/>
          <w:szCs w:val="21"/>
          <w:highlight w:val="none"/>
          <w:shd w:val="clear" w:color="auto" w:fill="FFFFFF"/>
          <w:lang w:val="en-US" w:eastAsia="zh-CN" w:bidi="ar-SA"/>
        </w:rPr>
        <w:t>：</w:t>
      </w:r>
      <w:r>
        <w:rPr>
          <w:rFonts w:hint="eastAsia" w:ascii="宋体" w:hAnsi="宋体" w:cs="宋体"/>
          <w:color w:val="auto"/>
          <w:kern w:val="0"/>
          <w:sz w:val="21"/>
          <w:szCs w:val="21"/>
          <w:highlight w:val="none"/>
          <w:shd w:val="clear" w:color="auto" w:fill="FFFFFF"/>
          <w:lang w:val="en-US" w:eastAsia="zh-CN" w:bidi="ar-SA"/>
        </w:rPr>
        <w:t>王女士</w:t>
      </w:r>
    </w:p>
    <w:p>
      <w:pPr>
        <w:widowControl/>
        <w:snapToGrid w:val="0"/>
        <w:spacing w:before="0" w:beforeAutospacing="0" w:after="0" w:afterAutospacing="0" w:line="360" w:lineRule="auto"/>
        <w:ind w:firstLine="420" w:firstLineChars="200"/>
        <w:jc w:val="left"/>
        <w:rPr>
          <w:rFonts w:hint="eastAsia" w:ascii="宋体" w:hAnsi="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联系电话</w:t>
      </w:r>
      <w:r>
        <w:rPr>
          <w:rFonts w:hint="eastAsia" w:ascii="宋体" w:hAnsi="宋体" w:cs="宋体"/>
          <w:color w:val="auto"/>
          <w:kern w:val="0"/>
          <w:sz w:val="21"/>
          <w:szCs w:val="21"/>
          <w:highlight w:val="none"/>
          <w:shd w:val="clear" w:color="auto" w:fill="FFFFFF"/>
          <w:lang w:val="en-US" w:eastAsia="zh-CN" w:bidi="ar-SA"/>
        </w:rPr>
        <w:t>：18639627370</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default" w:ascii="宋体" w:hAnsi="宋体" w:eastAsia="宋体" w:cs="宋体"/>
          <w:color w:val="auto"/>
          <w:kern w:val="0"/>
          <w:sz w:val="21"/>
          <w:szCs w:val="21"/>
          <w:highlight w:val="none"/>
          <w:shd w:val="clear" w:color="auto" w:fill="FFFFFF"/>
          <w:lang w:val="en-US" w:eastAsia="zh-CN" w:bidi="ar-SA"/>
        </w:rPr>
        <w:t>报名联系人</w:t>
      </w:r>
      <w:r>
        <w:rPr>
          <w:rFonts w:hint="eastAsia" w:ascii="宋体" w:hAnsi="宋体" w:cs="宋体"/>
          <w:color w:val="auto"/>
          <w:kern w:val="0"/>
          <w:sz w:val="21"/>
          <w:szCs w:val="21"/>
          <w:highlight w:val="none"/>
          <w:shd w:val="clear" w:color="auto" w:fill="FFFFFF"/>
          <w:lang w:val="en-US" w:eastAsia="zh-CN" w:bidi="ar-SA"/>
        </w:rPr>
        <w:t>2</w:t>
      </w:r>
      <w:r>
        <w:rPr>
          <w:rFonts w:hint="default" w:ascii="宋体" w:hAnsi="宋体" w:eastAsia="宋体" w:cs="宋体"/>
          <w:color w:val="auto"/>
          <w:kern w:val="0"/>
          <w:sz w:val="21"/>
          <w:szCs w:val="21"/>
          <w:highlight w:val="none"/>
          <w:shd w:val="clear" w:color="auto" w:fill="FFFFFF"/>
          <w:lang w:val="en-US" w:eastAsia="zh-CN" w:bidi="ar-SA"/>
        </w:rPr>
        <w:t>：</w:t>
      </w:r>
      <w:r>
        <w:rPr>
          <w:rFonts w:hint="eastAsia" w:ascii="宋体" w:hAnsi="宋体" w:cs="宋体"/>
          <w:color w:val="auto"/>
          <w:kern w:val="0"/>
          <w:sz w:val="21"/>
          <w:szCs w:val="21"/>
          <w:highlight w:val="none"/>
          <w:shd w:val="clear" w:color="auto" w:fill="FFFFFF"/>
          <w:lang w:val="en-US" w:eastAsia="zh-CN" w:bidi="ar-SA"/>
        </w:rPr>
        <w:t>吴先生</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default" w:ascii="宋体" w:hAnsi="宋体" w:eastAsia="宋体" w:cs="宋体"/>
          <w:color w:val="auto"/>
          <w:kern w:val="0"/>
          <w:sz w:val="21"/>
          <w:szCs w:val="21"/>
          <w:highlight w:val="none"/>
          <w:shd w:val="clear" w:color="auto" w:fill="FFFFFF"/>
          <w:lang w:val="en-US" w:eastAsia="zh-CN" w:bidi="ar-SA"/>
        </w:rPr>
        <w:t>联系电话</w:t>
      </w:r>
      <w:r>
        <w:rPr>
          <w:rFonts w:hint="eastAsia" w:ascii="宋体" w:hAnsi="宋体" w:cs="宋体"/>
          <w:color w:val="auto"/>
          <w:kern w:val="0"/>
          <w:sz w:val="21"/>
          <w:szCs w:val="21"/>
          <w:highlight w:val="none"/>
          <w:shd w:val="clear" w:color="auto" w:fill="FFFFFF"/>
          <w:lang w:val="en-US" w:eastAsia="zh-CN" w:bidi="ar-SA"/>
        </w:rPr>
        <w:t>：18939661675</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联系人：陈先生</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联系电话：0396-2726379</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"mailto:zxyyjzcgbgs@163.com"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zxyyjzcgbgs@163.com</w:t>
      </w:r>
      <w:r>
        <w:rPr>
          <w:rFonts w:hint="eastAsia" w:ascii="宋体" w:hAnsi="宋体" w:eastAsia="宋体" w:cs="宋体"/>
          <w:color w:val="auto"/>
          <w:kern w:val="0"/>
          <w:sz w:val="21"/>
          <w:szCs w:val="21"/>
          <w:shd w:val="clear" w:color="auto" w:fill="FFFFFF"/>
          <w:lang w:val="en-US" w:eastAsia="zh-CN" w:bidi="ar-SA"/>
        </w:rPr>
        <w:fldChar w:fldCharType="end"/>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监督部门：驻马店市中心医院纪检监察室</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监督电话：0396-2725435</w:t>
      </w:r>
    </w:p>
    <w:p>
      <w:pPr>
        <w:pStyle w:val="2"/>
        <w:rPr>
          <w:rFonts w:hint="eastAsia"/>
          <w:color w:val="auto"/>
          <w:lang w:val="en-US" w:eastAsia="zh-CN"/>
        </w:rPr>
      </w:pPr>
    </w:p>
    <w:p>
      <w:pPr>
        <w:widowControl/>
        <w:snapToGrid w:val="0"/>
        <w:spacing w:before="0" w:beforeAutospacing="0" w:after="0" w:afterAutospacing="0" w:line="360" w:lineRule="auto"/>
        <w:ind w:firstLine="420" w:firstLineChars="200"/>
        <w:jc w:val="righ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驻马店市中心医院采购科</w:t>
      </w:r>
    </w:p>
    <w:p>
      <w:pPr>
        <w:pStyle w:val="30"/>
        <w:widowControl/>
        <w:snapToGrid w:val="0"/>
        <w:spacing w:before="0" w:beforeAutospacing="0" w:after="0" w:afterAutospacing="0" w:line="360" w:lineRule="auto"/>
        <w:ind w:firstLine="420" w:firstLineChars="200"/>
        <w:jc w:val="right"/>
        <w:rPr>
          <w:rFonts w:ascii="宋体" w:hAnsi="宋体" w:cs="宋体"/>
          <w:color w:val="auto"/>
          <w:sz w:val="21"/>
          <w:szCs w:val="21"/>
          <w:highlight w:val="none"/>
          <w:shd w:val="clear" w:color="auto" w:fill="FFFFFF"/>
        </w:rPr>
      </w:pPr>
      <w:r>
        <w:rPr>
          <w:rFonts w:hint="eastAsia" w:ascii="宋体" w:hAnsi="宋体" w:eastAsia="宋体" w:cs="宋体"/>
          <w:color w:val="auto"/>
          <w:kern w:val="0"/>
          <w:sz w:val="21"/>
          <w:szCs w:val="21"/>
          <w:shd w:val="clear" w:color="auto" w:fill="FFFFFF"/>
          <w:lang w:val="en-US" w:eastAsia="zh-CN" w:bidi="ar-SA"/>
        </w:rPr>
        <w:t>2022年0</w:t>
      </w:r>
      <w:r>
        <w:rPr>
          <w:rFonts w:hint="eastAsia" w:ascii="宋体" w:hAnsi="宋体" w:cs="宋体"/>
          <w:color w:val="auto"/>
          <w:kern w:val="0"/>
          <w:sz w:val="21"/>
          <w:szCs w:val="21"/>
          <w:shd w:val="clear" w:color="auto" w:fill="FFFFFF"/>
          <w:lang w:val="en-US" w:eastAsia="zh-CN" w:bidi="ar-SA"/>
        </w:rPr>
        <w:t>9</w:t>
      </w:r>
      <w:r>
        <w:rPr>
          <w:rFonts w:hint="eastAsia" w:ascii="宋体" w:hAnsi="宋体" w:eastAsia="宋体" w:cs="宋体"/>
          <w:color w:val="auto"/>
          <w:kern w:val="0"/>
          <w:sz w:val="21"/>
          <w:szCs w:val="21"/>
          <w:shd w:val="clear" w:color="auto" w:fill="FFFFFF"/>
          <w:lang w:val="en-US" w:eastAsia="zh-CN" w:bidi="ar-SA"/>
        </w:rPr>
        <w:t>月</w:t>
      </w:r>
      <w:r>
        <w:rPr>
          <w:rFonts w:hint="eastAsia" w:ascii="宋体" w:hAnsi="宋体" w:cs="宋体"/>
          <w:color w:val="auto"/>
          <w:kern w:val="0"/>
          <w:sz w:val="21"/>
          <w:szCs w:val="21"/>
          <w:highlight w:val="yellow"/>
          <w:shd w:val="clear" w:color="auto" w:fill="FFFFFF"/>
          <w:lang w:val="en-US" w:eastAsia="zh-CN" w:bidi="ar-SA"/>
        </w:rPr>
        <w:t>21</w:t>
      </w:r>
      <w:r>
        <w:rPr>
          <w:rFonts w:hint="eastAsia" w:ascii="宋体" w:hAnsi="宋体" w:eastAsia="宋体" w:cs="宋体"/>
          <w:color w:val="auto"/>
          <w:kern w:val="0"/>
          <w:sz w:val="21"/>
          <w:szCs w:val="21"/>
          <w:highlight w:val="yellow"/>
          <w:shd w:val="clear" w:color="auto" w:fill="FFFFFF"/>
          <w:lang w:val="en-US" w:eastAsia="zh-CN" w:bidi="ar-SA"/>
        </w:rPr>
        <w:t>日</w:t>
      </w:r>
    </w:p>
    <w:p>
      <w:pPr>
        <w:pStyle w:val="30"/>
        <w:widowControl/>
        <w:snapToGrid w:val="0"/>
        <w:spacing w:before="0" w:beforeAutospacing="0" w:after="0" w:afterAutospacing="0" w:line="360" w:lineRule="auto"/>
        <w:ind w:firstLine="420" w:firstLineChars="200"/>
        <w:rPr>
          <w:rFonts w:ascii="宋体" w:hAnsi="宋体" w:cs="宋体"/>
          <w:color w:val="auto"/>
          <w:sz w:val="21"/>
          <w:szCs w:val="21"/>
          <w:highlight w:val="none"/>
          <w:shd w:val="clear" w:color="auto" w:fill="FFFFFF"/>
        </w:rPr>
      </w:pPr>
    </w:p>
    <w:p>
      <w:pPr>
        <w:widowControl/>
        <w:spacing w:line="360" w:lineRule="auto"/>
        <w:ind w:firstLine="480" w:firstLineChars="200"/>
        <w:jc w:val="left"/>
        <w:rPr>
          <w:rFonts w:ascii="宋体" w:hAnsi="宋体" w:cs="宋体"/>
          <w:b/>
          <w:color w:val="auto"/>
          <w:sz w:val="24"/>
          <w:highlight w:val="none"/>
        </w:rPr>
      </w:pPr>
      <w:r>
        <w:rPr>
          <w:rFonts w:hint="eastAsia" w:ascii="宋体" w:hAnsi="宋体" w:cs="宋体"/>
          <w:color w:val="auto"/>
          <w:kern w:val="0"/>
          <w:sz w:val="24"/>
          <w:highlight w:val="none"/>
        </w:rPr>
        <w:t>  </w:t>
      </w:r>
    </w:p>
    <w:p>
      <w:pPr>
        <w:rPr>
          <w:b/>
          <w:bCs/>
          <w:color w:val="auto"/>
          <w:sz w:val="24"/>
          <w:highlight w:val="none"/>
        </w:rPr>
      </w:pPr>
      <w:r>
        <w:rPr>
          <w:rFonts w:hint="eastAsia"/>
          <w:b/>
          <w:bCs/>
          <w:color w:val="auto"/>
          <w:sz w:val="24"/>
          <w:highlight w:val="none"/>
        </w:rPr>
        <w:br w:type="page"/>
      </w:r>
    </w:p>
    <w:p>
      <w:pPr>
        <w:keepNext w:val="0"/>
        <w:keepLines w:val="0"/>
        <w:pageBreakBefore w:val="0"/>
        <w:widowControl w:val="0"/>
        <w:kinsoku/>
        <w:wordWrap/>
        <w:overflowPunct/>
        <w:topLinePunct w:val="0"/>
        <w:autoSpaceDE/>
        <w:autoSpaceDN/>
        <w:bidi w:val="0"/>
        <w:adjustRightInd/>
        <w:snapToGrid w:val="0"/>
        <w:spacing w:after="161" w:afterLines="50" w:line="240" w:lineRule="auto"/>
        <w:jc w:val="center"/>
        <w:textAlignment w:val="auto"/>
        <w:outlineLvl w:val="0"/>
        <w:rPr>
          <w:rFonts w:ascii="宋体" w:hAnsi="宋体"/>
          <w:b/>
          <w:color w:val="auto"/>
          <w:sz w:val="32"/>
          <w:szCs w:val="32"/>
          <w:highlight w:val="none"/>
        </w:rPr>
      </w:pPr>
      <w:bookmarkStart w:id="34" w:name="_Toc25063"/>
      <w:bookmarkStart w:id="35" w:name="_Toc29890"/>
      <w:bookmarkStart w:id="36" w:name="_Toc23793"/>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34"/>
      <w:bookmarkStart w:id="37" w:name="_Toc23610"/>
      <w:bookmarkStart w:id="38" w:name="_Toc9989"/>
      <w:bookmarkStart w:id="39" w:name="_Toc31536"/>
    </w:p>
    <w:bookmarkEnd w:id="35"/>
    <w:bookmarkEnd w:id="36"/>
    <w:bookmarkEnd w:id="37"/>
    <w:bookmarkEnd w:id="38"/>
    <w:bookmarkEnd w:id="39"/>
    <w:tbl>
      <w:tblPr>
        <w:tblStyle w:val="32"/>
        <w:tblW w:w="93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1819"/>
        <w:gridCol w:w="1800"/>
        <w:gridCol w:w="1575"/>
        <w:gridCol w:w="1518"/>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941" w:type="dxa"/>
            <w:tcBorders>
              <w:top w:val="single" w:color="auto" w:sz="4" w:space="0"/>
              <w:left w:val="single" w:color="auto" w:sz="4" w:space="0"/>
              <w:bottom w:val="single" w:color="auto" w:sz="4" w:space="0"/>
              <w:right w:val="single" w:color="auto" w:sz="4" w:space="0"/>
            </w:tcBorders>
            <w:vAlign w:val="center"/>
          </w:tcPr>
          <w:p>
            <w:pPr>
              <w:pStyle w:val="6"/>
              <w:ind w:left="0" w:leftChars="0"/>
              <w:jc w:val="center"/>
              <w:rPr>
                <w:rFonts w:ascii="宋体" w:hAnsi="宋体"/>
                <w:b/>
                <w:bCs/>
                <w:sz w:val="24"/>
                <w:szCs w:val="24"/>
              </w:rPr>
            </w:pPr>
            <w:r>
              <w:rPr>
                <w:rFonts w:hint="eastAsia" w:ascii="宋体" w:hAnsi="宋体"/>
                <w:b/>
                <w:bCs/>
                <w:sz w:val="24"/>
                <w:szCs w:val="24"/>
              </w:rPr>
              <w:t>序号</w:t>
            </w:r>
          </w:p>
        </w:tc>
        <w:tc>
          <w:tcPr>
            <w:tcW w:w="1819" w:type="dxa"/>
            <w:tcBorders>
              <w:top w:val="single" w:color="auto" w:sz="4" w:space="0"/>
              <w:left w:val="nil"/>
              <w:bottom w:val="single" w:color="auto" w:sz="4" w:space="0"/>
              <w:right w:val="single" w:color="auto" w:sz="4" w:space="0"/>
            </w:tcBorders>
            <w:vAlign w:val="center"/>
          </w:tcPr>
          <w:p>
            <w:pPr>
              <w:pStyle w:val="6"/>
              <w:ind w:left="0" w:leftChars="0"/>
              <w:jc w:val="center"/>
              <w:rPr>
                <w:rFonts w:ascii="宋体" w:hAnsi="宋体"/>
                <w:b/>
                <w:bCs/>
                <w:sz w:val="24"/>
                <w:szCs w:val="24"/>
              </w:rPr>
            </w:pPr>
            <w:r>
              <w:rPr>
                <w:rFonts w:hint="eastAsia" w:ascii="宋体" w:hAnsi="宋体"/>
                <w:b/>
                <w:bCs/>
                <w:sz w:val="24"/>
                <w:szCs w:val="24"/>
              </w:rPr>
              <w:t>项目名称</w:t>
            </w:r>
          </w:p>
        </w:tc>
        <w:tc>
          <w:tcPr>
            <w:tcW w:w="1800" w:type="dxa"/>
            <w:tcBorders>
              <w:top w:val="single" w:color="auto" w:sz="4" w:space="0"/>
              <w:left w:val="nil"/>
              <w:bottom w:val="single" w:color="auto" w:sz="4" w:space="0"/>
              <w:right w:val="single" w:color="auto" w:sz="4" w:space="0"/>
            </w:tcBorders>
            <w:vAlign w:val="center"/>
          </w:tcPr>
          <w:p>
            <w:pPr>
              <w:pStyle w:val="6"/>
              <w:ind w:left="0" w:leftChars="0"/>
              <w:jc w:val="center"/>
              <w:rPr>
                <w:rFonts w:ascii="宋体" w:hAnsi="宋体"/>
                <w:b/>
                <w:bCs/>
                <w:sz w:val="24"/>
                <w:szCs w:val="24"/>
              </w:rPr>
            </w:pPr>
            <w:r>
              <w:rPr>
                <w:rFonts w:hint="eastAsia" w:ascii="宋体" w:hAnsi="宋体"/>
                <w:b/>
                <w:bCs/>
                <w:sz w:val="24"/>
                <w:szCs w:val="24"/>
              </w:rPr>
              <w:t>数量或规模</w:t>
            </w:r>
          </w:p>
        </w:tc>
        <w:tc>
          <w:tcPr>
            <w:tcW w:w="1575" w:type="dxa"/>
            <w:tcBorders>
              <w:top w:val="single" w:color="auto" w:sz="4" w:space="0"/>
              <w:left w:val="nil"/>
              <w:bottom w:val="single" w:color="auto" w:sz="4" w:space="0"/>
              <w:right w:val="single" w:color="auto" w:sz="4" w:space="0"/>
            </w:tcBorders>
            <w:vAlign w:val="center"/>
          </w:tcPr>
          <w:p>
            <w:pPr>
              <w:pStyle w:val="6"/>
              <w:ind w:left="0" w:leftChars="0"/>
              <w:jc w:val="center"/>
              <w:rPr>
                <w:rFonts w:ascii="宋体" w:hAnsi="宋体"/>
                <w:b/>
                <w:bCs/>
                <w:sz w:val="24"/>
                <w:szCs w:val="24"/>
              </w:rPr>
            </w:pPr>
            <w:r>
              <w:rPr>
                <w:rFonts w:hint="eastAsia" w:ascii="宋体" w:hAnsi="宋体"/>
                <w:b/>
                <w:bCs/>
                <w:sz w:val="24"/>
                <w:szCs w:val="24"/>
              </w:rPr>
              <w:t>资金预算</w:t>
            </w:r>
          </w:p>
        </w:tc>
        <w:tc>
          <w:tcPr>
            <w:tcW w:w="1518" w:type="dxa"/>
            <w:tcBorders>
              <w:top w:val="single" w:color="auto" w:sz="4" w:space="0"/>
              <w:left w:val="nil"/>
              <w:bottom w:val="single" w:color="auto" w:sz="4" w:space="0"/>
              <w:right w:val="single" w:color="auto" w:sz="4" w:space="0"/>
            </w:tcBorders>
            <w:vAlign w:val="center"/>
          </w:tcPr>
          <w:p>
            <w:pPr>
              <w:pStyle w:val="6"/>
              <w:ind w:left="0" w:leftChars="0"/>
              <w:jc w:val="center"/>
              <w:rPr>
                <w:rFonts w:ascii="宋体" w:hAnsi="宋体"/>
                <w:b/>
                <w:bCs/>
                <w:sz w:val="24"/>
                <w:szCs w:val="24"/>
              </w:rPr>
            </w:pPr>
            <w:r>
              <w:rPr>
                <w:rFonts w:hint="eastAsia" w:ascii="宋体" w:hAnsi="宋体"/>
                <w:b/>
                <w:bCs/>
                <w:sz w:val="24"/>
                <w:szCs w:val="24"/>
              </w:rPr>
              <w:t>资金来源</w:t>
            </w:r>
          </w:p>
        </w:tc>
        <w:tc>
          <w:tcPr>
            <w:tcW w:w="1688" w:type="dxa"/>
            <w:tcBorders>
              <w:top w:val="single" w:color="auto" w:sz="4" w:space="0"/>
              <w:left w:val="nil"/>
              <w:bottom w:val="single" w:color="auto" w:sz="4" w:space="0"/>
              <w:right w:val="single" w:color="auto" w:sz="4" w:space="0"/>
            </w:tcBorders>
            <w:vAlign w:val="center"/>
          </w:tcPr>
          <w:p>
            <w:pPr>
              <w:pStyle w:val="6"/>
              <w:ind w:left="0" w:leftChars="0"/>
              <w:jc w:val="center"/>
              <w:rPr>
                <w:rFonts w:hint="eastAsia" w:ascii="宋体" w:hAnsi="宋体" w:eastAsia="宋体"/>
                <w:b/>
                <w:bCs/>
                <w:sz w:val="24"/>
                <w:szCs w:val="24"/>
                <w:lang w:eastAsia="zh-CN"/>
              </w:rPr>
            </w:pPr>
            <w:r>
              <w:rPr>
                <w:rFonts w:hint="eastAsia" w:ascii="宋体" w:hAnsi="宋体"/>
                <w:b/>
                <w:bCs/>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941" w:type="dxa"/>
            <w:tcBorders>
              <w:top w:val="single" w:color="auto" w:sz="4" w:space="0"/>
              <w:left w:val="single" w:color="auto" w:sz="4" w:space="0"/>
              <w:bottom w:val="single" w:color="auto" w:sz="4" w:space="0"/>
              <w:right w:val="single" w:color="auto" w:sz="4" w:space="0"/>
            </w:tcBorders>
            <w:vAlign w:val="center"/>
          </w:tcPr>
          <w:p>
            <w:pPr>
              <w:pStyle w:val="6"/>
              <w:jc w:val="center"/>
              <w:rPr>
                <w:rFonts w:hint="eastAsia" w:ascii="宋体" w:hAnsi="宋体" w:eastAsia="宋体"/>
                <w:sz w:val="24"/>
                <w:szCs w:val="24"/>
                <w:lang w:val="en-US" w:eastAsia="zh-CN"/>
              </w:rPr>
            </w:pPr>
            <w:r>
              <w:rPr>
                <w:rFonts w:hint="eastAsia" w:ascii="宋体" w:hAnsi="宋体"/>
                <w:sz w:val="24"/>
                <w:szCs w:val="24"/>
                <w:lang w:val="en-US" w:eastAsia="zh-CN"/>
              </w:rPr>
              <w:t>1</w:t>
            </w:r>
          </w:p>
        </w:tc>
        <w:tc>
          <w:tcPr>
            <w:tcW w:w="1819" w:type="dxa"/>
            <w:tcBorders>
              <w:top w:val="single" w:color="auto" w:sz="4" w:space="0"/>
              <w:left w:val="nil"/>
              <w:bottom w:val="single" w:color="auto" w:sz="4" w:space="0"/>
              <w:right w:val="single" w:color="auto" w:sz="4" w:space="0"/>
            </w:tcBorders>
            <w:vAlign w:val="center"/>
          </w:tcPr>
          <w:p>
            <w:pPr>
              <w:pStyle w:val="6"/>
              <w:jc w:val="center"/>
              <w:rPr>
                <w:rFonts w:hint="eastAsia" w:ascii="宋体" w:hAnsi="宋体" w:eastAsia="宋体"/>
                <w:sz w:val="24"/>
                <w:szCs w:val="24"/>
                <w:lang w:eastAsia="zh-CN"/>
              </w:rPr>
            </w:pPr>
            <w:r>
              <w:rPr>
                <w:rFonts w:hint="eastAsia" w:ascii="宋体" w:hAnsi="宋体" w:cs="宋体"/>
                <w:sz w:val="24"/>
                <w:szCs w:val="24"/>
              </w:rPr>
              <w:t>氟［18F］脱氧葡糖注射液</w:t>
            </w:r>
          </w:p>
        </w:tc>
        <w:tc>
          <w:tcPr>
            <w:tcW w:w="1800" w:type="dxa"/>
            <w:tcBorders>
              <w:top w:val="single" w:color="auto" w:sz="4" w:space="0"/>
              <w:left w:val="nil"/>
              <w:bottom w:val="single" w:color="auto" w:sz="4" w:space="0"/>
              <w:right w:val="single" w:color="auto" w:sz="4" w:space="0"/>
            </w:tcBorders>
            <w:vAlign w:val="center"/>
          </w:tcPr>
          <w:p>
            <w:pPr>
              <w:pStyle w:val="6"/>
              <w:ind w:left="0" w:leftChars="0" w:firstLine="240" w:firstLineChars="100"/>
              <w:jc w:val="center"/>
              <w:rPr>
                <w:rFonts w:hint="default" w:ascii="宋体" w:hAnsi="宋体" w:eastAsia="宋体"/>
                <w:sz w:val="24"/>
                <w:szCs w:val="24"/>
                <w:lang w:val="en-US" w:eastAsia="zh-CN"/>
              </w:rPr>
            </w:pPr>
            <w:r>
              <w:rPr>
                <w:rFonts w:hint="eastAsia" w:ascii="宋体" w:hAnsi="宋体" w:cs="宋体"/>
                <w:sz w:val="24"/>
                <w:szCs w:val="24"/>
                <w:lang w:val="en-US" w:eastAsia="zh-CN"/>
              </w:rPr>
              <w:t>1</w:t>
            </w:r>
          </w:p>
        </w:tc>
        <w:tc>
          <w:tcPr>
            <w:tcW w:w="1575" w:type="dxa"/>
            <w:tcBorders>
              <w:top w:val="single" w:color="auto" w:sz="4" w:space="0"/>
              <w:left w:val="nil"/>
              <w:bottom w:val="single" w:color="auto" w:sz="4" w:space="0"/>
              <w:right w:val="single" w:color="auto" w:sz="4" w:space="0"/>
            </w:tcBorders>
            <w:vAlign w:val="center"/>
          </w:tcPr>
          <w:p>
            <w:pPr>
              <w:pStyle w:val="6"/>
              <w:jc w:val="center"/>
              <w:rPr>
                <w:rFonts w:hint="default"/>
                <w:sz w:val="24"/>
                <w:szCs w:val="24"/>
                <w:lang w:val="en-US" w:eastAsia="zh-CN"/>
              </w:rPr>
            </w:pPr>
            <w:r>
              <w:rPr>
                <w:rFonts w:hint="eastAsia" w:ascii="宋体" w:hAnsi="宋体" w:cs="宋体"/>
                <w:sz w:val="24"/>
                <w:szCs w:val="24"/>
              </w:rPr>
              <w:t>200元/mci</w:t>
            </w:r>
          </w:p>
        </w:tc>
        <w:tc>
          <w:tcPr>
            <w:tcW w:w="1518" w:type="dxa"/>
            <w:tcBorders>
              <w:top w:val="single" w:color="auto" w:sz="4" w:space="0"/>
              <w:left w:val="nil"/>
              <w:bottom w:val="single" w:color="auto" w:sz="4" w:space="0"/>
              <w:right w:val="single" w:color="auto" w:sz="4" w:space="0"/>
            </w:tcBorders>
            <w:vAlign w:val="center"/>
          </w:tcPr>
          <w:p>
            <w:pPr>
              <w:pStyle w:val="6"/>
              <w:ind w:left="0" w:leftChars="0"/>
              <w:jc w:val="center"/>
              <w:rPr>
                <w:rFonts w:hint="eastAsia" w:ascii="宋体" w:hAnsi="宋体" w:eastAsia="宋体"/>
                <w:sz w:val="24"/>
                <w:szCs w:val="24"/>
                <w:lang w:eastAsia="zh-CN"/>
              </w:rPr>
            </w:pPr>
            <w:r>
              <w:rPr>
                <w:rFonts w:hint="eastAsia" w:ascii="宋体" w:hAnsi="宋体" w:cs="宋体"/>
                <w:sz w:val="24"/>
                <w:szCs w:val="24"/>
              </w:rPr>
              <w:t>自筹资金</w:t>
            </w:r>
          </w:p>
        </w:tc>
        <w:tc>
          <w:tcPr>
            <w:tcW w:w="1688" w:type="dxa"/>
            <w:vMerge w:val="restart"/>
            <w:tcBorders>
              <w:top w:val="single" w:color="auto" w:sz="4" w:space="0"/>
              <w:left w:val="nil"/>
              <w:right w:val="single" w:color="auto" w:sz="4" w:space="0"/>
            </w:tcBorders>
            <w:vAlign w:val="center"/>
          </w:tcPr>
          <w:p>
            <w:pPr>
              <w:pStyle w:val="6"/>
              <w:ind w:left="0" w:leftChars="0" w:firstLine="0" w:firstLineChars="0"/>
              <w:jc w:val="center"/>
              <w:rPr>
                <w:rFonts w:hint="eastAsia" w:ascii="宋体" w:hAnsi="宋体"/>
                <w:lang w:eastAsia="zh-CN"/>
              </w:rPr>
            </w:pPr>
            <w:r>
              <w:rPr>
                <w:rFonts w:hint="eastAsia" w:ascii="宋体" w:hAnsi="宋体"/>
                <w:lang w:eastAsia="zh-CN"/>
              </w:rPr>
              <w:t>拟招一年供应商（2家）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941" w:type="dxa"/>
            <w:tcBorders>
              <w:top w:val="single" w:color="auto" w:sz="4" w:space="0"/>
              <w:left w:val="single" w:color="auto" w:sz="4" w:space="0"/>
              <w:bottom w:val="single" w:color="auto" w:sz="4" w:space="0"/>
              <w:right w:val="single" w:color="auto" w:sz="4" w:space="0"/>
            </w:tcBorders>
          </w:tcPr>
          <w:p>
            <w:pPr>
              <w:pStyle w:val="6"/>
              <w:ind w:left="0" w:leftChars="0"/>
              <w:rPr>
                <w:rFonts w:ascii="宋体" w:hAnsi="宋体"/>
                <w:b/>
                <w:bCs/>
                <w:sz w:val="30"/>
                <w:szCs w:val="30"/>
              </w:rPr>
            </w:pPr>
            <w:r>
              <w:rPr>
                <w:rFonts w:hint="eastAsia" w:ascii="宋体" w:hAnsi="宋体"/>
                <w:b/>
                <w:bCs/>
                <w:sz w:val="24"/>
                <w:szCs w:val="24"/>
              </w:rPr>
              <w:t>合计</w:t>
            </w:r>
          </w:p>
        </w:tc>
        <w:tc>
          <w:tcPr>
            <w:tcW w:w="1819" w:type="dxa"/>
            <w:tcBorders>
              <w:top w:val="single" w:color="auto" w:sz="4" w:space="0"/>
              <w:left w:val="nil"/>
              <w:bottom w:val="single" w:color="auto" w:sz="4" w:space="0"/>
              <w:right w:val="single" w:color="auto" w:sz="4" w:space="0"/>
            </w:tcBorders>
          </w:tcPr>
          <w:p>
            <w:pPr>
              <w:pStyle w:val="6"/>
              <w:jc w:val="center"/>
              <w:rPr>
                <w:rFonts w:ascii="宋体" w:hAnsi="宋体"/>
                <w:sz w:val="24"/>
                <w:szCs w:val="24"/>
              </w:rPr>
            </w:pPr>
          </w:p>
        </w:tc>
        <w:tc>
          <w:tcPr>
            <w:tcW w:w="1800" w:type="dxa"/>
            <w:tcBorders>
              <w:top w:val="single" w:color="auto" w:sz="4" w:space="0"/>
              <w:left w:val="nil"/>
              <w:bottom w:val="single" w:color="auto" w:sz="4" w:space="0"/>
              <w:right w:val="single" w:color="auto" w:sz="4" w:space="0"/>
            </w:tcBorders>
          </w:tcPr>
          <w:p>
            <w:pPr>
              <w:pStyle w:val="6"/>
              <w:jc w:val="center"/>
              <w:rPr>
                <w:rFonts w:ascii="宋体" w:hAnsi="宋体"/>
                <w:sz w:val="24"/>
                <w:szCs w:val="24"/>
              </w:rPr>
            </w:pPr>
          </w:p>
        </w:tc>
        <w:tc>
          <w:tcPr>
            <w:tcW w:w="1575" w:type="dxa"/>
            <w:tcBorders>
              <w:top w:val="single" w:color="auto" w:sz="4" w:space="0"/>
              <w:left w:val="nil"/>
              <w:bottom w:val="single" w:color="auto" w:sz="4" w:space="0"/>
              <w:right w:val="single" w:color="auto" w:sz="4" w:space="0"/>
            </w:tcBorders>
          </w:tcPr>
          <w:p>
            <w:pPr>
              <w:pStyle w:val="6"/>
              <w:jc w:val="center"/>
              <w:rPr>
                <w:rFonts w:ascii="宋体" w:hAnsi="宋体"/>
                <w:sz w:val="24"/>
                <w:szCs w:val="24"/>
              </w:rPr>
            </w:pPr>
          </w:p>
        </w:tc>
        <w:tc>
          <w:tcPr>
            <w:tcW w:w="1518" w:type="dxa"/>
            <w:tcBorders>
              <w:top w:val="single" w:color="auto" w:sz="4" w:space="0"/>
              <w:left w:val="nil"/>
              <w:bottom w:val="single" w:color="auto" w:sz="4" w:space="0"/>
              <w:right w:val="single" w:color="auto" w:sz="4" w:space="0"/>
            </w:tcBorders>
          </w:tcPr>
          <w:p>
            <w:pPr>
              <w:pStyle w:val="6"/>
              <w:rPr>
                <w:rFonts w:ascii="宋体" w:hAnsi="宋体"/>
              </w:rPr>
            </w:pPr>
          </w:p>
        </w:tc>
        <w:tc>
          <w:tcPr>
            <w:tcW w:w="1688" w:type="dxa"/>
            <w:vMerge w:val="continue"/>
            <w:tcBorders>
              <w:left w:val="nil"/>
              <w:bottom w:val="single" w:color="auto" w:sz="4" w:space="0"/>
              <w:right w:val="single" w:color="auto" w:sz="4" w:space="0"/>
            </w:tcBorders>
          </w:tcPr>
          <w:p>
            <w:pPr>
              <w:pStyle w:val="6"/>
              <w:rPr>
                <w:rFonts w:ascii="宋体" w:hAnsi="宋体"/>
              </w:rPr>
            </w:pPr>
          </w:p>
        </w:tc>
      </w:tr>
    </w:tbl>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00" w:lineRule="exact"/>
        <w:textAlignment w:val="auto"/>
        <w:rPr>
          <w:rFonts w:hint="eastAsia" w:ascii="宋体" w:hAnsi="宋体" w:eastAsia="宋体" w:cs="宋体"/>
          <w:sz w:val="24"/>
          <w:szCs w:val="24"/>
          <w:u w:val="none"/>
          <w:lang w:eastAsia="zh-CN"/>
        </w:rPr>
      </w:pPr>
      <w:r>
        <w:rPr>
          <w:rFonts w:hint="eastAsia" w:ascii="宋体" w:hAnsi="宋体" w:eastAsia="宋体" w:cs="宋体"/>
          <w:b/>
          <w:bCs/>
          <w:sz w:val="24"/>
          <w:szCs w:val="24"/>
          <w:lang w:eastAsia="zh-CN"/>
        </w:rPr>
        <w:t>一、</w:t>
      </w:r>
      <w:r>
        <w:rPr>
          <w:rFonts w:hint="eastAsia" w:ascii="宋体" w:hAnsi="宋体" w:eastAsia="宋体" w:cs="宋体"/>
          <w:b/>
          <w:bCs/>
          <w:sz w:val="24"/>
          <w:szCs w:val="24"/>
        </w:rPr>
        <w:t>项目名称、数量：</w:t>
      </w:r>
      <w:r>
        <w:rPr>
          <w:rFonts w:hint="eastAsia" w:cs="宋体"/>
          <w:b w:val="0"/>
          <w:bCs w:val="0"/>
          <w:sz w:val="24"/>
          <w:szCs w:val="24"/>
          <w:lang w:eastAsia="zh-CN"/>
        </w:rPr>
        <w:t>氟[18F]脱氧葡糖注射液采购</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00" w:lineRule="exact"/>
        <w:textAlignment w:val="auto"/>
        <w:rPr>
          <w:rFonts w:hint="eastAsia" w:ascii="宋体" w:hAnsi="宋体" w:eastAsia="宋体" w:cs="宋体"/>
          <w:sz w:val="24"/>
          <w:szCs w:val="24"/>
          <w:u w:val="none"/>
        </w:rPr>
      </w:pPr>
      <w:r>
        <w:rPr>
          <w:rFonts w:hint="eastAsia" w:ascii="宋体" w:hAnsi="宋体" w:eastAsia="宋体" w:cs="宋体"/>
          <w:b/>
          <w:bCs/>
          <w:sz w:val="24"/>
          <w:szCs w:val="24"/>
          <w:u w:val="none"/>
          <w:lang w:eastAsia="zh-CN"/>
        </w:rPr>
        <w:t>二、</w:t>
      </w:r>
      <w:r>
        <w:rPr>
          <w:rFonts w:hint="eastAsia" w:ascii="宋体" w:hAnsi="宋体" w:eastAsia="宋体" w:cs="宋体"/>
          <w:b/>
          <w:bCs/>
          <w:sz w:val="24"/>
          <w:szCs w:val="24"/>
          <w:u w:val="none"/>
        </w:rPr>
        <w:t>项目用途说明：</w:t>
      </w:r>
      <w:r>
        <w:rPr>
          <w:rFonts w:hint="eastAsia" w:ascii="宋体" w:hAnsi="宋体" w:eastAsia="宋体" w:cs="宋体"/>
          <w:b w:val="0"/>
          <w:bCs w:val="0"/>
          <w:sz w:val="24"/>
          <w:szCs w:val="24"/>
          <w:u w:val="none"/>
        </w:rPr>
        <w:t>供临床患者使用。</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00" w:lineRule="exact"/>
        <w:jc w:val="left"/>
        <w:textAlignment w:val="auto"/>
        <w:rPr>
          <w:rFonts w:hint="eastAsia" w:ascii="宋体" w:hAnsi="宋体" w:eastAsia="宋体" w:cs="宋体"/>
          <w:b/>
          <w:bCs/>
          <w:sz w:val="24"/>
          <w:szCs w:val="24"/>
          <w:lang w:eastAsia="zh-CN"/>
        </w:rPr>
      </w:pPr>
      <w:r>
        <w:rPr>
          <w:rFonts w:hint="eastAsia" w:cs="宋体"/>
          <w:b/>
          <w:bCs/>
          <w:sz w:val="24"/>
          <w:szCs w:val="24"/>
          <w:lang w:eastAsia="zh-CN"/>
        </w:rPr>
        <w:t>三</w:t>
      </w:r>
      <w:r>
        <w:rPr>
          <w:rFonts w:hint="eastAsia" w:ascii="宋体" w:hAnsi="宋体" w:eastAsia="宋体" w:cs="宋体"/>
          <w:b/>
          <w:bCs/>
          <w:sz w:val="24"/>
          <w:szCs w:val="24"/>
          <w:lang w:eastAsia="zh-CN"/>
        </w:rPr>
        <w:t>、配置规格、附件及零配件（包括专用工具）</w:t>
      </w:r>
    </w:p>
    <w:tbl>
      <w:tblPr>
        <w:tblStyle w:val="32"/>
        <w:tblW w:w="90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5"/>
        <w:gridCol w:w="1425"/>
        <w:gridCol w:w="1875"/>
        <w:gridCol w:w="1368"/>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trPr>
        <w:tc>
          <w:tcPr>
            <w:tcW w:w="2385" w:type="dxa"/>
            <w:tcBorders>
              <w:top w:val="single" w:color="auto" w:sz="4" w:space="0"/>
              <w:left w:val="single" w:color="auto" w:sz="4" w:space="0"/>
              <w:bottom w:val="single" w:color="auto" w:sz="4" w:space="0"/>
              <w:right w:val="single" w:color="auto" w:sz="4" w:space="0"/>
            </w:tcBorders>
            <w:vAlign w:val="center"/>
          </w:tcPr>
          <w:p>
            <w:pPr>
              <w:pStyle w:val="6"/>
              <w:ind w:left="0" w:leftChars="0"/>
              <w:jc w:val="center"/>
              <w:rPr>
                <w:rFonts w:ascii="宋体" w:hAnsi="宋体"/>
                <w:b/>
                <w:bCs/>
                <w:sz w:val="24"/>
                <w:szCs w:val="24"/>
              </w:rPr>
            </w:pPr>
            <w:r>
              <w:rPr>
                <w:rFonts w:hint="eastAsia" w:ascii="宋体" w:hAnsi="宋体"/>
                <w:b/>
                <w:bCs/>
                <w:sz w:val="24"/>
                <w:szCs w:val="24"/>
              </w:rPr>
              <w:t>药品名称</w:t>
            </w:r>
          </w:p>
        </w:tc>
        <w:tc>
          <w:tcPr>
            <w:tcW w:w="1425" w:type="dxa"/>
            <w:tcBorders>
              <w:top w:val="single" w:color="auto" w:sz="4" w:space="0"/>
              <w:left w:val="nil"/>
              <w:bottom w:val="single" w:color="auto" w:sz="4" w:space="0"/>
              <w:right w:val="single" w:color="auto" w:sz="4" w:space="0"/>
            </w:tcBorders>
            <w:vAlign w:val="center"/>
          </w:tcPr>
          <w:p>
            <w:pPr>
              <w:pStyle w:val="6"/>
              <w:ind w:left="0" w:leftChars="0"/>
              <w:jc w:val="center"/>
              <w:rPr>
                <w:rFonts w:ascii="宋体" w:hAnsi="宋体"/>
                <w:b/>
                <w:bCs/>
                <w:sz w:val="24"/>
                <w:szCs w:val="24"/>
              </w:rPr>
            </w:pPr>
            <w:r>
              <w:rPr>
                <w:rFonts w:hint="eastAsia" w:ascii="宋体" w:hAnsi="宋体"/>
                <w:b/>
                <w:bCs/>
                <w:sz w:val="24"/>
                <w:szCs w:val="24"/>
              </w:rPr>
              <w:t>剂型</w:t>
            </w:r>
          </w:p>
        </w:tc>
        <w:tc>
          <w:tcPr>
            <w:tcW w:w="1875" w:type="dxa"/>
            <w:tcBorders>
              <w:top w:val="single" w:color="auto" w:sz="4" w:space="0"/>
              <w:left w:val="nil"/>
              <w:bottom w:val="single" w:color="auto" w:sz="4" w:space="0"/>
              <w:right w:val="single" w:color="auto" w:sz="4" w:space="0"/>
            </w:tcBorders>
            <w:vAlign w:val="center"/>
          </w:tcPr>
          <w:p>
            <w:pPr>
              <w:pStyle w:val="6"/>
              <w:ind w:left="0" w:leftChars="0"/>
              <w:jc w:val="center"/>
              <w:rPr>
                <w:rFonts w:ascii="宋体" w:hAnsi="宋体"/>
                <w:b/>
                <w:bCs/>
                <w:sz w:val="24"/>
                <w:szCs w:val="24"/>
              </w:rPr>
            </w:pPr>
            <w:r>
              <w:rPr>
                <w:rFonts w:hint="eastAsia" w:ascii="宋体" w:hAnsi="宋体"/>
                <w:b/>
                <w:bCs/>
                <w:sz w:val="24"/>
                <w:szCs w:val="24"/>
              </w:rPr>
              <w:t>规格型号</w:t>
            </w:r>
          </w:p>
        </w:tc>
        <w:tc>
          <w:tcPr>
            <w:tcW w:w="1368" w:type="dxa"/>
            <w:tcBorders>
              <w:top w:val="single" w:color="auto" w:sz="4" w:space="0"/>
              <w:left w:val="nil"/>
              <w:bottom w:val="single" w:color="auto" w:sz="4" w:space="0"/>
              <w:right w:val="single" w:color="auto" w:sz="4" w:space="0"/>
            </w:tcBorders>
            <w:vAlign w:val="center"/>
          </w:tcPr>
          <w:p>
            <w:pPr>
              <w:pStyle w:val="6"/>
              <w:ind w:left="0" w:leftChars="0"/>
              <w:jc w:val="center"/>
              <w:rPr>
                <w:rFonts w:ascii="宋体" w:hAnsi="宋体"/>
                <w:b/>
                <w:bCs/>
                <w:sz w:val="24"/>
                <w:szCs w:val="24"/>
              </w:rPr>
            </w:pPr>
            <w:r>
              <w:rPr>
                <w:rFonts w:hint="eastAsia" w:ascii="宋体" w:hAnsi="宋体"/>
                <w:b/>
                <w:bCs/>
                <w:sz w:val="24"/>
                <w:szCs w:val="24"/>
              </w:rPr>
              <w:t>最小包装</w:t>
            </w:r>
          </w:p>
        </w:tc>
        <w:tc>
          <w:tcPr>
            <w:tcW w:w="2044" w:type="dxa"/>
            <w:tcBorders>
              <w:top w:val="single" w:color="auto" w:sz="4" w:space="0"/>
              <w:left w:val="nil"/>
              <w:bottom w:val="single" w:color="auto" w:sz="4" w:space="0"/>
              <w:right w:val="single" w:color="auto" w:sz="4" w:space="0"/>
            </w:tcBorders>
            <w:vAlign w:val="center"/>
          </w:tcPr>
          <w:p>
            <w:pPr>
              <w:pStyle w:val="6"/>
              <w:ind w:left="0" w:leftChars="0"/>
              <w:jc w:val="center"/>
              <w:rPr>
                <w:rFonts w:ascii="宋体" w:hAnsi="宋体"/>
                <w:b/>
                <w:bCs/>
                <w:sz w:val="24"/>
                <w:szCs w:val="24"/>
              </w:rPr>
            </w:pPr>
            <w:r>
              <w:rPr>
                <w:rFonts w:hint="eastAsia" w:ascii="宋体" w:hAnsi="宋体"/>
                <w:b/>
                <w:bCs/>
                <w:sz w:val="24"/>
                <w:szCs w:val="24"/>
              </w:rPr>
              <w:t>拦标单价（元）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9" w:hRule="atLeast"/>
        </w:trPr>
        <w:tc>
          <w:tcPr>
            <w:tcW w:w="2385" w:type="dxa"/>
            <w:tcBorders>
              <w:top w:val="single" w:color="auto" w:sz="4" w:space="0"/>
              <w:left w:val="single" w:color="auto" w:sz="4" w:space="0"/>
              <w:bottom w:val="single" w:color="auto" w:sz="4" w:space="0"/>
              <w:right w:val="single" w:color="auto" w:sz="4" w:space="0"/>
            </w:tcBorders>
            <w:vAlign w:val="center"/>
          </w:tcPr>
          <w:p>
            <w:pPr>
              <w:pStyle w:val="6"/>
              <w:ind w:left="0" w:leftChars="0"/>
              <w:jc w:val="center"/>
              <w:rPr>
                <w:rFonts w:hint="eastAsia" w:ascii="宋体" w:hAnsi="宋体" w:eastAsia="宋体" w:cs="宋体"/>
                <w:sz w:val="24"/>
                <w:szCs w:val="24"/>
              </w:rPr>
            </w:pPr>
            <w:r>
              <w:rPr>
                <w:rFonts w:hint="eastAsia" w:ascii="宋体" w:hAnsi="宋体" w:eastAsia="宋体" w:cs="宋体"/>
                <w:sz w:val="24"/>
                <w:szCs w:val="24"/>
              </w:rPr>
              <w:t>氟［18F］脱氧葡糖注射液</w:t>
            </w:r>
          </w:p>
        </w:tc>
        <w:tc>
          <w:tcPr>
            <w:tcW w:w="1425" w:type="dxa"/>
            <w:tcBorders>
              <w:top w:val="single" w:color="auto" w:sz="4" w:space="0"/>
              <w:left w:val="nil"/>
              <w:bottom w:val="single" w:color="auto" w:sz="4" w:space="0"/>
              <w:right w:val="single" w:color="auto" w:sz="4" w:space="0"/>
            </w:tcBorders>
            <w:vAlign w:val="center"/>
          </w:tcPr>
          <w:p>
            <w:pPr>
              <w:pStyle w:val="6"/>
              <w:ind w:left="0" w:leftChars="0"/>
              <w:jc w:val="center"/>
              <w:rPr>
                <w:rFonts w:hint="eastAsia" w:ascii="宋体" w:hAnsi="宋体" w:eastAsia="宋体" w:cs="宋体"/>
                <w:sz w:val="24"/>
                <w:szCs w:val="24"/>
              </w:rPr>
            </w:pPr>
            <w:r>
              <w:rPr>
                <w:rFonts w:hint="eastAsia" w:ascii="宋体" w:hAnsi="宋体" w:eastAsia="宋体" w:cs="宋体"/>
                <w:sz w:val="24"/>
                <w:szCs w:val="24"/>
              </w:rPr>
              <w:t>注射剂</w:t>
            </w:r>
          </w:p>
        </w:tc>
        <w:tc>
          <w:tcPr>
            <w:tcW w:w="1875" w:type="dxa"/>
            <w:tcBorders>
              <w:top w:val="single" w:color="auto" w:sz="4" w:space="0"/>
              <w:left w:val="nil"/>
              <w:bottom w:val="single" w:color="auto" w:sz="4" w:space="0"/>
              <w:right w:val="single" w:color="auto" w:sz="4" w:space="0"/>
            </w:tcBorders>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0.37-7.40GBq</w:t>
            </w:r>
          </w:p>
        </w:tc>
        <w:tc>
          <w:tcPr>
            <w:tcW w:w="1368" w:type="dxa"/>
            <w:tcBorders>
              <w:top w:val="single" w:color="auto" w:sz="4" w:space="0"/>
              <w:left w:val="nil"/>
              <w:bottom w:val="single" w:color="auto" w:sz="4" w:space="0"/>
              <w:right w:val="single" w:color="auto" w:sz="4" w:space="0"/>
            </w:tcBorders>
            <w:vAlign w:val="center"/>
          </w:tcPr>
          <w:p>
            <w:pPr>
              <w:pStyle w:val="6"/>
              <w:ind w:left="0" w:leftChars="0"/>
              <w:jc w:val="center"/>
              <w:rPr>
                <w:rFonts w:hint="eastAsia" w:ascii="宋体" w:hAnsi="宋体" w:eastAsia="宋体" w:cs="宋体"/>
                <w:sz w:val="24"/>
                <w:szCs w:val="24"/>
              </w:rPr>
            </w:pPr>
            <w:r>
              <w:rPr>
                <w:rFonts w:hint="eastAsia" w:ascii="宋体" w:hAnsi="宋体" w:eastAsia="宋体" w:cs="宋体"/>
                <w:sz w:val="24"/>
                <w:szCs w:val="24"/>
              </w:rPr>
              <w:t>瓶</w:t>
            </w:r>
          </w:p>
        </w:tc>
        <w:tc>
          <w:tcPr>
            <w:tcW w:w="2044" w:type="dxa"/>
            <w:tcBorders>
              <w:top w:val="single" w:color="auto" w:sz="4" w:space="0"/>
              <w:left w:val="nil"/>
              <w:bottom w:val="single" w:color="auto" w:sz="4" w:space="0"/>
              <w:right w:val="single" w:color="auto" w:sz="4" w:space="0"/>
            </w:tcBorders>
            <w:vAlign w:val="center"/>
          </w:tcPr>
          <w:p>
            <w:pPr>
              <w:pStyle w:val="6"/>
              <w:ind w:left="0" w:leftChars="0"/>
              <w:jc w:val="center"/>
              <w:rPr>
                <w:rFonts w:hint="eastAsia" w:ascii="宋体" w:hAnsi="宋体" w:eastAsia="宋体" w:cs="宋体"/>
                <w:sz w:val="24"/>
                <w:szCs w:val="24"/>
              </w:rPr>
            </w:pPr>
            <w:r>
              <w:rPr>
                <w:rFonts w:hint="eastAsia" w:ascii="宋体" w:hAnsi="宋体" w:eastAsia="宋体" w:cs="宋体"/>
                <w:sz w:val="24"/>
                <w:szCs w:val="24"/>
              </w:rPr>
              <w:t>200元/mCi</w:t>
            </w:r>
          </w:p>
        </w:tc>
      </w:tr>
    </w:tbl>
    <w:p>
      <w:pPr>
        <w:pStyle w:val="6"/>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00" w:lineRule="exact"/>
        <w:textAlignment w:val="auto"/>
        <w:rPr>
          <w:rFonts w:hint="eastAsia" w:ascii="宋体" w:hAnsi="宋体" w:eastAsia="宋体" w:cs="宋体"/>
          <w:b/>
          <w:bCs/>
          <w:sz w:val="24"/>
          <w:szCs w:val="24"/>
          <w:u w:val="none"/>
        </w:rPr>
      </w:pPr>
      <w:r>
        <w:rPr>
          <w:rFonts w:hint="eastAsia" w:ascii="宋体" w:hAnsi="宋体" w:eastAsia="宋体" w:cs="宋体"/>
          <w:b/>
          <w:bCs/>
          <w:sz w:val="24"/>
          <w:szCs w:val="24"/>
          <w:u w:val="none"/>
        </w:rPr>
        <w:t>详细技术要求、参数及产品资料等：</w:t>
      </w:r>
    </w:p>
    <w:p>
      <w:pPr>
        <w:pStyle w:val="6"/>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500" w:lineRule="exact"/>
        <w:ind w:firstLine="480" w:firstLineChars="200"/>
        <w:textAlignment w:val="auto"/>
        <w:rPr>
          <w:rFonts w:hint="eastAsia" w:ascii="宋体" w:hAnsi="宋体"/>
          <w:sz w:val="24"/>
          <w:szCs w:val="24"/>
          <w:highlight w:val="none"/>
          <w:u w:val="none"/>
        </w:rPr>
      </w:pPr>
      <w:r>
        <w:rPr>
          <w:rFonts w:hint="eastAsia" w:ascii="宋体" w:hAnsi="宋体"/>
          <w:sz w:val="24"/>
          <w:szCs w:val="24"/>
          <w:highlight w:val="none"/>
          <w:u w:val="none"/>
        </w:rPr>
        <w:t>产品为无色澄明液体。</w:t>
      </w:r>
    </w:p>
    <w:p>
      <w:pPr>
        <w:pStyle w:val="6"/>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500" w:lineRule="exact"/>
        <w:ind w:left="0" w:leftChars="0" w:firstLine="480" w:firstLineChars="200"/>
        <w:textAlignment w:val="auto"/>
        <w:rPr>
          <w:rFonts w:hint="eastAsia" w:ascii="宋体" w:hAnsi="宋体"/>
          <w:sz w:val="24"/>
          <w:szCs w:val="24"/>
          <w:highlight w:val="none"/>
          <w:u w:val="none"/>
        </w:rPr>
      </w:pPr>
      <w:r>
        <w:rPr>
          <w:rFonts w:hint="eastAsia" w:ascii="宋体" w:hAnsi="宋体"/>
          <w:sz w:val="24"/>
          <w:szCs w:val="24"/>
          <w:highlight w:val="none"/>
          <w:u w:val="none"/>
        </w:rPr>
        <w:t>产品的PH值为5.0-8.0。</w:t>
      </w:r>
    </w:p>
    <w:p>
      <w:pPr>
        <w:pStyle w:val="6"/>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500" w:lineRule="exact"/>
        <w:ind w:left="0" w:leftChars="0" w:firstLine="480" w:firstLineChars="200"/>
        <w:textAlignment w:val="auto"/>
        <w:rPr>
          <w:rFonts w:hint="eastAsia" w:ascii="宋体" w:hAnsi="宋体"/>
          <w:sz w:val="24"/>
          <w:szCs w:val="24"/>
          <w:highlight w:val="none"/>
          <w:u w:val="none"/>
        </w:rPr>
      </w:pPr>
      <w:r>
        <w:rPr>
          <w:rFonts w:hint="eastAsia" w:ascii="宋体" w:hAnsi="宋体"/>
          <w:sz w:val="24"/>
          <w:szCs w:val="24"/>
          <w:highlight w:val="none"/>
          <w:u w:val="none"/>
        </w:rPr>
        <w:t>产品的放射性化学纯度低于90%。</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00" w:lineRule="exact"/>
        <w:ind w:firstLine="480" w:firstLineChars="200"/>
        <w:textAlignment w:val="auto"/>
        <w:rPr>
          <w:rFonts w:ascii="宋体" w:hAnsi="宋体"/>
          <w:sz w:val="28"/>
          <w:szCs w:val="28"/>
          <w:u w:val="none"/>
        </w:rPr>
      </w:pPr>
      <w:r>
        <w:rPr>
          <w:rFonts w:hint="eastAsia" w:ascii="宋体" w:hAnsi="宋体"/>
          <w:sz w:val="24"/>
          <w:szCs w:val="24"/>
          <w:highlight w:val="none"/>
          <w:u w:val="none"/>
        </w:rPr>
        <w:t>4、产品的放射性浓度不低于370MBq/ml</w:t>
      </w:r>
      <w:r>
        <w:rPr>
          <w:rFonts w:hint="eastAsia" w:ascii="宋体" w:hAnsi="宋体"/>
          <w:sz w:val="28"/>
          <w:szCs w:val="28"/>
          <w:highlight w:val="none"/>
          <w:u w:val="none"/>
        </w:rPr>
        <w:t xml:space="preserve">。  </w:t>
      </w:r>
      <w:r>
        <w:rPr>
          <w:rFonts w:hint="eastAsia" w:ascii="宋体" w:hAnsi="宋体"/>
          <w:sz w:val="28"/>
          <w:szCs w:val="28"/>
          <w:u w:val="none"/>
        </w:rPr>
        <w:t xml:space="preserve">                                                                    </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bCs/>
          <w:sz w:val="24"/>
          <w:szCs w:val="24"/>
          <w:u w:val="none"/>
        </w:rPr>
      </w:pPr>
      <w:r>
        <w:rPr>
          <w:rFonts w:hint="eastAsia" w:ascii="宋体" w:hAnsi="宋体" w:eastAsia="宋体" w:cs="宋体"/>
          <w:b/>
          <w:bCs/>
          <w:sz w:val="24"/>
          <w:szCs w:val="24"/>
          <w:u w:val="none"/>
          <w:lang w:eastAsia="zh-CN"/>
        </w:rPr>
        <w:t>五、</w:t>
      </w:r>
      <w:r>
        <w:rPr>
          <w:rFonts w:hint="eastAsia" w:ascii="宋体" w:hAnsi="宋体" w:eastAsia="宋体" w:cs="宋体"/>
          <w:b/>
          <w:bCs/>
          <w:sz w:val="24"/>
          <w:szCs w:val="24"/>
          <w:u w:val="none"/>
        </w:rPr>
        <w:t>售后服务条件及交货日期（或工期）：</w:t>
      </w:r>
    </w:p>
    <w:p>
      <w:pPr>
        <w:pStyle w:val="87"/>
        <w:keepNext w:val="0"/>
        <w:keepLines w:val="0"/>
        <w:pageBreakBefore w:val="0"/>
        <w:kinsoku/>
        <w:wordWrap/>
        <w:overflowPunct/>
        <w:topLinePunct w:val="0"/>
        <w:autoSpaceDE/>
        <w:autoSpaceDN/>
        <w:bidi w:val="0"/>
        <w:adjustRightInd/>
        <w:spacing w:beforeAutospacing="0" w:afterAutospacing="0" w:line="360" w:lineRule="auto"/>
        <w:ind w:firstLine="562"/>
        <w:textAlignment w:val="auto"/>
        <w:rPr>
          <w:rFonts w:hint="eastAsia" w:ascii="宋体" w:hAnsi="宋体" w:eastAsia="宋体" w:cs="宋体"/>
          <w:sz w:val="24"/>
          <w:szCs w:val="24"/>
          <w:u w:val="none"/>
        </w:rPr>
      </w:pPr>
      <w:r>
        <w:rPr>
          <w:rFonts w:hint="eastAsia" w:ascii="宋体" w:hAnsi="宋体" w:eastAsia="宋体" w:cs="宋体"/>
          <w:b/>
          <w:bCs/>
          <w:sz w:val="24"/>
          <w:szCs w:val="24"/>
          <w:u w:val="none"/>
        </w:rPr>
        <w:t>交货日期</w:t>
      </w:r>
      <w:r>
        <w:rPr>
          <w:rFonts w:hint="eastAsia" w:ascii="宋体" w:hAnsi="宋体" w:eastAsia="宋体" w:cs="宋体"/>
          <w:sz w:val="24"/>
          <w:szCs w:val="24"/>
          <w:u w:val="none"/>
        </w:rPr>
        <w:t>：根据医院要求，派专人专车在5小时内将医院所需的规格产品送到医院，提供相关的产品检验合格报告、随货同行单和货物签收单。</w:t>
      </w:r>
    </w:p>
    <w:p>
      <w:pPr>
        <w:pStyle w:val="24"/>
        <w:keepNext w:val="0"/>
        <w:keepLines w:val="0"/>
        <w:pageBreakBefore w:val="0"/>
        <w:kinsoku/>
        <w:wordWrap/>
        <w:overflowPunct/>
        <w:topLinePunct w:val="0"/>
        <w:autoSpaceDE/>
        <w:autoSpaceDN/>
        <w:bidi w:val="0"/>
        <w:adjustRightInd/>
        <w:spacing w:beforeAutospacing="0" w:afterAutospacing="0" w:line="360" w:lineRule="auto"/>
        <w:ind w:firstLine="482" w:firstLineChars="200"/>
        <w:textAlignment w:val="auto"/>
        <w:rPr>
          <w:rFonts w:hint="eastAsia" w:ascii="宋体" w:hAnsi="宋体" w:eastAsia="宋体" w:cs="宋体"/>
          <w:sz w:val="24"/>
          <w:szCs w:val="24"/>
          <w:u w:val="none"/>
        </w:rPr>
      </w:pPr>
      <w:r>
        <w:rPr>
          <w:rFonts w:hint="eastAsia" w:ascii="宋体" w:hAnsi="宋体" w:eastAsia="宋体" w:cs="宋体"/>
          <w:b/>
          <w:bCs/>
          <w:sz w:val="24"/>
          <w:szCs w:val="24"/>
          <w:u w:val="none"/>
        </w:rPr>
        <w:t>售后服务</w:t>
      </w:r>
      <w:r>
        <w:rPr>
          <w:rFonts w:hint="eastAsia" w:ascii="宋体" w:hAnsi="宋体" w:eastAsia="宋体" w:cs="宋体"/>
          <w:sz w:val="24"/>
          <w:szCs w:val="24"/>
          <w:u w:val="none"/>
        </w:rPr>
        <w:t>：</w:t>
      </w:r>
    </w:p>
    <w:p>
      <w:pPr>
        <w:pStyle w:val="24"/>
        <w:keepNext w:val="0"/>
        <w:keepLines w:val="0"/>
        <w:pageBreakBefore w:val="0"/>
        <w:numPr>
          <w:ilvl w:val="0"/>
          <w:numId w:val="3"/>
        </w:numPr>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sz w:val="24"/>
          <w:szCs w:val="24"/>
          <w:u w:val="none"/>
        </w:rPr>
      </w:pPr>
      <w:r>
        <w:rPr>
          <w:rFonts w:hint="eastAsia" w:ascii="宋体" w:hAnsi="宋体" w:eastAsia="宋体" w:cs="宋体"/>
          <w:sz w:val="24"/>
          <w:szCs w:val="24"/>
          <w:u w:val="none"/>
        </w:rPr>
        <w:t>保证所提供的货物符合国家质量标准和合同规定的质量、规格、性能和技术规范要求。</w:t>
      </w:r>
    </w:p>
    <w:p>
      <w:pPr>
        <w:pStyle w:val="24"/>
        <w:keepNext w:val="0"/>
        <w:keepLines w:val="0"/>
        <w:pageBreakBefore w:val="0"/>
        <w:numPr>
          <w:ilvl w:val="0"/>
          <w:numId w:val="3"/>
        </w:numPr>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b w:val="0"/>
          <w:bCs w:val="0"/>
          <w:sz w:val="24"/>
          <w:szCs w:val="24"/>
          <w:u w:val="none"/>
          <w:lang w:eastAsia="zh-CN"/>
        </w:rPr>
      </w:pPr>
      <w:r>
        <w:rPr>
          <w:rFonts w:hint="eastAsia" w:ascii="宋体" w:hAnsi="宋体" w:eastAsia="宋体" w:cs="宋体"/>
          <w:sz w:val="24"/>
          <w:szCs w:val="24"/>
          <w:u w:val="none"/>
        </w:rPr>
        <w:t>保证货物在约定时间内配送至医院，如由于不可抗力（如极端天气等）、交通管制等无法按时配送提前2小时通知医院。</w:t>
      </w:r>
    </w:p>
    <w:p>
      <w:pPr>
        <w:pStyle w:val="24"/>
        <w:keepNext w:val="0"/>
        <w:keepLines w:val="0"/>
        <w:pageBreakBefore w:val="0"/>
        <w:numPr>
          <w:ilvl w:val="0"/>
          <w:numId w:val="3"/>
        </w:numPr>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b w:val="0"/>
          <w:bCs w:val="0"/>
          <w:sz w:val="24"/>
          <w:szCs w:val="24"/>
          <w:u w:val="none"/>
          <w:lang w:eastAsia="zh-CN"/>
        </w:rPr>
      </w:pPr>
      <w:r>
        <w:rPr>
          <w:rFonts w:hint="eastAsia" w:ascii="宋体" w:hAnsi="宋体" w:eastAsia="宋体" w:cs="宋体"/>
          <w:sz w:val="24"/>
          <w:szCs w:val="24"/>
          <w:u w:val="none"/>
        </w:rPr>
        <w:t>保证医院对售后服务要求的及时响应，对需上门服务的情况，及时安排技术人员赶到现场。</w:t>
      </w:r>
    </w:p>
    <w:p>
      <w:pPr>
        <w:pStyle w:val="24"/>
        <w:keepNext w:val="0"/>
        <w:keepLines w:val="0"/>
        <w:pageBreakBefore w:val="0"/>
        <w:numPr>
          <w:ilvl w:val="0"/>
          <w:numId w:val="3"/>
        </w:numPr>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b w:val="0"/>
          <w:bCs w:val="0"/>
          <w:sz w:val="24"/>
          <w:szCs w:val="24"/>
          <w:u w:val="none"/>
          <w:lang w:eastAsia="zh-CN"/>
        </w:rPr>
      </w:pPr>
      <w:r>
        <w:rPr>
          <w:rFonts w:hint="eastAsia" w:ascii="宋体" w:hAnsi="宋体" w:eastAsia="宋体" w:cs="宋体"/>
          <w:sz w:val="24"/>
          <w:szCs w:val="24"/>
          <w:u w:val="none"/>
        </w:rPr>
        <w:t>如医院对产品使用、辐射防护等方面有疑问，企业可以组织各项培训，由技术人员或专家进行指导。</w:t>
      </w:r>
    </w:p>
    <w:p>
      <w:pPr>
        <w:pStyle w:val="24"/>
        <w:keepNext w:val="0"/>
        <w:keepLines w:val="0"/>
        <w:pageBreakBefore w:val="0"/>
        <w:numPr>
          <w:ilvl w:val="0"/>
          <w:numId w:val="3"/>
        </w:numPr>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b w:val="0"/>
          <w:bCs w:val="0"/>
          <w:sz w:val="24"/>
          <w:szCs w:val="24"/>
          <w:u w:val="none"/>
          <w:lang w:eastAsia="zh-CN"/>
        </w:rPr>
      </w:pPr>
      <w:r>
        <w:rPr>
          <w:rFonts w:hint="eastAsia" w:ascii="宋体" w:hAnsi="宋体" w:eastAsia="宋体" w:cs="宋体"/>
          <w:sz w:val="24"/>
          <w:szCs w:val="24"/>
          <w:u w:val="none"/>
        </w:rPr>
        <w:t>按照《药品经营质量管理规范》等法律法规要求向我院提供加</w:t>
      </w:r>
      <w:r>
        <w:rPr>
          <w:rFonts w:hint="eastAsia" w:ascii="宋体" w:hAnsi="宋体" w:eastAsia="宋体" w:cs="宋体"/>
          <w:color w:val="auto"/>
          <w:sz w:val="24"/>
          <w:szCs w:val="24"/>
          <w:u w:val="none"/>
        </w:rPr>
        <w:t>盖企业公章</w:t>
      </w:r>
      <w:r>
        <w:rPr>
          <w:rFonts w:hint="eastAsia" w:ascii="宋体" w:hAnsi="宋体" w:eastAsia="宋体" w:cs="宋体"/>
          <w:sz w:val="24"/>
          <w:szCs w:val="24"/>
          <w:u w:val="none"/>
        </w:rPr>
        <w:t>的企业资质证明文件等相关资料，并对以上资料的真实性和有效性负责。6、我院收到该公司药品发现药品缺少、破损、挤压及污染等现象应在收到物品后的1小时内通知该公司，经双发核实后，办理调换货、退货手续。</w:t>
      </w:r>
    </w:p>
    <w:p>
      <w:pPr>
        <w:pStyle w:val="24"/>
        <w:keepNext w:val="0"/>
        <w:keepLines w:val="0"/>
        <w:pageBreakBefore w:val="0"/>
        <w:numPr>
          <w:ilvl w:val="0"/>
          <w:numId w:val="3"/>
        </w:numPr>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b w:val="0"/>
          <w:bCs w:val="0"/>
          <w:sz w:val="24"/>
          <w:szCs w:val="24"/>
          <w:u w:val="none"/>
          <w:lang w:eastAsia="zh-CN"/>
        </w:rPr>
      </w:pPr>
      <w:r>
        <w:rPr>
          <w:rFonts w:hint="eastAsia" w:ascii="宋体" w:hAnsi="宋体" w:eastAsia="宋体" w:cs="宋体"/>
          <w:sz w:val="24"/>
          <w:szCs w:val="24"/>
          <w:u w:val="none"/>
          <w:lang w:val="en-US" w:eastAsia="zh-CN"/>
        </w:rPr>
        <w:t>2021年需在省级环境保护部门完成放射性药品转让审批手续。</w:t>
      </w:r>
    </w:p>
    <w:p>
      <w:pPr>
        <w:pStyle w:val="24"/>
        <w:keepNext w:val="0"/>
        <w:keepLines w:val="0"/>
        <w:pageBreakBefore w:val="0"/>
        <w:kinsoku/>
        <w:wordWrap/>
        <w:overflowPunct/>
        <w:topLinePunct w:val="0"/>
        <w:autoSpaceDE/>
        <w:autoSpaceDN/>
        <w:bidi w:val="0"/>
        <w:adjustRightInd/>
        <w:spacing w:beforeAutospacing="0" w:afterAutospacing="0" w:line="360" w:lineRule="auto"/>
        <w:textAlignment w:val="auto"/>
        <w:rPr>
          <w:rFonts w:hint="eastAsia" w:ascii="宋体" w:hAnsi="宋体" w:eastAsia="宋体" w:cs="宋体"/>
          <w:b w:val="0"/>
          <w:bCs w:val="0"/>
          <w:sz w:val="24"/>
          <w:szCs w:val="24"/>
          <w:u w:val="none"/>
          <w:lang w:eastAsia="zh-CN"/>
        </w:rPr>
      </w:pPr>
    </w:p>
    <w:p>
      <w:pPr>
        <w:pStyle w:val="24"/>
        <w:keepNext w:val="0"/>
        <w:keepLines w:val="0"/>
        <w:pageBreakBefore w:val="0"/>
        <w:kinsoku/>
        <w:wordWrap/>
        <w:overflowPunct/>
        <w:topLinePunct w:val="0"/>
        <w:autoSpaceDE/>
        <w:autoSpaceDN/>
        <w:bidi w:val="0"/>
        <w:adjustRightInd/>
        <w:spacing w:beforeAutospacing="0" w:afterAutospacing="0" w:line="360" w:lineRule="auto"/>
        <w:textAlignment w:val="auto"/>
        <w:rPr>
          <w:rFonts w:hint="eastAsia" w:ascii="宋体" w:hAnsi="宋体" w:eastAsia="宋体" w:cs="宋体"/>
          <w:b w:val="0"/>
          <w:bCs w:val="0"/>
          <w:sz w:val="24"/>
          <w:szCs w:val="24"/>
          <w:u w:val="none"/>
          <w:lang w:eastAsia="zh-CN"/>
        </w:rPr>
      </w:pPr>
    </w:p>
    <w:p>
      <w:pPr>
        <w:pStyle w:val="24"/>
        <w:rPr>
          <w:rFonts w:hint="eastAsia" w:ascii="宋体" w:hAnsi="宋体" w:eastAsia="宋体" w:cs="宋体"/>
          <w:b w:val="0"/>
          <w:bCs w:val="0"/>
          <w:sz w:val="24"/>
          <w:szCs w:val="24"/>
          <w:u w:val="none"/>
          <w:lang w:eastAsia="zh-CN"/>
        </w:rPr>
      </w:pPr>
    </w:p>
    <w:p>
      <w:pPr>
        <w:snapToGrid w:val="0"/>
        <w:spacing w:line="360" w:lineRule="auto"/>
        <w:jc w:val="center"/>
        <w:rPr>
          <w:b/>
          <w:bCs/>
          <w:color w:val="auto"/>
          <w:sz w:val="30"/>
          <w:szCs w:val="30"/>
          <w:highlight w:val="none"/>
        </w:rPr>
      </w:pPr>
      <w:r>
        <w:rPr>
          <w:rFonts w:hint="eastAsia"/>
          <w:b/>
          <w:bCs/>
          <w:color w:val="auto"/>
          <w:sz w:val="30"/>
          <w:szCs w:val="30"/>
          <w:highlight w:val="none"/>
        </w:rPr>
        <w:t>商务要求</w:t>
      </w:r>
    </w:p>
    <w:tbl>
      <w:tblPr>
        <w:tblStyle w:val="32"/>
        <w:tblpPr w:leftFromText="180" w:rightFromText="180" w:vertAnchor="text" w:tblpXSpec="center" w:tblpY="1"/>
        <w:tblOverlap w:val="never"/>
        <w:tblW w:w="96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83"/>
        <w:gridCol w:w="69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268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合同签订时间</w:t>
            </w:r>
          </w:p>
        </w:tc>
        <w:tc>
          <w:tcPr>
            <w:tcW w:w="6942"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both"/>
              <w:rPr>
                <w:rFonts w:ascii="宋体" w:hAnsi="宋体" w:cs="宋体"/>
                <w:color w:val="auto"/>
                <w:kern w:val="0"/>
                <w:sz w:val="24"/>
                <w:szCs w:val="24"/>
                <w:highlight w:val="none"/>
              </w:rPr>
            </w:pPr>
            <w:r>
              <w:rPr>
                <w:rFonts w:hint="eastAsia" w:ascii="宋体" w:hAnsi="宋体" w:cs="宋体"/>
                <w:color w:val="auto"/>
                <w:kern w:val="0"/>
                <w:sz w:val="24"/>
                <w:szCs w:val="24"/>
                <w:highlight w:val="none"/>
              </w:rPr>
              <w:t>自中标通知书发出之日起</w:t>
            </w:r>
            <w:r>
              <w:rPr>
                <w:rFonts w:hint="eastAsia" w:ascii="宋体" w:hAnsi="宋体" w:cs="宋体"/>
                <w:color w:val="auto"/>
                <w:kern w:val="0"/>
                <w:sz w:val="24"/>
                <w:szCs w:val="24"/>
                <w:highlight w:val="none"/>
                <w:lang w:val="en-US" w:eastAsia="zh-CN"/>
              </w:rPr>
              <w:t>三十</w:t>
            </w:r>
            <w:r>
              <w:rPr>
                <w:rFonts w:hint="eastAsia" w:ascii="宋体" w:hAnsi="宋体" w:cs="宋体"/>
                <w:color w:val="auto"/>
                <w:kern w:val="0"/>
                <w:sz w:val="24"/>
                <w:szCs w:val="24"/>
                <w:highlight w:val="none"/>
              </w:rPr>
              <w:t>个</w:t>
            </w:r>
            <w:r>
              <w:rPr>
                <w:rFonts w:hint="eastAsia" w:ascii="宋体" w:hAnsi="宋体" w:cs="宋体"/>
                <w:color w:val="auto"/>
                <w:kern w:val="0"/>
                <w:sz w:val="24"/>
                <w:szCs w:val="24"/>
                <w:highlight w:val="none"/>
                <w:lang w:val="en-US" w:eastAsia="zh-CN"/>
              </w:rPr>
              <w:t>日历日</w:t>
            </w:r>
            <w:r>
              <w:rPr>
                <w:rFonts w:hint="eastAsia" w:ascii="宋体" w:hAnsi="宋体" w:cs="宋体"/>
                <w:color w:val="auto"/>
                <w:kern w:val="0"/>
                <w:sz w:val="24"/>
                <w:szCs w:val="24"/>
                <w:highlight w:val="none"/>
              </w:rPr>
              <w:t>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268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交货地点</w:t>
            </w:r>
          </w:p>
        </w:tc>
        <w:tc>
          <w:tcPr>
            <w:tcW w:w="6942"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both"/>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sz w:val="24"/>
                <w:szCs w:val="32"/>
                <w:lang w:val="en-US" w:eastAsia="zh-CN"/>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268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验   收</w:t>
            </w:r>
          </w:p>
        </w:tc>
        <w:tc>
          <w:tcPr>
            <w:tcW w:w="6942"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both"/>
              <w:rPr>
                <w:rFonts w:ascii="宋体" w:hAnsi="宋体" w:cs="宋体"/>
                <w:color w:val="auto"/>
                <w:kern w:val="0"/>
                <w:sz w:val="24"/>
                <w:szCs w:val="24"/>
                <w:highlight w:val="none"/>
              </w:rPr>
            </w:pPr>
            <w:r>
              <w:rPr>
                <w:rFonts w:hint="eastAsia" w:ascii="宋体" w:hAnsi="宋体" w:cs="宋体"/>
                <w:color w:val="auto"/>
                <w:kern w:val="0"/>
                <w:sz w:val="24"/>
                <w:szCs w:val="24"/>
                <w:highlight w:val="none"/>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268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质量要求</w:t>
            </w:r>
          </w:p>
        </w:tc>
        <w:tc>
          <w:tcPr>
            <w:tcW w:w="6942"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both"/>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rPr>
              <w:t>符合现行国家质量要求和行业有关标准</w:t>
            </w:r>
            <w:r>
              <w:rPr>
                <w:rFonts w:hint="eastAsia" w:ascii="宋体" w:hAnsi="宋体" w:cs="宋体"/>
                <w:color w:val="auto"/>
                <w:ker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268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付款方式</w:t>
            </w:r>
          </w:p>
        </w:tc>
        <w:tc>
          <w:tcPr>
            <w:tcW w:w="6942"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both"/>
              <w:rPr>
                <w:rFonts w:ascii="宋体" w:hAnsi="宋体" w:cs="宋体"/>
                <w:color w:val="auto"/>
                <w:kern w:val="0"/>
                <w:sz w:val="24"/>
                <w:szCs w:val="24"/>
                <w:highlight w:val="none"/>
              </w:rPr>
            </w:pPr>
            <w:r>
              <w:rPr>
                <w:rFonts w:hint="eastAsia" w:ascii="宋体" w:hAnsi="宋体" w:cs="宋体"/>
                <w:color w:val="auto"/>
                <w:kern w:val="0"/>
                <w:sz w:val="24"/>
                <w:szCs w:val="24"/>
                <w:highlight w:val="none"/>
              </w:rPr>
              <w:t>以合同签订为准。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268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hAnsi="宋体" w:cs="宋体"/>
                <w:color w:val="auto"/>
                <w:kern w:val="0"/>
                <w:sz w:val="24"/>
                <w:szCs w:val="24"/>
                <w:highlight w:val="none"/>
              </w:rPr>
            </w:pPr>
            <w:r>
              <w:rPr>
                <w:rFonts w:hint="eastAsia" w:ascii="宋体" w:hAnsi="宋体"/>
                <w:color w:val="auto"/>
                <w:kern w:val="0"/>
                <w:sz w:val="24"/>
                <w:szCs w:val="24"/>
                <w:highlight w:val="none"/>
              </w:rPr>
              <w:t>售后技术服务要求、售后服务保障要求</w:t>
            </w:r>
          </w:p>
        </w:tc>
        <w:tc>
          <w:tcPr>
            <w:tcW w:w="6942"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both"/>
              <w:rPr>
                <w:rFonts w:ascii="宋体" w:hAnsi="宋体" w:cs="宋体"/>
                <w:color w:val="auto"/>
                <w:kern w:val="0"/>
                <w:sz w:val="24"/>
                <w:szCs w:val="24"/>
                <w:highlight w:val="none"/>
              </w:rPr>
            </w:pPr>
            <w:r>
              <w:rPr>
                <w:rFonts w:hint="eastAsia" w:ascii="宋体" w:hAnsi="宋体" w:cs="宋体"/>
                <w:color w:val="auto"/>
                <w:kern w:val="0"/>
                <w:sz w:val="24"/>
                <w:szCs w:val="24"/>
                <w:highlight w:val="none"/>
              </w:rPr>
              <w:t>中标人须提供后期服务保障。</w:t>
            </w:r>
          </w:p>
        </w:tc>
      </w:tr>
    </w:tbl>
    <w:p>
      <w:pPr>
        <w:pStyle w:val="2"/>
        <w:ind w:firstLine="0" w:firstLineChars="0"/>
        <w:rPr>
          <w:color w:val="auto"/>
          <w:highlight w:val="none"/>
        </w:rPr>
      </w:pPr>
    </w:p>
    <w:p>
      <w:pPr>
        <w:snapToGrid w:val="0"/>
        <w:spacing w:line="480" w:lineRule="auto"/>
        <w:jc w:val="center"/>
        <w:rPr>
          <w:b/>
          <w:bCs/>
          <w:color w:val="auto"/>
          <w:sz w:val="30"/>
          <w:szCs w:val="30"/>
          <w:highlight w:val="none"/>
        </w:rPr>
      </w:pPr>
      <w:r>
        <w:rPr>
          <w:rFonts w:hint="eastAsia"/>
          <w:b/>
          <w:bCs/>
          <w:color w:val="auto"/>
          <w:sz w:val="30"/>
          <w:szCs w:val="30"/>
          <w:highlight w:val="none"/>
        </w:rPr>
        <w:t xml:space="preserve"> 采购人对项目的特殊要求及说明</w:t>
      </w:r>
    </w:p>
    <w:tbl>
      <w:tblPr>
        <w:tblStyle w:val="32"/>
        <w:tblW w:w="936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80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76" w:hRule="atLeast"/>
        </w:trPr>
        <w:tc>
          <w:tcPr>
            <w:tcW w:w="136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采购人的特殊要求及说明理由</w:t>
            </w:r>
          </w:p>
        </w:tc>
        <w:tc>
          <w:tcPr>
            <w:tcW w:w="8001" w:type="dxa"/>
            <w:tcBorders>
              <w:top w:val="single" w:color="auto" w:sz="4" w:space="0"/>
              <w:left w:val="single" w:color="auto" w:sz="4" w:space="0"/>
              <w:bottom w:val="single" w:color="auto" w:sz="4" w:space="0"/>
              <w:right w:val="single" w:color="auto" w:sz="4" w:space="0"/>
            </w:tcBorders>
            <w:vAlign w:val="center"/>
          </w:tcPr>
          <w:p>
            <w:pPr>
              <w:widowControl/>
              <w:numPr>
                <w:ilvl w:val="0"/>
                <w:numId w:val="4"/>
              </w:numPr>
              <w:snapToGrid w:val="0"/>
              <w:spacing w:line="360" w:lineRule="auto"/>
              <w:rPr>
                <w:color w:val="auto"/>
                <w:sz w:val="24"/>
                <w:szCs w:val="32"/>
              </w:rPr>
            </w:pPr>
            <w:r>
              <w:rPr>
                <w:rFonts w:hint="eastAsia"/>
                <w:color w:val="auto"/>
                <w:sz w:val="24"/>
                <w:szCs w:val="32"/>
              </w:rPr>
              <w:t>不接受联合体投标，不允许转包和分包。</w:t>
            </w:r>
          </w:p>
          <w:p>
            <w:pPr>
              <w:widowControl/>
              <w:snapToGrid w:val="0"/>
              <w:spacing w:line="360" w:lineRule="auto"/>
              <w:rPr>
                <w:rFonts w:ascii="宋体" w:hAnsi="宋体" w:cs="宋体"/>
                <w:color w:val="auto"/>
                <w:kern w:val="0"/>
                <w:sz w:val="24"/>
                <w:szCs w:val="24"/>
                <w:highlight w:val="none"/>
              </w:rPr>
            </w:pPr>
            <w:r>
              <w:rPr>
                <w:rFonts w:hint="eastAsia"/>
                <w:color w:val="auto"/>
                <w:sz w:val="24"/>
                <w:szCs w:val="32"/>
                <w:lang w:val="en-US" w:eastAsia="zh-CN"/>
              </w:rPr>
              <w:t>2</w:t>
            </w:r>
            <w:r>
              <w:rPr>
                <w:rFonts w:hint="eastAsia"/>
                <w:color w:val="auto"/>
                <w:sz w:val="24"/>
                <w:szCs w:val="32"/>
              </w:rPr>
              <w:t>、</w:t>
            </w:r>
            <w:r>
              <w:rPr>
                <w:rFonts w:hint="eastAsia" w:ascii="宋体" w:hAnsi="宋体" w:cs="宋体"/>
                <w:color w:val="auto"/>
                <w:kern w:val="0"/>
                <w:sz w:val="24"/>
                <w:szCs w:val="24"/>
                <w:highlight w:val="none"/>
              </w:rPr>
              <w:t>授权评标委员会确定一名中标人并推荐两名中标候选人。</w:t>
            </w:r>
          </w:p>
          <w:p>
            <w:pPr>
              <w:widowControl/>
              <w:snapToGrid w:val="0"/>
              <w:spacing w:line="360" w:lineRule="auto"/>
              <w:rPr>
                <w:color w:val="auto"/>
                <w:sz w:val="24"/>
                <w:szCs w:val="32"/>
              </w:rPr>
            </w:pPr>
            <w:r>
              <w:rPr>
                <w:rFonts w:hint="eastAsia"/>
                <w:color w:val="auto"/>
                <w:sz w:val="24"/>
                <w:szCs w:val="32"/>
                <w:lang w:val="en-US" w:eastAsia="zh-CN"/>
              </w:rPr>
              <w:t>3</w:t>
            </w:r>
            <w:r>
              <w:rPr>
                <w:rFonts w:hint="eastAsia"/>
                <w:color w:val="auto"/>
                <w:sz w:val="24"/>
                <w:szCs w:val="32"/>
              </w:rPr>
              <w:t>、供应商应根据</w:t>
            </w:r>
            <w:r>
              <w:rPr>
                <w:rFonts w:hint="eastAsia"/>
                <w:color w:val="auto"/>
                <w:sz w:val="24"/>
                <w:szCs w:val="32"/>
                <w:lang w:eastAsia="zh-CN"/>
              </w:rPr>
              <w:t>采购</w:t>
            </w:r>
            <w:r>
              <w:rPr>
                <w:rFonts w:hint="eastAsia"/>
                <w:color w:val="auto"/>
                <w:sz w:val="24"/>
                <w:szCs w:val="32"/>
              </w:rPr>
              <w:t>文件的要求提供技术响应表、商务响应表等内容以对</w:t>
            </w:r>
            <w:r>
              <w:rPr>
                <w:rFonts w:hint="eastAsia"/>
                <w:color w:val="auto"/>
                <w:sz w:val="24"/>
                <w:szCs w:val="32"/>
                <w:lang w:eastAsia="zh-CN"/>
              </w:rPr>
              <w:t>采购</w:t>
            </w:r>
            <w:r>
              <w:rPr>
                <w:rFonts w:hint="eastAsia"/>
                <w:color w:val="auto"/>
                <w:sz w:val="24"/>
                <w:szCs w:val="32"/>
              </w:rPr>
              <w:t>文件作出响应。</w:t>
            </w:r>
          </w:p>
        </w:tc>
      </w:tr>
    </w:tbl>
    <w:p>
      <w:pPr>
        <w:rPr>
          <w:color w:val="auto"/>
          <w:highlight w:val="none"/>
        </w:rPr>
      </w:pPr>
    </w:p>
    <w:p>
      <w:pPr>
        <w:rPr>
          <w:color w:val="auto"/>
          <w:sz w:val="32"/>
          <w:szCs w:val="32"/>
          <w:highlight w:val="none"/>
        </w:rPr>
      </w:pPr>
    </w:p>
    <w:p>
      <w:pPr>
        <w:pStyle w:val="2"/>
        <w:rPr>
          <w:color w:val="auto"/>
          <w:sz w:val="32"/>
          <w:szCs w:val="32"/>
          <w:highlight w:val="none"/>
        </w:rPr>
      </w:pPr>
    </w:p>
    <w:p>
      <w:pPr>
        <w:pStyle w:val="5"/>
        <w:rPr>
          <w:color w:val="auto"/>
          <w:sz w:val="32"/>
          <w:szCs w:val="32"/>
          <w:highlight w:val="none"/>
        </w:rPr>
      </w:pPr>
    </w:p>
    <w:p>
      <w:pPr>
        <w:rPr>
          <w:color w:val="auto"/>
          <w:sz w:val="32"/>
          <w:szCs w:val="32"/>
          <w:highlight w:val="none"/>
        </w:rPr>
      </w:pPr>
    </w:p>
    <w:p>
      <w:pPr>
        <w:pStyle w:val="2"/>
        <w:rPr>
          <w:color w:val="auto"/>
          <w:sz w:val="32"/>
          <w:szCs w:val="32"/>
          <w:highlight w:val="none"/>
        </w:rPr>
      </w:pPr>
    </w:p>
    <w:p>
      <w:pPr>
        <w:pStyle w:val="5"/>
        <w:rPr>
          <w:color w:val="auto"/>
          <w:sz w:val="32"/>
          <w:szCs w:val="32"/>
          <w:highlight w:val="none"/>
        </w:rPr>
      </w:pPr>
    </w:p>
    <w:p/>
    <w:p>
      <w:pPr>
        <w:rPr>
          <w:color w:val="auto"/>
          <w:highlight w:val="none"/>
        </w:rPr>
      </w:pPr>
    </w:p>
    <w:p>
      <w:pPr>
        <w:pStyle w:val="8"/>
        <w:spacing w:before="0" w:after="0" w:line="240" w:lineRule="atLeast"/>
        <w:jc w:val="center"/>
        <w:rPr>
          <w:color w:val="auto"/>
          <w:sz w:val="32"/>
          <w:szCs w:val="32"/>
          <w:highlight w:val="none"/>
        </w:rPr>
      </w:pPr>
      <w:bookmarkStart w:id="40" w:name="_Toc14504"/>
      <w:r>
        <w:rPr>
          <w:rFonts w:hint="eastAsia"/>
          <w:color w:val="auto"/>
          <w:sz w:val="32"/>
          <w:szCs w:val="32"/>
          <w:highlight w:val="none"/>
        </w:rPr>
        <w:t>第三章  投标人须知</w:t>
      </w:r>
      <w:bookmarkEnd w:id="40"/>
    </w:p>
    <w:p>
      <w:pPr>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投标人须知前附表</w:t>
      </w:r>
    </w:p>
    <w:tbl>
      <w:tblPr>
        <w:tblStyle w:val="32"/>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ascii="宋体" w:hAnsi="宋体" w:eastAsia="宋体" w:cs="宋体"/>
                <w:color w:val="auto"/>
              </w:rPr>
            </w:pPr>
            <w:r>
              <w:rPr>
                <w:rFonts w:hint="eastAsia"/>
                <w:color w:val="auto"/>
                <w:highlight w:val="none"/>
              </w:rPr>
              <w:t>1.1 项目名称：</w:t>
            </w:r>
            <w:r>
              <w:rPr>
                <w:rFonts w:hint="eastAsia" w:ascii="宋体" w:hAnsi="宋体" w:cs="宋体"/>
                <w:color w:val="auto"/>
                <w:lang w:eastAsia="zh-CN"/>
              </w:rPr>
              <w:t>驻马店市中心医院氟[18F]脱氧葡糖注射液采购</w:t>
            </w:r>
          </w:p>
          <w:p>
            <w:pPr>
              <w:widowControl/>
              <w:snapToGrid w:val="0"/>
              <w:spacing w:line="440" w:lineRule="exact"/>
              <w:jc w:val="left"/>
              <w:outlineLvl w:val="0"/>
              <w:rPr>
                <w:color w:val="auto"/>
                <w:highlight w:val="none"/>
              </w:rPr>
            </w:pPr>
            <w:r>
              <w:rPr>
                <w:rFonts w:hint="eastAsia"/>
                <w:color w:val="auto"/>
                <w:highlight w:val="none"/>
              </w:rPr>
              <w:t>1.2 采购人名称：</w:t>
            </w:r>
            <w:r>
              <w:rPr>
                <w:rFonts w:hint="eastAsia" w:ascii="宋体" w:hAnsi="宋体" w:eastAsia="宋体" w:cs="宋体"/>
                <w:color w:val="auto"/>
              </w:rPr>
              <w:t>驻马店市中心医院</w:t>
            </w:r>
          </w:p>
          <w:p>
            <w:pPr>
              <w:widowControl/>
              <w:snapToGrid w:val="0"/>
              <w:spacing w:line="440" w:lineRule="exact"/>
              <w:jc w:val="left"/>
              <w:outlineLvl w:val="0"/>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1.</w:t>
            </w:r>
            <w:r>
              <w:rPr>
                <w:rFonts w:hint="eastAsia"/>
                <w:color w:val="auto"/>
                <w:highlight w:val="none"/>
                <w:lang w:val="en-US" w:eastAsia="zh-CN"/>
              </w:rPr>
              <w:t>3</w:t>
            </w:r>
            <w:r>
              <w:rPr>
                <w:rFonts w:hint="eastAsia"/>
                <w:color w:val="auto"/>
                <w:highlight w:val="none"/>
              </w:rPr>
              <w:t>采购范围：详</w:t>
            </w:r>
            <w:r>
              <w:rPr>
                <w:rFonts w:hint="eastAsia"/>
                <w:color w:val="auto"/>
                <w:highlight w:val="none"/>
                <w:lang w:val="en-US" w:eastAsia="zh-CN"/>
              </w:rPr>
              <w:t>见第二章采购</w:t>
            </w:r>
            <w:r>
              <w:rPr>
                <w:rFonts w:hint="eastAsia"/>
                <w:color w:val="auto"/>
                <w:highlight w:val="none"/>
              </w:rPr>
              <w:t>需求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合格投标人：具备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采购预算（最高投标限价）：</w:t>
            </w:r>
            <w:r>
              <w:rPr>
                <w:rFonts w:hint="eastAsia" w:ascii="宋体" w:hAnsi="宋体" w:cs="宋体"/>
                <w:color w:val="auto"/>
                <w:kern w:val="0"/>
                <w:szCs w:val="21"/>
                <w:highlight w:val="none"/>
                <w:lang w:val="en-US" w:eastAsia="zh-CN"/>
              </w:rPr>
              <w:t>10万</w:t>
            </w:r>
            <w:r>
              <w:rPr>
                <w:rFonts w:hint="eastAsia" w:ascii="宋体" w:hAnsi="宋体" w:eastAsia="宋体" w:cs="宋体"/>
                <w:color w:val="auto"/>
                <w:kern w:val="0"/>
                <w:szCs w:val="21"/>
                <w:highlight w:val="none"/>
              </w:rPr>
              <w:t>元</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3.1 本项目投标以人民币报价。</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3.2 供应商的报价超过采购预算，采购人不能支付的，按废标处理。</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3.3 本项目</w:t>
            </w:r>
            <w:r>
              <w:rPr>
                <w:rFonts w:hint="eastAsia" w:ascii="宋体" w:hAnsi="宋体" w:cs="宋体"/>
                <w:color w:val="auto"/>
                <w:kern w:val="0"/>
                <w:szCs w:val="21"/>
                <w:highlight w:val="none"/>
                <w:lang w:val="en-US" w:eastAsia="zh-CN"/>
              </w:rPr>
              <w:t>由成交供应商缴纳</w:t>
            </w:r>
            <w:r>
              <w:rPr>
                <w:rFonts w:hint="eastAsia" w:ascii="宋体" w:hAnsi="宋体" w:cs="宋体"/>
                <w:color w:val="auto"/>
                <w:kern w:val="0"/>
                <w:szCs w:val="21"/>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color w:val="auto"/>
              </w:rPr>
            </w:pPr>
            <w:r>
              <w:rPr>
                <w:rFonts w:hint="eastAsia"/>
                <w:color w:val="auto"/>
              </w:rPr>
              <w:t>投标文件组成：纸质投标文件正本1份</w:t>
            </w:r>
            <w:r>
              <w:rPr>
                <w:rFonts w:hint="eastAsia"/>
                <w:color w:val="auto"/>
                <w:lang w:eastAsia="zh-CN"/>
              </w:rPr>
              <w:t>、</w:t>
            </w:r>
            <w:r>
              <w:rPr>
                <w:rFonts w:hint="eastAsia"/>
                <w:color w:val="auto"/>
                <w:lang w:val="en-US" w:eastAsia="zh-CN"/>
              </w:rPr>
              <w:t>副本2份</w:t>
            </w:r>
            <w:r>
              <w:rPr>
                <w:rFonts w:hint="eastAsia"/>
                <w:color w:val="auto"/>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投标截止时间</w:t>
            </w:r>
            <w:r>
              <w:rPr>
                <w:rFonts w:hint="eastAsia" w:ascii="宋体" w:hAnsi="宋体" w:cs="宋体"/>
                <w:color w:val="auto"/>
                <w:kern w:val="0"/>
                <w:szCs w:val="21"/>
                <w:highlight w:val="none"/>
                <w:lang w:val="en-US" w:eastAsia="zh-CN"/>
              </w:rPr>
              <w:t>及开标时间</w:t>
            </w:r>
            <w:r>
              <w:rPr>
                <w:rFonts w:hint="eastAsia" w:ascii="宋体" w:hAnsi="宋体" w:cs="宋体"/>
                <w:color w:val="auto"/>
                <w:kern w:val="0"/>
                <w:szCs w:val="21"/>
                <w:highlight w:val="none"/>
              </w:rPr>
              <w:t>：</w:t>
            </w:r>
            <w:r>
              <w:rPr>
                <w:rFonts w:hint="eastAsia" w:ascii="宋体" w:hAnsi="宋体" w:cs="宋体"/>
                <w:color w:val="auto"/>
                <w:szCs w:val="21"/>
                <w:highlight w:val="none"/>
                <w:lang w:val="en-US" w:eastAsia="zh-CN"/>
              </w:rPr>
              <w:t>另行通知</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投标文件递交地点</w:t>
            </w:r>
            <w:r>
              <w:rPr>
                <w:rFonts w:hint="eastAsia" w:ascii="宋体" w:hAnsi="宋体" w:cs="宋体"/>
                <w:color w:val="auto"/>
                <w:kern w:val="0"/>
                <w:szCs w:val="21"/>
                <w:highlight w:val="none"/>
                <w:lang w:val="en-US" w:eastAsia="zh-CN"/>
              </w:rPr>
              <w:t>及开标地点</w:t>
            </w:r>
            <w:r>
              <w:rPr>
                <w:rFonts w:hint="eastAsia" w:ascii="宋体" w:hAnsi="宋体" w:cs="宋体"/>
                <w:color w:val="auto"/>
                <w:kern w:val="0"/>
                <w:szCs w:val="21"/>
                <w:highlight w:val="none"/>
              </w:rPr>
              <w:t>：</w:t>
            </w:r>
            <w:r>
              <w:rPr>
                <w:rFonts w:hint="eastAsia" w:ascii="宋体" w:hAnsi="宋体" w:cs="宋体"/>
                <w:color w:val="auto"/>
                <w:szCs w:val="21"/>
                <w:highlight w:val="none"/>
                <w:lang w:val="en-US" w:eastAsia="zh-CN"/>
              </w:rPr>
              <w:t>另行通知</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评审委员会成</w:t>
            </w:r>
            <w:r>
              <w:rPr>
                <w:rFonts w:hint="eastAsia" w:ascii="宋体" w:hAnsi="宋体" w:cs="宋体"/>
                <w:color w:val="auto"/>
                <w:kern w:val="0"/>
                <w:szCs w:val="21"/>
                <w:highlight w:val="none"/>
              </w:rPr>
              <w:t>员：</w:t>
            </w:r>
            <w:r>
              <w:rPr>
                <w:rFonts w:hint="eastAsia" w:ascii="宋体" w:hAnsi="宋体" w:cs="宋体"/>
                <w:color w:val="auto"/>
                <w:szCs w:val="21"/>
                <w:highlight w:val="none"/>
                <w:lang w:val="en-US" w:eastAsia="zh-CN"/>
              </w:rPr>
              <w:t>3</w:t>
            </w:r>
            <w:r>
              <w:rPr>
                <w:rFonts w:hint="eastAsia" w:ascii="宋体" w:hAnsi="宋体" w:cs="宋体"/>
                <w:color w:val="auto"/>
                <w:highlight w:val="none"/>
              </w:rPr>
              <w:t>人</w:t>
            </w:r>
            <w:r>
              <w:rPr>
                <w:rFonts w:hint="eastAsia" w:ascii="宋体" w:hAnsi="宋体" w:cs="宋体"/>
                <w:color w:val="auto"/>
                <w:highlight w:val="none"/>
                <w:lang w:val="en-US" w:eastAsia="zh-CN"/>
              </w:rPr>
              <w:t>及以上单数</w:t>
            </w:r>
            <w:r>
              <w:rPr>
                <w:rFonts w:hint="eastAsia" w:ascii="宋体" w:hAnsi="宋体" w:cs="宋体"/>
                <w:color w:val="auto"/>
                <w:kern w:val="0"/>
                <w:szCs w:val="21"/>
                <w:highlight w:val="none"/>
              </w:rPr>
              <w:t>。</w:t>
            </w:r>
          </w:p>
          <w:p>
            <w:pPr>
              <w:widowControl/>
              <w:spacing w:line="440" w:lineRule="exact"/>
              <w:jc w:val="left"/>
              <w:rPr>
                <w:rFonts w:ascii="宋体" w:hAnsi="宋体" w:cs="宋体"/>
                <w:color w:val="auto"/>
                <w:kern w:val="0"/>
                <w:szCs w:val="21"/>
                <w:highlight w:val="none"/>
              </w:rPr>
            </w:pPr>
            <w:r>
              <w:rPr>
                <w:rFonts w:hint="eastAsia" w:ascii="宋体" w:hAnsi="宋体" w:cs="宋体"/>
                <w:color w:val="auto"/>
                <w:szCs w:val="21"/>
                <w:highlight w:val="none"/>
              </w:rPr>
              <w:t>专家确定方式：</w:t>
            </w:r>
            <w:r>
              <w:rPr>
                <w:rFonts w:hint="eastAsia" w:ascii="宋体" w:hAnsi="宋体" w:cs="宋体"/>
                <w:color w:val="auto"/>
                <w:kern w:val="0"/>
                <w:szCs w:val="21"/>
                <w:highlight w:val="none"/>
              </w:rPr>
              <w:t>由采购人</w:t>
            </w:r>
            <w:r>
              <w:rPr>
                <w:rFonts w:hint="eastAsia" w:ascii="宋体" w:hAnsi="宋体" w:cs="宋体"/>
                <w:color w:val="auto"/>
                <w:kern w:val="0"/>
                <w:szCs w:val="21"/>
                <w:highlight w:val="none"/>
                <w:lang w:val="en-US" w:eastAsia="zh-CN"/>
              </w:rPr>
              <w:t>抽取相关的技术人员组成</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ascii="宋体" w:hAnsi="宋体" w:cs="宋体"/>
                <w:color w:val="auto"/>
                <w:kern w:val="0"/>
                <w:szCs w:val="21"/>
                <w:highlight w:val="none"/>
              </w:rPr>
            </w:pPr>
            <w:r>
              <w:rPr>
                <w:rFonts w:hint="eastAsia" w:ascii="宋体" w:hAnsi="宋体" w:cs="宋体"/>
                <w:color w:val="auto"/>
                <w:szCs w:val="21"/>
                <w:highlight w:val="none"/>
              </w:rPr>
              <w:t>评标办法：</w:t>
            </w:r>
            <w:r>
              <w:rPr>
                <w:rFonts w:hint="eastAsia" w:ascii="宋体" w:hAnsi="宋体" w:cs="宋体"/>
                <w:color w:val="auto"/>
                <w:kern w:val="0"/>
                <w:szCs w:val="21"/>
                <w:highlight w:val="none"/>
              </w:rPr>
              <w:t>本项目采用</w:t>
            </w:r>
            <w:r>
              <w:rPr>
                <w:rFonts w:hint="eastAsia" w:ascii="宋体" w:hAnsi="宋体" w:cs="宋体"/>
                <w:color w:val="auto"/>
                <w:szCs w:val="21"/>
                <w:highlight w:val="none"/>
              </w:rPr>
              <w:t>综合评分法</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中标公告及中标通知书：由采购人授权评标委员会确定一名中标人并推荐两名中标候选人。评审结束后</w:t>
            </w:r>
            <w:r>
              <w:rPr>
                <w:rFonts w:hint="eastAsia" w:ascii="宋体" w:hAnsi="宋体" w:cs="宋体"/>
                <w:color w:val="auto"/>
                <w:kern w:val="0"/>
                <w:szCs w:val="21"/>
                <w:highlight w:val="none"/>
                <w:lang w:val="en-US" w:eastAsia="zh-CN"/>
              </w:rPr>
              <w:t>在</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驻马店市中心医院网</w:t>
            </w:r>
            <w:r>
              <w:rPr>
                <w:rFonts w:hint="eastAsia" w:ascii="宋体" w:hAnsi="宋体" w:cs="宋体"/>
                <w:color w:val="auto"/>
                <w:kern w:val="0"/>
                <w:szCs w:val="21"/>
                <w:highlight w:val="none"/>
                <w:lang w:eastAsia="zh-CN"/>
              </w:rPr>
              <w:t>》</w:t>
            </w:r>
            <w:r>
              <w:rPr>
                <w:rFonts w:hint="eastAsia" w:ascii="宋体" w:hAnsi="宋体" w:cs="Arial"/>
                <w:color w:val="auto"/>
                <w:kern w:val="0"/>
                <w:szCs w:val="21"/>
                <w:highlight w:val="none"/>
              </w:rPr>
              <w:t>上</w:t>
            </w:r>
            <w:r>
              <w:rPr>
                <w:rFonts w:hint="eastAsia" w:ascii="宋体" w:hAnsi="宋体" w:cs="宋体"/>
                <w:color w:val="auto"/>
                <w:kern w:val="0"/>
                <w:szCs w:val="21"/>
                <w:highlight w:val="none"/>
              </w:rPr>
              <w:t>发布中标公告，</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签订合同：自中标通知书发出之日起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w:t>
            </w:r>
            <w:r>
              <w:rPr>
                <w:rFonts w:hint="eastAsia" w:ascii="宋体" w:hAnsi="宋体" w:cs="宋体"/>
                <w:color w:val="auto"/>
                <w:kern w:val="0"/>
                <w:szCs w:val="21"/>
                <w:highlight w:val="none"/>
              </w:rPr>
              <w:t>日内。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付款方式：详见第二章</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投标文件有效期：投标</w:t>
            </w:r>
            <w:r>
              <w:rPr>
                <w:rFonts w:hint="eastAsia" w:ascii="宋体" w:hAnsi="宋体" w:cs="宋体"/>
                <w:color w:val="auto"/>
                <w:kern w:val="0"/>
                <w:szCs w:val="21"/>
                <w:highlight w:val="none"/>
                <w:lang w:val="en-US" w:eastAsia="zh-CN"/>
              </w:rPr>
              <w:t>文件递交</w:t>
            </w:r>
            <w:r>
              <w:rPr>
                <w:rFonts w:hint="eastAsia" w:ascii="宋体" w:hAnsi="宋体" w:cs="宋体"/>
                <w:color w:val="auto"/>
                <w:kern w:val="0"/>
                <w:szCs w:val="21"/>
                <w:highlight w:val="none"/>
              </w:rPr>
              <w:t>截止期结束后</w:t>
            </w:r>
            <w:r>
              <w:rPr>
                <w:rFonts w:hint="eastAsia" w:ascii="宋体" w:hAnsi="宋体" w:cs="宋体"/>
                <w:color w:val="auto"/>
                <w:kern w:val="0"/>
                <w:szCs w:val="21"/>
                <w:highlight w:val="none"/>
                <w:lang w:val="en-US" w:eastAsia="zh-CN"/>
              </w:rPr>
              <w:t>90</w:t>
            </w:r>
            <w:r>
              <w:rPr>
                <w:rFonts w:hint="eastAsia" w:ascii="宋体" w:hAnsi="宋体" w:cs="宋体"/>
                <w:color w:val="auto"/>
                <w:kern w:val="0"/>
                <w:szCs w:val="21"/>
                <w:highlight w:val="none"/>
              </w:rPr>
              <w:t>日。中标人的投标文件是合同的组成部分,有效期至合同完全履行止。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cs="宋体"/>
                <w:color w:val="auto"/>
                <w:szCs w:val="21"/>
                <w:highlight w:val="none"/>
              </w:rPr>
              <w:t>。</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color w:val="auto"/>
                <w:kern w:val="0"/>
                <w:szCs w:val="21"/>
                <w:highlight w:val="none"/>
              </w:rPr>
            </w:pPr>
            <w:r>
              <w:rPr>
                <w:rFonts w:hint="eastAsia" w:ascii="宋体" w:hAnsi="宋体" w:cs="宋体"/>
                <w:bCs/>
                <w:color w:val="auto"/>
                <w:kern w:val="0"/>
                <w:szCs w:val="21"/>
                <w:highlight w:val="none"/>
              </w:rPr>
              <w:t>质疑和投诉：供应商认为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bCs/>
                <w:color w:val="auto"/>
                <w:kern w:val="0"/>
                <w:szCs w:val="21"/>
                <w:highlight w:val="none"/>
                <w:lang w:eastAsia="zh-CN"/>
              </w:rPr>
              <w:t>。</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color w:val="auto"/>
                <w:highlight w:val="none"/>
              </w:rPr>
            </w:pPr>
            <w:r>
              <w:rPr>
                <w:rFonts w:hint="eastAsia"/>
                <w:color w:val="auto"/>
                <w:highlight w:val="none"/>
              </w:rPr>
              <w:t>解释：1、构成本</w:t>
            </w:r>
            <w:r>
              <w:rPr>
                <w:rFonts w:hint="eastAsia"/>
                <w:color w:val="auto"/>
                <w:highlight w:val="none"/>
                <w:lang w:val="en-US" w:eastAsia="zh-CN"/>
              </w:rPr>
              <w:t>采购</w:t>
            </w:r>
            <w:r>
              <w:rPr>
                <w:rFonts w:hint="eastAsia"/>
                <w:color w:val="auto"/>
                <w:highlight w:val="none"/>
              </w:rPr>
              <w:t>文件的各个组成文件应互为解释，互为说明；如有不明确或不一致，构成合同文件组成内容的，以合同文件约定内容为准；除</w:t>
            </w:r>
            <w:r>
              <w:rPr>
                <w:rFonts w:hint="eastAsia"/>
                <w:color w:val="auto"/>
                <w:highlight w:val="none"/>
                <w:lang w:val="en-US" w:eastAsia="zh-CN"/>
              </w:rPr>
              <w:t>采购</w:t>
            </w:r>
            <w:r>
              <w:rPr>
                <w:rFonts w:hint="eastAsia"/>
                <w:color w:val="auto"/>
                <w:highlight w:val="none"/>
              </w:rPr>
              <w:t>文件中有特殊规定外，仅适用于招标投标阶段的规定，按</w:t>
            </w:r>
            <w:r>
              <w:rPr>
                <w:rFonts w:hint="eastAsia"/>
                <w:color w:val="auto"/>
                <w:highlight w:val="none"/>
                <w:lang w:val="en-US" w:eastAsia="zh-CN"/>
              </w:rPr>
              <w:t>采购</w:t>
            </w:r>
            <w:r>
              <w:rPr>
                <w:rFonts w:hint="eastAsia"/>
                <w:color w:val="auto"/>
                <w:highlight w:val="none"/>
              </w:rPr>
              <w:t>公告、供应商须知、评标办法、投标文件格式的先后顺序解释；同一组成文件中就同一事项的规定或约定不一致的，以编排顺序在后者为准；当</w:t>
            </w:r>
            <w:r>
              <w:rPr>
                <w:rFonts w:hint="eastAsia"/>
                <w:color w:val="auto"/>
                <w:highlight w:val="none"/>
                <w:lang w:val="en-US" w:eastAsia="zh-CN"/>
              </w:rPr>
              <w:t>采购</w:t>
            </w:r>
            <w:r>
              <w:rPr>
                <w:rFonts w:hint="eastAsia"/>
                <w:color w:val="auto"/>
                <w:highlight w:val="none"/>
              </w:rPr>
              <w:t>文件与</w:t>
            </w:r>
            <w:r>
              <w:rPr>
                <w:rFonts w:hint="eastAsia"/>
                <w:color w:val="auto"/>
                <w:highlight w:val="none"/>
                <w:lang w:val="en-US" w:eastAsia="zh-CN"/>
              </w:rPr>
              <w:t>采购</w:t>
            </w:r>
            <w:r>
              <w:rPr>
                <w:rFonts w:hint="eastAsia"/>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color w:val="auto"/>
                <w:kern w:val="0"/>
                <w:szCs w:val="21"/>
                <w:highlight w:val="none"/>
              </w:rPr>
            </w:pPr>
            <w:r>
              <w:rPr>
                <w:rFonts w:hint="eastAsia"/>
                <w:color w:val="auto"/>
                <w:highlight w:val="none"/>
              </w:rPr>
              <w:t>2、本</w:t>
            </w:r>
            <w:r>
              <w:rPr>
                <w:rFonts w:hint="eastAsia"/>
                <w:color w:val="auto"/>
                <w:highlight w:val="none"/>
                <w:lang w:val="en-US" w:eastAsia="zh-CN"/>
              </w:rPr>
              <w:t>采购</w:t>
            </w:r>
            <w:r>
              <w:rPr>
                <w:rFonts w:hint="eastAsia"/>
                <w:color w:val="auto"/>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ind w:firstLine="2760"/>
        <w:jc w:val="left"/>
        <w:rPr>
          <w:rFonts w:ascii="宋体" w:hAnsi="宋体" w:cs="宋体"/>
          <w:color w:val="auto"/>
          <w:kern w:val="0"/>
          <w:sz w:val="24"/>
          <w:highlight w:val="none"/>
        </w:rPr>
      </w:pPr>
      <w:r>
        <w:rPr>
          <w:rFonts w:hint="eastAsia" w:ascii="黑体" w:hAnsi="宋体" w:eastAsia="黑体" w:cs="宋体"/>
          <w:b/>
          <w:bCs/>
          <w:color w:val="auto"/>
          <w:kern w:val="0"/>
          <w:sz w:val="28"/>
          <w:szCs w:val="28"/>
          <w:highlight w:val="none"/>
        </w:rPr>
        <w:t>一 、说 明</w:t>
      </w:r>
    </w:p>
    <w:p>
      <w:pPr>
        <w:keepNext w:val="0"/>
        <w:keepLines w:val="0"/>
        <w:pageBreakBefore w:val="0"/>
        <w:kinsoku/>
        <w:wordWrap/>
        <w:overflowPunct/>
        <w:topLinePunct w:val="0"/>
        <w:bidi w:val="0"/>
        <w:snapToGrid w:val="0"/>
        <w:spacing w:line="360" w:lineRule="auto"/>
        <w:rPr>
          <w:color w:val="auto"/>
          <w:highlight w:val="none"/>
        </w:rPr>
      </w:pP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文件仅适用于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公告中所叙述项目的货物采购。</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 “采购人”系指本次采购项目的业主方。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2.2 “投标人”系指</w:t>
      </w:r>
      <w:r>
        <w:rPr>
          <w:rFonts w:hint="eastAsia" w:ascii="宋体" w:hAnsi="宋体" w:cs="宋体"/>
          <w:color w:val="auto"/>
          <w:kern w:val="0"/>
          <w:szCs w:val="21"/>
          <w:highlight w:val="none"/>
          <w:lang w:val="en-US" w:eastAsia="zh-CN"/>
        </w:rPr>
        <w:t>领取</w:t>
      </w:r>
      <w:r>
        <w:rPr>
          <w:rFonts w:hint="eastAsia" w:ascii="宋体" w:hAnsi="宋体" w:cs="宋体"/>
          <w:color w:val="auto"/>
          <w:kern w:val="0"/>
          <w:szCs w:val="21"/>
          <w:highlight w:val="none"/>
        </w:rPr>
        <w:t>了本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文件，且已经提交本次投标文件的投标人。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 “投标人代表”系指代表投标人参加本次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活动的投标人的法定代表人或其委托代理人。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2.4 “货物”系指投标人按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文件规定向采购人提供的一切设备、机械、仪器仪表、备品备件、工具、手册及其它有关技术资料和材料。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2.5 “相关服务”系指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文件规定投标人须承担的与本次采购货物相关的安装、调试、技术协助、校准、培训以及其他类似的义务。</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3.本次采购预算（最高限价）为</w:t>
      </w:r>
      <w:r>
        <w:rPr>
          <w:rFonts w:hint="eastAsia" w:ascii="宋体" w:hAnsi="宋体" w:cs="宋体"/>
          <w:b/>
          <w:bCs/>
          <w:color w:val="auto"/>
          <w:kern w:val="0"/>
          <w:szCs w:val="21"/>
          <w:highlight w:val="none"/>
          <w:lang w:val="en-US" w:eastAsia="zh-CN"/>
        </w:rPr>
        <w:t>10万</w:t>
      </w:r>
      <w:r>
        <w:rPr>
          <w:rFonts w:hint="eastAsia" w:ascii="宋体" w:hAnsi="宋体" w:cs="宋体"/>
          <w:b/>
          <w:bCs/>
          <w:color w:val="auto"/>
          <w:kern w:val="0"/>
          <w:szCs w:val="21"/>
          <w:highlight w:val="none"/>
        </w:rPr>
        <w:t>元</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szCs w:val="21"/>
          <w:highlight w:val="none"/>
        </w:rPr>
      </w:pPr>
      <w:r>
        <w:rPr>
          <w:rFonts w:hint="eastAsia" w:ascii="宋体" w:hAnsi="宋体" w:cs="宋体"/>
          <w:b/>
          <w:bCs/>
          <w:color w:val="auto"/>
          <w:kern w:val="0"/>
          <w:szCs w:val="21"/>
          <w:highlight w:val="none"/>
        </w:rPr>
        <w:t>4.投标人应提交的证明文件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4.1 </w:t>
      </w:r>
      <w:r>
        <w:rPr>
          <w:rFonts w:hint="eastAsia" w:ascii="宋体" w:hAnsi="宋体" w:cs="宋体"/>
          <w:color w:val="auto"/>
          <w:szCs w:val="21"/>
          <w:highlight w:val="none"/>
          <w:lang w:eastAsia="zh-CN"/>
        </w:rPr>
        <w:t>供应商应为注册在中华人民共和国境内的，且具有独立承担民事责任能力，</w:t>
      </w:r>
      <w:r>
        <w:rPr>
          <w:rFonts w:hint="eastAsia" w:ascii="宋体" w:hAnsi="宋体" w:cs="宋体"/>
          <w:color w:val="auto"/>
          <w:szCs w:val="21"/>
          <w:highlight w:val="none"/>
        </w:rPr>
        <w:t>提供法人或者其他组织的营业执照等证明文件</w:t>
      </w:r>
      <w:r>
        <w:rPr>
          <w:rFonts w:hint="eastAsia" w:ascii="宋体" w:hAnsi="宋体" w:cs="宋体"/>
          <w:color w:val="auto"/>
          <w:szCs w:val="21"/>
          <w:highlight w:val="none"/>
          <w:lang w:eastAsia="zh-CN"/>
        </w:rPr>
        <w:t>。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4.2 </w:t>
      </w:r>
      <w:r>
        <w:rPr>
          <w:rFonts w:hint="eastAsia" w:ascii="宋体" w:hAnsi="宋体" w:eastAsia="宋体" w:cs="宋体"/>
          <w:color w:val="auto"/>
          <w:kern w:val="2"/>
          <w:sz w:val="21"/>
          <w:szCs w:val="24"/>
          <w:lang w:val="en-US" w:eastAsia="zh-CN" w:bidi="ar-SA"/>
        </w:rPr>
        <w:t>供应商应提供202</w:t>
      </w:r>
      <w:r>
        <w:rPr>
          <w:rFonts w:hint="eastAsia" w:ascii="宋体" w:hAnsi="宋体" w:cs="宋体"/>
          <w:color w:val="auto"/>
          <w:kern w:val="2"/>
          <w:sz w:val="21"/>
          <w:szCs w:val="24"/>
          <w:lang w:val="en-US" w:eastAsia="zh-CN" w:bidi="ar-SA"/>
        </w:rPr>
        <w:t>1</w:t>
      </w:r>
      <w:r>
        <w:rPr>
          <w:rFonts w:hint="eastAsia" w:ascii="宋体" w:hAnsi="宋体" w:eastAsia="宋体" w:cs="宋体"/>
          <w:color w:val="auto"/>
          <w:kern w:val="2"/>
          <w:sz w:val="21"/>
          <w:szCs w:val="24"/>
          <w:lang w:val="en-US" w:eastAsia="zh-CN" w:bidi="ar-SA"/>
        </w:rPr>
        <w:t>年度经审计的财务报告或者其基本开户银行出具的资信证明；2022年6月份以来任意一个月依法缴纳税收的凭据和缴纳社会保险的凭据；依法免税或不需要缴纳社会保障资金的供应商，应提供相应文件证明其依法免税或不需要缴纳社会保障资金。（新成立企业从成立之日起计算）</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4.3 </w:t>
      </w:r>
      <w:r>
        <w:rPr>
          <w:rFonts w:hint="eastAsia" w:ascii="宋体" w:hAnsi="宋体" w:eastAsia="宋体" w:cs="宋体"/>
          <w:color w:val="auto"/>
          <w:kern w:val="2"/>
          <w:sz w:val="21"/>
          <w:szCs w:val="24"/>
          <w:lang w:val="en-US" w:eastAsia="zh-CN" w:bidi="ar-SA"/>
        </w:rPr>
        <w:t>参加本采购活动前三年内，在经营活动中没有重大违法记录</w:t>
      </w:r>
      <w:r>
        <w:rPr>
          <w:rFonts w:hint="eastAsia" w:ascii="宋体" w:hAnsi="宋体" w:cs="宋体"/>
          <w:color w:val="auto"/>
          <w:szCs w:val="21"/>
          <w:highlight w:val="none"/>
        </w:rPr>
        <w:t>的书面声明函；</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4.4 具备履行合同所必需的设备和专业技术能力的书面声明函；</w:t>
      </w:r>
    </w:p>
    <w:p>
      <w:pPr>
        <w:keepNext w:val="0"/>
        <w:keepLines w:val="0"/>
        <w:pageBreakBefore w:val="0"/>
        <w:widowControl/>
        <w:kinsoku/>
        <w:wordWrap/>
        <w:overflowPunct/>
        <w:topLinePunct w:val="0"/>
        <w:bidi w:val="0"/>
        <w:snapToGrid w:val="0"/>
        <w:spacing w:line="360" w:lineRule="auto"/>
        <w:ind w:firstLine="420" w:firstLineChars="200"/>
        <w:jc w:val="left"/>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4.5 具有《放射性药品生产许可证》或《放射性药品经营许可证》、《辐射安全许可证》、《注册批件》；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
          <w:bCs/>
          <w:color w:val="auto"/>
          <w:kern w:val="0"/>
          <w:szCs w:val="21"/>
          <w:highlight w:val="none"/>
        </w:rPr>
      </w:pPr>
      <w:r>
        <w:rPr>
          <w:rFonts w:hint="eastAsia" w:ascii="宋体" w:hAnsi="宋体" w:cs="宋体"/>
          <w:color w:val="auto"/>
          <w:szCs w:val="21"/>
          <w:highlight w:val="none"/>
        </w:rPr>
        <w:t>4.</w:t>
      </w:r>
      <w:r>
        <w:rPr>
          <w:rFonts w:hint="eastAsia" w:ascii="宋体" w:hAnsi="宋体" w:cs="宋体"/>
          <w:color w:val="auto"/>
          <w:szCs w:val="21"/>
          <w:highlight w:val="none"/>
          <w:lang w:val="en-US" w:eastAsia="zh-CN"/>
        </w:rPr>
        <w:t xml:space="preserve">6 </w:t>
      </w:r>
      <w:r>
        <w:rPr>
          <w:rFonts w:hint="eastAsia"/>
          <w:color w:val="auto"/>
          <w:lang w:val="en-US" w:eastAsia="zh-CN"/>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7.1 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9.2 投标人代表只能接受一个投标人的委托参加投标。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ascii="宋体" w:hAnsi="宋体" w:cs="宋体"/>
          <w:color w:val="auto"/>
          <w:kern w:val="0"/>
          <w:szCs w:val="21"/>
          <w:highlight w:val="none"/>
        </w:rPr>
      </w:pPr>
      <w:r>
        <w:rPr>
          <w:rFonts w:hint="eastAsia" w:ascii="宋体" w:hAnsi="宋体" w:cs="宋体"/>
          <w:color w:val="auto"/>
          <w:kern w:val="0"/>
          <w:szCs w:val="21"/>
          <w:highlight w:val="none"/>
        </w:rPr>
        <w:t>10.1 </w:t>
      </w:r>
      <w:r>
        <w:rPr>
          <w:rFonts w:hint="eastAsia" w:ascii="宋体" w:hAnsi="宋体" w:cs="宋体"/>
          <w:bCs/>
          <w:color w:val="auto"/>
          <w:kern w:val="0"/>
          <w:szCs w:val="21"/>
          <w:highlight w:val="none"/>
        </w:rPr>
        <w:t>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color w:val="auto"/>
          <w:kern w:val="0"/>
          <w:szCs w:val="21"/>
          <w:highlight w:val="none"/>
          <w:lang w:val="en-US" w:eastAsia="zh-CN"/>
        </w:rPr>
        <w:t>医院纪检</w:t>
      </w:r>
      <w:r>
        <w:rPr>
          <w:rFonts w:hint="eastAsia" w:ascii="宋体" w:hAnsi="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10.2 </w:t>
      </w:r>
      <w:r>
        <w:rPr>
          <w:rFonts w:hint="eastAsia" w:ascii="宋体" w:hAnsi="宋体" w:cs="宋体"/>
          <w:bCs/>
          <w:color w:val="auto"/>
          <w:kern w:val="0"/>
          <w:szCs w:val="21"/>
          <w:highlight w:val="none"/>
        </w:rPr>
        <w:t>质疑、投诉应当采用书面形式，质疑书、投诉书均应明确阐述</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11.投标人的风险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投标人没有按照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文件要求提供全部资料，或者投标人没有对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12.</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文件的构成。本</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 投标人须知</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bCs/>
          <w:color w:val="auto"/>
          <w:kern w:val="0"/>
          <w:szCs w:val="21"/>
          <w:highlight w:val="none"/>
        </w:rPr>
      </w:pP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对已发出的</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文件进行必要澄清、修改或补充的，应当在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文件要求提交投标文件截止时间</w:t>
      </w:r>
      <w:r>
        <w:rPr>
          <w:rFonts w:hint="eastAsia" w:ascii="宋体" w:hAnsi="宋体" w:cs="宋体"/>
          <w:color w:val="auto"/>
          <w:kern w:val="0"/>
          <w:szCs w:val="21"/>
          <w:highlight w:val="none"/>
          <w:lang w:val="en-US" w:eastAsia="zh-CN"/>
        </w:rPr>
        <w:t>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前，在</w:t>
      </w:r>
      <w:r>
        <w:rPr>
          <w:rFonts w:hint="eastAsia" w:ascii="宋体" w:hAnsi="宋体" w:cs="宋体"/>
          <w:color w:val="auto"/>
          <w:kern w:val="0"/>
          <w:szCs w:val="21"/>
          <w:highlight w:val="none"/>
          <w:lang w:val="en-US" w:eastAsia="zh-CN"/>
        </w:rPr>
        <w:t>原采购公告发布</w:t>
      </w:r>
      <w:r>
        <w:rPr>
          <w:rFonts w:hint="eastAsia" w:ascii="宋体" w:hAnsi="宋体" w:cs="宋体"/>
          <w:color w:val="auto"/>
          <w:kern w:val="0"/>
          <w:szCs w:val="21"/>
          <w:highlight w:val="none"/>
        </w:rPr>
        <w:t>相关媒体上发布更正公告或变更公告。</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文件公示期间对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文件澄清、修改或补充的内容为</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13.3 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文件的澄清、修改或补充都应以法定形式发布。采购人未对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13.4 </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可以视招标具体情况延长投标截止时间和开标时间，但至少应当在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文件要求提交投标文件的截止时间3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前，将变更时间</w:t>
      </w:r>
      <w:r>
        <w:rPr>
          <w:rFonts w:hint="eastAsia" w:ascii="宋体" w:hAnsi="宋体" w:cs="宋体"/>
          <w:color w:val="auto"/>
          <w:kern w:val="0"/>
          <w:szCs w:val="21"/>
          <w:highlight w:val="none"/>
          <w:lang w:val="en-US" w:eastAsia="zh-CN"/>
        </w:rPr>
        <w:t>通知所有潜在投标人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2229" w:firstLineChars="694"/>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14.1 投标人应仔细阅读</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文件的所有内容，按照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文件提供的格式编写投标文件，不得缺少或留空任何</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文件要求填写的表格或提交的资料。</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文件提供格式的按格式填列，未提供格式的可自行拟定。投标文件应对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14.2 投标人应完整签署投标文件格式附件中《投标书》和《抵制商业贿赂承诺》，不得增减或修改内容。否则视为对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15.2 关于投标计量单位，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文件已有明确规定的，使用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文件规定的计量单位；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文件没有规定的，应采用中华人民共和国法定计量单位。否则视为对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16.投标文件的组成</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16.1、投标书及开标一览表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16.2、</w:t>
      </w:r>
      <w:r>
        <w:rPr>
          <w:rFonts w:hint="eastAsia" w:ascii="宋体" w:hAnsi="宋体" w:cs="宋体"/>
          <w:color w:val="auto"/>
          <w:kern w:val="0"/>
          <w:szCs w:val="21"/>
          <w:highlight w:val="none"/>
        </w:rPr>
        <w:t>投标报价明细表（格式）</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、技术响应表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、商务响应表</w:t>
      </w:r>
    </w:p>
    <w:p>
      <w:pPr>
        <w:keepNext w:val="0"/>
        <w:keepLines w:val="0"/>
        <w:pageBreakBefore w:val="0"/>
        <w:widowControl/>
        <w:kinsoku/>
        <w:wordWrap/>
        <w:overflowPunct/>
        <w:topLinePunct w:val="0"/>
        <w:bidi w:val="0"/>
        <w:snapToGrid w:val="0"/>
        <w:spacing w:line="360" w:lineRule="auto"/>
        <w:ind w:left="208" w:leftChars="99"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、法定代表人身份证明</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、法定代表人授权书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、证明文件</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、抵制商业贿赂承诺</w:t>
      </w:r>
    </w:p>
    <w:p>
      <w:pPr>
        <w:pStyle w:val="5"/>
        <w:keepNext w:val="0"/>
        <w:keepLines w:val="0"/>
        <w:pageBreakBefore w:val="0"/>
        <w:kinsoku/>
        <w:wordWrap/>
        <w:overflowPunct/>
        <w:topLinePunct w:val="0"/>
        <w:bidi w:val="0"/>
        <w:snapToGrid w:val="0"/>
        <w:spacing w:beforeAutospacing="0" w:afterAutospacing="0" w:line="360" w:lineRule="auto"/>
        <w:rPr>
          <w:color w:val="auto"/>
          <w:sz w:val="21"/>
          <w:szCs w:val="21"/>
          <w:highlight w:val="none"/>
        </w:rPr>
      </w:pPr>
      <w:r>
        <w:rPr>
          <w:rFonts w:hint="eastAsia"/>
          <w:color w:val="auto"/>
          <w:sz w:val="21"/>
          <w:szCs w:val="21"/>
          <w:highlight w:val="none"/>
        </w:rPr>
        <w:t>16.</w:t>
      </w:r>
      <w:r>
        <w:rPr>
          <w:rFonts w:hint="eastAsia"/>
          <w:color w:val="auto"/>
          <w:sz w:val="21"/>
          <w:szCs w:val="21"/>
          <w:highlight w:val="none"/>
          <w:lang w:val="en-US" w:eastAsia="zh-CN"/>
        </w:rPr>
        <w:t>9</w:t>
      </w:r>
      <w:r>
        <w:rPr>
          <w:rFonts w:hint="eastAsia"/>
          <w:color w:val="auto"/>
          <w:sz w:val="21"/>
          <w:szCs w:val="21"/>
          <w:highlight w:val="none"/>
        </w:rPr>
        <w:t>、投标人认为有必要的其他资料</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投标文件从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公告所规定的投标截止期之后开始生效，在</w:t>
      </w:r>
      <w:r>
        <w:rPr>
          <w:rFonts w:hint="eastAsia" w:ascii="宋体" w:hAnsi="宋体" w:cs="宋体"/>
          <w:bCs/>
          <w:color w:val="auto"/>
          <w:kern w:val="0"/>
          <w:szCs w:val="21"/>
          <w:highlight w:val="none"/>
        </w:rPr>
        <w:t>投标人须知前附表</w:t>
      </w:r>
      <w:r>
        <w:rPr>
          <w:rFonts w:hint="eastAsia" w:ascii="宋体" w:hAnsi="宋体" w:cs="宋体"/>
          <w:color w:val="auto"/>
          <w:kern w:val="0"/>
          <w:szCs w:val="21"/>
          <w:highlight w:val="none"/>
        </w:rPr>
        <w:t>第16项所规定的期限内保持有效。有效期不足将导致其投标文件被拒绝。中标人的投标文件有效期至合同完全履行止。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17.2特殊情况下</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可于投标有效期满之前书面要求投标人同意延长有效期，投标人应在</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18.1 所有投标报价均以人民币元为计算单位。投标人的投标报价为交货地点交货价格，包括货物、随配附件、备品备件、工具、厂家赠品、运抵指定交货地点费用、保险费、安装调试费、服务费、售后服务、税金及其他所有费用的总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18.2 投标人要按开标一览表的内容填写。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18.3 </w:t>
      </w:r>
      <w:r>
        <w:rPr>
          <w:rFonts w:hint="eastAsia" w:ascii="宋体" w:hAnsi="宋体" w:cs="宋体"/>
          <w:color w:val="auto"/>
          <w:spacing w:val="10"/>
          <w:kern w:val="0"/>
          <w:szCs w:val="21"/>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18.4 开标一览表中标明的价格在政府采购合同执行过程中是固定不变的，投标人不得以任何理由予以变更。以可调整的价格提交的投标将被作为无效投标处理。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18.5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18.6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cs="宋体"/>
          <w:b/>
          <w:color w:val="auto"/>
          <w:kern w:val="0"/>
          <w:szCs w:val="21"/>
          <w:highlight w:val="none"/>
        </w:rPr>
        <w:t>19.投标保证金</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详见采购公告</w:t>
      </w:r>
      <w:r>
        <w:rPr>
          <w:rFonts w:hint="eastAsia" w:ascii="宋体" w:hAnsi="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rPr>
        <w:t>20.投标文件的签署</w:t>
      </w:r>
      <w:r>
        <w:rPr>
          <w:rFonts w:hint="eastAsia" w:ascii="宋体" w:hAnsi="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.2 投标文件应当对</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文件有关服务期、投标有效期、质量要求、技术标准和要求、</w:t>
      </w:r>
      <w:r>
        <w:rPr>
          <w:rFonts w:hint="eastAsia" w:ascii="宋体" w:hAnsi="宋体" w:cs="宋体"/>
          <w:color w:val="auto"/>
          <w:kern w:val="0"/>
          <w:szCs w:val="21"/>
          <w:highlight w:val="none"/>
          <w:lang w:eastAsia="zh-CN"/>
        </w:rPr>
        <w:t>磋商</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.5投标文件的具体装订要求见投标人须知前附表规定。</w:t>
      </w:r>
    </w:p>
    <w:p>
      <w:pPr>
        <w:keepNext w:val="0"/>
        <w:keepLines w:val="0"/>
        <w:pageBreakBefore w:val="0"/>
        <w:widowControl/>
        <w:kinsoku/>
        <w:wordWrap/>
        <w:overflowPunct/>
        <w:topLinePunct w:val="0"/>
        <w:bidi w:val="0"/>
        <w:snapToGrid w:val="0"/>
        <w:spacing w:line="360" w:lineRule="auto"/>
        <w:ind w:firstLine="2554" w:firstLineChars="795"/>
        <w:jc w:val="left"/>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ascii="宋体" w:hAnsi="宋体" w:cs="宋体"/>
          <w:b/>
          <w:color w:val="auto"/>
          <w:kern w:val="0"/>
          <w:szCs w:val="21"/>
          <w:highlight w:val="none"/>
        </w:rPr>
      </w:pPr>
      <w:r>
        <w:rPr>
          <w:rFonts w:hint="eastAsia" w:ascii="宋体" w:hAnsi="宋体" w:cs="宋体"/>
          <w:b/>
          <w:color w:val="auto"/>
          <w:kern w:val="0"/>
          <w:szCs w:val="21"/>
          <w:highlight w:val="none"/>
        </w:rPr>
        <w:t>21. 投标文件的密封、标记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21.1</w:t>
      </w:r>
      <w:r>
        <w:rPr>
          <w:color w:val="auto"/>
          <w:highlight w:val="none"/>
        </w:rPr>
        <w:t>响应文件应密封包装，并在封套的封口处加盖供应商单位章或由供应商的法定代表人（单位负责人）或其授权的代理人签字。</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21.2 投标文件的封套上应清楚地标记“正本”或“副本”字样，封套上应写明的其他内容见投标人须知前附表</w:t>
      </w:r>
      <w:r>
        <w:rPr>
          <w:rFonts w:hint="eastAsia" w:ascii="宋体" w:hAnsi="宋体" w:cs="宋体"/>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color w:val="auto"/>
          <w:lang w:eastAsia="zh-CN"/>
        </w:rPr>
      </w:pPr>
      <w:r>
        <w:rPr>
          <w:rFonts w:hint="eastAsia"/>
          <w:color w:val="auto"/>
          <w:lang w:eastAsia="zh-CN"/>
        </w:rPr>
        <w:t>2</w:t>
      </w:r>
      <w:r>
        <w:rPr>
          <w:rFonts w:hint="eastAsia"/>
          <w:color w:val="auto"/>
          <w:lang w:val="en-US" w:eastAsia="zh-CN"/>
        </w:rPr>
        <w:t>1</w:t>
      </w:r>
      <w:r>
        <w:rPr>
          <w:rFonts w:hint="eastAsia"/>
          <w:color w:val="auto"/>
          <w:lang w:eastAsia="zh-CN"/>
        </w:rPr>
        <w:t>.3 未按本章第2</w:t>
      </w:r>
      <w:r>
        <w:rPr>
          <w:rFonts w:hint="eastAsia"/>
          <w:color w:val="auto"/>
          <w:lang w:val="en-US" w:eastAsia="zh-CN"/>
        </w:rPr>
        <w:t>1</w:t>
      </w:r>
      <w:r>
        <w:rPr>
          <w:rFonts w:hint="eastAsia"/>
          <w:color w:val="auto"/>
          <w:lang w:eastAsia="zh-CN"/>
        </w:rPr>
        <w:t>.1项或第2</w:t>
      </w:r>
      <w:r>
        <w:rPr>
          <w:rFonts w:hint="eastAsia"/>
          <w:color w:val="auto"/>
          <w:lang w:val="en-US" w:eastAsia="zh-CN"/>
        </w:rPr>
        <w:t>1</w:t>
      </w:r>
      <w:r>
        <w:rPr>
          <w:rFonts w:hint="eastAsia"/>
          <w:color w:val="auto"/>
          <w:lang w:eastAsia="zh-CN"/>
        </w:rPr>
        <w:t>.2项要求密封和加写标记的投标文件，采购人不予受理。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 投标人应在规定的投标截止时间前</w:t>
      </w:r>
      <w:r>
        <w:rPr>
          <w:rFonts w:hint="eastAsia" w:ascii="宋体" w:hAnsi="宋体" w:cs="宋体"/>
          <w:color w:val="auto"/>
          <w:kern w:val="0"/>
          <w:szCs w:val="21"/>
          <w:highlight w:val="none"/>
          <w:lang w:eastAsia="zh-CN"/>
        </w:rPr>
        <w:t>递交</w:t>
      </w:r>
      <w:r>
        <w:rPr>
          <w:rFonts w:hint="eastAsia" w:ascii="宋体" w:hAnsi="宋体" w:cs="宋体"/>
          <w:color w:val="auto"/>
          <w:kern w:val="0"/>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23.1 投标人在投标截止时间前，可以对所提交的投标文件进行补充、修改或者撤回，并书面通知</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color w:val="auto"/>
          <w:kern w:val="0"/>
          <w:szCs w:val="21"/>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 组建评标委员会</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评标委员会由采购人代表和评审专家组成。成员由</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人以上单数组成。</w:t>
      </w:r>
      <w:r>
        <w:rPr>
          <w:rFonts w:hint="eastAsia" w:ascii="宋体" w:hAnsi="宋体" w:cs="宋体"/>
          <w:color w:val="auto"/>
          <w:szCs w:val="21"/>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.2评标委员会成员要依法独立评审，并对评审意见承担个人责任。</w:t>
      </w:r>
      <w:r>
        <w:rPr>
          <w:rFonts w:hint="eastAsia" w:ascii="宋体" w:hAnsi="宋体" w:cs="宋体"/>
          <w:color w:val="auto"/>
          <w:szCs w:val="21"/>
          <w:highlight w:val="none"/>
        </w:rPr>
        <w:t>评标委员会成员对需要共同认定的事项存在争议的，按照少数服从多数的原则</w:t>
      </w:r>
      <w:r>
        <w:rPr>
          <w:rFonts w:hint="eastAsia" w:ascii="宋体" w:hAnsi="宋体" w:cs="宋体"/>
          <w:color w:val="auto"/>
          <w:kern w:val="0"/>
          <w:szCs w:val="21"/>
          <w:highlight w:val="none"/>
        </w:rPr>
        <w:t>做</w:t>
      </w:r>
      <w:r>
        <w:rPr>
          <w:rFonts w:hint="eastAsia" w:ascii="宋体" w:hAnsi="宋体" w:cs="宋体"/>
          <w:color w:val="auto"/>
          <w:szCs w:val="21"/>
          <w:highlight w:val="none"/>
        </w:rPr>
        <w:t>出结论。持不同意见的评标委员会成员应当在评标报告上签署不同意见</w:t>
      </w:r>
      <w:r>
        <w:rPr>
          <w:rFonts w:hint="eastAsia" w:ascii="宋体" w:hAnsi="宋体" w:cs="宋体"/>
          <w:color w:val="auto"/>
          <w:kern w:val="0"/>
          <w:szCs w:val="21"/>
          <w:highlight w:val="none"/>
        </w:rPr>
        <w:t>并说明</w:t>
      </w:r>
      <w:r>
        <w:rPr>
          <w:rFonts w:hint="eastAsia" w:ascii="宋体" w:hAnsi="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 投标文件的初审</w:t>
      </w:r>
    </w:p>
    <w:p>
      <w:pPr>
        <w:pStyle w:val="30"/>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.1对所有投标人的评估，都采用相同的程序和标准。评标过程将严格按照</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w:t>
      </w:r>
      <w:r>
        <w:rPr>
          <w:rFonts w:hint="eastAsia" w:ascii="宋体" w:hAnsi="宋体" w:cs="宋体"/>
          <w:color w:val="auto"/>
          <w:kern w:val="0"/>
          <w:szCs w:val="21"/>
          <w:highlight w:val="none"/>
        </w:rPr>
        <w:t>3</w:t>
      </w:r>
      <w:r>
        <w:rPr>
          <w:rFonts w:ascii="宋体" w:hAnsi="宋体" w:cs="宋体"/>
          <w:color w:val="auto"/>
          <w:kern w:val="0"/>
          <w:szCs w:val="21"/>
          <w:highlight w:val="none"/>
        </w:rPr>
        <w:t> </w:t>
      </w:r>
      <w:r>
        <w:rPr>
          <w:rFonts w:hint="eastAsia"/>
          <w:color w:val="auto"/>
          <w:kern w:val="0"/>
          <w:szCs w:val="21"/>
          <w:highlight w:val="none"/>
        </w:rPr>
        <w:t>投标文件报价出现前后不一致的，除</w:t>
      </w:r>
      <w:r>
        <w:rPr>
          <w:rFonts w:hint="eastAsia"/>
          <w:color w:val="auto"/>
          <w:kern w:val="0"/>
          <w:szCs w:val="21"/>
          <w:highlight w:val="none"/>
          <w:lang w:val="en-US" w:eastAsia="zh-CN"/>
        </w:rPr>
        <w:t>采购</w:t>
      </w:r>
      <w:r>
        <w:rPr>
          <w:rFonts w:hint="eastAsia"/>
          <w:color w:val="auto"/>
          <w:kern w:val="0"/>
          <w:szCs w:val="21"/>
          <w:highlight w:val="none"/>
        </w:rPr>
        <w:t>文件另有规定外，</w:t>
      </w:r>
      <w:r>
        <w:rPr>
          <w:rFonts w:hint="eastAsia" w:cs="宋体"/>
          <w:color w:val="auto"/>
          <w:kern w:val="0"/>
          <w:szCs w:val="21"/>
          <w:highlight w:val="none"/>
        </w:rPr>
        <w:t>修正错误的原则如下：</w:t>
      </w:r>
    </w:p>
    <w:p>
      <w:pPr>
        <w:pStyle w:val="30"/>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.3.1</w:t>
      </w:r>
      <w:r>
        <w:rPr>
          <w:rFonts w:hint="eastAsia" w:ascii="宋体" w:hAnsi="宋体" w:cs="宋体"/>
          <w:color w:val="auto"/>
          <w:sz w:val="21"/>
          <w:szCs w:val="21"/>
          <w:highlight w:val="none"/>
          <w:shd w:val="clear" w:color="auto" w:fill="FFFFFF"/>
        </w:rPr>
        <w:t>投标文件开标一览表（报价表）内容与投标文件中相应内容不一致的，以开标一览表（报价表）为准；</w:t>
      </w:r>
    </w:p>
    <w:p>
      <w:pPr>
        <w:pStyle w:val="30"/>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.3.2</w:t>
      </w:r>
      <w:r>
        <w:rPr>
          <w:rFonts w:hint="eastAsia" w:ascii="宋体" w:hAnsi="宋体" w:cs="宋体"/>
          <w:color w:val="auto"/>
          <w:sz w:val="21"/>
          <w:szCs w:val="21"/>
          <w:highlight w:val="none"/>
          <w:shd w:val="clear" w:color="auto" w:fill="FFFFFF"/>
        </w:rPr>
        <w:t>大写金额</w:t>
      </w:r>
      <w:r>
        <w:rPr>
          <w:rFonts w:hint="eastAsia" w:ascii="宋体" w:hAnsi="宋体" w:cs="宋体"/>
          <w:color w:val="auto"/>
          <w:sz w:val="21"/>
          <w:szCs w:val="21"/>
          <w:highlight w:val="none"/>
        </w:rPr>
        <w:t>与</w:t>
      </w:r>
      <w:r>
        <w:rPr>
          <w:rFonts w:hint="eastAsia" w:ascii="宋体" w:hAnsi="宋体" w:cs="宋体"/>
          <w:color w:val="auto"/>
          <w:sz w:val="21"/>
          <w:szCs w:val="21"/>
          <w:highlight w:val="none"/>
          <w:shd w:val="clear" w:color="auto" w:fill="FFFFFF"/>
        </w:rPr>
        <w:t>小写金额不一致的，以大写金额为准；</w:t>
      </w:r>
    </w:p>
    <w:p>
      <w:pPr>
        <w:pStyle w:val="30"/>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.3.3</w:t>
      </w:r>
      <w:r>
        <w:rPr>
          <w:rFonts w:hint="eastAsia" w:ascii="宋体" w:hAnsi="宋体" w:cs="宋体"/>
          <w:color w:val="auto"/>
          <w:sz w:val="21"/>
          <w:szCs w:val="21"/>
          <w:highlight w:val="none"/>
          <w:shd w:val="clear" w:color="auto" w:fill="FFFFFF"/>
        </w:rPr>
        <w:t>单价金额小数点或者百分比有明显错位的，以开标一览表的总价为准，并修改单价；</w:t>
      </w:r>
    </w:p>
    <w:p>
      <w:pPr>
        <w:pStyle w:val="30"/>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.3.4</w:t>
      </w:r>
      <w:r>
        <w:rPr>
          <w:rFonts w:hint="eastAsia" w:ascii="宋体" w:hAnsi="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w:t>
      </w:r>
      <w:r>
        <w:rPr>
          <w:rFonts w:hint="eastAsia" w:ascii="宋体" w:hAnsi="宋体"/>
          <w:color w:val="auto"/>
          <w:szCs w:val="21"/>
          <w:highlight w:val="none"/>
        </w:rPr>
        <w:t>资格性检查。依据法规政策和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文件的规定，在对投标文件详细评估之前，采购人将依据投标人提交的投标文件按</w:t>
      </w:r>
      <w:r>
        <w:rPr>
          <w:rFonts w:hint="eastAsia" w:ascii="宋体" w:hAnsi="宋体"/>
          <w:color w:val="auto"/>
          <w:szCs w:val="21"/>
          <w:highlight w:val="none"/>
          <w:lang w:val="en-US" w:eastAsia="zh-CN"/>
        </w:rPr>
        <w:t>采购</w:t>
      </w:r>
      <w:r>
        <w:rPr>
          <w:rFonts w:hint="eastAsia" w:ascii="宋体" w:hAnsi="宋体"/>
          <w:color w:val="auto"/>
          <w:szCs w:val="21"/>
          <w:highlight w:val="none"/>
        </w:rPr>
        <w:t>公告第二项和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文件第三章4.投标人应提交的证明文件所述的资格标准对投标人进行资格审查,以确定其是否具备投标资格。如果投标人不具备投标资格、不满足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文件所规定的资格标准或提供资格证明文件不全,其投标将被作为无效投标。</w:t>
      </w:r>
      <w:r>
        <w:rPr>
          <w:rFonts w:hint="eastAsia" w:ascii="宋体" w:hAnsi="宋体" w:cs="Lucida Sans Unicode"/>
          <w:color w:val="auto"/>
          <w:szCs w:val="21"/>
          <w:highlight w:val="none"/>
        </w:rPr>
        <w:t>在审查过程中，采购人有权要求投标人按</w:t>
      </w:r>
      <w:r>
        <w:rPr>
          <w:rFonts w:hint="eastAsia" w:ascii="宋体" w:hAnsi="宋体" w:cs="Lucida Sans Unicode"/>
          <w:color w:val="auto"/>
          <w:szCs w:val="21"/>
          <w:highlight w:val="none"/>
          <w:lang w:val="en-US" w:eastAsia="zh-CN"/>
        </w:rPr>
        <w:t>采购</w:t>
      </w:r>
      <w:r>
        <w:rPr>
          <w:rFonts w:hint="eastAsia" w:ascii="宋体" w:hAnsi="宋体" w:cs="Lucida Sans Unicode"/>
          <w:color w:val="auto"/>
          <w:szCs w:val="21"/>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Lucida Sans Unicode"/>
          <w:color w:val="auto"/>
          <w:szCs w:val="21"/>
          <w:highlight w:val="none"/>
        </w:rPr>
      </w:pPr>
      <w:r>
        <w:rPr>
          <w:rFonts w:hint="eastAsia" w:ascii="宋体" w:hAnsi="宋体" w:cs="Lucida Sans Unicode"/>
          <w:color w:val="auto"/>
          <w:szCs w:val="21"/>
          <w:highlight w:val="none"/>
        </w:rPr>
        <w:t>2</w:t>
      </w:r>
      <w:r>
        <w:rPr>
          <w:rFonts w:hint="eastAsia" w:ascii="宋体" w:hAnsi="宋体" w:cs="Lucida Sans Unicode"/>
          <w:color w:val="auto"/>
          <w:szCs w:val="21"/>
          <w:highlight w:val="none"/>
          <w:lang w:val="en-US" w:eastAsia="zh-CN"/>
        </w:rPr>
        <w:t>5</w:t>
      </w:r>
      <w:r>
        <w:rPr>
          <w:rFonts w:hint="eastAsia" w:ascii="宋体" w:hAnsi="宋体" w:cs="Lucida Sans Unicode"/>
          <w:color w:val="auto"/>
          <w:szCs w:val="21"/>
          <w:highlight w:val="none"/>
        </w:rPr>
        <w:t>.4.2 资格审查后合格的投标人不足3家的，不得评标。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 符合性检查。依据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文件的规定，评标委员会将从投标文件的有效性、完整性和对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文件的响应程度进行审查，以确定是否符合对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（3）资格证明文件不全的，或不符合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（4）投标有效期、交货时间、质保期等不满足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（5）未按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（6）投标文件的实质性内容未使用中文表述，或意思表述不明确，或前后矛盾，或使用计量单位不符合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olor w:val="auto"/>
          <w:szCs w:val="21"/>
          <w:highlight w:val="none"/>
        </w:rPr>
        <w:t>（8）投标文件内容未按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（9）不符合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.4.4 对资格性检查和符合性检查不合格的投标人，将</w:t>
      </w:r>
      <w:r>
        <w:rPr>
          <w:rFonts w:hint="eastAsia" w:ascii="宋体" w:hAnsi="宋体" w:cs="宋体"/>
          <w:color w:val="auto"/>
          <w:kern w:val="0"/>
          <w:szCs w:val="21"/>
          <w:highlight w:val="none"/>
          <w:lang w:val="en-US" w:eastAsia="zh-CN"/>
        </w:rPr>
        <w:t>通过评标系统</w:t>
      </w:r>
      <w:r>
        <w:rPr>
          <w:rFonts w:hint="eastAsia" w:ascii="宋体" w:hAnsi="宋体" w:cs="宋体"/>
          <w:color w:val="auto"/>
          <w:kern w:val="0"/>
          <w:szCs w:val="21"/>
          <w:highlight w:val="none"/>
        </w:rPr>
        <w:t>告知其理由。</w:t>
      </w:r>
    </w:p>
    <w:p>
      <w:pPr>
        <w:pStyle w:val="30"/>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5</w:t>
      </w:r>
      <w:r>
        <w:rPr>
          <w:rFonts w:hint="eastAsia" w:ascii="宋体" w:hAnsi="宋体" w:cs="宋体"/>
          <w:color w:val="auto"/>
          <w:sz w:val="21"/>
          <w:szCs w:val="21"/>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.5.7 有证据证明投标人串通投标的其他情形的；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.5.8 不同投标人的投标文件制作机器码一致；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.5.9 评标委员会认定的其他串通投标情形。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 比较与评价</w:t>
      </w:r>
    </w:p>
    <w:p>
      <w:pPr>
        <w:pStyle w:val="30"/>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.1 评标委员会将按本</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文件规定的评标方法与标准，对资格性检查和符合性检查合格的投标文件进行商务和技术评估，综合比较与评价。</w:t>
      </w:r>
    </w:p>
    <w:p>
      <w:pPr>
        <w:pStyle w:val="30"/>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.2对漏（缺）报项的处理：</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文件中要求列入报价的费用（含配置、功能），漏（缺）报的视同已含在投标总价中。</w:t>
      </w:r>
    </w:p>
    <w:p>
      <w:pPr>
        <w:pStyle w:val="30"/>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.1 凡与本次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29</w:t>
      </w:r>
      <w:r>
        <w:rPr>
          <w:rFonts w:hint="eastAsia" w:ascii="宋体" w:hAnsi="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ind w:firstLine="305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 确定实质上响应</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文件且满足下列条件的为中标候选人（或中标人）</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bookmarkStart w:id="41" w:name="_Toc32200"/>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.2.1</w:t>
      </w:r>
      <w:bookmarkEnd w:id="41"/>
      <w:r>
        <w:rPr>
          <w:rFonts w:hint="eastAsia" w:ascii="宋体" w:hAnsi="宋体" w:cs="宋体"/>
          <w:bCs/>
          <w:color w:val="auto"/>
          <w:kern w:val="0"/>
          <w:szCs w:val="21"/>
          <w:highlight w:val="none"/>
        </w:rPr>
        <w:t>本次评标采用</w:t>
      </w:r>
      <w:r>
        <w:rPr>
          <w:rFonts w:hint="eastAsia" w:ascii="宋体" w:hAnsi="宋体" w:cs="宋体"/>
          <w:color w:val="auto"/>
          <w:szCs w:val="21"/>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采用综合评分法的，评标结果按评审后得分由高到低顺序排列。投标文件满足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1</w:t>
      </w:r>
      <w:r>
        <w:rPr>
          <w:rFonts w:hint="eastAsia" w:ascii="宋体" w:hAnsi="宋体" w:cs="宋体"/>
          <w:b/>
          <w:bCs/>
          <w:color w:val="auto"/>
          <w:kern w:val="0"/>
          <w:szCs w:val="21"/>
          <w:highlight w:val="none"/>
        </w:rPr>
        <w:t>. 确定中标人和中标候选人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kern w:val="0"/>
          <w:szCs w:val="21"/>
          <w:highlight w:val="none"/>
        </w:rPr>
        <w:t>本项目由采购人授权评标委员会确定一名中标人并推荐两名中标候选人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 中标通知书及中标公告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.1评审结束后，</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人将中标候选人的情况在本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公告发布的同一媒介予以公示，公示</w:t>
      </w:r>
      <w:r>
        <w:rPr>
          <w:rFonts w:hint="eastAsia" w:ascii="宋体" w:hAnsi="宋体" w:cs="宋体"/>
          <w:color w:val="auto"/>
          <w:kern w:val="0"/>
          <w:szCs w:val="21"/>
          <w:highlight w:val="none"/>
          <w:lang w:eastAsia="zh-CN"/>
        </w:rPr>
        <w:t>期限</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个工作日</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.2中标人在规定的时间内不领取中标通知书的，视为中标后自动放弃中标资格；中标人在有效报价中报价最低,非不可抗力放弃中标资格的。发生上述情况的承担由此引起的一切后果。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.3中标通知书对采购人和中标人具有同等法律效力。中标通知书发出后，采购人改变中标结果，或者中标人放弃中标，应按相关法律、规章、规范性文件的要求承担相应的法律责任。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bCs/>
          <w:color w:val="auto"/>
          <w:kern w:val="0"/>
          <w:szCs w:val="21"/>
          <w:highlight w:val="none"/>
        </w:rPr>
        <w:t>.4中标通知书将作为签订合同的依据。合同签订后，中标通知书成为合同的一部分。</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.1.2投标人的报价均超过了</w:t>
      </w:r>
      <w:r>
        <w:rPr>
          <w:rFonts w:hint="eastAsia" w:ascii="宋体" w:hAnsi="宋体" w:cs="宋体"/>
          <w:bCs/>
          <w:color w:val="auto"/>
          <w:kern w:val="0"/>
          <w:szCs w:val="21"/>
          <w:highlight w:val="none"/>
          <w:lang w:val="en-US" w:eastAsia="zh-CN"/>
        </w:rPr>
        <w:t>采购预算金额</w:t>
      </w:r>
      <w:r>
        <w:rPr>
          <w:rFonts w:hint="eastAsia" w:ascii="宋体" w:hAnsi="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5"/>
        </w:numPr>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ascii="宋体" w:hAnsi="宋体" w:cs="宋体"/>
          <w:b/>
          <w:color w:val="auto"/>
          <w:kern w:val="0"/>
          <w:sz w:val="52"/>
          <w:szCs w:val="52"/>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ind w:firstLine="2570" w:firstLineChars="80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七</w:t>
      </w:r>
      <w:r>
        <w:rPr>
          <w:rFonts w:hint="eastAsia" w:ascii="黑体" w:hAnsi="宋体" w:eastAsia="黑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u w:val="single"/>
        </w:rPr>
      </w:pPr>
      <w:bookmarkStart w:id="42" w:name="_Toc8594"/>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采购人、中标人自中标通知书发出之日起，在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文件第三章《投标人须知前附表》规定的时间内，根据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文件确定的事项和中标人投标文件签订合同。双方所签订的合同不得对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文件和中标人投标文件作实质性修改。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文件的修改文件、中标人的投标文件、补充或修改的文件及澄清或承诺文件等，均为双方签订合同的组成部分，并与合同一并作为本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.3 中标人</w:t>
      </w:r>
      <w:r>
        <w:rPr>
          <w:rFonts w:hint="eastAsia" w:cs="宋体"/>
          <w:color w:val="auto"/>
          <w:kern w:val="0"/>
          <w:szCs w:val="21"/>
          <w:highlight w:val="none"/>
        </w:rPr>
        <w:t>放弃中标、因不可抗力不能履行合同、不按照</w:t>
      </w:r>
      <w:r>
        <w:rPr>
          <w:rFonts w:hint="eastAsia" w:cs="宋体"/>
          <w:color w:val="auto"/>
          <w:kern w:val="0"/>
          <w:szCs w:val="21"/>
          <w:highlight w:val="none"/>
          <w:lang w:val="en-US" w:eastAsia="zh-CN"/>
        </w:rPr>
        <w:t>采购</w:t>
      </w:r>
      <w:r>
        <w:rPr>
          <w:rFonts w:hint="eastAsia" w:cs="宋体"/>
          <w:color w:val="auto"/>
          <w:kern w:val="0"/>
          <w:szCs w:val="21"/>
          <w:highlight w:val="none"/>
        </w:rPr>
        <w:t>文件要求提交履约保证金，或者被查实存在影响中标结果的违法行为等情形，不符合中标条件的，</w:t>
      </w:r>
      <w:r>
        <w:rPr>
          <w:rFonts w:hint="eastAsia" w:ascii="宋体" w:hAnsi="宋体" w:cs="宋体"/>
          <w:color w:val="auto"/>
          <w:kern w:val="0"/>
          <w:szCs w:val="21"/>
          <w:highlight w:val="none"/>
        </w:rPr>
        <w:t>采购人可以</w:t>
      </w:r>
      <w:r>
        <w:rPr>
          <w:rFonts w:hint="eastAsia" w:cs="宋体"/>
          <w:color w:val="auto"/>
          <w:kern w:val="0"/>
          <w:szCs w:val="21"/>
          <w:highlight w:val="none"/>
        </w:rPr>
        <w:t>按照评标委员会提出的中标候选</w:t>
      </w:r>
      <w:r>
        <w:rPr>
          <w:rFonts w:hint="eastAsia" w:ascii="宋体" w:hAnsi="宋体" w:cs="宋体"/>
          <w:color w:val="auto"/>
          <w:kern w:val="0"/>
          <w:szCs w:val="21"/>
          <w:highlight w:val="none"/>
        </w:rPr>
        <w:t>人</w:t>
      </w:r>
      <w:r>
        <w:rPr>
          <w:rFonts w:hint="eastAsia" w:cs="宋体"/>
          <w:color w:val="auto"/>
          <w:kern w:val="0"/>
          <w:szCs w:val="21"/>
          <w:highlight w:val="none"/>
        </w:rPr>
        <w:t>名单排序依次确定其他中标候选</w:t>
      </w:r>
      <w:r>
        <w:rPr>
          <w:rFonts w:hint="eastAsia" w:ascii="宋体" w:hAnsi="宋体" w:cs="宋体"/>
          <w:color w:val="auto"/>
          <w:kern w:val="0"/>
          <w:szCs w:val="21"/>
          <w:highlight w:val="none"/>
        </w:rPr>
        <w:t>人</w:t>
      </w:r>
      <w:r>
        <w:rPr>
          <w:rFonts w:hint="eastAsia" w:cs="宋体"/>
          <w:color w:val="auto"/>
          <w:kern w:val="0"/>
          <w:szCs w:val="21"/>
          <w:highlight w:val="none"/>
        </w:rPr>
        <w:t>为中标</w:t>
      </w:r>
      <w:r>
        <w:rPr>
          <w:rFonts w:hint="eastAsia" w:ascii="宋体" w:hAnsi="宋体" w:cs="宋体"/>
          <w:color w:val="auto"/>
          <w:kern w:val="0"/>
          <w:szCs w:val="21"/>
          <w:highlight w:val="none"/>
        </w:rPr>
        <w:t>人</w:t>
      </w:r>
      <w:r>
        <w:rPr>
          <w:rFonts w:hint="eastAsia" w:cs="宋体"/>
          <w:color w:val="auto"/>
          <w:kern w:val="0"/>
          <w:szCs w:val="21"/>
          <w:highlight w:val="none"/>
        </w:rPr>
        <w:t>，也可以重新招标。</w:t>
      </w:r>
    </w:p>
    <w:bookmarkEnd w:id="42"/>
    <w:p>
      <w:pPr>
        <w:rPr>
          <w:color w:val="auto"/>
          <w:highlight w:val="none"/>
        </w:rPr>
      </w:pPr>
      <w:bookmarkStart w:id="43" w:name="_Toc4700"/>
      <w:bookmarkStart w:id="44" w:name="_Toc16669"/>
      <w:r>
        <w:rPr>
          <w:color w:val="auto"/>
          <w:highlight w:val="none"/>
        </w:rPr>
        <w:br w:type="page"/>
      </w:r>
    </w:p>
    <w:p>
      <w:pPr>
        <w:rPr>
          <w:color w:val="auto"/>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ascii="宋体" w:hAnsi="宋体" w:cs="宋体"/>
          <w:color w:val="auto"/>
          <w:kern w:val="0"/>
          <w:sz w:val="24"/>
          <w:highlight w:val="none"/>
        </w:rPr>
      </w:pPr>
      <w:bookmarkStart w:id="45" w:name="_Toc9022"/>
      <w:r>
        <w:rPr>
          <w:rFonts w:hint="eastAsia" w:ascii="黑体" w:hAnsi="宋体" w:eastAsia="黑体" w:cs="宋体"/>
          <w:b/>
          <w:bCs/>
          <w:color w:val="auto"/>
          <w:kern w:val="0"/>
          <w:sz w:val="32"/>
          <w:szCs w:val="32"/>
          <w:highlight w:val="none"/>
        </w:rPr>
        <w:t>第四章  评标办法及评分标准</w:t>
      </w:r>
      <w:bookmarkEnd w:id="43"/>
      <w:bookmarkEnd w:id="45"/>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按照“公平、公正”的原则对待所有投标人</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2．评标委员会按照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文件全部实质性要求，且评审得分最高的投标人为第一中标候选人。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6"/>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详细评审（100分）</w:t>
      </w:r>
    </w:p>
    <w:tbl>
      <w:tblPr>
        <w:tblStyle w:val="32"/>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14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w:t>
            </w:r>
            <w:r>
              <w:rPr>
                <w:rFonts w:hint="eastAsia" w:ascii="宋体" w:hAnsi="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0分)</w:t>
            </w:r>
          </w:p>
        </w:tc>
        <w:tc>
          <w:tcPr>
            <w:tcW w:w="8243" w:type="dxa"/>
            <w:gridSpan w:val="2"/>
            <w:noWrap w:val="0"/>
            <w:vAlign w:val="center"/>
          </w:tcPr>
          <w:p>
            <w:pPr>
              <w:pStyle w:val="51"/>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51"/>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hAnsi="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51"/>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投标报价得分=（评标基准价/有效投标报价）×</w:t>
            </w:r>
            <w:r>
              <w:rPr>
                <w:rFonts w:hint="eastAsia" w:ascii="宋体" w:hAnsi="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产品质量（</w:t>
            </w: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0分）</w:t>
            </w:r>
          </w:p>
        </w:tc>
        <w:tc>
          <w:tcPr>
            <w:tcW w:w="2140"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rPr>
              <w:t>1</w:t>
            </w:r>
            <w:r>
              <w:rPr>
                <w:rFonts w:hint="eastAsia" w:ascii="宋体" w:hAnsi="宋体" w:eastAsia="宋体" w:cs="宋体"/>
                <w:b w:val="0"/>
                <w:bCs w:val="0"/>
                <w:color w:val="auto"/>
                <w:kern w:val="0"/>
                <w:sz w:val="21"/>
                <w:szCs w:val="21"/>
                <w:highlight w:val="none"/>
                <w:lang w:eastAsia="zh-CN"/>
              </w:rPr>
              <w:t>、</w:t>
            </w:r>
            <w:r>
              <w:rPr>
                <w:rFonts w:hint="eastAsia" w:ascii="宋体" w:hAnsi="宋体" w:cs="宋体"/>
                <w:b w:val="0"/>
                <w:bCs w:val="0"/>
                <w:color w:val="auto"/>
                <w:kern w:val="0"/>
                <w:sz w:val="21"/>
                <w:szCs w:val="21"/>
                <w:highlight w:val="none"/>
                <w:lang w:val="en-US" w:eastAsia="zh-CN"/>
              </w:rPr>
              <w:t>对“</w:t>
            </w:r>
            <w:r>
              <w:rPr>
                <w:rFonts w:hint="eastAsia" w:ascii="宋体" w:hAnsi="宋体" w:eastAsia="宋体" w:cs="宋体"/>
                <w:b w:val="0"/>
                <w:bCs w:val="0"/>
                <w:color w:val="auto"/>
                <w:kern w:val="0"/>
                <w:sz w:val="21"/>
                <w:szCs w:val="21"/>
                <w:highlight w:val="none"/>
                <w:lang w:eastAsia="zh-CN"/>
              </w:rPr>
              <w:t>第二章  采购需求</w:t>
            </w:r>
            <w:r>
              <w:rPr>
                <w:rFonts w:hint="eastAsia" w:ascii="宋体" w:hAnsi="宋体" w:cs="宋体"/>
                <w:b w:val="0"/>
                <w:bCs w:val="0"/>
                <w:color w:val="auto"/>
                <w:kern w:val="0"/>
                <w:sz w:val="21"/>
                <w:szCs w:val="21"/>
                <w:highlight w:val="none"/>
                <w:lang w:val="en-US" w:eastAsia="zh-CN"/>
              </w:rPr>
              <w:t>”</w:t>
            </w:r>
            <w:r>
              <w:rPr>
                <w:rFonts w:hint="eastAsia" w:ascii="宋体" w:hAnsi="宋体" w:eastAsia="宋体" w:cs="宋体"/>
                <w:b w:val="0"/>
                <w:bCs w:val="0"/>
                <w:color w:val="auto"/>
                <w:kern w:val="0"/>
                <w:sz w:val="21"/>
                <w:szCs w:val="21"/>
                <w:highlight w:val="none"/>
                <w:lang w:eastAsia="zh-CN"/>
              </w:rPr>
              <w:t>技术</w:t>
            </w:r>
            <w:r>
              <w:rPr>
                <w:rFonts w:hint="eastAsia" w:ascii="宋体" w:hAnsi="宋体" w:cs="宋体"/>
                <w:b w:val="0"/>
                <w:bCs w:val="0"/>
                <w:color w:val="auto"/>
                <w:kern w:val="0"/>
                <w:sz w:val="21"/>
                <w:szCs w:val="21"/>
                <w:highlight w:val="none"/>
                <w:lang w:eastAsia="zh-CN"/>
              </w:rPr>
              <w:t>要求</w:t>
            </w:r>
            <w:r>
              <w:rPr>
                <w:rFonts w:hint="eastAsia" w:ascii="宋体" w:hAnsi="宋体" w:cs="宋体"/>
                <w:b w:val="0"/>
                <w:bCs w:val="0"/>
                <w:color w:val="auto"/>
                <w:kern w:val="0"/>
                <w:sz w:val="21"/>
                <w:szCs w:val="21"/>
                <w:highlight w:val="none"/>
                <w:lang w:val="en-US" w:eastAsia="zh-CN"/>
              </w:rPr>
              <w:t>的响应</w:t>
            </w:r>
            <w:r>
              <w:rPr>
                <w:rFonts w:hint="eastAsia" w:ascii="宋体" w:hAnsi="宋体" w:eastAsia="宋体" w:cs="宋体"/>
                <w:b w:val="0"/>
                <w:bCs w:val="0"/>
                <w:color w:val="auto"/>
                <w:kern w:val="0"/>
                <w:sz w:val="21"/>
                <w:szCs w:val="21"/>
                <w:highlight w:val="none"/>
                <w:lang w:eastAsia="zh-CN"/>
              </w:rPr>
              <w:t>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1）.所投产品或设备均应提供相关证明文件资料，所投产品必须是正规厂家生产的原装正品；</w:t>
            </w:r>
          </w:p>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2）.产品需具有《注册批件》；</w:t>
            </w:r>
          </w:p>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3）.提供有关投标货物符合采购文件要求的相关证明文件。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商务</w:t>
            </w:r>
            <w:r>
              <w:rPr>
                <w:rFonts w:hint="eastAsia" w:ascii="宋体" w:hAnsi="宋体" w:eastAsia="宋体" w:cs="宋体"/>
                <w:b w:val="0"/>
                <w:bCs w:val="0"/>
                <w:color w:val="auto"/>
                <w:sz w:val="21"/>
                <w:szCs w:val="21"/>
                <w:highlight w:val="none"/>
              </w:rPr>
              <w:t>部分（</w:t>
            </w: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0分）</w:t>
            </w:r>
          </w:p>
        </w:tc>
        <w:tc>
          <w:tcPr>
            <w:tcW w:w="2140" w:type="dxa"/>
            <w:tcBorders>
              <w:top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证书、资信等级、类似业绩、质保期及其他优惠承诺等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提供相关有效证件等资料的复印件。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售后服务</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0分)</w:t>
            </w:r>
          </w:p>
        </w:tc>
        <w:tc>
          <w:tcPr>
            <w:tcW w:w="2140" w:type="dxa"/>
            <w:noWrap w:val="0"/>
            <w:vAlign w:val="center"/>
          </w:tcPr>
          <w:p>
            <w:pPr>
              <w:pStyle w:val="51"/>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kern w:val="2"/>
                <w:sz w:val="21"/>
                <w:szCs w:val="21"/>
                <w:highlight w:val="none"/>
                <w:lang w:val="en-US" w:eastAsia="zh-CN"/>
              </w:rPr>
            </w:pPr>
            <w:r>
              <w:rPr>
                <w:rFonts w:hint="eastAsia" w:ascii="宋体" w:hAnsi="宋体" w:eastAsia="宋体" w:cs="宋体"/>
                <w:b w:val="0"/>
                <w:bCs w:val="0"/>
                <w:color w:val="auto"/>
                <w:kern w:val="2"/>
                <w:sz w:val="21"/>
                <w:szCs w:val="21"/>
                <w:highlight w:val="none"/>
                <w:lang w:val="en-US" w:eastAsia="zh-CN"/>
              </w:rPr>
              <w:t>培训方案、服务站点、服务响应及时性、售后服务方案等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宋体" w:hAnsi="宋体" w:eastAsia="宋体" w:cs="宋体"/>
                <w:b w:val="0"/>
                <w:bCs w:val="0"/>
                <w:color w:val="auto"/>
                <w:kern w:val="2"/>
                <w:sz w:val="21"/>
                <w:szCs w:val="21"/>
                <w:highlight w:val="none"/>
              </w:rPr>
            </w:pPr>
            <w:r>
              <w:rPr>
                <w:rFonts w:hint="eastAsia" w:ascii="宋体" w:hAnsi="宋体" w:cs="宋体"/>
                <w:b w:val="0"/>
                <w:bCs w:val="0"/>
                <w:color w:val="auto"/>
                <w:kern w:val="0"/>
                <w:sz w:val="21"/>
                <w:szCs w:val="21"/>
                <w:highlight w:val="none"/>
                <w:lang w:val="en-US" w:eastAsia="zh-CN"/>
              </w:rPr>
              <w:t>根据</w:t>
            </w:r>
            <w:r>
              <w:rPr>
                <w:rFonts w:hint="eastAsia" w:ascii="宋体" w:hAnsi="宋体" w:eastAsia="宋体" w:cs="宋体"/>
                <w:b w:val="0"/>
                <w:bCs w:val="0"/>
                <w:color w:val="auto"/>
                <w:kern w:val="0"/>
                <w:sz w:val="21"/>
                <w:szCs w:val="21"/>
                <w:highlight w:val="none"/>
                <w:lang w:val="en-US" w:eastAsia="zh-CN"/>
              </w:rPr>
              <w:t>投标人在投标文件中所投产品的售后服务站设立情况（配备有专业售后服务技术人员，提供售后服务人员名单和售后服务地址、电话）</w:t>
            </w:r>
            <w:r>
              <w:rPr>
                <w:rFonts w:hint="eastAsia" w:ascii="宋体" w:hAnsi="宋体" w:cs="宋体"/>
                <w:b w:val="0"/>
                <w:bCs w:val="0"/>
                <w:color w:val="auto"/>
                <w:kern w:val="0"/>
                <w:sz w:val="21"/>
                <w:szCs w:val="21"/>
                <w:highlight w:val="none"/>
                <w:lang w:val="en-US" w:eastAsia="zh-CN"/>
              </w:rPr>
              <w:t>、培训方案、</w:t>
            </w:r>
            <w:r>
              <w:rPr>
                <w:rFonts w:hint="eastAsia" w:ascii="宋体" w:hAnsi="宋体" w:eastAsia="宋体" w:cs="宋体"/>
                <w:b w:val="0"/>
                <w:bCs w:val="0"/>
                <w:color w:val="auto"/>
                <w:kern w:val="2"/>
                <w:sz w:val="21"/>
                <w:szCs w:val="21"/>
                <w:highlight w:val="none"/>
              </w:rPr>
              <w:t>售后服务及时率、服务到位程度、详细的维修时间和处理办法及针对本项目的</w:t>
            </w:r>
            <w:bookmarkStart w:id="91" w:name="_GoBack"/>
            <w:bookmarkEnd w:id="91"/>
            <w:r>
              <w:rPr>
                <w:rFonts w:hint="eastAsia" w:ascii="宋体" w:hAnsi="宋体" w:eastAsia="宋体" w:cs="宋体"/>
                <w:b w:val="0"/>
                <w:bCs w:val="0"/>
                <w:color w:val="auto"/>
                <w:kern w:val="2"/>
                <w:sz w:val="21"/>
                <w:szCs w:val="21"/>
                <w:highlight w:val="none"/>
              </w:rPr>
              <w:t>售后服务方案及相应的安全质量保障措施等内容</w:t>
            </w:r>
            <w:r>
              <w:rPr>
                <w:rFonts w:hint="eastAsia" w:ascii="宋体" w:hAnsi="宋体" w:cs="宋体"/>
                <w:b w:val="0"/>
                <w:bCs w:val="0"/>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tbl>
    <w:p>
      <w:pPr>
        <w:spacing w:line="500" w:lineRule="exact"/>
        <w:ind w:firstLine="420" w:firstLineChars="200"/>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44"/>
    <w:p>
      <w:pPr>
        <w:rPr>
          <w:color w:val="auto"/>
          <w:highlight w:val="none"/>
        </w:rPr>
      </w:pPr>
      <w:bookmarkStart w:id="46" w:name="_Toc1947"/>
      <w:bookmarkStart w:id="47" w:name="_Toc1482"/>
      <w:bookmarkStart w:id="48" w:name="_Toc326786897"/>
      <w:bookmarkStart w:id="49" w:name="_Toc256519703"/>
    </w:p>
    <w:p>
      <w:pPr>
        <w:pStyle w:val="8"/>
        <w:snapToGrid w:val="0"/>
        <w:spacing w:before="0" w:after="0" w:line="480" w:lineRule="auto"/>
        <w:jc w:val="center"/>
        <w:rPr>
          <w:color w:val="auto"/>
          <w:sz w:val="28"/>
          <w:szCs w:val="28"/>
          <w:highlight w:val="yellow"/>
        </w:rPr>
      </w:pPr>
      <w:bookmarkStart w:id="50" w:name="_Toc28988"/>
      <w:r>
        <w:rPr>
          <w:rFonts w:hint="eastAsia"/>
          <w:color w:val="auto"/>
          <w:sz w:val="28"/>
          <w:szCs w:val="28"/>
          <w:highlight w:val="none"/>
        </w:rPr>
        <w:t>第五章  采购合同</w:t>
      </w:r>
      <w:bookmarkEnd w:id="50"/>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olor w:val="auto"/>
          <w:sz w:val="21"/>
          <w:szCs w:val="21"/>
          <w:lang w:eastAsia="zh-CN"/>
        </w:rPr>
      </w:pPr>
      <w:r>
        <w:rPr>
          <w:rFonts w:hint="eastAsia" w:ascii="宋体" w:hAnsi="宋体"/>
          <w:color w:val="auto"/>
          <w:sz w:val="21"/>
          <w:szCs w:val="21"/>
          <w:lang w:eastAsia="zh-CN"/>
        </w:rPr>
        <w:t>（</w:t>
      </w:r>
      <w:r>
        <w:rPr>
          <w:rFonts w:hint="eastAsia" w:ascii="宋体" w:hAnsi="宋体"/>
          <w:color w:val="auto"/>
          <w:sz w:val="21"/>
          <w:szCs w:val="21"/>
          <w:lang w:val="en-US" w:eastAsia="zh-CN"/>
        </w:rPr>
        <w:t>以实际合同为准</w:t>
      </w:r>
      <w:r>
        <w:rPr>
          <w:rFonts w:hint="eastAsia" w:ascii="宋体" w:hAnsi="宋体"/>
          <w:color w:val="auto"/>
          <w:sz w:val="21"/>
          <w:szCs w:val="21"/>
          <w:lang w:eastAsia="zh-CN"/>
        </w:rPr>
        <w:t>）</w:t>
      </w:r>
    </w:p>
    <w:p>
      <w:pPr>
        <w:rPr>
          <w:color w:val="auto"/>
          <w:sz w:val="32"/>
          <w:szCs w:val="32"/>
          <w:highlight w:val="none"/>
        </w:rPr>
      </w:pPr>
    </w:p>
    <w:p>
      <w:pPr>
        <w:rPr>
          <w:color w:val="auto"/>
          <w:highlight w:val="none"/>
        </w:rPr>
      </w:pPr>
      <w:r>
        <w:rPr>
          <w:color w:val="auto"/>
          <w:highlight w:val="none"/>
        </w:rPr>
        <w:br w:type="page"/>
      </w:r>
    </w:p>
    <w:p>
      <w:pPr>
        <w:pStyle w:val="2"/>
        <w:rPr>
          <w:color w:val="auto"/>
        </w:rPr>
      </w:pPr>
    </w:p>
    <w:p>
      <w:pPr>
        <w:pStyle w:val="8"/>
        <w:jc w:val="center"/>
        <w:rPr>
          <w:rFonts w:ascii="宋体" w:hAnsi="宋体" w:cs="宋体"/>
          <w:color w:val="auto"/>
          <w:kern w:val="0"/>
          <w:highlight w:val="none"/>
        </w:rPr>
      </w:pPr>
      <w:bookmarkStart w:id="51" w:name="_Toc2638"/>
      <w:r>
        <w:rPr>
          <w:rFonts w:hint="eastAsia"/>
          <w:color w:val="auto"/>
          <w:sz w:val="32"/>
          <w:szCs w:val="32"/>
          <w:highlight w:val="none"/>
        </w:rPr>
        <w:t>第六章  投标文件格式</w:t>
      </w:r>
      <w:bookmarkEnd w:id="46"/>
      <w:bookmarkEnd w:id="47"/>
      <w:bookmarkEnd w:id="51"/>
    </w:p>
    <w:p>
      <w:pPr>
        <w:spacing w:line="440" w:lineRule="exact"/>
        <w:rPr>
          <w:color w:val="auto"/>
          <w:sz w:val="24"/>
          <w:highlight w:val="none"/>
        </w:rPr>
      </w:pPr>
    </w:p>
    <w:p>
      <w:pPr>
        <w:jc w:val="center"/>
        <w:rPr>
          <w:b/>
          <w:bCs/>
          <w:color w:val="auto"/>
          <w:sz w:val="32"/>
          <w:szCs w:val="32"/>
          <w:highlight w:val="none"/>
        </w:rPr>
      </w:pPr>
      <w:bookmarkStart w:id="52" w:name="_Toc13604"/>
      <w:r>
        <w:rPr>
          <w:rFonts w:hint="eastAsia"/>
          <w:b/>
          <w:bCs/>
          <w:color w:val="auto"/>
          <w:sz w:val="32"/>
          <w:szCs w:val="32"/>
          <w:highlight w:val="none"/>
        </w:rPr>
        <w:t>目    录</w:t>
      </w:r>
      <w:bookmarkEnd w:id="52"/>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53" w:name="_Toc11308"/>
      <w:r>
        <w:rPr>
          <w:rFonts w:hint="eastAsia"/>
          <w:color w:val="auto"/>
          <w:sz w:val="24"/>
          <w:highlight w:val="none"/>
        </w:rPr>
        <w:t>附件1投标文件封面（格式）</w:t>
      </w:r>
      <w:bookmarkEnd w:id="53"/>
    </w:p>
    <w:p>
      <w:pPr>
        <w:snapToGrid w:val="0"/>
        <w:spacing w:line="360" w:lineRule="auto"/>
        <w:ind w:firstLine="480" w:firstLineChars="200"/>
        <w:rPr>
          <w:color w:val="auto"/>
          <w:sz w:val="24"/>
          <w:highlight w:val="none"/>
        </w:rPr>
      </w:pPr>
      <w:bookmarkStart w:id="54" w:name="_Toc25345"/>
      <w:r>
        <w:rPr>
          <w:rFonts w:hint="eastAsia"/>
          <w:color w:val="auto"/>
          <w:sz w:val="24"/>
          <w:highlight w:val="none"/>
        </w:rPr>
        <w:t>附件2 投标书（格式）</w:t>
      </w:r>
      <w:bookmarkEnd w:id="54"/>
    </w:p>
    <w:p>
      <w:pPr>
        <w:snapToGrid w:val="0"/>
        <w:spacing w:line="360" w:lineRule="auto"/>
        <w:ind w:firstLine="480" w:firstLineChars="200"/>
        <w:rPr>
          <w:color w:val="auto"/>
          <w:sz w:val="24"/>
          <w:highlight w:val="none"/>
        </w:rPr>
      </w:pPr>
      <w:bookmarkStart w:id="55" w:name="_Toc10217"/>
      <w:r>
        <w:rPr>
          <w:rFonts w:hint="eastAsia"/>
          <w:color w:val="auto"/>
          <w:sz w:val="24"/>
          <w:highlight w:val="none"/>
        </w:rPr>
        <w:t>附件3 开标一览表（格式）</w:t>
      </w:r>
      <w:bookmarkEnd w:id="55"/>
    </w:p>
    <w:p>
      <w:pPr>
        <w:snapToGrid w:val="0"/>
        <w:spacing w:line="360" w:lineRule="auto"/>
        <w:ind w:firstLine="480" w:firstLineChars="200"/>
        <w:rPr>
          <w:color w:val="auto"/>
          <w:sz w:val="24"/>
          <w:highlight w:val="none"/>
        </w:rPr>
      </w:pPr>
      <w:bookmarkStart w:id="56" w:name="_Toc9579"/>
      <w:r>
        <w:rPr>
          <w:rFonts w:hint="eastAsia"/>
          <w:color w:val="auto"/>
          <w:sz w:val="24"/>
          <w:highlight w:val="none"/>
        </w:rPr>
        <w:t>附件4 投标报价明细表（格式）</w:t>
      </w:r>
      <w:bookmarkEnd w:id="56"/>
    </w:p>
    <w:p>
      <w:pPr>
        <w:snapToGrid w:val="0"/>
        <w:spacing w:line="360" w:lineRule="auto"/>
        <w:ind w:firstLine="480" w:firstLineChars="200"/>
        <w:rPr>
          <w:color w:val="auto"/>
          <w:sz w:val="24"/>
          <w:highlight w:val="none"/>
        </w:rPr>
      </w:pPr>
      <w:bookmarkStart w:id="57" w:name="_Toc28392"/>
      <w:r>
        <w:rPr>
          <w:rFonts w:hint="eastAsia"/>
          <w:color w:val="auto"/>
          <w:sz w:val="24"/>
          <w:highlight w:val="none"/>
        </w:rPr>
        <w:t>附件5技术响应表（格式）</w:t>
      </w:r>
      <w:bookmarkEnd w:id="57"/>
    </w:p>
    <w:p>
      <w:pPr>
        <w:snapToGrid w:val="0"/>
        <w:spacing w:line="360" w:lineRule="auto"/>
        <w:ind w:firstLine="480" w:firstLineChars="200"/>
        <w:rPr>
          <w:color w:val="auto"/>
          <w:sz w:val="24"/>
          <w:highlight w:val="none"/>
        </w:rPr>
      </w:pPr>
      <w:bookmarkStart w:id="58" w:name="_Toc6234"/>
      <w:r>
        <w:rPr>
          <w:rFonts w:hint="eastAsia"/>
          <w:color w:val="auto"/>
          <w:sz w:val="24"/>
          <w:highlight w:val="none"/>
        </w:rPr>
        <w:t>附件6 商务响应表（格式）</w:t>
      </w:r>
      <w:bookmarkEnd w:id="58"/>
    </w:p>
    <w:p>
      <w:pPr>
        <w:snapToGrid w:val="0"/>
        <w:spacing w:line="360" w:lineRule="auto"/>
        <w:ind w:firstLine="480" w:firstLineChars="200"/>
        <w:rPr>
          <w:color w:val="auto"/>
          <w:sz w:val="24"/>
          <w:highlight w:val="none"/>
        </w:rPr>
      </w:pPr>
      <w:bookmarkStart w:id="59" w:name="_Toc26231"/>
      <w:r>
        <w:rPr>
          <w:rFonts w:hint="eastAsia"/>
          <w:color w:val="auto"/>
          <w:sz w:val="24"/>
          <w:highlight w:val="none"/>
        </w:rPr>
        <w:t>附件7</w:t>
      </w:r>
      <w:r>
        <w:rPr>
          <w:rFonts w:hint="eastAsia"/>
          <w:color w:val="auto"/>
          <w:sz w:val="24"/>
          <w:highlight w:val="none"/>
          <w:lang w:val="en-US" w:eastAsia="zh-CN"/>
        </w:rPr>
        <w:t xml:space="preserve"> </w:t>
      </w:r>
      <w:r>
        <w:rPr>
          <w:rFonts w:hint="eastAsia"/>
          <w:color w:val="auto"/>
          <w:sz w:val="24"/>
          <w:highlight w:val="none"/>
        </w:rPr>
        <w:t>法定代表人身份证明（格式）</w:t>
      </w:r>
      <w:bookmarkEnd w:id="59"/>
    </w:p>
    <w:p>
      <w:pPr>
        <w:snapToGrid w:val="0"/>
        <w:spacing w:line="360" w:lineRule="auto"/>
        <w:ind w:firstLine="480" w:firstLineChars="200"/>
        <w:rPr>
          <w:color w:val="auto"/>
          <w:sz w:val="24"/>
          <w:highlight w:val="none"/>
        </w:rPr>
      </w:pPr>
      <w:bookmarkStart w:id="60" w:name="_Toc18484"/>
      <w:r>
        <w:rPr>
          <w:rFonts w:hint="eastAsia"/>
          <w:color w:val="auto"/>
          <w:sz w:val="24"/>
          <w:highlight w:val="none"/>
        </w:rPr>
        <w:t>附件8</w:t>
      </w:r>
      <w:r>
        <w:rPr>
          <w:rFonts w:hint="eastAsia"/>
          <w:color w:val="auto"/>
          <w:sz w:val="24"/>
          <w:highlight w:val="none"/>
          <w:lang w:val="en-US" w:eastAsia="zh-CN"/>
        </w:rPr>
        <w:t xml:space="preserve"> </w:t>
      </w:r>
      <w:r>
        <w:rPr>
          <w:rFonts w:hint="eastAsia"/>
          <w:color w:val="auto"/>
          <w:sz w:val="24"/>
          <w:highlight w:val="none"/>
        </w:rPr>
        <w:t>法定代表人授权书（格式）</w:t>
      </w:r>
      <w:bookmarkEnd w:id="60"/>
    </w:p>
    <w:p>
      <w:pPr>
        <w:snapToGrid w:val="0"/>
        <w:spacing w:line="360" w:lineRule="auto"/>
        <w:ind w:firstLine="480" w:firstLineChars="200"/>
        <w:rPr>
          <w:color w:val="auto"/>
          <w:sz w:val="24"/>
          <w:highlight w:val="none"/>
        </w:rPr>
      </w:pPr>
      <w:bookmarkStart w:id="61" w:name="_Toc31857"/>
      <w:r>
        <w:rPr>
          <w:rFonts w:hint="eastAsia"/>
          <w:color w:val="auto"/>
          <w:sz w:val="24"/>
          <w:highlight w:val="none"/>
        </w:rPr>
        <w:t>附件9 证明文件</w:t>
      </w:r>
      <w:bookmarkEnd w:id="61"/>
    </w:p>
    <w:p>
      <w:pPr>
        <w:snapToGrid w:val="0"/>
        <w:spacing w:line="360" w:lineRule="auto"/>
        <w:ind w:firstLine="480" w:firstLineChars="200"/>
        <w:rPr>
          <w:rFonts w:hint="eastAsia"/>
          <w:color w:val="auto"/>
          <w:sz w:val="24"/>
          <w:highlight w:val="none"/>
        </w:rPr>
      </w:pPr>
      <w:bookmarkStart w:id="62" w:name="_Toc23116"/>
      <w:r>
        <w:rPr>
          <w:rFonts w:hint="eastAsia"/>
          <w:color w:val="auto"/>
          <w:sz w:val="24"/>
          <w:highlight w:val="none"/>
        </w:rPr>
        <w:t>附件10 供应商承诺书（格式）</w:t>
      </w:r>
      <w:bookmarkEnd w:id="62"/>
    </w:p>
    <w:p>
      <w:pPr>
        <w:snapToGrid w:val="0"/>
        <w:spacing w:line="360" w:lineRule="auto"/>
        <w:ind w:firstLine="480" w:firstLineChars="200"/>
        <w:rPr>
          <w:rFonts w:hint="eastAsia" w:eastAsia="宋体"/>
          <w:color w:val="auto"/>
          <w:sz w:val="24"/>
          <w:highlight w:val="none"/>
          <w:lang w:val="en-US" w:eastAsia="zh-CN"/>
        </w:rPr>
      </w:pPr>
      <w:r>
        <w:rPr>
          <w:rFonts w:hint="eastAsia" w:eastAsia="宋体"/>
          <w:color w:val="auto"/>
          <w:sz w:val="24"/>
          <w:highlight w:val="none"/>
          <w:lang w:val="en-US" w:eastAsia="zh-CN"/>
        </w:rPr>
        <w:t>附件11 供应商信用承诺函（格式）</w:t>
      </w:r>
    </w:p>
    <w:p>
      <w:pPr>
        <w:pStyle w:val="2"/>
        <w:rPr>
          <w:rFonts w:hint="eastAsia"/>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3"/>
        <w:rPr>
          <w:rFonts w:ascii="宋体" w:hAnsi="宋体" w:cs="宋体"/>
          <w:b/>
          <w:bCs/>
          <w:color w:val="auto"/>
          <w:kern w:val="0"/>
          <w:sz w:val="24"/>
          <w:highlight w:val="none"/>
        </w:rPr>
      </w:pPr>
    </w:p>
    <w:p>
      <w:pPr>
        <w:pStyle w:val="51"/>
        <w:rPr>
          <w:rFonts w:hAnsi="宋体"/>
          <w:b/>
          <w:bCs/>
          <w:color w:val="auto"/>
          <w:highlight w:val="none"/>
        </w:rPr>
      </w:pPr>
    </w:p>
    <w:p>
      <w:pPr>
        <w:pStyle w:val="51"/>
        <w:rPr>
          <w:rFonts w:hAnsi="宋体"/>
          <w:b/>
          <w:bCs/>
          <w:color w:val="auto"/>
          <w:highlight w:val="none"/>
        </w:rPr>
      </w:pPr>
    </w:p>
    <w:p>
      <w:pPr>
        <w:rPr>
          <w:color w:val="auto"/>
          <w:highlight w:val="none"/>
        </w:rPr>
      </w:pPr>
      <w:r>
        <w:rPr>
          <w:rFonts w:hint="eastAsia"/>
          <w:color w:val="auto"/>
          <w:highlight w:val="none"/>
        </w:rPr>
        <w:br w:type="page"/>
      </w:r>
    </w:p>
    <w:p>
      <w:pPr>
        <w:pStyle w:val="4"/>
        <w:rPr>
          <w:color w:val="auto"/>
          <w:highlight w:val="none"/>
        </w:rPr>
      </w:pPr>
    </w:p>
    <w:p>
      <w:pPr>
        <w:pStyle w:val="9"/>
        <w:rPr>
          <w:color w:val="auto"/>
          <w:highlight w:val="none"/>
        </w:rPr>
      </w:pPr>
      <w:bookmarkStart w:id="63" w:name="_Toc24743"/>
      <w:bookmarkStart w:id="64" w:name="_Toc31798"/>
      <w:r>
        <w:rPr>
          <w:rFonts w:hint="eastAsia"/>
          <w:color w:val="auto"/>
          <w:highlight w:val="none"/>
        </w:rPr>
        <w:t>附件1               投标文件封面（格式）</w:t>
      </w:r>
      <w:bookmarkEnd w:id="63"/>
      <w:bookmarkEnd w:id="64"/>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default" w:ascii="宋体" w:hAnsi="宋体" w:eastAsia="宋体" w:cs="宋体"/>
          <w:b/>
          <w:color w:val="auto"/>
          <w:spacing w:val="90"/>
          <w:sz w:val="52"/>
          <w:szCs w:val="52"/>
          <w:highlight w:val="none"/>
          <w:u w:val="singl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51"/>
        <w:spacing w:line="360" w:lineRule="auto"/>
        <w:rPr>
          <w:rFonts w:hint="eastAsia" w:ascii="宋体" w:hAnsi="宋体" w:eastAsia="宋体" w:cs="宋体"/>
          <w:color w:val="auto"/>
          <w:highlight w:val="none"/>
        </w:rPr>
      </w:pPr>
    </w:p>
    <w:p>
      <w:pPr>
        <w:pStyle w:val="51"/>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3"/>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9"/>
        <w:rPr>
          <w:color w:val="auto"/>
          <w:highlight w:val="none"/>
        </w:rPr>
      </w:pPr>
      <w:bookmarkStart w:id="65" w:name="_Toc8818"/>
      <w:bookmarkStart w:id="66" w:name="_Toc14560"/>
      <w:r>
        <w:rPr>
          <w:rFonts w:hint="eastAsia"/>
          <w:color w:val="auto"/>
          <w:highlight w:val="none"/>
        </w:rPr>
        <w:t>附件2               投  标  书（格式）</w:t>
      </w:r>
      <w:bookmarkEnd w:id="65"/>
      <w:bookmarkEnd w:id="66"/>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2、投标报价明细表。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4、技术响应表。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4、商务响应表。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文件中规定的参加政府采购活动的投标人应当具备的条件。我方愿意向贵方提供任何与本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5、我方保证尊重评标委员会的评标结果，完全理解本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8、如果我方存在投标人须知第9.3项所述情况，同意被认定为在经营活动中有重大违法记录。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9、如果发生投标人须知第2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10、如果发生投标人须知第2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.5项所述情况，同意评标委员会认定我方的行为属于串通投标的行为，并自愿接受监管部门的处罚。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13、如果被确定为中标供应商，我方同意在领取中标通知书之日起日内，按照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14、我方最近3年内的被公开披露或查处的违法违规行为有：</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投标人代表签字：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投标人：（全称并加盖公章）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9"/>
        <w:spacing w:before="20" w:after="20"/>
        <w:rPr>
          <w:color w:val="auto"/>
          <w:highlight w:val="none"/>
        </w:rPr>
      </w:pPr>
      <w:bookmarkStart w:id="67" w:name="_Toc7838"/>
      <w:r>
        <w:rPr>
          <w:rFonts w:hint="eastAsia"/>
          <w:color w:val="auto"/>
          <w:highlight w:val="none"/>
        </w:rPr>
        <w:t>附件3               开标一览表</w:t>
      </w:r>
      <w:bookmarkEnd w:id="67"/>
    </w:p>
    <w:p>
      <w:pPr>
        <w:spacing w:line="239" w:lineRule="auto"/>
        <w:jc w:val="right"/>
        <w:rPr>
          <w:rFonts w:ascii="宋体" w:hAnsi="宋体"/>
          <w:color w:val="auto"/>
          <w:sz w:val="24"/>
          <w:highlight w:val="none"/>
        </w:rPr>
      </w:pPr>
      <w:r>
        <w:rPr>
          <w:rFonts w:ascii="宋体" w:hAnsi="宋体"/>
          <w:color w:val="auto"/>
          <w:sz w:val="24"/>
          <w:highlight w:val="none"/>
        </w:rPr>
        <w:t>单位：人民币元</w:t>
      </w:r>
    </w:p>
    <w:p>
      <w:pPr>
        <w:rPr>
          <w:color w:val="auto"/>
          <w:highlight w:val="none"/>
        </w:rPr>
      </w:pPr>
    </w:p>
    <w:tbl>
      <w:tblPr>
        <w:tblStyle w:val="32"/>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投标人名称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olor w:val="auto"/>
                <w:spacing w:val="-20"/>
                <w:szCs w:val="21"/>
                <w:highlight w:val="none"/>
                <w:lang w:eastAsia="zh-CN"/>
              </w:rPr>
            </w:pPr>
            <w:r>
              <w:rPr>
                <w:rFonts w:hint="eastAsia" w:ascii="宋体" w:hAnsi="宋体"/>
                <w:color w:val="auto"/>
                <w:szCs w:val="21"/>
                <w:highlight w:val="none"/>
              </w:rPr>
              <w:t>投标报价</w:t>
            </w:r>
            <w:r>
              <w:rPr>
                <w:rFonts w:hint="eastAsia" w:ascii="宋体" w:hAnsi="宋体"/>
                <w:color w:val="auto"/>
                <w:szCs w:val="21"/>
                <w:highlight w:val="none"/>
                <w:lang w:eastAsia="zh-CN"/>
              </w:rPr>
              <w:t>（元/mci）</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 xml:space="preserve">大写：        </w:t>
            </w:r>
          </w:p>
          <w:p>
            <w:pP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小写：        元（详见报价明细表）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交货地点</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投标有效期</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质量标准</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21"/>
              <w:ind w:left="0" w:leftChars="0"/>
              <w:rPr>
                <w:color w:val="auto"/>
                <w:sz w:val="21"/>
                <w:szCs w:val="21"/>
                <w:highlight w:val="none"/>
              </w:rPr>
            </w:pPr>
          </w:p>
        </w:tc>
      </w:tr>
    </w:tbl>
    <w:p>
      <w:pPr>
        <w:rPr>
          <w:color w:val="auto"/>
          <w:highlight w:val="none"/>
        </w:rPr>
      </w:pP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1、报价一经涂改，应在涂改处加盖单位公章或投标人代表签字或盖章，否则其投标作无效标处理。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2、以上报价应与“投标报价明细表”中的报价相一致。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4、投标人按格式填列，不得自行更改。否则引起的不利后果由投标人承担。</w:t>
      </w:r>
    </w:p>
    <w:p>
      <w:pPr>
        <w:spacing w:line="360" w:lineRule="auto"/>
        <w:ind w:firstLine="480" w:firstLineChars="200"/>
        <w:rPr>
          <w:rFonts w:ascii="宋体" w:hAnsi="宋体" w:cs="宋体"/>
          <w:color w:val="auto"/>
          <w:kern w:val="0"/>
          <w:sz w:val="24"/>
          <w:highlight w:val="none"/>
        </w:rPr>
      </w:pPr>
    </w:p>
    <w:p>
      <w:pPr>
        <w:rPr>
          <w:color w:val="auto"/>
          <w:highlight w:val="none"/>
        </w:rPr>
      </w:pPr>
    </w:p>
    <w:p>
      <w:pPr>
        <w:rPr>
          <w:color w:val="auto"/>
          <w:highlight w:val="none"/>
        </w:rPr>
      </w:pPr>
    </w:p>
    <w:p>
      <w:pPr>
        <w:spacing w:line="360" w:lineRule="auto"/>
        <w:ind w:firstLine="420" w:firstLineChars="200"/>
        <w:jc w:val="center"/>
        <w:rPr>
          <w:rFonts w:ascii="宋体" w:hAnsi="宋体"/>
          <w:color w:val="auto"/>
          <w:szCs w:val="21"/>
          <w:highlight w:val="none"/>
        </w:rPr>
      </w:pPr>
      <w:bookmarkStart w:id="68" w:name="_Toc20877"/>
      <w:bookmarkStart w:id="69" w:name="_Toc11620"/>
      <w:r>
        <w:rPr>
          <w:rFonts w:hint="eastAsia" w:ascii="宋体" w:hAnsi="宋体"/>
          <w:color w:val="auto"/>
          <w:szCs w:val="21"/>
          <w:highlight w:val="none"/>
        </w:rPr>
        <w:t>投标人（全称并加盖公章）：</w:t>
      </w:r>
      <w:bookmarkEnd w:id="68"/>
      <w:bookmarkEnd w:id="69"/>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u w:val="single"/>
        </w:rPr>
      </w:pPr>
      <w:bookmarkStart w:id="70" w:name="_Toc12222"/>
      <w:bookmarkStart w:id="71" w:name="_Toc625"/>
      <w:r>
        <w:rPr>
          <w:rFonts w:hint="eastAsia" w:ascii="宋体" w:hAnsi="宋体"/>
          <w:color w:val="auto"/>
          <w:szCs w:val="21"/>
          <w:highlight w:val="none"/>
        </w:rPr>
        <w:t>法定代表人或其委托代理人（签字）：</w:t>
      </w:r>
      <w:bookmarkEnd w:id="70"/>
      <w:bookmarkEnd w:id="71"/>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rPr>
      </w:pPr>
      <w:bookmarkStart w:id="72" w:name="_Toc1330"/>
      <w:bookmarkStart w:id="73" w:name="_Toc9950"/>
      <w:r>
        <w:rPr>
          <w:rFonts w:hint="eastAsia" w:ascii="宋体" w:hAnsi="宋体"/>
          <w:color w:val="auto"/>
          <w:szCs w:val="21"/>
          <w:highlight w:val="none"/>
        </w:rPr>
        <w:t>年  月  日</w:t>
      </w:r>
      <w:bookmarkEnd w:id="72"/>
      <w:bookmarkEnd w:id="73"/>
    </w:p>
    <w:p>
      <w:pPr>
        <w:rPr>
          <w:color w:val="auto"/>
          <w:highlight w:val="none"/>
        </w:rPr>
      </w:pPr>
      <w:r>
        <w:rPr>
          <w:color w:val="auto"/>
          <w:highlight w:val="none"/>
        </w:rPr>
        <w:br w:type="page"/>
      </w:r>
    </w:p>
    <w:p>
      <w:pPr>
        <w:rPr>
          <w:color w:val="auto"/>
          <w:highlight w:val="none"/>
        </w:rPr>
      </w:pPr>
    </w:p>
    <w:bookmarkEnd w:id="48"/>
    <w:bookmarkEnd w:id="49"/>
    <w:p>
      <w:pPr>
        <w:pStyle w:val="9"/>
        <w:spacing w:before="20" w:after="20"/>
        <w:rPr>
          <w:color w:val="auto"/>
          <w:highlight w:val="none"/>
        </w:rPr>
      </w:pPr>
      <w:bookmarkStart w:id="74" w:name="_Toc22004"/>
      <w:bookmarkStart w:id="75" w:name="_Toc24984"/>
      <w:r>
        <w:rPr>
          <w:rFonts w:hint="eastAsia"/>
          <w:color w:val="auto"/>
          <w:highlight w:val="none"/>
        </w:rPr>
        <w:t>附件4               报价明细表</w:t>
      </w:r>
      <w:bookmarkEnd w:id="74"/>
      <w:bookmarkEnd w:id="75"/>
    </w:p>
    <w:p>
      <w:pPr>
        <w:widowControl/>
        <w:wordWrap w:val="0"/>
        <w:snapToGrid w:val="0"/>
        <w:spacing w:before="50" w:after="50"/>
        <w:ind w:left="-3" w:leftChars="-72" w:right="-817" w:rightChars="-389" w:hanging="148" w:hangingChars="62"/>
        <w:jc w:val="left"/>
        <w:rPr>
          <w:rFonts w:ascii="宋体" w:hAnsi="宋体" w:cs="宋体"/>
          <w:color w:val="auto"/>
          <w:kern w:val="0"/>
          <w:sz w:val="24"/>
          <w:highlight w:val="none"/>
        </w:rPr>
      </w:pPr>
      <w:r>
        <w:rPr>
          <w:rFonts w:hint="eastAsia" w:cs="宋体"/>
          <w:color w:val="auto"/>
          <w:kern w:val="0"/>
          <w:sz w:val="24"/>
          <w:highlight w:val="none"/>
          <w:lang w:val="en-US" w:eastAsia="zh-CN"/>
        </w:rPr>
        <w:t xml:space="preserve">                               </w:t>
      </w:r>
      <w:r>
        <w:rPr>
          <w:rFonts w:hint="eastAsia" w:ascii="宋体" w:hAnsi="宋体" w:cs="宋体"/>
          <w:color w:val="auto"/>
          <w:kern w:val="0"/>
          <w:sz w:val="24"/>
          <w:highlight w:val="none"/>
        </w:rPr>
        <w:t xml:space="preserve">                       金额单位：人民币（元）</w:t>
      </w:r>
    </w:p>
    <w:tbl>
      <w:tblPr>
        <w:tblStyle w:val="32"/>
        <w:tblW w:w="830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2012"/>
        <w:gridCol w:w="1172"/>
        <w:gridCol w:w="1494"/>
        <w:gridCol w:w="1026"/>
        <w:gridCol w:w="1127"/>
        <w:gridCol w:w="9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jc w:val="center"/>
        </w:trPr>
        <w:tc>
          <w:tcPr>
            <w:tcW w:w="54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序号</w:t>
            </w:r>
          </w:p>
        </w:tc>
        <w:tc>
          <w:tcPr>
            <w:tcW w:w="2012" w:type="dxa"/>
            <w:tcBorders>
              <w:top w:val="single" w:color="auto" w:sz="4" w:space="0"/>
              <w:left w:val="single" w:color="auto" w:sz="4" w:space="0"/>
              <w:bottom w:val="nil"/>
              <w:right w:val="single" w:color="auto" w:sz="4" w:space="0"/>
            </w:tcBorders>
            <w:vAlign w:val="center"/>
          </w:tcPr>
          <w:p>
            <w:pPr>
              <w:widowControl/>
              <w:snapToGrid w:val="0"/>
              <w:spacing w:before="50" w:after="50"/>
              <w:jc w:val="center"/>
              <w:rPr>
                <w:rFonts w:ascii="宋体" w:hAnsi="宋体" w:cs="宋体"/>
                <w:color w:val="auto"/>
                <w:kern w:val="0"/>
                <w:sz w:val="24"/>
                <w:highlight w:val="none"/>
              </w:rPr>
            </w:pPr>
            <w:r>
              <w:rPr>
                <w:rFonts w:hint="eastAsia" w:ascii="宋体" w:hAnsi="宋体" w:cs="宋体"/>
                <w:color w:val="auto"/>
                <w:kern w:val="0"/>
                <w:sz w:val="24"/>
                <w:highlight w:val="none"/>
              </w:rPr>
              <w:t>货物名称</w:t>
            </w:r>
          </w:p>
        </w:tc>
        <w:tc>
          <w:tcPr>
            <w:tcW w:w="1172"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品牌</w:t>
            </w:r>
          </w:p>
        </w:tc>
        <w:tc>
          <w:tcPr>
            <w:tcW w:w="1494"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spacing w:val="20"/>
                <w:kern w:val="0"/>
                <w:sz w:val="24"/>
                <w:highlight w:val="none"/>
                <w:lang w:val="en-US" w:eastAsia="zh-CN"/>
              </w:rPr>
            </w:pPr>
            <w:r>
              <w:rPr>
                <w:rFonts w:hint="eastAsia" w:ascii="宋体" w:hAnsi="宋体" w:cs="宋体"/>
                <w:color w:val="auto"/>
                <w:kern w:val="0"/>
                <w:sz w:val="24"/>
                <w:highlight w:val="none"/>
              </w:rPr>
              <w:t>规格/</w:t>
            </w:r>
            <w:r>
              <w:rPr>
                <w:rFonts w:hint="eastAsia" w:ascii="宋体" w:hAnsi="宋体" w:cs="宋体"/>
                <w:color w:val="auto"/>
                <w:kern w:val="0"/>
                <w:sz w:val="24"/>
                <w:highlight w:val="none"/>
                <w:lang w:val="en-US" w:eastAsia="zh-CN"/>
              </w:rPr>
              <w:t>型号</w:t>
            </w:r>
          </w:p>
        </w:tc>
        <w:tc>
          <w:tcPr>
            <w:tcW w:w="102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单位</w:t>
            </w:r>
          </w:p>
        </w:tc>
        <w:tc>
          <w:tcPr>
            <w:tcW w:w="112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数量</w:t>
            </w:r>
          </w:p>
        </w:tc>
        <w:tc>
          <w:tcPr>
            <w:tcW w:w="93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spacing w:val="20"/>
                <w:kern w:val="0"/>
                <w:sz w:val="24"/>
                <w:highlight w:val="none"/>
              </w:rPr>
              <w:t xml:space="preserve">…… </w:t>
            </w: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371" w:type="dxa"/>
            <w:gridSpan w:val="6"/>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default" w:ascii="宋体" w:hAnsi="宋体" w:eastAsia="宋体" w:cs="宋体"/>
                <w:color w:val="auto"/>
                <w:spacing w:val="20"/>
                <w:kern w:val="0"/>
                <w:sz w:val="24"/>
                <w:highlight w:val="none"/>
                <w:lang w:val="en-US" w:eastAsia="zh-CN"/>
              </w:rPr>
            </w:pPr>
            <w:r>
              <w:rPr>
                <w:rFonts w:hint="eastAsia" w:ascii="宋体" w:hAnsi="宋体" w:cs="宋体"/>
                <w:color w:val="auto"/>
                <w:spacing w:val="20"/>
                <w:kern w:val="0"/>
                <w:sz w:val="24"/>
                <w:highlight w:val="none"/>
              </w:rPr>
              <w:t>投标总价(</w:t>
            </w:r>
            <w:r>
              <w:rPr>
                <w:rFonts w:hint="eastAsia" w:ascii="宋体" w:hAnsi="宋体" w:cs="宋体"/>
                <w:color w:val="auto"/>
                <w:kern w:val="0"/>
                <w:sz w:val="24"/>
                <w:szCs w:val="21"/>
                <w:highlight w:val="none"/>
              </w:rPr>
              <w:t>大写)：</w:t>
            </w:r>
          </w:p>
        </w:tc>
        <w:tc>
          <w:tcPr>
            <w:tcW w:w="93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auto"/>
                <w:spacing w:val="20"/>
                <w:kern w:val="0"/>
                <w:sz w:val="24"/>
                <w:highlight w:val="none"/>
                <w:lang w:val="en-US" w:eastAsia="zh-CN"/>
              </w:rPr>
            </w:pPr>
            <w:r>
              <w:rPr>
                <w:rFonts w:hint="eastAsia" w:ascii="宋体" w:hAnsi="宋体" w:cs="宋体"/>
                <w:color w:val="auto"/>
                <w:kern w:val="0"/>
                <w:sz w:val="24"/>
                <w:szCs w:val="21"/>
                <w:highlight w:val="none"/>
              </w:rPr>
              <w:t>￥</w:t>
            </w:r>
          </w:p>
        </w:tc>
      </w:tr>
    </w:tbl>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color w:val="auto"/>
          <w:highlight w:val="none"/>
        </w:rPr>
      </w:pPr>
      <w:r>
        <w:rPr>
          <w:rFonts w:hint="eastAsia" w:ascii="宋体" w:hAnsi="宋体" w:cs="宋体"/>
          <w:color w:val="auto"/>
          <w:kern w:val="0"/>
          <w:sz w:val="24"/>
          <w:highlight w:val="none"/>
        </w:rPr>
        <w:t>年    月    日</w:t>
      </w:r>
    </w:p>
    <w:p>
      <w:pPr>
        <w:pStyle w:val="9"/>
        <w:rPr>
          <w:color w:val="auto"/>
          <w:highlight w:val="none"/>
        </w:rPr>
      </w:pPr>
      <w:r>
        <w:rPr>
          <w:rFonts w:hint="eastAsia"/>
          <w:color w:val="auto"/>
          <w:highlight w:val="none"/>
        </w:rPr>
        <w:br w:type="page"/>
      </w:r>
      <w:bookmarkStart w:id="76" w:name="_Toc226"/>
      <w:bookmarkStart w:id="77" w:name="_Toc15804"/>
      <w:r>
        <w:rPr>
          <w:rFonts w:hint="eastAsia"/>
          <w:color w:val="auto"/>
          <w:highlight w:val="none"/>
        </w:rPr>
        <w:t>附件5               技术响应表（格式）</w:t>
      </w:r>
      <w:bookmarkEnd w:id="76"/>
      <w:bookmarkEnd w:id="77"/>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r>
        <w:rPr>
          <w:rFonts w:hint="eastAsia" w:cs="宋体"/>
          <w:color w:val="auto"/>
          <w:kern w:val="0"/>
          <w:sz w:val="24"/>
          <w:highlight w:val="none"/>
          <w:lang w:val="en-US" w:eastAsia="zh-CN"/>
        </w:rPr>
        <w:t xml:space="preserve"> </w:t>
      </w:r>
    </w:p>
    <w:tbl>
      <w:tblPr>
        <w:tblStyle w:val="33"/>
        <w:tblpPr w:leftFromText="180" w:rightFromText="180" w:vertAnchor="text" w:horzAnchor="page" w:tblpX="1410" w:tblpY="53"/>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712"/>
        <w:gridCol w:w="2114"/>
        <w:gridCol w:w="2273"/>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69" w:type="dxa"/>
            <w:vAlign w:val="center"/>
          </w:tcPr>
          <w:p>
            <w:pPr>
              <w:jc w:val="center"/>
              <w:rPr>
                <w:color w:val="auto"/>
                <w:sz w:val="24"/>
                <w:highlight w:val="none"/>
              </w:rPr>
            </w:pPr>
            <w:r>
              <w:rPr>
                <w:rFonts w:hint="eastAsia"/>
                <w:color w:val="auto"/>
                <w:sz w:val="24"/>
                <w:highlight w:val="none"/>
              </w:rPr>
              <w:t>序号</w:t>
            </w:r>
          </w:p>
        </w:tc>
        <w:tc>
          <w:tcPr>
            <w:tcW w:w="1712" w:type="dxa"/>
            <w:vAlign w:val="center"/>
          </w:tcPr>
          <w:p>
            <w:pPr>
              <w:jc w:val="center"/>
              <w:rPr>
                <w:color w:val="auto"/>
                <w:sz w:val="24"/>
                <w:highlight w:val="none"/>
              </w:rPr>
            </w:pPr>
            <w:r>
              <w:rPr>
                <w:rFonts w:hint="eastAsia"/>
                <w:color w:val="auto"/>
                <w:sz w:val="24"/>
                <w:highlight w:val="none"/>
              </w:rPr>
              <w:t>货物名称</w:t>
            </w:r>
          </w:p>
        </w:tc>
        <w:tc>
          <w:tcPr>
            <w:tcW w:w="2114" w:type="dxa"/>
            <w:vAlign w:val="center"/>
          </w:tcPr>
          <w:p>
            <w:pPr>
              <w:spacing w:line="360" w:lineRule="auto"/>
              <w:jc w:val="center"/>
              <w:rPr>
                <w:color w:val="auto"/>
                <w:sz w:val="24"/>
                <w:highlight w:val="none"/>
              </w:rPr>
            </w:pPr>
            <w:r>
              <w:rPr>
                <w:rFonts w:hint="eastAsia" w:ascii="宋体" w:hAnsi="宋体" w:cs="宋体"/>
                <w:color w:val="auto"/>
                <w:kern w:val="0"/>
                <w:sz w:val="24"/>
                <w:highlight w:val="none"/>
                <w:lang w:val="en-US" w:eastAsia="zh-CN"/>
              </w:rPr>
              <w:t>采购</w:t>
            </w:r>
            <w:r>
              <w:rPr>
                <w:rFonts w:hint="eastAsia" w:ascii="宋体" w:hAnsi="宋体" w:cs="宋体"/>
                <w:color w:val="auto"/>
                <w:kern w:val="0"/>
                <w:sz w:val="24"/>
                <w:highlight w:val="none"/>
              </w:rPr>
              <w:t>文件要求</w:t>
            </w:r>
          </w:p>
        </w:tc>
        <w:tc>
          <w:tcPr>
            <w:tcW w:w="227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投标文件响应</w:t>
            </w:r>
          </w:p>
        </w:tc>
        <w:tc>
          <w:tcPr>
            <w:tcW w:w="1952"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1</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color w:val="auto"/>
                <w:sz w:val="24"/>
                <w:highlight w:val="none"/>
              </w:rPr>
            </w:pPr>
          </w:p>
        </w:tc>
        <w:tc>
          <w:tcPr>
            <w:tcW w:w="1952"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2</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3</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4</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w:t>
            </w:r>
          </w:p>
        </w:tc>
        <w:tc>
          <w:tcPr>
            <w:tcW w:w="1712" w:type="dxa"/>
            <w:vAlign w:val="center"/>
          </w:tcPr>
          <w:p>
            <w:pPr>
              <w:jc w:val="center"/>
              <w:rPr>
                <w:color w:val="auto"/>
                <w:sz w:val="24"/>
                <w:highlight w:val="none"/>
              </w:rPr>
            </w:pPr>
          </w:p>
        </w:tc>
        <w:tc>
          <w:tcPr>
            <w:tcW w:w="2114" w:type="dxa"/>
            <w:vAlign w:val="center"/>
          </w:tcPr>
          <w:p>
            <w:pPr>
              <w:jc w:val="center"/>
              <w:rPr>
                <w:bCs/>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bl>
    <w:p>
      <w:pPr>
        <w:rPr>
          <w:b/>
          <w:color w:val="auto"/>
          <w:kern w:val="0"/>
          <w:sz w:val="24"/>
          <w:highlight w:val="none"/>
        </w:rPr>
      </w:pPr>
    </w:p>
    <w:p>
      <w:pPr>
        <w:widowControl/>
        <w:wordWrap w:val="0"/>
        <w:spacing w:before="50" w:after="50" w:line="480" w:lineRule="auto"/>
        <w:jc w:val="left"/>
        <w:rPr>
          <w:rFonts w:ascii="宋体" w:hAnsi="宋体" w:cs="宋体"/>
          <w:bCs/>
          <w:color w:val="auto"/>
          <w:kern w:val="0"/>
          <w:sz w:val="24"/>
          <w:highlight w:val="none"/>
        </w:rPr>
      </w:pPr>
      <w:r>
        <w:rPr>
          <w:rFonts w:hint="eastAsia" w:ascii="宋体" w:hAnsi="宋体" w:cs="宋体"/>
          <w:bCs/>
          <w:color w:val="auto"/>
          <w:kern w:val="0"/>
          <w:sz w:val="24"/>
          <w:highlight w:val="none"/>
        </w:rPr>
        <w:t>注：投标人必须如实完整填写表格， “偏离情况”是指“正偏离”、“负偏离”或“无偏离”。</w:t>
      </w:r>
    </w:p>
    <w:p>
      <w:pPr>
        <w:pStyle w:val="53"/>
        <w:rPr>
          <w:bCs/>
          <w:color w:val="auto"/>
          <w:kern w:val="0"/>
          <w:highlight w:val="none"/>
        </w:rPr>
      </w:pPr>
    </w:p>
    <w:p>
      <w:pPr>
        <w:pStyle w:val="53"/>
        <w:rPr>
          <w:bCs/>
          <w:color w:val="auto"/>
          <w:kern w:val="0"/>
          <w:highlight w:val="none"/>
        </w:rPr>
      </w:pPr>
    </w:p>
    <w:p>
      <w:pPr>
        <w:pStyle w:val="53"/>
        <w:rPr>
          <w:bCs/>
          <w:color w:val="auto"/>
          <w:kern w:val="0"/>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hint="eastAsia" w:ascii="Arial" w:hAnsi="Arial" w:eastAsia="新宋体"/>
          <w:b/>
          <w:color w:val="auto"/>
          <w:sz w:val="28"/>
          <w:highlight w:val="none"/>
          <w:lang w:eastAsia="zh-CN"/>
        </w:rPr>
      </w:pPr>
      <w:bookmarkStart w:id="78" w:name="_Toc29960"/>
      <w:bookmarkStart w:id="79" w:name="_Toc20420"/>
      <w:r>
        <w:rPr>
          <w:rFonts w:hint="eastAsia" w:ascii="Arial" w:hAnsi="Arial" w:eastAsia="新宋体"/>
          <w:b/>
          <w:color w:val="auto"/>
          <w:sz w:val="28"/>
          <w:highlight w:val="none"/>
        </w:rPr>
        <w:t>附件6               商务响应</w:t>
      </w:r>
      <w:bookmarkEnd w:id="78"/>
      <w:bookmarkEnd w:id="79"/>
      <w:r>
        <w:rPr>
          <w:rFonts w:hint="eastAsia" w:ascii="Arial" w:hAnsi="Arial" w:eastAsia="新宋体"/>
          <w:b/>
          <w:color w:val="auto"/>
          <w:sz w:val="28"/>
          <w:highlight w:val="none"/>
          <w:lang w:val="en-US" w:eastAsia="zh-CN"/>
        </w:rPr>
        <w:t>部分</w:t>
      </w:r>
    </w:p>
    <w:p>
      <w:pPr>
        <w:widowControl/>
        <w:wordWrap w:val="0"/>
        <w:snapToGrid w:val="0"/>
        <w:spacing w:before="50" w:afterLines="50"/>
        <w:jc w:val="left"/>
        <w:rPr>
          <w:rFonts w:cs="宋体"/>
          <w:color w:val="auto"/>
          <w:kern w:val="0"/>
          <w:sz w:val="24"/>
          <w:highlight w:val="none"/>
        </w:rPr>
      </w:pPr>
    </w:p>
    <w:p>
      <w:pPr>
        <w:widowControl/>
        <w:wordWrap w:val="0"/>
        <w:spacing w:line="460" w:lineRule="exact"/>
        <w:ind w:firstLine="480" w:firstLineChars="200"/>
        <w:jc w:val="left"/>
        <w:rPr>
          <w:rFonts w:hint="default" w:ascii="宋体" w:hAnsi="宋体" w:eastAsia="宋体" w:cs="宋体"/>
          <w:b/>
          <w:color w:val="auto"/>
          <w:kern w:val="0"/>
          <w:sz w:val="32"/>
          <w:szCs w:val="32"/>
          <w:highlight w:val="none"/>
          <w:lang w:val="en-US" w:eastAsia="zh-CN"/>
        </w:rPr>
      </w:pPr>
      <w:r>
        <w:rPr>
          <w:rFonts w:hint="eastAsia" w:cs="宋体"/>
          <w:color w:val="auto"/>
          <w:kern w:val="0"/>
          <w:sz w:val="24"/>
          <w:highlight w:val="none"/>
          <w:lang w:eastAsia="zh-CN"/>
        </w:rPr>
        <w:t xml:space="preserve"> </w:t>
      </w:r>
      <w:r>
        <w:rPr>
          <w:rFonts w:hint="eastAsia" w:ascii="宋体" w:hAnsi="宋体" w:cs="宋体"/>
          <w:b/>
          <w:color w:val="auto"/>
          <w:kern w:val="0"/>
          <w:sz w:val="32"/>
          <w:szCs w:val="32"/>
          <w:highlight w:val="none"/>
          <w:lang w:val="en-US" w:eastAsia="zh-CN"/>
        </w:rPr>
        <w:t>商务部分相关证明文件</w:t>
      </w:r>
    </w:p>
    <w:p>
      <w:pPr>
        <w:widowControl/>
        <w:wordWrap w:val="0"/>
        <w:snapToGrid w:val="0"/>
        <w:spacing w:before="156" w:after="156"/>
        <w:ind w:firstLine="420"/>
        <w:jc w:val="center"/>
        <w:rPr>
          <w:rFonts w:ascii="宋体" w:hAnsi="宋体" w:cs="宋体"/>
          <w:b/>
          <w:color w:val="auto"/>
          <w:kern w:val="0"/>
          <w:sz w:val="32"/>
          <w:szCs w:val="32"/>
          <w:highlight w:val="none"/>
        </w:rPr>
      </w:pPr>
    </w:p>
    <w:p>
      <w:pPr>
        <w:widowControl/>
        <w:wordWrap w:val="0"/>
        <w:spacing w:line="460" w:lineRule="exact"/>
        <w:jc w:val="left"/>
        <w:outlineLvl w:val="9"/>
        <w:rPr>
          <w:rFonts w:cs="宋体"/>
          <w:b/>
          <w:color w:val="auto"/>
          <w:kern w:val="0"/>
          <w:sz w:val="24"/>
          <w:highlight w:val="none"/>
        </w:rPr>
      </w:pPr>
    </w:p>
    <w:p>
      <w:pPr>
        <w:widowControl/>
        <w:wordWrap w:val="0"/>
        <w:spacing w:line="460" w:lineRule="exact"/>
        <w:jc w:val="left"/>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color w:val="auto"/>
        </w:rPr>
      </w:pPr>
    </w:p>
    <w:p>
      <w:pPr>
        <w:outlineLvl w:val="9"/>
        <w:rPr>
          <w:rFonts w:cs="宋体"/>
          <w:b/>
          <w:color w:val="auto"/>
          <w:kern w:val="0"/>
          <w:sz w:val="24"/>
          <w:highlight w:val="none"/>
        </w:rPr>
      </w:pPr>
      <w:r>
        <w:rPr>
          <w:rFonts w:cs="宋体"/>
          <w:b/>
          <w:color w:val="auto"/>
          <w:kern w:val="0"/>
          <w:sz w:val="24"/>
          <w:highlight w:val="none"/>
        </w:rPr>
        <w:br w:type="page"/>
      </w:r>
    </w:p>
    <w:p>
      <w:pPr>
        <w:pStyle w:val="2"/>
        <w:rPr>
          <w:color w:val="auto"/>
        </w:rPr>
      </w:pPr>
    </w:p>
    <w:p>
      <w:pPr>
        <w:widowControl/>
        <w:wordWrap w:val="0"/>
        <w:spacing w:line="460" w:lineRule="exact"/>
        <w:jc w:val="left"/>
        <w:outlineLvl w:val="0"/>
        <w:rPr>
          <w:rFonts w:ascii="Arial" w:hAnsi="Arial" w:eastAsia="新宋体"/>
          <w:b/>
          <w:color w:val="auto"/>
          <w:sz w:val="28"/>
          <w:highlight w:val="none"/>
        </w:rPr>
      </w:pPr>
      <w:bookmarkStart w:id="80" w:name="_Toc31526"/>
      <w:bookmarkStart w:id="81" w:name="_Toc28621"/>
      <w:r>
        <w:rPr>
          <w:rFonts w:hint="eastAsia" w:ascii="Arial" w:hAnsi="Arial" w:eastAsia="新宋体"/>
          <w:b/>
          <w:color w:val="auto"/>
          <w:sz w:val="28"/>
          <w:highlight w:val="none"/>
        </w:rPr>
        <w:t>附件7               法定代表人身份证明（格式）</w:t>
      </w:r>
      <w:bookmarkEnd w:id="80"/>
      <w:bookmarkEnd w:id="81"/>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（投标人名称）的法定代表人。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2"/>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3"/>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82" w:name="_Toc30519"/>
      <w:bookmarkStart w:id="83" w:name="_Toc13976"/>
      <w:r>
        <w:rPr>
          <w:rFonts w:hint="eastAsia" w:ascii="Arial" w:hAnsi="Arial" w:eastAsia="新宋体"/>
          <w:b/>
          <w:color w:val="auto"/>
          <w:sz w:val="28"/>
          <w:highlight w:val="none"/>
        </w:rPr>
        <w:t>附件8               法定代表人授权书（格式）</w:t>
      </w:r>
      <w:bookmarkEnd w:id="82"/>
      <w:bookmarkEnd w:id="83"/>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 xml:space="preserve">（投标人名称）的法定代表人，现委托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2"/>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84" w:name="_Toc24693"/>
      <w:bookmarkStart w:id="85" w:name="_Toc18105"/>
      <w:r>
        <w:rPr>
          <w:rFonts w:hint="eastAsia" w:ascii="Arial" w:hAnsi="Arial" w:eastAsia="新宋体"/>
          <w:b/>
          <w:color w:val="auto"/>
          <w:sz w:val="28"/>
          <w:highlight w:val="none"/>
        </w:rPr>
        <w:t>附件9               证明文件</w:t>
      </w:r>
      <w:bookmarkEnd w:id="84"/>
      <w:bookmarkEnd w:id="85"/>
    </w:p>
    <w:p>
      <w:pPr>
        <w:pStyle w:val="13"/>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9.1</w:t>
      </w:r>
      <w:r>
        <w:rPr>
          <w:rFonts w:hint="eastAsia"/>
          <w:bCs/>
          <w:color w:val="auto"/>
          <w:sz w:val="21"/>
          <w:szCs w:val="21"/>
          <w:highlight w:val="none"/>
          <w:lang w:val="en-US" w:eastAsia="zh-CN"/>
        </w:rPr>
        <w:t xml:space="preserve"> </w:t>
      </w:r>
      <w:r>
        <w:rPr>
          <w:rFonts w:hint="eastAsia"/>
          <w:bCs/>
          <w:color w:val="auto"/>
          <w:sz w:val="21"/>
          <w:szCs w:val="21"/>
          <w:highlight w:val="none"/>
        </w:rPr>
        <w:t>资格审查资料</w:t>
      </w:r>
    </w:p>
    <w:p>
      <w:pPr>
        <w:pStyle w:val="13"/>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9.2</w:t>
      </w:r>
      <w:r>
        <w:rPr>
          <w:rFonts w:hint="eastAsia"/>
          <w:bCs/>
          <w:color w:val="auto"/>
          <w:sz w:val="21"/>
          <w:szCs w:val="21"/>
          <w:highlight w:val="none"/>
          <w:lang w:val="en-US" w:eastAsia="zh-CN"/>
        </w:rPr>
        <w:t xml:space="preserve"> </w:t>
      </w:r>
      <w:r>
        <w:rPr>
          <w:rFonts w:hint="eastAsia"/>
          <w:bCs/>
          <w:color w:val="auto"/>
          <w:sz w:val="21"/>
          <w:szCs w:val="21"/>
          <w:highlight w:val="none"/>
        </w:rPr>
        <w:t>技术方案</w:t>
      </w:r>
    </w:p>
    <w:p>
      <w:pPr>
        <w:pStyle w:val="13"/>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9.3</w:t>
      </w:r>
      <w:r>
        <w:rPr>
          <w:rFonts w:hint="eastAsia"/>
          <w:bCs/>
          <w:color w:val="auto"/>
          <w:sz w:val="21"/>
          <w:szCs w:val="21"/>
          <w:highlight w:val="none"/>
          <w:lang w:val="en-US" w:eastAsia="zh-CN"/>
        </w:rPr>
        <w:t xml:space="preserve"> </w:t>
      </w:r>
      <w:r>
        <w:rPr>
          <w:rFonts w:hint="eastAsia"/>
          <w:bCs/>
          <w:color w:val="auto"/>
          <w:sz w:val="21"/>
          <w:szCs w:val="21"/>
          <w:highlight w:val="none"/>
        </w:rPr>
        <w:t>其他需要提供的证明材料</w:t>
      </w:r>
      <w:bookmarkStart w:id="86" w:name="_Toc17966"/>
    </w:p>
    <w:p>
      <w:pPr>
        <w:pStyle w:val="13"/>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w:t>
      </w:r>
      <w:r>
        <w:rPr>
          <w:rFonts w:hint="eastAsia"/>
          <w:bCs/>
          <w:color w:val="auto"/>
          <w:sz w:val="21"/>
          <w:szCs w:val="21"/>
          <w:highlight w:val="none"/>
          <w:lang w:val="en-US" w:eastAsia="zh-CN"/>
        </w:rPr>
        <w:t xml:space="preserve">4 </w:t>
      </w:r>
      <w:r>
        <w:rPr>
          <w:rFonts w:hint="eastAsia"/>
          <w:bCs/>
          <w:color w:val="auto"/>
          <w:sz w:val="21"/>
          <w:szCs w:val="21"/>
          <w:highlight w:val="none"/>
        </w:rPr>
        <w:t>其他证明材料。</w:t>
      </w:r>
    </w:p>
    <w:p>
      <w:pPr>
        <w:pStyle w:val="13"/>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13"/>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87" w:name="_Toc13726"/>
      <w:bookmarkStart w:id="88" w:name="_Toc12888"/>
      <w:r>
        <w:rPr>
          <w:rFonts w:hint="eastAsia" w:ascii="宋体" w:hAnsi="宋体" w:cs="Lucida Sans Unicode"/>
          <w:b/>
          <w:color w:val="auto"/>
          <w:kern w:val="0"/>
          <w:sz w:val="28"/>
          <w:szCs w:val="28"/>
          <w:highlight w:val="none"/>
        </w:rPr>
        <w:t xml:space="preserve">附件10        </w:t>
      </w:r>
      <w:bookmarkEnd w:id="86"/>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87"/>
      <w:bookmarkEnd w:id="88"/>
    </w:p>
    <w:p>
      <w:pPr>
        <w:bidi w:val="0"/>
        <w:rPr>
          <w:color w:val="auto"/>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lang w:val="en-US" w:eastAsia="zh-CN"/>
        </w:rPr>
        <w:t>公司名称</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color w:val="auto"/>
          <w:sz w:val="28"/>
          <w:szCs w:val="28"/>
        </w:rPr>
      </w:pPr>
      <w:r>
        <w:rPr>
          <w:rFonts w:hint="eastAsia" w:ascii="宋体" w:hAnsi="宋体" w:eastAsia="宋体" w:cs="宋体"/>
          <w:color w:val="auto"/>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spacing w:line="360" w:lineRule="auto"/>
        <w:rPr>
          <w:color w:val="auto"/>
          <w:highlight w:val="none"/>
        </w:rPr>
      </w:pPr>
    </w:p>
    <w:p>
      <w:pPr>
        <w:rPr>
          <w:color w:val="auto"/>
          <w:highlight w:val="none"/>
        </w:rPr>
      </w:pPr>
      <w:r>
        <w:rPr>
          <w:color w:val="auto"/>
          <w:highlight w:val="none"/>
        </w:rPr>
        <w:br w:type="page"/>
      </w:r>
    </w:p>
    <w:p>
      <w:pPr>
        <w:jc w:val="center"/>
        <w:rPr>
          <w:rFonts w:hint="eastAsia" w:ascii="宋体" w:hAnsi="宋体" w:eastAsia="宋体" w:cs="宋体"/>
          <w:b/>
          <w:bCs/>
          <w:color w:val="auto"/>
          <w:kern w:val="2"/>
          <w:sz w:val="28"/>
          <w:szCs w:val="18"/>
          <w:highlight w:val="none"/>
          <w:lang w:val="en-US" w:eastAsia="zh-CN" w:bidi="ar-SA"/>
        </w:rPr>
      </w:pPr>
      <w:r>
        <w:rPr>
          <w:rFonts w:hint="eastAsia" w:ascii="宋体" w:hAnsi="宋体" w:eastAsia="宋体" w:cs="宋体"/>
          <w:b/>
          <w:bCs/>
          <w:color w:val="auto"/>
          <w:kern w:val="2"/>
          <w:sz w:val="28"/>
          <w:szCs w:val="18"/>
          <w:highlight w:val="none"/>
          <w:lang w:val="en-US" w:eastAsia="zh-CN" w:bidi="ar-SA"/>
        </w:rPr>
        <w:t>附件11     供应商信用承诺函（格式）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致（采购人或政府采购代理机构）：</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单位名称（自然人姓名）：</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统一社会信用代码（身份证号码）：</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法定代表人（负责人）：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联系地址和电话：</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仿宋" w:hAnsi="仿宋" w:eastAsia="仿宋" w:cs="仿宋"/>
          <w:sz w:val="32"/>
          <w:szCs w:val="32"/>
        </w:rPr>
      </w:pPr>
      <w:r>
        <w:rPr>
          <w:rFonts w:hint="eastAsia" w:ascii="宋体" w:hAnsi="宋体" w:eastAsia="宋体" w:cs="宋体"/>
          <w:color w:val="auto"/>
          <w:sz w:val="24"/>
          <w:szCs w:val="24"/>
          <w:lang w:val="en-US" w:eastAsia="zh-CN"/>
        </w:rPr>
        <w:t>（四）有依法缴纳税收和社会保障资金的良好</w:t>
      </w:r>
      <w:r>
        <w:rPr>
          <w:rFonts w:hint="eastAsia" w:ascii="仿宋" w:hAnsi="仿宋" w:eastAsia="仿宋" w:cs="仿宋"/>
          <w:sz w:val="32"/>
          <w:szCs w:val="32"/>
          <w:lang w:val="en-US" w:eastAsia="zh-CN"/>
        </w:rPr>
        <w:t>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（六）未被列入严重失信主体名单、失信被执行人、税收违法黑名单、政府采购严重违法失信行为记录名单，未曾作出虚假承诺；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（七）符合法律、行政法规规定的其他条件。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我单位（本人）保证上述承诺事项的真实性，如有弄虚作假或其他违法违规行为，愿意承担一切法律责任，并承担因此所造成的一切损失。</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供应商名称（盖章）：</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法定代表人、负责人、自然人或授权代表(签字)：</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日期：       年         月          日</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注：1.供应商须在投标（响应性）文件中按此模板提供承诺函，未提供视为未实质性响应招标文件要求，按无效投标（响应）处理。</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2.供应商的法定代表人或者授权代表的签字或盖章应真实、有效，如由授权代表签字或盖章的，应提供“法定代表人授权书”。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widowControl/>
        <w:shd w:val="clear" w:color="auto" w:fill="auto"/>
        <w:ind w:firstLine="360" w:firstLineChars="150"/>
        <w:jc w:val="left"/>
        <w:rPr>
          <w:rFonts w:hint="eastAsia" w:ascii="宋体" w:hAnsi="宋体" w:eastAsia="宋体" w:cs="宋体"/>
          <w:sz w:val="24"/>
          <w:szCs w:val="24"/>
        </w:rPr>
      </w:pPr>
    </w:p>
    <w:p>
      <w:pPr>
        <w:pStyle w:val="2"/>
        <w:rPr>
          <w:rFonts w:hint="eastAsia" w:ascii="宋体" w:hAnsi="宋体" w:eastAsia="宋体" w:cs="宋体"/>
          <w:sz w:val="24"/>
          <w:szCs w:val="24"/>
        </w:rPr>
      </w:pPr>
    </w:p>
    <w:p>
      <w:pPr>
        <w:pStyle w:val="5"/>
        <w:rPr>
          <w:rFonts w:hint="eastAsia" w:ascii="宋体" w:hAnsi="宋体" w:eastAsia="宋体" w:cs="宋体"/>
          <w:sz w:val="24"/>
          <w:szCs w:val="24"/>
        </w:rPr>
      </w:pPr>
    </w:p>
    <w:p>
      <w:pPr>
        <w:rPr>
          <w:rFonts w:hint="eastAsia" w:ascii="宋体" w:hAnsi="宋体" w:eastAsia="宋体" w:cs="宋体"/>
          <w:sz w:val="24"/>
          <w:szCs w:val="24"/>
        </w:rPr>
      </w:pPr>
    </w:p>
    <w:p>
      <w:pPr>
        <w:pStyle w:val="2"/>
        <w:rPr>
          <w:rFonts w:hint="eastAsia" w:ascii="宋体" w:hAnsi="宋体" w:eastAsia="宋体" w:cs="宋体"/>
          <w:sz w:val="24"/>
          <w:szCs w:val="24"/>
        </w:rPr>
      </w:pPr>
    </w:p>
    <w:p>
      <w:pPr>
        <w:pStyle w:val="5"/>
        <w:rPr>
          <w:rFonts w:hint="eastAsia" w:ascii="宋体" w:hAnsi="宋体" w:eastAsia="宋体" w:cs="宋体"/>
          <w:sz w:val="24"/>
          <w:szCs w:val="24"/>
        </w:rPr>
      </w:pPr>
    </w:p>
    <w:p>
      <w:pPr>
        <w:rPr>
          <w:rFonts w:hint="eastAsia" w:ascii="宋体" w:hAnsi="宋体" w:eastAsia="宋体" w:cs="宋体"/>
          <w:sz w:val="24"/>
          <w:szCs w:val="24"/>
        </w:rPr>
      </w:pPr>
    </w:p>
    <w:p>
      <w:pPr>
        <w:pStyle w:val="2"/>
        <w:rPr>
          <w:rFonts w:hint="eastAsia" w:ascii="宋体" w:hAnsi="宋体" w:eastAsia="宋体" w:cs="宋体"/>
          <w:sz w:val="24"/>
          <w:szCs w:val="24"/>
        </w:rPr>
      </w:pPr>
    </w:p>
    <w:p>
      <w:pPr>
        <w:pStyle w:val="5"/>
        <w:rPr>
          <w:rFonts w:hint="eastAsia" w:ascii="宋体" w:hAnsi="宋体" w:eastAsia="宋体" w:cs="宋体"/>
          <w:sz w:val="24"/>
          <w:szCs w:val="24"/>
        </w:rPr>
      </w:pPr>
    </w:p>
    <w:p>
      <w:pPr>
        <w:rPr>
          <w:rFonts w:hint="eastAsia" w:ascii="宋体" w:hAnsi="宋体" w:eastAsia="宋体" w:cs="宋体"/>
          <w:sz w:val="24"/>
          <w:szCs w:val="24"/>
        </w:rPr>
      </w:pPr>
    </w:p>
    <w:p>
      <w:pPr>
        <w:pStyle w:val="2"/>
        <w:rPr>
          <w:rFonts w:hint="eastAsia" w:ascii="宋体" w:hAnsi="宋体" w:eastAsia="宋体" w:cs="宋体"/>
          <w:sz w:val="24"/>
          <w:szCs w:val="24"/>
        </w:rPr>
      </w:pPr>
    </w:p>
    <w:p>
      <w:pPr>
        <w:pStyle w:val="5"/>
        <w:rPr>
          <w:rFonts w:hint="eastAsia" w:ascii="宋体" w:hAnsi="宋体" w:eastAsia="宋体" w:cs="宋体"/>
          <w:sz w:val="24"/>
          <w:szCs w:val="24"/>
        </w:rPr>
      </w:pPr>
    </w:p>
    <w:p>
      <w:pPr>
        <w:rPr>
          <w:rFonts w:hint="eastAsia" w:ascii="宋体" w:hAnsi="宋体" w:eastAsia="宋体" w:cs="宋体"/>
          <w:sz w:val="24"/>
          <w:szCs w:val="24"/>
        </w:rPr>
      </w:pPr>
    </w:p>
    <w:p>
      <w:pPr>
        <w:pStyle w:val="2"/>
        <w:rPr>
          <w:rFonts w:hint="eastAsia"/>
        </w:rPr>
      </w:pPr>
    </w:p>
    <w:p>
      <w:pPr>
        <w:pStyle w:val="49"/>
        <w:rPr>
          <w:color w:val="auto"/>
        </w:rPr>
      </w:pPr>
    </w:p>
    <w:p>
      <w:pPr>
        <w:widowControl/>
        <w:snapToGrid w:val="0"/>
        <w:spacing w:line="360" w:lineRule="auto"/>
        <w:jc w:val="center"/>
        <w:outlineLvl w:val="0"/>
        <w:rPr>
          <w:rFonts w:ascii="宋体" w:hAnsi="宋体" w:cs="Lucida Sans Unicode"/>
          <w:b/>
          <w:color w:val="auto"/>
          <w:kern w:val="0"/>
          <w:sz w:val="24"/>
          <w:highlight w:val="none"/>
        </w:rPr>
      </w:pPr>
      <w:bookmarkStart w:id="89" w:name="_Toc25094"/>
      <w:bookmarkStart w:id="90" w:name="_Toc23394"/>
      <w:r>
        <w:rPr>
          <w:rFonts w:hint="eastAsia" w:ascii="宋体" w:hAnsi="宋体" w:cs="Lucida Sans Unicode"/>
          <w:b/>
          <w:color w:val="auto"/>
          <w:kern w:val="0"/>
          <w:sz w:val="24"/>
          <w:highlight w:val="none"/>
        </w:rPr>
        <w:t>投标人认为有必要的其他资料</w:t>
      </w:r>
      <w:bookmarkEnd w:id="89"/>
      <w:bookmarkEnd w:id="90"/>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备注：投标人应当仔细核对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文件中有关废标条款和评标标准，提供投标人认为应当附加的其它内容，以充分证明其投标符合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文件规定，并为评标提供充分依据。如果投标人未能提供相关证明文件，将有可能导致废标或者无法得分。</w:t>
      </w: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both"/>
        <w:rPr>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3"/>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3"/>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pPr>
    <w:r>
      <w:rPr>
        <w:rFonts w:hint="eastAsia" w:ascii="宋体" w:hAnsi="宋体" w:cs="宋体"/>
        <w:color w:val="auto"/>
        <w:lang w:eastAsia="zh-CN"/>
      </w:rPr>
      <w:t>驻马店市中心医院氟[18F]脱氧葡糖注射液采购</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rPr>
        <w:rFonts w:hint="eastAsia" w:eastAsia="宋体"/>
        <w:lang w:val="en-US" w:eastAsia="zh-CN"/>
      </w:rPr>
    </w:pPr>
    <w:r>
      <w:rPr>
        <w:rFonts w:hint="eastAsia"/>
      </w:rPr>
      <w:t xml:space="preserve">                            </w:t>
    </w:r>
    <w:r>
      <w:rPr>
        <w:rFonts w:hint="eastAsia" w:ascii="宋体" w:hAnsi="宋体" w:cs="宋体"/>
        <w:color w:val="auto"/>
        <w:lang w:eastAsia="zh-CN"/>
      </w:rPr>
      <w:t>驻马店市中心医院氟[18F]脱氧葡糖注射液采购</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D51959FA"/>
    <w:multiLevelType w:val="singleLevel"/>
    <w:tmpl w:val="D51959FA"/>
    <w:lvl w:ilvl="0" w:tentative="0">
      <w:start w:val="4"/>
      <w:numFmt w:val="chineseCounting"/>
      <w:suff w:val="nothing"/>
      <w:lvlText w:val="%1、"/>
      <w:lvlJc w:val="left"/>
      <w:rPr>
        <w:rFonts w:hint="eastAsia"/>
      </w:rPr>
    </w:lvl>
  </w:abstractNum>
  <w:abstractNum w:abstractNumId="2">
    <w:nsid w:val="E8A954FB"/>
    <w:multiLevelType w:val="singleLevel"/>
    <w:tmpl w:val="E8A954FB"/>
    <w:lvl w:ilvl="0" w:tentative="0">
      <w:start w:val="1"/>
      <w:numFmt w:val="decimal"/>
      <w:suff w:val="nothing"/>
      <w:lvlText w:val="%1、"/>
      <w:lvlJc w:val="left"/>
    </w:lvl>
  </w:abstractNum>
  <w:abstractNum w:abstractNumId="3">
    <w:nsid w:val="194059C7"/>
    <w:multiLevelType w:val="singleLevel"/>
    <w:tmpl w:val="194059C7"/>
    <w:lvl w:ilvl="0" w:tentative="0">
      <w:start w:val="1"/>
      <w:numFmt w:val="decimal"/>
      <w:suff w:val="nothing"/>
      <w:lvlText w:val="%1、"/>
      <w:lvlJc w:val="left"/>
    </w:lvl>
  </w:abstractNum>
  <w:abstractNum w:abstractNumId="4">
    <w:nsid w:val="252FD8CD"/>
    <w:multiLevelType w:val="singleLevel"/>
    <w:tmpl w:val="252FD8CD"/>
    <w:lvl w:ilvl="0" w:tentative="0">
      <w:start w:val="1"/>
      <w:numFmt w:val="decimal"/>
      <w:suff w:val="nothing"/>
      <w:lvlText w:val="%1、"/>
      <w:lvlJc w:val="left"/>
    </w:lvl>
  </w:abstractNum>
  <w:abstractNum w:abstractNumId="5">
    <w:nsid w:val="59B6410A"/>
    <w:multiLevelType w:val="singleLevel"/>
    <w:tmpl w:val="59B6410A"/>
    <w:lvl w:ilvl="0" w:tentative="0">
      <w:start w:val="1"/>
      <w:numFmt w:val="decimal"/>
      <w:suff w:val="nothing"/>
      <w:lvlText w:val="（%1）"/>
      <w:lvlJc w:val="left"/>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jRmYTY4OTJhZjc1NTA1MGQwNDc0NzZhNTkwMmU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697C"/>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BCD"/>
    <w:rsid w:val="00FF5B28"/>
    <w:rsid w:val="00FF7C18"/>
    <w:rsid w:val="01076050"/>
    <w:rsid w:val="010C3DC8"/>
    <w:rsid w:val="01525212"/>
    <w:rsid w:val="01564054"/>
    <w:rsid w:val="017E6D95"/>
    <w:rsid w:val="01D715BE"/>
    <w:rsid w:val="01EB45BC"/>
    <w:rsid w:val="01FA63A5"/>
    <w:rsid w:val="02011C7D"/>
    <w:rsid w:val="02035523"/>
    <w:rsid w:val="021C6E40"/>
    <w:rsid w:val="02222FF2"/>
    <w:rsid w:val="02384FF4"/>
    <w:rsid w:val="023F67A9"/>
    <w:rsid w:val="025235B1"/>
    <w:rsid w:val="0262674D"/>
    <w:rsid w:val="02747B01"/>
    <w:rsid w:val="02890D36"/>
    <w:rsid w:val="02D92EF7"/>
    <w:rsid w:val="02DA4665"/>
    <w:rsid w:val="02F40325"/>
    <w:rsid w:val="031126C4"/>
    <w:rsid w:val="036A009A"/>
    <w:rsid w:val="03844805"/>
    <w:rsid w:val="03845791"/>
    <w:rsid w:val="03A011E9"/>
    <w:rsid w:val="03AE7F27"/>
    <w:rsid w:val="03BD2BCD"/>
    <w:rsid w:val="04070D64"/>
    <w:rsid w:val="04416C20"/>
    <w:rsid w:val="047968B1"/>
    <w:rsid w:val="04870542"/>
    <w:rsid w:val="04B9160E"/>
    <w:rsid w:val="05545DD3"/>
    <w:rsid w:val="056E2AD6"/>
    <w:rsid w:val="05806815"/>
    <w:rsid w:val="058251D3"/>
    <w:rsid w:val="05945CCE"/>
    <w:rsid w:val="059D05A4"/>
    <w:rsid w:val="059D5E17"/>
    <w:rsid w:val="05AB0A28"/>
    <w:rsid w:val="05AB0F81"/>
    <w:rsid w:val="05B93D6B"/>
    <w:rsid w:val="05D53002"/>
    <w:rsid w:val="05D75738"/>
    <w:rsid w:val="061E7D14"/>
    <w:rsid w:val="06560AED"/>
    <w:rsid w:val="066469C9"/>
    <w:rsid w:val="066646A1"/>
    <w:rsid w:val="06983B20"/>
    <w:rsid w:val="069A3B66"/>
    <w:rsid w:val="06B91765"/>
    <w:rsid w:val="06CA2AD2"/>
    <w:rsid w:val="06CE3071"/>
    <w:rsid w:val="06D33DBA"/>
    <w:rsid w:val="06E13F9F"/>
    <w:rsid w:val="06FB0AC5"/>
    <w:rsid w:val="070D2D5D"/>
    <w:rsid w:val="07111B8D"/>
    <w:rsid w:val="074A5B92"/>
    <w:rsid w:val="075E3193"/>
    <w:rsid w:val="078E18EB"/>
    <w:rsid w:val="07996868"/>
    <w:rsid w:val="07B10EA5"/>
    <w:rsid w:val="07CE3FA1"/>
    <w:rsid w:val="07EC2ECB"/>
    <w:rsid w:val="07FE66CB"/>
    <w:rsid w:val="080B4D47"/>
    <w:rsid w:val="08321601"/>
    <w:rsid w:val="083D5C91"/>
    <w:rsid w:val="0847191F"/>
    <w:rsid w:val="08591DC3"/>
    <w:rsid w:val="087C4541"/>
    <w:rsid w:val="087E5595"/>
    <w:rsid w:val="08C52D6F"/>
    <w:rsid w:val="08D01612"/>
    <w:rsid w:val="08EF0201"/>
    <w:rsid w:val="08F41DE8"/>
    <w:rsid w:val="09737462"/>
    <w:rsid w:val="099156C3"/>
    <w:rsid w:val="09A53F39"/>
    <w:rsid w:val="09A60E13"/>
    <w:rsid w:val="09BF6D42"/>
    <w:rsid w:val="09D206F0"/>
    <w:rsid w:val="09D93766"/>
    <w:rsid w:val="0A321AC2"/>
    <w:rsid w:val="0A343D4E"/>
    <w:rsid w:val="0A3E6D2E"/>
    <w:rsid w:val="0A6C3DC0"/>
    <w:rsid w:val="0AD13A85"/>
    <w:rsid w:val="0AE033D9"/>
    <w:rsid w:val="0B091954"/>
    <w:rsid w:val="0B167AE8"/>
    <w:rsid w:val="0B1A1257"/>
    <w:rsid w:val="0B3E0ABB"/>
    <w:rsid w:val="0B637D77"/>
    <w:rsid w:val="0BAC324F"/>
    <w:rsid w:val="0BF72F1E"/>
    <w:rsid w:val="0C3957A5"/>
    <w:rsid w:val="0C626DA7"/>
    <w:rsid w:val="0C6876AE"/>
    <w:rsid w:val="0C720EC8"/>
    <w:rsid w:val="0C942042"/>
    <w:rsid w:val="0C9D50DC"/>
    <w:rsid w:val="0CA5271D"/>
    <w:rsid w:val="0CAC4D10"/>
    <w:rsid w:val="0CC72121"/>
    <w:rsid w:val="0CEE5A21"/>
    <w:rsid w:val="0D0646E7"/>
    <w:rsid w:val="0D0C38CA"/>
    <w:rsid w:val="0D3F3A0E"/>
    <w:rsid w:val="0DC577E0"/>
    <w:rsid w:val="0DDC6319"/>
    <w:rsid w:val="0E0C0D4C"/>
    <w:rsid w:val="0E115DA1"/>
    <w:rsid w:val="0E162D6D"/>
    <w:rsid w:val="0E541CA2"/>
    <w:rsid w:val="0E594756"/>
    <w:rsid w:val="0E95596D"/>
    <w:rsid w:val="0EAE6205"/>
    <w:rsid w:val="0EAE6579"/>
    <w:rsid w:val="0EAF71BF"/>
    <w:rsid w:val="0ECE6257"/>
    <w:rsid w:val="0EE4129D"/>
    <w:rsid w:val="0F171032"/>
    <w:rsid w:val="0F335E69"/>
    <w:rsid w:val="0F3D59C9"/>
    <w:rsid w:val="0F516D5A"/>
    <w:rsid w:val="0F565B36"/>
    <w:rsid w:val="0F821E7D"/>
    <w:rsid w:val="0FE7592C"/>
    <w:rsid w:val="0FFD20F0"/>
    <w:rsid w:val="0FFD2EA4"/>
    <w:rsid w:val="103E6E57"/>
    <w:rsid w:val="1041497B"/>
    <w:rsid w:val="10425FF6"/>
    <w:rsid w:val="109010E6"/>
    <w:rsid w:val="10B271F4"/>
    <w:rsid w:val="10C8275C"/>
    <w:rsid w:val="10E03539"/>
    <w:rsid w:val="10E82D1F"/>
    <w:rsid w:val="10EE5C94"/>
    <w:rsid w:val="113329E7"/>
    <w:rsid w:val="113F294C"/>
    <w:rsid w:val="11437C85"/>
    <w:rsid w:val="1166372C"/>
    <w:rsid w:val="11700D10"/>
    <w:rsid w:val="1178125A"/>
    <w:rsid w:val="1196056D"/>
    <w:rsid w:val="11D34654"/>
    <w:rsid w:val="11DE0FD1"/>
    <w:rsid w:val="12010480"/>
    <w:rsid w:val="120E707F"/>
    <w:rsid w:val="127A7D1C"/>
    <w:rsid w:val="12836D8B"/>
    <w:rsid w:val="12AB0349"/>
    <w:rsid w:val="12CD57F1"/>
    <w:rsid w:val="12CE7AFA"/>
    <w:rsid w:val="12D67466"/>
    <w:rsid w:val="13272A5D"/>
    <w:rsid w:val="13493108"/>
    <w:rsid w:val="13733928"/>
    <w:rsid w:val="137C7BCD"/>
    <w:rsid w:val="139C16C9"/>
    <w:rsid w:val="13B63CE1"/>
    <w:rsid w:val="13BC6684"/>
    <w:rsid w:val="13C72B3A"/>
    <w:rsid w:val="13DF575E"/>
    <w:rsid w:val="13EE3A98"/>
    <w:rsid w:val="142123F7"/>
    <w:rsid w:val="142A11D8"/>
    <w:rsid w:val="14415712"/>
    <w:rsid w:val="144B544C"/>
    <w:rsid w:val="145B7B45"/>
    <w:rsid w:val="14717443"/>
    <w:rsid w:val="148D52E3"/>
    <w:rsid w:val="14992B90"/>
    <w:rsid w:val="14AF1856"/>
    <w:rsid w:val="14AF19A3"/>
    <w:rsid w:val="14B53957"/>
    <w:rsid w:val="14C53ECE"/>
    <w:rsid w:val="14E002E6"/>
    <w:rsid w:val="14FC36BD"/>
    <w:rsid w:val="151E3A0F"/>
    <w:rsid w:val="1557566D"/>
    <w:rsid w:val="15811F1B"/>
    <w:rsid w:val="15A30135"/>
    <w:rsid w:val="15A34015"/>
    <w:rsid w:val="15E2236F"/>
    <w:rsid w:val="161D09ED"/>
    <w:rsid w:val="162323A3"/>
    <w:rsid w:val="162F30B1"/>
    <w:rsid w:val="16510F12"/>
    <w:rsid w:val="166448F9"/>
    <w:rsid w:val="16647475"/>
    <w:rsid w:val="16726180"/>
    <w:rsid w:val="1677211D"/>
    <w:rsid w:val="167954F9"/>
    <w:rsid w:val="16A060BA"/>
    <w:rsid w:val="16A57EAF"/>
    <w:rsid w:val="16AC6E3F"/>
    <w:rsid w:val="16C872D5"/>
    <w:rsid w:val="16D54FA3"/>
    <w:rsid w:val="16D84D9F"/>
    <w:rsid w:val="16E94D3E"/>
    <w:rsid w:val="170D06E0"/>
    <w:rsid w:val="17332185"/>
    <w:rsid w:val="17475951"/>
    <w:rsid w:val="179F2E61"/>
    <w:rsid w:val="17C227C0"/>
    <w:rsid w:val="18097740"/>
    <w:rsid w:val="18595B4A"/>
    <w:rsid w:val="185D3C42"/>
    <w:rsid w:val="185F38AF"/>
    <w:rsid w:val="18AD1BEB"/>
    <w:rsid w:val="18B3004A"/>
    <w:rsid w:val="18B96080"/>
    <w:rsid w:val="18F67868"/>
    <w:rsid w:val="18F71640"/>
    <w:rsid w:val="190B2D88"/>
    <w:rsid w:val="190E6B63"/>
    <w:rsid w:val="19123928"/>
    <w:rsid w:val="19194264"/>
    <w:rsid w:val="19420786"/>
    <w:rsid w:val="19427EC0"/>
    <w:rsid w:val="195711D7"/>
    <w:rsid w:val="195D2A3F"/>
    <w:rsid w:val="198310E9"/>
    <w:rsid w:val="198D747A"/>
    <w:rsid w:val="19A15638"/>
    <w:rsid w:val="1A125525"/>
    <w:rsid w:val="1A514E33"/>
    <w:rsid w:val="1A5F4342"/>
    <w:rsid w:val="1A8C5D82"/>
    <w:rsid w:val="1A994988"/>
    <w:rsid w:val="1A9B546C"/>
    <w:rsid w:val="1AA3511F"/>
    <w:rsid w:val="1AAE3B54"/>
    <w:rsid w:val="1AC10987"/>
    <w:rsid w:val="1B0C5B32"/>
    <w:rsid w:val="1B0D3E82"/>
    <w:rsid w:val="1B1652AB"/>
    <w:rsid w:val="1B181CD5"/>
    <w:rsid w:val="1B265306"/>
    <w:rsid w:val="1B4F2450"/>
    <w:rsid w:val="1B8C18B7"/>
    <w:rsid w:val="1BB73AE1"/>
    <w:rsid w:val="1BCD0437"/>
    <w:rsid w:val="1BDA6D68"/>
    <w:rsid w:val="1C555978"/>
    <w:rsid w:val="1C6554A1"/>
    <w:rsid w:val="1C7971B7"/>
    <w:rsid w:val="1CD402EC"/>
    <w:rsid w:val="1CF02333"/>
    <w:rsid w:val="1D0C33A2"/>
    <w:rsid w:val="1D113E6E"/>
    <w:rsid w:val="1D114E5E"/>
    <w:rsid w:val="1D1F0050"/>
    <w:rsid w:val="1D2222DC"/>
    <w:rsid w:val="1D545FFC"/>
    <w:rsid w:val="1D5B3CDE"/>
    <w:rsid w:val="1D6E2950"/>
    <w:rsid w:val="1D98209B"/>
    <w:rsid w:val="1DA23746"/>
    <w:rsid w:val="1DAA14B9"/>
    <w:rsid w:val="1DD04513"/>
    <w:rsid w:val="1E4C5F8A"/>
    <w:rsid w:val="1E656063"/>
    <w:rsid w:val="1E6B06A5"/>
    <w:rsid w:val="1E7F7D9E"/>
    <w:rsid w:val="1E840DA4"/>
    <w:rsid w:val="1EA5444C"/>
    <w:rsid w:val="1EB350EF"/>
    <w:rsid w:val="1EC21749"/>
    <w:rsid w:val="1EEB7C4E"/>
    <w:rsid w:val="1F171B83"/>
    <w:rsid w:val="1F2D491A"/>
    <w:rsid w:val="1F7369C7"/>
    <w:rsid w:val="1F94547B"/>
    <w:rsid w:val="1FAF308C"/>
    <w:rsid w:val="1FC11109"/>
    <w:rsid w:val="1FEF08C8"/>
    <w:rsid w:val="1FF72E6A"/>
    <w:rsid w:val="201B3ED4"/>
    <w:rsid w:val="20310B02"/>
    <w:rsid w:val="206F0406"/>
    <w:rsid w:val="20784063"/>
    <w:rsid w:val="207E346A"/>
    <w:rsid w:val="208E12C3"/>
    <w:rsid w:val="209502A3"/>
    <w:rsid w:val="20B058FB"/>
    <w:rsid w:val="20B9460A"/>
    <w:rsid w:val="210F579E"/>
    <w:rsid w:val="212550B5"/>
    <w:rsid w:val="21484F14"/>
    <w:rsid w:val="21592B62"/>
    <w:rsid w:val="21747CD2"/>
    <w:rsid w:val="219E5782"/>
    <w:rsid w:val="21E72B0B"/>
    <w:rsid w:val="21F03389"/>
    <w:rsid w:val="221F2D96"/>
    <w:rsid w:val="22246DB1"/>
    <w:rsid w:val="22440067"/>
    <w:rsid w:val="225A6017"/>
    <w:rsid w:val="227A5532"/>
    <w:rsid w:val="22843A03"/>
    <w:rsid w:val="22A338AB"/>
    <w:rsid w:val="22AD37A2"/>
    <w:rsid w:val="22B31E8A"/>
    <w:rsid w:val="22C735BD"/>
    <w:rsid w:val="23122833"/>
    <w:rsid w:val="23223458"/>
    <w:rsid w:val="23225D32"/>
    <w:rsid w:val="23357BE6"/>
    <w:rsid w:val="2342574E"/>
    <w:rsid w:val="2377331D"/>
    <w:rsid w:val="237D43DE"/>
    <w:rsid w:val="23940114"/>
    <w:rsid w:val="23B57016"/>
    <w:rsid w:val="23D4764B"/>
    <w:rsid w:val="23EC3718"/>
    <w:rsid w:val="24044EF2"/>
    <w:rsid w:val="2407139D"/>
    <w:rsid w:val="240B04F4"/>
    <w:rsid w:val="242A0646"/>
    <w:rsid w:val="2435301D"/>
    <w:rsid w:val="243D6E1A"/>
    <w:rsid w:val="24607F91"/>
    <w:rsid w:val="246C581B"/>
    <w:rsid w:val="247C52A2"/>
    <w:rsid w:val="24CC106B"/>
    <w:rsid w:val="24D00598"/>
    <w:rsid w:val="24D725E9"/>
    <w:rsid w:val="25045F70"/>
    <w:rsid w:val="25056E93"/>
    <w:rsid w:val="25092EBA"/>
    <w:rsid w:val="25241020"/>
    <w:rsid w:val="256016AA"/>
    <w:rsid w:val="25674C22"/>
    <w:rsid w:val="257572C3"/>
    <w:rsid w:val="25790E85"/>
    <w:rsid w:val="25972C60"/>
    <w:rsid w:val="259D1676"/>
    <w:rsid w:val="25A353EB"/>
    <w:rsid w:val="25B87B65"/>
    <w:rsid w:val="25CB78C3"/>
    <w:rsid w:val="25D54390"/>
    <w:rsid w:val="261879A7"/>
    <w:rsid w:val="264B0BA4"/>
    <w:rsid w:val="268C5256"/>
    <w:rsid w:val="268E455B"/>
    <w:rsid w:val="26912B30"/>
    <w:rsid w:val="269772F0"/>
    <w:rsid w:val="26A30712"/>
    <w:rsid w:val="26AC0C27"/>
    <w:rsid w:val="26C807A6"/>
    <w:rsid w:val="26DB67BA"/>
    <w:rsid w:val="26E311CD"/>
    <w:rsid w:val="26EF24ED"/>
    <w:rsid w:val="26F1408A"/>
    <w:rsid w:val="27015370"/>
    <w:rsid w:val="270B421F"/>
    <w:rsid w:val="274E2228"/>
    <w:rsid w:val="27517A93"/>
    <w:rsid w:val="276658E8"/>
    <w:rsid w:val="277E30D2"/>
    <w:rsid w:val="27803F2A"/>
    <w:rsid w:val="27A34941"/>
    <w:rsid w:val="283C23DF"/>
    <w:rsid w:val="284C16F5"/>
    <w:rsid w:val="28570AB5"/>
    <w:rsid w:val="28C2534B"/>
    <w:rsid w:val="28C5525A"/>
    <w:rsid w:val="28D14B96"/>
    <w:rsid w:val="29020C46"/>
    <w:rsid w:val="290240C7"/>
    <w:rsid w:val="29274EE0"/>
    <w:rsid w:val="2969197F"/>
    <w:rsid w:val="29746E87"/>
    <w:rsid w:val="297C03C2"/>
    <w:rsid w:val="299573AB"/>
    <w:rsid w:val="29BE5BD0"/>
    <w:rsid w:val="29C01572"/>
    <w:rsid w:val="29E74CE2"/>
    <w:rsid w:val="2A306A36"/>
    <w:rsid w:val="2A5372C6"/>
    <w:rsid w:val="2A5B03D8"/>
    <w:rsid w:val="2A6F6D07"/>
    <w:rsid w:val="2A882500"/>
    <w:rsid w:val="2AB63ABC"/>
    <w:rsid w:val="2B003D00"/>
    <w:rsid w:val="2B074D5E"/>
    <w:rsid w:val="2B0B7C95"/>
    <w:rsid w:val="2B100BA9"/>
    <w:rsid w:val="2B1E3AFC"/>
    <w:rsid w:val="2B9E4F56"/>
    <w:rsid w:val="2BDB5A88"/>
    <w:rsid w:val="2BE91C37"/>
    <w:rsid w:val="2BEC3F72"/>
    <w:rsid w:val="2C083572"/>
    <w:rsid w:val="2C185F94"/>
    <w:rsid w:val="2C1F1AC4"/>
    <w:rsid w:val="2C3F3A41"/>
    <w:rsid w:val="2C4431C4"/>
    <w:rsid w:val="2C62059F"/>
    <w:rsid w:val="2C6634FA"/>
    <w:rsid w:val="2CAC022C"/>
    <w:rsid w:val="2CC11807"/>
    <w:rsid w:val="2CF16074"/>
    <w:rsid w:val="2CF81D1B"/>
    <w:rsid w:val="2D3F2453"/>
    <w:rsid w:val="2D835174"/>
    <w:rsid w:val="2DD90B7B"/>
    <w:rsid w:val="2DDD3FC1"/>
    <w:rsid w:val="2DF701D8"/>
    <w:rsid w:val="2DF970A1"/>
    <w:rsid w:val="2E085834"/>
    <w:rsid w:val="2E1034F8"/>
    <w:rsid w:val="2E505773"/>
    <w:rsid w:val="2E536D4E"/>
    <w:rsid w:val="2E742F70"/>
    <w:rsid w:val="2EDC2A13"/>
    <w:rsid w:val="2EFD7DB9"/>
    <w:rsid w:val="2F1A081D"/>
    <w:rsid w:val="2F1E3DC0"/>
    <w:rsid w:val="2F3112DE"/>
    <w:rsid w:val="2F3B6922"/>
    <w:rsid w:val="2F506C6D"/>
    <w:rsid w:val="2F51291F"/>
    <w:rsid w:val="2F55758A"/>
    <w:rsid w:val="2F57478F"/>
    <w:rsid w:val="2F7F15AE"/>
    <w:rsid w:val="2FA54796"/>
    <w:rsid w:val="2FA674E2"/>
    <w:rsid w:val="2FFE7D49"/>
    <w:rsid w:val="302A5C42"/>
    <w:rsid w:val="3075258E"/>
    <w:rsid w:val="30BF439A"/>
    <w:rsid w:val="30CB1B61"/>
    <w:rsid w:val="30CF6A37"/>
    <w:rsid w:val="30D250CF"/>
    <w:rsid w:val="31002970"/>
    <w:rsid w:val="311016AD"/>
    <w:rsid w:val="3136622A"/>
    <w:rsid w:val="3139422E"/>
    <w:rsid w:val="31700E4B"/>
    <w:rsid w:val="3172683C"/>
    <w:rsid w:val="31A359FC"/>
    <w:rsid w:val="31AD0D61"/>
    <w:rsid w:val="31CD73BD"/>
    <w:rsid w:val="31D66571"/>
    <w:rsid w:val="31DB4220"/>
    <w:rsid w:val="31E63B94"/>
    <w:rsid w:val="32176602"/>
    <w:rsid w:val="32204D1F"/>
    <w:rsid w:val="322A7699"/>
    <w:rsid w:val="322B25C6"/>
    <w:rsid w:val="32422E70"/>
    <w:rsid w:val="325E56C6"/>
    <w:rsid w:val="3275698A"/>
    <w:rsid w:val="32B943EC"/>
    <w:rsid w:val="32DC63A0"/>
    <w:rsid w:val="32E429C1"/>
    <w:rsid w:val="334A3B2A"/>
    <w:rsid w:val="3365592E"/>
    <w:rsid w:val="336F6533"/>
    <w:rsid w:val="337E5E2F"/>
    <w:rsid w:val="3384610D"/>
    <w:rsid w:val="33AA5979"/>
    <w:rsid w:val="33C03E90"/>
    <w:rsid w:val="33C346B6"/>
    <w:rsid w:val="33C96649"/>
    <w:rsid w:val="33CC3D88"/>
    <w:rsid w:val="33D76F4A"/>
    <w:rsid w:val="33FD722F"/>
    <w:rsid w:val="3400362D"/>
    <w:rsid w:val="340B09C5"/>
    <w:rsid w:val="34153E0C"/>
    <w:rsid w:val="341E4CAB"/>
    <w:rsid w:val="34584EE2"/>
    <w:rsid w:val="347D373F"/>
    <w:rsid w:val="34956481"/>
    <w:rsid w:val="34A35871"/>
    <w:rsid w:val="34C06C9D"/>
    <w:rsid w:val="34DF24AE"/>
    <w:rsid w:val="351C4931"/>
    <w:rsid w:val="351D4C26"/>
    <w:rsid w:val="35361A77"/>
    <w:rsid w:val="35461A22"/>
    <w:rsid w:val="35483CC9"/>
    <w:rsid w:val="35A815CB"/>
    <w:rsid w:val="35AA1B9C"/>
    <w:rsid w:val="35DB09A6"/>
    <w:rsid w:val="35FA60C0"/>
    <w:rsid w:val="360D2FA1"/>
    <w:rsid w:val="369B4CF0"/>
    <w:rsid w:val="36D62629"/>
    <w:rsid w:val="36D76172"/>
    <w:rsid w:val="36E833BB"/>
    <w:rsid w:val="36EB1E1B"/>
    <w:rsid w:val="36F17F0D"/>
    <w:rsid w:val="3735197D"/>
    <w:rsid w:val="373756A2"/>
    <w:rsid w:val="375E0DA6"/>
    <w:rsid w:val="378B61A6"/>
    <w:rsid w:val="37CD3F98"/>
    <w:rsid w:val="37DF75BA"/>
    <w:rsid w:val="37E148E2"/>
    <w:rsid w:val="3814117F"/>
    <w:rsid w:val="38304889"/>
    <w:rsid w:val="38382675"/>
    <w:rsid w:val="3851700B"/>
    <w:rsid w:val="385246B6"/>
    <w:rsid w:val="38A53DB7"/>
    <w:rsid w:val="38BF3388"/>
    <w:rsid w:val="38CC268D"/>
    <w:rsid w:val="38EC2960"/>
    <w:rsid w:val="3904606D"/>
    <w:rsid w:val="3906718E"/>
    <w:rsid w:val="392536E2"/>
    <w:rsid w:val="39465F15"/>
    <w:rsid w:val="396453C5"/>
    <w:rsid w:val="39922CCF"/>
    <w:rsid w:val="39A65327"/>
    <w:rsid w:val="39A65C9B"/>
    <w:rsid w:val="39BC5ED6"/>
    <w:rsid w:val="39EB39E0"/>
    <w:rsid w:val="39EF02D4"/>
    <w:rsid w:val="3A11342A"/>
    <w:rsid w:val="3A153110"/>
    <w:rsid w:val="3A2507C0"/>
    <w:rsid w:val="3A297E52"/>
    <w:rsid w:val="3A393FA7"/>
    <w:rsid w:val="3A3C5CF8"/>
    <w:rsid w:val="3A64203E"/>
    <w:rsid w:val="3A663D00"/>
    <w:rsid w:val="3A7428D0"/>
    <w:rsid w:val="3A923AE4"/>
    <w:rsid w:val="3AA50E25"/>
    <w:rsid w:val="3AC566E3"/>
    <w:rsid w:val="3AC76C6D"/>
    <w:rsid w:val="3AD6747A"/>
    <w:rsid w:val="3B3D0FF2"/>
    <w:rsid w:val="3B48756F"/>
    <w:rsid w:val="3B521A18"/>
    <w:rsid w:val="3B923660"/>
    <w:rsid w:val="3BCA44BE"/>
    <w:rsid w:val="3C061F3A"/>
    <w:rsid w:val="3C244FFA"/>
    <w:rsid w:val="3C495480"/>
    <w:rsid w:val="3C6F0167"/>
    <w:rsid w:val="3C71667B"/>
    <w:rsid w:val="3C914F3B"/>
    <w:rsid w:val="3CA72347"/>
    <w:rsid w:val="3CC17F13"/>
    <w:rsid w:val="3CDA2D17"/>
    <w:rsid w:val="3CE320A3"/>
    <w:rsid w:val="3CE9196C"/>
    <w:rsid w:val="3CF15105"/>
    <w:rsid w:val="3D0C04B9"/>
    <w:rsid w:val="3D1414C5"/>
    <w:rsid w:val="3D1C763E"/>
    <w:rsid w:val="3D201AA5"/>
    <w:rsid w:val="3D2B37EA"/>
    <w:rsid w:val="3D2F7FF3"/>
    <w:rsid w:val="3D3D1507"/>
    <w:rsid w:val="3D62085B"/>
    <w:rsid w:val="3D7B4622"/>
    <w:rsid w:val="3D942E29"/>
    <w:rsid w:val="3DB54E0C"/>
    <w:rsid w:val="3DB900C1"/>
    <w:rsid w:val="3DE91725"/>
    <w:rsid w:val="3DF159B1"/>
    <w:rsid w:val="3E0B6E71"/>
    <w:rsid w:val="3E1A106E"/>
    <w:rsid w:val="3E36303B"/>
    <w:rsid w:val="3E526044"/>
    <w:rsid w:val="3E8C5311"/>
    <w:rsid w:val="3E8E7E55"/>
    <w:rsid w:val="3EB61473"/>
    <w:rsid w:val="3ECD4837"/>
    <w:rsid w:val="3F2C3542"/>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765D15"/>
    <w:rsid w:val="40786454"/>
    <w:rsid w:val="407F2DE9"/>
    <w:rsid w:val="408C5A03"/>
    <w:rsid w:val="40991379"/>
    <w:rsid w:val="409B3C3D"/>
    <w:rsid w:val="40F701DF"/>
    <w:rsid w:val="40FD480A"/>
    <w:rsid w:val="412A32F8"/>
    <w:rsid w:val="417F433E"/>
    <w:rsid w:val="41B7239D"/>
    <w:rsid w:val="41CE2D58"/>
    <w:rsid w:val="41E47AD6"/>
    <w:rsid w:val="41FF3845"/>
    <w:rsid w:val="421104A9"/>
    <w:rsid w:val="42143B88"/>
    <w:rsid w:val="42164586"/>
    <w:rsid w:val="422143B7"/>
    <w:rsid w:val="425B5DD1"/>
    <w:rsid w:val="4260300C"/>
    <w:rsid w:val="42800B9B"/>
    <w:rsid w:val="42A06B6C"/>
    <w:rsid w:val="42EA5650"/>
    <w:rsid w:val="431408DA"/>
    <w:rsid w:val="4331401E"/>
    <w:rsid w:val="434C7A70"/>
    <w:rsid w:val="435A0DF2"/>
    <w:rsid w:val="436C42E1"/>
    <w:rsid w:val="437C210F"/>
    <w:rsid w:val="43847F02"/>
    <w:rsid w:val="438F113C"/>
    <w:rsid w:val="439E7EFB"/>
    <w:rsid w:val="43B1568A"/>
    <w:rsid w:val="43D43ECA"/>
    <w:rsid w:val="43DD452F"/>
    <w:rsid w:val="43DE6CD4"/>
    <w:rsid w:val="43E51150"/>
    <w:rsid w:val="43EF28BB"/>
    <w:rsid w:val="43EF56D3"/>
    <w:rsid w:val="440A6FD2"/>
    <w:rsid w:val="444946CA"/>
    <w:rsid w:val="444B3F54"/>
    <w:rsid w:val="4476661F"/>
    <w:rsid w:val="447E3AC5"/>
    <w:rsid w:val="44A90BAA"/>
    <w:rsid w:val="44B24A20"/>
    <w:rsid w:val="44BC0BEE"/>
    <w:rsid w:val="44FB1C9C"/>
    <w:rsid w:val="451C313A"/>
    <w:rsid w:val="454F1836"/>
    <w:rsid w:val="45887B45"/>
    <w:rsid w:val="458B66DF"/>
    <w:rsid w:val="45940F0E"/>
    <w:rsid w:val="45AC5DBA"/>
    <w:rsid w:val="45C647AF"/>
    <w:rsid w:val="45D1357C"/>
    <w:rsid w:val="45DD529D"/>
    <w:rsid w:val="45E57886"/>
    <w:rsid w:val="46003076"/>
    <w:rsid w:val="46177E29"/>
    <w:rsid w:val="46205B7F"/>
    <w:rsid w:val="465D501C"/>
    <w:rsid w:val="466367DB"/>
    <w:rsid w:val="46686D18"/>
    <w:rsid w:val="46C3037C"/>
    <w:rsid w:val="46FF15E0"/>
    <w:rsid w:val="4700581C"/>
    <w:rsid w:val="4702516A"/>
    <w:rsid w:val="474A4B33"/>
    <w:rsid w:val="47665A15"/>
    <w:rsid w:val="47677941"/>
    <w:rsid w:val="477F1660"/>
    <w:rsid w:val="4788232A"/>
    <w:rsid w:val="478B0398"/>
    <w:rsid w:val="478F5D0B"/>
    <w:rsid w:val="47974BB9"/>
    <w:rsid w:val="47B8724E"/>
    <w:rsid w:val="47ED7BCA"/>
    <w:rsid w:val="48016F34"/>
    <w:rsid w:val="480556DB"/>
    <w:rsid w:val="48185C56"/>
    <w:rsid w:val="4832531E"/>
    <w:rsid w:val="48450F81"/>
    <w:rsid w:val="484E729D"/>
    <w:rsid w:val="485A23C2"/>
    <w:rsid w:val="4898691D"/>
    <w:rsid w:val="48A16B62"/>
    <w:rsid w:val="48BC6222"/>
    <w:rsid w:val="48C245E9"/>
    <w:rsid w:val="48DB312A"/>
    <w:rsid w:val="48DF49D9"/>
    <w:rsid w:val="492108CC"/>
    <w:rsid w:val="49E669E4"/>
    <w:rsid w:val="4A05334F"/>
    <w:rsid w:val="4A082FF4"/>
    <w:rsid w:val="4A244932"/>
    <w:rsid w:val="4A2922C8"/>
    <w:rsid w:val="4A4117B2"/>
    <w:rsid w:val="4A7A4350"/>
    <w:rsid w:val="4A7E2497"/>
    <w:rsid w:val="4A896826"/>
    <w:rsid w:val="4ABF5E17"/>
    <w:rsid w:val="4AE01A66"/>
    <w:rsid w:val="4AED707B"/>
    <w:rsid w:val="4B0B7979"/>
    <w:rsid w:val="4B520DF4"/>
    <w:rsid w:val="4B603107"/>
    <w:rsid w:val="4B9802B0"/>
    <w:rsid w:val="4B9E65BE"/>
    <w:rsid w:val="4B9F33A8"/>
    <w:rsid w:val="4BA80AFD"/>
    <w:rsid w:val="4BB033BA"/>
    <w:rsid w:val="4BB469AD"/>
    <w:rsid w:val="4BC06040"/>
    <w:rsid w:val="4BF441D2"/>
    <w:rsid w:val="4C1C2A09"/>
    <w:rsid w:val="4C694192"/>
    <w:rsid w:val="4C784EC6"/>
    <w:rsid w:val="4C7964D9"/>
    <w:rsid w:val="4C9269F6"/>
    <w:rsid w:val="4CC84335"/>
    <w:rsid w:val="4CCF375F"/>
    <w:rsid w:val="4CE9350A"/>
    <w:rsid w:val="4CF632F0"/>
    <w:rsid w:val="4D297BF3"/>
    <w:rsid w:val="4D2D0EAF"/>
    <w:rsid w:val="4D63401A"/>
    <w:rsid w:val="4D7F0082"/>
    <w:rsid w:val="4D7F33D4"/>
    <w:rsid w:val="4D952FD9"/>
    <w:rsid w:val="4D970662"/>
    <w:rsid w:val="4DB33393"/>
    <w:rsid w:val="4DCF1E0D"/>
    <w:rsid w:val="4DD632D9"/>
    <w:rsid w:val="4DE05DF9"/>
    <w:rsid w:val="4DE44800"/>
    <w:rsid w:val="4DEE0709"/>
    <w:rsid w:val="4DFC14EA"/>
    <w:rsid w:val="4DFF6815"/>
    <w:rsid w:val="4E0A3427"/>
    <w:rsid w:val="4E27036A"/>
    <w:rsid w:val="4E304B5D"/>
    <w:rsid w:val="4E682F8C"/>
    <w:rsid w:val="4E6A7BB7"/>
    <w:rsid w:val="4F0773B4"/>
    <w:rsid w:val="4F307BB1"/>
    <w:rsid w:val="4F3D562D"/>
    <w:rsid w:val="4F5C4EE0"/>
    <w:rsid w:val="4F6E1972"/>
    <w:rsid w:val="4F943166"/>
    <w:rsid w:val="4FBA02A1"/>
    <w:rsid w:val="4FE7106E"/>
    <w:rsid w:val="50053943"/>
    <w:rsid w:val="50550E55"/>
    <w:rsid w:val="509F43E4"/>
    <w:rsid w:val="50A54D3E"/>
    <w:rsid w:val="50F1402B"/>
    <w:rsid w:val="50FD2AD9"/>
    <w:rsid w:val="51097D9A"/>
    <w:rsid w:val="51237D2E"/>
    <w:rsid w:val="51996737"/>
    <w:rsid w:val="51B408B8"/>
    <w:rsid w:val="51CC0868"/>
    <w:rsid w:val="51D5340F"/>
    <w:rsid w:val="52382F2A"/>
    <w:rsid w:val="52386E3D"/>
    <w:rsid w:val="523A7DD1"/>
    <w:rsid w:val="5271774C"/>
    <w:rsid w:val="529003B1"/>
    <w:rsid w:val="52DE008D"/>
    <w:rsid w:val="52EE341E"/>
    <w:rsid w:val="52F37FE6"/>
    <w:rsid w:val="52FC1CAF"/>
    <w:rsid w:val="532540D9"/>
    <w:rsid w:val="532B6CAF"/>
    <w:rsid w:val="53350D91"/>
    <w:rsid w:val="53412644"/>
    <w:rsid w:val="53433903"/>
    <w:rsid w:val="53517A72"/>
    <w:rsid w:val="5361549D"/>
    <w:rsid w:val="536220DA"/>
    <w:rsid w:val="53650637"/>
    <w:rsid w:val="53757C6B"/>
    <w:rsid w:val="537E1075"/>
    <w:rsid w:val="53A44D07"/>
    <w:rsid w:val="53A46AC8"/>
    <w:rsid w:val="53AB7F1F"/>
    <w:rsid w:val="53AC6F7B"/>
    <w:rsid w:val="53EB297B"/>
    <w:rsid w:val="542E2BC2"/>
    <w:rsid w:val="54352A96"/>
    <w:rsid w:val="54425CFB"/>
    <w:rsid w:val="54447390"/>
    <w:rsid w:val="545E1D01"/>
    <w:rsid w:val="54935B8F"/>
    <w:rsid w:val="54CC6227"/>
    <w:rsid w:val="54D10F9B"/>
    <w:rsid w:val="551D586C"/>
    <w:rsid w:val="55200298"/>
    <w:rsid w:val="55335E1B"/>
    <w:rsid w:val="554B7EF0"/>
    <w:rsid w:val="556F3D99"/>
    <w:rsid w:val="55860894"/>
    <w:rsid w:val="55B02DF1"/>
    <w:rsid w:val="55DC290C"/>
    <w:rsid w:val="55F01FA1"/>
    <w:rsid w:val="56990B7C"/>
    <w:rsid w:val="569E1126"/>
    <w:rsid w:val="56AC249A"/>
    <w:rsid w:val="56B80DEB"/>
    <w:rsid w:val="56E06E61"/>
    <w:rsid w:val="56F653FE"/>
    <w:rsid w:val="575B7AFD"/>
    <w:rsid w:val="57660D3F"/>
    <w:rsid w:val="57706F91"/>
    <w:rsid w:val="579A7023"/>
    <w:rsid w:val="57D1153D"/>
    <w:rsid w:val="57FA3774"/>
    <w:rsid w:val="58084A3C"/>
    <w:rsid w:val="585D2975"/>
    <w:rsid w:val="587E3341"/>
    <w:rsid w:val="58CF56D8"/>
    <w:rsid w:val="58D31010"/>
    <w:rsid w:val="58D6741E"/>
    <w:rsid w:val="58EA3D0E"/>
    <w:rsid w:val="58F71269"/>
    <w:rsid w:val="58FE045E"/>
    <w:rsid w:val="590F448D"/>
    <w:rsid w:val="59561946"/>
    <w:rsid w:val="596707B8"/>
    <w:rsid w:val="59670F51"/>
    <w:rsid w:val="596A44F9"/>
    <w:rsid w:val="596C19BB"/>
    <w:rsid w:val="59790BDB"/>
    <w:rsid w:val="598653AC"/>
    <w:rsid w:val="59AB52AC"/>
    <w:rsid w:val="59AC3C86"/>
    <w:rsid w:val="59D42FDA"/>
    <w:rsid w:val="59DA4E01"/>
    <w:rsid w:val="59F64E82"/>
    <w:rsid w:val="5A10435C"/>
    <w:rsid w:val="5A2654CC"/>
    <w:rsid w:val="5A323A44"/>
    <w:rsid w:val="5A395E66"/>
    <w:rsid w:val="5A484352"/>
    <w:rsid w:val="5A5321A5"/>
    <w:rsid w:val="5A745221"/>
    <w:rsid w:val="5A8734AF"/>
    <w:rsid w:val="5A9D3E45"/>
    <w:rsid w:val="5AA4101D"/>
    <w:rsid w:val="5AB17576"/>
    <w:rsid w:val="5ABD68E6"/>
    <w:rsid w:val="5ABF73D2"/>
    <w:rsid w:val="5ACB3D8A"/>
    <w:rsid w:val="5AE1508F"/>
    <w:rsid w:val="5AF80256"/>
    <w:rsid w:val="5B110CC9"/>
    <w:rsid w:val="5B1F7B5D"/>
    <w:rsid w:val="5B585171"/>
    <w:rsid w:val="5B585B78"/>
    <w:rsid w:val="5B9A2B59"/>
    <w:rsid w:val="5BC0085A"/>
    <w:rsid w:val="5BC349B4"/>
    <w:rsid w:val="5BD13910"/>
    <w:rsid w:val="5BF03D58"/>
    <w:rsid w:val="5C0F0D26"/>
    <w:rsid w:val="5C1A6BB2"/>
    <w:rsid w:val="5C5355FE"/>
    <w:rsid w:val="5C6F4105"/>
    <w:rsid w:val="5C7A4EE2"/>
    <w:rsid w:val="5CBB7F6F"/>
    <w:rsid w:val="5CCE3A33"/>
    <w:rsid w:val="5D426797"/>
    <w:rsid w:val="5D7C3F11"/>
    <w:rsid w:val="5D9D49E0"/>
    <w:rsid w:val="5DC70CF2"/>
    <w:rsid w:val="5DDF1821"/>
    <w:rsid w:val="5DEA2F91"/>
    <w:rsid w:val="5E3146A3"/>
    <w:rsid w:val="5E442F62"/>
    <w:rsid w:val="5E6C2C5B"/>
    <w:rsid w:val="5E7251A2"/>
    <w:rsid w:val="5E7C3591"/>
    <w:rsid w:val="5E9D0E18"/>
    <w:rsid w:val="5EA2144B"/>
    <w:rsid w:val="5EA341D7"/>
    <w:rsid w:val="5EA755DE"/>
    <w:rsid w:val="5ED35F0E"/>
    <w:rsid w:val="5EFC1390"/>
    <w:rsid w:val="5EFC3EB6"/>
    <w:rsid w:val="5F03335D"/>
    <w:rsid w:val="5F0368C7"/>
    <w:rsid w:val="5F1544E7"/>
    <w:rsid w:val="5F3C4923"/>
    <w:rsid w:val="5F9A65E6"/>
    <w:rsid w:val="5F9B2627"/>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B3C50"/>
    <w:rsid w:val="6080262B"/>
    <w:rsid w:val="608B6567"/>
    <w:rsid w:val="60FF21D9"/>
    <w:rsid w:val="613253FD"/>
    <w:rsid w:val="61421F29"/>
    <w:rsid w:val="61712185"/>
    <w:rsid w:val="61970898"/>
    <w:rsid w:val="61A90D68"/>
    <w:rsid w:val="621775E2"/>
    <w:rsid w:val="622F7552"/>
    <w:rsid w:val="6250406E"/>
    <w:rsid w:val="627D6831"/>
    <w:rsid w:val="62811B1C"/>
    <w:rsid w:val="62A20409"/>
    <w:rsid w:val="62B54B44"/>
    <w:rsid w:val="62DD4333"/>
    <w:rsid w:val="62E045DA"/>
    <w:rsid w:val="62E454A1"/>
    <w:rsid w:val="62F36E4C"/>
    <w:rsid w:val="62F47F8F"/>
    <w:rsid w:val="62F7233F"/>
    <w:rsid w:val="6340438B"/>
    <w:rsid w:val="6353238E"/>
    <w:rsid w:val="63612AB8"/>
    <w:rsid w:val="637D0978"/>
    <w:rsid w:val="638968B0"/>
    <w:rsid w:val="638A282C"/>
    <w:rsid w:val="63A85E90"/>
    <w:rsid w:val="63A962DB"/>
    <w:rsid w:val="63AB1A91"/>
    <w:rsid w:val="63BD41A6"/>
    <w:rsid w:val="63EE4692"/>
    <w:rsid w:val="63FD622D"/>
    <w:rsid w:val="64035FDE"/>
    <w:rsid w:val="643F32F9"/>
    <w:rsid w:val="64582686"/>
    <w:rsid w:val="64673C87"/>
    <w:rsid w:val="64964373"/>
    <w:rsid w:val="64A251DD"/>
    <w:rsid w:val="64AF4418"/>
    <w:rsid w:val="64DB63AB"/>
    <w:rsid w:val="650242F0"/>
    <w:rsid w:val="652F7039"/>
    <w:rsid w:val="65542778"/>
    <w:rsid w:val="655829AF"/>
    <w:rsid w:val="656B70C3"/>
    <w:rsid w:val="658F4798"/>
    <w:rsid w:val="659B1EBA"/>
    <w:rsid w:val="65B461E9"/>
    <w:rsid w:val="65BE39A8"/>
    <w:rsid w:val="65FB3FBE"/>
    <w:rsid w:val="66083B12"/>
    <w:rsid w:val="66247D11"/>
    <w:rsid w:val="66736112"/>
    <w:rsid w:val="66763171"/>
    <w:rsid w:val="667F5B5B"/>
    <w:rsid w:val="66897C79"/>
    <w:rsid w:val="6694262A"/>
    <w:rsid w:val="669609C2"/>
    <w:rsid w:val="66990381"/>
    <w:rsid w:val="66B31B01"/>
    <w:rsid w:val="66CE1E80"/>
    <w:rsid w:val="66E362F9"/>
    <w:rsid w:val="66E47FD9"/>
    <w:rsid w:val="67071922"/>
    <w:rsid w:val="671626D9"/>
    <w:rsid w:val="673B73C0"/>
    <w:rsid w:val="675608B6"/>
    <w:rsid w:val="677245F9"/>
    <w:rsid w:val="67754402"/>
    <w:rsid w:val="677D54ED"/>
    <w:rsid w:val="67AC6886"/>
    <w:rsid w:val="67B25E27"/>
    <w:rsid w:val="67C4383B"/>
    <w:rsid w:val="67D35E1A"/>
    <w:rsid w:val="67F35317"/>
    <w:rsid w:val="680201B7"/>
    <w:rsid w:val="68362BFB"/>
    <w:rsid w:val="683F1130"/>
    <w:rsid w:val="684456A1"/>
    <w:rsid w:val="685E1363"/>
    <w:rsid w:val="688E1089"/>
    <w:rsid w:val="68A026F3"/>
    <w:rsid w:val="68AF6C13"/>
    <w:rsid w:val="690E07C7"/>
    <w:rsid w:val="69236A65"/>
    <w:rsid w:val="692E469B"/>
    <w:rsid w:val="69315C48"/>
    <w:rsid w:val="694019EC"/>
    <w:rsid w:val="69584DB4"/>
    <w:rsid w:val="696C3D80"/>
    <w:rsid w:val="69792EBA"/>
    <w:rsid w:val="698A5EE4"/>
    <w:rsid w:val="69C811ED"/>
    <w:rsid w:val="69D33070"/>
    <w:rsid w:val="69E97E75"/>
    <w:rsid w:val="69FB5D9E"/>
    <w:rsid w:val="6A1A3007"/>
    <w:rsid w:val="6A1E645E"/>
    <w:rsid w:val="6A417049"/>
    <w:rsid w:val="6A467ADD"/>
    <w:rsid w:val="6A7903E5"/>
    <w:rsid w:val="6AA03032"/>
    <w:rsid w:val="6AA86FEC"/>
    <w:rsid w:val="6ADA6AC4"/>
    <w:rsid w:val="6ADB11D6"/>
    <w:rsid w:val="6B1A2C3C"/>
    <w:rsid w:val="6B31644D"/>
    <w:rsid w:val="6B486C86"/>
    <w:rsid w:val="6B554C72"/>
    <w:rsid w:val="6B847AD7"/>
    <w:rsid w:val="6B9A2DF9"/>
    <w:rsid w:val="6BAC4619"/>
    <w:rsid w:val="6BCD2823"/>
    <w:rsid w:val="6BDD15DD"/>
    <w:rsid w:val="6BDF2966"/>
    <w:rsid w:val="6BE86A5F"/>
    <w:rsid w:val="6BF84629"/>
    <w:rsid w:val="6C234DED"/>
    <w:rsid w:val="6C29198B"/>
    <w:rsid w:val="6C3A67D1"/>
    <w:rsid w:val="6C3D2D5C"/>
    <w:rsid w:val="6C4800AA"/>
    <w:rsid w:val="6C4D28F8"/>
    <w:rsid w:val="6C5101CA"/>
    <w:rsid w:val="6C573E9C"/>
    <w:rsid w:val="6C6D1126"/>
    <w:rsid w:val="6CA35B3A"/>
    <w:rsid w:val="6CA41A5D"/>
    <w:rsid w:val="6CAF588C"/>
    <w:rsid w:val="6CB4638E"/>
    <w:rsid w:val="6CBF3C6A"/>
    <w:rsid w:val="6CBF5306"/>
    <w:rsid w:val="6CE70FA1"/>
    <w:rsid w:val="6CFA6351"/>
    <w:rsid w:val="6CFC3C40"/>
    <w:rsid w:val="6D480984"/>
    <w:rsid w:val="6DB13E57"/>
    <w:rsid w:val="6DC71662"/>
    <w:rsid w:val="6DCD5126"/>
    <w:rsid w:val="6DDB6CB0"/>
    <w:rsid w:val="6DE52ACD"/>
    <w:rsid w:val="6DFC0B44"/>
    <w:rsid w:val="6E0458E7"/>
    <w:rsid w:val="6E212037"/>
    <w:rsid w:val="6E3B221B"/>
    <w:rsid w:val="6E475779"/>
    <w:rsid w:val="6E7764EF"/>
    <w:rsid w:val="6EAD447C"/>
    <w:rsid w:val="6ECD7F59"/>
    <w:rsid w:val="6EED7C80"/>
    <w:rsid w:val="6EF773A4"/>
    <w:rsid w:val="6F2F2D9E"/>
    <w:rsid w:val="6F4147D9"/>
    <w:rsid w:val="6F947E4B"/>
    <w:rsid w:val="6FA30BDA"/>
    <w:rsid w:val="6FB80698"/>
    <w:rsid w:val="7024611F"/>
    <w:rsid w:val="70637B96"/>
    <w:rsid w:val="70797317"/>
    <w:rsid w:val="7099044B"/>
    <w:rsid w:val="709D518F"/>
    <w:rsid w:val="70C759D3"/>
    <w:rsid w:val="70CF2B23"/>
    <w:rsid w:val="710952C1"/>
    <w:rsid w:val="71452CD8"/>
    <w:rsid w:val="7158683A"/>
    <w:rsid w:val="715B2F52"/>
    <w:rsid w:val="716167CC"/>
    <w:rsid w:val="71764F23"/>
    <w:rsid w:val="71946576"/>
    <w:rsid w:val="71967E84"/>
    <w:rsid w:val="71A61873"/>
    <w:rsid w:val="71AF4936"/>
    <w:rsid w:val="71D75D0F"/>
    <w:rsid w:val="721919B3"/>
    <w:rsid w:val="721A6098"/>
    <w:rsid w:val="72310D1A"/>
    <w:rsid w:val="725D6B54"/>
    <w:rsid w:val="729C6026"/>
    <w:rsid w:val="72A17C99"/>
    <w:rsid w:val="72AF6F7E"/>
    <w:rsid w:val="72C576C8"/>
    <w:rsid w:val="73047904"/>
    <w:rsid w:val="734C1A6A"/>
    <w:rsid w:val="735C5949"/>
    <w:rsid w:val="73737DA5"/>
    <w:rsid w:val="73851FDD"/>
    <w:rsid w:val="73887B3E"/>
    <w:rsid w:val="73892412"/>
    <w:rsid w:val="73E96BCA"/>
    <w:rsid w:val="73EE4A6E"/>
    <w:rsid w:val="741048BC"/>
    <w:rsid w:val="742E78D4"/>
    <w:rsid w:val="74676A28"/>
    <w:rsid w:val="7479207F"/>
    <w:rsid w:val="747E40B6"/>
    <w:rsid w:val="74AC3224"/>
    <w:rsid w:val="74BB2C83"/>
    <w:rsid w:val="74DE4E5F"/>
    <w:rsid w:val="74EB54AB"/>
    <w:rsid w:val="74FF6D43"/>
    <w:rsid w:val="750201A2"/>
    <w:rsid w:val="751A76AF"/>
    <w:rsid w:val="75250574"/>
    <w:rsid w:val="7550443E"/>
    <w:rsid w:val="755F0BCC"/>
    <w:rsid w:val="756F17F9"/>
    <w:rsid w:val="75825461"/>
    <w:rsid w:val="759926FC"/>
    <w:rsid w:val="75A24276"/>
    <w:rsid w:val="75AA231D"/>
    <w:rsid w:val="75E8633A"/>
    <w:rsid w:val="763F09AA"/>
    <w:rsid w:val="764F3FCC"/>
    <w:rsid w:val="7650339F"/>
    <w:rsid w:val="76603C9A"/>
    <w:rsid w:val="76BB1CAB"/>
    <w:rsid w:val="76C04050"/>
    <w:rsid w:val="76E65049"/>
    <w:rsid w:val="77076007"/>
    <w:rsid w:val="77413F7E"/>
    <w:rsid w:val="77835654"/>
    <w:rsid w:val="7797109C"/>
    <w:rsid w:val="779A2A38"/>
    <w:rsid w:val="77B07B65"/>
    <w:rsid w:val="77B4450A"/>
    <w:rsid w:val="77B46E73"/>
    <w:rsid w:val="77E37A12"/>
    <w:rsid w:val="77FE3468"/>
    <w:rsid w:val="78546F0C"/>
    <w:rsid w:val="78B9794C"/>
    <w:rsid w:val="78EE1C79"/>
    <w:rsid w:val="797239CC"/>
    <w:rsid w:val="79831473"/>
    <w:rsid w:val="7999527A"/>
    <w:rsid w:val="79AF76C5"/>
    <w:rsid w:val="79C25EE1"/>
    <w:rsid w:val="79CE2967"/>
    <w:rsid w:val="79EA664C"/>
    <w:rsid w:val="7A2A3030"/>
    <w:rsid w:val="7A2F459A"/>
    <w:rsid w:val="7A517022"/>
    <w:rsid w:val="7A602571"/>
    <w:rsid w:val="7A6F5001"/>
    <w:rsid w:val="7AA2343E"/>
    <w:rsid w:val="7ADA73A4"/>
    <w:rsid w:val="7AE66B99"/>
    <w:rsid w:val="7B0A3BCA"/>
    <w:rsid w:val="7B4048C1"/>
    <w:rsid w:val="7B73082F"/>
    <w:rsid w:val="7BC62E00"/>
    <w:rsid w:val="7BE35E2A"/>
    <w:rsid w:val="7BFA1CC7"/>
    <w:rsid w:val="7BFB70B3"/>
    <w:rsid w:val="7C0251DA"/>
    <w:rsid w:val="7C1052F2"/>
    <w:rsid w:val="7C1160F6"/>
    <w:rsid w:val="7C2668D9"/>
    <w:rsid w:val="7C32497F"/>
    <w:rsid w:val="7C3C69AE"/>
    <w:rsid w:val="7C691974"/>
    <w:rsid w:val="7C8A6570"/>
    <w:rsid w:val="7C8B7390"/>
    <w:rsid w:val="7C9B0D0E"/>
    <w:rsid w:val="7CA42B03"/>
    <w:rsid w:val="7CC50906"/>
    <w:rsid w:val="7CC76835"/>
    <w:rsid w:val="7CD2318A"/>
    <w:rsid w:val="7CD2702A"/>
    <w:rsid w:val="7CD34C42"/>
    <w:rsid w:val="7CDE3FF9"/>
    <w:rsid w:val="7CE26EBF"/>
    <w:rsid w:val="7CEE3130"/>
    <w:rsid w:val="7D1F6674"/>
    <w:rsid w:val="7D480B34"/>
    <w:rsid w:val="7D9005BC"/>
    <w:rsid w:val="7D9F0AD0"/>
    <w:rsid w:val="7DD12BB7"/>
    <w:rsid w:val="7DFF0955"/>
    <w:rsid w:val="7E0B750E"/>
    <w:rsid w:val="7E2822EA"/>
    <w:rsid w:val="7E355A7B"/>
    <w:rsid w:val="7E6E3E85"/>
    <w:rsid w:val="7E9C184B"/>
    <w:rsid w:val="7EA72948"/>
    <w:rsid w:val="7EB31EDB"/>
    <w:rsid w:val="7EE70CC0"/>
    <w:rsid w:val="7EEB48DB"/>
    <w:rsid w:val="7EF27444"/>
    <w:rsid w:val="7F265C58"/>
    <w:rsid w:val="7F3E0267"/>
    <w:rsid w:val="7F582CF2"/>
    <w:rsid w:val="7F7A5A9C"/>
    <w:rsid w:val="7F951B4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5"/>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8">
    <w:name w:val="heading 1"/>
    <w:basedOn w:val="1"/>
    <w:next w:val="1"/>
    <w:qFormat/>
    <w:uiPriority w:val="0"/>
    <w:pPr>
      <w:keepNext/>
      <w:keepLines/>
      <w:spacing w:before="340" w:after="330" w:line="576" w:lineRule="auto"/>
      <w:outlineLvl w:val="0"/>
    </w:pPr>
    <w:rPr>
      <w:b/>
      <w:bCs/>
      <w:kern w:val="44"/>
      <w:sz w:val="44"/>
      <w:szCs w:val="44"/>
    </w:rPr>
  </w:style>
  <w:style w:type="paragraph" w:styleId="9">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10">
    <w:name w:val="heading 3"/>
    <w:basedOn w:val="1"/>
    <w:next w:val="1"/>
    <w:qFormat/>
    <w:uiPriority w:val="0"/>
    <w:pPr>
      <w:keepNext/>
      <w:keepLines/>
      <w:spacing w:before="260" w:after="260" w:line="416" w:lineRule="auto"/>
      <w:outlineLvl w:val="2"/>
    </w:pPr>
    <w:rPr>
      <w:b/>
      <w:bCs/>
      <w:sz w:val="32"/>
      <w:szCs w:val="32"/>
    </w:rPr>
  </w:style>
  <w:style w:type="paragraph" w:styleId="11">
    <w:name w:val="heading 4"/>
    <w:basedOn w:val="1"/>
    <w:next w:val="1"/>
    <w:qFormat/>
    <w:uiPriority w:val="0"/>
    <w:pPr>
      <w:keepNext/>
      <w:keepLines/>
      <w:spacing w:line="360" w:lineRule="auto"/>
      <w:outlineLvl w:val="3"/>
    </w:pPr>
    <w:rPr>
      <w:rFonts w:ascii="Arial" w:hAnsi="Arial"/>
      <w:b/>
      <w:bCs/>
      <w:szCs w:val="2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5"/>
    <w:qFormat/>
    <w:uiPriority w:val="0"/>
    <w:pPr>
      <w:spacing w:line="360" w:lineRule="auto"/>
      <w:ind w:firstLine="420" w:firstLineChars="100"/>
    </w:pPr>
    <w:rPr>
      <w:szCs w:val="21"/>
    </w:rPr>
  </w:style>
  <w:style w:type="paragraph" w:styleId="3">
    <w:name w:val="Body Text"/>
    <w:basedOn w:val="1"/>
    <w:next w:val="4"/>
    <w:link w:val="73"/>
    <w:qFormat/>
    <w:uiPriority w:val="0"/>
  </w:style>
  <w:style w:type="paragraph" w:styleId="4">
    <w:name w:val="Body Text 2"/>
    <w:basedOn w:val="1"/>
    <w:next w:val="3"/>
    <w:qFormat/>
    <w:uiPriority w:val="0"/>
    <w:pPr>
      <w:spacing w:line="480" w:lineRule="auto"/>
    </w:pPr>
  </w:style>
  <w:style w:type="paragraph" w:styleId="5">
    <w:name w:val="Body Text First Indent 2"/>
    <w:basedOn w:val="6"/>
    <w:next w:val="1"/>
    <w:qFormat/>
    <w:uiPriority w:val="0"/>
    <w:pPr>
      <w:ind w:firstLine="420" w:firstLineChars="200"/>
    </w:pPr>
  </w:style>
  <w:style w:type="paragraph" w:styleId="6">
    <w:name w:val="Body Text Indent"/>
    <w:basedOn w:val="1"/>
    <w:next w:val="7"/>
    <w:qFormat/>
    <w:uiPriority w:val="0"/>
    <w:pPr>
      <w:widowControl/>
      <w:spacing w:beforeAutospacing="1" w:afterAutospacing="1"/>
      <w:jc w:val="left"/>
    </w:pPr>
    <w:rPr>
      <w:rFonts w:ascii="宋体" w:hAnsi="宋体" w:cs="宋体"/>
      <w:kern w:val="0"/>
      <w:sz w:val="24"/>
    </w:rPr>
  </w:style>
  <w:style w:type="paragraph" w:customStyle="1" w:styleId="7">
    <w:name w:val="目录 51"/>
    <w:next w:val="1"/>
    <w:qFormat/>
    <w:uiPriority w:val="0"/>
    <w:pPr>
      <w:wordWrap w:val="0"/>
      <w:ind w:left="1700"/>
      <w:jc w:val="both"/>
    </w:pPr>
    <w:rPr>
      <w:rFonts w:ascii="Calibri" w:hAnsi="Calibri" w:eastAsia="Calibri" w:cs="Times New Roman"/>
      <w:sz w:val="21"/>
      <w:lang w:val="en-US" w:eastAsia="zh-CN" w:bidi="ar-SA"/>
    </w:rPr>
  </w:style>
  <w:style w:type="paragraph" w:styleId="12">
    <w:name w:val="List Number"/>
    <w:basedOn w:val="1"/>
    <w:qFormat/>
    <w:uiPriority w:val="0"/>
    <w:pPr>
      <w:widowControl/>
      <w:spacing w:beforeAutospacing="1" w:afterAutospacing="1"/>
      <w:jc w:val="left"/>
    </w:pPr>
    <w:rPr>
      <w:rFonts w:ascii="宋体" w:hAnsi="宋体" w:cs="宋体"/>
      <w:kern w:val="0"/>
      <w:sz w:val="24"/>
    </w:rPr>
  </w:style>
  <w:style w:type="paragraph" w:styleId="13">
    <w:name w:val="Normal Indent"/>
    <w:basedOn w:val="1"/>
    <w:qFormat/>
    <w:uiPriority w:val="0"/>
    <w:pPr>
      <w:widowControl/>
      <w:spacing w:beforeAutospacing="1" w:afterAutospacing="1"/>
      <w:jc w:val="left"/>
    </w:pPr>
    <w:rPr>
      <w:rFonts w:ascii="宋体" w:hAnsi="宋体" w:cs="宋体"/>
      <w:kern w:val="0"/>
      <w:sz w:val="24"/>
    </w:rPr>
  </w:style>
  <w:style w:type="paragraph" w:styleId="14">
    <w:name w:val="Document Map"/>
    <w:basedOn w:val="1"/>
    <w:link w:val="75"/>
    <w:qFormat/>
    <w:uiPriority w:val="0"/>
    <w:rPr>
      <w:rFonts w:ascii="宋体" w:hAnsi="Calibri"/>
      <w:sz w:val="18"/>
      <w:szCs w:val="18"/>
    </w:rPr>
  </w:style>
  <w:style w:type="paragraph" w:styleId="15">
    <w:name w:val="annotation text"/>
    <w:basedOn w:val="1"/>
    <w:qFormat/>
    <w:uiPriority w:val="0"/>
    <w:pPr>
      <w:jc w:val="left"/>
    </w:pPr>
  </w:style>
  <w:style w:type="paragraph" w:styleId="16">
    <w:name w:val="Body Text 3"/>
    <w:basedOn w:val="1"/>
    <w:qFormat/>
    <w:uiPriority w:val="0"/>
    <w:rPr>
      <w:sz w:val="16"/>
      <w:szCs w:val="16"/>
    </w:rPr>
  </w:style>
  <w:style w:type="paragraph" w:styleId="17">
    <w:name w:val="List 2"/>
    <w:basedOn w:val="1"/>
    <w:qFormat/>
    <w:uiPriority w:val="0"/>
    <w:pPr>
      <w:ind w:left="100" w:leftChars="200" w:hanging="200" w:hangingChars="200"/>
    </w:pPr>
  </w:style>
  <w:style w:type="paragraph" w:styleId="18">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9">
    <w:name w:val="toc 3"/>
    <w:basedOn w:val="1"/>
    <w:next w:val="1"/>
    <w:qFormat/>
    <w:uiPriority w:val="0"/>
    <w:pPr>
      <w:tabs>
        <w:tab w:val="left" w:pos="709"/>
        <w:tab w:val="right" w:leader="dot" w:pos="8789"/>
      </w:tabs>
      <w:spacing w:line="400" w:lineRule="atLeast"/>
    </w:pPr>
    <w:rPr>
      <w:rFonts w:ascii="宋体"/>
      <w:kern w:val="0"/>
      <w:szCs w:val="20"/>
    </w:rPr>
  </w:style>
  <w:style w:type="paragraph" w:styleId="20">
    <w:name w:val="Plain Text"/>
    <w:basedOn w:val="1"/>
    <w:qFormat/>
    <w:uiPriority w:val="0"/>
    <w:pPr>
      <w:widowControl/>
      <w:spacing w:beforeAutospacing="1" w:afterAutospacing="1"/>
      <w:jc w:val="left"/>
    </w:pPr>
    <w:rPr>
      <w:rFonts w:ascii="宋体" w:hAnsi="宋体" w:cs="宋体"/>
      <w:kern w:val="0"/>
      <w:sz w:val="24"/>
    </w:rPr>
  </w:style>
  <w:style w:type="paragraph" w:styleId="21">
    <w:name w:val="Date"/>
    <w:basedOn w:val="1"/>
    <w:next w:val="1"/>
    <w:qFormat/>
    <w:uiPriority w:val="0"/>
    <w:pPr>
      <w:ind w:left="100" w:leftChars="2500"/>
    </w:pPr>
    <w:rPr>
      <w:rFonts w:ascii="宋体" w:hAnsi="宋体"/>
      <w:sz w:val="28"/>
    </w:rPr>
  </w:style>
  <w:style w:type="paragraph" w:styleId="22">
    <w:name w:val="Body Text Indent 2"/>
    <w:basedOn w:val="1"/>
    <w:qFormat/>
    <w:uiPriority w:val="0"/>
    <w:pPr>
      <w:spacing w:line="480" w:lineRule="auto"/>
      <w:ind w:left="420" w:leftChars="200"/>
    </w:pPr>
  </w:style>
  <w:style w:type="paragraph" w:styleId="23">
    <w:name w:val="footer"/>
    <w:basedOn w:val="1"/>
    <w:qFormat/>
    <w:uiPriority w:val="0"/>
    <w:pPr>
      <w:tabs>
        <w:tab w:val="center" w:pos="4153"/>
        <w:tab w:val="right" w:pos="8306"/>
      </w:tabs>
      <w:snapToGrid w:val="0"/>
      <w:jc w:val="left"/>
    </w:pPr>
    <w:rPr>
      <w:sz w:val="18"/>
      <w:szCs w:val="18"/>
    </w:rPr>
  </w:style>
  <w:style w:type="paragraph" w:styleId="24">
    <w:name w:val="envelope return"/>
    <w:basedOn w:val="1"/>
    <w:unhideWhenUsed/>
    <w:qFormat/>
    <w:uiPriority w:val="99"/>
    <w:pPr>
      <w:snapToGrid w:val="0"/>
    </w:pPr>
    <w:rPr>
      <w:rFonts w:ascii="Arial" w:hAnsi="Arial"/>
    </w:rPr>
  </w:style>
  <w:style w:type="paragraph" w:styleId="2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0"/>
  </w:style>
  <w:style w:type="paragraph" w:styleId="27">
    <w:name w:val="List"/>
    <w:basedOn w:val="1"/>
    <w:qFormat/>
    <w:uiPriority w:val="0"/>
    <w:pPr>
      <w:ind w:left="200" w:hanging="200" w:hangingChars="200"/>
    </w:pPr>
  </w:style>
  <w:style w:type="paragraph" w:styleId="28">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30">
    <w:name w:val="Normal (Web)"/>
    <w:basedOn w:val="1"/>
    <w:qFormat/>
    <w:uiPriority w:val="99"/>
    <w:pPr>
      <w:spacing w:before="100" w:beforeAutospacing="1" w:after="100" w:afterAutospacing="1"/>
      <w:jc w:val="left"/>
    </w:pPr>
    <w:rPr>
      <w:kern w:val="0"/>
      <w:sz w:val="24"/>
    </w:rPr>
  </w:style>
  <w:style w:type="paragraph" w:styleId="31">
    <w:name w:val="Title"/>
    <w:basedOn w:val="1"/>
    <w:qFormat/>
    <w:uiPriority w:val="0"/>
    <w:pPr>
      <w:jc w:val="center"/>
      <w:outlineLvl w:val="0"/>
    </w:pPr>
    <w:rPr>
      <w:rFonts w:ascii="Arial" w:hAnsi="Arial" w:cs="Arial"/>
      <w:b/>
      <w:bCs/>
      <w:sz w:val="32"/>
      <w:szCs w:val="32"/>
    </w:rPr>
  </w:style>
  <w:style w:type="table" w:styleId="33">
    <w:name w:val="Table Grid"/>
    <w:basedOn w:val="3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qFormat/>
    <w:uiPriority w:val="0"/>
    <w:rPr>
      <w:b/>
      <w:bCs/>
      <w:szCs w:val="24"/>
    </w:rPr>
  </w:style>
  <w:style w:type="character" w:styleId="36">
    <w:name w:val="page number"/>
    <w:basedOn w:val="34"/>
    <w:qFormat/>
    <w:uiPriority w:val="0"/>
  </w:style>
  <w:style w:type="character" w:styleId="37">
    <w:name w:val="FollowedHyperlink"/>
    <w:qFormat/>
    <w:uiPriority w:val="0"/>
    <w:rPr>
      <w:color w:val="333333"/>
      <w:szCs w:val="24"/>
      <w:u w:val="none"/>
    </w:rPr>
  </w:style>
  <w:style w:type="character" w:styleId="38">
    <w:name w:val="Emphasis"/>
    <w:basedOn w:val="34"/>
    <w:qFormat/>
    <w:uiPriority w:val="0"/>
  </w:style>
  <w:style w:type="character" w:styleId="39">
    <w:name w:val="HTML Definition"/>
    <w:basedOn w:val="34"/>
    <w:qFormat/>
    <w:uiPriority w:val="0"/>
  </w:style>
  <w:style w:type="character" w:styleId="40">
    <w:name w:val="HTML Typewriter"/>
    <w:basedOn w:val="34"/>
    <w:qFormat/>
    <w:uiPriority w:val="0"/>
    <w:rPr>
      <w:rFonts w:hint="default" w:ascii="monospace" w:hAnsi="monospace" w:eastAsia="monospace" w:cs="monospace"/>
      <w:sz w:val="20"/>
    </w:rPr>
  </w:style>
  <w:style w:type="character" w:styleId="41">
    <w:name w:val="HTML Acronym"/>
    <w:basedOn w:val="34"/>
    <w:qFormat/>
    <w:uiPriority w:val="0"/>
  </w:style>
  <w:style w:type="character" w:styleId="42">
    <w:name w:val="HTML Variable"/>
    <w:basedOn w:val="34"/>
    <w:qFormat/>
    <w:uiPriority w:val="0"/>
  </w:style>
  <w:style w:type="character" w:styleId="43">
    <w:name w:val="Hyperlink"/>
    <w:basedOn w:val="34"/>
    <w:qFormat/>
    <w:uiPriority w:val="0"/>
    <w:rPr>
      <w:color w:val="333333"/>
      <w:szCs w:val="24"/>
      <w:u w:val="none"/>
    </w:rPr>
  </w:style>
  <w:style w:type="character" w:styleId="44">
    <w:name w:val="HTML Code"/>
    <w:basedOn w:val="34"/>
    <w:qFormat/>
    <w:uiPriority w:val="0"/>
    <w:rPr>
      <w:rFonts w:ascii="monospace" w:hAnsi="monospace" w:eastAsia="monospace" w:cs="monospace"/>
      <w:sz w:val="20"/>
    </w:rPr>
  </w:style>
  <w:style w:type="character" w:styleId="45">
    <w:name w:val="HTML Cite"/>
    <w:basedOn w:val="34"/>
    <w:qFormat/>
    <w:uiPriority w:val="0"/>
  </w:style>
  <w:style w:type="character" w:styleId="46">
    <w:name w:val="HTML Keyboard"/>
    <w:basedOn w:val="34"/>
    <w:qFormat/>
    <w:uiPriority w:val="0"/>
    <w:rPr>
      <w:rFonts w:hint="default" w:ascii="monospace" w:hAnsi="monospace" w:eastAsia="monospace" w:cs="monospace"/>
      <w:sz w:val="20"/>
    </w:rPr>
  </w:style>
  <w:style w:type="character" w:styleId="47">
    <w:name w:val="HTML Sample"/>
    <w:basedOn w:val="34"/>
    <w:qFormat/>
    <w:uiPriority w:val="0"/>
    <w:rPr>
      <w:rFonts w:hint="default" w:ascii="monospace" w:hAnsi="monospace" w:eastAsia="monospace" w:cs="monospace"/>
    </w:rPr>
  </w:style>
  <w:style w:type="paragraph" w:customStyle="1" w:styleId="48">
    <w:name w:val="无间隔1"/>
    <w:basedOn w:val="1"/>
    <w:qFormat/>
    <w:uiPriority w:val="1"/>
    <w:pPr>
      <w:spacing w:line="400" w:lineRule="exact"/>
    </w:pPr>
    <w:rPr>
      <w:sz w:val="24"/>
    </w:rPr>
  </w:style>
  <w:style w:type="paragraph" w:customStyle="1" w:styleId="49">
    <w:name w:val="样式 正文首行缩进 2 + Arial"/>
    <w:basedOn w:val="1"/>
    <w:next w:val="1"/>
    <w:qFormat/>
    <w:uiPriority w:val="0"/>
    <w:pPr>
      <w:spacing w:after="120" w:line="320" w:lineRule="atLeast"/>
      <w:ind w:firstLine="200" w:firstLineChars="200"/>
    </w:pPr>
    <w:rPr>
      <w:rFonts w:ascii="Arial" w:hAnsi="Arial"/>
      <w:kern w:val="0"/>
    </w:rPr>
  </w:style>
  <w:style w:type="paragraph" w:customStyle="1" w:styleId="50">
    <w:name w:val="No Spacing1"/>
    <w:basedOn w:val="1"/>
    <w:qFormat/>
    <w:uiPriority w:val="0"/>
    <w:pPr>
      <w:spacing w:line="400" w:lineRule="exact"/>
    </w:pPr>
    <w:rPr>
      <w:sz w:val="24"/>
    </w:rPr>
  </w:style>
  <w:style w:type="paragraph" w:customStyle="1" w:styleId="51">
    <w:name w:val="Default"/>
    <w:next w:val="52"/>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2">
    <w:name w:val="大标题"/>
    <w:basedOn w:val="1"/>
    <w:next w:val="5"/>
    <w:qFormat/>
    <w:uiPriority w:val="0"/>
    <w:pPr>
      <w:jc w:val="center"/>
    </w:pPr>
    <w:rPr>
      <w:rFonts w:ascii="Arial" w:hAnsi="Arial"/>
      <w:b/>
      <w:sz w:val="28"/>
    </w:rPr>
  </w:style>
  <w:style w:type="paragraph" w:customStyle="1" w:styleId="53">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4">
    <w:name w:val="Char"/>
    <w:basedOn w:val="1"/>
    <w:qFormat/>
    <w:uiPriority w:val="0"/>
  </w:style>
  <w:style w:type="paragraph" w:customStyle="1" w:styleId="55">
    <w:name w:val="正文缩进1"/>
    <w:basedOn w:val="1"/>
    <w:qFormat/>
    <w:uiPriority w:val="0"/>
    <w:pPr>
      <w:widowControl/>
      <w:ind w:firstLine="420"/>
      <w:jc w:val="left"/>
    </w:pPr>
    <w:rPr>
      <w:kern w:val="0"/>
      <w:szCs w:val="20"/>
    </w:rPr>
  </w:style>
  <w:style w:type="paragraph" w:customStyle="1" w:styleId="56">
    <w:name w:val="列出段落2"/>
    <w:basedOn w:val="1"/>
    <w:qFormat/>
    <w:uiPriority w:val="34"/>
    <w:pPr>
      <w:ind w:firstLine="420" w:firstLineChars="200"/>
    </w:pPr>
  </w:style>
  <w:style w:type="paragraph" w:customStyle="1" w:styleId="57">
    <w:name w:val="plaintext"/>
    <w:basedOn w:val="1"/>
    <w:qFormat/>
    <w:uiPriority w:val="0"/>
    <w:pPr>
      <w:widowControl/>
      <w:spacing w:beforeAutospacing="1" w:afterAutospacing="1"/>
      <w:jc w:val="left"/>
    </w:pPr>
    <w:rPr>
      <w:rFonts w:ascii="宋体" w:hAnsi="宋体" w:cs="宋体"/>
      <w:kern w:val="0"/>
      <w:sz w:val="24"/>
    </w:rPr>
  </w:style>
  <w:style w:type="paragraph" w:customStyle="1" w:styleId="58">
    <w:name w:val="1"/>
    <w:basedOn w:val="1"/>
    <w:qFormat/>
    <w:uiPriority w:val="0"/>
    <w:pPr>
      <w:widowControl/>
      <w:spacing w:beforeAutospacing="1" w:afterAutospacing="1"/>
      <w:jc w:val="left"/>
    </w:pPr>
    <w:rPr>
      <w:rFonts w:ascii="宋体" w:hAnsi="宋体" w:cs="宋体"/>
      <w:kern w:val="0"/>
      <w:sz w:val="24"/>
    </w:rPr>
  </w:style>
  <w:style w:type="paragraph" w:styleId="59">
    <w:name w:val="No Spacing"/>
    <w:qFormat/>
    <w:uiPriority w:val="1"/>
    <w:rPr>
      <w:rFonts w:ascii="Calibri" w:hAnsi="Calibri" w:eastAsia="宋体" w:cs="Times New Roman"/>
      <w:sz w:val="22"/>
      <w:szCs w:val="22"/>
      <w:lang w:val="en-US" w:eastAsia="zh-CN" w:bidi="ar-SA"/>
    </w:rPr>
  </w:style>
  <w:style w:type="paragraph" w:customStyle="1" w:styleId="60">
    <w:name w:val="_Style 2"/>
    <w:basedOn w:val="1"/>
    <w:qFormat/>
    <w:uiPriority w:val="34"/>
    <w:pPr>
      <w:ind w:firstLine="420" w:firstLineChars="200"/>
    </w:pPr>
    <w:rPr>
      <w:rFonts w:ascii="Calibri" w:hAnsi="Calibri"/>
    </w:rPr>
  </w:style>
  <w:style w:type="paragraph" w:customStyle="1" w:styleId="61">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2">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3">
    <w:name w:val="Char1"/>
    <w:basedOn w:val="1"/>
    <w:qFormat/>
    <w:uiPriority w:val="0"/>
  </w:style>
  <w:style w:type="paragraph" w:customStyle="1" w:styleId="64">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5">
    <w:name w:val="Table Paragraph"/>
    <w:basedOn w:val="1"/>
    <w:qFormat/>
    <w:uiPriority w:val="1"/>
    <w:pPr>
      <w:jc w:val="left"/>
    </w:pPr>
    <w:rPr>
      <w:rFonts w:ascii="宋体" w:hAnsi="宋体" w:cs="宋体"/>
      <w:kern w:val="0"/>
      <w:sz w:val="22"/>
      <w:szCs w:val="22"/>
      <w:lang w:eastAsia="en-US"/>
    </w:rPr>
  </w:style>
  <w:style w:type="paragraph" w:customStyle="1" w:styleId="66">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qFormat/>
    <w:uiPriority w:val="34"/>
    <w:pPr>
      <w:ind w:firstLine="420" w:firstLineChars="200"/>
    </w:pPr>
  </w:style>
  <w:style w:type="paragraph" w:customStyle="1" w:styleId="69">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qFormat/>
    <w:uiPriority w:val="0"/>
    <w:pPr>
      <w:widowControl/>
      <w:spacing w:beforeAutospacing="1" w:afterAutospacing="1"/>
      <w:jc w:val="left"/>
    </w:pPr>
    <w:rPr>
      <w:rFonts w:ascii="宋体" w:hAnsi="宋体" w:cs="宋体"/>
      <w:kern w:val="0"/>
      <w:sz w:val="24"/>
    </w:rPr>
  </w:style>
  <w:style w:type="paragraph" w:customStyle="1" w:styleId="71">
    <w:name w:val="default"/>
    <w:basedOn w:val="1"/>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qFormat/>
    <w:uiPriority w:val="0"/>
    <w:pPr>
      <w:ind w:firstLine="420" w:firstLineChars="200"/>
    </w:pPr>
    <w:rPr>
      <w:rFonts w:ascii="Calibri" w:hAnsi="Calibri"/>
      <w:szCs w:val="22"/>
    </w:rPr>
  </w:style>
  <w:style w:type="character" w:customStyle="1" w:styleId="73">
    <w:name w:val="正文文本 Char"/>
    <w:basedOn w:val="34"/>
    <w:link w:val="3"/>
    <w:qFormat/>
    <w:uiPriority w:val="0"/>
  </w:style>
  <w:style w:type="character" w:customStyle="1" w:styleId="74">
    <w:name w:val="apple-converted-space"/>
    <w:basedOn w:val="34"/>
    <w:qFormat/>
    <w:uiPriority w:val="0"/>
  </w:style>
  <w:style w:type="character" w:customStyle="1" w:styleId="75">
    <w:name w:val="文档结构图 Char"/>
    <w:link w:val="14"/>
    <w:qFormat/>
    <w:uiPriority w:val="0"/>
    <w:rPr>
      <w:rFonts w:ascii="宋体"/>
      <w:kern w:val="2"/>
      <w:sz w:val="18"/>
      <w:szCs w:val="18"/>
    </w:rPr>
  </w:style>
  <w:style w:type="character" w:customStyle="1" w:styleId="76">
    <w:name w:val="不明显强调1"/>
    <w:qFormat/>
    <w:uiPriority w:val="19"/>
    <w:rPr>
      <w:i/>
      <w:iCs/>
      <w:color w:val="7F7F7F"/>
      <w:szCs w:val="24"/>
    </w:rPr>
  </w:style>
  <w:style w:type="character" w:customStyle="1" w:styleId="77">
    <w:name w:val="font71"/>
    <w:qFormat/>
    <w:uiPriority w:val="0"/>
    <w:rPr>
      <w:rFonts w:hint="eastAsia" w:ascii="宋体" w:hAnsi="宋体" w:eastAsia="宋体" w:cs="宋体"/>
      <w:color w:val="000000"/>
      <w:sz w:val="28"/>
      <w:szCs w:val="28"/>
      <w:u w:val="none"/>
    </w:rPr>
  </w:style>
  <w:style w:type="character" w:customStyle="1" w:styleId="78">
    <w:name w:val="font21"/>
    <w:qFormat/>
    <w:uiPriority w:val="0"/>
    <w:rPr>
      <w:rFonts w:hint="default" w:ascii="Calibri" w:hAnsi="Calibri" w:cs="Calibri"/>
      <w:color w:val="000000"/>
      <w:sz w:val="28"/>
      <w:szCs w:val="28"/>
      <w:u w:val="none"/>
    </w:rPr>
  </w:style>
  <w:style w:type="character" w:customStyle="1" w:styleId="79">
    <w:name w:val="17"/>
    <w:qFormat/>
    <w:uiPriority w:val="0"/>
    <w:rPr>
      <w:rFonts w:hint="eastAsia" w:ascii="宋体" w:hAnsi="宋体" w:eastAsia="宋体"/>
      <w:color w:val="000000"/>
    </w:rPr>
  </w:style>
  <w:style w:type="character" w:customStyle="1" w:styleId="80">
    <w:name w:val="font91"/>
    <w:qFormat/>
    <w:uiPriority w:val="0"/>
    <w:rPr>
      <w:rFonts w:hint="eastAsia" w:ascii="宋体" w:hAnsi="宋体" w:eastAsia="宋体" w:cs="宋体"/>
      <w:color w:val="FF0000"/>
      <w:sz w:val="28"/>
      <w:szCs w:val="28"/>
      <w:u w:val="none"/>
    </w:rPr>
  </w:style>
  <w:style w:type="paragraph" w:customStyle="1" w:styleId="81">
    <w:name w:val="p"/>
    <w:basedOn w:val="1"/>
    <w:qFormat/>
    <w:uiPriority w:val="0"/>
    <w:pPr>
      <w:widowControl/>
      <w:spacing w:line="432" w:lineRule="auto"/>
      <w:jc w:val="left"/>
    </w:pPr>
    <w:rPr>
      <w:rFonts w:ascii="宋体" w:hAnsi="宋体" w:cs="宋体"/>
      <w:kern w:val="0"/>
      <w:sz w:val="24"/>
    </w:rPr>
  </w:style>
  <w:style w:type="paragraph" w:customStyle="1" w:styleId="82">
    <w:name w:val="WPSOffice手动目录 1"/>
    <w:qFormat/>
    <w:uiPriority w:val="0"/>
    <w:rPr>
      <w:rFonts w:ascii="Times New Roman" w:hAnsi="Times New Roman" w:eastAsia="宋体" w:cs="Times New Roman"/>
      <w:lang w:val="en-US" w:eastAsia="zh-CN" w:bidi="ar-SA"/>
    </w:rPr>
  </w:style>
  <w:style w:type="paragraph" w:customStyle="1" w:styleId="83">
    <w:name w:val="*正文_1"/>
    <w:basedOn w:val="1"/>
    <w:next w:val="1"/>
    <w:qFormat/>
    <w:uiPriority w:val="0"/>
    <w:pPr>
      <w:widowControl/>
      <w:ind w:firstLine="482"/>
    </w:pPr>
    <w:rPr>
      <w:rFonts w:ascii="微软雅黑" w:hAnsi="微软雅黑" w:eastAsia="微软雅黑"/>
      <w:kern w:val="0"/>
      <w:szCs w:val="20"/>
    </w:rPr>
  </w:style>
  <w:style w:type="paragraph" w:customStyle="1" w:styleId="84">
    <w:name w:val="表格文字"/>
    <w:basedOn w:val="1"/>
    <w:next w:val="3"/>
    <w:qFormat/>
    <w:uiPriority w:val="0"/>
    <w:pPr>
      <w:adjustRightInd w:val="0"/>
      <w:spacing w:line="420" w:lineRule="atLeast"/>
      <w:jc w:val="left"/>
      <w:textAlignment w:val="baseline"/>
    </w:pPr>
    <w:rPr>
      <w:kern w:val="0"/>
      <w:szCs w:val="20"/>
    </w:rPr>
  </w:style>
  <w:style w:type="character" w:customStyle="1" w:styleId="85">
    <w:name w:val="NormalCharacter"/>
    <w:link w:val="1"/>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qFormat/>
    <w:uiPriority w:val="34"/>
    <w:pPr>
      <w:widowControl/>
      <w:ind w:firstLine="420"/>
      <w:jc w:val="left"/>
    </w:pPr>
    <w:rPr>
      <w:kern w:val="0"/>
    </w:rPr>
  </w:style>
  <w:style w:type="paragraph" w:styleId="87">
    <w:name w:val="List Paragraph"/>
    <w:basedOn w:val="1"/>
    <w:qFormat/>
    <w:uiPriority w:val="34"/>
    <w:pPr>
      <w:ind w:firstLine="420" w:firstLineChars="200"/>
    </w:pPr>
  </w:style>
  <w:style w:type="character" w:customStyle="1" w:styleId="88">
    <w:name w:val="hover18"/>
    <w:basedOn w:val="34"/>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34</Pages>
  <Words>15011</Words>
  <Characters>15778</Characters>
  <Lines>50</Lines>
  <Paragraphs>68</Paragraphs>
  <TotalTime>5</TotalTime>
  <ScaleCrop>false</ScaleCrop>
  <LinksUpToDate>false</LinksUpToDate>
  <CharactersWithSpaces>16711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陈壹</cp:lastModifiedBy>
  <cp:lastPrinted>2021-09-30T00:46:00Z</cp:lastPrinted>
  <dcterms:modified xsi:type="dcterms:W3CDTF">2022-09-21T07:23:17Z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562A285641654D2EA086C4325B3B203C</vt:lpwstr>
  </property>
</Properties>
</file>