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宋体" w:hAnsi="宋体" w:eastAsia="宋体" w:cs="宋体"/>
          <w:bCs/>
          <w:color w:val="auto"/>
          <w:kern w:val="0"/>
          <w:sz w:val="48"/>
          <w:szCs w:val="48"/>
          <w:lang w:eastAsia="zh-CN"/>
        </w:rPr>
        <w:t>3号楼、4号楼和妇女儿童医院病房楼电梯节能装置采购</w:t>
      </w: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Cs w:val="44"/>
        </w:rPr>
      </w:pPr>
      <w:r>
        <w:rPr>
          <w:rStyle w:val="44"/>
          <w:rFonts w:hint="eastAsia" w:ascii="宋体" w:hAnsi="宋体" w:eastAsia="宋体"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0"/>
        <w:rPr>
          <w:rFonts w:hint="eastAsia" w:ascii="宋体" w:hAnsi="宋体" w:eastAsia="宋体" w:cs="宋体"/>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eastAsia="宋体" w:cs="宋体"/>
          <w:b/>
          <w:bCs/>
          <w:color w:val="auto"/>
          <w:spacing w:val="40"/>
          <w:sz w:val="34"/>
          <w:szCs w:val="34"/>
          <w:lang w:val="en-US" w:eastAsia="zh-CN"/>
        </w:rPr>
        <w:t>11</w:t>
      </w:r>
      <w:r>
        <w:rPr>
          <w:rFonts w:hint="eastAsia" w:ascii="宋体" w:hAnsi="宋体" w:eastAsia="宋体" w:cs="宋体"/>
          <w:b/>
          <w:bCs/>
          <w:color w:val="auto"/>
          <w:spacing w:val="40"/>
          <w:sz w:val="34"/>
          <w:szCs w:val="34"/>
        </w:rPr>
        <w:t>月</w:t>
      </w:r>
    </w:p>
    <w:p>
      <w:pPr>
        <w:rPr>
          <w:rFonts w:hint="eastAsia" w:ascii="宋体" w:hAnsi="宋体" w:eastAsia="宋体" w:cs="宋体"/>
          <w:bCs/>
          <w:color w:val="auto"/>
          <w:sz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2"/>
        <w:rPr>
          <w:rFonts w:hint="eastAsia" w:ascii="宋体" w:hAnsi="宋体" w:eastAsia="宋体" w:cs="宋体"/>
          <w:color w:val="auto"/>
          <w:highlight w:val="none"/>
        </w:rPr>
      </w:pP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第一章  </w:t>
      </w:r>
      <w:r>
        <w:rPr>
          <w:rFonts w:hint="eastAsia" w:ascii="宋体" w:hAnsi="宋体" w:eastAsia="宋体" w:cs="宋体"/>
          <w:color w:val="auto"/>
          <w:szCs w:val="21"/>
          <w:highlight w:val="none"/>
          <w:lang w:val="en-US" w:eastAsia="zh-CN"/>
        </w:rPr>
        <w:t>竞争性磋商公告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第三章  </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_Toc14504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_Toc9022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_Toc28988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18</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第六章  </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格式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_Toc2638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19</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82"/>
        <w:tabs>
          <w:tab w:val="right" w:leader="dot" w:pos="8300"/>
        </w:tabs>
        <w:snapToGrid w:val="0"/>
        <w:spacing w:line="48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spacing w:line="440" w:lineRule="exact"/>
        <w:rPr>
          <w:rFonts w:hint="eastAsia" w:ascii="宋体" w:hAnsi="宋体" w:eastAsia="宋体" w:cs="宋体"/>
          <w:b/>
          <w:color w:val="auto"/>
          <w:sz w:val="32"/>
          <w:szCs w:val="32"/>
          <w:highlight w:val="none"/>
        </w:rPr>
      </w:pPr>
    </w:p>
    <w:p>
      <w:pPr>
        <w:spacing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宋体" w:hAnsi="宋体" w:eastAsia="宋体" w:cs="宋体"/>
          <w:b/>
          <w:bCs w:val="0"/>
          <w:color w:val="auto"/>
          <w:kern w:val="0"/>
          <w:sz w:val="28"/>
          <w:szCs w:val="28"/>
          <w:u w:val="none"/>
          <w:lang w:val="en-US" w:eastAsia="zh-CN"/>
        </w:rPr>
      </w:pPr>
      <w:r>
        <w:rPr>
          <w:rFonts w:hint="eastAsia" w:ascii="宋体" w:hAnsi="宋体" w:eastAsia="宋体" w:cs="宋体"/>
          <w:b/>
          <w:bCs w:val="0"/>
          <w:color w:val="auto"/>
          <w:kern w:val="0"/>
          <w:sz w:val="28"/>
          <w:szCs w:val="28"/>
          <w:lang w:eastAsia="zh-CN"/>
        </w:rPr>
        <w:t>3号楼、4号楼和妇女儿童医院病房楼电梯节能装置采购</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宋体" w:hAnsi="宋体" w:eastAsia="宋体" w:cs="宋体"/>
          <w:b/>
          <w:bCs w:val="0"/>
          <w:color w:val="auto"/>
          <w:kern w:val="0"/>
          <w:sz w:val="28"/>
          <w:szCs w:val="28"/>
        </w:rPr>
      </w:pP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hint="eastAsia" w:ascii="宋体" w:hAnsi="宋体" w:eastAsia="宋体" w:cs="宋体"/>
          <w:color w:val="auto"/>
          <w:szCs w:val="21"/>
        </w:rPr>
      </w:pPr>
      <w:bookmarkStart w:id="91" w:name="_GoBack"/>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eastAsia="宋体" w:cs="宋体"/>
          <w:color w:val="auto"/>
          <w:u w:val="single"/>
          <w:lang w:eastAsia="zh-CN"/>
        </w:rPr>
        <w:t>3号楼、4号楼和妇女儿童医院病房楼电梯节能装置采购</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eastAsia="宋体" w:cs="宋体"/>
          <w:color w:val="auto"/>
          <w:szCs w:val="21"/>
          <w:highlight w:val="none"/>
          <w:shd w:val="clear" w:color="auto" w:fill="FFFFFF"/>
          <w:lang w:eastAsia="zh-CN"/>
        </w:rPr>
        <w:t>3号楼、4号楼和妇女儿童医院病房楼电梯节能装置采购；</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eastAsia="宋体" w:cs="宋体"/>
          <w:color w:val="auto"/>
          <w:szCs w:val="21"/>
          <w:highlight w:val="none"/>
          <w:shd w:val="clear" w:color="auto" w:fill="FFFFFF"/>
          <w:lang w:val="en-US" w:eastAsia="zh-CN"/>
        </w:rPr>
        <w:t>46.53万</w:t>
      </w:r>
      <w:r>
        <w:rPr>
          <w:rFonts w:hint="eastAsia" w:ascii="宋体" w:hAnsi="宋体" w:cs="宋体"/>
          <w:color w:val="auto"/>
          <w:szCs w:val="21"/>
          <w:highlight w:val="none"/>
          <w:shd w:val="clear" w:color="auto" w:fill="FFFFFF"/>
          <w:lang w:val="en-US" w:eastAsia="zh-CN"/>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交货期：合同签订后30日内安装调试完毕；</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7913"/>
      <w:bookmarkStart w:id="5" w:name="_Toc24040"/>
      <w:bookmarkStart w:id="6" w:name="_Toc26079"/>
      <w:bookmarkStart w:id="7" w:name="_Toc21071"/>
      <w:bookmarkStart w:id="8" w:name="_Toc1952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shd w:val="clear" w:color="auto" w:fill="FFFFFF"/>
          <w:lang w:val="en-US" w:eastAsia="zh-CN" w:bidi="ar-SA"/>
        </w:rPr>
      </w:pPr>
      <w:bookmarkStart w:id="9" w:name="_Toc16639"/>
      <w:bookmarkStart w:id="10" w:name="_Toc18607"/>
      <w:bookmarkStart w:id="11" w:name="_Toc23626"/>
      <w:bookmarkStart w:id="12" w:name="_Toc27704"/>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bookmarkStart w:id="13" w:name="_Toc23395"/>
      <w:bookmarkStart w:id="14" w:name="_Toc30971"/>
      <w:bookmarkStart w:id="15" w:name="_Toc9562"/>
      <w:bookmarkStart w:id="16" w:name="_Toc7823"/>
      <w:bookmarkStart w:id="17" w:name="_Toc3064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经审计的财务报告或者其基本开户银行出具的资信证明；2022年7月份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7、不接受联合体</w:t>
      </w:r>
      <w:r>
        <w:rPr>
          <w:rFonts w:hint="eastAsia" w:ascii="宋体" w:hAnsi="宋体" w:cs="宋体"/>
          <w:b w:val="0"/>
          <w:bCs w:val="0"/>
          <w:color w:val="auto"/>
          <w:kern w:val="2"/>
          <w:sz w:val="21"/>
          <w:szCs w:val="21"/>
          <w:shd w:val="clear" w:color="auto" w:fill="FFFFFF"/>
          <w:lang w:val="en-US" w:eastAsia="zh-CN" w:bidi="ar-SA"/>
        </w:rPr>
        <w:t>磋商</w:t>
      </w:r>
      <w:r>
        <w:rPr>
          <w:rFonts w:hint="eastAsia" w:ascii="宋体" w:hAnsi="宋体" w:eastAsia="宋体" w:cs="宋体"/>
          <w:b w:val="0"/>
          <w:bCs w:val="0"/>
          <w:color w:val="auto"/>
          <w:kern w:val="2"/>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hint="eastAsia"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eastAsia="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时间：2022年</w:t>
      </w:r>
      <w:r>
        <w:rPr>
          <w:rFonts w:hint="eastAsia" w:ascii="宋体" w:hAnsi="宋体" w:eastAsia="宋体" w:cs="宋体"/>
          <w:color w:val="auto"/>
          <w:szCs w:val="21"/>
          <w:shd w:val="clear" w:color="auto" w:fill="FFFFFF"/>
          <w:lang w:val="en-US" w:eastAsia="zh-CN"/>
        </w:rPr>
        <w:t>11</w:t>
      </w:r>
      <w:r>
        <w:rPr>
          <w:rFonts w:hint="eastAsia" w:ascii="宋体" w:hAnsi="宋体" w:eastAsia="宋体" w:cs="宋体"/>
          <w:color w:val="auto"/>
          <w:szCs w:val="21"/>
          <w:shd w:val="clear" w:color="auto" w:fill="FFFFFF"/>
        </w:rPr>
        <w:t>月</w:t>
      </w:r>
      <w:r>
        <w:rPr>
          <w:rFonts w:hint="eastAsia" w:ascii="宋体" w:hAnsi="宋体" w:cs="宋体"/>
          <w:color w:val="auto"/>
          <w:szCs w:val="21"/>
          <w:shd w:val="clear" w:color="auto" w:fill="FFFFFF"/>
          <w:lang w:val="en-US" w:eastAsia="zh-CN"/>
        </w:rPr>
        <w:t>25</w:t>
      </w:r>
      <w:r>
        <w:rPr>
          <w:rFonts w:hint="eastAsia" w:ascii="宋体" w:hAnsi="宋体" w:eastAsia="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rPr>
        <w:t>日-2022年</w:t>
      </w:r>
      <w:r>
        <w:rPr>
          <w:rFonts w:hint="eastAsia" w:ascii="宋体" w:hAnsi="宋体" w:eastAsia="宋体" w:cs="宋体"/>
          <w:color w:val="auto"/>
          <w:szCs w:val="21"/>
          <w:shd w:val="clear" w:color="auto" w:fill="FFFFFF"/>
          <w:lang w:val="en-US" w:eastAsia="zh-CN"/>
        </w:rPr>
        <w:t>11</w:t>
      </w:r>
      <w:r>
        <w:rPr>
          <w:rFonts w:hint="eastAsia" w:ascii="宋体" w:hAnsi="宋体" w:eastAsia="宋体" w:cs="宋体"/>
          <w:color w:val="auto"/>
          <w:szCs w:val="21"/>
          <w:shd w:val="clear" w:color="auto" w:fill="FFFFFF"/>
        </w:rPr>
        <w:t>月</w:t>
      </w:r>
      <w:r>
        <w:rPr>
          <w:rFonts w:hint="eastAsia" w:ascii="宋体" w:hAnsi="宋体" w:cs="宋体"/>
          <w:color w:val="auto"/>
          <w:szCs w:val="21"/>
          <w:shd w:val="clear" w:color="auto" w:fill="FFFFFF"/>
          <w:lang w:val="en-US" w:eastAsia="zh-CN"/>
        </w:rPr>
        <w:t>29</w:t>
      </w:r>
      <w:r>
        <w:rPr>
          <w:rFonts w:hint="eastAsia" w:ascii="宋体" w:hAnsi="宋体" w:eastAsia="宋体" w:cs="宋体"/>
          <w:color w:val="auto"/>
          <w:szCs w:val="21"/>
          <w:shd w:val="clear" w:color="auto" w:fill="FFFFFF"/>
        </w:rPr>
        <w:t>日，上午8：30-11:30，下午14:30-17:30（北京时间，法定节假日除外）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eastAsia="宋体" w:cs="宋体"/>
          <w:color w:val="auto"/>
          <w:szCs w:val="21"/>
          <w:shd w:val="clear" w:color="auto" w:fill="FFFFFF"/>
          <w:lang w:val="en-US" w:eastAsia="zh-CN"/>
        </w:rPr>
        <w:t>报名费用：200元。</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2.凡报名成功的供应商无故不来参与的列入我院黑名单，一年内不得参与我院任何采购活动。成交供应商缴纳相应服务费。 </w:t>
      </w:r>
    </w:p>
    <w:p>
      <w:pPr>
        <w:keepNext w:val="0"/>
        <w:keepLines w:val="0"/>
        <w:pageBreakBefore w:val="0"/>
        <w:widowControl/>
        <w:kinsoku/>
        <w:wordWrap w:val="0"/>
        <w:overflowPunct/>
        <w:topLinePunct w:val="0"/>
        <w:bidi w:val="0"/>
        <w:adjustRightInd w:val="0"/>
        <w:snapToGrid w:val="0"/>
        <w:spacing w:before="0" w:beforeAutospacing="0" w:afterAutospacing="0" w:line="460" w:lineRule="exact"/>
        <w:ind w:left="0" w:leftChars="0" w:firstLine="420" w:firstLineChars="200"/>
        <w:jc w:val="left"/>
        <w:textAlignment w:val="auto"/>
        <w:rPr>
          <w:rFonts w:hint="eastAsia"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3269714460@qq.com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项目报名资料并电话通知报名联系人；审核通过后按要求交纳报名费。</w:t>
      </w:r>
    </w:p>
    <w:p>
      <w:pPr>
        <w:widowControl/>
        <w:wordWrap w:val="0"/>
        <w:snapToGrid w:val="0"/>
        <w:spacing w:before="0" w:beforeAutospacing="0" w:after="0" w:afterAutospacing="0" w:line="360" w:lineRule="auto"/>
        <w:ind w:left="420" w:left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lang w:val="en-US" w:eastAsia="zh-CN" w:bidi="ar-SA"/>
        </w:rPr>
      </w:pPr>
      <w:bookmarkStart w:id="18" w:name="_Toc25869"/>
      <w:bookmarkStart w:id="19" w:name="_Toc10738"/>
      <w:bookmarkStart w:id="20" w:name="_Toc15135"/>
      <w:bookmarkStart w:id="21" w:name="_Toc27480"/>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lang w:val="en-US" w:eastAsia="zh-CN" w:bidi="ar-SA"/>
        </w:rPr>
      </w:pPr>
      <w:bookmarkStart w:id="23" w:name="_Toc20287"/>
      <w:bookmarkStart w:id="24" w:name="_Toc6523"/>
      <w:bookmarkStart w:id="25" w:name="_Toc29784"/>
      <w:bookmarkStart w:id="26" w:name="_Toc30918"/>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公告在《驻马店市中心医院》官网</w:t>
      </w:r>
      <w:r>
        <w:rPr>
          <w:rFonts w:hint="eastAsia" w:ascii="宋体" w:hAnsi="宋体" w:eastAsia="宋体" w:cs="宋体"/>
          <w:color w:val="auto"/>
          <w:sz w:val="21"/>
          <w:szCs w:val="21"/>
          <w:shd w:val="clear" w:color="auto" w:fill="auto"/>
        </w:rPr>
        <w:t>发布</w:t>
      </w:r>
      <w:r>
        <w:rPr>
          <w:rFonts w:hint="eastAsia" w:ascii="宋体" w:hAnsi="宋体" w:eastAsia="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sz w:val="21"/>
          <w:szCs w:val="21"/>
          <w:highlight w:val="none"/>
          <w:shd w:val="clear" w:color="auto" w:fill="auto"/>
          <w:lang w:eastAsia="zh-CN"/>
        </w:rPr>
        <w:t>公告期限为</w:t>
      </w:r>
      <w:r>
        <w:rPr>
          <w:rFonts w:hint="eastAsia" w:ascii="宋体" w:hAnsi="宋体" w:eastAsia="宋体" w:cs="宋体"/>
          <w:color w:val="auto"/>
          <w:sz w:val="21"/>
          <w:szCs w:val="21"/>
          <w:highlight w:val="none"/>
          <w:shd w:val="clear" w:color="auto" w:fill="auto"/>
          <w:lang w:val="en-US" w:eastAsia="zh-CN"/>
        </w:rPr>
        <w:t>三</w:t>
      </w:r>
      <w:r>
        <w:rPr>
          <w:rFonts w:hint="eastAsia" w:ascii="宋体" w:hAnsi="宋体" w:eastAsia="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hint="eastAsia" w:ascii="宋体" w:hAnsi="宋体" w:eastAsia="宋体" w:cs="宋体"/>
          <w:b/>
          <w:bCs/>
          <w:color w:val="auto"/>
          <w:kern w:val="2"/>
          <w:sz w:val="21"/>
          <w:szCs w:val="21"/>
          <w:highlight w:val="none"/>
          <w:lang w:val="en-US" w:eastAsia="zh-CN" w:bidi="ar-SA"/>
        </w:rPr>
      </w:pPr>
      <w:bookmarkStart w:id="29" w:name="_Toc3604"/>
      <w:bookmarkStart w:id="30" w:name="_Toc16291"/>
      <w:bookmarkStart w:id="31" w:name="_Toc27370"/>
      <w:bookmarkStart w:id="32" w:name="_Toc31928"/>
      <w:bookmarkStart w:id="33" w:name="_Toc2427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凡对本次采购提出询问，请按照以下方式联系</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报名联系人1：张先生</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联系电话：15518321111</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报名联系人2：庞先生</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联系电话：18272909999</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联系人：陈先生</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联系电话：0396-2726379</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联系邮箱：</w:t>
      </w:r>
      <w:r>
        <w:rPr>
          <w:rFonts w:hint="eastAsia" w:ascii="宋体" w:hAnsi="宋体" w:eastAsia="宋体" w:cs="宋体"/>
          <w:color w:val="auto"/>
          <w:lang w:val="en-US" w:eastAsia="zh-CN"/>
        </w:rPr>
        <w:fldChar w:fldCharType="begin"/>
      </w:r>
      <w:r>
        <w:rPr>
          <w:rFonts w:hint="eastAsia" w:ascii="宋体" w:hAnsi="宋体" w:eastAsia="宋体" w:cs="宋体"/>
          <w:color w:val="auto"/>
          <w:lang w:val="en-US" w:eastAsia="zh-CN"/>
        </w:rPr>
        <w:instrText xml:space="preserve"> HYPERLINK "mailto:zxyyjzcgbgs@163.com" </w:instrText>
      </w:r>
      <w:r>
        <w:rPr>
          <w:rFonts w:hint="eastAsia" w:ascii="宋体" w:hAnsi="宋体" w:eastAsia="宋体" w:cs="宋体"/>
          <w:color w:val="auto"/>
          <w:lang w:val="en-US" w:eastAsia="zh-CN"/>
        </w:rPr>
        <w:fldChar w:fldCharType="separate"/>
      </w:r>
      <w:r>
        <w:rPr>
          <w:rFonts w:hint="eastAsia" w:ascii="宋体" w:hAnsi="宋体" w:eastAsia="宋体" w:cs="宋体"/>
          <w:color w:val="auto"/>
          <w:lang w:val="en-US" w:eastAsia="zh-CN"/>
        </w:rPr>
        <w:t>zxyyjzcgbgs@163.com</w:t>
      </w:r>
      <w:r>
        <w:rPr>
          <w:rFonts w:hint="eastAsia" w:ascii="宋体" w:hAnsi="宋体" w:eastAsia="宋体" w:cs="宋体"/>
          <w:color w:val="auto"/>
          <w:lang w:val="en-US" w:eastAsia="zh-CN"/>
        </w:rPr>
        <w:fldChar w:fldCharType="end"/>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监督部门：驻马店市中心医院纪检监察室</w:t>
      </w:r>
    </w:p>
    <w:p>
      <w:pPr>
        <w:pStyle w:val="30"/>
        <w:rPr>
          <w:rFonts w:hint="eastAsia" w:ascii="宋体" w:hAnsi="宋体" w:eastAsia="宋体" w:cs="宋体"/>
          <w:color w:val="auto"/>
          <w:lang w:val="en-US" w:eastAsia="zh-CN"/>
        </w:rPr>
      </w:pPr>
      <w:r>
        <w:rPr>
          <w:rFonts w:hint="eastAsia" w:ascii="宋体" w:hAnsi="宋体" w:eastAsia="宋体" w:cs="宋体"/>
          <w:color w:val="auto"/>
          <w:lang w:val="en-US" w:eastAsia="zh-CN"/>
        </w:rPr>
        <w:t>监督电话：0396-2725435</w:t>
      </w:r>
    </w:p>
    <w:p>
      <w:pPr>
        <w:pStyle w:val="30"/>
        <w:rPr>
          <w:rFonts w:hint="eastAsia" w:ascii="宋体" w:hAnsi="宋体" w:eastAsia="宋体" w:cs="宋体"/>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w:t>
      </w:r>
      <w:r>
        <w:rPr>
          <w:rFonts w:hint="eastAsia" w:ascii="宋体" w:hAnsi="宋体" w:eastAsia="宋体" w:cs="宋体"/>
          <w:color w:val="auto"/>
          <w:kern w:val="0"/>
          <w:sz w:val="21"/>
          <w:szCs w:val="21"/>
          <w:highlight w:val="none"/>
          <w:shd w:val="clear" w:color="auto" w:fill="FFFFFF"/>
          <w:lang w:val="en-US" w:eastAsia="zh-CN" w:bidi="ar-SA"/>
        </w:rPr>
        <w:t>心医院采购科</w:t>
      </w:r>
    </w:p>
    <w:p>
      <w:pPr>
        <w:pStyle w:val="28"/>
        <w:widowControl/>
        <w:snapToGrid w:val="0"/>
        <w:spacing w:before="0" w:beforeAutospacing="0" w:after="0" w:afterAutospacing="0" w:line="360" w:lineRule="auto"/>
        <w:ind w:firstLine="420" w:firstLineChars="200"/>
        <w:jc w:val="righ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en-US" w:eastAsia="zh-CN" w:bidi="ar-SA"/>
        </w:rPr>
        <w:t>2022年</w:t>
      </w:r>
      <w:r>
        <w:rPr>
          <w:rFonts w:hint="eastAsia" w:ascii="宋体" w:hAnsi="宋体" w:cs="宋体"/>
          <w:color w:val="auto"/>
          <w:kern w:val="0"/>
          <w:sz w:val="21"/>
          <w:szCs w:val="21"/>
          <w:highlight w:val="none"/>
          <w:shd w:val="clear" w:color="auto" w:fill="FFFFFF"/>
          <w:lang w:val="en-US" w:eastAsia="zh-CN" w:bidi="ar-SA"/>
        </w:rPr>
        <w:t>11</w:t>
      </w:r>
      <w:r>
        <w:rPr>
          <w:rFonts w:hint="eastAsia" w:ascii="宋体" w:hAnsi="宋体" w:eastAsia="宋体" w:cs="宋体"/>
          <w:color w:val="auto"/>
          <w:kern w:val="0"/>
          <w:sz w:val="21"/>
          <w:szCs w:val="21"/>
          <w:highlight w:val="none"/>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 xml:space="preserve"> 24</w:t>
      </w:r>
      <w:r>
        <w:rPr>
          <w:rFonts w:hint="eastAsia" w:ascii="宋体" w:hAnsi="宋体" w:eastAsia="宋体" w:cs="宋体"/>
          <w:color w:val="auto"/>
          <w:kern w:val="0"/>
          <w:sz w:val="21"/>
          <w:szCs w:val="21"/>
          <w:highlight w:val="none"/>
          <w:shd w:val="clear" w:color="auto" w:fill="FFFFFF"/>
          <w:lang w:val="en-US" w:eastAsia="zh-CN" w:bidi="ar-SA"/>
        </w:rPr>
        <w:t>日</w:t>
      </w:r>
    </w:p>
    <w:bookmarkEnd w:id="91"/>
    <w:p>
      <w:pPr>
        <w:pStyle w:val="28"/>
        <w:widowControl/>
        <w:snapToGrid w:val="0"/>
        <w:spacing w:before="0" w:beforeAutospacing="0" w:after="0" w:afterAutospacing="0" w:line="360" w:lineRule="auto"/>
        <w:ind w:firstLine="420" w:firstLineChars="200"/>
        <w:rPr>
          <w:rFonts w:hint="eastAsia" w:ascii="宋体" w:hAnsi="宋体" w:eastAsia="宋体" w:cs="宋体"/>
          <w:color w:val="auto"/>
          <w:sz w:val="21"/>
          <w:szCs w:val="21"/>
          <w:highlight w:val="none"/>
          <w:shd w:val="clear" w:color="auto" w:fill="FFFFFF"/>
        </w:rPr>
      </w:pPr>
    </w:p>
    <w:p>
      <w:pPr>
        <w:widowControl/>
        <w:spacing w:line="360" w:lineRule="auto"/>
        <w:ind w:firstLine="480" w:firstLineChars="200"/>
        <w:jc w:val="left"/>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rPr>
        <w:t>  </w:t>
      </w:r>
    </w:p>
    <w:p>
      <w:pP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hint="eastAsia" w:ascii="宋体" w:hAnsi="宋体" w:eastAsia="宋体" w:cs="宋体"/>
          <w:b/>
          <w:color w:val="auto"/>
          <w:sz w:val="32"/>
          <w:szCs w:val="32"/>
          <w:highlight w:val="none"/>
        </w:rPr>
      </w:pPr>
      <w:bookmarkStart w:id="34" w:name="_Toc25063"/>
      <w:bookmarkStart w:id="35" w:name="_Toc23793"/>
      <w:bookmarkStart w:id="36" w:name="_Toc29890"/>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34"/>
      <w:bookmarkStart w:id="37" w:name="_Toc31536"/>
      <w:bookmarkStart w:id="38" w:name="_Toc23610"/>
      <w:bookmarkStart w:id="39" w:name="_Toc9989"/>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 xml:space="preserve">项目名称： </w:t>
      </w:r>
      <w:r>
        <w:rPr>
          <w:rFonts w:hint="eastAsia" w:ascii="宋体" w:hAnsi="宋体" w:eastAsia="宋体" w:cs="宋体"/>
          <w:color w:val="auto"/>
          <w:lang w:eastAsia="zh-CN"/>
        </w:rPr>
        <w:t>3号楼、4号楼和妇女儿童医院病房楼电梯节能装置采购</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p>
      <w:pPr>
        <w:ind w:firstLine="211"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电梯节能装置采购清单</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2700"/>
        <w:gridCol w:w="2145"/>
        <w:gridCol w:w="1395"/>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059"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序号</w:t>
            </w:r>
          </w:p>
        </w:tc>
        <w:tc>
          <w:tcPr>
            <w:tcW w:w="2700"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货物名称</w:t>
            </w: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规格</w:t>
            </w: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单位</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059" w:type="dxa"/>
            <w:vMerge w:val="restart"/>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p>
        </w:tc>
        <w:tc>
          <w:tcPr>
            <w:tcW w:w="2700" w:type="dxa"/>
            <w:vMerge w:val="restart"/>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电梯能量回馈装置</w:t>
            </w: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45KW一拖一</w:t>
            </w: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台</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059" w:type="dxa"/>
            <w:vMerge w:val="continue"/>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2700" w:type="dxa"/>
            <w:vMerge w:val="continue"/>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55KW一拖二</w:t>
            </w: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台</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059" w:type="dxa"/>
            <w:vMerge w:val="continue"/>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2700" w:type="dxa"/>
            <w:vMerge w:val="continue"/>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75KW一拖三</w:t>
            </w: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台</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c>
          <w:tcPr>
            <w:tcW w:w="2700"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材料费、人工费、安装费等</w:t>
            </w:r>
          </w:p>
        </w:tc>
        <w:tc>
          <w:tcPr>
            <w:tcW w:w="214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p>
        </w:tc>
        <w:tc>
          <w:tcPr>
            <w:tcW w:w="1395"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w:t>
            </w:r>
          </w:p>
        </w:tc>
        <w:tc>
          <w:tcPr>
            <w:tcW w:w="1223" w:type="dxa"/>
            <w:vAlign w:val="center"/>
          </w:tcPr>
          <w:p>
            <w:pPr>
              <w:ind w:firstLine="210" w:firstLineChars="10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w:t>
            </w:r>
          </w:p>
        </w:tc>
      </w:tr>
    </w:tbl>
    <w:p>
      <w:pPr>
        <w:ind w:firstLine="211" w:firstLineChars="100"/>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要求：</w:t>
      </w:r>
    </w:p>
    <w:p>
      <w:pPr>
        <w:pageBreakBefore w:val="0"/>
        <w:widowControl w:val="0"/>
        <w:kinsoku/>
        <w:wordWrap/>
        <w:overflowPunct/>
        <w:topLinePunct w:val="0"/>
        <w:autoSpaceDE/>
        <w:autoSpaceDN/>
        <w:bidi w:val="0"/>
        <w:adjustRightInd/>
        <w:snapToGrid/>
        <w:spacing w:line="500" w:lineRule="exact"/>
        <w:ind w:firstLine="210" w:firstLineChars="1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1、节能装置运行和安装必须保证电梯安全运行不受影响。</w:t>
      </w:r>
    </w:p>
    <w:p>
      <w:pPr>
        <w:pageBreakBefore w:val="0"/>
        <w:widowControl w:val="0"/>
        <w:kinsoku/>
        <w:wordWrap/>
        <w:overflowPunct/>
        <w:topLinePunct w:val="0"/>
        <w:autoSpaceDE/>
        <w:autoSpaceDN/>
        <w:bidi w:val="0"/>
        <w:adjustRightInd/>
        <w:snapToGrid/>
        <w:spacing w:afterAutospacing="0" w:line="500" w:lineRule="exact"/>
        <w:ind w:firstLine="210" w:firstLineChars="1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2、所有设备必须考虑其正常的通风散热，保证设备安装占用空间不对电梯机房正常运行、维修造成影响。</w:t>
      </w:r>
    </w:p>
    <w:p>
      <w:pPr>
        <w:pStyle w:val="3"/>
        <w:pageBreakBefore w:val="0"/>
        <w:widowControl w:val="0"/>
        <w:kinsoku/>
        <w:wordWrap/>
        <w:overflowPunct/>
        <w:topLinePunct w:val="0"/>
        <w:autoSpaceDE/>
        <w:autoSpaceDN/>
        <w:bidi w:val="0"/>
        <w:adjustRightInd/>
        <w:snapToGrid/>
        <w:spacing w:before="0" w:beforeAutospacing="0" w:after="0" w:afterAutospacing="0" w:line="500" w:lineRule="exact"/>
        <w:ind w:firstLine="210" w:firstLineChars="1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3、</w:t>
      </w:r>
      <w:r>
        <w:rPr>
          <w:rFonts w:hint="eastAsia" w:ascii="宋体" w:hAnsi="宋体" w:cs="宋体"/>
          <w:b w:val="0"/>
          <w:bCs w:val="0"/>
          <w:color w:val="auto"/>
          <w:kern w:val="2"/>
          <w:sz w:val="21"/>
          <w:szCs w:val="21"/>
          <w:highlight w:val="none"/>
          <w:lang w:val="en-US" w:eastAsia="zh-CN" w:bidi="ar-SA"/>
        </w:rPr>
        <w:t>所</w:t>
      </w:r>
      <w:r>
        <w:rPr>
          <w:rFonts w:hint="eastAsia" w:ascii="宋体" w:hAnsi="宋体" w:eastAsia="宋体" w:cs="宋体"/>
          <w:b w:val="0"/>
          <w:bCs w:val="0"/>
          <w:color w:val="auto"/>
          <w:kern w:val="2"/>
          <w:sz w:val="21"/>
          <w:szCs w:val="21"/>
          <w:highlight w:val="none"/>
          <w:lang w:val="en-US" w:eastAsia="zh-CN" w:bidi="ar-SA"/>
        </w:rPr>
        <w:t>投产品须有特种设备监督管理部门出具的产品检验报告。</w:t>
      </w:r>
    </w:p>
    <w:p>
      <w:pPr>
        <w:pStyle w:val="4"/>
        <w:pageBreakBefore w:val="0"/>
        <w:widowControl w:val="0"/>
        <w:kinsoku/>
        <w:wordWrap/>
        <w:overflowPunct/>
        <w:topLinePunct w:val="0"/>
        <w:autoSpaceDE/>
        <w:autoSpaceDN/>
        <w:bidi w:val="0"/>
        <w:adjustRightInd/>
        <w:snapToGrid/>
        <w:spacing w:beforeAutospacing="0" w:line="500" w:lineRule="exact"/>
        <w:ind w:firstLine="210" w:firstLineChars="10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 xml:space="preserve">4、产品安装调试后须向医院提交由市场监督管理局出具的验收报告，费用由成交方支付。 </w:t>
      </w:r>
    </w:p>
    <w:p>
      <w:pPr>
        <w:pStyle w:val="4"/>
        <w:pageBreakBefore w:val="0"/>
        <w:widowControl w:val="0"/>
        <w:kinsoku/>
        <w:wordWrap/>
        <w:overflowPunct/>
        <w:topLinePunct w:val="0"/>
        <w:autoSpaceDE/>
        <w:autoSpaceDN/>
        <w:bidi w:val="0"/>
        <w:adjustRightInd/>
        <w:snapToGrid/>
        <w:spacing w:beforeAutospacing="0" w:line="500" w:lineRule="exact"/>
        <w:ind w:firstLine="210" w:firstLineChars="100"/>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r>
        <w:rPr>
          <w:rFonts w:hint="default" w:ascii="宋体" w:hAnsi="宋体" w:eastAsia="宋体" w:cs="宋体"/>
          <w:b w:val="0"/>
          <w:bCs w:val="0"/>
          <w:color w:val="auto"/>
          <w:kern w:val="2"/>
          <w:sz w:val="21"/>
          <w:szCs w:val="21"/>
          <w:highlight w:val="none"/>
          <w:lang w:val="en-US" w:eastAsia="zh-CN" w:bidi="ar-SA"/>
        </w:rPr>
        <w:t>质保期2年</w:t>
      </w:r>
      <w:r>
        <w:rPr>
          <w:rFonts w:hint="eastAsia" w:ascii="宋体" w:hAnsi="宋体" w:eastAsia="宋体" w:cs="宋体"/>
          <w:b w:val="0"/>
          <w:bCs w:val="0"/>
          <w:color w:val="auto"/>
          <w:kern w:val="2"/>
          <w:sz w:val="21"/>
          <w:szCs w:val="21"/>
          <w:highlight w:val="none"/>
          <w:lang w:val="en-US" w:eastAsia="zh-CN" w:bidi="ar-SA"/>
        </w:rPr>
        <w:t>。</w:t>
      </w:r>
    </w:p>
    <w:p>
      <w:pPr>
        <w:ind w:firstLine="210" w:firstLineChars="100"/>
        <w:rPr>
          <w:rFonts w:hint="eastAsia" w:ascii="宋体" w:hAnsi="宋体" w:eastAsia="宋体" w:cs="宋体"/>
          <w:color w:val="auto"/>
          <w:kern w:val="2"/>
          <w:sz w:val="21"/>
          <w:szCs w:val="21"/>
          <w:highlight w:val="none"/>
          <w:lang w:val="en-US" w:eastAsia="zh-CN" w:bidi="ar-SA"/>
        </w:rPr>
      </w:pPr>
    </w:p>
    <w:p>
      <w:pPr>
        <w:snapToGrid/>
        <w:spacing w:before="0" w:beforeAutospacing="0" w:after="0" w:afterAutospacing="0" w:line="360" w:lineRule="auto"/>
        <w:jc w:val="both"/>
        <w:textAlignment w:val="baseline"/>
        <w:rPr>
          <w:rStyle w:val="85"/>
          <w:rFonts w:hint="eastAsia" w:ascii="宋体" w:hAnsi="宋体" w:eastAsia="宋体" w:cs="宋体"/>
          <w:b w:val="0"/>
          <w:bCs/>
          <w:i w:val="0"/>
          <w:iCs/>
          <w:caps w:val="0"/>
          <w:spacing w:val="0"/>
          <w:w w:val="100"/>
          <w:kern w:val="2"/>
          <w:sz w:val="24"/>
          <w:szCs w:val="24"/>
          <w:lang w:val="en-US" w:eastAsia="zh-CN" w:bidi="ar-SA"/>
        </w:rPr>
      </w:pPr>
      <w:r>
        <w:rPr>
          <w:rFonts w:hint="eastAsia" w:ascii="宋体" w:hAnsi="宋体" w:eastAsia="宋体" w:cs="宋体"/>
          <w:color w:val="auto"/>
          <w:kern w:val="2"/>
          <w:sz w:val="21"/>
          <w:szCs w:val="24"/>
          <w:lang w:val="en-US" w:eastAsia="zh-CN" w:bidi="ar-SA"/>
        </w:rPr>
        <w:br w:type="page"/>
      </w:r>
    </w:p>
    <w:p>
      <w:pPr>
        <w:rPr>
          <w:rFonts w:hint="eastAsia" w:ascii="宋体" w:hAnsi="宋体" w:eastAsia="宋体" w:cs="宋体"/>
          <w:lang w:val="en-US" w:eastAsia="zh-CN"/>
        </w:rPr>
      </w:pPr>
    </w:p>
    <w:bookmarkEnd w:id="35"/>
    <w:bookmarkEnd w:id="36"/>
    <w:p>
      <w:pPr>
        <w:snapToGrid w:val="0"/>
        <w:spacing w:line="360" w:lineRule="auto"/>
        <w:jc w:val="center"/>
        <w:rPr>
          <w:rFonts w:hint="eastAsia" w:ascii="宋体" w:hAnsi="宋体" w:eastAsia="宋体" w:cs="宋体"/>
          <w:b/>
          <w:bCs/>
          <w:color w:val="auto"/>
          <w:sz w:val="30"/>
          <w:szCs w:val="30"/>
          <w:highlight w:val="none"/>
        </w:rPr>
      </w:pPr>
    </w:p>
    <w:p>
      <w:pPr>
        <w:snapToGrid w:val="0"/>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商务要求</w:t>
      </w:r>
    </w:p>
    <w:tbl>
      <w:tblPr>
        <w:tblStyle w:val="33"/>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日历日</w:t>
            </w:r>
            <w:r>
              <w:rPr>
                <w:rFonts w:hint="eastAsia" w:ascii="宋体" w:hAnsi="宋体" w:eastAsia="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人须提供后期服务保障和技术支持。</w:t>
            </w:r>
          </w:p>
        </w:tc>
      </w:tr>
    </w:tbl>
    <w:p>
      <w:pPr>
        <w:pStyle w:val="30"/>
        <w:ind w:firstLine="0" w:firstLineChars="0"/>
        <w:rPr>
          <w:rFonts w:hint="eastAsia" w:ascii="宋体" w:hAnsi="宋体" w:eastAsia="宋体" w:cs="宋体"/>
          <w:color w:val="auto"/>
          <w:highlight w:val="none"/>
        </w:rPr>
      </w:pPr>
    </w:p>
    <w:p>
      <w:pPr>
        <w:snapToGrid w:val="0"/>
        <w:spacing w:line="48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 xml:space="preserve"> 采购人对项目的特殊要求及说明</w:t>
      </w:r>
    </w:p>
    <w:tbl>
      <w:tblPr>
        <w:tblStyle w:val="33"/>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hint="eastAsia" w:ascii="宋体" w:hAnsi="宋体" w:eastAsia="宋体" w:cs="宋体"/>
                <w:color w:val="auto"/>
              </w:rPr>
            </w:pPr>
            <w:r>
              <w:rPr>
                <w:rFonts w:hint="eastAsia" w:ascii="宋体" w:hAnsi="宋体" w:eastAsia="宋体" w:cs="宋体"/>
                <w:color w:val="auto"/>
              </w:rPr>
              <w:t>不接受联合体</w:t>
            </w:r>
            <w:r>
              <w:rPr>
                <w:rFonts w:hint="eastAsia" w:ascii="宋体" w:hAnsi="宋体" w:cs="宋体"/>
                <w:color w:val="auto"/>
                <w:lang w:val="en-US" w:eastAsia="zh-CN"/>
              </w:rPr>
              <w:t>磋商</w:t>
            </w:r>
            <w:r>
              <w:rPr>
                <w:rFonts w:hint="eastAsia" w:ascii="宋体" w:hAnsi="宋体" w:eastAsia="宋体" w:cs="宋体"/>
                <w:color w:val="auto"/>
              </w:rPr>
              <w:t>，不允许转包和分包。</w:t>
            </w:r>
          </w:p>
          <w:p>
            <w:pPr>
              <w:widowControl/>
              <w:snapToGrid w:val="0"/>
              <w:spacing w:line="360" w:lineRule="auto"/>
              <w:rPr>
                <w:rFonts w:hint="eastAsia" w:ascii="宋体" w:hAnsi="宋体" w:eastAsia="宋体" w:cs="宋体"/>
                <w:color w:val="auto"/>
                <w:kern w:val="0"/>
                <w:szCs w:val="21"/>
                <w:highlight w:val="none"/>
              </w:rPr>
            </w:pPr>
            <w:r>
              <w:rPr>
                <w:rFonts w:hint="eastAsia" w:ascii="宋体" w:hAnsi="宋体" w:eastAsia="宋体" w:cs="宋体"/>
                <w:color w:val="auto"/>
                <w:lang w:val="en-US" w:eastAsia="zh-CN"/>
              </w:rPr>
              <w:t>2</w:t>
            </w:r>
            <w:r>
              <w:rPr>
                <w:rFonts w:hint="eastAsia" w:ascii="宋体" w:hAnsi="宋体" w:eastAsia="宋体" w:cs="宋体"/>
                <w:color w:val="auto"/>
              </w:rPr>
              <w:t>、</w:t>
            </w:r>
            <w:r>
              <w:rPr>
                <w:rFonts w:hint="eastAsia" w:ascii="宋体" w:hAnsi="宋体" w:eastAsia="宋体" w:cs="宋体"/>
                <w:color w:val="auto"/>
                <w:kern w:val="0"/>
                <w:szCs w:val="21"/>
                <w:highlight w:val="none"/>
              </w:rPr>
              <w:t>授权</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确定一名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人并推荐两名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w:t>
            </w:r>
          </w:p>
          <w:p>
            <w:pPr>
              <w:widowControl/>
              <w:snapToGrid w:val="0"/>
              <w:spacing w:line="360" w:lineRule="auto"/>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、供应商应根据</w:t>
            </w:r>
            <w:r>
              <w:rPr>
                <w:rFonts w:hint="eastAsia" w:ascii="宋体" w:hAnsi="宋体" w:eastAsia="宋体" w:cs="宋体"/>
                <w:color w:val="auto"/>
                <w:lang w:eastAsia="zh-CN"/>
              </w:rPr>
              <w:t>采购</w:t>
            </w:r>
            <w:r>
              <w:rPr>
                <w:rFonts w:hint="eastAsia" w:ascii="宋体" w:hAnsi="宋体" w:eastAsia="宋体" w:cs="宋体"/>
                <w:color w:val="auto"/>
              </w:rPr>
              <w:t>文件的要求提供技术响应表、商务响应表等内容以对</w:t>
            </w:r>
            <w:r>
              <w:rPr>
                <w:rFonts w:hint="eastAsia" w:ascii="宋体" w:hAnsi="宋体" w:eastAsia="宋体" w:cs="宋体"/>
                <w:color w:val="auto"/>
                <w:lang w:eastAsia="zh-CN"/>
              </w:rPr>
              <w:t>采购</w:t>
            </w:r>
            <w:r>
              <w:rPr>
                <w:rFonts w:hint="eastAsia" w:ascii="宋体" w:hAnsi="宋体" w:eastAsia="宋体" w:cs="宋体"/>
                <w:color w:val="auto"/>
              </w:rPr>
              <w:t>文件作出响应。</w:t>
            </w: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rPr>
          <w:rFonts w:hint="eastAsia" w:ascii="宋体" w:hAnsi="宋体" w:eastAsia="宋体" w:cs="宋体"/>
          <w:color w:val="auto"/>
          <w:highlight w:val="none"/>
        </w:rPr>
      </w:pPr>
    </w:p>
    <w:p>
      <w:pPr>
        <w:pStyle w:val="3"/>
        <w:spacing w:before="0" w:after="0" w:line="240" w:lineRule="atLeast"/>
        <w:jc w:val="center"/>
        <w:rPr>
          <w:rFonts w:hint="eastAsia" w:ascii="宋体" w:hAnsi="宋体" w:eastAsia="宋体" w:cs="宋体"/>
          <w:color w:val="auto"/>
          <w:sz w:val="32"/>
          <w:szCs w:val="32"/>
          <w:highlight w:val="none"/>
        </w:rPr>
      </w:pPr>
      <w:bookmarkStart w:id="40" w:name="_Toc14504"/>
      <w:r>
        <w:rPr>
          <w:rFonts w:hint="eastAsia" w:ascii="宋体" w:hAnsi="宋体" w:eastAsia="宋体" w:cs="宋体"/>
          <w:color w:val="auto"/>
          <w:sz w:val="32"/>
          <w:szCs w:val="32"/>
          <w:highlight w:val="none"/>
        </w:rPr>
        <w:t xml:space="preserve">第三章  </w:t>
      </w:r>
      <w:r>
        <w:rPr>
          <w:rFonts w:hint="eastAsia" w:ascii="宋体" w:hAnsi="宋体" w:eastAsia="宋体" w:cs="宋体"/>
          <w:color w:val="auto"/>
          <w:sz w:val="32"/>
          <w:szCs w:val="32"/>
          <w:highlight w:val="none"/>
          <w:lang w:eastAsia="zh-CN"/>
        </w:rPr>
        <w:t>供应商</w:t>
      </w:r>
      <w:r>
        <w:rPr>
          <w:rFonts w:hint="eastAsia" w:ascii="宋体" w:hAnsi="宋体" w:eastAsia="宋体" w:cs="宋体"/>
          <w:color w:val="auto"/>
          <w:sz w:val="32"/>
          <w:szCs w:val="32"/>
          <w:highlight w:val="none"/>
        </w:rPr>
        <w:t>须知</w:t>
      </w:r>
      <w:bookmarkEnd w:id="40"/>
    </w:p>
    <w:p>
      <w:pPr>
        <w:snapToGrid w:val="0"/>
        <w:spacing w:beforeLines="5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须知前附表</w:t>
      </w:r>
    </w:p>
    <w:tbl>
      <w:tblPr>
        <w:tblStyle w:val="33"/>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ascii="宋体" w:hAnsi="宋体" w:eastAsia="宋体" w:cs="宋体"/>
                <w:color w:val="auto"/>
                <w:highlight w:val="none"/>
              </w:rPr>
              <w:t>1.1 项目名称：</w:t>
            </w:r>
            <w:r>
              <w:rPr>
                <w:rFonts w:hint="eastAsia" w:ascii="宋体" w:hAnsi="宋体" w:eastAsia="宋体" w:cs="宋体"/>
                <w:color w:val="auto"/>
                <w:lang w:eastAsia="zh-CN"/>
              </w:rPr>
              <w:t>3号楼、4号楼和妇女儿童医院病房楼电梯节能装置采购</w:t>
            </w:r>
          </w:p>
          <w:p>
            <w:pPr>
              <w:widowControl/>
              <w:snapToGrid w:val="0"/>
              <w:spacing w:line="440" w:lineRule="exact"/>
              <w:jc w:val="left"/>
              <w:outlineLvl w:val="0"/>
              <w:rPr>
                <w:rFonts w:hint="eastAsia" w:ascii="宋体" w:hAnsi="宋体" w:eastAsia="宋体" w:cs="宋体"/>
                <w:color w:val="auto"/>
                <w:highlight w:val="none"/>
              </w:rPr>
            </w:pPr>
            <w:r>
              <w:rPr>
                <w:rFonts w:hint="eastAsia" w:ascii="宋体" w:hAnsi="宋体" w:eastAsia="宋体" w:cs="宋体"/>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采购范围：详</w:t>
            </w:r>
            <w:r>
              <w:rPr>
                <w:rFonts w:hint="eastAsia" w:ascii="宋体" w:hAnsi="宋体" w:eastAsia="宋体" w:cs="宋体"/>
                <w:color w:val="auto"/>
                <w:highlight w:val="none"/>
                <w:lang w:val="en-US" w:eastAsia="zh-CN"/>
              </w:rPr>
              <w:t>见第二章采购</w:t>
            </w:r>
            <w:r>
              <w:rPr>
                <w:rFonts w:hint="eastAsia" w:ascii="宋体" w:hAnsi="宋体" w:eastAsia="宋体" w:cs="宋体"/>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合格</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采购预算（最高限价）：</w:t>
            </w:r>
            <w:r>
              <w:rPr>
                <w:rFonts w:hint="eastAsia" w:ascii="宋体" w:hAnsi="宋体" w:eastAsia="宋体" w:cs="宋体"/>
                <w:color w:val="auto"/>
                <w:kern w:val="0"/>
                <w:szCs w:val="21"/>
                <w:highlight w:val="none"/>
                <w:lang w:val="en-US" w:eastAsia="zh-CN"/>
              </w:rPr>
              <w:t>46.53万元。</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 本项目以人民币报价。</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 供应商的报价超过采购预算，采购人不能支付的，按废标处理。</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 本项目</w:t>
            </w:r>
            <w:r>
              <w:rPr>
                <w:rFonts w:hint="eastAsia" w:ascii="宋体" w:hAnsi="宋体" w:eastAsia="宋体" w:cs="宋体"/>
                <w:color w:val="auto"/>
                <w:kern w:val="0"/>
                <w:szCs w:val="21"/>
                <w:highlight w:val="none"/>
                <w:lang w:val="en-US" w:eastAsia="zh-CN"/>
              </w:rPr>
              <w:t>由成交供应商缴纳</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rPr>
            </w:pPr>
            <w:r>
              <w:rPr>
                <w:rFonts w:hint="eastAsia" w:ascii="宋体" w:hAnsi="宋体" w:eastAsia="宋体" w:cs="宋体"/>
                <w:color w:val="auto"/>
                <w:lang w:eastAsia="zh-CN"/>
              </w:rPr>
              <w:t>响应文件</w:t>
            </w:r>
            <w:r>
              <w:rPr>
                <w:rFonts w:hint="eastAsia" w:ascii="宋体" w:hAnsi="宋体" w:eastAsia="宋体" w:cs="宋体"/>
                <w:color w:val="auto"/>
              </w:rPr>
              <w:t>组成：纸质</w:t>
            </w:r>
            <w:r>
              <w:rPr>
                <w:rFonts w:hint="eastAsia" w:ascii="宋体" w:hAnsi="宋体" w:eastAsia="宋体" w:cs="宋体"/>
                <w:color w:val="auto"/>
                <w:lang w:eastAsia="zh-CN"/>
              </w:rPr>
              <w:t>响应文件</w:t>
            </w:r>
            <w:r>
              <w:rPr>
                <w:rFonts w:hint="eastAsia" w:ascii="宋体" w:hAnsi="宋体" w:eastAsia="宋体" w:cs="宋体"/>
                <w:color w:val="auto"/>
              </w:rPr>
              <w:t>正本1份</w:t>
            </w:r>
            <w:r>
              <w:rPr>
                <w:rFonts w:hint="eastAsia" w:ascii="宋体" w:hAnsi="宋体" w:eastAsia="宋体" w:cs="宋体"/>
                <w:color w:val="auto"/>
                <w:lang w:eastAsia="zh-CN"/>
              </w:rPr>
              <w:t>、</w:t>
            </w:r>
            <w:r>
              <w:rPr>
                <w:rFonts w:hint="eastAsia" w:ascii="宋体" w:hAnsi="宋体" w:eastAsia="宋体" w:cs="宋体"/>
                <w:color w:val="auto"/>
                <w:lang w:val="en-US" w:eastAsia="zh-CN"/>
              </w:rPr>
              <w:t>副本2份</w:t>
            </w:r>
            <w:r>
              <w:rPr>
                <w:rFonts w:hint="eastAsia" w:ascii="宋体" w:hAnsi="宋体" w:eastAsia="宋体" w:cs="宋体"/>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w:t>
            </w:r>
            <w:r>
              <w:rPr>
                <w:rFonts w:hint="eastAsia" w:ascii="宋体" w:hAnsi="宋体" w:eastAsia="宋体" w:cs="宋体"/>
                <w:color w:val="auto"/>
                <w:kern w:val="0"/>
                <w:szCs w:val="21"/>
                <w:highlight w:val="none"/>
                <w:lang w:val="en-US" w:eastAsia="zh-CN"/>
              </w:rPr>
              <w:t>及开标时间</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lang w:val="en-US" w:eastAsia="zh-CN"/>
              </w:rPr>
              <w:t>另行通知</w:t>
            </w:r>
          </w:p>
          <w:p>
            <w:pPr>
              <w:widowControl/>
              <w:snapToGrid w:val="0"/>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递交地点</w:t>
            </w:r>
            <w:r>
              <w:rPr>
                <w:rFonts w:hint="eastAsia" w:ascii="宋体" w:hAnsi="宋体" w:eastAsia="宋体" w:cs="宋体"/>
                <w:color w:val="auto"/>
                <w:kern w:val="0"/>
                <w:szCs w:val="21"/>
                <w:highlight w:val="none"/>
                <w:lang w:val="en-US" w:eastAsia="zh-CN"/>
              </w:rPr>
              <w:t>及开标地点</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lang w:val="en-US" w:eastAsia="zh-CN"/>
              </w:rPr>
              <w:t>另行通知</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评审委员会成</w:t>
            </w:r>
            <w:r>
              <w:rPr>
                <w:rFonts w:hint="eastAsia" w:ascii="宋体" w:hAnsi="宋体" w:eastAsia="宋体" w:cs="宋体"/>
                <w:color w:val="auto"/>
                <w:kern w:val="0"/>
                <w:szCs w:val="21"/>
                <w:highlight w:val="none"/>
              </w:rPr>
              <w:t>员：</w:t>
            </w:r>
            <w:r>
              <w:rPr>
                <w:rFonts w:hint="eastAsia" w:ascii="宋体" w:hAnsi="宋体" w:eastAsia="宋体" w:cs="宋体"/>
                <w:color w:val="auto"/>
                <w:szCs w:val="21"/>
                <w:highlight w:val="none"/>
                <w:lang w:val="en-US" w:eastAsia="zh-CN"/>
              </w:rPr>
              <w:t>3</w:t>
            </w:r>
            <w:r>
              <w:rPr>
                <w:rFonts w:hint="eastAsia" w:ascii="宋体" w:hAnsi="宋体" w:eastAsia="宋体" w:cs="宋体"/>
                <w:color w:val="auto"/>
                <w:highlight w:val="none"/>
              </w:rPr>
              <w:t>人</w:t>
            </w:r>
            <w:r>
              <w:rPr>
                <w:rFonts w:hint="eastAsia" w:ascii="宋体" w:hAnsi="宋体" w:eastAsia="宋体" w:cs="宋体"/>
                <w:color w:val="auto"/>
                <w:highlight w:val="none"/>
                <w:lang w:val="en-US" w:eastAsia="zh-CN"/>
              </w:rPr>
              <w:t>及以上单数</w:t>
            </w:r>
            <w:r>
              <w:rPr>
                <w:rFonts w:hint="eastAsia" w:ascii="宋体" w:hAnsi="宋体" w:eastAsia="宋体" w:cs="宋体"/>
                <w:color w:val="auto"/>
                <w:kern w:val="0"/>
                <w:szCs w:val="21"/>
                <w:highlight w:val="none"/>
              </w:rPr>
              <w:t>。</w:t>
            </w:r>
          </w:p>
          <w:p>
            <w:pPr>
              <w:widowControl/>
              <w:spacing w:line="4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专家确定方式：</w:t>
            </w:r>
            <w:r>
              <w:rPr>
                <w:rFonts w:hint="eastAsia" w:ascii="宋体" w:hAnsi="宋体" w:eastAsia="宋体" w:cs="宋体"/>
                <w:color w:val="auto"/>
                <w:kern w:val="0"/>
                <w:szCs w:val="21"/>
                <w:highlight w:val="none"/>
              </w:rPr>
              <w:t>由采购人</w:t>
            </w:r>
            <w:r>
              <w:rPr>
                <w:rFonts w:hint="eastAsia" w:ascii="宋体" w:hAnsi="宋体" w:eastAsia="宋体" w:cs="宋体"/>
                <w:color w:val="auto"/>
                <w:kern w:val="0"/>
                <w:szCs w:val="21"/>
                <w:highlight w:val="none"/>
                <w:lang w:val="en-US" w:eastAsia="zh-CN"/>
              </w:rPr>
              <w:t>抽取相关的技术人员组成</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评标办法：</w:t>
            </w:r>
            <w:r>
              <w:rPr>
                <w:rFonts w:hint="eastAsia" w:ascii="宋体" w:hAnsi="宋体" w:eastAsia="宋体" w:cs="宋体"/>
                <w:color w:val="auto"/>
                <w:kern w:val="0"/>
                <w:szCs w:val="21"/>
                <w:highlight w:val="none"/>
              </w:rPr>
              <w:t>本项目采用</w:t>
            </w:r>
            <w:r>
              <w:rPr>
                <w:rFonts w:hint="eastAsia" w:ascii="宋体" w:hAnsi="宋体" w:eastAsia="宋体" w:cs="宋体"/>
                <w:color w:val="auto"/>
                <w:szCs w:val="21"/>
                <w:highlight w:val="none"/>
              </w:rPr>
              <w:t>综合评分法</w:t>
            </w:r>
            <w:r>
              <w:rPr>
                <w:rFonts w:hint="eastAsia" w:ascii="宋体" w:hAnsi="宋体" w:eastAsia="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公告及</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通知书：由采购人授权</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确定一名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人并推荐两名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候选人。评审结束后</w:t>
            </w:r>
            <w:r>
              <w:rPr>
                <w:rFonts w:hint="eastAsia" w:ascii="宋体" w:hAnsi="宋体" w:eastAsia="宋体" w:cs="宋体"/>
                <w:color w:val="auto"/>
                <w:kern w:val="0"/>
                <w:szCs w:val="21"/>
                <w:highlight w:val="none"/>
                <w:lang w:val="en-US" w:eastAsia="zh-CN"/>
              </w:rPr>
              <w:t>在</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驻马店市中心医院网</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上发布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公告，</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人发出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签订合同：自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w:t>
            </w:r>
            <w:r>
              <w:rPr>
                <w:rFonts w:hint="eastAsia" w:ascii="宋体" w:hAnsi="宋体" w:eastAsia="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付款方式：详见第二章</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lang w:val="en-US" w:eastAsia="zh-CN"/>
              </w:rPr>
              <w:t>递交</w:t>
            </w:r>
            <w:r>
              <w:rPr>
                <w:rFonts w:hint="eastAsia" w:ascii="宋体" w:hAnsi="宋体" w:eastAsia="宋体" w:cs="宋体"/>
                <w:color w:val="auto"/>
                <w:kern w:val="0"/>
                <w:szCs w:val="21"/>
                <w:highlight w:val="none"/>
              </w:rPr>
              <w:t>截止期结束后</w:t>
            </w:r>
            <w:r>
              <w:rPr>
                <w:rFonts w:hint="eastAsia" w:ascii="宋体" w:hAnsi="宋体" w:eastAsia="宋体" w:cs="宋体"/>
                <w:color w:val="auto"/>
                <w:kern w:val="0"/>
                <w:szCs w:val="21"/>
                <w:highlight w:val="none"/>
                <w:lang w:val="en-US" w:eastAsia="zh-CN"/>
              </w:rPr>
              <w:t>90</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质疑和投诉：供应商认为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bCs/>
                <w:color w:val="auto"/>
                <w:kern w:val="0"/>
                <w:szCs w:val="21"/>
                <w:highlight w:val="none"/>
                <w:lang w:eastAsia="zh-CN"/>
              </w:rPr>
              <w:t>。</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highlight w:val="none"/>
              </w:rPr>
            </w:pPr>
            <w:r>
              <w:rPr>
                <w:rFonts w:hint="eastAsia" w:ascii="宋体" w:hAnsi="宋体" w:eastAsia="宋体" w:cs="宋体"/>
                <w:color w:val="auto"/>
                <w:highlight w:val="none"/>
              </w:rPr>
              <w:t>解释：1、构成本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文件中有特殊规定外，仅适用于</w:t>
            </w:r>
            <w:r>
              <w:rPr>
                <w:rFonts w:hint="eastAsia" w:ascii="宋体" w:hAnsi="宋体" w:eastAsia="宋体" w:cs="宋体"/>
                <w:color w:val="auto"/>
                <w:highlight w:val="none"/>
                <w:lang w:eastAsia="zh-CN"/>
              </w:rPr>
              <w:t>采购</w:t>
            </w:r>
            <w:r>
              <w:rPr>
                <w:rFonts w:hint="eastAsia" w:ascii="宋体" w:hAnsi="宋体" w:eastAsia="宋体" w:cs="宋体"/>
                <w:color w:val="auto"/>
                <w:highlight w:val="none"/>
              </w:rPr>
              <w:t>投标阶段的规定，按</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公告、供应商须知、评标办法、</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格式的先后顺序解释；同一组成文件中就同一事项的规定或约定不一致的，以编排顺序在后者为准；当</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文件与</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Cs w:val="21"/>
                <w:highlight w:val="none"/>
              </w:rPr>
            </w:pPr>
            <w:r>
              <w:rPr>
                <w:rFonts w:hint="eastAsia" w:ascii="宋体" w:hAnsi="宋体" w:eastAsia="宋体" w:cs="宋体"/>
                <w:color w:val="auto"/>
                <w:highlight w:val="none"/>
              </w:rPr>
              <w:t>2、本</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文件解释权归采购人。</w:t>
            </w:r>
          </w:p>
        </w:tc>
      </w:tr>
    </w:tbl>
    <w:p>
      <w:pPr>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文件仅适用于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”系指</w:t>
      </w:r>
      <w:r>
        <w:rPr>
          <w:rFonts w:hint="eastAsia" w:ascii="宋体" w:hAnsi="宋体" w:eastAsia="宋体" w:cs="宋体"/>
          <w:color w:val="auto"/>
          <w:kern w:val="0"/>
          <w:szCs w:val="21"/>
          <w:highlight w:val="none"/>
          <w:lang w:val="en-US" w:eastAsia="zh-CN"/>
        </w:rPr>
        <w:t>领取</w:t>
      </w:r>
      <w:r>
        <w:rPr>
          <w:rFonts w:hint="eastAsia" w:ascii="宋体" w:hAnsi="宋体" w:eastAsia="宋体" w:cs="宋体"/>
          <w:color w:val="auto"/>
          <w:kern w:val="0"/>
          <w:szCs w:val="21"/>
          <w:highlight w:val="none"/>
        </w:rPr>
        <w:t>了本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文件，且已经提交本次</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代表”系指代表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参加本次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 “货物”系指</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2.5 “相关服务”系指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3.本次采购预算（最高限价）为</w:t>
      </w:r>
      <w:r>
        <w:rPr>
          <w:rFonts w:hint="eastAsia" w:ascii="宋体" w:hAnsi="宋体" w:eastAsia="宋体" w:cs="宋体"/>
          <w:b/>
          <w:bCs/>
          <w:color w:val="auto"/>
          <w:kern w:val="0"/>
          <w:szCs w:val="21"/>
          <w:highlight w:val="none"/>
          <w:lang w:val="en-US" w:eastAsia="zh-CN"/>
        </w:rPr>
        <w:t>46.53</w:t>
      </w:r>
      <w:r>
        <w:rPr>
          <w:rFonts w:hint="eastAsia" w:ascii="宋体" w:hAnsi="宋体" w:eastAsia="宋体" w:cs="宋体"/>
          <w:b/>
          <w:bCs/>
          <w:color w:val="auto"/>
          <w:kern w:val="0"/>
          <w:szCs w:val="21"/>
          <w:highlight w:val="none"/>
        </w:rPr>
        <w:t>万元。</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b/>
          <w:bCs/>
          <w:color w:val="auto"/>
          <w:kern w:val="0"/>
          <w:szCs w:val="21"/>
          <w:highlight w:val="none"/>
        </w:rPr>
        <w:t>4.</w:t>
      </w:r>
      <w:r>
        <w:rPr>
          <w:rFonts w:hint="eastAsia" w:ascii="宋体" w:hAnsi="宋体" w:eastAsia="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应提交的证明文件</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4.2供应商应提供2021年度经审计的财务报告或者其基本开户银行出具的资信证明；2022年7月份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4.3具有履行合同所必需的设备和专业技术能力（提供书面声明函）；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4.4参加本采购活动前三年内，在经营活动中没有重大违法记录（提供书面声明函）；</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val="0"/>
          <w:bCs w:val="0"/>
          <w:color w:val="auto"/>
          <w:kern w:val="0"/>
          <w:szCs w:val="21"/>
          <w:highlight w:val="none"/>
          <w:lang w:val="en-US" w:eastAsia="zh-CN"/>
        </w:rPr>
      </w:pPr>
      <w:r>
        <w:rPr>
          <w:rFonts w:hint="eastAsia" w:ascii="宋体" w:hAnsi="宋体" w:eastAsia="宋体" w:cs="宋体"/>
          <w:b w:val="0"/>
          <w:bCs w:val="0"/>
          <w:color w:val="auto"/>
          <w:kern w:val="0"/>
          <w:szCs w:val="21"/>
          <w:highlight w:val="none"/>
          <w:lang w:val="en-US" w:eastAsia="zh-CN"/>
        </w:rPr>
        <w:t>4.5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5.</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不论</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结果如何，</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均应自行承担所有与</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6.联合体</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：本项目不接受联合体</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7.关联企业</w:t>
      </w:r>
      <w:r>
        <w:rPr>
          <w:rFonts w:hint="eastAsia" w:ascii="宋体" w:hAnsi="宋体" w:cs="宋体"/>
          <w:b/>
          <w:bCs/>
          <w:color w:val="auto"/>
          <w:kern w:val="0"/>
          <w:szCs w:val="21"/>
          <w:highlight w:val="none"/>
          <w:lang w:val="en-US" w:eastAsia="zh-CN"/>
        </w:rPr>
        <w:t>磋商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 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7.3 为采购项目提供整体设计、规范编制或者项目管理、监理、检测等服务的供应商，不得再参加该采购项目的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9.1 </w:t>
      </w:r>
      <w:r>
        <w:rPr>
          <w:rFonts w:hint="eastAsia" w:ascii="宋体" w:hAnsi="宋体" w:eastAsia="宋体" w:cs="宋体"/>
          <w:color w:val="auto"/>
          <w:kern w:val="0"/>
          <w:szCs w:val="21"/>
          <w:highlight w:val="none"/>
          <w:lang w:eastAsia="zh-CN"/>
        </w:rPr>
        <w:t>供应商</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代表只能接受一个</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的委托参加</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活动中提供虚假材料或从事其他违法活动的,其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10.1 </w:t>
      </w:r>
      <w:r>
        <w:rPr>
          <w:rFonts w:hint="eastAsia" w:ascii="宋体" w:hAnsi="宋体" w:eastAsia="宋体" w:cs="宋体"/>
          <w:bCs/>
          <w:color w:val="auto"/>
          <w:kern w:val="0"/>
          <w:szCs w:val="21"/>
          <w:highlight w:val="none"/>
        </w:rPr>
        <w:t>供应商认为</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文件使自己的合法权益受到损害的，</w:t>
      </w:r>
      <w:r>
        <w:rPr>
          <w:rFonts w:hint="eastAsia" w:ascii="宋体" w:hAnsi="宋体" w:eastAsia="宋体" w:cs="宋体"/>
          <w:color w:val="auto"/>
          <w:kern w:val="0"/>
          <w:szCs w:val="21"/>
          <w:highlight w:val="none"/>
        </w:rPr>
        <w:t>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公告期限届满之日(或收到</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文件之日)起</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个工作日之内向</w:t>
      </w:r>
      <w:r>
        <w:rPr>
          <w:rFonts w:hint="eastAsia" w:ascii="宋体" w:hAnsi="宋体" w:eastAsia="宋体" w:cs="宋体"/>
          <w:bCs/>
          <w:color w:val="auto"/>
          <w:kern w:val="0"/>
          <w:szCs w:val="21"/>
          <w:highlight w:val="none"/>
        </w:rPr>
        <w:t>采购人提出质疑；供应商认为</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结果使自己的合法权益受到损害的，应当在知道或者应知其权益受到损害之日起</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个工作日内提出质疑。</w:t>
      </w:r>
      <w:r>
        <w:rPr>
          <w:rFonts w:hint="eastAsia" w:ascii="宋体" w:hAnsi="宋体" w:eastAsia="宋体" w:cs="宋体"/>
          <w:color w:val="auto"/>
          <w:kern w:val="0"/>
          <w:szCs w:val="21"/>
          <w:highlight w:val="none"/>
        </w:rPr>
        <w:t>逾期不再受理,</w:t>
      </w:r>
      <w:r>
        <w:rPr>
          <w:rFonts w:hint="eastAsia" w:ascii="宋体" w:hAnsi="宋体" w:eastAsia="宋体" w:cs="宋体"/>
          <w:bCs/>
          <w:color w:val="auto"/>
          <w:kern w:val="0"/>
          <w:szCs w:val="21"/>
          <w:highlight w:val="none"/>
        </w:rPr>
        <w:t>供应商在法定质疑期内应一次性提出针对同一采购环节的质疑。</w:t>
      </w:r>
      <w:r>
        <w:rPr>
          <w:rFonts w:hint="eastAsia" w:ascii="宋体" w:hAnsi="宋体" w:eastAsia="宋体" w:cs="宋体"/>
          <w:color w:val="auto"/>
          <w:kern w:val="0"/>
          <w:szCs w:val="21"/>
          <w:highlight w:val="none"/>
        </w:rPr>
        <w:t>供应商对</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的质疑答复不满意,或</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未在规定时间内作出答复的，可以在答复期满后15个工作日内向</w:t>
      </w:r>
      <w:r>
        <w:rPr>
          <w:rFonts w:hint="eastAsia" w:ascii="宋体" w:hAnsi="宋体" w:eastAsia="宋体" w:cs="宋体"/>
          <w:color w:val="auto"/>
          <w:kern w:val="0"/>
          <w:szCs w:val="21"/>
          <w:highlight w:val="none"/>
          <w:lang w:val="en-US" w:eastAsia="zh-CN"/>
        </w:rPr>
        <w:t>医院纪检</w:t>
      </w:r>
      <w:r>
        <w:rPr>
          <w:rFonts w:hint="eastAsia" w:ascii="宋体" w:hAnsi="宋体" w:eastAsia="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10.2 </w:t>
      </w:r>
      <w:r>
        <w:rPr>
          <w:rFonts w:hint="eastAsia" w:ascii="宋体" w:hAnsi="宋体" w:eastAsia="宋体" w:cs="宋体"/>
          <w:bCs/>
          <w:color w:val="auto"/>
          <w:kern w:val="0"/>
          <w:szCs w:val="21"/>
          <w:highlight w:val="none"/>
        </w:rPr>
        <w:t>质疑、投诉应当采用书面形式，质疑书、投诉书均应明确阐述</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w:t>
      </w:r>
      <w:r>
        <w:rPr>
          <w:rFonts w:hint="eastAsia" w:ascii="宋体" w:hAnsi="宋体" w:eastAsia="宋体" w:cs="宋体"/>
          <w:bCs/>
          <w:color w:val="auto"/>
          <w:kern w:val="0"/>
          <w:szCs w:val="21"/>
          <w:highlight w:val="none"/>
          <w:lang w:eastAsia="zh-CN"/>
        </w:rPr>
        <w:t>磋商</w:t>
      </w:r>
      <w:r>
        <w:rPr>
          <w:rFonts w:hint="eastAsia" w:ascii="宋体" w:hAnsi="宋体" w:eastAsia="宋体" w:cs="宋体"/>
          <w:bCs/>
          <w:color w:val="auto"/>
          <w:kern w:val="0"/>
          <w:szCs w:val="21"/>
          <w:highlight w:val="none"/>
        </w:rPr>
        <w:t>过程和</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11.</w:t>
      </w:r>
      <w:r>
        <w:rPr>
          <w:rFonts w:hint="eastAsia" w:ascii="宋体" w:hAnsi="宋体" w:eastAsia="宋体" w:cs="宋体"/>
          <w:b/>
          <w:bCs/>
          <w:color w:val="auto"/>
          <w:kern w:val="0"/>
          <w:szCs w:val="21"/>
          <w:highlight w:val="none"/>
          <w:lang w:eastAsia="zh-CN"/>
        </w:rPr>
        <w:t>供应商</w:t>
      </w:r>
      <w:r>
        <w:rPr>
          <w:rFonts w:hint="eastAsia" w:ascii="宋体" w:hAnsi="宋体" w:eastAsia="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没有按照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文件要求提供全部资料，或者</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没有对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文件在各方面都作出实质性响应是</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的风险，并可能导致其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二、</w:t>
      </w:r>
      <w:r>
        <w:rPr>
          <w:rFonts w:hint="eastAsia" w:ascii="宋体" w:hAnsi="宋体" w:eastAsia="宋体" w:cs="宋体"/>
          <w:b/>
          <w:bCs/>
          <w:color w:val="auto"/>
          <w:kern w:val="0"/>
          <w:sz w:val="32"/>
          <w:szCs w:val="32"/>
          <w:highlight w:val="none"/>
          <w:lang w:val="en-US" w:eastAsia="zh-CN"/>
        </w:rPr>
        <w:t>采购</w:t>
      </w:r>
      <w:r>
        <w:rPr>
          <w:rFonts w:hint="eastAsia" w:ascii="宋体" w:hAnsi="宋体" w:eastAsia="宋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12.</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文件的构成。本</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12.3 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12.6 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13.</w:t>
      </w:r>
      <w:r>
        <w:rPr>
          <w:rFonts w:hint="eastAsia" w:ascii="宋体" w:hAnsi="宋体" w:eastAsia="宋体" w:cs="宋体"/>
          <w:b/>
          <w:bCs/>
          <w:color w:val="auto"/>
          <w:kern w:val="0"/>
          <w:szCs w:val="21"/>
          <w:highlight w:val="none"/>
          <w:lang w:val="en-US" w:eastAsia="zh-CN"/>
        </w:rPr>
        <w:t>采购</w:t>
      </w:r>
      <w:r>
        <w:rPr>
          <w:rFonts w:hint="eastAsia" w:ascii="宋体" w:hAnsi="宋体" w:eastAsia="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13.1 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对已发出的</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文件进行必要澄清、修改或补充的，应当在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截止时间</w:t>
      </w:r>
      <w:r>
        <w:rPr>
          <w:rFonts w:hint="eastAsia" w:ascii="宋体" w:hAnsi="宋体" w:eastAsia="宋体" w:cs="宋体"/>
          <w:color w:val="auto"/>
          <w:kern w:val="0"/>
          <w:szCs w:val="21"/>
          <w:highlight w:val="none"/>
          <w:lang w:val="en-US" w:eastAsia="zh-CN"/>
        </w:rPr>
        <w:t>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前，在</w:t>
      </w:r>
      <w:r>
        <w:rPr>
          <w:rFonts w:hint="eastAsia" w:ascii="宋体" w:hAnsi="宋体" w:eastAsia="宋体" w:cs="宋体"/>
          <w:color w:val="auto"/>
          <w:kern w:val="0"/>
          <w:szCs w:val="21"/>
          <w:highlight w:val="none"/>
          <w:lang w:val="en-US" w:eastAsia="zh-CN"/>
        </w:rPr>
        <w:t>原采购公告发布</w:t>
      </w:r>
      <w:r>
        <w:rPr>
          <w:rFonts w:hint="eastAsia" w:ascii="宋体" w:hAnsi="宋体" w:eastAsia="宋体" w:cs="宋体"/>
          <w:color w:val="auto"/>
          <w:kern w:val="0"/>
          <w:szCs w:val="21"/>
          <w:highlight w:val="none"/>
        </w:rPr>
        <w:t>相关媒体上发布更正公告或变更公告。</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文件公示期间对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文件澄清、修改或补充的内容为</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13.3 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文件的澄清、修改或补充都应以法定形式发布。采购人未对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13.4 </w:t>
      </w: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可以视</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具体情况延长</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截止时间和开标时间，但至少应当在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的截止时间3</w:t>
      </w:r>
      <w:r>
        <w:rPr>
          <w:rFonts w:hint="eastAsia" w:ascii="宋体" w:hAnsi="宋体" w:eastAsia="宋体" w:cs="宋体"/>
          <w:bCs/>
          <w:color w:val="auto"/>
          <w:kern w:val="0"/>
          <w:szCs w:val="21"/>
          <w:highlight w:val="none"/>
        </w:rPr>
        <w:t>日</w:t>
      </w:r>
      <w:r>
        <w:rPr>
          <w:rFonts w:hint="eastAsia" w:ascii="宋体" w:hAnsi="宋体" w:eastAsia="宋体" w:cs="宋体"/>
          <w:color w:val="auto"/>
          <w:kern w:val="0"/>
          <w:szCs w:val="21"/>
          <w:highlight w:val="none"/>
        </w:rPr>
        <w:t>前，将变更时间</w:t>
      </w:r>
      <w:r>
        <w:rPr>
          <w:rFonts w:hint="eastAsia" w:ascii="宋体" w:hAnsi="宋体" w:eastAsia="宋体" w:cs="宋体"/>
          <w:color w:val="auto"/>
          <w:kern w:val="0"/>
          <w:szCs w:val="21"/>
          <w:highlight w:val="none"/>
          <w:lang w:val="en-US" w:eastAsia="zh-CN"/>
        </w:rPr>
        <w:t>通知所有潜在供应商</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三</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lang w:eastAsia="zh-CN"/>
        </w:rPr>
        <w:t>响应文件</w:t>
      </w:r>
      <w:r>
        <w:rPr>
          <w:rFonts w:hint="eastAsia" w:ascii="宋体" w:hAnsi="宋体" w:eastAsia="宋体" w:cs="宋体"/>
          <w:b/>
          <w:bCs/>
          <w:color w:val="auto"/>
          <w:kern w:val="0"/>
          <w:sz w:val="32"/>
          <w:szCs w:val="32"/>
          <w:highlight w:val="none"/>
        </w:rPr>
        <w:t>的编制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应仔细阅读</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文件的所有内容，按照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文件提供的格式编写</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，不得缺少或留空任何</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文件要求填写的表格或提交的资料。</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文件提供格式的按格式填列，未提供格式的可自行拟定。</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文件的要求作出实质性响应（包括</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资格要求、技术要求、商务要求和</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格式中对</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14.2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应完整签署</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格式附件中《投标书》和《抵制商业贿赂承诺》，不得增减或修改内容。否则视为对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15.</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15.1</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以及</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与采购人就有关</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15.2 关于投标计量单位，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文件已有明确规定的，使用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文件规定的计量单位；</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文件没有规定的，应采用中华人民共和国法定计量单位。否则视为对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公章。必要时</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可以要求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16.</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的组成</w:t>
      </w:r>
      <w:r>
        <w:rPr>
          <w:rFonts w:hint="eastAsia" w:ascii="宋体" w:hAnsi="宋体" w:eastAsia="宋体" w:cs="宋体"/>
          <w:color w:val="auto"/>
          <w:kern w:val="0"/>
          <w:szCs w:val="21"/>
          <w:highlight w:val="none"/>
        </w:rPr>
        <w:t>。</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16.1、</w:t>
      </w:r>
      <w:r>
        <w:rPr>
          <w:rFonts w:hint="eastAsia" w:ascii="宋体" w:hAnsi="宋体" w:cs="宋体"/>
          <w:color w:val="auto"/>
          <w:kern w:val="0"/>
          <w:szCs w:val="21"/>
          <w:highlight w:val="none"/>
          <w:lang w:val="en-US" w:eastAsia="zh-CN"/>
        </w:rPr>
        <w:t>磋商函</w:t>
      </w:r>
      <w:r>
        <w:rPr>
          <w:rFonts w:hint="eastAsia" w:ascii="宋体" w:hAnsi="宋体" w:eastAsia="宋体" w:cs="宋体"/>
          <w:color w:val="auto"/>
          <w:kern w:val="0"/>
          <w:szCs w:val="21"/>
          <w:highlight w:val="none"/>
        </w:rPr>
        <w:t>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16.2、</w:t>
      </w:r>
      <w:r>
        <w:rPr>
          <w:rFonts w:hint="eastAsia" w:ascii="宋体" w:hAnsi="宋体" w:eastAsia="宋体" w:cs="宋体"/>
          <w:color w:val="auto"/>
          <w:kern w:val="0"/>
          <w:szCs w:val="21"/>
          <w:highlight w:val="none"/>
        </w:rPr>
        <w:t>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6</w:t>
      </w:r>
      <w:r>
        <w:rPr>
          <w:rFonts w:hint="eastAsia" w:ascii="宋体" w:hAnsi="宋体" w:eastAsia="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7</w:t>
      </w:r>
      <w:r>
        <w:rPr>
          <w:rFonts w:hint="eastAsia" w:ascii="宋体" w:hAnsi="宋体" w:eastAsia="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17.</w:t>
      </w:r>
      <w:r>
        <w:rPr>
          <w:rFonts w:hint="eastAsia" w:ascii="宋体" w:hAnsi="宋体" w:cs="宋体"/>
          <w:b/>
          <w:color w:val="auto"/>
          <w:kern w:val="0"/>
          <w:szCs w:val="21"/>
          <w:highlight w:val="none"/>
          <w:lang w:val="en-US" w:eastAsia="zh-CN"/>
        </w:rPr>
        <w:t>磋商</w:t>
      </w:r>
      <w:r>
        <w:rPr>
          <w:rFonts w:hint="eastAsia" w:ascii="宋体" w:hAnsi="宋体" w:eastAsia="宋体" w:cs="宋体"/>
          <w:b/>
          <w:color w:val="auto"/>
          <w:kern w:val="0"/>
          <w:szCs w:val="21"/>
          <w:highlight w:val="none"/>
        </w:rPr>
        <w:t>有效期</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17.1 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从</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公告所规定的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截止期之后开始生效，在</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须知前附表</w:t>
      </w:r>
      <w:r>
        <w:rPr>
          <w:rFonts w:hint="eastAsia" w:ascii="宋体" w:hAnsi="宋体" w:eastAsia="宋体" w:cs="宋体"/>
          <w:color w:val="auto"/>
          <w:kern w:val="0"/>
          <w:szCs w:val="21"/>
          <w:highlight w:val="none"/>
        </w:rPr>
        <w:t>第16项所规定的期限内保持有效。有效期不足将导致其</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被拒绝。</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17.2特殊情况下</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可于投标有效期满之前书面要求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同意延长有效期，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应在</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规定的期限内以书面形式予以答复。</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可以拒绝上述要求。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答复不明确或者逾期未答复的，均视为拒绝上述要求。对于接受该要求的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，既不要求也不允许其修改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18.</w:t>
      </w:r>
      <w:r>
        <w:rPr>
          <w:rFonts w:hint="eastAsia" w:ascii="宋体" w:hAnsi="宋体" w:cs="宋体"/>
          <w:b/>
          <w:bCs/>
          <w:color w:val="auto"/>
          <w:kern w:val="0"/>
          <w:szCs w:val="21"/>
          <w:highlight w:val="none"/>
          <w:lang w:val="en-US" w:eastAsia="zh-CN"/>
        </w:rPr>
        <w:t>磋商</w:t>
      </w:r>
      <w:r>
        <w:rPr>
          <w:rFonts w:hint="eastAsia" w:ascii="宋体" w:hAnsi="宋体" w:eastAsia="宋体" w:cs="宋体"/>
          <w:b/>
          <w:bCs/>
          <w:color w:val="auto"/>
          <w:kern w:val="0"/>
          <w:szCs w:val="21"/>
          <w:highlight w:val="none"/>
        </w:rPr>
        <w:t>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18.1 所有</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报价均以人民币元为计算单位。</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18.3 </w:t>
      </w:r>
      <w:r>
        <w:rPr>
          <w:rFonts w:hint="eastAsia" w:ascii="宋体" w:hAnsi="宋体" w:eastAsia="宋体" w:cs="宋体"/>
          <w:color w:val="auto"/>
          <w:spacing w:val="10"/>
          <w:kern w:val="0"/>
          <w:szCs w:val="21"/>
          <w:highlight w:val="none"/>
          <w:lang w:eastAsia="zh-CN"/>
        </w:rPr>
        <w:t>供应商</w:t>
      </w:r>
      <w:r>
        <w:rPr>
          <w:rFonts w:hint="eastAsia" w:ascii="宋体" w:hAnsi="宋体" w:eastAsia="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18.4 开标一览表</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明的价格在政府采购合同执行过程中是固定不变的，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不得以任何理由予以变更。以可调整的价格提交的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将被作为无效标处理。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18.5 </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不接受可选择的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18.6 对于</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在开标一览表和</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eastAsia="宋体" w:cs="宋体"/>
          <w:b/>
          <w:color w:val="auto"/>
          <w:kern w:val="0"/>
          <w:szCs w:val="21"/>
          <w:highlight w:val="none"/>
        </w:rPr>
        <w:t>19.投标保证金</w:t>
      </w:r>
      <w:r>
        <w:rPr>
          <w:rFonts w:hint="eastAsia" w:ascii="宋体" w:hAnsi="宋体" w:eastAsia="宋体" w:cs="宋体"/>
          <w:b/>
          <w:color w:val="auto"/>
          <w:kern w:val="0"/>
          <w:szCs w:val="21"/>
          <w:highlight w:val="none"/>
          <w:lang w:eastAsia="zh-CN"/>
        </w:rPr>
        <w:t>（</w:t>
      </w:r>
      <w:r>
        <w:rPr>
          <w:rFonts w:hint="eastAsia" w:ascii="宋体" w:hAnsi="宋体" w:eastAsia="宋体" w:cs="宋体"/>
          <w:b/>
          <w:color w:val="auto"/>
          <w:kern w:val="0"/>
          <w:szCs w:val="21"/>
          <w:highlight w:val="none"/>
          <w:lang w:val="en-US" w:eastAsia="zh-CN"/>
        </w:rPr>
        <w:t>详见采购公告</w:t>
      </w:r>
      <w:r>
        <w:rPr>
          <w:rFonts w:hint="eastAsia" w:ascii="宋体" w:hAnsi="宋体" w:eastAsia="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val="en-US" w:eastAsia="zh-CN"/>
        </w:rPr>
      </w:pPr>
      <w:r>
        <w:rPr>
          <w:rFonts w:hint="eastAsia" w:ascii="宋体" w:hAnsi="宋体" w:eastAsia="宋体" w:cs="宋体"/>
          <w:b/>
          <w:color w:val="auto"/>
          <w:kern w:val="0"/>
          <w:szCs w:val="21"/>
          <w:highlight w:val="none"/>
        </w:rPr>
        <w:t>20.</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的签署</w:t>
      </w:r>
      <w:r>
        <w:rPr>
          <w:rFonts w:hint="eastAsia" w:ascii="宋体" w:hAnsi="宋体" w:eastAsia="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应按第六章“</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格式”进行编写，如有必要，可以增加附页，作为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的组成部分。其中，报价一览表在满足</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应当对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有效期、质量要求、技术标准和要求、</w:t>
      </w:r>
      <w:r>
        <w:rPr>
          <w:rFonts w:hint="eastAsia" w:ascii="宋体" w:hAnsi="宋体" w:eastAsia="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应用不褪色的材料书写或打印，并由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应尽量避免涂改、行间插字或删除，如果出现上述情况，改动之处应加盖单位公章或由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份数见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的具体装订要求见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w:t>
      </w:r>
      <w:r>
        <w:rPr>
          <w:rFonts w:hint="eastAsia" w:ascii="宋体" w:hAnsi="宋体" w:eastAsia="宋体" w:cs="宋体"/>
          <w:b/>
          <w:color w:val="auto"/>
          <w:kern w:val="0"/>
          <w:sz w:val="32"/>
          <w:szCs w:val="32"/>
          <w:highlight w:val="none"/>
          <w:lang w:eastAsia="zh-CN"/>
        </w:rPr>
        <w:t>响应文件</w:t>
      </w:r>
      <w:r>
        <w:rPr>
          <w:rFonts w:hint="eastAsia" w:ascii="宋体" w:hAnsi="宋体" w:eastAsia="宋体" w:cs="宋体"/>
          <w:b/>
          <w:color w:val="auto"/>
          <w:kern w:val="0"/>
          <w:sz w:val="32"/>
          <w:szCs w:val="32"/>
          <w:highlight w:val="none"/>
        </w:rPr>
        <w:t>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21. </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w:t>
      </w:r>
      <w:r>
        <w:rPr>
          <w:rFonts w:hint="eastAsia" w:ascii="宋体" w:hAnsi="宋体" w:eastAsia="宋体" w:cs="宋体"/>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 xml:space="preserve">21.2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的封套上应清楚地标记“正本”或“副本”字样，封套上应写明的其他内容见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r>
        <w:rPr>
          <w:rFonts w:hint="eastAsia" w:ascii="宋体" w:hAnsi="宋体" w:eastAsia="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lang w:eastAsia="zh-CN"/>
        </w:rPr>
      </w:pPr>
      <w:r>
        <w:rPr>
          <w:rFonts w:hint="eastAsia" w:ascii="宋体" w:hAnsi="宋体" w:eastAsia="宋体" w:cs="宋体"/>
          <w:color w:val="auto"/>
          <w:lang w:eastAsia="zh-CN"/>
        </w:rPr>
        <w:t>2</w:t>
      </w:r>
      <w:r>
        <w:rPr>
          <w:rFonts w:hint="eastAsia" w:ascii="宋体" w:hAnsi="宋体" w:eastAsia="宋体" w:cs="宋体"/>
          <w:color w:val="auto"/>
          <w:lang w:val="en-US" w:eastAsia="zh-CN"/>
        </w:rPr>
        <w:t>1</w:t>
      </w:r>
      <w:r>
        <w:rPr>
          <w:rFonts w:hint="eastAsia" w:ascii="宋体" w:hAnsi="宋体" w:eastAsia="宋体" w:cs="宋体"/>
          <w:color w:val="auto"/>
          <w:lang w:eastAsia="zh-CN"/>
        </w:rPr>
        <w:t>.3 未按本章第2</w:t>
      </w:r>
      <w:r>
        <w:rPr>
          <w:rFonts w:hint="eastAsia" w:ascii="宋体" w:hAnsi="宋体" w:eastAsia="宋体" w:cs="宋体"/>
          <w:color w:val="auto"/>
          <w:lang w:val="en-US" w:eastAsia="zh-CN"/>
        </w:rPr>
        <w:t>1</w:t>
      </w:r>
      <w:r>
        <w:rPr>
          <w:rFonts w:hint="eastAsia" w:ascii="宋体" w:hAnsi="宋体" w:eastAsia="宋体" w:cs="宋体"/>
          <w:color w:val="auto"/>
          <w:lang w:eastAsia="zh-CN"/>
        </w:rPr>
        <w:t>.1项或第2</w:t>
      </w:r>
      <w:r>
        <w:rPr>
          <w:rFonts w:hint="eastAsia" w:ascii="宋体" w:hAnsi="宋体" w:eastAsia="宋体" w:cs="宋体"/>
          <w:color w:val="auto"/>
          <w:lang w:val="en-US" w:eastAsia="zh-CN"/>
        </w:rPr>
        <w:t>1</w:t>
      </w:r>
      <w:r>
        <w:rPr>
          <w:rFonts w:hint="eastAsia" w:ascii="宋体" w:hAnsi="宋体" w:eastAsia="宋体" w:cs="宋体"/>
          <w:color w:val="auto"/>
          <w:lang w:eastAsia="zh-CN"/>
        </w:rPr>
        <w:t>.2项要求密封和加写标记的响应文件，采购人不予受理。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22. </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应在规定的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截止时间前</w:t>
      </w:r>
      <w:r>
        <w:rPr>
          <w:rFonts w:hint="eastAsia" w:ascii="宋体" w:hAnsi="宋体" w:eastAsia="宋体" w:cs="宋体"/>
          <w:color w:val="auto"/>
          <w:kern w:val="0"/>
          <w:szCs w:val="21"/>
          <w:highlight w:val="none"/>
          <w:lang w:eastAsia="zh-CN"/>
        </w:rPr>
        <w:t>递交响应文件</w:t>
      </w:r>
      <w:r>
        <w:rPr>
          <w:rFonts w:hint="eastAsia" w:ascii="宋体" w:hAnsi="宋体" w:eastAsia="宋体" w:cs="宋体"/>
          <w:color w:val="auto"/>
          <w:kern w:val="0"/>
          <w:szCs w:val="21"/>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递交</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的地点：见</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 除</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须知前附表另有规定外，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所递交的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.4 逾期送达的或者未送达指定地点的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，采购人不予受理。</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23. </w:t>
      </w:r>
      <w:r>
        <w:rPr>
          <w:rFonts w:hint="eastAsia" w:ascii="宋体" w:hAnsi="宋体" w:eastAsia="宋体" w:cs="宋体"/>
          <w:b/>
          <w:color w:val="auto"/>
          <w:kern w:val="0"/>
          <w:szCs w:val="21"/>
          <w:highlight w:val="none"/>
          <w:lang w:eastAsia="zh-CN"/>
        </w:rPr>
        <w:t>响应文件</w:t>
      </w:r>
      <w:r>
        <w:rPr>
          <w:rFonts w:hint="eastAsia" w:ascii="宋体" w:hAnsi="宋体" w:eastAsia="宋体" w:cs="宋体"/>
          <w:b/>
          <w:color w:val="auto"/>
          <w:kern w:val="0"/>
          <w:szCs w:val="21"/>
          <w:highlight w:val="none"/>
        </w:rPr>
        <w:t>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23.1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截止时间前，可以对所提交的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进行补充、修改或者撤回，并书面通知</w:t>
      </w:r>
      <w:r>
        <w:rPr>
          <w:rFonts w:hint="eastAsia" w:ascii="宋体" w:hAnsi="宋体" w:eastAsia="宋体" w:cs="宋体"/>
          <w:color w:val="auto"/>
          <w:kern w:val="0"/>
          <w:szCs w:val="21"/>
          <w:highlight w:val="none"/>
          <w:lang w:eastAsia="zh-CN"/>
        </w:rPr>
        <w:t>采购人</w:t>
      </w:r>
      <w:r>
        <w:rPr>
          <w:rFonts w:hint="eastAsia" w:ascii="宋体" w:hAnsi="宋体" w:eastAsia="宋体" w:cs="宋体"/>
          <w:color w:val="auto"/>
          <w:kern w:val="0"/>
          <w:szCs w:val="21"/>
          <w:highlight w:val="none"/>
        </w:rPr>
        <w:t>。补充、修改的内容和撤回通知应当按本须知要求签署、盖章、密封，并作为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23.2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截止期后不得修改、撤回</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截止期后修改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五</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 组建</w:t>
      </w:r>
      <w:r>
        <w:rPr>
          <w:rFonts w:hint="eastAsia" w:ascii="宋体" w:hAnsi="宋体" w:eastAsia="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.1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由采购人代表和评审专家组成。成员由</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rPr>
        <w:t>人以上单数组成。</w:t>
      </w:r>
      <w:r>
        <w:rPr>
          <w:rFonts w:hint="eastAsia" w:ascii="宋体" w:hAnsi="宋体" w:eastAsia="宋体" w:cs="宋体"/>
          <w:color w:val="auto"/>
          <w:szCs w:val="21"/>
          <w:highlight w:val="none"/>
        </w:rPr>
        <w:t>在开标后由</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对</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成员要依法独立评审，并对评审意见承担个人责任。</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成员对需要共同认定的事项存在争议的，按照少数服从多数的原则</w:t>
      </w:r>
      <w:r>
        <w:rPr>
          <w:rFonts w:hint="eastAsia" w:ascii="宋体" w:hAnsi="宋体" w:eastAsia="宋体" w:cs="宋体"/>
          <w:color w:val="auto"/>
          <w:kern w:val="0"/>
          <w:szCs w:val="21"/>
          <w:highlight w:val="none"/>
        </w:rPr>
        <w:t>做</w:t>
      </w:r>
      <w:r>
        <w:rPr>
          <w:rFonts w:hint="eastAsia" w:ascii="宋体" w:hAnsi="宋体" w:eastAsia="宋体" w:cs="宋体"/>
          <w:color w:val="auto"/>
          <w:szCs w:val="21"/>
          <w:highlight w:val="none"/>
        </w:rPr>
        <w:t>出结论。持不同意见的</w:t>
      </w:r>
      <w:r>
        <w:rPr>
          <w:rFonts w:hint="eastAsia" w:ascii="宋体" w:hAnsi="宋体" w:eastAsia="宋体" w:cs="宋体"/>
          <w:color w:val="auto"/>
          <w:szCs w:val="21"/>
          <w:highlight w:val="none"/>
          <w:lang w:eastAsia="zh-CN"/>
        </w:rPr>
        <w:t>磋商小组</w:t>
      </w:r>
      <w:r>
        <w:rPr>
          <w:rFonts w:hint="eastAsia" w:ascii="宋体" w:hAnsi="宋体" w:eastAsia="宋体" w:cs="宋体"/>
          <w:color w:val="auto"/>
          <w:szCs w:val="21"/>
          <w:highlight w:val="none"/>
        </w:rPr>
        <w:t>成员应当在评标报告上签署不同意见</w:t>
      </w:r>
      <w:r>
        <w:rPr>
          <w:rFonts w:hint="eastAsia" w:ascii="宋体" w:hAnsi="宋体" w:eastAsia="宋体" w:cs="宋体"/>
          <w:color w:val="auto"/>
          <w:kern w:val="0"/>
          <w:szCs w:val="21"/>
          <w:highlight w:val="none"/>
        </w:rPr>
        <w:t>并说明</w:t>
      </w:r>
      <w:r>
        <w:rPr>
          <w:rFonts w:hint="eastAsia" w:ascii="宋体" w:hAnsi="宋体" w:eastAsia="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 xml:space="preserve">. </w:t>
      </w:r>
      <w:r>
        <w:rPr>
          <w:rFonts w:hint="eastAsia" w:ascii="宋体" w:hAnsi="宋体" w:eastAsia="宋体" w:cs="宋体"/>
          <w:b/>
          <w:bCs/>
          <w:color w:val="auto"/>
          <w:szCs w:val="21"/>
          <w:highlight w:val="none"/>
          <w:lang w:eastAsia="zh-CN"/>
        </w:rPr>
        <w:t>响应文件</w:t>
      </w:r>
      <w:r>
        <w:rPr>
          <w:rFonts w:hint="eastAsia" w:ascii="宋体" w:hAnsi="宋体" w:eastAsia="宋体" w:cs="宋体"/>
          <w:b/>
          <w:bCs/>
          <w:color w:val="auto"/>
          <w:szCs w:val="21"/>
          <w:highlight w:val="none"/>
        </w:rPr>
        <w:t>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.1对所有</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的评估，都采用相同的程序和标准。评标过程将严格按照</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.2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将对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进行检查，以确定</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 </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报价出现前后不一致的，除</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文件另有规定外，修正错误的原则如下：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.3.1</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开标一览表（报价表）内容与</w:t>
      </w:r>
      <w:r>
        <w:rPr>
          <w:rFonts w:hint="eastAsia" w:ascii="宋体" w:hAnsi="宋体" w:eastAsia="宋体" w:cs="宋体"/>
          <w:color w:val="auto"/>
          <w:sz w:val="21"/>
          <w:szCs w:val="21"/>
          <w:highlight w:val="none"/>
          <w:shd w:val="clear" w:color="auto" w:fill="FFFFFF"/>
          <w:lang w:eastAsia="zh-CN"/>
        </w:rPr>
        <w:t>响应文件</w:t>
      </w:r>
      <w:r>
        <w:rPr>
          <w:rFonts w:hint="eastAsia" w:ascii="宋体" w:hAnsi="宋体" w:eastAsia="宋体" w:cs="宋体"/>
          <w:color w:val="auto"/>
          <w:sz w:val="21"/>
          <w:szCs w:val="21"/>
          <w:highlight w:val="none"/>
          <w:shd w:val="clear" w:color="auto" w:fill="FFFFFF"/>
        </w:rPr>
        <w:t>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shd w:val="clear" w:color="auto" w:fill="FFFFFF"/>
        </w:rPr>
        <w:t>大写金额</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.3.5 对不同文字文本</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确认后产生约束力，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不确认的，其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无效。</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w:t>
      </w:r>
      <w:r>
        <w:rPr>
          <w:rFonts w:hint="eastAsia" w:ascii="宋体" w:hAnsi="宋体" w:eastAsia="宋体" w:cs="宋体"/>
          <w:color w:val="auto"/>
          <w:szCs w:val="21"/>
          <w:highlight w:val="none"/>
        </w:rPr>
        <w:t>资格性检查。依据法规政策和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文件的规定，在对</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详细评估之前，采购人将依据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提交的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公告第二项和</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文件第三章4.</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应提交的证明文件所述的资格标准对</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进行资格审查,以确定其是否具备</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资格。如果</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不具备</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资格、不满足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文件所规定的资格标准或提供资格证明文件不全,其</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将被作为无效</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。在审查过程中，采购人有权要求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文件的规定提供相关资格证明材料的原件以供审查。</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应在规定的时限内提供。</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.4.2 资格审查后合格的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 符合性检查。依据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将从</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的有效性、完整性和对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文件的响应程度进行审查，以确定是否符合对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文件的实质性要求作出响应。对没有实质性响应的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将不进行评估，其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被作为无效标。凡有下列情况之一者，</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也将被视为未实质性响应</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（3）资格证明文件不全的，或不符合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有效期、交货时间、质保期等不满足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的实质性内容未使用中文表述，或意思表述不明确，或前后矛盾，或使用计量单位不符合</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的关键内容字迹模糊、无法辨认,或</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内容未按</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（9）不符合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决定</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的响应性只根据</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.4.4 对资格性检查和符合性检查不合格的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，将</w:t>
      </w:r>
      <w:r>
        <w:rPr>
          <w:rFonts w:hint="eastAsia" w:ascii="宋体" w:hAnsi="宋体" w:eastAsia="宋体" w:cs="宋体"/>
          <w:color w:val="auto"/>
          <w:kern w:val="0"/>
          <w:szCs w:val="21"/>
          <w:highlight w:val="none"/>
          <w:lang w:val="en-US" w:eastAsia="zh-CN"/>
        </w:rPr>
        <w:t>通过评标系统</w:t>
      </w:r>
      <w:r>
        <w:rPr>
          <w:rFonts w:hint="eastAsia" w:ascii="宋体" w:hAnsi="宋体" w:eastAsia="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5</w:t>
      </w:r>
      <w:r>
        <w:rPr>
          <w:rFonts w:hint="eastAsia" w:ascii="宋体" w:hAnsi="宋体" w:eastAsia="宋体" w:cs="宋体"/>
          <w:color w:val="auto"/>
          <w:sz w:val="21"/>
          <w:szCs w:val="21"/>
          <w:highlight w:val="none"/>
        </w:rPr>
        <w:t>.5 在评审过程中，</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发现</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有下列情形之一的，视为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串通</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，其</w:t>
      </w:r>
      <w:r>
        <w:rPr>
          <w:rFonts w:hint="eastAsia" w:ascii="宋体" w:hAnsi="宋体" w:cs="宋体"/>
          <w:color w:val="auto"/>
          <w:sz w:val="21"/>
          <w:szCs w:val="21"/>
          <w:highlight w:val="none"/>
          <w:lang w:val="en-US" w:eastAsia="zh-CN"/>
        </w:rPr>
        <w:t>磋商</w:t>
      </w:r>
      <w:r>
        <w:rPr>
          <w:rFonts w:hint="eastAsia" w:ascii="宋体" w:hAnsi="宋体" w:eastAsia="宋体" w:cs="宋体"/>
          <w:color w:val="auto"/>
          <w:sz w:val="21"/>
          <w:szCs w:val="21"/>
          <w:highlight w:val="none"/>
        </w:rPr>
        <w:t>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.5.1不同</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.5.2不同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.5.3不同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委托同一单位或者个人办理</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.5.4不同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.5.5不同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5</w:t>
      </w:r>
      <w:r>
        <w:rPr>
          <w:rFonts w:hint="eastAsia" w:ascii="宋体" w:hAnsi="宋体" w:eastAsia="宋体" w:cs="宋体"/>
          <w:color w:val="auto"/>
          <w:szCs w:val="21"/>
          <w:highlight w:val="none"/>
        </w:rPr>
        <w:t>.5.6不同</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.5.7 有证据证明</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串通</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.5.8 不同</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5</w:t>
      </w:r>
      <w:r>
        <w:rPr>
          <w:rFonts w:hint="eastAsia" w:ascii="宋体" w:hAnsi="宋体" w:eastAsia="宋体" w:cs="宋体"/>
          <w:color w:val="auto"/>
          <w:kern w:val="0"/>
          <w:szCs w:val="21"/>
          <w:highlight w:val="none"/>
        </w:rPr>
        <w:t xml:space="preserve">.5.9 </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认定的其他串通</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情形。</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6</w:t>
      </w:r>
      <w:r>
        <w:rPr>
          <w:rFonts w:hint="eastAsia" w:ascii="宋体" w:hAnsi="宋体" w:eastAsia="宋体" w:cs="宋体"/>
          <w:b/>
          <w:bCs/>
          <w:color w:val="auto"/>
          <w:kern w:val="0"/>
          <w:szCs w:val="21"/>
          <w:highlight w:val="none"/>
        </w:rPr>
        <w:t xml:space="preserve">. </w:t>
      </w:r>
      <w:r>
        <w:rPr>
          <w:rFonts w:hint="eastAsia" w:ascii="宋体" w:hAnsi="宋体" w:eastAsia="宋体" w:cs="宋体"/>
          <w:b/>
          <w:bCs/>
          <w:color w:val="auto"/>
          <w:kern w:val="0"/>
          <w:szCs w:val="21"/>
          <w:highlight w:val="none"/>
          <w:lang w:eastAsia="zh-CN"/>
        </w:rPr>
        <w:t>响应文件</w:t>
      </w:r>
      <w:r>
        <w:rPr>
          <w:rFonts w:hint="eastAsia" w:ascii="宋体" w:hAnsi="宋体" w:eastAsia="宋体" w:cs="宋体"/>
          <w:b/>
          <w:bCs/>
          <w:color w:val="auto"/>
          <w:kern w:val="0"/>
          <w:szCs w:val="21"/>
          <w:highlight w:val="none"/>
        </w:rPr>
        <w:t>的澄清</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对</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中含义不明确、同类问题表述不一致或者有明显文字和计算错误的内容，</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可以书面形式要求</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作出必要的澄清。</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的澄清应当在</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规定的时间内以书面形式作出，由其</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代表签字。但澄清事项不得超出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的范围，不得实质性改变</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的内容，不得通过澄清等方式对</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实行差别对待。</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不得接受</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7</w:t>
      </w:r>
      <w:r>
        <w:rPr>
          <w:rFonts w:hint="eastAsia" w:ascii="宋体" w:hAnsi="宋体" w:eastAsia="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将按本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文件规定的评标方法与标准，对资格性检查和符合性检查合格的</w:t>
      </w:r>
      <w:r>
        <w:rPr>
          <w:rFonts w:hint="eastAsia" w:ascii="宋体" w:hAnsi="宋体" w:eastAsia="宋体" w:cs="宋体"/>
          <w:color w:val="auto"/>
          <w:sz w:val="21"/>
          <w:szCs w:val="21"/>
          <w:highlight w:val="none"/>
          <w:lang w:eastAsia="zh-CN"/>
        </w:rPr>
        <w:t>响应文件</w:t>
      </w:r>
      <w:r>
        <w:rPr>
          <w:rFonts w:hint="eastAsia" w:ascii="宋体" w:hAnsi="宋体" w:eastAsia="宋体" w:cs="宋体"/>
          <w:color w:val="auto"/>
          <w:sz w:val="21"/>
          <w:szCs w:val="21"/>
          <w:highlight w:val="none"/>
        </w:rPr>
        <w:t>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.2对漏（缺）报项的处理：</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文件中要求列入报价的费用（含配置、功能），漏（缺）报的视同已含在总价中。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认为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的报价明显低于其他通过符合性审查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不能证明其报价合理性的，</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应当将其作为无效标处理。</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2</w:t>
      </w:r>
      <w:r>
        <w:rPr>
          <w:rFonts w:hint="eastAsia" w:ascii="宋体" w:hAnsi="宋体" w:eastAsia="宋体" w:cs="宋体"/>
          <w:b/>
          <w:bCs/>
          <w:color w:val="auto"/>
          <w:kern w:val="0"/>
          <w:szCs w:val="21"/>
          <w:highlight w:val="none"/>
          <w:lang w:val="en-US" w:eastAsia="zh-CN"/>
        </w:rPr>
        <w:t>8</w:t>
      </w:r>
      <w:r>
        <w:rPr>
          <w:rFonts w:hint="eastAsia" w:ascii="宋体" w:hAnsi="宋体" w:eastAsia="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.1 凡与本次</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有关人员对属于审查、澄清、评价和比较</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的有关资料以及定标意向等，均不得向</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val="en-US" w:eastAsia="zh-CN"/>
        </w:rPr>
        <w:t>8</w:t>
      </w:r>
      <w:r>
        <w:rPr>
          <w:rFonts w:hint="eastAsia" w:ascii="宋体" w:hAnsi="宋体" w:eastAsia="宋体" w:cs="宋体"/>
          <w:color w:val="auto"/>
          <w:kern w:val="0"/>
          <w:szCs w:val="21"/>
          <w:highlight w:val="none"/>
        </w:rPr>
        <w:t>.2 在评标期间，</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试图影响或干预评审的任何行为，将导致其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被作为无效标，并承担相应的法律责任。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lang w:val="en-US" w:eastAsia="zh-CN"/>
        </w:rPr>
        <w:t>29</w:t>
      </w:r>
      <w:r>
        <w:rPr>
          <w:rFonts w:hint="eastAsia" w:ascii="宋体" w:hAnsi="宋体" w:eastAsia="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Cs w:val="21"/>
          <w:highlight w:val="none"/>
        </w:rPr>
        <w:t>采购人</w:t>
      </w:r>
      <w:r>
        <w:rPr>
          <w:rFonts w:hint="eastAsia" w:ascii="宋体" w:hAnsi="宋体" w:eastAsia="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六</w:t>
      </w:r>
      <w:r>
        <w:rPr>
          <w:rFonts w:hint="eastAsia" w:ascii="宋体" w:hAnsi="宋体" w:eastAsia="宋体" w:cs="宋体"/>
          <w:b/>
          <w:bCs/>
          <w:color w:val="auto"/>
          <w:kern w:val="0"/>
          <w:sz w:val="32"/>
          <w:highlight w:val="none"/>
        </w:rPr>
        <w:t>、</w:t>
      </w:r>
      <w:r>
        <w:rPr>
          <w:rFonts w:hint="eastAsia" w:ascii="宋体" w:hAnsi="宋体" w:eastAsia="宋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0</w:t>
      </w:r>
      <w:r>
        <w:rPr>
          <w:rFonts w:hint="eastAsia" w:ascii="宋体" w:hAnsi="宋体" w:eastAsia="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.1 最低投标价不作为</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的保证。</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 确定实质上响应</w:t>
      </w:r>
      <w:r>
        <w:rPr>
          <w:rFonts w:hint="eastAsia" w:ascii="宋体" w:hAnsi="宋体" w:eastAsia="宋体" w:cs="宋体"/>
          <w:bCs/>
          <w:color w:val="auto"/>
          <w:kern w:val="0"/>
          <w:szCs w:val="21"/>
          <w:highlight w:val="none"/>
          <w:lang w:val="en-US" w:eastAsia="zh-CN"/>
        </w:rPr>
        <w:t>采购</w:t>
      </w:r>
      <w:r>
        <w:rPr>
          <w:rFonts w:hint="eastAsia" w:ascii="宋体" w:hAnsi="宋体" w:eastAsia="宋体" w:cs="宋体"/>
          <w:bCs/>
          <w:color w:val="auto"/>
          <w:kern w:val="0"/>
          <w:szCs w:val="21"/>
          <w:highlight w:val="none"/>
        </w:rPr>
        <w:t>文件且满足下列条件的为</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候选人（或</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人）</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bookmarkStart w:id="41" w:name="_Toc32200"/>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0</w:t>
      </w:r>
      <w:r>
        <w:rPr>
          <w:rFonts w:hint="eastAsia" w:ascii="宋体" w:hAnsi="宋体" w:eastAsia="宋体" w:cs="宋体"/>
          <w:bCs/>
          <w:color w:val="auto"/>
          <w:kern w:val="0"/>
          <w:szCs w:val="21"/>
          <w:highlight w:val="none"/>
        </w:rPr>
        <w:t>.2.1</w:t>
      </w:r>
      <w:bookmarkEnd w:id="41"/>
      <w:r>
        <w:rPr>
          <w:rFonts w:hint="eastAsia" w:ascii="宋体" w:hAnsi="宋体" w:eastAsia="宋体" w:cs="宋体"/>
          <w:bCs/>
          <w:color w:val="auto"/>
          <w:kern w:val="0"/>
          <w:szCs w:val="21"/>
          <w:highlight w:val="none"/>
        </w:rPr>
        <w:t>本次评标采用</w:t>
      </w:r>
      <w:r>
        <w:rPr>
          <w:rFonts w:hint="eastAsia" w:ascii="宋体" w:hAnsi="宋体" w:eastAsia="宋体" w:cs="宋体"/>
          <w:color w:val="auto"/>
          <w:szCs w:val="21"/>
          <w:highlight w:val="none"/>
        </w:rPr>
        <w:t>综合评分法，是指响应文件满足采购文件全部实质性要求，且按照评审因素的量化指标评审得分最高的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为</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候选人的评标方法。</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采用综合评分法的，评标结果按评审后得分由高到低顺序排列。</w:t>
      </w:r>
      <w:r>
        <w:rPr>
          <w:rFonts w:hint="eastAsia" w:ascii="宋体" w:hAnsi="宋体" w:eastAsia="宋体" w:cs="宋体"/>
          <w:color w:val="auto"/>
          <w:szCs w:val="21"/>
          <w:highlight w:val="none"/>
          <w:lang w:eastAsia="zh-CN"/>
        </w:rPr>
        <w:t>响应文件</w:t>
      </w:r>
      <w:r>
        <w:rPr>
          <w:rFonts w:hint="eastAsia" w:ascii="宋体" w:hAnsi="宋体" w:eastAsia="宋体" w:cs="宋体"/>
          <w:color w:val="auto"/>
          <w:szCs w:val="21"/>
          <w:highlight w:val="none"/>
        </w:rPr>
        <w:t>满足</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文件全部实质性要求，且按照评审因素的量化指标评审得分最高的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为排名第一的</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候选人，以此类推。得分相同的，按报价由低到高顺序排列。得分且</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1</w:t>
      </w:r>
      <w:r>
        <w:rPr>
          <w:rFonts w:hint="eastAsia" w:ascii="宋体" w:hAnsi="宋体" w:eastAsia="宋体" w:cs="宋体"/>
          <w:b/>
          <w:bCs/>
          <w:color w:val="auto"/>
          <w:kern w:val="0"/>
          <w:szCs w:val="21"/>
          <w:highlight w:val="none"/>
        </w:rPr>
        <w:t>. 确定</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人和</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候选人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bCs/>
          <w:color w:val="auto"/>
          <w:kern w:val="0"/>
          <w:szCs w:val="21"/>
          <w:highlight w:val="none"/>
        </w:rPr>
        <w:t>本项目由采购人授权</w:t>
      </w:r>
      <w:r>
        <w:rPr>
          <w:rFonts w:hint="eastAsia" w:ascii="宋体" w:hAnsi="宋体" w:eastAsia="宋体" w:cs="宋体"/>
          <w:bCs/>
          <w:color w:val="auto"/>
          <w:kern w:val="0"/>
          <w:szCs w:val="21"/>
          <w:highlight w:val="none"/>
          <w:lang w:eastAsia="zh-CN"/>
        </w:rPr>
        <w:t>磋商小组</w:t>
      </w:r>
      <w:r>
        <w:rPr>
          <w:rFonts w:hint="eastAsia" w:ascii="宋体" w:hAnsi="宋体" w:eastAsia="宋体" w:cs="宋体"/>
          <w:bCs/>
          <w:color w:val="auto"/>
          <w:kern w:val="0"/>
          <w:szCs w:val="21"/>
          <w:highlight w:val="none"/>
        </w:rPr>
        <w:t>确定一名</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人并推荐两名</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候选人</w:t>
      </w:r>
      <w:r>
        <w:rPr>
          <w:rFonts w:hint="eastAsia" w:ascii="宋体" w:hAnsi="宋体" w:eastAsia="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2</w:t>
      </w:r>
      <w:r>
        <w:rPr>
          <w:rFonts w:hint="eastAsia" w:ascii="宋体" w:hAnsi="宋体" w:eastAsia="宋体" w:cs="宋体"/>
          <w:b/>
          <w:bCs/>
          <w:color w:val="auto"/>
          <w:kern w:val="0"/>
          <w:szCs w:val="21"/>
          <w:highlight w:val="none"/>
        </w:rPr>
        <w:t xml:space="preserve">. </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通知书及</w:t>
      </w:r>
      <w:r>
        <w:rPr>
          <w:rFonts w:hint="eastAsia" w:ascii="宋体" w:hAnsi="宋体" w:eastAsia="宋体" w:cs="宋体"/>
          <w:b/>
          <w:bCs/>
          <w:color w:val="auto"/>
          <w:kern w:val="0"/>
          <w:szCs w:val="21"/>
          <w:highlight w:val="none"/>
          <w:lang w:eastAsia="zh-CN"/>
        </w:rPr>
        <w:t>成交</w:t>
      </w:r>
      <w:r>
        <w:rPr>
          <w:rFonts w:hint="eastAsia" w:ascii="宋体" w:hAnsi="宋体" w:eastAsia="宋体" w:cs="宋体"/>
          <w:b/>
          <w:bCs/>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.1评审结束后，</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人将</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候选人的情况在本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项目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公告发布的同一媒介予以公示，公示</w:t>
      </w:r>
      <w:r>
        <w:rPr>
          <w:rFonts w:hint="eastAsia" w:ascii="宋体" w:hAnsi="宋体" w:eastAsia="宋体" w:cs="宋体"/>
          <w:color w:val="auto"/>
          <w:kern w:val="0"/>
          <w:szCs w:val="21"/>
          <w:highlight w:val="none"/>
          <w:lang w:eastAsia="zh-CN"/>
        </w:rPr>
        <w:t>期限</w:t>
      </w:r>
      <w:r>
        <w:rPr>
          <w:rFonts w:hint="eastAsia" w:ascii="宋体" w:hAnsi="宋体" w:eastAsia="宋体" w:cs="宋体"/>
          <w:color w:val="auto"/>
          <w:kern w:val="0"/>
          <w:szCs w:val="21"/>
          <w:highlight w:val="none"/>
          <w:lang w:val="en-US" w:eastAsia="zh-CN"/>
        </w:rPr>
        <w:t>3</w:t>
      </w:r>
      <w:r>
        <w:rPr>
          <w:rFonts w:hint="eastAsia" w:ascii="宋体" w:hAnsi="宋体" w:eastAsia="宋体" w:cs="宋体"/>
          <w:color w:val="auto"/>
          <w:kern w:val="0"/>
          <w:szCs w:val="21"/>
          <w:highlight w:val="none"/>
          <w:lang w:eastAsia="zh-CN"/>
        </w:rPr>
        <w:t>个工作日</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公示期结束后</w:t>
      </w:r>
      <w:r>
        <w:rPr>
          <w:rFonts w:hint="eastAsia" w:ascii="宋体" w:hAnsi="宋体" w:eastAsia="宋体" w:cs="宋体"/>
          <w:color w:val="auto"/>
          <w:kern w:val="0"/>
          <w:szCs w:val="21"/>
          <w:highlight w:val="none"/>
        </w:rPr>
        <w:t>向</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人发出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人在规定的时间内不领取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通知书的，视为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人在有效报价中报价最低,非不可抗力放弃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通知书对采购人和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人具有同等法律效力。</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通知书发出后，采购人改变</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结果，或者</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2</w:t>
      </w:r>
      <w:r>
        <w:rPr>
          <w:rFonts w:hint="eastAsia" w:ascii="宋体" w:hAnsi="宋体" w:eastAsia="宋体" w:cs="宋体"/>
          <w:bCs/>
          <w:color w:val="auto"/>
          <w:kern w:val="0"/>
          <w:szCs w:val="21"/>
          <w:highlight w:val="none"/>
        </w:rPr>
        <w:t>.4</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通知书将作为签订合同的依据。合同签订后，</w:t>
      </w:r>
      <w:r>
        <w:rPr>
          <w:rFonts w:hint="eastAsia" w:ascii="宋体" w:hAnsi="宋体" w:eastAsia="宋体" w:cs="宋体"/>
          <w:bCs/>
          <w:color w:val="auto"/>
          <w:kern w:val="0"/>
          <w:szCs w:val="21"/>
          <w:highlight w:val="none"/>
          <w:lang w:eastAsia="zh-CN"/>
        </w:rPr>
        <w:t>成交</w:t>
      </w:r>
      <w:r>
        <w:rPr>
          <w:rFonts w:hint="eastAsia" w:ascii="宋体" w:hAnsi="宋体" w:eastAsia="宋体" w:cs="宋体"/>
          <w:bCs/>
          <w:color w:val="auto"/>
          <w:kern w:val="0"/>
          <w:szCs w:val="21"/>
          <w:highlight w:val="none"/>
        </w:rPr>
        <w:t>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3</w:t>
      </w:r>
      <w:r>
        <w:rPr>
          <w:rFonts w:hint="eastAsia" w:ascii="宋体" w:hAnsi="宋体" w:eastAsia="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.1出现下列情况之一时，采购人有权宣布废标，并将理由通知所有</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.1.2</w:t>
      </w:r>
      <w:r>
        <w:rPr>
          <w:rFonts w:hint="eastAsia" w:ascii="宋体" w:hAnsi="宋体" w:eastAsia="宋体" w:cs="宋体"/>
          <w:bCs/>
          <w:color w:val="auto"/>
          <w:kern w:val="0"/>
          <w:szCs w:val="21"/>
          <w:highlight w:val="none"/>
          <w:lang w:eastAsia="zh-CN"/>
        </w:rPr>
        <w:t>供应商</w:t>
      </w:r>
      <w:r>
        <w:rPr>
          <w:rFonts w:hint="eastAsia" w:ascii="宋体" w:hAnsi="宋体" w:eastAsia="宋体" w:cs="宋体"/>
          <w:bCs/>
          <w:color w:val="auto"/>
          <w:kern w:val="0"/>
          <w:szCs w:val="21"/>
          <w:highlight w:val="none"/>
        </w:rPr>
        <w:t>的报价均超过了</w:t>
      </w:r>
      <w:r>
        <w:rPr>
          <w:rFonts w:hint="eastAsia" w:ascii="宋体" w:hAnsi="宋体" w:eastAsia="宋体" w:cs="宋体"/>
          <w:bCs/>
          <w:color w:val="auto"/>
          <w:kern w:val="0"/>
          <w:szCs w:val="21"/>
          <w:highlight w:val="none"/>
          <w:lang w:val="en-US" w:eastAsia="zh-CN"/>
        </w:rPr>
        <w:t>采购预算金额</w:t>
      </w:r>
      <w:r>
        <w:rPr>
          <w:rFonts w:hint="eastAsia" w:ascii="宋体" w:hAnsi="宋体" w:eastAsia="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3</w:t>
      </w:r>
      <w:r>
        <w:rPr>
          <w:rFonts w:hint="eastAsia" w:ascii="宋体" w:hAnsi="宋体" w:eastAsia="宋体" w:cs="宋体"/>
          <w:bCs/>
          <w:color w:val="auto"/>
          <w:kern w:val="0"/>
          <w:szCs w:val="21"/>
          <w:highlight w:val="none"/>
          <w:lang w:val="en-US" w:eastAsia="zh-CN"/>
        </w:rPr>
        <w:t>3</w:t>
      </w:r>
      <w:r>
        <w:rPr>
          <w:rFonts w:hint="eastAsia" w:ascii="宋体" w:hAnsi="宋体" w:eastAsia="宋体" w:cs="宋体"/>
          <w:color w:val="auto"/>
          <w:kern w:val="0"/>
          <w:szCs w:val="21"/>
          <w:highlight w:val="none"/>
        </w:rPr>
        <w:t xml:space="preserve">.2 </w:t>
      </w: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截止后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不足3家或通过资格性检查或符合性检查的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文件存在不合理条款或者</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程序不符合规定的，采购人正后依法重新</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　</w:t>
      </w:r>
    </w:p>
    <w:p>
      <w:pPr>
        <w:keepNext w:val="0"/>
        <w:keepLines w:val="0"/>
        <w:pageBreakBefore w:val="0"/>
        <w:kinsoku/>
        <w:wordWrap/>
        <w:overflowPunct/>
        <w:topLinePunct w:val="0"/>
        <w:bidi w:val="0"/>
        <w:snapToGrid w:val="0"/>
        <w:spacing w:line="360" w:lineRule="auto"/>
        <w:ind w:firstLine="420" w:firstLineChars="200"/>
        <w:rPr>
          <w:rFonts w:hint="eastAsia" w:ascii="宋体" w:hAnsi="宋体" w:eastAsia="宋体" w:cs="宋体"/>
          <w:b/>
          <w:color w:val="auto"/>
          <w:kern w:val="0"/>
          <w:sz w:val="52"/>
          <w:szCs w:val="52"/>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rPr>
        <w:t>文件没有不合理条款、</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lang w:val="en-US" w:eastAsia="zh-CN"/>
        </w:rPr>
        <w:t>七</w:t>
      </w:r>
      <w:r>
        <w:rPr>
          <w:rFonts w:hint="eastAsia" w:ascii="宋体" w:hAnsi="宋体" w:eastAsia="宋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w:t>
      </w:r>
      <w:r>
        <w:rPr>
          <w:rFonts w:hint="eastAsia" w:ascii="宋体" w:hAnsi="宋体" w:eastAsia="宋体" w:cs="宋体"/>
          <w:b/>
          <w:bCs/>
          <w:color w:val="auto"/>
          <w:kern w:val="0"/>
          <w:szCs w:val="21"/>
          <w:highlight w:val="none"/>
          <w:lang w:val="en-US" w:eastAsia="zh-CN"/>
        </w:rPr>
        <w:t>4</w:t>
      </w:r>
      <w:r>
        <w:rPr>
          <w:rFonts w:hint="eastAsia" w:ascii="宋体" w:hAnsi="宋体" w:eastAsia="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u w:val="single"/>
        </w:rPr>
      </w:pPr>
      <w:bookmarkStart w:id="42" w:name="_Toc8594"/>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.1 采购人、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人自</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通知书发出之日起，在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文件第三章《</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须知前附表》规定的时间内，根据</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文件确定的事项和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签订合同。双方所签订的合同不得对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文件和</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.2 </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文件的修改文件、</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人的</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、补充或修改的文件及澄清或承诺文件等，均为双方签订合同的组成部分，并与合同一并作为本</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 xml:space="preserve">.3 </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、因不可抗力不能履行合同、不按照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文件要求提交履约保证金，或者被查实存在影响</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结果的违法行为等情形，不符合</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条件的，采购人可以按照</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提出的</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候选人名单排序依次确定其他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候选人为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人，也可以重新</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w:t>
      </w:r>
    </w:p>
    <w:bookmarkEnd w:id="42"/>
    <w:p>
      <w:pPr>
        <w:rPr>
          <w:rFonts w:hint="eastAsia" w:ascii="宋体" w:hAnsi="宋体" w:eastAsia="宋体" w:cs="宋体"/>
          <w:color w:val="auto"/>
          <w:highlight w:val="none"/>
        </w:rPr>
      </w:pPr>
      <w:bookmarkStart w:id="43" w:name="_Toc4700"/>
      <w:bookmarkStart w:id="44" w:name="_Toc16669"/>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24"/>
          <w:highlight w:val="none"/>
        </w:rPr>
      </w:pPr>
      <w:bookmarkStart w:id="45" w:name="_Toc9022"/>
      <w:r>
        <w:rPr>
          <w:rFonts w:hint="eastAsia" w:ascii="宋体" w:hAnsi="宋体" w:eastAsia="宋体" w:cs="宋体"/>
          <w:b/>
          <w:bCs/>
          <w:color w:val="auto"/>
          <w:kern w:val="0"/>
          <w:sz w:val="32"/>
          <w:szCs w:val="32"/>
          <w:highlight w:val="none"/>
        </w:rPr>
        <w:t>第四章  评标办法及评分标准</w:t>
      </w:r>
      <w:bookmarkEnd w:id="43"/>
      <w:bookmarkEnd w:id="45"/>
    </w:p>
    <w:p>
      <w:pPr>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w:t>
      </w:r>
      <w:r>
        <w:rPr>
          <w:rFonts w:hint="eastAsia" w:ascii="宋体" w:hAnsi="宋体" w:eastAsia="宋体" w:cs="宋体"/>
          <w:b w:val="0"/>
          <w:bCs w:val="0"/>
          <w:color w:val="auto"/>
          <w:sz w:val="21"/>
          <w:szCs w:val="21"/>
          <w:highlight w:val="none"/>
          <w:lang w:eastAsia="zh-CN"/>
        </w:rPr>
        <w:t>响应文件</w:t>
      </w:r>
      <w:r>
        <w:rPr>
          <w:rFonts w:hint="eastAsia" w:ascii="宋体" w:hAnsi="宋体" w:eastAsia="宋体" w:cs="宋体"/>
          <w:b w:val="0"/>
          <w:bCs w:val="0"/>
          <w:color w:val="auto"/>
          <w:sz w:val="21"/>
          <w:szCs w:val="21"/>
          <w:highlight w:val="none"/>
        </w:rPr>
        <w:t>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w:t>
      </w:r>
      <w:r>
        <w:rPr>
          <w:rFonts w:hint="eastAsia" w:ascii="宋体" w:hAnsi="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报价由低到高顺序排列。得分且</w:t>
      </w:r>
      <w:r>
        <w:rPr>
          <w:rFonts w:hint="eastAsia" w:ascii="宋体" w:hAnsi="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响应文件</w:t>
      </w:r>
      <w:r>
        <w:rPr>
          <w:rFonts w:hint="eastAsia" w:ascii="宋体" w:hAnsi="宋体" w:eastAsia="宋体" w:cs="宋体"/>
          <w:b w:val="0"/>
          <w:bCs w:val="0"/>
          <w:color w:val="auto"/>
          <w:sz w:val="21"/>
          <w:szCs w:val="21"/>
          <w:highlight w:val="none"/>
        </w:rPr>
        <w:t>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eastAsia="宋体" w:cs="宋体"/>
          <w:b w:val="0"/>
          <w:bCs w:val="0"/>
          <w:color w:val="auto"/>
          <w:sz w:val="21"/>
          <w:szCs w:val="21"/>
          <w:highlight w:val="none"/>
          <w:lang w:eastAsia="zh-CN"/>
        </w:rPr>
        <w:t>成交</w:t>
      </w:r>
      <w:r>
        <w:rPr>
          <w:rFonts w:hint="eastAsia" w:ascii="宋体" w:hAnsi="宋体" w:eastAsia="宋体" w:cs="宋体"/>
          <w:b w:val="0"/>
          <w:bCs w:val="0"/>
          <w:color w:val="auto"/>
          <w:sz w:val="21"/>
          <w:szCs w:val="21"/>
          <w:highlight w:val="none"/>
        </w:rPr>
        <w:t>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发现</w:t>
            </w:r>
            <w:r>
              <w:rPr>
                <w:rFonts w:hint="eastAsia" w:ascii="宋体" w:hAnsi="宋体" w:eastAsia="宋体" w:cs="宋体"/>
                <w:b w:val="0"/>
                <w:bCs w:val="0"/>
                <w:color w:val="auto"/>
                <w:sz w:val="21"/>
                <w:szCs w:val="21"/>
                <w:highlight w:val="none"/>
                <w:u w:val="none"/>
                <w:lang w:val="en-US" w:eastAsia="zh-CN"/>
              </w:rPr>
              <w:t>供应商</w:t>
            </w:r>
            <w:r>
              <w:rPr>
                <w:rFonts w:hint="eastAsia" w:ascii="宋体" w:hAnsi="宋体" w:eastAsia="宋体" w:cs="宋体"/>
                <w:b w:val="0"/>
                <w:bCs w:val="0"/>
                <w:color w:val="auto"/>
                <w:sz w:val="21"/>
                <w:szCs w:val="21"/>
                <w:highlight w:val="none"/>
                <w:u w:val="none"/>
              </w:rPr>
              <w:t>的</w:t>
            </w:r>
            <w:r>
              <w:rPr>
                <w:rFonts w:hint="eastAsia" w:ascii="宋体" w:hAnsi="宋体" w:eastAsia="宋体" w:cs="宋体"/>
                <w:b w:val="0"/>
                <w:bCs w:val="0"/>
                <w:color w:val="auto"/>
                <w:sz w:val="21"/>
                <w:szCs w:val="21"/>
                <w:highlight w:val="none"/>
                <w:u w:val="none"/>
                <w:lang w:val="en-US" w:eastAsia="zh-CN"/>
              </w:rPr>
              <w:t>磋商</w:t>
            </w:r>
            <w:r>
              <w:rPr>
                <w:rFonts w:hint="eastAsia" w:ascii="宋体" w:hAnsi="宋体" w:eastAsia="宋体" w:cs="宋体"/>
                <w:b w:val="0"/>
                <w:bCs w:val="0"/>
                <w:color w:val="auto"/>
                <w:sz w:val="21"/>
                <w:szCs w:val="21"/>
                <w:highlight w:val="none"/>
                <w:u w:val="none"/>
              </w:rPr>
              <w:t>报价明显低于其他</w:t>
            </w:r>
            <w:r>
              <w:rPr>
                <w:rFonts w:hint="eastAsia" w:ascii="宋体" w:hAnsi="宋体" w:eastAsia="宋体" w:cs="宋体"/>
                <w:b w:val="0"/>
                <w:bCs w:val="0"/>
                <w:color w:val="auto"/>
                <w:sz w:val="21"/>
                <w:szCs w:val="21"/>
                <w:highlight w:val="none"/>
                <w:u w:val="none"/>
                <w:lang w:val="en-US" w:eastAsia="zh-CN"/>
              </w:rPr>
              <w:t>磋商</w:t>
            </w:r>
            <w:r>
              <w:rPr>
                <w:rFonts w:hint="eastAsia" w:ascii="宋体" w:hAnsi="宋体" w:eastAsia="宋体" w:cs="宋体"/>
                <w:b w:val="0"/>
                <w:bCs w:val="0"/>
                <w:color w:val="auto"/>
                <w:sz w:val="21"/>
                <w:szCs w:val="21"/>
                <w:highlight w:val="none"/>
                <w:u w:val="none"/>
              </w:rPr>
              <w:t>报价，使其</w:t>
            </w:r>
            <w:r>
              <w:rPr>
                <w:rFonts w:hint="eastAsia" w:ascii="宋体" w:hAnsi="宋体" w:eastAsia="宋体" w:cs="宋体"/>
                <w:b w:val="0"/>
                <w:bCs w:val="0"/>
                <w:color w:val="auto"/>
                <w:sz w:val="21"/>
                <w:szCs w:val="21"/>
                <w:highlight w:val="none"/>
                <w:u w:val="none"/>
                <w:lang w:val="en-US" w:eastAsia="zh-CN"/>
              </w:rPr>
              <w:t>磋商</w:t>
            </w:r>
            <w:r>
              <w:rPr>
                <w:rFonts w:hint="eastAsia" w:ascii="宋体" w:hAnsi="宋体" w:eastAsia="宋体" w:cs="宋体"/>
                <w:b w:val="0"/>
                <w:bCs w:val="0"/>
                <w:color w:val="auto"/>
                <w:sz w:val="21"/>
                <w:szCs w:val="21"/>
                <w:highlight w:val="none"/>
                <w:u w:val="none"/>
              </w:rPr>
              <w:t>报价可能低于其个别成本的，</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可对其质询，并要求该</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做出书面说明和提供相关的证明材料；该</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不能合理说明或提供证明材料的，</w:t>
            </w:r>
            <w:r>
              <w:rPr>
                <w:rFonts w:hint="eastAsia" w:ascii="宋体" w:hAnsi="宋体" w:eastAsia="宋体" w:cs="宋体"/>
                <w:b w:val="0"/>
                <w:bCs w:val="0"/>
                <w:color w:val="auto"/>
                <w:sz w:val="21"/>
                <w:szCs w:val="21"/>
                <w:highlight w:val="none"/>
                <w:u w:val="none"/>
                <w:lang w:val="en-US" w:eastAsia="zh-CN"/>
              </w:rPr>
              <w:t>磋商小组</w:t>
            </w:r>
            <w:r>
              <w:rPr>
                <w:rFonts w:hint="eastAsia" w:ascii="宋体" w:hAnsi="宋体" w:eastAsia="宋体" w:cs="宋体"/>
                <w:b w:val="0"/>
                <w:bCs w:val="0"/>
                <w:color w:val="auto"/>
                <w:sz w:val="21"/>
                <w:szCs w:val="21"/>
                <w:highlight w:val="none"/>
                <w:u w:val="none"/>
              </w:rPr>
              <w:t>应按无效标处理。</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价格最低的有效</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sz w:val="21"/>
                <w:szCs w:val="21"/>
                <w:highlight w:val="yellow"/>
                <w:lang w:val="en-US" w:eastAsia="zh-CN"/>
              </w:rPr>
            </w:pP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报价得分=（评标基准价/有效</w:t>
            </w:r>
            <w:r>
              <w:rPr>
                <w:rFonts w:hint="eastAsia" w:ascii="宋体" w:hAnsi="宋体" w:eastAsia="宋体" w:cs="宋体"/>
                <w:b w:val="0"/>
                <w:bCs w:val="0"/>
                <w:color w:val="auto"/>
                <w:sz w:val="21"/>
                <w:szCs w:val="21"/>
                <w:highlight w:val="none"/>
                <w:lang w:val="en-US" w:eastAsia="zh-CN"/>
              </w:rPr>
              <w:t>磋商</w:t>
            </w:r>
            <w:r>
              <w:rPr>
                <w:rFonts w:hint="eastAsia" w:ascii="宋体" w:hAnsi="宋体" w:eastAsia="宋体" w:cs="宋体"/>
                <w:b w:val="0"/>
                <w:bCs w:val="0"/>
                <w:color w:val="auto"/>
                <w:sz w:val="21"/>
                <w:szCs w:val="21"/>
                <w:highlight w:val="none"/>
              </w:rPr>
              <w:t>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kern w:val="0"/>
                <w:sz w:val="21"/>
                <w:szCs w:val="21"/>
                <w:highlight w:val="yellow"/>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yellow"/>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yellow"/>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供应商在响应性文件中所投产品的售后服务站设立情况（配备有专业售后服务技术人员，提供售后服务人员名单和售后服务地址、电话）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磋商小组</w:t>
            </w:r>
            <w:r>
              <w:rPr>
                <w:rFonts w:hint="eastAsia" w:ascii="宋体" w:hAnsi="宋体" w:eastAsia="宋体" w:cs="宋体"/>
                <w:b w:val="0"/>
                <w:bCs w:val="0"/>
                <w:color w:val="auto"/>
                <w:sz w:val="21"/>
                <w:szCs w:val="21"/>
                <w:highlight w:val="none"/>
              </w:rPr>
              <w:t>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yellow"/>
              </w:rPr>
            </w:pPr>
            <w:r>
              <w:rPr>
                <w:rFonts w:hint="eastAsia" w:ascii="宋体" w:hAnsi="宋体" w:eastAsia="宋体" w:cs="宋体"/>
                <w:b w:val="0"/>
                <w:bCs w:val="0"/>
                <w:color w:val="auto"/>
                <w:sz w:val="21"/>
                <w:szCs w:val="21"/>
                <w:highlight w:val="none"/>
              </w:rPr>
              <w:t>评标总得分=</w:t>
            </w:r>
            <w:r>
              <w:rPr>
                <w:rFonts w:hint="eastAsia" w:ascii="宋体" w:hAnsi="宋体" w:eastAsia="宋体" w:cs="宋体"/>
                <w:b w:val="0"/>
                <w:bCs w:val="0"/>
                <w:color w:val="auto"/>
                <w:sz w:val="21"/>
                <w:szCs w:val="21"/>
                <w:highlight w:val="none"/>
                <w:lang w:val="en-US" w:eastAsia="zh-CN"/>
              </w:rPr>
              <w:t>磋商小组</w:t>
            </w:r>
            <w:r>
              <w:rPr>
                <w:rFonts w:hint="eastAsia" w:ascii="宋体" w:hAnsi="宋体" w:eastAsia="宋体" w:cs="宋体"/>
                <w:b w:val="0"/>
                <w:bCs w:val="0"/>
                <w:color w:val="auto"/>
                <w:sz w:val="21"/>
                <w:szCs w:val="21"/>
                <w:highlight w:val="none"/>
              </w:rPr>
              <w:t>所有成员合计评分/</w:t>
            </w:r>
            <w:r>
              <w:rPr>
                <w:rFonts w:hint="eastAsia" w:ascii="宋体" w:hAnsi="宋体" w:eastAsia="宋体" w:cs="宋体"/>
                <w:b w:val="0"/>
                <w:bCs w:val="0"/>
                <w:color w:val="auto"/>
                <w:sz w:val="21"/>
                <w:szCs w:val="21"/>
                <w:highlight w:val="none"/>
                <w:lang w:val="en-US" w:eastAsia="zh-CN"/>
              </w:rPr>
              <w:t>磋商小组</w:t>
            </w:r>
            <w:r>
              <w:rPr>
                <w:rFonts w:hint="eastAsia" w:ascii="宋体" w:hAnsi="宋体" w:eastAsia="宋体" w:cs="宋体"/>
                <w:b w:val="0"/>
                <w:bCs w:val="0"/>
                <w:color w:val="auto"/>
                <w:sz w:val="21"/>
                <w:szCs w:val="21"/>
                <w:highlight w:val="none"/>
              </w:rPr>
              <w:t>组成人员数。</w:t>
            </w:r>
          </w:p>
        </w:tc>
      </w:tr>
    </w:tbl>
    <w:p>
      <w:pPr>
        <w:spacing w:line="500" w:lineRule="exact"/>
        <w:ind w:firstLine="420" w:firstLineChars="200"/>
        <w:rPr>
          <w:rFonts w:hint="eastAsia" w:ascii="宋体" w:hAnsi="宋体" w:eastAsia="宋体" w:cs="宋体"/>
          <w:color w:val="auto"/>
          <w:kern w:val="0"/>
          <w:szCs w:val="21"/>
          <w:highlight w:val="yellow"/>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bookmarkEnd w:id="44"/>
    <w:p>
      <w:pPr>
        <w:rPr>
          <w:rFonts w:hint="eastAsia" w:ascii="宋体" w:hAnsi="宋体" w:eastAsia="宋体" w:cs="宋体"/>
          <w:color w:val="auto"/>
          <w:highlight w:val="none"/>
        </w:rPr>
      </w:pPr>
      <w:bookmarkStart w:id="46" w:name="_Toc1947"/>
      <w:bookmarkStart w:id="47" w:name="_Toc1482"/>
      <w:bookmarkStart w:id="48" w:name="_Toc326786897"/>
      <w:bookmarkStart w:id="49" w:name="_Toc256519703"/>
    </w:p>
    <w:p>
      <w:pPr>
        <w:pStyle w:val="3"/>
        <w:snapToGrid w:val="0"/>
        <w:spacing w:before="0" w:after="0" w:line="480" w:lineRule="auto"/>
        <w:jc w:val="center"/>
        <w:rPr>
          <w:rFonts w:hint="eastAsia" w:ascii="宋体" w:hAnsi="宋体" w:eastAsia="宋体" w:cs="宋体"/>
          <w:color w:val="auto"/>
          <w:sz w:val="28"/>
          <w:szCs w:val="28"/>
          <w:highlight w:val="yellow"/>
        </w:rPr>
      </w:pPr>
      <w:bookmarkStart w:id="50" w:name="_Toc28988"/>
      <w:r>
        <w:rPr>
          <w:rFonts w:hint="eastAsia" w:ascii="宋体" w:hAnsi="宋体" w:eastAsia="宋体" w:cs="宋体"/>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以实际合同为准</w:t>
      </w:r>
      <w:r>
        <w:rPr>
          <w:rFonts w:hint="eastAsia" w:ascii="宋体" w:hAnsi="宋体" w:eastAsia="宋体" w:cs="宋体"/>
          <w:color w:val="auto"/>
          <w:sz w:val="21"/>
          <w:szCs w:val="21"/>
          <w:lang w:eastAsia="zh-CN"/>
        </w:rPr>
        <w:t>）</w:t>
      </w:r>
    </w:p>
    <w:p>
      <w:pPr>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0"/>
        <w:rPr>
          <w:rFonts w:hint="eastAsia" w:ascii="宋体" w:hAnsi="宋体" w:eastAsia="宋体" w:cs="宋体"/>
          <w:color w:val="auto"/>
        </w:rPr>
      </w:pPr>
    </w:p>
    <w:p>
      <w:pPr>
        <w:pStyle w:val="3"/>
        <w:jc w:val="center"/>
        <w:rPr>
          <w:rFonts w:hint="eastAsia" w:ascii="宋体" w:hAnsi="宋体" w:eastAsia="宋体" w:cs="宋体"/>
          <w:color w:val="auto"/>
          <w:kern w:val="0"/>
          <w:highlight w:val="none"/>
        </w:rPr>
      </w:pPr>
      <w:bookmarkStart w:id="51" w:name="_Toc2638"/>
      <w:r>
        <w:rPr>
          <w:rFonts w:hint="eastAsia" w:ascii="宋体" w:hAnsi="宋体" w:eastAsia="宋体" w:cs="宋体"/>
          <w:color w:val="auto"/>
          <w:sz w:val="32"/>
          <w:szCs w:val="32"/>
          <w:highlight w:val="none"/>
        </w:rPr>
        <w:t xml:space="preserve">第六章  </w:t>
      </w:r>
      <w:r>
        <w:rPr>
          <w:rFonts w:hint="eastAsia" w:ascii="宋体" w:hAnsi="宋体" w:eastAsia="宋体" w:cs="宋体"/>
          <w:color w:val="auto"/>
          <w:sz w:val="32"/>
          <w:szCs w:val="32"/>
          <w:highlight w:val="none"/>
          <w:lang w:eastAsia="zh-CN"/>
        </w:rPr>
        <w:t>响应文件</w:t>
      </w:r>
      <w:r>
        <w:rPr>
          <w:rFonts w:hint="eastAsia" w:ascii="宋体" w:hAnsi="宋体" w:eastAsia="宋体" w:cs="宋体"/>
          <w:color w:val="auto"/>
          <w:sz w:val="32"/>
          <w:szCs w:val="32"/>
          <w:highlight w:val="none"/>
        </w:rPr>
        <w:t>格式</w:t>
      </w:r>
      <w:bookmarkEnd w:id="46"/>
      <w:bookmarkEnd w:id="47"/>
      <w:bookmarkEnd w:id="51"/>
    </w:p>
    <w:p>
      <w:pPr>
        <w:spacing w:line="440" w:lineRule="exact"/>
        <w:rPr>
          <w:rFonts w:hint="eastAsia" w:ascii="宋体" w:hAnsi="宋体" w:eastAsia="宋体" w:cs="宋体"/>
          <w:color w:val="auto"/>
          <w:sz w:val="24"/>
          <w:highlight w:val="none"/>
        </w:rPr>
      </w:pPr>
    </w:p>
    <w:p>
      <w:pPr>
        <w:jc w:val="center"/>
        <w:rPr>
          <w:rFonts w:hint="eastAsia" w:ascii="宋体" w:hAnsi="宋体" w:eastAsia="宋体" w:cs="宋体"/>
          <w:b/>
          <w:bCs/>
          <w:color w:val="auto"/>
          <w:sz w:val="32"/>
          <w:szCs w:val="32"/>
          <w:highlight w:val="none"/>
        </w:rPr>
      </w:pPr>
      <w:bookmarkStart w:id="52" w:name="_Toc13604"/>
      <w:r>
        <w:rPr>
          <w:rFonts w:hint="eastAsia" w:ascii="宋体" w:hAnsi="宋体" w:eastAsia="宋体" w:cs="宋体"/>
          <w:b/>
          <w:bCs/>
          <w:color w:val="auto"/>
          <w:sz w:val="32"/>
          <w:szCs w:val="32"/>
          <w:highlight w:val="none"/>
        </w:rPr>
        <w:t>目    录</w:t>
      </w:r>
      <w:bookmarkEnd w:id="52"/>
    </w:p>
    <w:p>
      <w:pPr>
        <w:widowControl/>
        <w:wordWrap w:val="0"/>
        <w:spacing w:line="460" w:lineRule="exact"/>
        <w:ind w:firstLine="480" w:firstLineChars="200"/>
        <w:jc w:val="left"/>
        <w:rPr>
          <w:rFonts w:hint="eastAsia" w:ascii="宋体" w:hAnsi="宋体" w:eastAsia="宋体" w:cs="宋体"/>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bookmarkStart w:id="53" w:name="_Toc11308"/>
      <w:r>
        <w:rPr>
          <w:rFonts w:hint="eastAsia" w:ascii="宋体" w:hAnsi="宋体" w:eastAsia="宋体" w:cs="宋体"/>
          <w:color w:val="auto"/>
          <w:sz w:val="24"/>
          <w:highlight w:val="none"/>
        </w:rPr>
        <w:t>附件1</w:t>
      </w:r>
      <w:r>
        <w:rPr>
          <w:rFonts w:hint="eastAsia" w:ascii="宋体" w:hAnsi="宋体" w:eastAsia="宋体" w:cs="宋体"/>
          <w:color w:val="auto"/>
          <w:sz w:val="24"/>
          <w:highlight w:val="none"/>
          <w:lang w:eastAsia="zh-CN"/>
        </w:rPr>
        <w:t>响应文件</w:t>
      </w:r>
      <w:r>
        <w:rPr>
          <w:rFonts w:hint="eastAsia" w:ascii="宋体" w:hAnsi="宋体" w:eastAsia="宋体" w:cs="宋体"/>
          <w:color w:val="auto"/>
          <w:sz w:val="24"/>
          <w:highlight w:val="none"/>
        </w:rPr>
        <w:t>封面（格式）</w:t>
      </w:r>
      <w:bookmarkEnd w:id="53"/>
    </w:p>
    <w:p>
      <w:pPr>
        <w:snapToGrid w:val="0"/>
        <w:spacing w:line="360" w:lineRule="auto"/>
        <w:ind w:firstLine="480" w:firstLineChars="200"/>
        <w:rPr>
          <w:rFonts w:hint="eastAsia" w:ascii="宋体" w:hAnsi="宋体" w:eastAsia="宋体" w:cs="宋体"/>
          <w:color w:val="auto"/>
          <w:sz w:val="24"/>
          <w:highlight w:val="none"/>
        </w:rPr>
      </w:pPr>
      <w:bookmarkStart w:id="54" w:name="_Toc25345"/>
      <w:r>
        <w:rPr>
          <w:rFonts w:hint="eastAsia" w:ascii="宋体" w:hAnsi="宋体" w:eastAsia="宋体" w:cs="宋体"/>
          <w:color w:val="auto"/>
          <w:sz w:val="24"/>
          <w:highlight w:val="none"/>
        </w:rPr>
        <w:t xml:space="preserve">附件2 </w:t>
      </w:r>
      <w:r>
        <w:rPr>
          <w:rFonts w:hint="eastAsia" w:ascii="宋体" w:hAnsi="宋体" w:cs="宋体"/>
          <w:color w:val="auto"/>
          <w:sz w:val="24"/>
          <w:highlight w:val="none"/>
          <w:lang w:val="en-US" w:eastAsia="zh-CN"/>
        </w:rPr>
        <w:t>磋商函</w:t>
      </w:r>
      <w:r>
        <w:rPr>
          <w:rFonts w:hint="eastAsia" w:ascii="宋体" w:hAnsi="宋体" w:eastAsia="宋体" w:cs="宋体"/>
          <w:color w:val="auto"/>
          <w:sz w:val="24"/>
          <w:highlight w:val="none"/>
        </w:rPr>
        <w:t>（格式）</w:t>
      </w:r>
      <w:bookmarkEnd w:id="54"/>
    </w:p>
    <w:p>
      <w:pPr>
        <w:snapToGrid w:val="0"/>
        <w:spacing w:line="360" w:lineRule="auto"/>
        <w:ind w:firstLine="480" w:firstLineChars="200"/>
        <w:rPr>
          <w:rFonts w:hint="eastAsia" w:ascii="宋体" w:hAnsi="宋体" w:eastAsia="宋体" w:cs="宋体"/>
          <w:color w:val="auto"/>
          <w:sz w:val="24"/>
          <w:highlight w:val="none"/>
        </w:rPr>
      </w:pPr>
      <w:bookmarkStart w:id="55" w:name="_Toc10217"/>
      <w:r>
        <w:rPr>
          <w:rFonts w:hint="eastAsia" w:ascii="宋体" w:hAnsi="宋体" w:eastAsia="宋体" w:cs="宋体"/>
          <w:color w:val="auto"/>
          <w:sz w:val="24"/>
          <w:highlight w:val="none"/>
        </w:rPr>
        <w:t xml:space="preserve">附件3 </w:t>
      </w:r>
      <w:r>
        <w:rPr>
          <w:rFonts w:hint="eastAsia" w:ascii="宋体" w:hAnsi="宋体" w:cs="宋体"/>
          <w:color w:val="auto"/>
          <w:sz w:val="24"/>
          <w:highlight w:val="none"/>
          <w:lang w:val="en-US" w:eastAsia="zh-CN"/>
        </w:rPr>
        <w:t>磋商</w:t>
      </w:r>
      <w:r>
        <w:rPr>
          <w:rFonts w:hint="eastAsia" w:ascii="宋体" w:hAnsi="宋体" w:eastAsia="宋体" w:cs="宋体"/>
          <w:color w:val="auto"/>
          <w:sz w:val="24"/>
          <w:highlight w:val="none"/>
        </w:rPr>
        <w:t>一览表（格式）</w:t>
      </w:r>
      <w:bookmarkEnd w:id="55"/>
    </w:p>
    <w:p>
      <w:pPr>
        <w:snapToGrid w:val="0"/>
        <w:spacing w:line="360" w:lineRule="auto"/>
        <w:ind w:firstLine="480" w:firstLineChars="200"/>
        <w:rPr>
          <w:rFonts w:hint="eastAsia" w:ascii="宋体" w:hAnsi="宋体" w:eastAsia="宋体" w:cs="宋体"/>
          <w:color w:val="auto"/>
          <w:sz w:val="24"/>
          <w:highlight w:val="none"/>
        </w:rPr>
      </w:pPr>
      <w:bookmarkStart w:id="56" w:name="_Toc9579"/>
      <w:r>
        <w:rPr>
          <w:rFonts w:hint="eastAsia" w:ascii="宋体" w:hAnsi="宋体" w:eastAsia="宋体" w:cs="宋体"/>
          <w:color w:val="auto"/>
          <w:sz w:val="24"/>
          <w:highlight w:val="none"/>
        </w:rPr>
        <w:t>附件4 投标报价明细表（格式）</w:t>
      </w:r>
      <w:bookmarkEnd w:id="56"/>
    </w:p>
    <w:p>
      <w:pPr>
        <w:snapToGrid w:val="0"/>
        <w:spacing w:line="360" w:lineRule="auto"/>
        <w:ind w:firstLine="480" w:firstLineChars="200"/>
        <w:rPr>
          <w:rFonts w:hint="eastAsia" w:ascii="宋体" w:hAnsi="宋体" w:eastAsia="宋体" w:cs="宋体"/>
          <w:color w:val="auto"/>
          <w:sz w:val="24"/>
          <w:highlight w:val="none"/>
        </w:rPr>
      </w:pPr>
      <w:bookmarkStart w:id="57" w:name="_Toc28392"/>
      <w:r>
        <w:rPr>
          <w:rFonts w:hint="eastAsia" w:ascii="宋体" w:hAnsi="宋体" w:eastAsia="宋体" w:cs="宋体"/>
          <w:color w:val="auto"/>
          <w:sz w:val="24"/>
          <w:highlight w:val="none"/>
        </w:rPr>
        <w:t>附件5技术响应表（格式）</w:t>
      </w:r>
      <w:bookmarkEnd w:id="57"/>
    </w:p>
    <w:p>
      <w:pPr>
        <w:snapToGrid w:val="0"/>
        <w:spacing w:line="360" w:lineRule="auto"/>
        <w:ind w:firstLine="480" w:firstLineChars="200"/>
        <w:rPr>
          <w:rFonts w:hint="eastAsia" w:ascii="宋体" w:hAnsi="宋体" w:eastAsia="宋体" w:cs="宋体"/>
          <w:color w:val="auto"/>
          <w:sz w:val="24"/>
          <w:highlight w:val="none"/>
        </w:rPr>
      </w:pPr>
      <w:bookmarkStart w:id="58" w:name="_Toc6234"/>
      <w:r>
        <w:rPr>
          <w:rFonts w:hint="eastAsia" w:ascii="宋体" w:hAnsi="宋体" w:eastAsia="宋体" w:cs="宋体"/>
          <w:color w:val="auto"/>
          <w:sz w:val="24"/>
          <w:highlight w:val="none"/>
        </w:rPr>
        <w:t>附件6 商务响应表（格式）</w:t>
      </w:r>
      <w:bookmarkEnd w:id="58"/>
    </w:p>
    <w:p>
      <w:pPr>
        <w:snapToGrid w:val="0"/>
        <w:spacing w:line="360" w:lineRule="auto"/>
        <w:ind w:firstLine="480" w:firstLineChars="200"/>
        <w:rPr>
          <w:rFonts w:hint="eastAsia" w:ascii="宋体" w:hAnsi="宋体" w:eastAsia="宋体" w:cs="宋体"/>
          <w:color w:val="auto"/>
          <w:sz w:val="24"/>
          <w:highlight w:val="none"/>
        </w:rPr>
      </w:pPr>
      <w:bookmarkStart w:id="59" w:name="_Toc26231"/>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法定代表人身份证明（格式）</w:t>
      </w:r>
      <w:bookmarkEnd w:id="59"/>
    </w:p>
    <w:p>
      <w:pPr>
        <w:snapToGrid w:val="0"/>
        <w:spacing w:line="360" w:lineRule="auto"/>
        <w:ind w:firstLine="480" w:firstLineChars="200"/>
        <w:rPr>
          <w:rFonts w:hint="eastAsia" w:ascii="宋体" w:hAnsi="宋体" w:eastAsia="宋体" w:cs="宋体"/>
          <w:color w:val="auto"/>
          <w:sz w:val="24"/>
          <w:highlight w:val="none"/>
        </w:rPr>
      </w:pPr>
      <w:bookmarkStart w:id="60"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bookmarkEnd w:id="60"/>
    </w:p>
    <w:p>
      <w:pPr>
        <w:snapToGrid w:val="0"/>
        <w:spacing w:line="360" w:lineRule="auto"/>
        <w:ind w:firstLine="480" w:firstLineChars="200"/>
        <w:rPr>
          <w:rFonts w:hint="eastAsia" w:ascii="宋体" w:hAnsi="宋体" w:eastAsia="宋体" w:cs="宋体"/>
          <w:color w:val="auto"/>
          <w:sz w:val="24"/>
          <w:highlight w:val="none"/>
        </w:rPr>
      </w:pPr>
      <w:bookmarkStart w:id="61" w:name="_Toc31857"/>
      <w:r>
        <w:rPr>
          <w:rFonts w:hint="eastAsia" w:ascii="宋体" w:hAnsi="宋体" w:eastAsia="宋体" w:cs="宋体"/>
          <w:color w:val="auto"/>
          <w:sz w:val="24"/>
          <w:highlight w:val="none"/>
        </w:rPr>
        <w:t>附件9 证明文件</w:t>
      </w:r>
      <w:bookmarkEnd w:id="61"/>
    </w:p>
    <w:p>
      <w:pPr>
        <w:snapToGrid w:val="0"/>
        <w:spacing w:line="360" w:lineRule="auto"/>
        <w:ind w:firstLine="480" w:firstLineChars="200"/>
        <w:rPr>
          <w:rFonts w:hint="eastAsia" w:ascii="宋体" w:hAnsi="宋体" w:eastAsia="宋体" w:cs="宋体"/>
          <w:color w:val="auto"/>
          <w:sz w:val="24"/>
          <w:highlight w:val="none"/>
        </w:rPr>
      </w:pPr>
      <w:bookmarkStart w:id="62" w:name="_Toc23116"/>
      <w:r>
        <w:rPr>
          <w:rFonts w:hint="eastAsia" w:ascii="宋体" w:hAnsi="宋体" w:eastAsia="宋体" w:cs="宋体"/>
          <w:color w:val="auto"/>
          <w:sz w:val="24"/>
          <w:highlight w:val="none"/>
        </w:rPr>
        <w:t>附件10 供应商承诺书（格式）</w:t>
      </w:r>
      <w:bookmarkEnd w:id="62"/>
    </w:p>
    <w:p>
      <w:pPr>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附件11 供应商信用承诺函（格式）</w:t>
      </w:r>
    </w:p>
    <w:p>
      <w:pPr>
        <w:pStyle w:val="30"/>
        <w:rPr>
          <w:rFonts w:hint="eastAsia" w:ascii="宋体" w:hAnsi="宋体" w:eastAsia="宋体" w:cs="宋体"/>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pStyle w:val="4"/>
        <w:rPr>
          <w:rFonts w:hint="eastAsia" w:ascii="宋体" w:hAnsi="宋体" w:eastAsia="宋体" w:cs="宋体"/>
          <w:b/>
          <w:bCs/>
          <w:color w:val="auto"/>
          <w:kern w:val="0"/>
          <w:sz w:val="24"/>
          <w:highlight w:val="none"/>
        </w:rPr>
      </w:pPr>
    </w:p>
    <w:p>
      <w:pPr>
        <w:pStyle w:val="5"/>
        <w:rPr>
          <w:rFonts w:hint="eastAsia" w:ascii="宋体" w:hAnsi="宋体" w:eastAsia="宋体" w:cs="宋体"/>
          <w:b/>
          <w:bCs/>
          <w:color w:val="auto"/>
          <w:highlight w:val="none"/>
        </w:rPr>
      </w:pPr>
    </w:p>
    <w:p>
      <w:pPr>
        <w:pStyle w:val="5"/>
        <w:rPr>
          <w:rFonts w:hint="eastAsia" w:ascii="宋体" w:hAnsi="宋体" w:eastAsia="宋体" w:cs="宋体"/>
          <w:b/>
          <w:bCs/>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5"/>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3" w:name="_Toc31798"/>
      <w:bookmarkStart w:id="64" w:name="_Toc24743"/>
      <w:r>
        <w:rPr>
          <w:rFonts w:hint="eastAsia" w:ascii="宋体" w:hAnsi="宋体" w:eastAsia="宋体" w:cs="宋体"/>
          <w:color w:val="auto"/>
          <w:highlight w:val="none"/>
        </w:rPr>
        <w:t xml:space="preserve">附件1               </w:t>
      </w:r>
      <w:r>
        <w:rPr>
          <w:rFonts w:hint="eastAsia" w:ascii="宋体" w:hAnsi="宋体" w:eastAsia="宋体" w:cs="宋体"/>
          <w:color w:val="auto"/>
          <w:highlight w:val="none"/>
          <w:lang w:eastAsia="zh-CN"/>
        </w:rPr>
        <w:t>响应文件</w:t>
      </w:r>
      <w:r>
        <w:rPr>
          <w:rFonts w:hint="eastAsia" w:ascii="宋体" w:hAnsi="宋体" w:eastAsia="宋体" w:cs="宋体"/>
          <w:color w:val="auto"/>
          <w:highlight w:val="none"/>
        </w:rPr>
        <w:t>封面（格式）</w:t>
      </w:r>
      <w:bookmarkEnd w:id="63"/>
      <w:bookmarkEnd w:id="64"/>
    </w:p>
    <w:p>
      <w:pPr>
        <w:widowControl/>
        <w:wordWrap w:val="0"/>
        <w:spacing w:line="460" w:lineRule="exact"/>
        <w:ind w:firstLine="482" w:firstLineChars="200"/>
        <w:jc w:val="center"/>
        <w:rPr>
          <w:rFonts w:hint="eastAsia" w:ascii="宋体" w:hAnsi="宋体" w:eastAsia="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lang w:eastAsia="zh-CN"/>
        </w:rPr>
      </w:pPr>
      <w:r>
        <w:rPr>
          <w:rFonts w:hint="eastAsia" w:ascii="宋体" w:hAnsi="宋体" w:eastAsia="宋体" w:cs="宋体"/>
          <w:b/>
          <w:color w:val="auto"/>
          <w:spacing w:val="90"/>
          <w:sz w:val="52"/>
          <w:szCs w:val="52"/>
          <w:highlight w:val="none"/>
          <w:lang w:eastAsia="zh-CN"/>
        </w:rPr>
        <w:t>响应文件</w:t>
      </w:r>
    </w:p>
    <w:p>
      <w:pPr>
        <w:spacing w:line="360" w:lineRule="auto"/>
        <w:rPr>
          <w:rFonts w:hint="eastAsia" w:ascii="宋体" w:hAnsi="宋体" w:eastAsia="宋体" w:cs="宋体"/>
          <w:color w:val="auto"/>
          <w:sz w:val="28"/>
          <w:highlight w:val="none"/>
        </w:rPr>
      </w:pPr>
    </w:p>
    <w:p>
      <w:pPr>
        <w:pStyle w:val="5"/>
        <w:spacing w:line="360" w:lineRule="auto"/>
        <w:rPr>
          <w:rFonts w:hint="eastAsia" w:ascii="宋体" w:hAnsi="宋体" w:eastAsia="宋体" w:cs="宋体"/>
          <w:color w:val="auto"/>
          <w:highlight w:val="none"/>
        </w:rPr>
      </w:pPr>
    </w:p>
    <w:p>
      <w:pPr>
        <w:pStyle w:val="5"/>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hint="eastAsia" w:ascii="宋体" w:hAnsi="宋体" w:eastAsia="宋体" w:cs="宋体"/>
          <w:b/>
          <w:color w:val="auto"/>
          <w:kern w:val="0"/>
          <w:sz w:val="24"/>
          <w:highlight w:val="none"/>
        </w:rPr>
      </w:pPr>
    </w:p>
    <w:p>
      <w:pPr>
        <w:pStyle w:val="4"/>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bookmarkStart w:id="65" w:name="_Toc14560"/>
      <w:bookmarkStart w:id="66" w:name="_Toc8818"/>
      <w:r>
        <w:rPr>
          <w:rFonts w:hint="eastAsia" w:ascii="宋体" w:hAnsi="宋体" w:eastAsia="宋体" w:cs="宋体"/>
          <w:color w:val="auto"/>
          <w:highlight w:val="none"/>
        </w:rPr>
        <w:t>附件2               投  标  书（格式）</w:t>
      </w:r>
      <w:bookmarkEnd w:id="65"/>
      <w:bookmarkEnd w:id="66"/>
    </w:p>
    <w:p>
      <w:pPr>
        <w:widowControl/>
        <w:wordWrap w:val="0"/>
        <w:snapToGrid w:val="0"/>
        <w:spacing w:line="4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widowControl/>
        <w:wordWrap w:val="0"/>
        <w:spacing w:line="46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eastAsia="zh-CN"/>
        </w:rPr>
        <w:t>供应商</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。现正式提交下述文件1份：</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2、报价明细表。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4、技术响应表。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4、商务响应表。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5、证明文件。</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6、抵制商业贿赂承诺。为便于贵方公正、择优地确定</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供应商及其</w:t>
      </w:r>
      <w:r>
        <w:rPr>
          <w:rFonts w:hint="eastAsia" w:ascii="宋体" w:hAnsi="宋体" w:cs="宋体"/>
          <w:color w:val="auto"/>
          <w:kern w:val="0"/>
          <w:szCs w:val="21"/>
          <w:highlight w:val="none"/>
          <w:lang w:val="en-US" w:eastAsia="zh-CN"/>
        </w:rPr>
        <w:t>所投</w:t>
      </w:r>
      <w:r>
        <w:rPr>
          <w:rFonts w:hint="eastAsia" w:ascii="宋体" w:hAnsi="宋体" w:eastAsia="宋体" w:cs="宋体"/>
          <w:color w:val="auto"/>
          <w:kern w:val="0"/>
          <w:szCs w:val="21"/>
          <w:highlight w:val="none"/>
        </w:rPr>
        <w:t>产品和服务，我方就本次</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有关事项郑重声明并宣布同意如下：</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活动中提供的各种材料真实有效。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有效期内遵守本</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中的承诺且在此期限期满之前均具有约束力。如果我方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响应文件</w:t>
      </w:r>
      <w:r>
        <w:rPr>
          <w:rFonts w:hint="eastAsia" w:ascii="宋体" w:hAnsi="宋体" w:eastAsia="宋体" w:cs="宋体"/>
          <w:color w:val="auto"/>
          <w:kern w:val="0"/>
          <w:szCs w:val="21"/>
          <w:highlight w:val="none"/>
        </w:rPr>
        <w:t>有效期与合同履行期相同。</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项目最低价不作为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的保证。</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被作为无效标处理。</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w:t>
      </w:r>
      <w:r>
        <w:rPr>
          <w:rFonts w:hint="eastAsia" w:ascii="宋体" w:hAnsi="宋体" w:eastAsia="宋体" w:cs="宋体"/>
          <w:color w:val="auto"/>
          <w:kern w:val="0"/>
          <w:szCs w:val="21"/>
          <w:highlight w:val="none"/>
          <w:lang w:eastAsia="zh-CN"/>
        </w:rPr>
        <w:t>磋商小组</w:t>
      </w:r>
      <w:r>
        <w:rPr>
          <w:rFonts w:hint="eastAsia" w:ascii="宋体" w:hAnsi="宋体" w:eastAsia="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通知书并缴纳服务费。否则，视为我方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资格，承担由此引起的一切后果。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供应商，我方同意在领取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通知书之日起日内，按照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wordWrap w:val="0"/>
        <w:spacing w:line="460" w:lineRule="exact"/>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 xml:space="preserve">代表签字：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：（全称并加盖公章）</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snapToGrid w:val="0"/>
        <w:spacing w:line="460" w:lineRule="exact"/>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spacing w:line="500" w:lineRule="exact"/>
        <w:jc w:val="center"/>
        <w:rPr>
          <w:rFonts w:hint="eastAsia" w:ascii="宋体" w:hAnsi="宋体" w:eastAsia="宋体" w:cs="宋体"/>
          <w:b/>
          <w:bCs/>
          <w:color w:val="auto"/>
          <w:sz w:val="24"/>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rPr>
          <w:rFonts w:hint="eastAsia" w:ascii="宋体" w:hAnsi="宋体" w:eastAsia="宋体" w:cs="宋体"/>
          <w:color w:val="auto"/>
          <w:highlight w:val="none"/>
        </w:rPr>
      </w:pPr>
    </w:p>
    <w:p>
      <w:pPr>
        <w:pStyle w:val="2"/>
        <w:spacing w:before="20" w:after="20"/>
        <w:rPr>
          <w:rFonts w:hint="eastAsia" w:ascii="宋体" w:hAnsi="宋体" w:eastAsia="宋体" w:cs="宋体"/>
          <w:color w:val="auto"/>
          <w:highlight w:val="none"/>
        </w:rPr>
      </w:pPr>
      <w:bookmarkStart w:id="67" w:name="_Toc7838"/>
      <w:r>
        <w:rPr>
          <w:rFonts w:hint="eastAsia" w:ascii="宋体" w:hAnsi="宋体" w:eastAsia="宋体" w:cs="宋体"/>
          <w:color w:val="auto"/>
          <w:highlight w:val="none"/>
        </w:rPr>
        <w:t>附件3               开标一览表</w:t>
      </w:r>
      <w:bookmarkEnd w:id="67"/>
    </w:p>
    <w:p>
      <w:pPr>
        <w:spacing w:line="239" w:lineRule="auto"/>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单位：人民币元</w:t>
      </w:r>
    </w:p>
    <w:p>
      <w:pPr>
        <w:rPr>
          <w:rFonts w:hint="eastAsia" w:ascii="宋体" w:hAnsi="宋体" w:eastAsia="宋体" w:cs="宋体"/>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708" w:type="dxa"/>
            <w:noWrap/>
            <w:vAlign w:val="center"/>
          </w:tcPr>
          <w:p>
            <w:pP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7708" w:type="dxa"/>
            <w:noWrap/>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pacing w:val="-20"/>
                <w:szCs w:val="21"/>
                <w:highlight w:val="none"/>
              </w:rPr>
            </w:pPr>
            <w:r>
              <w:rPr>
                <w:rFonts w:hint="eastAsia" w:ascii="宋体" w:hAnsi="宋体" w:cs="宋体"/>
                <w:color w:val="auto"/>
                <w:szCs w:val="21"/>
                <w:highlight w:val="none"/>
                <w:lang w:val="en-US" w:eastAsia="zh-CN"/>
              </w:rPr>
              <w:t>磋商</w:t>
            </w:r>
            <w:r>
              <w:rPr>
                <w:rFonts w:hint="eastAsia" w:ascii="宋体" w:hAnsi="宋体" w:eastAsia="宋体" w:cs="宋体"/>
                <w:color w:val="auto"/>
                <w:szCs w:val="21"/>
                <w:highlight w:val="none"/>
              </w:rPr>
              <w:t>报价</w:t>
            </w:r>
          </w:p>
        </w:tc>
        <w:tc>
          <w:tcPr>
            <w:tcW w:w="7708" w:type="dxa"/>
            <w:noWrap/>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大写：        元</w:t>
            </w: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交货地点</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有效期</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质量标准</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7708" w:type="dxa"/>
            <w:noWrap/>
            <w:vAlign w:val="center"/>
          </w:tcPr>
          <w:p>
            <w:pPr>
              <w:pStyle w:val="19"/>
              <w:ind w:left="0" w:leftChars="0"/>
              <w:rPr>
                <w:rFonts w:hint="eastAsia" w:ascii="宋体" w:hAnsi="宋体" w:eastAsia="宋体" w:cs="宋体"/>
                <w:color w:val="auto"/>
                <w:sz w:val="21"/>
                <w:szCs w:val="21"/>
                <w:highlight w:val="none"/>
              </w:rPr>
            </w:pPr>
          </w:p>
        </w:tc>
      </w:tr>
    </w:tbl>
    <w:p>
      <w:pPr>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代表签字或盖章，否则其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作无效标处理。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2、以上报价应与“报价明细表”中的报价相一致。</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按格式填列，不得自行更改。否则引起的不利后果由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承担。</w:t>
      </w:r>
    </w:p>
    <w:p>
      <w:pPr>
        <w:spacing w:line="360" w:lineRule="auto"/>
        <w:ind w:firstLine="480" w:firstLineChars="200"/>
        <w:rPr>
          <w:rFonts w:hint="eastAsia" w:ascii="宋体" w:hAnsi="宋体" w:eastAsia="宋体" w:cs="宋体"/>
          <w:color w:val="auto"/>
          <w:kern w:val="0"/>
          <w:sz w:val="24"/>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68" w:name="_Toc20877"/>
      <w:bookmarkStart w:id="69" w:name="_Toc11620"/>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（全称并加盖公章）：</w:t>
      </w:r>
      <w:bookmarkEnd w:id="68"/>
      <w:bookmarkEnd w:id="69"/>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u w:val="single"/>
        </w:rPr>
      </w:pPr>
      <w:bookmarkStart w:id="70" w:name="_Toc625"/>
      <w:bookmarkStart w:id="71" w:name="_Toc12222"/>
      <w:r>
        <w:rPr>
          <w:rFonts w:hint="eastAsia" w:ascii="宋体" w:hAnsi="宋体" w:eastAsia="宋体" w:cs="宋体"/>
          <w:color w:val="auto"/>
          <w:szCs w:val="21"/>
          <w:highlight w:val="none"/>
        </w:rPr>
        <w:t>法定代表人或其委托代理人（签字）：</w:t>
      </w:r>
      <w:bookmarkEnd w:id="70"/>
      <w:bookmarkEnd w:id="71"/>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Cs w:val="21"/>
          <w:highlight w:val="none"/>
        </w:rPr>
      </w:pPr>
      <w:bookmarkStart w:id="72" w:name="_Toc9950"/>
      <w:bookmarkStart w:id="73" w:name="_Toc1330"/>
      <w:r>
        <w:rPr>
          <w:rFonts w:hint="eastAsia" w:ascii="宋体" w:hAnsi="宋体" w:eastAsia="宋体" w:cs="宋体"/>
          <w:color w:val="auto"/>
          <w:szCs w:val="21"/>
          <w:highlight w:val="none"/>
        </w:rPr>
        <w:t>年  月  日</w:t>
      </w:r>
      <w:bookmarkEnd w:id="72"/>
      <w:bookmarkEnd w:id="73"/>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bookmarkEnd w:id="48"/>
    <w:bookmarkEnd w:id="49"/>
    <w:p>
      <w:pPr>
        <w:pStyle w:val="2"/>
        <w:spacing w:before="20" w:after="20"/>
        <w:rPr>
          <w:rFonts w:hint="eastAsia" w:ascii="宋体" w:hAnsi="宋体" w:eastAsia="宋体" w:cs="宋体"/>
          <w:color w:val="auto"/>
          <w:highlight w:val="none"/>
          <w:lang w:eastAsia="zh-CN"/>
        </w:rPr>
      </w:pPr>
      <w:bookmarkStart w:id="74" w:name="_Toc24984"/>
      <w:bookmarkStart w:id="75" w:name="_Toc22004"/>
      <w:r>
        <w:rPr>
          <w:rFonts w:hint="eastAsia" w:ascii="宋体" w:hAnsi="宋体" w:eastAsia="宋体" w:cs="宋体"/>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w:t>
      </w:r>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金额单位：人民币（元）</w:t>
      </w:r>
    </w:p>
    <w:tbl>
      <w:tblPr>
        <w:tblStyle w:val="33"/>
        <w:tblW w:w="830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lang w:val="en-US" w:eastAsia="zh-CN"/>
              </w:rPr>
              <w:t>磋商</w:t>
            </w:r>
            <w:r>
              <w:rPr>
                <w:rFonts w:hint="eastAsia" w:ascii="宋体" w:hAnsi="宋体" w:cs="宋体"/>
                <w:color w:val="auto"/>
                <w:spacing w:val="20"/>
                <w:kern w:val="0"/>
                <w:sz w:val="24"/>
                <w:highlight w:val="none"/>
              </w:rPr>
              <w:t>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napToGrid w:val="0"/>
        <w:spacing w:before="50" w:after="50"/>
        <w:ind w:left="-3" w:leftChars="-72" w:right="-817" w:rightChars="-389" w:hanging="148" w:hangingChars="62"/>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年    月    日</w:t>
      </w:r>
    </w:p>
    <w:p>
      <w:pPr>
        <w:pStyle w:val="2"/>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76" w:name="_Toc226"/>
      <w:bookmarkStart w:id="77" w:name="_Toc15804"/>
      <w:r>
        <w:rPr>
          <w:rFonts w:hint="eastAsia" w:ascii="宋体" w:hAnsi="宋体" w:eastAsia="宋体" w:cs="宋体"/>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lang w:val="en-US" w:eastAsia="zh-CN"/>
        </w:rPr>
        <w:t xml:space="preserve"> </w:t>
      </w:r>
    </w:p>
    <w:tbl>
      <w:tblPr>
        <w:tblStyle w:val="34"/>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712"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2114"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采购</w:t>
            </w:r>
            <w:r>
              <w:rPr>
                <w:rFonts w:hint="eastAsia" w:ascii="宋体" w:hAnsi="宋体" w:eastAsia="宋体" w:cs="宋体"/>
                <w:color w:val="auto"/>
                <w:kern w:val="0"/>
                <w:sz w:val="24"/>
                <w:highlight w:val="none"/>
              </w:rPr>
              <w:t>文件要求</w:t>
            </w:r>
          </w:p>
        </w:tc>
        <w:tc>
          <w:tcPr>
            <w:tcW w:w="2273"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eastAsia="zh-CN"/>
              </w:rPr>
              <w:t>响应文件</w:t>
            </w:r>
            <w:r>
              <w:rPr>
                <w:rFonts w:hint="eastAsia" w:ascii="宋体" w:hAnsi="宋体" w:eastAsia="宋体" w:cs="宋体"/>
                <w:color w:val="auto"/>
                <w:kern w:val="0"/>
                <w:sz w:val="24"/>
                <w:highlight w:val="none"/>
              </w:rPr>
              <w:t>响应</w:t>
            </w:r>
          </w:p>
        </w:tc>
        <w:tc>
          <w:tcPr>
            <w:tcW w:w="195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color w:val="auto"/>
                <w:sz w:val="24"/>
                <w:highlight w:val="none"/>
              </w:rPr>
            </w:pPr>
          </w:p>
        </w:tc>
        <w:tc>
          <w:tcPr>
            <w:tcW w:w="1952"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712" w:type="dxa"/>
            <w:vAlign w:val="center"/>
          </w:tcPr>
          <w:p>
            <w:pPr>
              <w:jc w:val="center"/>
              <w:rPr>
                <w:rFonts w:hint="eastAsia" w:ascii="宋体" w:hAnsi="宋体" w:eastAsia="宋体" w:cs="宋体"/>
                <w:color w:val="auto"/>
                <w:sz w:val="24"/>
                <w:highlight w:val="none"/>
              </w:rPr>
            </w:pPr>
          </w:p>
        </w:tc>
        <w:tc>
          <w:tcPr>
            <w:tcW w:w="2114" w:type="dxa"/>
            <w:vAlign w:val="center"/>
          </w:tcPr>
          <w:p>
            <w:pPr>
              <w:jc w:val="center"/>
              <w:rPr>
                <w:rFonts w:hint="eastAsia" w:ascii="宋体" w:hAnsi="宋体" w:eastAsia="宋体" w:cs="宋体"/>
                <w:bCs/>
                <w:color w:val="auto"/>
                <w:sz w:val="24"/>
                <w:highlight w:val="none"/>
              </w:rPr>
            </w:pPr>
          </w:p>
        </w:tc>
        <w:tc>
          <w:tcPr>
            <w:tcW w:w="2273" w:type="dxa"/>
            <w:vAlign w:val="center"/>
          </w:tcPr>
          <w:p>
            <w:pPr>
              <w:jc w:val="center"/>
              <w:rPr>
                <w:rFonts w:hint="eastAsia" w:ascii="宋体" w:hAnsi="宋体" w:eastAsia="宋体" w:cs="宋体"/>
                <w:bCs/>
                <w:color w:val="auto"/>
                <w:sz w:val="24"/>
                <w:highlight w:val="none"/>
              </w:rPr>
            </w:pPr>
          </w:p>
        </w:tc>
        <w:tc>
          <w:tcPr>
            <w:tcW w:w="1952" w:type="dxa"/>
            <w:vAlign w:val="center"/>
          </w:tcPr>
          <w:p>
            <w:pPr>
              <w:jc w:val="center"/>
              <w:rPr>
                <w:rFonts w:hint="eastAsia" w:ascii="宋体" w:hAnsi="宋体" w:eastAsia="宋体" w:cs="宋体"/>
                <w:bCs/>
                <w:color w:val="auto"/>
                <w:sz w:val="24"/>
                <w:highlight w:val="none"/>
              </w:rPr>
            </w:pPr>
          </w:p>
        </w:tc>
      </w:tr>
    </w:tbl>
    <w:p>
      <w:pPr>
        <w:rPr>
          <w:rFonts w:hint="eastAsia" w:ascii="宋体" w:hAnsi="宋体" w:eastAsia="宋体" w:cs="宋体"/>
          <w:b/>
          <w:color w:val="auto"/>
          <w:kern w:val="0"/>
          <w:sz w:val="24"/>
          <w:highlight w:val="none"/>
        </w:rPr>
      </w:pPr>
    </w:p>
    <w:p>
      <w:pPr>
        <w:widowControl/>
        <w:wordWrap w:val="0"/>
        <w:spacing w:before="50" w:after="50" w:line="48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注：</w:t>
      </w:r>
      <w:r>
        <w:rPr>
          <w:rFonts w:hint="eastAsia" w:ascii="宋体" w:hAnsi="宋体" w:eastAsia="宋体" w:cs="宋体"/>
          <w:bCs/>
          <w:color w:val="auto"/>
          <w:kern w:val="0"/>
          <w:sz w:val="24"/>
          <w:highlight w:val="none"/>
          <w:lang w:eastAsia="zh-CN"/>
        </w:rPr>
        <w:t>供应商</w:t>
      </w:r>
      <w:r>
        <w:rPr>
          <w:rFonts w:hint="eastAsia" w:ascii="宋体" w:hAnsi="宋体" w:eastAsia="宋体" w:cs="宋体"/>
          <w:bCs/>
          <w:color w:val="auto"/>
          <w:kern w:val="0"/>
          <w:sz w:val="24"/>
          <w:highlight w:val="none"/>
        </w:rPr>
        <w:t>必须如实完整填写表格， “偏离情况”是指“正偏离”、“负偏离”或“无偏离”。</w:t>
      </w:r>
    </w:p>
    <w:p>
      <w:pPr>
        <w:pStyle w:val="52"/>
        <w:rPr>
          <w:rFonts w:hint="eastAsia" w:ascii="宋体" w:hAnsi="宋体" w:eastAsia="宋体" w:cs="宋体"/>
          <w:bCs/>
          <w:color w:val="auto"/>
          <w:kern w:val="0"/>
          <w:highlight w:val="none"/>
        </w:rPr>
      </w:pPr>
    </w:p>
    <w:p>
      <w:pPr>
        <w:pStyle w:val="52"/>
        <w:rPr>
          <w:rFonts w:hint="eastAsia" w:ascii="宋体" w:hAnsi="宋体" w:eastAsia="宋体" w:cs="宋体"/>
          <w:bCs/>
          <w:color w:val="auto"/>
          <w:kern w:val="0"/>
          <w:highlight w:val="none"/>
        </w:rPr>
      </w:pPr>
    </w:p>
    <w:p>
      <w:pPr>
        <w:pStyle w:val="52"/>
        <w:rPr>
          <w:rFonts w:hint="eastAsia" w:ascii="宋体" w:hAnsi="宋体" w:eastAsia="宋体" w:cs="宋体"/>
          <w:bCs/>
          <w:color w:val="auto"/>
          <w:kern w:val="0"/>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代表签字：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widowControl/>
        <w:wordWrap w:val="0"/>
        <w:snapToGrid w:val="0"/>
        <w:spacing w:line="460" w:lineRule="exact"/>
        <w:jc w:val="left"/>
        <w:outlineLvl w:val="0"/>
        <w:rPr>
          <w:rFonts w:hint="eastAsia" w:ascii="宋体" w:hAnsi="宋体" w:eastAsia="宋体" w:cs="宋体"/>
          <w:b/>
          <w:color w:val="auto"/>
          <w:sz w:val="28"/>
          <w:highlight w:val="none"/>
          <w:lang w:eastAsia="zh-CN"/>
        </w:rPr>
      </w:pPr>
      <w:bookmarkStart w:id="78" w:name="_Toc29960"/>
      <w:bookmarkStart w:id="79" w:name="_Toc20420"/>
      <w:r>
        <w:rPr>
          <w:rFonts w:hint="eastAsia" w:ascii="宋体" w:hAnsi="宋体" w:eastAsia="宋体" w:cs="宋体"/>
          <w:b/>
          <w:color w:val="auto"/>
          <w:sz w:val="28"/>
          <w:highlight w:val="none"/>
        </w:rPr>
        <w:t>附件6               商务响应</w:t>
      </w:r>
      <w:bookmarkEnd w:id="78"/>
      <w:bookmarkEnd w:id="79"/>
      <w:r>
        <w:rPr>
          <w:rFonts w:hint="eastAsia" w:ascii="宋体" w:hAnsi="宋体" w:eastAsia="宋体" w:cs="宋体"/>
          <w:b/>
          <w:color w:val="auto"/>
          <w:sz w:val="28"/>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b/>
          <w:color w:val="auto"/>
          <w:kern w:val="0"/>
          <w:sz w:val="32"/>
          <w:szCs w:val="32"/>
          <w:highlight w:val="none"/>
          <w:lang w:val="en-US" w:eastAsia="zh-CN"/>
        </w:rPr>
      </w:pPr>
      <w:r>
        <w:rPr>
          <w:rFonts w:hint="eastAsia" w:ascii="宋体" w:hAnsi="宋体" w:eastAsia="宋体" w:cs="宋体"/>
          <w:color w:val="auto"/>
          <w:kern w:val="0"/>
          <w:sz w:val="24"/>
          <w:highlight w:val="none"/>
          <w:lang w:eastAsia="zh-CN"/>
        </w:rPr>
        <w:t xml:space="preserve"> </w:t>
      </w:r>
      <w:r>
        <w:rPr>
          <w:rFonts w:hint="eastAsia" w:ascii="宋体" w:hAnsi="宋体" w:eastAsia="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hint="eastAsia" w:ascii="宋体" w:hAnsi="宋体" w:eastAsia="宋体" w:cs="宋体"/>
          <w:b/>
          <w:color w:val="auto"/>
          <w:kern w:val="0"/>
          <w:sz w:val="32"/>
          <w:szCs w:val="32"/>
          <w:highlight w:val="none"/>
        </w:rPr>
      </w:pPr>
    </w:p>
    <w:p>
      <w:pPr>
        <w:widowControl/>
        <w:wordWrap w:val="0"/>
        <w:spacing w:line="460" w:lineRule="exact"/>
        <w:jc w:val="left"/>
        <w:outlineLvl w:val="9"/>
        <w:rPr>
          <w:rFonts w:hint="eastAsia" w:ascii="宋体" w:hAnsi="宋体" w:eastAsia="宋体" w:cs="宋体"/>
          <w:b/>
          <w:color w:val="auto"/>
          <w:kern w:val="0"/>
          <w:sz w:val="24"/>
          <w:highlight w:val="none"/>
        </w:rPr>
      </w:pPr>
    </w:p>
    <w:p>
      <w:pPr>
        <w:widowControl/>
        <w:wordWrap w:val="0"/>
        <w:spacing w:line="460" w:lineRule="exact"/>
        <w:jc w:val="left"/>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b/>
          <w:color w:val="auto"/>
          <w:kern w:val="0"/>
          <w:sz w:val="24"/>
          <w:highlight w:val="none"/>
        </w:rPr>
      </w:pPr>
    </w:p>
    <w:p>
      <w:pPr>
        <w:outlineLvl w:val="9"/>
        <w:rPr>
          <w:rFonts w:hint="eastAsia" w:ascii="宋体" w:hAnsi="宋体" w:eastAsia="宋体" w:cs="宋体"/>
          <w:color w:val="auto"/>
        </w:rPr>
      </w:pPr>
    </w:p>
    <w:p>
      <w:pPr>
        <w:outlineLvl w:val="9"/>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pStyle w:val="30"/>
        <w:rPr>
          <w:rFonts w:hint="eastAsia" w:ascii="宋体" w:hAnsi="宋体" w:eastAsia="宋体" w:cs="宋体"/>
          <w:color w:val="auto"/>
        </w:rPr>
      </w:pPr>
    </w:p>
    <w:p>
      <w:pPr>
        <w:widowControl/>
        <w:wordWrap w:val="0"/>
        <w:spacing w:line="460" w:lineRule="exact"/>
        <w:jc w:val="left"/>
        <w:outlineLvl w:val="0"/>
        <w:rPr>
          <w:rFonts w:hint="eastAsia" w:ascii="宋体" w:hAnsi="宋体" w:eastAsia="宋体" w:cs="宋体"/>
          <w:b/>
          <w:color w:val="auto"/>
          <w:sz w:val="28"/>
          <w:highlight w:val="none"/>
        </w:rPr>
      </w:pPr>
      <w:bookmarkStart w:id="80" w:name="_Toc31526"/>
      <w:bookmarkStart w:id="81" w:name="_Toc28621"/>
      <w:r>
        <w:rPr>
          <w:rFonts w:hint="eastAsia" w:ascii="宋体" w:hAnsi="宋体" w:eastAsia="宋体" w:cs="宋体"/>
          <w:b/>
          <w:color w:val="auto"/>
          <w:sz w:val="28"/>
          <w:highlight w:val="none"/>
        </w:rPr>
        <w:t>附件7               法定代表人身份证明（格式）</w:t>
      </w:r>
      <w:bookmarkEnd w:id="80"/>
      <w:bookmarkEnd w:id="81"/>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w:t>
      </w:r>
      <w:r>
        <w:rPr>
          <w:rFonts w:hint="eastAsia" w:ascii="宋体" w:hAnsi="宋体" w:eastAsia="宋体" w:cs="宋体"/>
          <w:color w:val="auto"/>
          <w:kern w:val="0"/>
          <w:sz w:val="24"/>
          <w:szCs w:val="20"/>
          <w:highlight w:val="none"/>
          <w:lang w:eastAsia="zh-CN"/>
        </w:rPr>
        <w:t>供应商</w:t>
      </w:r>
      <w:r>
        <w:rPr>
          <w:rFonts w:hint="eastAsia" w:ascii="宋体" w:hAnsi="宋体" w:eastAsia="宋体" w:cs="宋体"/>
          <w:color w:val="auto"/>
          <w:kern w:val="0"/>
          <w:sz w:val="24"/>
          <w:szCs w:val="20"/>
          <w:highlight w:val="none"/>
        </w:rPr>
        <w:t>名称）的法定代表人。</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widowControl/>
              <w:spacing w:line="480" w:lineRule="exact"/>
              <w:jc w:val="left"/>
              <w:rPr>
                <w:rFonts w:hint="eastAsia" w:ascii="宋体" w:hAnsi="宋体" w:eastAsia="宋体" w:cs="宋体"/>
                <w:color w:val="auto"/>
                <w:kern w:val="0"/>
                <w:sz w:val="24"/>
                <w:highlight w:val="none"/>
              </w:rPr>
            </w:pPr>
          </w:p>
          <w:p>
            <w:pPr>
              <w:widowControl/>
              <w:spacing w:line="480" w:lineRule="exact"/>
              <w:jc w:val="left"/>
              <w:rPr>
                <w:rFonts w:hint="eastAsia" w:ascii="宋体" w:hAnsi="宋体" w:eastAsia="宋体" w:cs="宋体"/>
                <w:color w:val="auto"/>
                <w:kern w:val="0"/>
                <w:sz w:val="24"/>
                <w:highlight w:val="none"/>
              </w:rPr>
            </w:pPr>
          </w:p>
        </w:tc>
      </w:tr>
    </w:tbl>
    <w:p>
      <w:pPr>
        <w:widowControl/>
        <w:wordWrap w:val="0"/>
        <w:spacing w:beforeLines="100" w:afterLines="100" w:line="480" w:lineRule="exact"/>
        <w:jc w:val="center"/>
        <w:rPr>
          <w:rFonts w:hint="eastAsia" w:ascii="宋体" w:hAnsi="宋体" w:eastAsia="宋体" w:cs="宋体"/>
          <w:b/>
          <w:color w:val="auto"/>
          <w:kern w:val="0"/>
          <w:sz w:val="24"/>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napToGrid w:val="0"/>
        <w:spacing w:line="460" w:lineRule="exact"/>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2"/>
        <w:rPr>
          <w:rFonts w:hint="eastAsia" w:ascii="宋体" w:hAnsi="宋体" w:eastAsia="宋体" w:cs="宋体"/>
          <w:color w:val="auto"/>
          <w:highlight w:val="none"/>
        </w:rPr>
      </w:pPr>
    </w:p>
    <w:p>
      <w:pPr>
        <w:widowControl/>
        <w:wordWrap w:val="0"/>
        <w:spacing w:line="460" w:lineRule="exact"/>
        <w:ind w:firstLine="365" w:firstLineChars="130"/>
        <w:jc w:val="left"/>
        <w:outlineLvl w:val="0"/>
        <w:rPr>
          <w:rFonts w:hint="eastAsia" w:ascii="宋体" w:hAnsi="宋体" w:eastAsia="宋体" w:cs="宋体"/>
          <w:b/>
          <w:color w:val="auto"/>
          <w:sz w:val="28"/>
          <w:highlight w:val="none"/>
        </w:rPr>
      </w:pPr>
      <w:bookmarkStart w:id="82" w:name="_Toc30519"/>
      <w:bookmarkStart w:id="83" w:name="_Toc13976"/>
      <w:r>
        <w:rPr>
          <w:rFonts w:hint="eastAsia" w:ascii="宋体" w:hAnsi="宋体" w:eastAsia="宋体" w:cs="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w:t>
      </w:r>
      <w:r>
        <w:rPr>
          <w:rFonts w:hint="eastAsia" w:ascii="宋体" w:hAnsi="宋体" w:cs="宋体"/>
          <w:color w:val="auto"/>
          <w:kern w:val="0"/>
          <w:sz w:val="24"/>
          <w:highlight w:val="none"/>
          <w:lang w:val="en-US" w:eastAsia="zh-CN"/>
        </w:rPr>
        <w:t>磋商</w:t>
      </w:r>
      <w:r>
        <w:rPr>
          <w:rFonts w:hint="eastAsia" w:ascii="宋体" w:hAnsi="宋体" w:eastAsia="宋体" w:cs="宋体"/>
          <w:color w:val="auto"/>
          <w:kern w:val="0"/>
          <w:sz w:val="24"/>
          <w:highlight w:val="none"/>
        </w:rPr>
        <w:t>活动，并代表我方全权办理针对上述项目的</w:t>
      </w:r>
      <w:r>
        <w:rPr>
          <w:rFonts w:hint="eastAsia" w:ascii="宋体" w:hAnsi="宋体" w:cs="宋体"/>
          <w:color w:val="auto"/>
          <w:kern w:val="0"/>
          <w:sz w:val="24"/>
          <w:highlight w:val="none"/>
          <w:lang w:val="en-US" w:eastAsia="zh-CN"/>
        </w:rPr>
        <w:t>磋商</w:t>
      </w:r>
      <w:r>
        <w:rPr>
          <w:rFonts w:hint="eastAsia" w:ascii="宋体" w:hAnsi="宋体" w:eastAsia="宋体" w:cs="宋体"/>
          <w:color w:val="auto"/>
          <w:kern w:val="0"/>
          <w:sz w:val="24"/>
          <w:highlight w:val="none"/>
        </w:rPr>
        <w:t>、开标、评标、签约等具体事务和签署相关文件。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widowControl/>
        <w:wordWrap w:val="0"/>
        <w:spacing w:line="460" w:lineRule="exact"/>
        <w:ind w:firstLine="4800" w:firstLineChars="2000"/>
        <w:jc w:val="left"/>
        <w:rPr>
          <w:rFonts w:hint="eastAsia" w:ascii="宋体" w:hAnsi="宋体" w:eastAsia="宋体" w:cs="宋体"/>
          <w:color w:val="auto"/>
          <w:kern w:val="0"/>
          <w:sz w:val="24"/>
          <w:highlight w:val="none"/>
        </w:rPr>
      </w:pPr>
    </w:p>
    <w:p>
      <w:pPr>
        <w:widowControl/>
        <w:wordWrap w:val="0"/>
        <w:spacing w:line="360" w:lineRule="auto"/>
        <w:jc w:val="center"/>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widowControl/>
        <w:spacing w:line="360" w:lineRule="auto"/>
        <w:ind w:firstLine="7228" w:firstLineChars="2250"/>
        <w:jc w:val="left"/>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napToGrid w:val="0"/>
        <w:spacing w:before="156" w:after="156" w:line="360" w:lineRule="auto"/>
        <w:jc w:val="left"/>
        <w:rPr>
          <w:rFonts w:hint="eastAsia" w:ascii="宋体" w:hAnsi="宋体" w:eastAsia="宋体" w:cs="宋体"/>
          <w:b/>
          <w:color w:val="auto"/>
          <w:kern w:val="0"/>
          <w:sz w:val="24"/>
          <w:highlight w:val="none"/>
        </w:rPr>
      </w:pPr>
    </w:p>
    <w:p>
      <w:pPr>
        <w:widowControl/>
        <w:snapToGrid w:val="0"/>
        <w:spacing w:before="156" w:after="156" w:line="360" w:lineRule="auto"/>
        <w:jc w:val="left"/>
        <w:outlineLvl w:val="0"/>
        <w:rPr>
          <w:rFonts w:hint="eastAsia" w:ascii="宋体" w:hAnsi="宋体" w:eastAsia="宋体" w:cs="宋体"/>
          <w:b/>
          <w:color w:val="auto"/>
          <w:kern w:val="0"/>
          <w:sz w:val="24"/>
          <w:highlight w:val="none"/>
        </w:rPr>
      </w:pPr>
      <w:bookmarkStart w:id="84" w:name="_Toc24693"/>
      <w:bookmarkStart w:id="85" w:name="_Toc18105"/>
      <w:r>
        <w:rPr>
          <w:rFonts w:hint="eastAsia" w:ascii="宋体" w:hAnsi="宋体" w:eastAsia="宋体" w:cs="宋体"/>
          <w:b/>
          <w:color w:val="auto"/>
          <w:sz w:val="28"/>
          <w:highlight w:val="none"/>
        </w:rPr>
        <w:t>附件9               证明文件</w:t>
      </w:r>
      <w:bookmarkEnd w:id="84"/>
      <w:bookmarkEnd w:id="85"/>
    </w:p>
    <w:p>
      <w:pPr>
        <w:pStyle w:val="9"/>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9.1</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资格审查资料</w:t>
      </w:r>
    </w:p>
    <w:p>
      <w:pPr>
        <w:pStyle w:val="9"/>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9.2</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技术方案</w:t>
      </w:r>
    </w:p>
    <w:p>
      <w:pPr>
        <w:pStyle w:val="9"/>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9.3</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其他需要提供的证明材料</w:t>
      </w:r>
      <w:bookmarkStart w:id="86" w:name="_Toc17966"/>
    </w:p>
    <w:p>
      <w:pPr>
        <w:pStyle w:val="9"/>
        <w:spacing w:beforeAutospacing="0" w:afterAutospacing="0" w:line="48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ascii="宋体" w:hAnsi="宋体" w:eastAsia="宋体" w:cs="宋体"/>
          <w:bCs/>
          <w:color w:val="auto"/>
          <w:sz w:val="21"/>
          <w:szCs w:val="21"/>
          <w:highlight w:val="none"/>
          <w:lang w:val="en-US" w:eastAsia="zh-CN"/>
        </w:rPr>
        <w:t xml:space="preserve">4 </w:t>
      </w:r>
      <w:r>
        <w:rPr>
          <w:rFonts w:hint="eastAsia" w:ascii="宋体" w:hAnsi="宋体" w:eastAsia="宋体" w:cs="宋体"/>
          <w:bCs/>
          <w:color w:val="auto"/>
          <w:sz w:val="21"/>
          <w:szCs w:val="21"/>
          <w:highlight w:val="none"/>
        </w:rPr>
        <w:t>其他证明材料。</w:t>
      </w:r>
    </w:p>
    <w:p>
      <w:pPr>
        <w:pStyle w:val="9"/>
        <w:spacing w:beforeAutospacing="0" w:afterAutospacing="0" w:line="480" w:lineRule="auto"/>
        <w:ind w:firstLine="540" w:firstLineChars="224"/>
        <w:jc w:val="both"/>
        <w:rPr>
          <w:rFonts w:hint="eastAsia" w:ascii="宋体" w:hAnsi="宋体" w:eastAsia="宋体" w:cs="宋体"/>
          <w:b/>
          <w:bCs/>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pStyle w:val="9"/>
        <w:spacing w:beforeAutospacing="0" w:afterAutospacing="0" w:line="480" w:lineRule="auto"/>
        <w:ind w:firstLine="540" w:firstLineChars="224"/>
        <w:jc w:val="both"/>
        <w:rPr>
          <w:rFonts w:hint="eastAsia" w:ascii="宋体" w:hAnsi="宋体" w:eastAsia="宋体" w:cs="宋体"/>
          <w:b/>
          <w:bCs/>
          <w:color w:val="auto"/>
          <w:highlight w:val="none"/>
        </w:rPr>
      </w:pPr>
    </w:p>
    <w:p>
      <w:pPr>
        <w:widowControl/>
        <w:snapToGrid w:val="0"/>
        <w:spacing w:line="360" w:lineRule="auto"/>
        <w:jc w:val="center"/>
        <w:outlineLvl w:val="0"/>
        <w:rPr>
          <w:rFonts w:hint="eastAsia" w:ascii="宋体" w:hAnsi="宋体" w:eastAsia="宋体" w:cs="宋体"/>
          <w:b/>
          <w:color w:val="auto"/>
          <w:kern w:val="0"/>
          <w:sz w:val="28"/>
          <w:szCs w:val="28"/>
          <w:highlight w:val="none"/>
        </w:rPr>
      </w:pPr>
      <w:bookmarkStart w:id="87" w:name="_Toc12888"/>
      <w:bookmarkStart w:id="88" w:name="_Toc13726"/>
      <w:r>
        <w:rPr>
          <w:rFonts w:hint="eastAsia" w:ascii="宋体" w:hAnsi="宋体" w:eastAsia="宋体" w:cs="宋体"/>
          <w:b/>
          <w:color w:val="auto"/>
          <w:kern w:val="0"/>
          <w:sz w:val="28"/>
          <w:szCs w:val="28"/>
          <w:highlight w:val="none"/>
        </w:rPr>
        <w:t xml:space="preserve">附件10        </w:t>
      </w:r>
      <w:bookmarkEnd w:id="86"/>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7"/>
      <w:bookmarkEnd w:id="88"/>
    </w:p>
    <w:p>
      <w:pPr>
        <w:bidi w:val="0"/>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w:t>
      </w:r>
      <w:r>
        <w:rPr>
          <w:rFonts w:hint="eastAsia" w:ascii="宋体" w:hAnsi="宋体" w:eastAsia="宋体" w:cs="宋体"/>
          <w:color w:val="auto"/>
          <w:sz w:val="24"/>
          <w:szCs w:val="24"/>
          <w:lang w:eastAsia="zh-CN"/>
        </w:rPr>
        <w:t>响应文件</w:t>
      </w:r>
      <w:r>
        <w:rPr>
          <w:rFonts w:hint="eastAsia" w:ascii="宋体" w:hAnsi="宋体" w:eastAsia="宋体" w:cs="宋体"/>
          <w:color w:val="auto"/>
          <w:sz w:val="24"/>
          <w:szCs w:val="24"/>
        </w:rPr>
        <w:t>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hint="eastAsia" w:ascii="宋体" w:hAnsi="宋体" w:eastAsia="宋体" w:cs="宋体"/>
          <w:color w:val="auto"/>
          <w:kern w:val="0"/>
          <w:szCs w:val="21"/>
          <w:highlight w:val="none"/>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宋体" w:hAnsi="宋体" w:eastAsia="宋体" w:cs="宋体"/>
          <w:sz w:val="24"/>
          <w:szCs w:val="24"/>
          <w:lang w:val="en-US" w:eastAsia="zh-CN"/>
        </w:rPr>
        <w:t>记录</w:t>
      </w:r>
      <w:r>
        <w:rPr>
          <w:rFonts w:hint="eastAsia" w:ascii="宋体" w:hAnsi="宋体" w:eastAsia="宋体"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注：1.供应商须在投标（响应性）文件中按此模板提供承诺函，未提供视为未实质性响应采购文件要求，按无效投标（响应）处理。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rPr>
      </w:pPr>
    </w:p>
    <w:p>
      <w:pPr>
        <w:pStyle w:val="32"/>
        <w:rPr>
          <w:rFonts w:hint="eastAsia" w:ascii="宋体" w:hAnsi="宋体" w:eastAsia="宋体" w:cs="宋体"/>
          <w:color w:val="auto"/>
        </w:rPr>
      </w:pPr>
    </w:p>
    <w:p>
      <w:pPr>
        <w:widowControl/>
        <w:snapToGrid w:val="0"/>
        <w:spacing w:line="360" w:lineRule="auto"/>
        <w:jc w:val="center"/>
        <w:outlineLvl w:val="0"/>
        <w:rPr>
          <w:rFonts w:hint="eastAsia" w:ascii="宋体" w:hAnsi="宋体" w:eastAsia="宋体" w:cs="宋体"/>
          <w:b/>
          <w:color w:val="auto"/>
          <w:kern w:val="0"/>
          <w:sz w:val="24"/>
          <w:highlight w:val="none"/>
        </w:rPr>
      </w:pPr>
      <w:bookmarkStart w:id="89" w:name="_Toc25094"/>
      <w:bookmarkStart w:id="90" w:name="_Toc23394"/>
      <w:r>
        <w:rPr>
          <w:rFonts w:hint="eastAsia" w:ascii="宋体" w:hAnsi="宋体" w:eastAsia="宋体" w:cs="宋体"/>
          <w:b/>
          <w:color w:val="auto"/>
          <w:kern w:val="0"/>
          <w:sz w:val="24"/>
          <w:highlight w:val="none"/>
          <w:lang w:eastAsia="zh-CN"/>
        </w:rPr>
        <w:t>供应商</w:t>
      </w:r>
      <w:r>
        <w:rPr>
          <w:rFonts w:hint="eastAsia" w:ascii="宋体" w:hAnsi="宋体" w:eastAsia="宋体" w:cs="宋体"/>
          <w:b/>
          <w:color w:val="auto"/>
          <w:kern w:val="0"/>
          <w:sz w:val="24"/>
          <w:highlight w:val="none"/>
        </w:rPr>
        <w:t>认为有必要的其他资料</w:t>
      </w:r>
      <w:bookmarkEnd w:id="89"/>
      <w:bookmarkEnd w:id="90"/>
    </w:p>
    <w:p>
      <w:pPr>
        <w:widowControl/>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认为应当附加的其它内容，以充分证明其</w:t>
      </w:r>
      <w:r>
        <w:rPr>
          <w:rFonts w:hint="eastAsia" w:ascii="宋体" w:hAnsi="宋体" w:cs="宋体"/>
          <w:color w:val="auto"/>
          <w:kern w:val="0"/>
          <w:szCs w:val="21"/>
          <w:highlight w:val="none"/>
          <w:lang w:val="en-US" w:eastAsia="zh-CN"/>
        </w:rPr>
        <w:t>磋商</w:t>
      </w:r>
      <w:r>
        <w:rPr>
          <w:rFonts w:hint="eastAsia" w:ascii="宋体" w:hAnsi="宋体" w:eastAsia="宋体" w:cs="宋体"/>
          <w:color w:val="auto"/>
          <w:kern w:val="0"/>
          <w:szCs w:val="21"/>
          <w:highlight w:val="none"/>
        </w:rPr>
        <w:t>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未能提供相关证明文件，将有可能导致废标或者无法得分。</w:t>
      </w: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both"/>
        <w:rPr>
          <w:rFonts w:hint="eastAsia" w:ascii="宋体" w:hAnsi="宋体" w:eastAsia="宋体" w:cs="宋体"/>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color w:val="auto"/>
        <w:lang w:eastAsia="zh-CN"/>
      </w:rPr>
      <w:t>3号楼、4号楼和妇女儿童医院病房楼电梯节能装置采购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eastAsia="宋体"/>
        <w:lang w:val="en-US" w:eastAsia="zh-CN"/>
      </w:rPr>
    </w:pPr>
    <w:r>
      <w:rPr>
        <w:rFonts w:hint="eastAsia" w:ascii="宋体" w:hAnsi="宋体" w:cs="宋体"/>
        <w:color w:val="auto"/>
        <w:lang w:eastAsia="zh-CN"/>
      </w:rPr>
      <w:t>3号楼、4号楼和妇女儿童医院病房楼电梯节能装置采购</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4527E0"/>
    <w:rsid w:val="01525212"/>
    <w:rsid w:val="01534A5C"/>
    <w:rsid w:val="01564054"/>
    <w:rsid w:val="01594D85"/>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730DD"/>
    <w:rsid w:val="03BD2BCD"/>
    <w:rsid w:val="03CB209F"/>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96E80"/>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BF6D42"/>
    <w:rsid w:val="09D206F0"/>
    <w:rsid w:val="0A143AA2"/>
    <w:rsid w:val="0A2E3537"/>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DEF5376"/>
    <w:rsid w:val="0E0C0D4C"/>
    <w:rsid w:val="0E115DA1"/>
    <w:rsid w:val="0E162D6D"/>
    <w:rsid w:val="0E541CA2"/>
    <w:rsid w:val="0E594756"/>
    <w:rsid w:val="0E95596D"/>
    <w:rsid w:val="0EAE6205"/>
    <w:rsid w:val="0EAE6579"/>
    <w:rsid w:val="0EAF71BF"/>
    <w:rsid w:val="0ECE6257"/>
    <w:rsid w:val="0EE4129D"/>
    <w:rsid w:val="0F171032"/>
    <w:rsid w:val="0F1B6879"/>
    <w:rsid w:val="0F335E69"/>
    <w:rsid w:val="0F3D59C9"/>
    <w:rsid w:val="0F516D5A"/>
    <w:rsid w:val="0F565B36"/>
    <w:rsid w:val="0F821E7D"/>
    <w:rsid w:val="0FE7592C"/>
    <w:rsid w:val="0FFD20F0"/>
    <w:rsid w:val="103E6E57"/>
    <w:rsid w:val="1041497B"/>
    <w:rsid w:val="10425FF6"/>
    <w:rsid w:val="107B44C6"/>
    <w:rsid w:val="109010E6"/>
    <w:rsid w:val="10B271F4"/>
    <w:rsid w:val="10C8275C"/>
    <w:rsid w:val="10E03539"/>
    <w:rsid w:val="10E82D1F"/>
    <w:rsid w:val="10EE5C94"/>
    <w:rsid w:val="113329E7"/>
    <w:rsid w:val="113F294C"/>
    <w:rsid w:val="11437C85"/>
    <w:rsid w:val="1166372C"/>
    <w:rsid w:val="11700D10"/>
    <w:rsid w:val="1178125A"/>
    <w:rsid w:val="1196056D"/>
    <w:rsid w:val="11A649F5"/>
    <w:rsid w:val="11D34654"/>
    <w:rsid w:val="11DE0FD1"/>
    <w:rsid w:val="12010480"/>
    <w:rsid w:val="120E707F"/>
    <w:rsid w:val="127A7D1C"/>
    <w:rsid w:val="12836D8B"/>
    <w:rsid w:val="12AB0349"/>
    <w:rsid w:val="12CD57F1"/>
    <w:rsid w:val="12CE7AFA"/>
    <w:rsid w:val="12D67466"/>
    <w:rsid w:val="13272A5D"/>
    <w:rsid w:val="13493108"/>
    <w:rsid w:val="13733928"/>
    <w:rsid w:val="137C7BCD"/>
    <w:rsid w:val="13845EC9"/>
    <w:rsid w:val="139C16C9"/>
    <w:rsid w:val="13B63CE1"/>
    <w:rsid w:val="13BC6684"/>
    <w:rsid w:val="13C72B3A"/>
    <w:rsid w:val="13DF575E"/>
    <w:rsid w:val="13EE3A98"/>
    <w:rsid w:val="13FF3EF7"/>
    <w:rsid w:val="142123F7"/>
    <w:rsid w:val="142452D2"/>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4B6EC3"/>
    <w:rsid w:val="16510F12"/>
    <w:rsid w:val="166448F9"/>
    <w:rsid w:val="16647475"/>
    <w:rsid w:val="1677211D"/>
    <w:rsid w:val="167954F9"/>
    <w:rsid w:val="16A060BA"/>
    <w:rsid w:val="16A57EAF"/>
    <w:rsid w:val="16AC6E3F"/>
    <w:rsid w:val="16C872D5"/>
    <w:rsid w:val="16D54FA3"/>
    <w:rsid w:val="16D84D9F"/>
    <w:rsid w:val="16E94D3E"/>
    <w:rsid w:val="170D06E0"/>
    <w:rsid w:val="17332185"/>
    <w:rsid w:val="17475951"/>
    <w:rsid w:val="179F2E61"/>
    <w:rsid w:val="17C227C0"/>
    <w:rsid w:val="17E14B35"/>
    <w:rsid w:val="18097740"/>
    <w:rsid w:val="185D3C42"/>
    <w:rsid w:val="185F38AF"/>
    <w:rsid w:val="18AD1BEB"/>
    <w:rsid w:val="18B3004A"/>
    <w:rsid w:val="18B96080"/>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676A64"/>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6A2129"/>
    <w:rsid w:val="1C7971B7"/>
    <w:rsid w:val="1CD402EC"/>
    <w:rsid w:val="1CF02333"/>
    <w:rsid w:val="1D0C33A2"/>
    <w:rsid w:val="1D113E6E"/>
    <w:rsid w:val="1D114E5E"/>
    <w:rsid w:val="1D1F0050"/>
    <w:rsid w:val="1D2222DC"/>
    <w:rsid w:val="1D5B3CDE"/>
    <w:rsid w:val="1D6E2950"/>
    <w:rsid w:val="1D98209B"/>
    <w:rsid w:val="1DA23746"/>
    <w:rsid w:val="1DAA14B9"/>
    <w:rsid w:val="1DD04513"/>
    <w:rsid w:val="1DFB4FA7"/>
    <w:rsid w:val="1E4C5F8A"/>
    <w:rsid w:val="1E656063"/>
    <w:rsid w:val="1E6B06A5"/>
    <w:rsid w:val="1E7F7D9E"/>
    <w:rsid w:val="1E840DA4"/>
    <w:rsid w:val="1EA5444C"/>
    <w:rsid w:val="1EB350EF"/>
    <w:rsid w:val="1EC21749"/>
    <w:rsid w:val="1EC52BD7"/>
    <w:rsid w:val="1EDC730E"/>
    <w:rsid w:val="1EEB7C4E"/>
    <w:rsid w:val="1F171B83"/>
    <w:rsid w:val="1F2D491A"/>
    <w:rsid w:val="1F7369C7"/>
    <w:rsid w:val="1F94547B"/>
    <w:rsid w:val="1FA8079A"/>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99774B"/>
    <w:rsid w:val="22A338AB"/>
    <w:rsid w:val="22AD37A2"/>
    <w:rsid w:val="22B31E8A"/>
    <w:rsid w:val="22C735BD"/>
    <w:rsid w:val="23122833"/>
    <w:rsid w:val="23223458"/>
    <w:rsid w:val="23225D32"/>
    <w:rsid w:val="23357BE6"/>
    <w:rsid w:val="2342574E"/>
    <w:rsid w:val="2377331D"/>
    <w:rsid w:val="237D43DE"/>
    <w:rsid w:val="23940114"/>
    <w:rsid w:val="23A91ECD"/>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8B157D"/>
    <w:rsid w:val="28C2534B"/>
    <w:rsid w:val="28C5525A"/>
    <w:rsid w:val="28D14B96"/>
    <w:rsid w:val="29020C46"/>
    <w:rsid w:val="290240C7"/>
    <w:rsid w:val="29274EE0"/>
    <w:rsid w:val="2969197F"/>
    <w:rsid w:val="29746E87"/>
    <w:rsid w:val="297C03C2"/>
    <w:rsid w:val="299573AB"/>
    <w:rsid w:val="29BE5BD0"/>
    <w:rsid w:val="29C01572"/>
    <w:rsid w:val="29E74CE2"/>
    <w:rsid w:val="2A144611"/>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BA7431"/>
    <w:rsid w:val="2DD90B7B"/>
    <w:rsid w:val="2DDD3FC1"/>
    <w:rsid w:val="2DF701D8"/>
    <w:rsid w:val="2DF970A1"/>
    <w:rsid w:val="2E085834"/>
    <w:rsid w:val="2E1034F8"/>
    <w:rsid w:val="2E505773"/>
    <w:rsid w:val="2E742F70"/>
    <w:rsid w:val="2EC368C6"/>
    <w:rsid w:val="2EDC2A13"/>
    <w:rsid w:val="2EFD7DB9"/>
    <w:rsid w:val="2F1A081D"/>
    <w:rsid w:val="2F1E3DC0"/>
    <w:rsid w:val="2F3112DE"/>
    <w:rsid w:val="2F3B6922"/>
    <w:rsid w:val="2F506C6D"/>
    <w:rsid w:val="2F51291F"/>
    <w:rsid w:val="2F55758A"/>
    <w:rsid w:val="2F7F15AE"/>
    <w:rsid w:val="2FA54796"/>
    <w:rsid w:val="2FA674E2"/>
    <w:rsid w:val="2FFE7D49"/>
    <w:rsid w:val="302A5C42"/>
    <w:rsid w:val="30316D8E"/>
    <w:rsid w:val="3075258E"/>
    <w:rsid w:val="30BF439A"/>
    <w:rsid w:val="30CB1B61"/>
    <w:rsid w:val="30CD1A42"/>
    <w:rsid w:val="30CF6A37"/>
    <w:rsid w:val="30D250CF"/>
    <w:rsid w:val="31002970"/>
    <w:rsid w:val="311016AD"/>
    <w:rsid w:val="3136622A"/>
    <w:rsid w:val="3139422E"/>
    <w:rsid w:val="31700E4B"/>
    <w:rsid w:val="3172683C"/>
    <w:rsid w:val="31761E32"/>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6284F"/>
    <w:rsid w:val="341E4CAB"/>
    <w:rsid w:val="34572B3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DE52C2"/>
    <w:rsid w:val="35FA60C0"/>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AF451F"/>
    <w:rsid w:val="38BF3388"/>
    <w:rsid w:val="38CC268D"/>
    <w:rsid w:val="38EC2960"/>
    <w:rsid w:val="3904606D"/>
    <w:rsid w:val="3906718E"/>
    <w:rsid w:val="392536E2"/>
    <w:rsid w:val="39465F15"/>
    <w:rsid w:val="396453C5"/>
    <w:rsid w:val="396C59B3"/>
    <w:rsid w:val="39922CCF"/>
    <w:rsid w:val="39A65327"/>
    <w:rsid w:val="39A65C9B"/>
    <w:rsid w:val="39BC5ED6"/>
    <w:rsid w:val="39EB39E0"/>
    <w:rsid w:val="39EF02D4"/>
    <w:rsid w:val="3A11342A"/>
    <w:rsid w:val="3A153110"/>
    <w:rsid w:val="3A2507C0"/>
    <w:rsid w:val="3A297E52"/>
    <w:rsid w:val="3A393FA7"/>
    <w:rsid w:val="3A64203E"/>
    <w:rsid w:val="3A663D00"/>
    <w:rsid w:val="3A7428D0"/>
    <w:rsid w:val="3A7C3613"/>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44EB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713CF6"/>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4C6EE0"/>
    <w:rsid w:val="417F433E"/>
    <w:rsid w:val="41B7239D"/>
    <w:rsid w:val="41E47AD6"/>
    <w:rsid w:val="41FF3845"/>
    <w:rsid w:val="4204255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A95C7D"/>
    <w:rsid w:val="43B1568A"/>
    <w:rsid w:val="43B9111D"/>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2F4764"/>
    <w:rsid w:val="465D501C"/>
    <w:rsid w:val="466367DB"/>
    <w:rsid w:val="46686D18"/>
    <w:rsid w:val="46C3037C"/>
    <w:rsid w:val="46E56F11"/>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1C0612"/>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20166C"/>
    <w:rsid w:val="4C694192"/>
    <w:rsid w:val="4C7964D9"/>
    <w:rsid w:val="4C9269F6"/>
    <w:rsid w:val="4CC84335"/>
    <w:rsid w:val="4CCF375F"/>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47921"/>
    <w:rsid w:val="4DFC14EA"/>
    <w:rsid w:val="4DFF6815"/>
    <w:rsid w:val="4E0A3427"/>
    <w:rsid w:val="4E27036A"/>
    <w:rsid w:val="4E304B5D"/>
    <w:rsid w:val="4E682F8C"/>
    <w:rsid w:val="4E6A7BB7"/>
    <w:rsid w:val="4F0773B4"/>
    <w:rsid w:val="4F1F277C"/>
    <w:rsid w:val="4F307BB1"/>
    <w:rsid w:val="4F3D562D"/>
    <w:rsid w:val="4F5C4EE0"/>
    <w:rsid w:val="4F6E1972"/>
    <w:rsid w:val="4F943166"/>
    <w:rsid w:val="4FBA02A1"/>
    <w:rsid w:val="4FE7106E"/>
    <w:rsid w:val="50053943"/>
    <w:rsid w:val="50550E55"/>
    <w:rsid w:val="509F43E4"/>
    <w:rsid w:val="50A54D3E"/>
    <w:rsid w:val="50B67520"/>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092E"/>
    <w:rsid w:val="52FC1CAF"/>
    <w:rsid w:val="532540D9"/>
    <w:rsid w:val="532B6CAF"/>
    <w:rsid w:val="53350D91"/>
    <w:rsid w:val="53412644"/>
    <w:rsid w:val="53433903"/>
    <w:rsid w:val="53515BF0"/>
    <w:rsid w:val="53517A72"/>
    <w:rsid w:val="5361549D"/>
    <w:rsid w:val="536220DA"/>
    <w:rsid w:val="53650637"/>
    <w:rsid w:val="53757C6B"/>
    <w:rsid w:val="537E1075"/>
    <w:rsid w:val="539B3CDB"/>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7F74CF"/>
    <w:rsid w:val="56990B7C"/>
    <w:rsid w:val="569E1126"/>
    <w:rsid w:val="56AC249A"/>
    <w:rsid w:val="56B80DEB"/>
    <w:rsid w:val="56E06E61"/>
    <w:rsid w:val="56F653FE"/>
    <w:rsid w:val="575B7AFD"/>
    <w:rsid w:val="57660D3F"/>
    <w:rsid w:val="57706F91"/>
    <w:rsid w:val="57921FC1"/>
    <w:rsid w:val="57D1153D"/>
    <w:rsid w:val="57FA3774"/>
    <w:rsid w:val="58084A3C"/>
    <w:rsid w:val="585D2975"/>
    <w:rsid w:val="587E3341"/>
    <w:rsid w:val="58CF56D8"/>
    <w:rsid w:val="58D31010"/>
    <w:rsid w:val="58D6741E"/>
    <w:rsid w:val="58EA3D0E"/>
    <w:rsid w:val="58F71269"/>
    <w:rsid w:val="58FE045E"/>
    <w:rsid w:val="590F448D"/>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60349D"/>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1A6BB2"/>
    <w:rsid w:val="5C336CF5"/>
    <w:rsid w:val="5C5355FE"/>
    <w:rsid w:val="5C6F4105"/>
    <w:rsid w:val="5C7A4EE2"/>
    <w:rsid w:val="5CBB7F6F"/>
    <w:rsid w:val="5CCE3A33"/>
    <w:rsid w:val="5D7C3F11"/>
    <w:rsid w:val="5D942587"/>
    <w:rsid w:val="5D9D49E0"/>
    <w:rsid w:val="5DAC0CF7"/>
    <w:rsid w:val="5DDF1821"/>
    <w:rsid w:val="5DEA2F91"/>
    <w:rsid w:val="5E1E23BF"/>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1B72A6"/>
    <w:rsid w:val="6340438B"/>
    <w:rsid w:val="6353238E"/>
    <w:rsid w:val="63612AB8"/>
    <w:rsid w:val="637D0978"/>
    <w:rsid w:val="63871A2C"/>
    <w:rsid w:val="638968B0"/>
    <w:rsid w:val="638A282C"/>
    <w:rsid w:val="63A85E90"/>
    <w:rsid w:val="63A962DB"/>
    <w:rsid w:val="63AB1A91"/>
    <w:rsid w:val="63BD41A6"/>
    <w:rsid w:val="63EE4692"/>
    <w:rsid w:val="63FD622D"/>
    <w:rsid w:val="64035FDE"/>
    <w:rsid w:val="643F32F9"/>
    <w:rsid w:val="64582686"/>
    <w:rsid w:val="64673C87"/>
    <w:rsid w:val="64A251DD"/>
    <w:rsid w:val="64AF4418"/>
    <w:rsid w:val="64DB63AB"/>
    <w:rsid w:val="64E2007C"/>
    <w:rsid w:val="650242F0"/>
    <w:rsid w:val="65542778"/>
    <w:rsid w:val="655829AF"/>
    <w:rsid w:val="656B70C3"/>
    <w:rsid w:val="658F4798"/>
    <w:rsid w:val="659B1EBA"/>
    <w:rsid w:val="65B461E9"/>
    <w:rsid w:val="65BE39A8"/>
    <w:rsid w:val="65FB3FBE"/>
    <w:rsid w:val="66247D11"/>
    <w:rsid w:val="66541F53"/>
    <w:rsid w:val="66736112"/>
    <w:rsid w:val="667F5B5B"/>
    <w:rsid w:val="66897C79"/>
    <w:rsid w:val="6694262A"/>
    <w:rsid w:val="669609C2"/>
    <w:rsid w:val="66990381"/>
    <w:rsid w:val="66B31B01"/>
    <w:rsid w:val="66CE1E80"/>
    <w:rsid w:val="66E362F9"/>
    <w:rsid w:val="66E47FD9"/>
    <w:rsid w:val="67071922"/>
    <w:rsid w:val="671626D9"/>
    <w:rsid w:val="672F50CE"/>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3D07FF"/>
    <w:rsid w:val="6F4147D9"/>
    <w:rsid w:val="6F555C7A"/>
    <w:rsid w:val="6F8F27DF"/>
    <w:rsid w:val="6F947E4B"/>
    <w:rsid w:val="6FA30BDA"/>
    <w:rsid w:val="6FB61C44"/>
    <w:rsid w:val="6FB80698"/>
    <w:rsid w:val="7024611F"/>
    <w:rsid w:val="70637B96"/>
    <w:rsid w:val="70797317"/>
    <w:rsid w:val="7099044B"/>
    <w:rsid w:val="709D518F"/>
    <w:rsid w:val="70B17F21"/>
    <w:rsid w:val="70C3121E"/>
    <w:rsid w:val="70C759D3"/>
    <w:rsid w:val="70CF2B23"/>
    <w:rsid w:val="70DB6CA4"/>
    <w:rsid w:val="710952C1"/>
    <w:rsid w:val="71351C2D"/>
    <w:rsid w:val="71452CD8"/>
    <w:rsid w:val="7158683A"/>
    <w:rsid w:val="715B2F52"/>
    <w:rsid w:val="71632A68"/>
    <w:rsid w:val="71764F23"/>
    <w:rsid w:val="71946576"/>
    <w:rsid w:val="71967E84"/>
    <w:rsid w:val="719F3256"/>
    <w:rsid w:val="71A61873"/>
    <w:rsid w:val="71AF4936"/>
    <w:rsid w:val="71CA0BB8"/>
    <w:rsid w:val="71D75D0F"/>
    <w:rsid w:val="721919B3"/>
    <w:rsid w:val="721A6098"/>
    <w:rsid w:val="72310D1A"/>
    <w:rsid w:val="725D6B54"/>
    <w:rsid w:val="727736F2"/>
    <w:rsid w:val="729C6026"/>
    <w:rsid w:val="72A17C99"/>
    <w:rsid w:val="72AF6F7E"/>
    <w:rsid w:val="72C576C8"/>
    <w:rsid w:val="73047904"/>
    <w:rsid w:val="733275D0"/>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C004F0"/>
    <w:rsid w:val="74C031EC"/>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110B96"/>
    <w:rsid w:val="77413F7E"/>
    <w:rsid w:val="77835654"/>
    <w:rsid w:val="7797109C"/>
    <w:rsid w:val="779A2A38"/>
    <w:rsid w:val="779D6084"/>
    <w:rsid w:val="77B07B65"/>
    <w:rsid w:val="77B4450A"/>
    <w:rsid w:val="77B46E73"/>
    <w:rsid w:val="77E37A12"/>
    <w:rsid w:val="77FE3468"/>
    <w:rsid w:val="78546F0C"/>
    <w:rsid w:val="78EE1C79"/>
    <w:rsid w:val="79443222"/>
    <w:rsid w:val="797239CC"/>
    <w:rsid w:val="79831473"/>
    <w:rsid w:val="7999527A"/>
    <w:rsid w:val="79AF76C5"/>
    <w:rsid w:val="79C25EE1"/>
    <w:rsid w:val="79C42622"/>
    <w:rsid w:val="79CE2967"/>
    <w:rsid w:val="79EA664C"/>
    <w:rsid w:val="7A2C51E2"/>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0E27B1"/>
    <w:rsid w:val="7E2822EA"/>
    <w:rsid w:val="7E355A7B"/>
    <w:rsid w:val="7E5C0027"/>
    <w:rsid w:val="7E6E3E85"/>
    <w:rsid w:val="7E766934"/>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73"/>
    <w:qFormat/>
    <w:uiPriority w:val="0"/>
  </w:style>
  <w:style w:type="paragraph" w:customStyle="1" w:styleId="5">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qFormat/>
    <w:uiPriority w:val="0"/>
    <w:pPr>
      <w:widowControl/>
      <w:spacing w:beforeAutospacing="1" w:afterAutospacing="1"/>
      <w:jc w:val="left"/>
    </w:pPr>
    <w:rPr>
      <w:rFonts w:ascii="宋体" w:hAnsi="宋体" w:cs="宋体"/>
      <w:kern w:val="0"/>
      <w:sz w:val="24"/>
    </w:rPr>
  </w:style>
  <w:style w:type="paragraph" w:styleId="9">
    <w:name w:val="Normal Indent"/>
    <w:basedOn w:val="1"/>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qFormat/>
    <w:uiPriority w:val="0"/>
    <w:rPr>
      <w:rFonts w:ascii="宋体" w:hAnsi="Calibri"/>
      <w:sz w:val="18"/>
      <w:szCs w:val="18"/>
    </w:rPr>
  </w:style>
  <w:style w:type="paragraph" w:styleId="11">
    <w:name w:val="annotation text"/>
    <w:basedOn w:val="1"/>
    <w:qFormat/>
    <w:uiPriority w:val="0"/>
    <w:pPr>
      <w:jc w:val="left"/>
    </w:pPr>
  </w:style>
  <w:style w:type="paragraph" w:styleId="12">
    <w:name w:val="Body Text 3"/>
    <w:basedOn w:val="1"/>
    <w:qFormat/>
    <w:uiPriority w:val="0"/>
    <w:rPr>
      <w:sz w:val="16"/>
      <w:szCs w:val="16"/>
    </w:r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4"/>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4"/>
    <w:next w:val="31"/>
    <w:qFormat/>
    <w:uiPriority w:val="0"/>
    <w:pPr>
      <w:spacing w:line="360" w:lineRule="auto"/>
      <w:ind w:firstLine="420" w:firstLineChars="100"/>
    </w:pPr>
    <w:rPr>
      <w:szCs w:val="21"/>
    </w:rPr>
  </w:style>
  <w:style w:type="paragraph" w:styleId="31">
    <w:name w:val="Body Text First Indent 2"/>
    <w:basedOn w:val="13"/>
    <w:next w:val="32"/>
    <w:qFormat/>
    <w:uiPriority w:val="0"/>
    <w:pPr>
      <w:ind w:firstLine="420" w:firstLineChars="200"/>
    </w:pPr>
  </w:style>
  <w:style w:type="paragraph" w:customStyle="1" w:styleId="32">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大标题"/>
    <w:basedOn w:val="1"/>
    <w:next w:val="31"/>
    <w:qFormat/>
    <w:uiPriority w:val="0"/>
    <w:pPr>
      <w:jc w:val="center"/>
    </w:pPr>
    <w:rPr>
      <w:rFonts w:ascii="Arial" w:hAnsi="Arial"/>
      <w:b/>
      <w:sz w:val="28"/>
    </w:rPr>
  </w:style>
  <w:style w:type="paragraph" w:customStyle="1" w:styleId="50">
    <w:name w:val="目录 51"/>
    <w:next w:val="1"/>
    <w:qFormat/>
    <w:uiPriority w:val="0"/>
    <w:pPr>
      <w:wordWrap w:val="0"/>
      <w:ind w:left="1700"/>
      <w:jc w:val="both"/>
    </w:pPr>
    <w:rPr>
      <w:rFonts w:ascii="Calibri" w:hAnsi="Calibri" w:eastAsia="Calibri" w:cs="Times New Roman"/>
      <w:sz w:val="21"/>
      <w:lang w:val="en-US" w:eastAsia="zh-CN" w:bidi="ar-SA"/>
    </w:rPr>
  </w:style>
  <w:style w:type="paragraph" w:customStyle="1" w:styleId="51">
    <w:name w:val="No Spacing1"/>
    <w:basedOn w:val="1"/>
    <w:qFormat/>
    <w:uiPriority w:val="0"/>
    <w:pPr>
      <w:spacing w:line="400" w:lineRule="exact"/>
    </w:pPr>
    <w:rPr>
      <w:sz w:val="24"/>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5"/>
    <w:link w:val="4"/>
    <w:qFormat/>
    <w:uiPriority w:val="0"/>
  </w:style>
  <w:style w:type="character" w:customStyle="1" w:styleId="74">
    <w:name w:val="apple-converted-space"/>
    <w:basedOn w:val="35"/>
    <w:qFormat/>
    <w:uiPriority w:val="0"/>
  </w:style>
  <w:style w:type="character" w:customStyle="1" w:styleId="75">
    <w:name w:val="文档结构图 Char"/>
    <w:link w:val="10"/>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basedOn w:val="35"/>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4"/>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5"/>
    <w:qFormat/>
    <w:uiPriority w:val="0"/>
  </w:style>
  <w:style w:type="character" w:customStyle="1" w:styleId="89">
    <w:name w:val="font31"/>
    <w:basedOn w:val="35"/>
    <w:qFormat/>
    <w:uiPriority w:val="0"/>
    <w:rPr>
      <w:rFonts w:hint="default" w:ascii="方正小标宋简体" w:hAnsi="方正小标宋简体" w:eastAsia="方正小标宋简体" w:cs="方正小标宋简体"/>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14422</Words>
  <Characters>15100</Characters>
  <Lines>50</Lines>
  <Paragraphs>68</Paragraphs>
  <TotalTime>0</TotalTime>
  <ScaleCrop>false</ScaleCrop>
  <LinksUpToDate>false</LinksUpToDate>
  <CharactersWithSpaces>16011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2022-11-24T03:33:11Z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562A285641654D2EA086C4325B3B203C</vt:lpwstr>
  </property>
</Properties>
</file>