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keepNext w:val="0"/>
        <w:keepLines w:val="0"/>
        <w:pageBreakBefore w:val="0"/>
        <w:widowControl w:val="0"/>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b/>
          <w:bCs/>
          <w:color w:val="auto"/>
          <w:sz w:val="21"/>
          <w:szCs w:val="21"/>
          <w:lang w:val="en-US" w:eastAsia="zh-CN"/>
        </w:rPr>
      </w:pPr>
      <w:bookmarkStart w:id="0" w:name="_Toc22804073"/>
      <w:bookmarkEnd w:id="0"/>
      <w:bookmarkStart w:id="1" w:name="_Toc22953395"/>
      <w:bookmarkEnd w:id="1"/>
    </w:p>
    <w:p>
      <w:pPr>
        <w:pStyle w:val="20"/>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color w:val="auto"/>
          <w:sz w:val="48"/>
          <w:szCs w:val="48"/>
          <w:lang w:val="en-US" w:eastAsia="zh-CN"/>
        </w:rPr>
      </w:pPr>
      <w:r>
        <w:rPr>
          <w:rFonts w:hint="eastAsia" w:ascii="宋体" w:hAnsi="宋体" w:eastAsia="宋体" w:cs="宋体"/>
          <w:b/>
          <w:bCs/>
          <w:color w:val="auto"/>
          <w:sz w:val="48"/>
          <w:szCs w:val="48"/>
          <w:lang w:val="en-US" w:eastAsia="zh-CN"/>
        </w:rPr>
        <w:t>驻马店市中心医院妇儿院区医疗废物智能管理系统摄像头采购及对接项目</w:t>
      </w:r>
    </w:p>
    <w:p>
      <w:pPr>
        <w:pStyle w:val="20"/>
        <w:bidi w:val="0"/>
        <w:jc w:val="center"/>
        <w:rPr>
          <w:rStyle w:val="45"/>
          <w:rFonts w:hint="eastAsia" w:ascii="宋体" w:hAnsi="宋体" w:eastAsia="宋体" w:cs="宋体"/>
          <w:b/>
          <w:bCs/>
          <w:color w:val="auto"/>
          <w:sz w:val="48"/>
          <w:szCs w:val="48"/>
        </w:rPr>
      </w:pPr>
    </w:p>
    <w:p>
      <w:pPr>
        <w:pStyle w:val="20"/>
        <w:bidi w:val="0"/>
        <w:jc w:val="center"/>
        <w:rPr>
          <w:rStyle w:val="45"/>
          <w:rFonts w:hint="eastAsia" w:ascii="宋体" w:hAnsi="宋体" w:eastAsia="宋体" w:cs="宋体"/>
          <w:b/>
          <w:bCs/>
          <w:color w:val="auto"/>
          <w:sz w:val="48"/>
          <w:szCs w:val="48"/>
        </w:rPr>
      </w:pPr>
    </w:p>
    <w:p>
      <w:pPr>
        <w:pStyle w:val="20"/>
        <w:bidi w:val="0"/>
        <w:jc w:val="center"/>
        <w:rPr>
          <w:rStyle w:val="45"/>
          <w:rFonts w:hint="eastAsia" w:ascii="宋体" w:hAnsi="宋体" w:eastAsia="宋体" w:cs="宋体"/>
          <w:b/>
          <w:bCs/>
          <w:color w:val="auto"/>
          <w:sz w:val="48"/>
          <w:szCs w:val="48"/>
        </w:rPr>
      </w:pPr>
    </w:p>
    <w:p>
      <w:pPr>
        <w:pStyle w:val="20"/>
        <w:bidi w:val="0"/>
        <w:jc w:val="center"/>
        <w:rPr>
          <w:rStyle w:val="45"/>
          <w:rFonts w:hint="eastAsia" w:ascii="宋体" w:hAnsi="宋体" w:eastAsia="宋体" w:cs="宋体"/>
          <w:b/>
          <w:bCs/>
          <w:color w:val="auto"/>
          <w:sz w:val="48"/>
          <w:szCs w:val="48"/>
        </w:rPr>
      </w:pPr>
    </w:p>
    <w:p>
      <w:pPr>
        <w:pStyle w:val="20"/>
        <w:bidi w:val="0"/>
        <w:jc w:val="center"/>
        <w:rPr>
          <w:rStyle w:val="45"/>
          <w:rFonts w:hint="eastAsia" w:ascii="宋体" w:hAnsi="宋体" w:eastAsia="宋体" w:cs="宋体"/>
          <w:b/>
          <w:bCs/>
          <w:color w:val="auto"/>
          <w:szCs w:val="44"/>
        </w:rPr>
      </w:pPr>
      <w:r>
        <w:rPr>
          <w:rStyle w:val="45"/>
          <w:rFonts w:hint="eastAsia" w:cs="宋体"/>
          <w:b/>
          <w:bCs/>
          <w:color w:val="auto"/>
          <w:sz w:val="72"/>
          <w:szCs w:val="72"/>
          <w:lang w:val="en-US" w:eastAsia="zh-CN"/>
        </w:rPr>
        <w:t>采购</w:t>
      </w:r>
      <w:r>
        <w:rPr>
          <w:rStyle w:val="45"/>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33"/>
        <w:rPr>
          <w:rFonts w:hint="eastAsia"/>
          <w:color w:val="auto"/>
        </w:rPr>
      </w:pPr>
    </w:p>
    <w:p>
      <w:pPr>
        <w:pStyle w:val="58"/>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w:t>
      </w:r>
      <w:r>
        <w:rPr>
          <w:rFonts w:hint="eastAsia" w:ascii="宋体" w:hAnsi="宋体" w:cs="宋体"/>
          <w:b/>
          <w:bCs/>
          <w:color w:val="auto"/>
          <w:spacing w:val="40"/>
          <w:sz w:val="34"/>
          <w:szCs w:val="34"/>
          <w:lang w:val="en-US" w:eastAsia="zh-CN"/>
        </w:rPr>
        <w:t>23</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03</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sz w:val="36"/>
          <w:szCs w:val="24"/>
          <w:highlight w:val="none"/>
        </w:rPr>
      </w:pPr>
    </w:p>
    <w:p>
      <w:pPr>
        <w:pStyle w:val="26"/>
        <w:tabs>
          <w:tab w:val="right" w:leader="dot" w:pos="8958"/>
        </w:tabs>
        <w:spacing w:line="360" w:lineRule="auto"/>
        <w:rPr>
          <w:sz w:val="28"/>
          <w:szCs w:val="36"/>
        </w:rPr>
      </w:pPr>
      <w:r>
        <w:rPr>
          <w:rFonts w:hint="eastAsia" w:ascii="宋体" w:hAnsi="宋体" w:cs="宋体"/>
          <w:b/>
          <w:bCs/>
          <w:color w:val="auto"/>
          <w:sz w:val="56"/>
          <w:szCs w:val="56"/>
          <w:highlight w:val="none"/>
        </w:rPr>
        <w:fldChar w:fldCharType="begin"/>
      </w:r>
      <w:r>
        <w:rPr>
          <w:rFonts w:hint="eastAsia" w:ascii="宋体" w:hAnsi="宋体" w:cs="宋体"/>
          <w:b/>
          <w:bCs/>
          <w:color w:val="auto"/>
          <w:sz w:val="56"/>
          <w:szCs w:val="56"/>
          <w:highlight w:val="none"/>
        </w:rPr>
        <w:instrText xml:space="preserve">TOC \o "1-1" \h \u </w:instrText>
      </w:r>
      <w:r>
        <w:rPr>
          <w:rFonts w:hint="eastAsia" w:ascii="宋体" w:hAnsi="宋体" w:cs="宋体"/>
          <w:b/>
          <w:bCs/>
          <w:color w:val="auto"/>
          <w:sz w:val="56"/>
          <w:szCs w:val="56"/>
          <w:highlight w:val="none"/>
        </w:rPr>
        <w:fldChar w:fldCharType="separate"/>
      </w:r>
      <w:r>
        <w:rPr>
          <w:rFonts w:hint="eastAsia" w:ascii="宋体" w:hAnsi="宋体" w:cs="宋体"/>
          <w:bCs/>
          <w:color w:val="auto"/>
          <w:sz w:val="28"/>
          <w:szCs w:val="56"/>
          <w:highlight w:val="none"/>
        </w:rPr>
        <w:fldChar w:fldCharType="begin"/>
      </w:r>
      <w:r>
        <w:rPr>
          <w:rFonts w:hint="eastAsia" w:ascii="宋体" w:hAnsi="宋体" w:cs="宋体"/>
          <w:bCs/>
          <w:sz w:val="28"/>
          <w:szCs w:val="56"/>
          <w:highlight w:val="none"/>
        </w:rPr>
        <w:instrText xml:space="preserve"> HYPERLINK \l _Toc21195 </w:instrText>
      </w:r>
      <w:r>
        <w:rPr>
          <w:rFonts w:hint="eastAsia" w:ascii="宋体" w:hAnsi="宋体" w:cs="宋体"/>
          <w:bCs/>
          <w:sz w:val="28"/>
          <w:szCs w:val="56"/>
          <w:highlight w:val="none"/>
        </w:rPr>
        <w:fldChar w:fldCharType="separate"/>
      </w:r>
      <w:r>
        <w:rPr>
          <w:rFonts w:hint="eastAsia" w:ascii="宋体" w:hAnsi="宋体"/>
          <w:sz w:val="28"/>
          <w:szCs w:val="52"/>
          <w:highlight w:val="none"/>
        </w:rPr>
        <w:t xml:space="preserve">第一章  </w:t>
      </w:r>
      <w:r>
        <w:rPr>
          <w:rFonts w:hint="eastAsia" w:ascii="宋体" w:hAnsi="宋体"/>
          <w:sz w:val="28"/>
          <w:szCs w:val="52"/>
          <w:highlight w:val="none"/>
          <w:lang w:val="en-US" w:eastAsia="zh-CN"/>
        </w:rPr>
        <w:t>竞争性磋商采购</w:t>
      </w:r>
      <w:r>
        <w:rPr>
          <w:rFonts w:hint="eastAsia" w:ascii="宋体" w:hAnsi="宋体"/>
          <w:sz w:val="28"/>
          <w:szCs w:val="52"/>
          <w:highlight w:val="none"/>
        </w:rPr>
        <w:t>公告</w:t>
      </w:r>
      <w:r>
        <w:rPr>
          <w:sz w:val="28"/>
          <w:szCs w:val="36"/>
        </w:rPr>
        <w:tab/>
      </w:r>
      <w:r>
        <w:rPr>
          <w:sz w:val="28"/>
          <w:szCs w:val="36"/>
        </w:rPr>
        <w:fldChar w:fldCharType="begin"/>
      </w:r>
      <w:r>
        <w:rPr>
          <w:sz w:val="28"/>
          <w:szCs w:val="36"/>
        </w:rPr>
        <w:instrText xml:space="preserve"> PAGEREF _Toc21195 \h </w:instrText>
      </w:r>
      <w:r>
        <w:rPr>
          <w:sz w:val="28"/>
          <w:szCs w:val="36"/>
        </w:rPr>
        <w:fldChar w:fldCharType="separate"/>
      </w:r>
      <w:r>
        <w:rPr>
          <w:sz w:val="28"/>
          <w:szCs w:val="36"/>
        </w:rPr>
        <w:t>2</w:t>
      </w:r>
      <w:r>
        <w:rPr>
          <w:sz w:val="28"/>
          <w:szCs w:val="36"/>
        </w:rPr>
        <w:fldChar w:fldCharType="end"/>
      </w:r>
      <w:r>
        <w:rPr>
          <w:rFonts w:hint="eastAsia" w:ascii="宋体" w:hAnsi="宋体" w:cs="宋体"/>
          <w:bCs/>
          <w:color w:val="auto"/>
          <w:sz w:val="28"/>
          <w:szCs w:val="56"/>
          <w:highlight w:val="none"/>
        </w:rPr>
        <w:fldChar w:fldCharType="end"/>
      </w:r>
    </w:p>
    <w:p>
      <w:pPr>
        <w:pStyle w:val="26"/>
        <w:tabs>
          <w:tab w:val="right" w:leader="dot" w:pos="8958"/>
        </w:tabs>
        <w:spacing w:line="360" w:lineRule="auto"/>
        <w:rPr>
          <w:sz w:val="28"/>
          <w:szCs w:val="36"/>
        </w:rPr>
      </w:pPr>
      <w:r>
        <w:rPr>
          <w:rFonts w:hint="eastAsia" w:ascii="宋体" w:hAnsi="宋体" w:cs="宋体"/>
          <w:bCs/>
          <w:color w:val="auto"/>
          <w:sz w:val="28"/>
          <w:szCs w:val="56"/>
          <w:highlight w:val="none"/>
        </w:rPr>
        <w:fldChar w:fldCharType="begin"/>
      </w:r>
      <w:r>
        <w:rPr>
          <w:rFonts w:hint="eastAsia" w:ascii="宋体" w:hAnsi="宋体" w:cs="宋体"/>
          <w:bCs/>
          <w:sz w:val="28"/>
          <w:szCs w:val="56"/>
          <w:highlight w:val="none"/>
        </w:rPr>
        <w:instrText xml:space="preserve"> HYPERLINK \l _Toc26828 </w:instrText>
      </w:r>
      <w:r>
        <w:rPr>
          <w:rFonts w:hint="eastAsia" w:ascii="宋体" w:hAnsi="宋体" w:cs="宋体"/>
          <w:bCs/>
          <w:sz w:val="28"/>
          <w:szCs w:val="56"/>
          <w:highlight w:val="none"/>
        </w:rPr>
        <w:fldChar w:fldCharType="separate"/>
      </w:r>
      <w:r>
        <w:rPr>
          <w:rFonts w:hint="eastAsia" w:ascii="宋体" w:hAnsi="宋体"/>
          <w:sz w:val="28"/>
          <w:szCs w:val="52"/>
          <w:highlight w:val="none"/>
        </w:rPr>
        <w:t xml:space="preserve">第二章  </w:t>
      </w:r>
      <w:r>
        <w:rPr>
          <w:rFonts w:hint="eastAsia" w:ascii="宋体" w:hAnsi="宋体"/>
          <w:sz w:val="28"/>
          <w:szCs w:val="52"/>
          <w:highlight w:val="none"/>
          <w:lang w:eastAsia="zh-CN"/>
        </w:rPr>
        <w:t>采购</w:t>
      </w:r>
      <w:r>
        <w:rPr>
          <w:rFonts w:hint="eastAsia" w:ascii="宋体" w:hAnsi="宋体"/>
          <w:sz w:val="28"/>
          <w:szCs w:val="52"/>
          <w:highlight w:val="none"/>
        </w:rPr>
        <w:t>需求</w:t>
      </w:r>
      <w:r>
        <w:rPr>
          <w:sz w:val="28"/>
          <w:szCs w:val="36"/>
        </w:rPr>
        <w:tab/>
      </w:r>
      <w:r>
        <w:rPr>
          <w:sz w:val="28"/>
          <w:szCs w:val="36"/>
        </w:rPr>
        <w:fldChar w:fldCharType="begin"/>
      </w:r>
      <w:r>
        <w:rPr>
          <w:sz w:val="28"/>
          <w:szCs w:val="36"/>
        </w:rPr>
        <w:instrText xml:space="preserve"> PAGEREF _Toc26828 \h </w:instrText>
      </w:r>
      <w:r>
        <w:rPr>
          <w:sz w:val="28"/>
          <w:szCs w:val="36"/>
        </w:rPr>
        <w:fldChar w:fldCharType="separate"/>
      </w:r>
      <w:r>
        <w:rPr>
          <w:sz w:val="28"/>
          <w:szCs w:val="36"/>
        </w:rPr>
        <w:t>4</w:t>
      </w:r>
      <w:r>
        <w:rPr>
          <w:sz w:val="28"/>
          <w:szCs w:val="36"/>
        </w:rPr>
        <w:fldChar w:fldCharType="end"/>
      </w:r>
      <w:r>
        <w:rPr>
          <w:rFonts w:hint="eastAsia" w:ascii="宋体" w:hAnsi="宋体" w:cs="宋体"/>
          <w:bCs/>
          <w:color w:val="auto"/>
          <w:sz w:val="28"/>
          <w:szCs w:val="56"/>
          <w:highlight w:val="none"/>
        </w:rPr>
        <w:fldChar w:fldCharType="end"/>
      </w:r>
    </w:p>
    <w:p>
      <w:pPr>
        <w:pStyle w:val="26"/>
        <w:tabs>
          <w:tab w:val="right" w:leader="dot" w:pos="8958"/>
        </w:tabs>
        <w:spacing w:line="360" w:lineRule="auto"/>
        <w:rPr>
          <w:sz w:val="28"/>
          <w:szCs w:val="36"/>
        </w:rPr>
      </w:pPr>
      <w:r>
        <w:rPr>
          <w:rFonts w:hint="eastAsia" w:ascii="宋体" w:hAnsi="宋体" w:cs="宋体"/>
          <w:bCs/>
          <w:color w:val="auto"/>
          <w:sz w:val="28"/>
          <w:szCs w:val="56"/>
          <w:highlight w:val="none"/>
        </w:rPr>
        <w:fldChar w:fldCharType="begin"/>
      </w:r>
      <w:r>
        <w:rPr>
          <w:rFonts w:hint="eastAsia" w:ascii="宋体" w:hAnsi="宋体" w:cs="宋体"/>
          <w:bCs/>
          <w:sz w:val="28"/>
          <w:szCs w:val="56"/>
          <w:highlight w:val="none"/>
        </w:rPr>
        <w:instrText xml:space="preserve"> HYPERLINK \l _Toc12002 </w:instrText>
      </w:r>
      <w:r>
        <w:rPr>
          <w:rFonts w:hint="eastAsia" w:ascii="宋体" w:hAnsi="宋体" w:cs="宋体"/>
          <w:bCs/>
          <w:sz w:val="28"/>
          <w:szCs w:val="56"/>
          <w:highlight w:val="none"/>
        </w:rPr>
        <w:fldChar w:fldCharType="separate"/>
      </w:r>
      <w:r>
        <w:rPr>
          <w:rFonts w:hint="eastAsia"/>
          <w:sz w:val="28"/>
          <w:szCs w:val="52"/>
          <w:highlight w:val="none"/>
        </w:rPr>
        <w:t>第三章  投标人须知</w:t>
      </w:r>
      <w:r>
        <w:rPr>
          <w:sz w:val="28"/>
          <w:szCs w:val="36"/>
        </w:rPr>
        <w:tab/>
      </w:r>
      <w:r>
        <w:rPr>
          <w:sz w:val="28"/>
          <w:szCs w:val="36"/>
        </w:rPr>
        <w:fldChar w:fldCharType="begin"/>
      </w:r>
      <w:r>
        <w:rPr>
          <w:sz w:val="28"/>
          <w:szCs w:val="36"/>
        </w:rPr>
        <w:instrText xml:space="preserve"> PAGEREF _Toc12002 \h </w:instrText>
      </w:r>
      <w:r>
        <w:rPr>
          <w:sz w:val="28"/>
          <w:szCs w:val="36"/>
        </w:rPr>
        <w:fldChar w:fldCharType="separate"/>
      </w:r>
      <w:r>
        <w:rPr>
          <w:sz w:val="28"/>
          <w:szCs w:val="36"/>
        </w:rPr>
        <w:t>10</w:t>
      </w:r>
      <w:r>
        <w:rPr>
          <w:sz w:val="28"/>
          <w:szCs w:val="36"/>
        </w:rPr>
        <w:fldChar w:fldCharType="end"/>
      </w:r>
      <w:r>
        <w:rPr>
          <w:rFonts w:hint="eastAsia" w:ascii="宋体" w:hAnsi="宋体" w:cs="宋体"/>
          <w:bCs/>
          <w:color w:val="auto"/>
          <w:sz w:val="28"/>
          <w:szCs w:val="56"/>
          <w:highlight w:val="none"/>
        </w:rPr>
        <w:fldChar w:fldCharType="end"/>
      </w:r>
    </w:p>
    <w:p>
      <w:pPr>
        <w:pStyle w:val="26"/>
        <w:tabs>
          <w:tab w:val="right" w:leader="dot" w:pos="8958"/>
        </w:tabs>
        <w:spacing w:line="360" w:lineRule="auto"/>
        <w:rPr>
          <w:sz w:val="28"/>
          <w:szCs w:val="36"/>
        </w:rPr>
      </w:pPr>
      <w:r>
        <w:rPr>
          <w:rFonts w:hint="eastAsia" w:ascii="宋体" w:hAnsi="宋体" w:cs="宋体"/>
          <w:bCs/>
          <w:color w:val="auto"/>
          <w:sz w:val="28"/>
          <w:szCs w:val="56"/>
          <w:highlight w:val="none"/>
        </w:rPr>
        <w:fldChar w:fldCharType="begin"/>
      </w:r>
      <w:r>
        <w:rPr>
          <w:rFonts w:hint="eastAsia" w:ascii="宋体" w:hAnsi="宋体" w:cs="宋体"/>
          <w:bCs/>
          <w:sz w:val="28"/>
          <w:szCs w:val="56"/>
          <w:highlight w:val="none"/>
        </w:rPr>
        <w:instrText xml:space="preserve"> HYPERLINK \l _Toc23054 </w:instrText>
      </w:r>
      <w:r>
        <w:rPr>
          <w:rFonts w:hint="eastAsia" w:ascii="宋体" w:hAnsi="宋体" w:cs="宋体"/>
          <w:bCs/>
          <w:sz w:val="28"/>
          <w:szCs w:val="56"/>
          <w:highlight w:val="none"/>
        </w:rPr>
        <w:fldChar w:fldCharType="separate"/>
      </w:r>
      <w:r>
        <w:rPr>
          <w:rFonts w:hint="eastAsia" w:ascii="宋体" w:hAnsi="宋体" w:eastAsia="宋体" w:cs="宋体"/>
          <w:bCs/>
          <w:kern w:val="0"/>
          <w:sz w:val="28"/>
          <w:szCs w:val="52"/>
          <w:highlight w:val="none"/>
        </w:rPr>
        <w:t>第四章  评标办法及评分标准</w:t>
      </w:r>
      <w:r>
        <w:rPr>
          <w:sz w:val="28"/>
          <w:szCs w:val="36"/>
        </w:rPr>
        <w:tab/>
      </w:r>
      <w:r>
        <w:rPr>
          <w:sz w:val="28"/>
          <w:szCs w:val="36"/>
        </w:rPr>
        <w:fldChar w:fldCharType="begin"/>
      </w:r>
      <w:r>
        <w:rPr>
          <w:sz w:val="28"/>
          <w:szCs w:val="36"/>
        </w:rPr>
        <w:instrText xml:space="preserve"> PAGEREF _Toc23054 \h </w:instrText>
      </w:r>
      <w:r>
        <w:rPr>
          <w:sz w:val="28"/>
          <w:szCs w:val="36"/>
        </w:rPr>
        <w:fldChar w:fldCharType="separate"/>
      </w:r>
      <w:r>
        <w:rPr>
          <w:sz w:val="28"/>
          <w:szCs w:val="36"/>
        </w:rPr>
        <w:t>23</w:t>
      </w:r>
      <w:r>
        <w:rPr>
          <w:sz w:val="28"/>
          <w:szCs w:val="36"/>
        </w:rPr>
        <w:fldChar w:fldCharType="end"/>
      </w:r>
      <w:r>
        <w:rPr>
          <w:rFonts w:hint="eastAsia" w:ascii="宋体" w:hAnsi="宋体" w:cs="宋体"/>
          <w:bCs/>
          <w:color w:val="auto"/>
          <w:sz w:val="28"/>
          <w:szCs w:val="56"/>
          <w:highlight w:val="none"/>
        </w:rPr>
        <w:fldChar w:fldCharType="end"/>
      </w:r>
    </w:p>
    <w:p>
      <w:pPr>
        <w:pStyle w:val="26"/>
        <w:tabs>
          <w:tab w:val="right" w:leader="dot" w:pos="8958"/>
        </w:tabs>
        <w:spacing w:line="360" w:lineRule="auto"/>
        <w:rPr>
          <w:sz w:val="28"/>
          <w:szCs w:val="36"/>
        </w:rPr>
      </w:pPr>
      <w:r>
        <w:rPr>
          <w:rFonts w:hint="eastAsia" w:ascii="宋体" w:hAnsi="宋体" w:cs="宋体"/>
          <w:bCs/>
          <w:color w:val="auto"/>
          <w:sz w:val="28"/>
          <w:szCs w:val="56"/>
          <w:highlight w:val="none"/>
        </w:rPr>
        <w:fldChar w:fldCharType="begin"/>
      </w:r>
      <w:r>
        <w:rPr>
          <w:rFonts w:hint="eastAsia" w:ascii="宋体" w:hAnsi="宋体" w:cs="宋体"/>
          <w:bCs/>
          <w:sz w:val="28"/>
          <w:szCs w:val="56"/>
          <w:highlight w:val="none"/>
        </w:rPr>
        <w:instrText xml:space="preserve"> HYPERLINK \l _Toc32036 </w:instrText>
      </w:r>
      <w:r>
        <w:rPr>
          <w:rFonts w:hint="eastAsia" w:ascii="宋体" w:hAnsi="宋体" w:cs="宋体"/>
          <w:bCs/>
          <w:sz w:val="28"/>
          <w:szCs w:val="56"/>
          <w:highlight w:val="none"/>
        </w:rPr>
        <w:fldChar w:fldCharType="separate"/>
      </w:r>
      <w:r>
        <w:rPr>
          <w:rFonts w:hint="eastAsia"/>
          <w:sz w:val="28"/>
          <w:szCs w:val="52"/>
          <w:highlight w:val="none"/>
        </w:rPr>
        <w:t>第五章  采购合同</w:t>
      </w:r>
      <w:r>
        <w:rPr>
          <w:sz w:val="28"/>
          <w:szCs w:val="36"/>
        </w:rPr>
        <w:tab/>
      </w:r>
      <w:r>
        <w:rPr>
          <w:sz w:val="28"/>
          <w:szCs w:val="36"/>
        </w:rPr>
        <w:fldChar w:fldCharType="begin"/>
      </w:r>
      <w:r>
        <w:rPr>
          <w:sz w:val="28"/>
          <w:szCs w:val="36"/>
        </w:rPr>
        <w:instrText xml:space="preserve"> PAGEREF _Toc32036 \h </w:instrText>
      </w:r>
      <w:r>
        <w:rPr>
          <w:sz w:val="28"/>
          <w:szCs w:val="36"/>
        </w:rPr>
        <w:fldChar w:fldCharType="separate"/>
      </w:r>
      <w:r>
        <w:rPr>
          <w:sz w:val="28"/>
          <w:szCs w:val="36"/>
        </w:rPr>
        <w:t>25</w:t>
      </w:r>
      <w:r>
        <w:rPr>
          <w:sz w:val="28"/>
          <w:szCs w:val="36"/>
        </w:rPr>
        <w:fldChar w:fldCharType="end"/>
      </w:r>
      <w:r>
        <w:rPr>
          <w:rFonts w:hint="eastAsia" w:ascii="宋体" w:hAnsi="宋体" w:cs="宋体"/>
          <w:bCs/>
          <w:color w:val="auto"/>
          <w:sz w:val="28"/>
          <w:szCs w:val="56"/>
          <w:highlight w:val="none"/>
        </w:rPr>
        <w:fldChar w:fldCharType="end"/>
      </w:r>
    </w:p>
    <w:p>
      <w:pPr>
        <w:pStyle w:val="26"/>
        <w:tabs>
          <w:tab w:val="right" w:leader="dot" w:pos="8958"/>
        </w:tabs>
        <w:spacing w:line="360" w:lineRule="auto"/>
        <w:rPr>
          <w:sz w:val="28"/>
          <w:szCs w:val="36"/>
        </w:rPr>
      </w:pPr>
      <w:r>
        <w:rPr>
          <w:rFonts w:hint="eastAsia" w:ascii="宋体" w:hAnsi="宋体" w:cs="宋体"/>
          <w:bCs/>
          <w:color w:val="auto"/>
          <w:sz w:val="28"/>
          <w:szCs w:val="56"/>
          <w:highlight w:val="none"/>
        </w:rPr>
        <w:fldChar w:fldCharType="begin"/>
      </w:r>
      <w:r>
        <w:rPr>
          <w:rFonts w:hint="eastAsia" w:ascii="宋体" w:hAnsi="宋体" w:cs="宋体"/>
          <w:bCs/>
          <w:sz w:val="28"/>
          <w:szCs w:val="56"/>
          <w:highlight w:val="none"/>
        </w:rPr>
        <w:instrText xml:space="preserve"> HYPERLINK \l _Toc8994 </w:instrText>
      </w:r>
      <w:r>
        <w:rPr>
          <w:rFonts w:hint="eastAsia" w:ascii="宋体" w:hAnsi="宋体" w:cs="宋体"/>
          <w:bCs/>
          <w:sz w:val="28"/>
          <w:szCs w:val="56"/>
          <w:highlight w:val="none"/>
        </w:rPr>
        <w:fldChar w:fldCharType="separate"/>
      </w:r>
      <w:r>
        <w:rPr>
          <w:rFonts w:hint="eastAsia"/>
          <w:sz w:val="28"/>
          <w:szCs w:val="56"/>
          <w:highlight w:val="none"/>
        </w:rPr>
        <w:t>第六章  投标文件格式</w:t>
      </w:r>
      <w:r>
        <w:rPr>
          <w:sz w:val="28"/>
          <w:szCs w:val="36"/>
        </w:rPr>
        <w:tab/>
      </w:r>
      <w:r>
        <w:rPr>
          <w:sz w:val="28"/>
          <w:szCs w:val="36"/>
        </w:rPr>
        <w:fldChar w:fldCharType="begin"/>
      </w:r>
      <w:r>
        <w:rPr>
          <w:sz w:val="28"/>
          <w:szCs w:val="36"/>
        </w:rPr>
        <w:instrText xml:space="preserve"> PAGEREF _Toc8994 \h </w:instrText>
      </w:r>
      <w:r>
        <w:rPr>
          <w:sz w:val="28"/>
          <w:szCs w:val="36"/>
        </w:rPr>
        <w:fldChar w:fldCharType="separate"/>
      </w:r>
      <w:r>
        <w:rPr>
          <w:sz w:val="28"/>
          <w:szCs w:val="36"/>
        </w:rPr>
        <w:t>26</w:t>
      </w:r>
      <w:r>
        <w:rPr>
          <w:sz w:val="28"/>
          <w:szCs w:val="36"/>
        </w:rPr>
        <w:fldChar w:fldCharType="end"/>
      </w:r>
      <w:r>
        <w:rPr>
          <w:rFonts w:hint="eastAsia" w:ascii="宋体" w:hAnsi="宋体" w:cs="宋体"/>
          <w:bCs/>
          <w:color w:val="auto"/>
          <w:sz w:val="28"/>
          <w:szCs w:val="56"/>
          <w:highlight w:val="none"/>
        </w:rPr>
        <w:fldChar w:fldCharType="end"/>
      </w:r>
    </w:p>
    <w:p>
      <w:pPr>
        <w:pStyle w:val="82"/>
        <w:tabs>
          <w:tab w:val="right" w:leader="dot" w:pos="8300"/>
        </w:tabs>
        <w:snapToGrid w:val="0"/>
        <w:spacing w:line="360" w:lineRule="auto"/>
        <w:rPr>
          <w:rFonts w:ascii="宋体" w:hAnsi="宋体" w:cs="宋体"/>
          <w:color w:val="auto"/>
          <w:sz w:val="32"/>
          <w:szCs w:val="32"/>
          <w:highlight w:val="none"/>
        </w:rPr>
      </w:pPr>
      <w:r>
        <w:rPr>
          <w:rFonts w:hint="eastAsia" w:ascii="宋体" w:hAnsi="宋体" w:cs="宋体"/>
          <w:bCs/>
          <w:color w:val="auto"/>
          <w:sz w:val="24"/>
          <w:szCs w:val="56"/>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21195"/>
      <w:r>
        <w:rPr>
          <w:rFonts w:hint="eastAsia" w:ascii="宋体" w:hAnsi="宋体"/>
          <w:b/>
          <w:color w:val="auto"/>
          <w:sz w:val="40"/>
          <w:szCs w:val="40"/>
          <w:highlight w:val="none"/>
        </w:rPr>
        <w:t xml:space="preserve">第一章  </w:t>
      </w:r>
      <w:r>
        <w:rPr>
          <w:rFonts w:hint="eastAsia" w:ascii="宋体" w:hAnsi="宋体"/>
          <w:b/>
          <w:color w:val="auto"/>
          <w:sz w:val="40"/>
          <w:szCs w:val="40"/>
          <w:highlight w:val="none"/>
          <w:lang w:val="en-US" w:eastAsia="zh-CN"/>
        </w:rPr>
        <w:t>竞争性磋商采购</w:t>
      </w:r>
      <w:r>
        <w:rPr>
          <w:rFonts w:hint="eastAsia" w:ascii="宋体" w:hAnsi="宋体"/>
          <w:b/>
          <w:color w:val="auto"/>
          <w:sz w:val="40"/>
          <w:szCs w:val="40"/>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驻马店市中心医院妇儿院区医疗废物智能管理系统摄像头采购及对接项目竞争性磋商</w:t>
      </w:r>
      <w:r>
        <w:rPr>
          <w:rFonts w:hint="eastAsia" w:ascii="黑体" w:hAnsi="黑体" w:eastAsia="黑体" w:cs="宋体"/>
          <w:bCs/>
          <w:color w:val="auto"/>
          <w:kern w:val="0"/>
          <w:sz w:val="28"/>
          <w:szCs w:val="28"/>
        </w:rPr>
        <w:t>公告</w:t>
      </w:r>
    </w:p>
    <w:p>
      <w:pPr>
        <w:keepNext w:val="0"/>
        <w:keepLines w:val="0"/>
        <w:pageBreakBefore w:val="0"/>
        <w:kinsoku/>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rPr>
      </w:pPr>
      <w:bookmarkStart w:id="102" w:name="_GoBack"/>
      <w:r>
        <w:rPr>
          <w:rFonts w:hint="eastAsia" w:ascii="宋体" w:hAnsi="宋体" w:eastAsia="宋体" w:cs="宋体"/>
          <w:color w:val="auto"/>
          <w:sz w:val="24"/>
          <w:szCs w:val="32"/>
        </w:rPr>
        <w:t>驻马店市中心医院现对</w:t>
      </w:r>
      <w:r>
        <w:rPr>
          <w:rFonts w:hint="eastAsia" w:ascii="宋体" w:hAnsi="宋体" w:eastAsia="宋体" w:cs="宋体"/>
          <w:color w:val="auto"/>
          <w:sz w:val="24"/>
          <w:szCs w:val="32"/>
          <w:u w:val="single"/>
        </w:rPr>
        <w:t xml:space="preserve"> 妇儿院区医疗废物智能管理系统摄像头采购及对接</w:t>
      </w:r>
      <w:r>
        <w:rPr>
          <w:rFonts w:hint="eastAsia" w:ascii="宋体" w:hAnsi="宋体" w:eastAsia="宋体" w:cs="宋体"/>
          <w:i w:val="0"/>
          <w:iCs w:val="0"/>
          <w:color w:val="auto"/>
          <w:sz w:val="24"/>
          <w:szCs w:val="32"/>
          <w:u w:val="none"/>
          <w:lang w:val="en-US" w:eastAsia="zh-CN"/>
        </w:rPr>
        <w:t>项目</w:t>
      </w:r>
      <w:r>
        <w:rPr>
          <w:rFonts w:hint="eastAsia" w:ascii="宋体" w:hAnsi="宋体" w:eastAsia="宋体" w:cs="宋体"/>
          <w:color w:val="auto"/>
          <w:sz w:val="24"/>
          <w:szCs w:val="32"/>
        </w:rPr>
        <w:t>进行院内</w:t>
      </w:r>
      <w:r>
        <w:rPr>
          <w:rFonts w:hint="eastAsia" w:ascii="宋体" w:hAnsi="宋体" w:eastAsia="宋体" w:cs="宋体"/>
          <w:color w:val="auto"/>
          <w:sz w:val="24"/>
          <w:szCs w:val="32"/>
          <w:lang w:val="en-US" w:eastAsia="zh-CN"/>
        </w:rPr>
        <w:t>竞争性磋商</w:t>
      </w:r>
      <w:r>
        <w:rPr>
          <w:rFonts w:hint="eastAsia" w:ascii="宋体" w:hAnsi="宋体" w:eastAsia="宋体" w:cs="宋体"/>
          <w:color w:val="auto"/>
          <w:sz w:val="24"/>
          <w:szCs w:val="32"/>
        </w:rPr>
        <w:t>采购，欢迎符合资格条件的供应商前来</w:t>
      </w:r>
      <w:r>
        <w:rPr>
          <w:rFonts w:hint="eastAsia" w:ascii="宋体" w:hAnsi="宋体" w:eastAsia="宋体" w:cs="宋体"/>
          <w:color w:val="auto"/>
          <w:sz w:val="24"/>
          <w:szCs w:val="32"/>
          <w:lang w:val="en-US" w:eastAsia="zh-CN"/>
        </w:rPr>
        <w:t>报名并</w:t>
      </w:r>
      <w:r>
        <w:rPr>
          <w:rFonts w:hint="eastAsia" w:ascii="宋体" w:hAnsi="宋体" w:eastAsia="宋体" w:cs="宋体"/>
          <w:color w:val="auto"/>
          <w:sz w:val="24"/>
          <w:szCs w:val="24"/>
        </w:rPr>
        <w:t>获取</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rPr>
        <w:t>文件。</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r>
        <w:rPr>
          <w:rFonts w:hint="eastAsia" w:ascii="宋体" w:hAnsi="宋体" w:eastAsia="宋体" w:cs="宋体"/>
          <w:b/>
          <w:bCs/>
          <w:color w:val="auto"/>
          <w:kern w:val="2"/>
          <w:sz w:val="24"/>
          <w:szCs w:val="24"/>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yellow"/>
          <w:shd w:val="clear" w:color="auto" w:fill="FFFFFF"/>
          <w:lang w:eastAsia="zh-CN"/>
        </w:rPr>
      </w:pPr>
      <w:r>
        <w:rPr>
          <w:rFonts w:hint="eastAsia" w:ascii="宋体" w:hAnsi="宋体" w:eastAsia="宋体" w:cs="宋体"/>
          <w:color w:val="auto"/>
          <w:sz w:val="24"/>
          <w:szCs w:val="24"/>
          <w:highlight w:val="none"/>
          <w:shd w:val="clear" w:color="auto" w:fill="FFFFFF"/>
        </w:rPr>
        <w:t>1、</w:t>
      </w:r>
      <w:r>
        <w:rPr>
          <w:rFonts w:hint="eastAsia" w:ascii="宋体" w:hAnsi="宋体" w:eastAsia="宋体" w:cs="宋体"/>
          <w:color w:val="auto"/>
          <w:sz w:val="24"/>
          <w:szCs w:val="24"/>
          <w:highlight w:val="none"/>
          <w:shd w:val="clear" w:color="auto" w:fill="FFFFFF"/>
          <w:lang w:val="en-US" w:eastAsia="zh-CN"/>
        </w:rPr>
        <w:t>采购</w:t>
      </w:r>
      <w:r>
        <w:rPr>
          <w:rFonts w:hint="eastAsia" w:ascii="宋体" w:hAnsi="宋体" w:eastAsia="宋体" w:cs="宋体"/>
          <w:color w:val="auto"/>
          <w:sz w:val="24"/>
          <w:szCs w:val="24"/>
          <w:highlight w:val="none"/>
          <w:shd w:val="clear" w:color="auto" w:fill="FFFFFF"/>
        </w:rPr>
        <w:t>项目名称：</w:t>
      </w:r>
      <w:r>
        <w:rPr>
          <w:rFonts w:hint="eastAsia" w:ascii="宋体" w:hAnsi="宋体" w:eastAsia="宋体" w:cs="宋体"/>
          <w:color w:val="auto"/>
          <w:sz w:val="24"/>
          <w:szCs w:val="32"/>
        </w:rPr>
        <w:t>驻马店市中心医院</w:t>
      </w:r>
      <w:r>
        <w:rPr>
          <w:rFonts w:hint="eastAsia" w:ascii="宋体" w:hAnsi="宋体" w:eastAsia="宋体" w:cs="宋体"/>
          <w:color w:val="auto"/>
          <w:sz w:val="24"/>
          <w:szCs w:val="32"/>
          <w:lang w:val="en-US" w:eastAsia="zh-CN"/>
        </w:rPr>
        <w:t>妇儿院区医疗废物智能管理系统摄像头采购及对接项目</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2、采购需求</w:t>
      </w:r>
      <w:r>
        <w:rPr>
          <w:rFonts w:hint="eastAsia" w:ascii="宋体" w:hAnsi="宋体" w:eastAsia="宋体" w:cs="宋体"/>
          <w:i w:val="0"/>
          <w:caps w:val="0"/>
          <w:color w:val="auto"/>
          <w:spacing w:val="0"/>
          <w:sz w:val="24"/>
          <w:szCs w:val="24"/>
          <w:shd w:val="clear" w:color="auto" w:fill="FFFFFF"/>
          <w:lang w:eastAsia="zh-CN"/>
        </w:rPr>
        <w:t>：</w:t>
      </w:r>
      <w:r>
        <w:rPr>
          <w:rFonts w:hint="eastAsia" w:ascii="宋体" w:hAnsi="宋体" w:eastAsia="宋体" w:cs="宋体"/>
          <w:color w:val="auto"/>
          <w:sz w:val="24"/>
          <w:szCs w:val="24"/>
          <w:highlight w:val="none"/>
          <w:shd w:val="clear" w:color="auto" w:fill="FFFFFF"/>
        </w:rPr>
        <w:t>具体要求详见附件</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w:t>
      </w:r>
      <w:bookmarkStart w:id="3" w:name="_Toc26725"/>
      <w:r>
        <w:rPr>
          <w:rFonts w:hint="eastAsia" w:ascii="宋体" w:hAnsi="宋体" w:eastAsia="宋体" w:cs="宋体"/>
          <w:color w:val="auto"/>
          <w:sz w:val="24"/>
          <w:szCs w:val="24"/>
          <w:highlight w:val="none"/>
          <w:shd w:val="clear" w:color="auto" w:fill="FFFFFF"/>
        </w:rPr>
        <w:t>、预算金额：</w:t>
      </w:r>
      <w:r>
        <w:rPr>
          <w:rFonts w:hint="eastAsia" w:ascii="宋体" w:hAnsi="宋体" w:eastAsia="宋体" w:cs="宋体"/>
          <w:color w:val="auto"/>
          <w:kern w:val="0"/>
          <w:sz w:val="24"/>
          <w:szCs w:val="24"/>
          <w:highlight w:val="none"/>
          <w:u w:val="none"/>
          <w:lang w:val="en-US" w:eastAsia="zh-CN"/>
        </w:rPr>
        <w:t>198000.00</w:t>
      </w:r>
      <w:r>
        <w:rPr>
          <w:rFonts w:hint="eastAsia" w:ascii="宋体" w:hAnsi="宋体" w:eastAsia="宋体" w:cs="宋体"/>
          <w:color w:val="auto"/>
          <w:kern w:val="0"/>
          <w:sz w:val="24"/>
          <w:szCs w:val="24"/>
          <w:highlight w:val="none"/>
        </w:rPr>
        <w:t>元</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自筹资金；</w:t>
      </w:r>
    </w:p>
    <w:p>
      <w:pPr>
        <w:keepNext w:val="0"/>
        <w:keepLines w:val="0"/>
        <w:pageBreakBefore w:val="0"/>
        <w:kinsoku/>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rPr>
        <w:t>4、</w:t>
      </w:r>
      <w:r>
        <w:rPr>
          <w:rFonts w:hint="eastAsia" w:ascii="宋体" w:hAnsi="宋体" w:eastAsia="宋体" w:cs="宋体"/>
          <w:color w:val="auto"/>
          <w:sz w:val="24"/>
          <w:szCs w:val="24"/>
          <w:highlight w:val="none"/>
          <w:shd w:val="clear" w:color="auto" w:fill="FFFFFF"/>
          <w:lang w:val="en-US" w:eastAsia="zh-CN"/>
        </w:rPr>
        <w:t>交货地点：采购人指定地点；</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rPr>
      </w:pPr>
      <w:bookmarkStart w:id="4" w:name="_Toc26079"/>
      <w:bookmarkStart w:id="5" w:name="_Toc19521"/>
      <w:bookmarkStart w:id="6" w:name="_Toc24040"/>
      <w:bookmarkStart w:id="7" w:name="_Toc27913"/>
      <w:bookmarkStart w:id="8" w:name="_Toc21071"/>
      <w:r>
        <w:rPr>
          <w:rFonts w:hint="eastAsia" w:ascii="宋体" w:hAnsi="宋体" w:eastAsia="宋体" w:cs="宋体"/>
          <w:color w:val="auto"/>
          <w:sz w:val="24"/>
          <w:szCs w:val="24"/>
          <w:highlight w:val="none"/>
          <w:shd w:val="clear" w:color="auto" w:fill="FFFFFF"/>
        </w:rPr>
        <w:t>5、合同履行期限：</w:t>
      </w:r>
      <w:r>
        <w:rPr>
          <w:rFonts w:hint="eastAsia" w:ascii="宋体" w:hAnsi="宋体" w:eastAsia="宋体" w:cs="宋体"/>
          <w:color w:val="auto"/>
          <w:sz w:val="24"/>
          <w:szCs w:val="24"/>
          <w:highlight w:val="none"/>
          <w:shd w:val="clear" w:color="auto" w:fill="FFFFFF"/>
          <w:lang w:eastAsia="zh-CN"/>
        </w:rPr>
        <w:t>以合同约定为准</w:t>
      </w:r>
      <w:r>
        <w:rPr>
          <w:rFonts w:hint="eastAsia" w:ascii="宋体" w:hAnsi="宋体" w:eastAsia="宋体" w:cs="宋体"/>
          <w:color w:val="auto"/>
          <w:sz w:val="24"/>
          <w:szCs w:val="24"/>
          <w:highlight w:val="none"/>
          <w:shd w:val="clear" w:color="auto" w:fill="FFFFFF"/>
          <w:lang w:val="en-US" w:eastAsia="zh-CN"/>
        </w:rPr>
        <w:t>；</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US" w:eastAsia="zh-CN"/>
        </w:rPr>
        <w:t>6</w:t>
      </w:r>
      <w:r>
        <w:rPr>
          <w:rFonts w:hint="eastAsia" w:ascii="宋体" w:hAnsi="宋体" w:eastAsia="宋体" w:cs="宋体"/>
          <w:color w:val="auto"/>
          <w:sz w:val="24"/>
          <w:szCs w:val="24"/>
          <w:highlight w:val="none"/>
          <w:shd w:val="clear" w:color="auto" w:fill="FFFFFF"/>
        </w:rPr>
        <w:t>、</w:t>
      </w:r>
      <w:bookmarkEnd w:id="4"/>
      <w:bookmarkEnd w:id="5"/>
      <w:bookmarkEnd w:id="6"/>
      <w:bookmarkEnd w:id="7"/>
      <w:bookmarkEnd w:id="8"/>
      <w:r>
        <w:rPr>
          <w:rFonts w:hint="eastAsia" w:ascii="宋体" w:hAnsi="宋体" w:eastAsia="宋体" w:cs="宋体"/>
          <w:color w:val="auto"/>
          <w:sz w:val="24"/>
          <w:szCs w:val="24"/>
          <w:highlight w:val="none"/>
          <w:shd w:val="clear" w:color="auto" w:fill="FFFFFF"/>
        </w:rPr>
        <w:t>质量要求：</w:t>
      </w:r>
      <w:r>
        <w:rPr>
          <w:rFonts w:hint="eastAsia" w:ascii="宋体" w:hAnsi="宋体" w:eastAsia="宋体" w:cs="宋体"/>
          <w:color w:val="auto"/>
          <w:sz w:val="24"/>
          <w:szCs w:val="24"/>
          <w:highlight w:val="none"/>
          <w:shd w:val="clear" w:color="auto" w:fill="FFFFFF"/>
          <w:lang w:eastAsia="zh-CN"/>
        </w:rPr>
        <w:t>合格。</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bookmarkStart w:id="9" w:name="_Toc18607"/>
      <w:bookmarkStart w:id="10" w:name="_Toc16639"/>
      <w:bookmarkStart w:id="11" w:name="_Toc27704"/>
      <w:bookmarkStart w:id="12" w:name="_Toc23626"/>
      <w:r>
        <w:rPr>
          <w:rFonts w:hint="eastAsia" w:ascii="宋体" w:hAnsi="宋体" w:eastAsia="宋体" w:cs="宋体"/>
          <w:b/>
          <w:bCs/>
          <w:color w:val="auto"/>
          <w:kern w:val="2"/>
          <w:sz w:val="24"/>
          <w:szCs w:val="24"/>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4"/>
          <w:szCs w:val="24"/>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2、供应商应提供2021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3、具有履行合同所必需的设备和专业技术能力（提供书面声明函）。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4、参加本采购活动前三年内，在经营活动中没有重大违法记录（提供书面声明函）。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5、符合法律、行政法规规定的其他条件。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kern w:val="2"/>
          <w:sz w:val="24"/>
          <w:szCs w:val="32"/>
          <w:highlight w:val="none"/>
          <w:lang w:val="en-US" w:eastAsia="zh-CN" w:bidi="ar-SA"/>
        </w:rPr>
        <w:t>6</w:t>
      </w:r>
      <w:r>
        <w:rPr>
          <w:rFonts w:hint="eastAsia" w:ascii="宋体" w:hAnsi="宋体" w:eastAsia="宋体" w:cs="宋体"/>
          <w:color w:val="auto"/>
          <w:sz w:val="24"/>
          <w:szCs w:val="32"/>
          <w:highlight w:val="none"/>
          <w:lang w:val="en-US" w:eastAsia="zh-CN"/>
        </w:rPr>
        <w:t>、</w:t>
      </w:r>
      <w:r>
        <w:rPr>
          <w:rFonts w:hint="eastAsia" w:ascii="宋体" w:hAnsi="宋体" w:eastAsia="宋体" w:cs="宋体"/>
          <w:color w:val="auto"/>
          <w:sz w:val="24"/>
          <w:szCs w:val="32"/>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7、不接受联合体投标。</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auto"/>
          <w:kern w:val="2"/>
          <w:sz w:val="24"/>
          <w:szCs w:val="32"/>
          <w:lang w:val="en-US" w:eastAsia="zh-CN" w:bidi="ar-SA"/>
        </w:rPr>
      </w:pPr>
      <w:bookmarkStart w:id="13" w:name="_Toc7823"/>
      <w:bookmarkStart w:id="14" w:name="_Toc30971"/>
      <w:bookmarkStart w:id="15" w:name="_Toc23395"/>
      <w:bookmarkStart w:id="16" w:name="_Toc30643"/>
      <w:bookmarkStart w:id="17" w:name="_Toc9562"/>
      <w:r>
        <w:rPr>
          <w:rFonts w:hint="eastAsia" w:ascii="宋体" w:hAnsi="宋体" w:eastAsia="宋体" w:cs="宋体"/>
          <w:b/>
          <w:bCs/>
          <w:color w:val="auto"/>
          <w:kern w:val="2"/>
          <w:sz w:val="24"/>
          <w:szCs w:val="32"/>
          <w:lang w:val="en-US" w:eastAsia="zh-CN" w:bidi="ar-SA"/>
        </w:rPr>
        <w:t>三、获取采购文件</w:t>
      </w:r>
      <w:bookmarkEnd w:id="13"/>
      <w:bookmarkEnd w:id="14"/>
      <w:bookmarkEnd w:id="15"/>
      <w:bookmarkEnd w:id="16"/>
      <w:bookmarkEnd w:id="17"/>
    </w:p>
    <w:p>
      <w:pPr>
        <w:keepNext w:val="0"/>
        <w:keepLines w:val="0"/>
        <w:pageBreakBefore w:val="0"/>
        <w:widowControl/>
        <w:kinsoku/>
        <w:overflowPunct/>
        <w:topLinePunct w:val="0"/>
        <w:bidi w:val="0"/>
        <w:adjustRightInd w:val="0"/>
        <w:snapToGrid w:val="0"/>
        <w:spacing w:line="360" w:lineRule="auto"/>
        <w:ind w:firstLine="480" w:firstLineChars="200"/>
        <w:jc w:val="left"/>
        <w:textAlignment w:val="auto"/>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auto"/>
          <w:sz w:val="24"/>
          <w:szCs w:val="24"/>
          <w:shd w:val="clear" w:color="auto" w:fill="FFFFFF"/>
        </w:rPr>
        <w:t>1</w:t>
      </w:r>
      <w:r>
        <w:rPr>
          <w:rFonts w:hint="eastAsia" w:ascii="宋体" w:hAnsi="宋体" w:eastAsia="宋体" w:cs="宋体"/>
          <w:color w:val="auto"/>
          <w:sz w:val="24"/>
          <w:szCs w:val="24"/>
          <w:shd w:val="clear" w:color="auto" w:fill="FFFFFF"/>
          <w:lang w:val="en-US" w:eastAsia="zh-CN"/>
        </w:rPr>
        <w:t>报</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名</w:t>
      </w:r>
      <w:r>
        <w:rPr>
          <w:rFonts w:hint="eastAsia" w:ascii="宋体" w:hAnsi="宋体" w:eastAsia="宋体" w:cs="宋体"/>
          <w:color w:val="000000" w:themeColor="text1"/>
          <w:sz w:val="24"/>
          <w:szCs w:val="24"/>
          <w:shd w:val="clear" w:color="auto" w:fill="FFFFFF"/>
          <w14:textFill>
            <w14:solidFill>
              <w14:schemeClr w14:val="tx1"/>
            </w14:solidFill>
          </w14:textFill>
        </w:rPr>
        <w:t>时间：</w:t>
      </w:r>
      <w:r>
        <w:rPr>
          <w:rFonts w:hint="eastAsia" w:ascii="宋体" w:hAnsi="宋体" w:eastAsia="宋体" w:cs="宋体"/>
          <w:color w:val="FF0000"/>
          <w:sz w:val="24"/>
          <w:szCs w:val="24"/>
          <w:highlight w:val="none"/>
          <w:shd w:val="clear" w:color="auto" w:fill="FFFFFF"/>
        </w:rPr>
        <w:t>202</w:t>
      </w:r>
      <w:r>
        <w:rPr>
          <w:rFonts w:hint="eastAsia" w:ascii="宋体" w:hAnsi="宋体" w:eastAsia="宋体" w:cs="宋体"/>
          <w:color w:val="FF0000"/>
          <w:sz w:val="24"/>
          <w:szCs w:val="24"/>
          <w:highlight w:val="none"/>
          <w:shd w:val="clear" w:color="auto" w:fill="FFFFFF"/>
          <w:lang w:val="en-US" w:eastAsia="zh-CN"/>
        </w:rPr>
        <w:t>3</w:t>
      </w:r>
      <w:r>
        <w:rPr>
          <w:rFonts w:hint="eastAsia" w:ascii="宋体" w:hAnsi="宋体" w:eastAsia="宋体" w:cs="宋体"/>
          <w:color w:val="FF0000"/>
          <w:sz w:val="24"/>
          <w:szCs w:val="24"/>
          <w:highlight w:val="none"/>
          <w:shd w:val="clear" w:color="auto" w:fill="FFFFFF"/>
        </w:rPr>
        <w:t>年</w:t>
      </w:r>
      <w:r>
        <w:rPr>
          <w:rFonts w:hint="eastAsia" w:ascii="宋体" w:hAnsi="宋体" w:eastAsia="宋体" w:cs="宋体"/>
          <w:color w:val="FF0000"/>
          <w:sz w:val="24"/>
          <w:szCs w:val="24"/>
          <w:highlight w:val="none"/>
          <w:shd w:val="clear" w:color="auto" w:fill="FFFFFF"/>
          <w:lang w:val="en-US" w:eastAsia="zh-CN"/>
        </w:rPr>
        <w:t>03</w:t>
      </w:r>
      <w:r>
        <w:rPr>
          <w:rFonts w:hint="eastAsia" w:ascii="宋体" w:hAnsi="宋体" w:eastAsia="宋体" w:cs="宋体"/>
          <w:color w:val="FF0000"/>
          <w:sz w:val="24"/>
          <w:szCs w:val="24"/>
          <w:highlight w:val="none"/>
          <w:shd w:val="clear" w:color="auto" w:fill="FFFFFF"/>
        </w:rPr>
        <w:t>月</w:t>
      </w:r>
      <w:r>
        <w:rPr>
          <w:rFonts w:hint="eastAsia" w:ascii="宋体" w:hAnsi="宋体" w:cs="宋体"/>
          <w:color w:val="FF0000"/>
          <w:sz w:val="24"/>
          <w:szCs w:val="24"/>
          <w:highlight w:val="none"/>
          <w:shd w:val="clear" w:color="auto" w:fill="FFFFFF"/>
          <w:lang w:val="en-US" w:eastAsia="zh-CN"/>
        </w:rPr>
        <w:t>15</w:t>
      </w:r>
      <w:r>
        <w:rPr>
          <w:rFonts w:hint="eastAsia" w:ascii="宋体" w:hAnsi="宋体" w:eastAsia="宋体" w:cs="宋体"/>
          <w:color w:val="FF0000"/>
          <w:sz w:val="24"/>
          <w:szCs w:val="24"/>
          <w:highlight w:val="none"/>
          <w:shd w:val="clear" w:color="auto" w:fill="FFFFFF"/>
        </w:rPr>
        <w:t>日-202</w:t>
      </w:r>
      <w:r>
        <w:rPr>
          <w:rFonts w:hint="eastAsia" w:ascii="宋体" w:hAnsi="宋体" w:eastAsia="宋体" w:cs="宋体"/>
          <w:color w:val="FF0000"/>
          <w:sz w:val="24"/>
          <w:szCs w:val="24"/>
          <w:highlight w:val="none"/>
          <w:shd w:val="clear" w:color="auto" w:fill="FFFFFF"/>
          <w:lang w:val="en-US" w:eastAsia="zh-CN"/>
        </w:rPr>
        <w:t>3</w:t>
      </w:r>
      <w:r>
        <w:rPr>
          <w:rFonts w:hint="eastAsia" w:ascii="宋体" w:hAnsi="宋体" w:eastAsia="宋体" w:cs="宋体"/>
          <w:color w:val="FF0000"/>
          <w:sz w:val="24"/>
          <w:szCs w:val="24"/>
          <w:highlight w:val="none"/>
          <w:shd w:val="clear" w:color="auto" w:fill="FFFFFF"/>
        </w:rPr>
        <w:t>年</w:t>
      </w:r>
      <w:r>
        <w:rPr>
          <w:rFonts w:hint="eastAsia" w:ascii="宋体" w:hAnsi="宋体" w:eastAsia="宋体" w:cs="宋体"/>
          <w:color w:val="FF0000"/>
          <w:sz w:val="24"/>
          <w:szCs w:val="24"/>
          <w:highlight w:val="none"/>
          <w:shd w:val="clear" w:color="auto" w:fill="FFFFFF"/>
          <w:lang w:val="en-US" w:eastAsia="zh-CN"/>
        </w:rPr>
        <w:t>03</w:t>
      </w:r>
      <w:r>
        <w:rPr>
          <w:rFonts w:hint="eastAsia" w:ascii="宋体" w:hAnsi="宋体" w:eastAsia="宋体" w:cs="宋体"/>
          <w:color w:val="FF0000"/>
          <w:sz w:val="24"/>
          <w:szCs w:val="24"/>
          <w:highlight w:val="none"/>
          <w:shd w:val="clear" w:color="auto" w:fill="FFFFFF"/>
        </w:rPr>
        <w:t>月</w:t>
      </w:r>
      <w:r>
        <w:rPr>
          <w:rFonts w:hint="eastAsia" w:ascii="宋体" w:hAnsi="宋体" w:cs="宋体"/>
          <w:color w:val="FF0000"/>
          <w:sz w:val="24"/>
          <w:szCs w:val="24"/>
          <w:highlight w:val="none"/>
          <w:shd w:val="clear" w:color="auto" w:fill="FFFFFF"/>
          <w:lang w:val="en-US" w:eastAsia="zh-CN"/>
        </w:rPr>
        <w:t>17</w:t>
      </w:r>
      <w:r>
        <w:rPr>
          <w:rFonts w:hint="eastAsia" w:ascii="宋体" w:hAnsi="宋体" w:eastAsia="宋体" w:cs="宋体"/>
          <w:color w:val="FF0000"/>
          <w:sz w:val="24"/>
          <w:szCs w:val="24"/>
          <w:highlight w:val="none"/>
          <w:shd w:val="clear" w:color="auto" w:fill="FFFFFF"/>
        </w:rPr>
        <w:t>日，上</w:t>
      </w:r>
      <w:r>
        <w:rPr>
          <w:rFonts w:hint="eastAsia" w:ascii="宋体" w:hAnsi="宋体" w:eastAsia="宋体" w:cs="宋体"/>
          <w:color w:val="FF0000"/>
          <w:sz w:val="24"/>
          <w:szCs w:val="24"/>
          <w:shd w:val="clear" w:color="auto" w:fill="FFFFFF"/>
        </w:rPr>
        <w:t>午8：30-11:30，下午14:30-17:30</w:t>
      </w:r>
      <w:r>
        <w:rPr>
          <w:rFonts w:hint="eastAsia" w:ascii="宋体" w:hAnsi="宋体" w:eastAsia="宋体" w:cs="宋体"/>
          <w:color w:val="000000" w:themeColor="text1"/>
          <w:sz w:val="24"/>
          <w:szCs w:val="24"/>
          <w:shd w:val="clear" w:color="auto" w:fill="FFFFFF"/>
          <w14:textFill>
            <w14:solidFill>
              <w14:schemeClr w14:val="tx1"/>
            </w14:solidFill>
          </w14:textFill>
        </w:rPr>
        <w:t>（北京时间，法定节假日除外）</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报名费用：200元。</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 xml:space="preserve">2.凡报名成功的供应商无故不来参与投标的列入我院黑名单，一年内不得参与我院任何采购活动。中标供应商缴纳相应服务费。 </w:t>
      </w:r>
    </w:p>
    <w:p>
      <w:pPr>
        <w:keepNext w:val="0"/>
        <w:keepLines w:val="0"/>
        <w:pageBreakBefore w:val="0"/>
        <w:widowControl/>
        <w:kinsoku/>
        <w:wordWrap w:val="0"/>
        <w:overflowPunct/>
        <w:topLinePunct w:val="0"/>
        <w:bidi w:val="0"/>
        <w:snapToGrid w:val="0"/>
        <w:spacing w:before="0" w:beforeAutospacing="0" w:after="0" w:afterAutospacing="0" w:line="360" w:lineRule="auto"/>
        <w:ind w:left="0" w:leftChars="0" w:firstLine="480" w:firstLineChars="200"/>
        <w:jc w:val="left"/>
        <w:textAlignment w:val="auto"/>
        <w:rPr>
          <w:rFonts w:hint="eastAsia" w:ascii="宋体" w:hAnsi="宋体" w:eastAsia="宋体" w:cs="宋体"/>
          <w:color w:val="000000" w:themeColor="text1"/>
          <w:kern w:val="0"/>
          <w:sz w:val="24"/>
          <w:szCs w:val="24"/>
          <w:u w:val="singl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instrText xml:space="preserve"> HYPERLINK "mailto:hnwxzb2@163.com并标明XX" </w:instrTex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1150105437@qq.com</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并标明XX</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end"/>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项目报名资料；审核通过后按要求交纳报名费。</w:t>
      </w:r>
    </w:p>
    <w:p>
      <w:pPr>
        <w:keepNext w:val="0"/>
        <w:keepLines w:val="0"/>
        <w:pageBreakBefore w:val="0"/>
        <w:widowControl/>
        <w:kinsoku/>
        <w:wordWrap w:val="0"/>
        <w:overflowPunct/>
        <w:topLinePunct w:val="0"/>
        <w:bidi w:val="0"/>
        <w:snapToGrid w:val="0"/>
        <w:spacing w:before="0" w:beforeAutospacing="0" w:after="0" w:afterAutospacing="0" w:line="360" w:lineRule="auto"/>
        <w:ind w:left="420" w:left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4.报名登记表：请从附件中下载。</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18" w:name="_Toc27480"/>
      <w:bookmarkStart w:id="19" w:name="_Toc15135"/>
      <w:bookmarkStart w:id="20" w:name="_Toc15111"/>
      <w:bookmarkStart w:id="21" w:name="_Toc10738"/>
      <w:bookmarkStart w:id="22" w:name="_Toc25869"/>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四、投标截止时间及地点</w:t>
      </w:r>
      <w:bookmarkEnd w:id="18"/>
      <w:bookmarkEnd w:id="19"/>
      <w:bookmarkEnd w:id="20"/>
      <w:bookmarkEnd w:id="21"/>
      <w:bookmarkEnd w:id="22"/>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五、开标时间及地点</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u w:val="none"/>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23" w:name="_Toc20287"/>
      <w:bookmarkStart w:id="24" w:name="_Toc29784"/>
      <w:bookmarkStart w:id="25" w:name="_Toc6523"/>
      <w:bookmarkStart w:id="26" w:name="_Toc30918"/>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六、发布公告的媒介及</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公告期限</w:t>
      </w:r>
      <w:bookmarkEnd w:id="23"/>
      <w:bookmarkEnd w:id="24"/>
      <w:bookmarkEnd w:id="25"/>
      <w:bookmarkEnd w:id="26"/>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本次</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公告在《驻马店市中心医院》院内网</w:t>
      </w:r>
      <w:r>
        <w:rPr>
          <w:rFonts w:hint="eastAsia" w:ascii="宋体" w:hAnsi="宋体" w:eastAsia="宋体" w:cs="宋体"/>
          <w:color w:val="000000" w:themeColor="text1"/>
          <w:sz w:val="24"/>
          <w:szCs w:val="24"/>
          <w:shd w:val="clear" w:color="auto" w:fill="auto"/>
          <w14:textFill>
            <w14:solidFill>
              <w14:schemeClr w14:val="tx1"/>
            </w14:solidFill>
          </w14:textFill>
        </w:rPr>
        <w:t>上发布</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公告期限为</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三</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个工作日</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bookmarkStart w:id="27" w:name="_Toc35393795"/>
      <w:bookmarkStart w:id="28" w:name="_Toc35393626"/>
    </w:p>
    <w:bookmarkEnd w:id="27"/>
    <w:bookmarkEnd w:id="28"/>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bookmarkStart w:id="29" w:name="_Toc27370"/>
      <w:bookmarkStart w:id="30" w:name="_Toc24274"/>
      <w:bookmarkStart w:id="31" w:name="_Toc16291"/>
      <w:bookmarkStart w:id="32" w:name="_Toc31928"/>
      <w:bookmarkStart w:id="33" w:name="_Toc3604"/>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八、</w:t>
      </w:r>
      <w:bookmarkEnd w:id="29"/>
      <w:bookmarkEnd w:id="30"/>
      <w:bookmarkEnd w:id="31"/>
      <w:bookmarkEnd w:id="32"/>
      <w:bookmarkEnd w:id="33"/>
      <w:r>
        <w:rPr>
          <w:rFonts w:hint="eastAsia" w:ascii="宋体" w:hAnsi="宋体" w:eastAsia="宋体" w:cs="宋体"/>
          <w:b/>
          <w:bCs/>
          <w:color w:val="000000" w:themeColor="text1"/>
          <w:kern w:val="2"/>
          <w:sz w:val="24"/>
          <w:szCs w:val="24"/>
          <w:highlight w:val="none"/>
          <w:shd w:val="clear" w:color="auto" w:fill="FFFFFF"/>
          <w:lang w:val="en-US" w:eastAsia="zh-CN" w:bidi="ar-SA"/>
          <w14:textFill>
            <w14:solidFill>
              <w14:schemeClr w14:val="tx1"/>
            </w14:solidFill>
          </w14:textFill>
        </w:rPr>
        <w:t>凡对本次招标提出询问，请按照以下方式联系</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报名联系人：王女士</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联系电话：0396-2858369   18639627370</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联系人：陈先生</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联系电话：0396-2726379</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联系邮箱：</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instrText xml:space="preserve"> HYPERLINK "mailto:zxyyjzcgbgs@163.com" </w:instrTex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zxyyjzcgbgs@163.com</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end"/>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监督部门：驻马店市中心医院纪检监察室</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监督电话：0396-2725435</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驻马店市中心医院采购科</w:t>
      </w:r>
    </w:p>
    <w:p>
      <w:pPr>
        <w:pStyle w:val="31"/>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b/>
          <w:bCs/>
          <w:color w:val="auto"/>
          <w:sz w:val="24"/>
          <w:highlight w:val="none"/>
        </w:rPr>
      </w:pPr>
      <w:r>
        <w:rPr>
          <w:rFonts w:hint="eastAsia" w:ascii="宋体" w:hAnsi="宋体" w:eastAsia="宋体" w:cs="宋体"/>
          <w:color w:val="FF0000"/>
          <w:kern w:val="0"/>
          <w:sz w:val="24"/>
          <w:szCs w:val="24"/>
          <w:shd w:val="clear" w:color="auto" w:fill="FFFFFF"/>
          <w:lang w:val="en-US" w:eastAsia="zh-CN" w:bidi="ar-SA"/>
        </w:rPr>
        <w:t>2023年</w:t>
      </w:r>
      <w:r>
        <w:rPr>
          <w:rFonts w:hint="eastAsia" w:ascii="宋体" w:hAnsi="宋体" w:eastAsia="宋体" w:cs="宋体"/>
          <w:color w:val="FF0000"/>
          <w:kern w:val="0"/>
          <w:sz w:val="24"/>
          <w:szCs w:val="24"/>
          <w:highlight w:val="none"/>
          <w:shd w:val="clear" w:color="auto" w:fill="FFFFFF"/>
          <w:lang w:val="en-US" w:eastAsia="zh-CN" w:bidi="ar-SA"/>
        </w:rPr>
        <w:t>03月</w:t>
      </w:r>
      <w:r>
        <w:rPr>
          <w:rFonts w:hint="eastAsia" w:ascii="宋体" w:hAnsi="宋体" w:cs="宋体"/>
          <w:color w:val="FF0000"/>
          <w:kern w:val="0"/>
          <w:sz w:val="24"/>
          <w:szCs w:val="24"/>
          <w:highlight w:val="none"/>
          <w:shd w:val="clear" w:color="auto" w:fill="FFFFFF"/>
          <w:lang w:val="en-US" w:eastAsia="zh-CN" w:bidi="ar-SA"/>
        </w:rPr>
        <w:t>14</w:t>
      </w:r>
      <w:r>
        <w:rPr>
          <w:rFonts w:hint="eastAsia" w:ascii="宋体" w:hAnsi="宋体" w:eastAsia="宋体" w:cs="宋体"/>
          <w:color w:val="FF0000"/>
          <w:kern w:val="0"/>
          <w:sz w:val="24"/>
          <w:szCs w:val="24"/>
          <w:highlight w:val="none"/>
          <w:shd w:val="clear" w:color="auto" w:fill="FFFFFF"/>
          <w:lang w:val="en-US" w:eastAsia="zh-CN" w:bidi="ar-SA"/>
        </w:rPr>
        <w:t>日</w:t>
      </w:r>
    </w:p>
    <w:bookmarkEnd w:id="102"/>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40"/>
          <w:szCs w:val="40"/>
          <w:highlight w:val="none"/>
        </w:rPr>
      </w:pPr>
      <w:bookmarkStart w:id="34" w:name="_Toc26828"/>
      <w:bookmarkStart w:id="35" w:name="_Toc29890"/>
      <w:bookmarkStart w:id="36" w:name="_Toc23793"/>
      <w:r>
        <w:rPr>
          <w:rFonts w:hint="eastAsia" w:ascii="宋体" w:hAnsi="宋体"/>
          <w:b/>
          <w:color w:val="auto"/>
          <w:sz w:val="40"/>
          <w:szCs w:val="40"/>
          <w:highlight w:val="none"/>
        </w:rPr>
        <w:t xml:space="preserve">第二章  </w:t>
      </w:r>
      <w:r>
        <w:rPr>
          <w:rFonts w:hint="eastAsia" w:ascii="宋体" w:hAnsi="宋体"/>
          <w:b/>
          <w:color w:val="auto"/>
          <w:sz w:val="40"/>
          <w:szCs w:val="40"/>
          <w:highlight w:val="none"/>
          <w:lang w:eastAsia="zh-CN"/>
        </w:rPr>
        <w:t>采购</w:t>
      </w:r>
      <w:r>
        <w:rPr>
          <w:rFonts w:hint="eastAsia" w:ascii="宋体" w:hAnsi="宋体"/>
          <w:b/>
          <w:color w:val="auto"/>
          <w:sz w:val="40"/>
          <w:szCs w:val="40"/>
          <w:highlight w:val="none"/>
        </w:rPr>
        <w:t>需求</w:t>
      </w:r>
      <w:bookmarkEnd w:id="34"/>
      <w:bookmarkStart w:id="37" w:name="_Toc9989"/>
      <w:bookmarkStart w:id="38" w:name="_Toc23610"/>
      <w:bookmarkStart w:id="39" w:name="_Toc31536"/>
    </w:p>
    <w:bookmarkEnd w:id="37"/>
    <w:bookmarkEnd w:id="38"/>
    <w:bookmarkEnd w:id="39"/>
    <w:p>
      <w:pPr>
        <w:widowControl/>
        <w:adjustRightInd w:val="0"/>
        <w:snapToGrid w:val="0"/>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eastAsia="zh-CN"/>
        </w:rPr>
        <w:t>一、</w:t>
      </w:r>
      <w:r>
        <w:rPr>
          <w:rFonts w:hint="eastAsia" w:ascii="宋体" w:hAnsi="宋体" w:cs="宋体"/>
          <w:color w:val="auto"/>
          <w:sz w:val="24"/>
          <w:szCs w:val="24"/>
          <w:highlight w:val="none"/>
        </w:rPr>
        <w:t>项目名称：驻马店市中心医院</w:t>
      </w:r>
      <w:r>
        <w:rPr>
          <w:rFonts w:hint="eastAsia" w:ascii="宋体" w:hAnsi="宋体" w:cs="宋体"/>
          <w:color w:val="auto"/>
          <w:sz w:val="24"/>
          <w:szCs w:val="24"/>
          <w:highlight w:val="none"/>
          <w:lang w:val="en-US" w:eastAsia="zh-CN"/>
        </w:rPr>
        <w:t>妇儿院区医疗废物智能管理系统摄像头采购及对接项目</w:t>
      </w:r>
    </w:p>
    <w:p>
      <w:pPr>
        <w:widowControl/>
        <w:adjustRightInd w:val="0"/>
        <w:snapToGrid w:val="0"/>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二、详细技术要求、参数及产品资料等： </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3169"/>
        <w:gridCol w:w="1288"/>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942" w:type="dxa"/>
            <w:vAlign w:val="center"/>
          </w:tcPr>
          <w:p>
            <w:pPr>
              <w:pStyle w:val="8"/>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cs="宋体"/>
                <w:b/>
                <w:bCs/>
                <w:color w:val="auto"/>
                <w:sz w:val="24"/>
                <w:szCs w:val="24"/>
                <w:lang w:val="en-US" w:eastAsia="zh-CN"/>
              </w:rPr>
              <w:t>序号</w:t>
            </w:r>
          </w:p>
        </w:tc>
        <w:tc>
          <w:tcPr>
            <w:tcW w:w="3169" w:type="dxa"/>
            <w:vAlign w:val="center"/>
          </w:tcPr>
          <w:p>
            <w:pPr>
              <w:pStyle w:val="8"/>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bCs/>
                <w:color w:val="auto"/>
                <w:sz w:val="24"/>
                <w:szCs w:val="24"/>
              </w:rPr>
              <w:t>项目名称</w:t>
            </w:r>
          </w:p>
        </w:tc>
        <w:tc>
          <w:tcPr>
            <w:tcW w:w="1288" w:type="dxa"/>
            <w:vAlign w:val="center"/>
          </w:tcPr>
          <w:p>
            <w:pPr>
              <w:pStyle w:val="8"/>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bCs/>
                <w:color w:val="auto"/>
                <w:sz w:val="24"/>
                <w:szCs w:val="24"/>
              </w:rPr>
              <w:t>数量或规模</w:t>
            </w:r>
          </w:p>
        </w:tc>
        <w:tc>
          <w:tcPr>
            <w:tcW w:w="1800" w:type="dxa"/>
            <w:vAlign w:val="center"/>
          </w:tcPr>
          <w:p>
            <w:pPr>
              <w:pStyle w:val="8"/>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bCs/>
                <w:color w:val="auto"/>
                <w:sz w:val="24"/>
                <w:szCs w:val="24"/>
              </w:rPr>
              <w:t>资金预算</w:t>
            </w:r>
            <w:r>
              <w:rPr>
                <w:rFonts w:hint="eastAsia" w:ascii="宋体" w:hAnsi="宋体" w:eastAsia="宋体" w:cs="宋体"/>
                <w:b/>
                <w:bCs/>
                <w:color w:val="auto"/>
                <w:sz w:val="24"/>
                <w:szCs w:val="24"/>
                <w:lang w:eastAsia="zh-CN"/>
              </w:rPr>
              <w:t>（元）</w:t>
            </w:r>
          </w:p>
        </w:tc>
        <w:tc>
          <w:tcPr>
            <w:tcW w:w="1800" w:type="dxa"/>
            <w:vAlign w:val="center"/>
          </w:tcPr>
          <w:p>
            <w:pPr>
              <w:pStyle w:val="8"/>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bCs/>
                <w:color w:val="auto"/>
                <w:sz w:val="24"/>
                <w:szCs w:val="24"/>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42" w:type="dxa"/>
            <w:vAlign w:val="center"/>
          </w:tcPr>
          <w:p>
            <w:pPr>
              <w:pStyle w:val="8"/>
              <w:spacing w:line="360" w:lineRule="auto"/>
              <w:jc w:val="center"/>
              <w:rPr>
                <w:rFonts w:hint="eastAsia" w:ascii="宋体" w:hAnsi="宋体" w:eastAsia="宋体" w:cs="宋体"/>
                <w:color w:val="auto"/>
                <w:kern w:val="2"/>
                <w:sz w:val="24"/>
                <w:szCs w:val="24"/>
                <w:highlight w:val="none"/>
                <w:vertAlign w:val="baseline"/>
                <w:lang w:val="en-US" w:eastAsia="zh-CN" w:bidi="ar-SA"/>
              </w:rPr>
            </w:pPr>
            <w:r>
              <w:rPr>
                <w:rFonts w:hint="eastAsia" w:cs="宋体"/>
                <w:color w:val="auto"/>
                <w:sz w:val="24"/>
                <w:szCs w:val="24"/>
                <w:lang w:val="en-US" w:eastAsia="zh-CN"/>
              </w:rPr>
              <w:t>1</w:t>
            </w:r>
          </w:p>
        </w:tc>
        <w:tc>
          <w:tcPr>
            <w:tcW w:w="3169" w:type="dxa"/>
            <w:vAlign w:val="center"/>
          </w:tcPr>
          <w:p>
            <w:pPr>
              <w:pStyle w:val="8"/>
              <w:spacing w:line="360" w:lineRule="auto"/>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sz w:val="24"/>
                <w:szCs w:val="24"/>
                <w:lang w:val="en-US" w:eastAsia="zh-CN"/>
              </w:rPr>
              <w:t>妇儿院区医疗废物智能管理系统摄像头采购及对接</w:t>
            </w:r>
          </w:p>
        </w:tc>
        <w:tc>
          <w:tcPr>
            <w:tcW w:w="1288" w:type="dxa"/>
            <w:vAlign w:val="center"/>
          </w:tcPr>
          <w:p>
            <w:pPr>
              <w:pStyle w:val="8"/>
              <w:spacing w:line="360" w:lineRule="auto"/>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sz w:val="24"/>
                <w:szCs w:val="24"/>
                <w:lang w:val="en-US" w:eastAsia="zh-CN"/>
              </w:rPr>
              <w:t>见清单</w:t>
            </w:r>
          </w:p>
        </w:tc>
        <w:tc>
          <w:tcPr>
            <w:tcW w:w="1800" w:type="dxa"/>
            <w:vAlign w:val="center"/>
          </w:tcPr>
          <w:p>
            <w:pPr>
              <w:pStyle w:val="8"/>
              <w:spacing w:line="360" w:lineRule="auto"/>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sz w:val="24"/>
                <w:szCs w:val="24"/>
                <w:lang w:val="en-US" w:eastAsia="zh-CN"/>
              </w:rPr>
              <w:t>19.8万元</w:t>
            </w:r>
          </w:p>
        </w:tc>
        <w:tc>
          <w:tcPr>
            <w:tcW w:w="1800" w:type="dxa"/>
            <w:vAlign w:val="center"/>
          </w:tcPr>
          <w:p>
            <w:pPr>
              <w:pStyle w:val="8"/>
              <w:spacing w:line="360" w:lineRule="auto"/>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sz w:val="24"/>
                <w:szCs w:val="24"/>
                <w:lang w:val="en-US" w:eastAsia="zh-CN"/>
              </w:rPr>
              <w:t>自筹</w:t>
            </w:r>
          </w:p>
        </w:tc>
      </w:tr>
    </w:tbl>
    <w:p>
      <w:pPr>
        <w:widowControl/>
        <w:adjustRightInd w:val="0"/>
        <w:snapToGrid w:val="0"/>
        <w:spacing w:line="360" w:lineRule="auto"/>
        <w:jc w:val="left"/>
        <w:rPr>
          <w:rFonts w:hint="eastAsia" w:ascii="宋体" w:hAnsi="宋体" w:cs="宋体"/>
          <w:color w:val="auto"/>
          <w:sz w:val="24"/>
          <w:szCs w:val="24"/>
          <w:highlight w:val="none"/>
          <w:lang w:val="en-US" w:eastAsia="zh-CN"/>
        </w:rPr>
      </w:pPr>
    </w:p>
    <w:p>
      <w:pPr>
        <w:jc w:val="center"/>
        <w:rPr>
          <w:rFonts w:hint="default" w:eastAsiaTheme="minorEastAsia"/>
          <w:b/>
          <w:bCs/>
          <w:sz w:val="32"/>
          <w:szCs w:val="40"/>
          <w:lang w:val="en-US" w:eastAsia="zh-CN"/>
        </w:rPr>
      </w:pPr>
      <w:r>
        <w:rPr>
          <w:rFonts w:hint="eastAsia"/>
          <w:b/>
          <w:bCs/>
          <w:sz w:val="32"/>
          <w:szCs w:val="40"/>
          <w:lang w:val="en-US" w:eastAsia="zh-CN"/>
        </w:rPr>
        <w:t>妇儿院区医疗废物智能管理系统摄像头采购及对接清单</w:t>
      </w:r>
    </w:p>
    <w:tbl>
      <w:tblPr>
        <w:tblStyle w:val="34"/>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2"/>
        <w:gridCol w:w="1936"/>
        <w:gridCol w:w="855"/>
        <w:gridCol w:w="1440"/>
        <w:gridCol w:w="760"/>
        <w:gridCol w:w="780"/>
        <w:gridCol w:w="130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品牌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型号</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单价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2"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POE摄像机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812.5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37375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交换机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700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汇聚交换机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780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超五类网线</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RVVP8*0.5</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380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电源线</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RVV2*1.5</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3.6</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网络设备分线箱</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300*400*500</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64路录像机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3000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监控硬盘</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4T监控专用高速硬盘</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1500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水晶头</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2"/>
                <w:szCs w:val="22"/>
                <w:u w:val="none"/>
                <w:lang w:val="en-US" w:eastAsia="zh-CN"/>
              </w:rPr>
            </w:pPr>
            <w:r>
              <w:rPr>
                <w:rFonts w:hint="eastAsia" w:ascii="宋体" w:hAnsi="宋体" w:eastAsia="宋体" w:cs="宋体"/>
                <w:b w:val="0"/>
                <w:bCs w:val="0"/>
                <w:i w:val="0"/>
                <w:iCs w:val="0"/>
                <w:color w:val="000000"/>
                <w:sz w:val="22"/>
                <w:szCs w:val="22"/>
                <w:u w:val="none"/>
                <w:lang w:val="en-US" w:eastAsia="zh-CN"/>
              </w:rPr>
              <w:t>40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智能医废平台功能模块开发及对接费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中科医信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须与中心院区智能医废平台开发对接，且统一到同一平台，最终所有的医废数据同一上传至省卫健委系统。</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75000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材料费、人工费及安装费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2"/>
                <w:szCs w:val="22"/>
                <w:u w:val="none"/>
                <w:lang w:val="en-US" w:eastAsia="zh-CN"/>
              </w:rPr>
            </w:pPr>
            <w:r>
              <w:rPr>
                <w:rFonts w:hint="eastAsia" w:ascii="宋体" w:hAnsi="宋体" w:eastAsia="宋体" w:cs="宋体"/>
                <w:b w:val="0"/>
                <w:bCs w:val="0"/>
                <w:i w:val="0"/>
                <w:iCs w:val="0"/>
                <w:color w:val="000000"/>
                <w:sz w:val="22"/>
                <w:szCs w:val="22"/>
                <w:u w:val="none"/>
                <w:lang w:val="en-US" w:eastAsia="zh-CN"/>
              </w:rPr>
              <w:t>51765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51765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sum(H2:H12)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198000</w:t>
            </w:r>
            <w:r>
              <w:rPr>
                <w:rFonts w:hint="eastAsia" w:ascii="宋体" w:hAnsi="宋体" w:eastAsia="宋体" w:cs="宋体"/>
                <w:i w:val="0"/>
                <w:iCs w:val="0"/>
                <w:color w:val="000000"/>
                <w:sz w:val="22"/>
                <w:szCs w:val="22"/>
                <w:u w:val="none"/>
              </w:rPr>
              <w:fldChar w:fldCharType="end"/>
            </w:r>
          </w:p>
        </w:tc>
      </w:tr>
    </w:tbl>
    <w:p>
      <w:pPr>
        <w:bidi w:val="0"/>
        <w:jc w:val="center"/>
        <w:rPr>
          <w:b/>
          <w:bCs/>
          <w:sz w:val="32"/>
          <w:szCs w:val="40"/>
        </w:rPr>
      </w:pPr>
      <w:bookmarkStart w:id="40" w:name="_Toc6786"/>
      <w:r>
        <w:rPr>
          <w:rFonts w:hint="eastAsia"/>
          <w:b/>
          <w:bCs/>
          <w:sz w:val="32"/>
          <w:szCs w:val="40"/>
          <w:lang w:val="en-US" w:eastAsia="zh-CN"/>
        </w:rPr>
        <w:t>技术参数要求</w:t>
      </w:r>
      <w:bookmarkEnd w:id="40"/>
    </w:p>
    <w:tbl>
      <w:tblPr>
        <w:tblStyle w:val="34"/>
        <w:tblW w:w="91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5"/>
        <w:gridCol w:w="1015"/>
        <w:gridCol w:w="1384"/>
        <w:gridCol w:w="6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7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jc w:val="center"/>
        </w:trPr>
        <w:tc>
          <w:tcPr>
            <w:tcW w:w="715"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10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智能医废系统功能模块的技术开发</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sz w:val="24"/>
                <w:szCs w:val="24"/>
              </w:rPr>
              <w:t>医废分类</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spacing w:line="360" w:lineRule="auto"/>
              <w:ind w:left="0" w:leftChars="0" w:firstLine="0" w:firstLineChars="0"/>
              <w:jc w:val="both"/>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sz w:val="24"/>
                <w:szCs w:val="24"/>
              </w:rPr>
              <w:t>可展示五种标准医废进行分类， 包括感染类、病理类、损伤类、药物类、化学类，并分别统计。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715"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01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sz w:val="24"/>
                <w:szCs w:val="24"/>
              </w:rPr>
              <w:t>医废车辆管理</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sz w:val="24"/>
                <w:szCs w:val="24"/>
              </w:rPr>
              <w:t>医废车管理页面，可对医废车信息进行增加、删出、改查；在医废车管理页面，可对医废车信息进行增加、删出、改查；在医废车管理页面，可通过车辆负责人绑定医废车所属科室。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jc w:val="center"/>
        </w:trPr>
        <w:tc>
          <w:tcPr>
            <w:tcW w:w="715"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01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sz w:val="24"/>
                <w:szCs w:val="24"/>
              </w:rPr>
              <w:t>科室定位</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spacing w:line="360" w:lineRule="auto"/>
              <w:ind w:leftChars="0"/>
              <w:jc w:val="both"/>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sz w:val="24"/>
                <w:szCs w:val="24"/>
              </w:rPr>
              <w:t>通过医废车中的定位系统,可实现科室的自动定位的功能。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2" w:hRule="atLeast"/>
          <w:jc w:val="center"/>
        </w:trPr>
        <w:tc>
          <w:tcPr>
            <w:tcW w:w="715"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01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收集记录</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在医废车收集页可显示收集医废的详细记录及信息数据信息并在转运车系统上显示，显示内容包括：时间、地点、科室、医废数量、医废重量、医废类型记录功能</w:t>
            </w:r>
            <w:r>
              <w:rPr>
                <w:rFonts w:hint="eastAsia" w:ascii="宋体" w:hAnsi="宋体" w:eastAsia="宋体" w:cs="宋体"/>
                <w:sz w:val="24"/>
                <w:szCs w:val="24"/>
                <w:lang w:eastAsia="zh-CN"/>
              </w:rPr>
              <w:t>。</w:t>
            </w:r>
          </w:p>
          <w:p>
            <w:pPr>
              <w:numPr>
                <w:ilvl w:val="0"/>
                <w:numId w:val="0"/>
              </w:numPr>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进入医疗废物管理-入站记录界面，可显示医废入库暂存站数据信息记录，记录信息包括：时间，数量，重量、类型、收集人电子签字确认，科室人员电子签字确认</w:t>
            </w:r>
            <w:r>
              <w:rPr>
                <w:rFonts w:hint="eastAsia" w:ascii="宋体" w:hAnsi="宋体" w:eastAsia="宋体" w:cs="宋体"/>
                <w:sz w:val="24"/>
                <w:szCs w:val="24"/>
                <w:lang w:eastAsia="zh-CN"/>
              </w:rPr>
              <w:t>。</w:t>
            </w:r>
          </w:p>
          <w:p>
            <w:pPr>
              <w:numPr>
                <w:ilvl w:val="0"/>
                <w:numId w:val="0"/>
              </w:numPr>
              <w:spacing w:line="360" w:lineRule="auto"/>
              <w:ind w:left="0" w:leftChars="0" w:firstLine="0" w:firstLineChars="0"/>
              <w:jc w:val="both"/>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进入医疗废物管理-出站记录，可显示医废暂存站出库数据信息记录，记录信息包括：时间，数量，重量、类型、收集人电子签字确认，处理站人电子签字确认的功能。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2" w:hRule="atLeast"/>
          <w:jc w:val="center"/>
        </w:trPr>
        <w:tc>
          <w:tcPr>
            <w:tcW w:w="715"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01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医废收集信息签字确认</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医废收集完成后科室通过医废车完成科室收集医废的签名，其中包括： 科室人员电子签名确认、收集人员电子签名确认。</w:t>
            </w:r>
          </w:p>
          <w:p>
            <w:pPr>
              <w:numPr>
                <w:ilvl w:val="0"/>
                <w:numId w:val="0"/>
              </w:numPr>
              <w:spacing w:line="360" w:lineRule="auto"/>
              <w:ind w:leftChars="0"/>
              <w:jc w:val="both"/>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收集医废完成时签名：收集人员电子签名确认、处理站人员电子签字确认。</w:t>
            </w:r>
          </w:p>
          <w:p>
            <w:pPr>
              <w:numPr>
                <w:ilvl w:val="0"/>
                <w:numId w:val="0"/>
              </w:numPr>
              <w:spacing w:line="360" w:lineRule="auto"/>
              <w:ind w:leftChars="0"/>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需要签字时确认时，可通过微信推送提醒签字人签字确认。</w:t>
            </w:r>
          </w:p>
          <w:p>
            <w:pPr>
              <w:numPr>
                <w:ilvl w:val="0"/>
                <w:numId w:val="0"/>
              </w:numPr>
              <w:spacing w:line="360" w:lineRule="auto"/>
              <w:ind w:leftChars="0"/>
              <w:jc w:val="both"/>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需要签字时，可通过微信推送提醒签字人签字。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715"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01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医废垃圾和转运箱绑定-二维码标签绑定</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spacing w:line="360" w:lineRule="auto"/>
              <w:ind w:left="0" w:leftChars="0" w:firstLine="0" w:firstLineChars="0"/>
              <w:jc w:val="both"/>
              <w:rPr>
                <w:rFonts w:hint="eastAsia" w:ascii="宋体" w:hAnsi="宋体" w:eastAsia="宋体" w:cs="宋体"/>
                <w:b/>
                <w:bCs/>
                <w:sz w:val="24"/>
                <w:szCs w:val="24"/>
                <w:lang w:val="en-US" w:eastAsia="zh-CN"/>
              </w:rPr>
            </w:pPr>
            <w:r>
              <w:rPr>
                <w:rFonts w:hint="eastAsia" w:ascii="宋体" w:hAnsi="宋体" w:eastAsia="宋体" w:cs="宋体"/>
                <w:sz w:val="24"/>
                <w:szCs w:val="24"/>
              </w:rPr>
              <w:t>通过扫描医废车打印的二维码标签，可展示医废的具体信息</w:t>
            </w:r>
            <w:r>
              <w:rPr>
                <w:rFonts w:hint="eastAsia" w:ascii="宋体" w:hAnsi="宋体" w:eastAsia="宋体" w:cs="宋体"/>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jc w:val="center"/>
        </w:trPr>
        <w:tc>
          <w:tcPr>
            <w:tcW w:w="715"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01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医废垃圾和转运箱绑定</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spacing w:line="360" w:lineRule="auto"/>
              <w:ind w:left="0" w:leftChars="0" w:firstLine="0" w:firstLineChars="0"/>
              <w:jc w:val="both"/>
              <w:rPr>
                <w:rFonts w:hint="eastAsia" w:ascii="宋体" w:hAnsi="宋体" w:eastAsia="宋体" w:cs="宋体"/>
                <w:sz w:val="24"/>
                <w:szCs w:val="24"/>
                <w:lang w:eastAsia="zh-CN"/>
              </w:rPr>
            </w:pPr>
            <w:r>
              <w:rPr>
                <w:rFonts w:hint="eastAsia" w:ascii="宋体" w:hAnsi="宋体" w:eastAsia="宋体" w:cs="宋体"/>
                <w:sz w:val="24"/>
                <w:szCs w:val="24"/>
              </w:rPr>
              <w:t>医废装入转运箱后可给转运箱贴二维码标签，并与医废垃圾与转运箱进行关联</w:t>
            </w:r>
            <w:r>
              <w:rPr>
                <w:rFonts w:hint="eastAsia" w:ascii="宋体" w:hAnsi="宋体" w:eastAsia="宋体" w:cs="宋体"/>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jc w:val="center"/>
        </w:trPr>
        <w:tc>
          <w:tcPr>
            <w:tcW w:w="715"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01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医废收集报表推送</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spacing w:line="360" w:lineRule="auto"/>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rPr>
              <w:t>可以通过微信方式按日、周、月、季、年给各科室责任人推送统计数据报表的功能</w:t>
            </w:r>
            <w:r>
              <w:rPr>
                <w:rFonts w:hint="eastAsia" w:ascii="宋体" w:hAnsi="宋体" w:eastAsia="宋体" w:cs="宋体"/>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4" w:hRule="atLeast"/>
          <w:jc w:val="center"/>
        </w:trPr>
        <w:tc>
          <w:tcPr>
            <w:tcW w:w="715"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015"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384"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统计分析</w:t>
            </w:r>
          </w:p>
        </w:tc>
        <w:tc>
          <w:tcPr>
            <w:tcW w:w="6024" w:type="dxa"/>
            <w:tcBorders>
              <w:top w:val="single" w:color="000000" w:sz="4" w:space="0"/>
              <w:left w:val="single" w:color="000000" w:sz="4" w:space="0"/>
              <w:bottom w:val="single" w:color="auto" w:sz="4" w:space="0"/>
              <w:right w:val="single" w:color="000000" w:sz="4" w:space="0"/>
            </w:tcBorders>
            <w:shd w:val="clear" w:color="auto" w:fill="auto"/>
            <w:vAlign w:val="center"/>
          </w:tcPr>
          <w:p>
            <w:pPr>
              <w:numPr>
                <w:ilvl w:val="0"/>
                <w:numId w:val="0"/>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可通过 APP、微信公众号、PC 端的统计分析页进行数据查看的功能</w:t>
            </w:r>
            <w:r>
              <w:rPr>
                <w:rFonts w:hint="eastAsia" w:ascii="宋体" w:hAnsi="宋体" w:eastAsia="宋体" w:cs="宋体"/>
                <w:sz w:val="24"/>
                <w:szCs w:val="24"/>
                <w:lang w:eastAsia="zh-CN"/>
              </w:rPr>
              <w:t>；</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w:t>
            </w:r>
            <w:r>
              <w:rPr>
                <w:rFonts w:hint="eastAsia" w:ascii="宋体" w:hAnsi="宋体" w:eastAsia="宋体" w:cs="宋体"/>
                <w:sz w:val="24"/>
                <w:szCs w:val="24"/>
              </w:rPr>
              <w:t>医废重量、数量、类型</w:t>
            </w:r>
            <w:r>
              <w:rPr>
                <w:rFonts w:hint="eastAsia" w:ascii="宋体" w:hAnsi="宋体" w:eastAsia="宋体" w:cs="宋体"/>
                <w:sz w:val="24"/>
                <w:szCs w:val="24"/>
                <w:lang w:val="en-US" w:eastAsia="zh-CN"/>
              </w:rPr>
              <w:t>统计。</w:t>
            </w:r>
          </w:p>
          <w:p>
            <w:pPr>
              <w:numPr>
                <w:ilvl w:val="0"/>
                <w:numId w:val="0"/>
              </w:num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支持各类报表导出，</w:t>
            </w:r>
            <w:r>
              <w:rPr>
                <w:rFonts w:hint="eastAsia" w:ascii="宋体" w:hAnsi="宋体" w:eastAsia="宋体" w:cs="宋体"/>
                <w:sz w:val="24"/>
                <w:szCs w:val="24"/>
              </w:rPr>
              <w:t>可将报表以 excle、PDF、word 格式导出</w:t>
            </w:r>
            <w:r>
              <w:rPr>
                <w:rFonts w:hint="eastAsia" w:ascii="宋体" w:hAnsi="宋体" w:eastAsia="宋体" w:cs="宋体"/>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71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01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384"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异常报警</w:t>
            </w:r>
          </w:p>
        </w:tc>
        <w:tc>
          <w:tcPr>
            <w:tcW w:w="6024"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val="0"/>
              <w:numPr>
                <w:ilvl w:val="0"/>
                <w:numId w:val="0"/>
              </w:numPr>
              <w:spacing w:line="360" w:lineRule="auto"/>
              <w:rPr>
                <w:rFonts w:hint="eastAsia" w:ascii="宋体" w:hAnsi="宋体" w:eastAsia="宋体" w:cs="宋体"/>
                <w:sz w:val="24"/>
                <w:szCs w:val="24"/>
              </w:rPr>
            </w:pPr>
            <w:r>
              <w:rPr>
                <w:rFonts w:hint="eastAsia" w:ascii="宋体" w:hAnsi="宋体" w:eastAsia="宋体" w:cs="宋体"/>
                <w:sz w:val="24"/>
                <w:szCs w:val="24"/>
              </w:rPr>
              <w:t>可通过微信公众号、APP、PC 端途径实现医疗废弃物异常报警，报警信息包括没有按收集数量入库，医疗废弃物所在地异常、超时处理出库。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jc w:val="center"/>
        </w:trPr>
        <w:tc>
          <w:tcPr>
            <w:tcW w:w="71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01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384"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异常推送提醒</w:t>
            </w:r>
          </w:p>
        </w:tc>
        <w:tc>
          <w:tcPr>
            <w:tcW w:w="6024"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val="0"/>
              <w:numPr>
                <w:ilvl w:val="0"/>
                <w:numId w:val="0"/>
              </w:numPr>
              <w:spacing w:line="360" w:lineRule="auto"/>
              <w:rPr>
                <w:rFonts w:hint="eastAsia" w:ascii="宋体" w:hAnsi="宋体" w:eastAsia="宋体" w:cs="宋体"/>
                <w:sz w:val="24"/>
                <w:szCs w:val="24"/>
              </w:rPr>
            </w:pPr>
            <w:r>
              <w:rPr>
                <w:rFonts w:hint="eastAsia" w:ascii="宋体" w:hAnsi="宋体" w:eastAsia="宋体" w:cs="宋体"/>
                <w:sz w:val="24"/>
                <w:szCs w:val="24"/>
              </w:rPr>
              <w:t>可实现医疗废弃物异常报警的消息推送提醒功能。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jc w:val="center"/>
        </w:trPr>
        <w:tc>
          <w:tcPr>
            <w:tcW w:w="71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01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384"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车辆轨迹跟踪</w:t>
            </w:r>
          </w:p>
        </w:tc>
        <w:tc>
          <w:tcPr>
            <w:tcW w:w="6024"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val="0"/>
              <w:numPr>
                <w:ilvl w:val="0"/>
                <w:numId w:val="0"/>
              </w:num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实现对医疗废物收集车行进收集位置达时间轨迹的查询。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jc w:val="center"/>
        </w:trPr>
        <w:tc>
          <w:tcPr>
            <w:tcW w:w="715" w:type="dxa"/>
            <w:vMerge w:val="continue"/>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015" w:type="dxa"/>
            <w:vMerge w:val="continue"/>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1384"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监管平台数据对接</w:t>
            </w:r>
          </w:p>
        </w:tc>
        <w:tc>
          <w:tcPr>
            <w:tcW w:w="602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numPr>
                <w:ilvl w:val="0"/>
                <w:numId w:val="0"/>
              </w:numPr>
              <w:spacing w:line="360" w:lineRule="auto"/>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rPr>
              <w:t>支持与卫监/卫健委/环保局数据接入</w:t>
            </w:r>
            <w:r>
              <w:rPr>
                <w:rFonts w:hint="eastAsia" w:ascii="宋体" w:hAnsi="宋体" w:eastAsia="宋体" w:cs="宋体"/>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jc w:val="center"/>
        </w:trPr>
        <w:tc>
          <w:tcPr>
            <w:tcW w:w="715" w:type="dxa"/>
            <w:vMerge w:val="continue"/>
            <w:tcBorders>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01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7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bCs/>
                <w:sz w:val="24"/>
                <w:szCs w:val="24"/>
                <w:lang w:eastAsia="zh-CN"/>
              </w:rPr>
              <w:t>★</w:t>
            </w:r>
            <w:r>
              <w:rPr>
                <w:rFonts w:hint="eastAsia" w:ascii="宋体" w:hAnsi="宋体" w:eastAsia="宋体" w:cs="宋体"/>
                <w:b/>
                <w:bCs/>
                <w:i w:val="0"/>
                <w:iCs w:val="0"/>
                <w:color w:val="000000"/>
                <w:kern w:val="0"/>
                <w:sz w:val="24"/>
                <w:szCs w:val="24"/>
                <w:u w:val="none"/>
                <w:lang w:val="en-US" w:eastAsia="zh-CN" w:bidi="ar"/>
              </w:rPr>
              <w:t>须与中心院区智能医废平台开发对接，且统一到同一平台，最终所有的医废数据同一上传至省卫健委系统。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8"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2</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200W</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POE摄像机</w:t>
            </w:r>
          </w:p>
        </w:tc>
        <w:tc>
          <w:tcPr>
            <w:tcW w:w="7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最低分辨率可达2304×1296 @25 fps，在该分辨率下可输出实时图像；</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支持用户登录锁定机制，及密码复杂度提示；</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支持SmartIR，防止夜间红外过曝；</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支持背光补偿，强光抑制，3D数字降噪，数字宽动态；</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支持ROI感兴趣区域增强编码；</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支持开放型网络视频接口，ISAPI，SDK，GB28181协议；</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采用高效阵列红外灯，使用寿命长，红外照射距离最近可达30 m；</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符合IP66防尘防水设计，可靠性高。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交换机</w:t>
            </w:r>
          </w:p>
        </w:tc>
        <w:tc>
          <w:tcPr>
            <w:tcW w:w="7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全千兆以太网PoE交换机；</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至少8个10/100/1000Base-T RJ45端口支持PoE+供电；</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至少2个10/100/1000Base-T RJ45上联端口；</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整机最小PoE供电功率达57W，单端口最小PoE供电功率为30W；</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PoE供电端口支持优先级机制；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支持视频监控、VLAN隔离、标准交换三种工作模式制。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汇聚交换机</w:t>
            </w:r>
          </w:p>
        </w:tc>
        <w:tc>
          <w:tcPr>
            <w:tcW w:w="7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全千兆以太网交换机；</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至少16个10/100/1000Base-T RJ45端口；</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支持视频监控、VLAN隔离、标准交换三种工作模式制。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超五类网线</w:t>
            </w:r>
          </w:p>
        </w:tc>
        <w:tc>
          <w:tcPr>
            <w:tcW w:w="7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RVVP8*0.5，超五类4对UTP数据电缆， 至少305米每箱。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电源线</w:t>
            </w:r>
          </w:p>
        </w:tc>
        <w:tc>
          <w:tcPr>
            <w:tcW w:w="7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RVV2*1.5，国标。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网络设备分线箱</w:t>
            </w:r>
          </w:p>
        </w:tc>
        <w:tc>
          <w:tcPr>
            <w:tcW w:w="7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300*400*500mm。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3"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64路录像机</w:t>
            </w:r>
          </w:p>
        </w:tc>
        <w:tc>
          <w:tcPr>
            <w:tcW w:w="7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可接驳符合ONVIF、RTSP标准的众多主流厂商网络摄像机；</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支持H.265高效视频编码码流，支持H.265、H.264IP设备混合接入；</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解码性能强劲，支持至少6路1080P解码；</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最小支持600万像素高清网络视频的预览、存储与回放；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支持HDMI与VGA同源输出，HDMI和VGA支持1080p高清输出；</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支持至少1个SATA接口，最小支持满配8T硬盘；</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支持IP设备集中管理，包括IP设备参数配置、信息的导入/导出和升级等功能；</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支持最小4/8/16路同步回放和多路同步倒放；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支持智能搜索、回放及备份功能，有效提高录像检索与回放效率；</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支持萤石云服务，可实现手机远程预览回放；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支持萤石、ehome2.0、ISUP以及GB28181协议，轻松实现平台接入。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监控硬盘</w:t>
            </w:r>
          </w:p>
        </w:tc>
        <w:tc>
          <w:tcPr>
            <w:tcW w:w="7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4T监控专用高速硬盘。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10</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水晶头RJ45</w:t>
            </w:r>
          </w:p>
        </w:tc>
        <w:tc>
          <w:tcPr>
            <w:tcW w:w="7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6A类非屏蔽水晶头。</w:t>
            </w:r>
          </w:p>
        </w:tc>
      </w:tr>
    </w:tbl>
    <w:p>
      <w:pPr>
        <w:widowControl/>
        <w:adjustRightInd w:val="0"/>
        <w:snapToGrid w:val="0"/>
        <w:spacing w:line="360" w:lineRule="auto"/>
        <w:jc w:val="left"/>
        <w:rPr>
          <w:rFonts w:hint="eastAsia" w:ascii="宋体" w:hAnsi="宋体" w:cs="宋体"/>
          <w:color w:val="auto"/>
          <w:sz w:val="24"/>
          <w:szCs w:val="24"/>
          <w:highlight w:val="none"/>
          <w:lang w:val="en-US" w:eastAsia="zh-CN"/>
        </w:rPr>
      </w:pPr>
    </w:p>
    <w:p>
      <w:pPr>
        <w:widowControl/>
        <w:adjustRightInd w:val="0"/>
        <w:snapToGrid w:val="0"/>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cs="宋体"/>
          <w:color w:val="auto"/>
          <w:sz w:val="24"/>
          <w:szCs w:val="24"/>
          <w:highlight w:val="none"/>
          <w:lang w:val="en-US" w:eastAsia="zh-CN"/>
        </w:rPr>
        <w:t>三、售后服务条件及交货日期（或工期）：</w:t>
      </w:r>
      <w:r>
        <w:rPr>
          <w:rFonts w:hint="eastAsia" w:ascii="宋体" w:hAnsi="宋体"/>
          <w:sz w:val="24"/>
          <w:szCs w:val="24"/>
          <w:lang w:val="en-US" w:eastAsia="zh-CN"/>
        </w:rPr>
        <w:t>质保期：一年；交货期：合同签订后20日内安装调试完毕</w:t>
      </w:r>
      <w:r>
        <w:rPr>
          <w:rFonts w:hint="eastAsia" w:ascii="宋体" w:hAnsi="宋体"/>
          <w:sz w:val="21"/>
          <w:szCs w:val="21"/>
          <w:lang w:val="en-US" w:eastAsia="zh-CN"/>
        </w:rPr>
        <w:t>。</w:t>
      </w:r>
    </w:p>
    <w:bookmarkEnd w:id="35"/>
    <w:bookmarkEnd w:id="36"/>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4"/>
        <w:tblpPr w:leftFromText="180" w:rightFromText="180" w:vertAnchor="text" w:tblpXSpec="center" w:tblpY="1"/>
        <w:tblOverlap w:val="never"/>
        <w:tblW w:w="90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7"/>
        <w:gridCol w:w="69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137"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合同签订时间</w:t>
            </w:r>
          </w:p>
        </w:tc>
        <w:tc>
          <w:tcPr>
            <w:tcW w:w="6942"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自中标通知书发出之日起</w:t>
            </w:r>
            <w:r>
              <w:rPr>
                <w:rFonts w:hint="eastAsia" w:ascii="宋体" w:hAnsi="宋体" w:cs="宋体"/>
                <w:color w:val="auto"/>
                <w:kern w:val="0"/>
                <w:sz w:val="24"/>
                <w:szCs w:val="24"/>
                <w:highlight w:val="none"/>
                <w:lang w:val="en-US" w:eastAsia="zh-CN"/>
              </w:rPr>
              <w:t>三十</w:t>
            </w:r>
            <w:r>
              <w:rPr>
                <w:rFonts w:hint="eastAsia" w:ascii="宋体" w:hAnsi="宋体" w:cs="宋体"/>
                <w:color w:val="auto"/>
                <w:kern w:val="0"/>
                <w:sz w:val="24"/>
                <w:szCs w:val="24"/>
                <w:highlight w:val="none"/>
              </w:rPr>
              <w:t>个</w:t>
            </w:r>
            <w:r>
              <w:rPr>
                <w:rFonts w:hint="eastAsia" w:ascii="宋体" w:hAnsi="宋体" w:cs="宋体"/>
                <w:color w:val="auto"/>
                <w:kern w:val="0"/>
                <w:sz w:val="24"/>
                <w:szCs w:val="24"/>
                <w:highlight w:val="none"/>
                <w:lang w:val="en-US" w:eastAsia="zh-CN"/>
              </w:rPr>
              <w:t>日历日</w:t>
            </w:r>
            <w:r>
              <w:rPr>
                <w:rFonts w:hint="eastAsia" w:ascii="宋体" w:hAnsi="宋体" w:cs="宋体"/>
                <w:color w:val="auto"/>
                <w:kern w:val="0"/>
                <w:sz w:val="24"/>
                <w:szCs w:val="24"/>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137"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交货地点</w:t>
            </w:r>
          </w:p>
        </w:tc>
        <w:tc>
          <w:tcPr>
            <w:tcW w:w="6942"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32"/>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137"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验   收</w:t>
            </w:r>
          </w:p>
        </w:tc>
        <w:tc>
          <w:tcPr>
            <w:tcW w:w="6942"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137"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质量要求</w:t>
            </w:r>
          </w:p>
        </w:tc>
        <w:tc>
          <w:tcPr>
            <w:tcW w:w="6942"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137"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付款方式</w:t>
            </w:r>
          </w:p>
        </w:tc>
        <w:tc>
          <w:tcPr>
            <w:tcW w:w="6942"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9" w:hRule="atLeast"/>
          <w:jc w:val="center"/>
        </w:trPr>
        <w:tc>
          <w:tcPr>
            <w:tcW w:w="2137"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 w:val="24"/>
                <w:szCs w:val="24"/>
                <w:highlight w:val="none"/>
              </w:rPr>
            </w:pPr>
            <w:r>
              <w:rPr>
                <w:rFonts w:hint="eastAsia" w:ascii="宋体" w:hAnsi="宋体"/>
                <w:color w:val="auto"/>
                <w:kern w:val="0"/>
                <w:sz w:val="24"/>
                <w:szCs w:val="24"/>
                <w:highlight w:val="none"/>
              </w:rPr>
              <w:t>售后技术服务要求、售后服务保障要求</w:t>
            </w:r>
          </w:p>
        </w:tc>
        <w:tc>
          <w:tcPr>
            <w:tcW w:w="6942"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中标人须提供后期服务保障和技术支持。</w:t>
            </w:r>
          </w:p>
        </w:tc>
      </w:tr>
    </w:tbl>
    <w:p>
      <w:pPr>
        <w:pStyle w:val="33"/>
        <w:ind w:firstLine="0" w:firstLineChars="0"/>
        <w:rPr>
          <w:color w:val="auto"/>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4"/>
        <w:tblW w:w="909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28"/>
        <w:gridCol w:w="77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采购人的特殊要求及说明理由</w:t>
            </w:r>
          </w:p>
        </w:tc>
        <w:tc>
          <w:tcPr>
            <w:tcW w:w="7771"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rFonts w:hint="eastAsia" w:ascii="宋体" w:hAnsi="宋体" w:eastAsia="宋体" w:cs="宋体"/>
                <w:color w:val="auto"/>
                <w:sz w:val="24"/>
                <w:szCs w:val="32"/>
              </w:rPr>
            </w:pPr>
            <w:r>
              <w:rPr>
                <w:rFonts w:hint="eastAsia" w:ascii="宋体" w:hAnsi="宋体" w:eastAsia="宋体" w:cs="宋体"/>
                <w:color w:val="auto"/>
                <w:sz w:val="24"/>
                <w:szCs w:val="32"/>
              </w:rPr>
              <w:t>不接受联合体投标，不允许转包和分包。</w:t>
            </w:r>
          </w:p>
          <w:p>
            <w:pPr>
              <w:widowControl/>
              <w:snapToGrid w:val="0"/>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32"/>
                <w:lang w:val="en-US" w:eastAsia="zh-CN"/>
              </w:rPr>
              <w:t>2</w:t>
            </w:r>
            <w:r>
              <w:rPr>
                <w:rFonts w:hint="eastAsia" w:ascii="宋体" w:hAnsi="宋体" w:eastAsia="宋体" w:cs="宋体"/>
                <w:color w:val="auto"/>
                <w:sz w:val="24"/>
                <w:szCs w:val="32"/>
              </w:rPr>
              <w:t>、</w:t>
            </w:r>
            <w:r>
              <w:rPr>
                <w:rFonts w:hint="eastAsia" w:ascii="宋体" w:hAnsi="宋体" w:eastAsia="宋体" w:cs="宋体"/>
                <w:color w:val="auto"/>
                <w:kern w:val="0"/>
                <w:sz w:val="24"/>
                <w:szCs w:val="24"/>
                <w:highlight w:val="none"/>
              </w:rPr>
              <w:t>授权评标委员会确定一名中标人并推荐两名中标候选人。</w:t>
            </w:r>
          </w:p>
          <w:p>
            <w:pPr>
              <w:widowControl/>
              <w:snapToGrid w:val="0"/>
              <w:spacing w:line="360" w:lineRule="auto"/>
              <w:rPr>
                <w:rFonts w:hint="eastAsia" w:ascii="宋体" w:hAnsi="宋体" w:eastAsia="宋体" w:cs="宋体"/>
                <w:color w:val="auto"/>
                <w:sz w:val="24"/>
                <w:szCs w:val="32"/>
              </w:rPr>
            </w:pPr>
            <w:r>
              <w:rPr>
                <w:rFonts w:hint="eastAsia" w:ascii="宋体" w:hAnsi="宋体" w:eastAsia="宋体" w:cs="宋体"/>
                <w:color w:val="auto"/>
                <w:sz w:val="24"/>
                <w:szCs w:val="32"/>
                <w:lang w:val="en-US" w:eastAsia="zh-CN"/>
              </w:rPr>
              <w:t>3</w:t>
            </w:r>
            <w:r>
              <w:rPr>
                <w:rFonts w:hint="eastAsia" w:ascii="宋体" w:hAnsi="宋体" w:eastAsia="宋体" w:cs="宋体"/>
                <w:color w:val="auto"/>
                <w:sz w:val="24"/>
                <w:szCs w:val="32"/>
              </w:rPr>
              <w:t>、供应商应根据</w:t>
            </w:r>
            <w:r>
              <w:rPr>
                <w:rFonts w:hint="eastAsia" w:ascii="宋体" w:hAnsi="宋体" w:eastAsia="宋体" w:cs="宋体"/>
                <w:color w:val="auto"/>
                <w:sz w:val="24"/>
                <w:szCs w:val="32"/>
                <w:lang w:eastAsia="zh-CN"/>
              </w:rPr>
              <w:t>采购</w:t>
            </w:r>
            <w:r>
              <w:rPr>
                <w:rFonts w:hint="eastAsia" w:ascii="宋体" w:hAnsi="宋体" w:eastAsia="宋体" w:cs="宋体"/>
                <w:color w:val="auto"/>
                <w:sz w:val="24"/>
                <w:szCs w:val="32"/>
              </w:rPr>
              <w:t>文件的要求提供技术响应表、商务响应表等内容以对</w:t>
            </w:r>
            <w:r>
              <w:rPr>
                <w:rFonts w:hint="eastAsia" w:ascii="宋体" w:hAnsi="宋体" w:eastAsia="宋体" w:cs="宋体"/>
                <w:color w:val="auto"/>
                <w:sz w:val="24"/>
                <w:szCs w:val="32"/>
                <w:lang w:eastAsia="zh-CN"/>
              </w:rPr>
              <w:t>采购</w:t>
            </w:r>
            <w:r>
              <w:rPr>
                <w:rFonts w:hint="eastAsia" w:ascii="宋体" w:hAnsi="宋体" w:eastAsia="宋体" w:cs="宋体"/>
                <w:color w:val="auto"/>
                <w:sz w:val="24"/>
                <w:szCs w:val="32"/>
              </w:rPr>
              <w:t>文件作出响应。</w:t>
            </w:r>
          </w:p>
        </w:tc>
      </w:tr>
    </w:tbl>
    <w:p>
      <w:pPr>
        <w:rPr>
          <w:color w:val="auto"/>
          <w:highlight w:val="none"/>
        </w:rPr>
      </w:pPr>
    </w:p>
    <w:p>
      <w:pPr>
        <w:rPr>
          <w:color w:val="auto"/>
          <w:highlight w:val="none"/>
        </w:rPr>
      </w:pPr>
    </w:p>
    <w:p>
      <w:pPr>
        <w:rPr>
          <w:color w:val="auto"/>
          <w:highlight w:val="none"/>
        </w:rPr>
      </w:pPr>
      <w:r>
        <w:rPr>
          <w:color w:val="auto"/>
          <w:sz w:val="32"/>
          <w:szCs w:val="32"/>
          <w:highlight w:val="none"/>
        </w:rPr>
        <w:br w:type="page"/>
      </w:r>
    </w:p>
    <w:p>
      <w:pPr>
        <w:pStyle w:val="3"/>
        <w:spacing w:before="0" w:after="0" w:line="240" w:lineRule="atLeast"/>
        <w:jc w:val="center"/>
        <w:rPr>
          <w:color w:val="auto"/>
          <w:sz w:val="32"/>
          <w:szCs w:val="32"/>
          <w:highlight w:val="none"/>
        </w:rPr>
      </w:pPr>
      <w:bookmarkStart w:id="41" w:name="_Toc12002"/>
      <w:r>
        <w:rPr>
          <w:rFonts w:hint="eastAsia"/>
          <w:color w:val="auto"/>
          <w:sz w:val="40"/>
          <w:szCs w:val="40"/>
          <w:highlight w:val="none"/>
        </w:rPr>
        <w:t>第三章  投标人须知</w:t>
      </w:r>
      <w:bookmarkEnd w:id="41"/>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4"/>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sz w:val="24"/>
                <w:szCs w:val="32"/>
              </w:rPr>
            </w:pPr>
            <w:bookmarkStart w:id="42" w:name="_Toc10024"/>
            <w:r>
              <w:rPr>
                <w:rFonts w:hint="eastAsia" w:ascii="宋体" w:hAnsi="宋体" w:eastAsia="宋体" w:cs="宋体"/>
                <w:color w:val="auto"/>
                <w:sz w:val="24"/>
                <w:szCs w:val="32"/>
                <w:highlight w:val="none"/>
              </w:rPr>
              <w:t>1.1 项目名称：驻马店市中心医院妇儿院区医疗废物智能管理系统摄像头采购及对接项目</w:t>
            </w:r>
            <w:bookmarkEnd w:id="42"/>
          </w:p>
          <w:p>
            <w:pPr>
              <w:widowControl/>
              <w:snapToGrid w:val="0"/>
              <w:spacing w:line="440" w:lineRule="exact"/>
              <w:jc w:val="left"/>
              <w:outlineLvl w:val="0"/>
              <w:rPr>
                <w:rFonts w:hint="eastAsia" w:ascii="宋体" w:hAnsi="宋体" w:eastAsia="宋体" w:cs="宋体"/>
                <w:color w:val="auto"/>
                <w:sz w:val="24"/>
                <w:szCs w:val="32"/>
                <w:highlight w:val="none"/>
              </w:rPr>
            </w:pPr>
            <w:bookmarkStart w:id="43" w:name="_Toc18520"/>
            <w:r>
              <w:rPr>
                <w:rFonts w:hint="eastAsia" w:ascii="宋体" w:hAnsi="宋体" w:eastAsia="宋体" w:cs="宋体"/>
                <w:color w:val="auto"/>
                <w:sz w:val="24"/>
                <w:szCs w:val="32"/>
                <w:highlight w:val="none"/>
              </w:rPr>
              <w:t>1.2 采购人名称：</w:t>
            </w:r>
            <w:r>
              <w:rPr>
                <w:rFonts w:hint="eastAsia" w:ascii="宋体" w:hAnsi="宋体" w:eastAsia="宋体" w:cs="宋体"/>
                <w:color w:val="auto"/>
                <w:sz w:val="24"/>
                <w:szCs w:val="32"/>
              </w:rPr>
              <w:t>驻马店市中心医院</w:t>
            </w:r>
            <w:bookmarkEnd w:id="43"/>
          </w:p>
          <w:p>
            <w:pPr>
              <w:widowControl/>
              <w:snapToGrid w:val="0"/>
              <w:spacing w:line="440" w:lineRule="exact"/>
              <w:jc w:val="left"/>
              <w:outlineLvl w:val="0"/>
              <w:rPr>
                <w:rFonts w:hint="eastAsia" w:ascii="宋体" w:hAnsi="宋体" w:eastAsia="宋体" w:cs="宋体"/>
                <w:color w:val="auto"/>
                <w:kern w:val="2"/>
                <w:sz w:val="24"/>
                <w:szCs w:val="32"/>
                <w:highlight w:val="none"/>
                <w:lang w:val="en-US" w:eastAsia="zh-CN" w:bidi="ar-SA"/>
              </w:rPr>
            </w:pPr>
            <w:bookmarkStart w:id="44" w:name="_Toc2100"/>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en-US" w:eastAsia="zh-CN"/>
              </w:rPr>
              <w:t>3</w:t>
            </w:r>
            <w:r>
              <w:rPr>
                <w:rFonts w:hint="eastAsia" w:ascii="宋体" w:hAnsi="宋体" w:eastAsia="宋体" w:cs="宋体"/>
                <w:color w:val="auto"/>
                <w:sz w:val="24"/>
                <w:szCs w:val="32"/>
                <w:highlight w:val="none"/>
              </w:rPr>
              <w:t>采购范围：详</w:t>
            </w:r>
            <w:r>
              <w:rPr>
                <w:rFonts w:hint="eastAsia" w:ascii="宋体" w:hAnsi="宋体" w:eastAsia="宋体" w:cs="宋体"/>
                <w:color w:val="auto"/>
                <w:sz w:val="24"/>
                <w:szCs w:val="32"/>
                <w:highlight w:val="none"/>
                <w:lang w:val="en-US" w:eastAsia="zh-CN"/>
              </w:rPr>
              <w:t>见第二章采购</w:t>
            </w:r>
            <w:r>
              <w:rPr>
                <w:rFonts w:hint="eastAsia" w:ascii="宋体" w:hAnsi="宋体" w:eastAsia="宋体" w:cs="宋体"/>
                <w:color w:val="auto"/>
                <w:sz w:val="24"/>
                <w:szCs w:val="32"/>
                <w:highlight w:val="none"/>
              </w:rPr>
              <w:t>需求</w:t>
            </w:r>
            <w:bookmarkEnd w:id="44"/>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合格投标人：具备</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采购预算（最高投标限价）：</w:t>
            </w:r>
            <w:r>
              <w:rPr>
                <w:rFonts w:hint="eastAsia" w:ascii="宋体" w:hAnsi="宋体" w:eastAsia="宋体" w:cs="宋体"/>
                <w:color w:val="auto"/>
                <w:kern w:val="0"/>
                <w:sz w:val="24"/>
                <w:szCs w:val="24"/>
                <w:highlight w:val="none"/>
                <w:lang w:val="en-US" w:eastAsia="zh-CN"/>
              </w:rPr>
              <w:t>19.8万</w:t>
            </w:r>
            <w:r>
              <w:rPr>
                <w:rFonts w:hint="eastAsia" w:ascii="宋体" w:hAnsi="宋体" w:eastAsia="宋体" w:cs="宋体"/>
                <w:color w:val="auto"/>
                <w:kern w:val="0"/>
                <w:sz w:val="24"/>
                <w:szCs w:val="24"/>
                <w:highlight w:val="none"/>
              </w:rPr>
              <w:t>元</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 本项目投标以人民币报价。</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 供应商的报价超过采购预算，采购人不能支付的，按废标处理。</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 本项目</w:t>
            </w:r>
            <w:r>
              <w:rPr>
                <w:rFonts w:hint="eastAsia" w:ascii="宋体" w:hAnsi="宋体" w:eastAsia="宋体" w:cs="宋体"/>
                <w:color w:val="auto"/>
                <w:kern w:val="0"/>
                <w:sz w:val="24"/>
                <w:szCs w:val="24"/>
                <w:highlight w:val="none"/>
                <w:lang w:val="en-US" w:eastAsia="zh-CN"/>
              </w:rPr>
              <w:t>由成交供应商缴纳</w:t>
            </w:r>
            <w:r>
              <w:rPr>
                <w:rFonts w:hint="eastAsia" w:ascii="宋体" w:hAnsi="宋体" w:eastAsia="宋体" w:cs="宋体"/>
                <w:color w:val="auto"/>
                <w:kern w:val="0"/>
                <w:sz w:val="24"/>
                <w:szCs w:val="24"/>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sz w:val="24"/>
                <w:szCs w:val="32"/>
              </w:rPr>
            </w:pPr>
            <w:r>
              <w:rPr>
                <w:rFonts w:hint="eastAsia" w:ascii="宋体" w:hAnsi="宋体" w:eastAsia="宋体" w:cs="宋体"/>
                <w:color w:val="auto"/>
                <w:sz w:val="24"/>
                <w:szCs w:val="32"/>
              </w:rPr>
              <w:t>投标文件组成：纸质投标文件正本1份</w:t>
            </w:r>
            <w:r>
              <w:rPr>
                <w:rFonts w:hint="eastAsia" w:ascii="宋体" w:hAnsi="宋体" w:eastAsia="宋体" w:cs="宋体"/>
                <w:color w:val="auto"/>
                <w:sz w:val="24"/>
                <w:szCs w:val="32"/>
                <w:lang w:eastAsia="zh-CN"/>
              </w:rPr>
              <w:t>、</w:t>
            </w:r>
            <w:r>
              <w:rPr>
                <w:rFonts w:hint="eastAsia" w:ascii="宋体" w:hAnsi="宋体" w:eastAsia="宋体" w:cs="宋体"/>
                <w:color w:val="auto"/>
                <w:sz w:val="24"/>
                <w:szCs w:val="32"/>
                <w:lang w:val="en-US" w:eastAsia="zh-CN"/>
              </w:rPr>
              <w:t>副本2份</w:t>
            </w:r>
            <w:r>
              <w:rPr>
                <w:rFonts w:hint="eastAsia" w:ascii="宋体" w:hAnsi="宋体" w:eastAsia="宋体" w:cs="宋体"/>
                <w:color w:val="auto"/>
                <w:sz w:val="24"/>
                <w:szCs w:val="32"/>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投标截止时间</w:t>
            </w:r>
            <w:r>
              <w:rPr>
                <w:rFonts w:hint="eastAsia" w:ascii="宋体" w:hAnsi="宋体" w:eastAsia="宋体" w:cs="宋体"/>
                <w:color w:val="auto"/>
                <w:kern w:val="0"/>
                <w:sz w:val="24"/>
                <w:szCs w:val="24"/>
                <w:highlight w:val="none"/>
                <w:lang w:val="en-US" w:eastAsia="zh-CN"/>
              </w:rPr>
              <w:t>及开标时间</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lang w:val="en-US" w:eastAsia="zh-CN"/>
              </w:rPr>
              <w:t>另行通知</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投标文件递交地点</w:t>
            </w:r>
            <w:r>
              <w:rPr>
                <w:rFonts w:hint="eastAsia" w:ascii="宋体" w:hAnsi="宋体" w:eastAsia="宋体" w:cs="宋体"/>
                <w:color w:val="auto"/>
                <w:kern w:val="0"/>
                <w:sz w:val="24"/>
                <w:szCs w:val="24"/>
                <w:highlight w:val="none"/>
                <w:lang w:val="en-US" w:eastAsia="zh-CN"/>
              </w:rPr>
              <w:t>及开标地点</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lang w:val="en-US" w:eastAsia="zh-CN"/>
              </w:rPr>
              <w:t>另行通知</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评审委员会成</w:t>
            </w:r>
            <w:r>
              <w:rPr>
                <w:rFonts w:hint="eastAsia" w:ascii="宋体" w:hAnsi="宋体" w:eastAsia="宋体" w:cs="宋体"/>
                <w:color w:val="auto"/>
                <w:kern w:val="0"/>
                <w:sz w:val="24"/>
                <w:szCs w:val="24"/>
                <w:highlight w:val="none"/>
              </w:rPr>
              <w:t>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32"/>
                <w:highlight w:val="none"/>
              </w:rPr>
              <w:t>人</w:t>
            </w:r>
            <w:r>
              <w:rPr>
                <w:rFonts w:hint="eastAsia" w:ascii="宋体" w:hAnsi="宋体" w:eastAsia="宋体" w:cs="宋体"/>
                <w:color w:val="auto"/>
                <w:sz w:val="24"/>
                <w:szCs w:val="32"/>
                <w:highlight w:val="none"/>
                <w:lang w:val="en-US" w:eastAsia="zh-CN"/>
              </w:rPr>
              <w:t>及以上单数</w:t>
            </w:r>
            <w:r>
              <w:rPr>
                <w:rFonts w:hint="eastAsia" w:ascii="宋体" w:hAnsi="宋体" w:eastAsia="宋体" w:cs="宋体"/>
                <w:color w:val="auto"/>
                <w:kern w:val="0"/>
                <w:sz w:val="24"/>
                <w:szCs w:val="24"/>
                <w:highlight w:val="none"/>
              </w:rPr>
              <w:t>。</w:t>
            </w:r>
          </w:p>
          <w:p>
            <w:pPr>
              <w:widowControl/>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专家确定方式：</w:t>
            </w:r>
            <w:r>
              <w:rPr>
                <w:rFonts w:hint="eastAsia" w:ascii="宋体" w:hAnsi="宋体" w:eastAsia="宋体" w:cs="宋体"/>
                <w:color w:val="auto"/>
                <w:kern w:val="0"/>
                <w:sz w:val="24"/>
                <w:szCs w:val="24"/>
                <w:highlight w:val="none"/>
              </w:rPr>
              <w:t>由采购人</w:t>
            </w:r>
            <w:r>
              <w:rPr>
                <w:rFonts w:hint="eastAsia" w:ascii="宋体" w:hAnsi="宋体" w:eastAsia="宋体" w:cs="宋体"/>
                <w:color w:val="auto"/>
                <w:kern w:val="0"/>
                <w:sz w:val="24"/>
                <w:szCs w:val="24"/>
                <w:highlight w:val="none"/>
                <w:lang w:val="en-US" w:eastAsia="zh-CN"/>
              </w:rPr>
              <w:t>抽取相关的技术人员组成</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评标办法：</w:t>
            </w:r>
            <w:r>
              <w:rPr>
                <w:rFonts w:hint="eastAsia" w:ascii="宋体" w:hAnsi="宋体" w:eastAsia="宋体" w:cs="宋体"/>
                <w:color w:val="auto"/>
                <w:kern w:val="0"/>
                <w:sz w:val="24"/>
                <w:szCs w:val="24"/>
                <w:highlight w:val="none"/>
              </w:rPr>
              <w:t>本项目采用</w:t>
            </w:r>
            <w:r>
              <w:rPr>
                <w:rFonts w:hint="eastAsia" w:ascii="宋体" w:hAnsi="宋体" w:eastAsia="宋体" w:cs="宋体"/>
                <w:color w:val="auto"/>
                <w:sz w:val="24"/>
                <w:szCs w:val="24"/>
                <w:highlight w:val="none"/>
              </w:rPr>
              <w:t>综合评分法</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中标公告及中标通知书：由采购人授权评标委员会确定一名中标人并推荐两名中标候选人。评审结束后</w:t>
            </w:r>
            <w:r>
              <w:rPr>
                <w:rFonts w:hint="eastAsia" w:ascii="宋体" w:hAnsi="宋体" w:eastAsia="宋体" w:cs="宋体"/>
                <w:color w:val="auto"/>
                <w:kern w:val="0"/>
                <w:sz w:val="24"/>
                <w:szCs w:val="24"/>
                <w:highlight w:val="none"/>
                <w:lang w:val="en-US" w:eastAsia="zh-CN"/>
              </w:rPr>
              <w:t>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驻马店市中心医院网</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上发布中标公告，</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签订合同：自中标通知书发出之日起</w:t>
            </w:r>
            <w:r>
              <w:rPr>
                <w:rFonts w:hint="eastAsia" w:ascii="宋体" w:hAnsi="宋体" w:eastAsia="宋体" w:cs="宋体"/>
                <w:color w:val="auto"/>
                <w:kern w:val="0"/>
                <w:sz w:val="24"/>
                <w:szCs w:val="24"/>
                <w:highlight w:val="none"/>
                <w:lang w:val="en-US" w:eastAsia="zh-CN"/>
              </w:rPr>
              <w:t>三十</w:t>
            </w:r>
            <w:r>
              <w:rPr>
                <w:rFonts w:hint="eastAsia" w:ascii="宋体" w:hAnsi="宋体" w:eastAsia="宋体" w:cs="宋体"/>
                <w:color w:val="auto"/>
                <w:kern w:val="0"/>
                <w:sz w:val="24"/>
                <w:szCs w:val="24"/>
                <w:highlight w:val="none"/>
              </w:rPr>
              <w:t>个</w:t>
            </w:r>
            <w:r>
              <w:rPr>
                <w:rFonts w:hint="eastAsia" w:ascii="宋体" w:hAnsi="宋体" w:eastAsia="宋体" w:cs="宋体"/>
                <w:color w:val="auto"/>
                <w:kern w:val="0"/>
                <w:sz w:val="24"/>
                <w:szCs w:val="24"/>
                <w:highlight w:val="none"/>
                <w:lang w:val="en-US" w:eastAsia="zh-CN"/>
              </w:rPr>
              <w:t>日历</w:t>
            </w:r>
            <w:r>
              <w:rPr>
                <w:rFonts w:hint="eastAsia" w:ascii="宋体" w:hAnsi="宋体" w:eastAsia="宋体" w:cs="宋体"/>
                <w:color w:val="auto"/>
                <w:kern w:val="0"/>
                <w:sz w:val="24"/>
                <w:szCs w:val="24"/>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付款方式：详见第二章</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投标文件有效期：投标</w:t>
            </w:r>
            <w:r>
              <w:rPr>
                <w:rFonts w:hint="eastAsia" w:ascii="宋体" w:hAnsi="宋体" w:eastAsia="宋体" w:cs="宋体"/>
                <w:color w:val="auto"/>
                <w:kern w:val="0"/>
                <w:sz w:val="24"/>
                <w:szCs w:val="24"/>
                <w:highlight w:val="none"/>
                <w:lang w:val="en-US" w:eastAsia="zh-CN"/>
              </w:rPr>
              <w:t>文件递交</w:t>
            </w:r>
            <w:r>
              <w:rPr>
                <w:rFonts w:hint="eastAsia" w:ascii="宋体" w:hAnsi="宋体" w:eastAsia="宋体" w:cs="宋体"/>
                <w:color w:val="auto"/>
                <w:kern w:val="0"/>
                <w:sz w:val="24"/>
                <w:szCs w:val="24"/>
                <w:highlight w:val="none"/>
              </w:rPr>
              <w:t>截止期结束后</w:t>
            </w:r>
            <w:r>
              <w:rPr>
                <w:rFonts w:hint="eastAsia" w:ascii="宋体" w:hAnsi="宋体" w:eastAsia="宋体" w:cs="宋体"/>
                <w:color w:val="auto"/>
                <w:kern w:val="0"/>
                <w:sz w:val="24"/>
                <w:szCs w:val="24"/>
                <w:highlight w:val="none"/>
                <w:lang w:val="en-US" w:eastAsia="zh-CN"/>
              </w:rPr>
              <w:t>90</w:t>
            </w:r>
            <w:r>
              <w:rPr>
                <w:rFonts w:hint="eastAsia" w:ascii="宋体" w:hAnsi="宋体" w:eastAsia="宋体" w:cs="宋体"/>
                <w:color w:val="auto"/>
                <w:kern w:val="0"/>
                <w:sz w:val="24"/>
                <w:szCs w:val="24"/>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eastAsia="宋体" w:cs="宋体"/>
                <w:color w:val="auto"/>
                <w:sz w:val="24"/>
                <w:szCs w:val="24"/>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质疑和投诉：供应商认为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解释：1、构成本</w:t>
            </w:r>
            <w:r>
              <w:rPr>
                <w:rFonts w:hint="eastAsia" w:ascii="宋体" w:hAnsi="宋体" w:eastAsia="宋体" w:cs="宋体"/>
                <w:color w:val="auto"/>
                <w:sz w:val="24"/>
                <w:szCs w:val="32"/>
                <w:highlight w:val="none"/>
                <w:lang w:val="en-US" w:eastAsia="zh-CN"/>
              </w:rPr>
              <w:t>采购</w:t>
            </w:r>
            <w:r>
              <w:rPr>
                <w:rFonts w:hint="eastAsia" w:ascii="宋体" w:hAnsi="宋体" w:eastAsia="宋体" w:cs="宋体"/>
                <w:color w:val="auto"/>
                <w:sz w:val="24"/>
                <w:szCs w:val="32"/>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sz w:val="24"/>
                <w:szCs w:val="32"/>
                <w:highlight w:val="none"/>
                <w:lang w:val="en-US" w:eastAsia="zh-CN"/>
              </w:rPr>
              <w:t>采购</w:t>
            </w:r>
            <w:r>
              <w:rPr>
                <w:rFonts w:hint="eastAsia" w:ascii="宋体" w:hAnsi="宋体" w:eastAsia="宋体" w:cs="宋体"/>
                <w:color w:val="auto"/>
                <w:sz w:val="24"/>
                <w:szCs w:val="32"/>
                <w:highlight w:val="none"/>
              </w:rPr>
              <w:t>文件中有特殊规定外，仅适用于招标投标阶段的规定，按</w:t>
            </w:r>
            <w:r>
              <w:rPr>
                <w:rFonts w:hint="eastAsia" w:ascii="宋体" w:hAnsi="宋体" w:eastAsia="宋体" w:cs="宋体"/>
                <w:color w:val="auto"/>
                <w:sz w:val="24"/>
                <w:szCs w:val="32"/>
                <w:highlight w:val="none"/>
                <w:lang w:val="en-US" w:eastAsia="zh-CN"/>
              </w:rPr>
              <w:t>采购</w:t>
            </w:r>
            <w:r>
              <w:rPr>
                <w:rFonts w:hint="eastAsia" w:ascii="宋体" w:hAnsi="宋体" w:eastAsia="宋体" w:cs="宋体"/>
                <w:color w:val="auto"/>
                <w:sz w:val="24"/>
                <w:szCs w:val="32"/>
                <w:highlight w:val="none"/>
              </w:rPr>
              <w:t>公告、供应商须知、评标办法、投标文件格式的先后顺序解释；同一组成文件中就同一事项的规定或约定不一致的，以编排顺序在后者为准；当</w:t>
            </w:r>
            <w:r>
              <w:rPr>
                <w:rFonts w:hint="eastAsia" w:ascii="宋体" w:hAnsi="宋体" w:eastAsia="宋体" w:cs="宋体"/>
                <w:color w:val="auto"/>
                <w:sz w:val="24"/>
                <w:szCs w:val="32"/>
                <w:highlight w:val="none"/>
                <w:lang w:val="en-US" w:eastAsia="zh-CN"/>
              </w:rPr>
              <w:t>采购</w:t>
            </w:r>
            <w:r>
              <w:rPr>
                <w:rFonts w:hint="eastAsia" w:ascii="宋体" w:hAnsi="宋体" w:eastAsia="宋体" w:cs="宋体"/>
                <w:color w:val="auto"/>
                <w:sz w:val="24"/>
                <w:szCs w:val="32"/>
                <w:highlight w:val="none"/>
              </w:rPr>
              <w:t>文件与</w:t>
            </w:r>
            <w:r>
              <w:rPr>
                <w:rFonts w:hint="eastAsia" w:ascii="宋体" w:hAnsi="宋体" w:eastAsia="宋体" w:cs="宋体"/>
                <w:color w:val="auto"/>
                <w:sz w:val="24"/>
                <w:szCs w:val="32"/>
                <w:highlight w:val="none"/>
                <w:lang w:val="en-US" w:eastAsia="zh-CN"/>
              </w:rPr>
              <w:t>采购</w:t>
            </w:r>
            <w:r>
              <w:rPr>
                <w:rFonts w:hint="eastAsia" w:ascii="宋体" w:hAnsi="宋体" w:eastAsia="宋体" w:cs="宋体"/>
                <w:color w:val="auto"/>
                <w:sz w:val="24"/>
                <w:szCs w:val="32"/>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32"/>
                <w:highlight w:val="none"/>
              </w:rPr>
              <w:t>2、本</w:t>
            </w:r>
            <w:r>
              <w:rPr>
                <w:rFonts w:hint="eastAsia" w:ascii="宋体" w:hAnsi="宋体" w:eastAsia="宋体" w:cs="宋体"/>
                <w:color w:val="auto"/>
                <w:sz w:val="24"/>
                <w:szCs w:val="32"/>
                <w:highlight w:val="none"/>
                <w:lang w:val="en-US" w:eastAsia="zh-CN"/>
              </w:rPr>
              <w:t>采购</w:t>
            </w:r>
            <w:r>
              <w:rPr>
                <w:rFonts w:hint="eastAsia" w:ascii="宋体" w:hAnsi="宋体" w:eastAsia="宋体" w:cs="宋体"/>
                <w:color w:val="auto"/>
                <w:sz w:val="24"/>
                <w:szCs w:val="32"/>
                <w:highlight w:val="none"/>
              </w:rPr>
              <w:t>文件解释权归采购人。</w:t>
            </w:r>
          </w:p>
        </w:tc>
      </w:tr>
    </w:tbl>
    <w:p>
      <w:pPr>
        <w:rPr>
          <w:rFonts w:hint="eastAsia" w:ascii="宋体" w:hAnsi="宋体" w:eastAsia="宋体" w:cs="宋体"/>
          <w:color w:val="auto"/>
          <w:sz w:val="24"/>
          <w:szCs w:val="32"/>
          <w:highlight w:val="none"/>
        </w:rPr>
      </w:pP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32"/>
          <w:szCs w:val="32"/>
          <w:highlight w:val="none"/>
        </w:rPr>
      </w:pPr>
      <w:r>
        <w:rPr>
          <w:rFonts w:hint="eastAsia" w:ascii="宋体" w:hAnsi="宋体" w:eastAsia="宋体" w:cs="宋体"/>
          <w:b/>
          <w:bCs/>
          <w:color w:val="auto"/>
          <w:kern w:val="0"/>
          <w:sz w:val="32"/>
          <w:szCs w:val="32"/>
          <w:highlight w:val="none"/>
        </w:rPr>
        <w:t>一 、说 明</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sz w:val="24"/>
          <w:szCs w:val="32"/>
          <w:highlight w:val="none"/>
        </w:rPr>
      </w:pP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1.适用范围</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文件仅适用于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2.定义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 “投标人”系指</w:t>
      </w:r>
      <w:r>
        <w:rPr>
          <w:rFonts w:hint="eastAsia" w:ascii="宋体" w:hAnsi="宋体" w:eastAsia="宋体" w:cs="宋体"/>
          <w:color w:val="auto"/>
          <w:kern w:val="0"/>
          <w:sz w:val="24"/>
          <w:szCs w:val="24"/>
          <w:highlight w:val="none"/>
          <w:lang w:val="en-US" w:eastAsia="zh-CN"/>
        </w:rPr>
        <w:t>领取</w:t>
      </w:r>
      <w:r>
        <w:rPr>
          <w:rFonts w:hint="eastAsia" w:ascii="宋体" w:hAnsi="宋体" w:eastAsia="宋体" w:cs="宋体"/>
          <w:color w:val="auto"/>
          <w:kern w:val="0"/>
          <w:sz w:val="24"/>
          <w:szCs w:val="24"/>
          <w:highlight w:val="none"/>
        </w:rPr>
        <w:t>了本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 “投标人代表”系指代表投标人参加本次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2.4 “货物”系指投标人按</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2.5 “相关服务”系指</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3.本次采购预算（最高限价）为</w:t>
      </w:r>
      <w:r>
        <w:rPr>
          <w:rFonts w:hint="eastAsia" w:ascii="宋体" w:hAnsi="宋体" w:eastAsia="宋体" w:cs="宋体"/>
          <w:b/>
          <w:bCs/>
          <w:color w:val="auto"/>
          <w:kern w:val="0"/>
          <w:sz w:val="24"/>
          <w:szCs w:val="24"/>
          <w:highlight w:val="none"/>
          <w:lang w:val="en-US" w:eastAsia="zh-CN"/>
        </w:rPr>
        <w:t>19.8万</w:t>
      </w:r>
      <w:r>
        <w:rPr>
          <w:rFonts w:hint="eastAsia" w:ascii="宋体" w:hAnsi="宋体" w:eastAsia="宋体" w:cs="宋体"/>
          <w:b/>
          <w:bCs/>
          <w:color w:val="auto"/>
          <w:kern w:val="0"/>
          <w:sz w:val="24"/>
          <w:szCs w:val="24"/>
          <w:highlight w:val="none"/>
        </w:rPr>
        <w:t>元</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2供应商应提供2021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3具有履行合同所必需的设备和专业技术能力（提供书面声明函）。</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4参加本采购活动前三年内，在经营活动中没有重大违法记录（提供书面声明函）。</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5符合法律、行政法规规定的其他条件。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color w:val="auto"/>
          <w:sz w:val="24"/>
          <w:szCs w:val="24"/>
          <w:highlight w:val="none"/>
          <w:lang w:val="en-US" w:eastAsia="zh-CN"/>
        </w:rPr>
        <w:t>4.6</w:t>
      </w:r>
      <w:r>
        <w:rPr>
          <w:rFonts w:hint="eastAsia" w:ascii="宋体" w:hAnsi="宋体" w:eastAsia="宋体" w:cs="宋体"/>
          <w:color w:val="auto"/>
          <w:sz w:val="24"/>
          <w:szCs w:val="24"/>
          <w:highlight w:val="none"/>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 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10.质疑和投诉</w:t>
      </w:r>
    </w:p>
    <w:p>
      <w:pPr>
        <w:keepNext w:val="0"/>
        <w:keepLines w:val="0"/>
        <w:pageBreakBefore w:val="0"/>
        <w:widowControl/>
        <w:kinsoku/>
        <w:wordWrap/>
        <w:overflowPunct/>
        <w:topLinePunct w:val="0"/>
        <w:bidi w:val="0"/>
        <w:snapToGrid w:val="0"/>
        <w:spacing w:line="360" w:lineRule="auto"/>
        <w:ind w:firstLine="470" w:firstLineChars="19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10.1 </w:t>
      </w:r>
      <w:r>
        <w:rPr>
          <w:rFonts w:hint="eastAsia" w:ascii="宋体" w:hAnsi="宋体" w:eastAsia="宋体" w:cs="宋体"/>
          <w:bCs/>
          <w:color w:val="auto"/>
          <w:kern w:val="0"/>
          <w:sz w:val="24"/>
          <w:szCs w:val="24"/>
          <w:highlight w:val="none"/>
        </w:rPr>
        <w:t>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w:t>
      </w:r>
      <w:r>
        <w:rPr>
          <w:rFonts w:hint="eastAsia" w:ascii="宋体" w:hAnsi="宋体" w:eastAsia="宋体" w:cs="宋体"/>
          <w:color w:val="auto"/>
          <w:kern w:val="0"/>
          <w:sz w:val="24"/>
          <w:szCs w:val="24"/>
          <w:highlight w:val="none"/>
          <w:lang w:val="en-US" w:eastAsia="zh-CN"/>
        </w:rPr>
        <w:t>医院纪检</w:t>
      </w:r>
      <w:r>
        <w:rPr>
          <w:rFonts w:hint="eastAsia" w:ascii="宋体" w:hAnsi="宋体" w:eastAsia="宋体" w:cs="宋体"/>
          <w:color w:val="auto"/>
          <w:kern w:val="0"/>
          <w:sz w:val="24"/>
          <w:szCs w:val="24"/>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10.2 </w:t>
      </w:r>
      <w:r>
        <w:rPr>
          <w:rFonts w:hint="eastAsia" w:ascii="宋体" w:hAnsi="宋体" w:eastAsia="宋体" w:cs="宋体"/>
          <w:bCs/>
          <w:color w:val="auto"/>
          <w:kern w:val="0"/>
          <w:sz w:val="24"/>
          <w:szCs w:val="24"/>
          <w:highlight w:val="none"/>
        </w:rPr>
        <w:t>质疑、投诉应当采用书面形式，质疑书、投诉书均应明确阐述</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24"/>
          <w:szCs w:val="24"/>
          <w:highlight w:val="none"/>
        </w:rPr>
        <w:t>投标人没有按照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文件要求提供全部资料，或者投标人没有对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32"/>
          <w:szCs w:val="32"/>
          <w:highlight w:val="none"/>
        </w:rPr>
      </w:pPr>
      <w:r>
        <w:rPr>
          <w:rFonts w:hint="eastAsia" w:ascii="宋体" w:hAnsi="宋体" w:eastAsia="宋体" w:cs="宋体"/>
          <w:b/>
          <w:bCs/>
          <w:color w:val="auto"/>
          <w:kern w:val="0"/>
          <w:sz w:val="32"/>
          <w:szCs w:val="32"/>
          <w:highlight w:val="none"/>
        </w:rPr>
        <w:t>二、</w:t>
      </w:r>
      <w:r>
        <w:rPr>
          <w:rFonts w:hint="eastAsia" w:ascii="宋体" w:hAnsi="宋体" w:eastAsia="宋体" w:cs="宋体"/>
          <w:b/>
          <w:bCs/>
          <w:color w:val="auto"/>
          <w:kern w:val="0"/>
          <w:sz w:val="32"/>
          <w:szCs w:val="32"/>
          <w:highlight w:val="none"/>
          <w:lang w:val="en-US" w:eastAsia="zh-CN"/>
        </w:rPr>
        <w:t>采购</w:t>
      </w:r>
      <w:r>
        <w:rPr>
          <w:rFonts w:hint="eastAsia" w:ascii="宋体" w:hAnsi="宋体" w:eastAsia="宋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12.</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文件的构成。本</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文件由以下部分组成：</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需求</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12.3 投标人须知</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12.4 评标办法</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12.5 合同主要条款</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12.6 投标文件格式</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13.</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文件的澄清与修改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13.1 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对已发出的</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文件进行必要澄清、修改或补充的，应当在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文件要求提交投标文件截止时间</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前，在</w:t>
      </w:r>
      <w:r>
        <w:rPr>
          <w:rFonts w:hint="eastAsia" w:ascii="宋体" w:hAnsi="宋体" w:eastAsia="宋体" w:cs="宋体"/>
          <w:color w:val="auto"/>
          <w:kern w:val="0"/>
          <w:sz w:val="24"/>
          <w:szCs w:val="24"/>
          <w:highlight w:val="none"/>
          <w:lang w:val="en-US" w:eastAsia="zh-CN"/>
        </w:rPr>
        <w:t>原采购公告发布</w:t>
      </w:r>
      <w:r>
        <w:rPr>
          <w:rFonts w:hint="eastAsia" w:ascii="宋体" w:hAnsi="宋体" w:eastAsia="宋体" w:cs="宋体"/>
          <w:color w:val="auto"/>
          <w:kern w:val="0"/>
          <w:sz w:val="24"/>
          <w:szCs w:val="24"/>
          <w:highlight w:val="none"/>
        </w:rPr>
        <w:t>相关媒体上发布更正公告或变更公告。</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文件公示期间对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文件澄清、修改或补充的内容为</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13.3 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文件的澄清、修改或补充都应以法定形式发布。采购人未对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24"/>
          <w:szCs w:val="24"/>
          <w:highlight w:val="none"/>
        </w:rPr>
        <w:t>13.4 </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可以视招标具体情况延长投标截止时间和开标时间，但至少应当在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文件要求提交投标文件的截止时间3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前，将变更时间</w:t>
      </w:r>
      <w:r>
        <w:rPr>
          <w:rFonts w:hint="eastAsia" w:ascii="宋体" w:hAnsi="宋体" w:eastAsia="宋体" w:cs="宋体"/>
          <w:color w:val="auto"/>
          <w:kern w:val="0"/>
          <w:sz w:val="24"/>
          <w:szCs w:val="24"/>
          <w:highlight w:val="none"/>
          <w:lang w:val="en-US" w:eastAsia="zh-CN"/>
        </w:rPr>
        <w:t>通知所有潜在投标人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32"/>
          <w:szCs w:val="32"/>
          <w:highlight w:val="none"/>
        </w:rPr>
      </w:pPr>
      <w:r>
        <w:rPr>
          <w:rFonts w:hint="eastAsia" w:ascii="宋体" w:hAnsi="宋体" w:eastAsia="宋体" w:cs="宋体"/>
          <w:b/>
          <w:bCs/>
          <w:color w:val="auto"/>
          <w:kern w:val="0"/>
          <w:sz w:val="32"/>
          <w:szCs w:val="32"/>
          <w:highlight w:val="none"/>
        </w:rPr>
        <w:t>三</w:t>
      </w:r>
      <w:r>
        <w:rPr>
          <w:rFonts w:hint="eastAsia" w:ascii="宋体" w:hAnsi="宋体" w:eastAsia="宋体" w:cs="宋体"/>
          <w:b/>
          <w:bCs/>
          <w:color w:val="auto"/>
          <w:kern w:val="0"/>
          <w:sz w:val="32"/>
          <w:szCs w:val="24"/>
          <w:highlight w:val="none"/>
        </w:rPr>
        <w:t>、</w:t>
      </w:r>
      <w:r>
        <w:rPr>
          <w:rFonts w:hint="eastAsia" w:ascii="宋体" w:hAnsi="宋体" w:eastAsia="宋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14.要求</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 投标人应仔细阅读</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文件的所有内容，按照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文件提供的格式编写投标文件，不得缺少或留空任何</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文件要求填写的表格或提交的资料。</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文件提供格式的按格式填列，未提供格式的可自行拟定。投标文件应对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 投标人应完整签署投标文件格式附件中《投标书》和《抵制商业贿赂承诺》，不得增减或修改内容。否则视为对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15.2 关于投标计量单位，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文件已有明确规定的，使用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文件规定的计量单位；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文件没有规定的，应采用中华人民共和国法定计量单位。否则视为对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16.投标文件的组成</w:t>
      </w:r>
      <w:r>
        <w:rPr>
          <w:rFonts w:hint="eastAsia" w:ascii="宋体" w:hAnsi="宋体" w:eastAsia="宋体" w:cs="宋体"/>
          <w:color w:val="auto"/>
          <w:kern w:val="0"/>
          <w:sz w:val="24"/>
          <w:szCs w:val="24"/>
          <w:highlight w:val="none"/>
        </w:rPr>
        <w:t>。</w:t>
      </w:r>
      <w:r>
        <w:rPr>
          <w:rFonts w:hint="eastAsia" w:ascii="宋体" w:hAnsi="宋体" w:eastAsia="宋体" w:cs="宋体"/>
          <w:b/>
          <w:bCs/>
          <w:color w:val="auto"/>
          <w:kern w:val="0"/>
          <w:sz w:val="24"/>
          <w:szCs w:val="24"/>
          <w:highlight w:val="none"/>
        </w:rPr>
        <w:t>投标文件应包括下列部分：</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16.1、</w:t>
      </w:r>
      <w:r>
        <w:rPr>
          <w:rFonts w:hint="eastAsia"/>
          <w:color w:val="auto"/>
          <w:sz w:val="24"/>
          <w:highlight w:val="none"/>
        </w:rPr>
        <w:t>投标书</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lang w:val="en-US" w:eastAsia="zh-CN"/>
        </w:rPr>
        <w:t>16.2、</w:t>
      </w:r>
      <w:r>
        <w:rPr>
          <w:rFonts w:hint="eastAsia"/>
          <w:color w:val="auto"/>
          <w:sz w:val="24"/>
          <w:highlight w:val="none"/>
        </w:rPr>
        <w:t>开标一览表（</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w:t>
      </w:r>
      <w:r>
        <w:rPr>
          <w:rFonts w:hint="eastAsia"/>
          <w:color w:val="auto"/>
          <w:sz w:val="24"/>
          <w:highlight w:val="none"/>
        </w:rPr>
        <w:t>投标报价明细表</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color w:val="auto"/>
          <w:sz w:val="24"/>
          <w:highlight w:val="none"/>
        </w:rPr>
        <w:t>技术响应表</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w:t>
      </w:r>
      <w:r>
        <w:rPr>
          <w:rFonts w:hint="eastAsia"/>
          <w:color w:val="auto"/>
          <w:sz w:val="24"/>
          <w:highlight w:val="none"/>
        </w:rPr>
        <w:t>商务响应表</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w:t>
      </w:r>
      <w:r>
        <w:rPr>
          <w:rFonts w:hint="eastAsia"/>
          <w:color w:val="auto"/>
          <w:sz w:val="24"/>
          <w:highlight w:val="none"/>
        </w:rPr>
        <w:t>法定代表人身份证明</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w:t>
      </w:r>
      <w:r>
        <w:rPr>
          <w:rFonts w:hint="eastAsia"/>
          <w:color w:val="auto"/>
          <w:sz w:val="24"/>
          <w:highlight w:val="none"/>
        </w:rPr>
        <w:t>法定代表人授权书</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w:t>
      </w:r>
      <w:r>
        <w:rPr>
          <w:rFonts w:hint="eastAsia"/>
          <w:color w:val="auto"/>
          <w:sz w:val="24"/>
          <w:highlight w:val="none"/>
        </w:rPr>
        <w:t>证明文件</w:t>
      </w:r>
    </w:p>
    <w:p>
      <w:pPr>
        <w:snapToGrid w:val="0"/>
        <w:spacing w:line="360" w:lineRule="auto"/>
        <w:ind w:firstLine="480" w:firstLineChars="200"/>
        <w:rPr>
          <w:rFonts w:hint="eastAsia"/>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w:t>
      </w:r>
      <w:r>
        <w:rPr>
          <w:rFonts w:hint="eastAsia"/>
          <w:color w:val="auto"/>
          <w:sz w:val="24"/>
          <w:highlight w:val="none"/>
        </w:rPr>
        <w:t>供应商承诺书</w:t>
      </w:r>
    </w:p>
    <w:p>
      <w:pPr>
        <w:snapToGrid w:val="0"/>
        <w:spacing w:line="360" w:lineRule="auto"/>
        <w:ind w:firstLine="480" w:firstLineChars="200"/>
        <w:rPr>
          <w:rFonts w:hint="eastAsia"/>
        </w:rPr>
      </w:pPr>
      <w:r>
        <w:rPr>
          <w:rFonts w:hint="eastAsia" w:ascii="宋体" w:hAnsi="宋体" w:eastAsia="宋体" w:cs="宋体"/>
          <w:color w:val="auto"/>
          <w:kern w:val="0"/>
          <w:sz w:val="24"/>
          <w:szCs w:val="24"/>
          <w:highlight w:val="none"/>
        </w:rPr>
        <w:t>16</w:t>
      </w:r>
      <w:r>
        <w:rPr>
          <w:rFonts w:hint="eastAsia" w:ascii="宋体" w:hAnsi="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w:t>
      </w:r>
      <w:r>
        <w:rPr>
          <w:rFonts w:hint="eastAsia" w:eastAsia="宋体"/>
          <w:color w:val="auto"/>
          <w:sz w:val="24"/>
          <w:highlight w:val="none"/>
          <w:lang w:val="en-US" w:eastAsia="zh-CN"/>
        </w:rPr>
        <w:t>供应商信用承诺函</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17.投标有效期</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17.1 投标文件从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公告所规定的投标截止期之后开始生效，在</w:t>
      </w:r>
      <w:r>
        <w:rPr>
          <w:rFonts w:hint="eastAsia" w:ascii="宋体" w:hAnsi="宋体" w:eastAsia="宋体" w:cs="宋体"/>
          <w:bCs/>
          <w:color w:val="auto"/>
          <w:kern w:val="0"/>
          <w:sz w:val="24"/>
          <w:szCs w:val="24"/>
          <w:highlight w:val="none"/>
        </w:rPr>
        <w:t>投标人须知前附表</w:t>
      </w:r>
      <w:r>
        <w:rPr>
          <w:rFonts w:hint="eastAsia" w:ascii="宋体" w:hAnsi="宋体" w:eastAsia="宋体" w:cs="宋体"/>
          <w:color w:val="auto"/>
          <w:kern w:val="0"/>
          <w:sz w:val="24"/>
          <w:szCs w:val="24"/>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17.2特殊情况下</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可于投标有效期满之前书面要求投标人同意延长有效期，投标人应在</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18.投标报价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18.3 </w:t>
      </w:r>
      <w:r>
        <w:rPr>
          <w:rFonts w:hint="eastAsia" w:ascii="宋体" w:hAnsi="宋体" w:eastAsia="宋体" w:cs="宋体"/>
          <w:color w:val="auto"/>
          <w:spacing w:val="10"/>
          <w:kern w:val="0"/>
          <w:sz w:val="24"/>
          <w:szCs w:val="24"/>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18.5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19.投标保证金</w:t>
      </w: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lang w:val="en-US" w:eastAsia="zh-CN"/>
        </w:rPr>
        <w:t>不要求</w:t>
      </w:r>
      <w:r>
        <w:rPr>
          <w:rFonts w:hint="eastAsia" w:ascii="宋体" w:hAnsi="宋体" w:eastAsia="宋体" w:cs="宋体"/>
          <w:b/>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rPr>
        <w:t>20.投标文件的签署</w:t>
      </w:r>
      <w:r>
        <w:rPr>
          <w:rFonts w:hint="eastAsia" w:ascii="宋体" w:hAnsi="宋体" w:eastAsia="宋体" w:cs="宋体"/>
          <w:b/>
          <w:color w:val="auto"/>
          <w:kern w:val="0"/>
          <w:sz w:val="24"/>
          <w:szCs w:val="24"/>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.1投标文件应按第六章“投标文件格式”进行编写，如有必要，可以增加附页，作为投标文件的组成部分。其中，投标报价一览表在满足</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文件实质性要求的基础上，可以提出比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.2 投标文件应当对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文件有关服务期、投标有效期、质量要求、技术标准和要求、</w:t>
      </w: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77" w:firstLineChars="198"/>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21. 投标文件的密封、标记</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21.1</w:t>
      </w:r>
      <w:r>
        <w:rPr>
          <w:rFonts w:hint="eastAsia" w:ascii="宋体" w:hAnsi="宋体" w:eastAsia="宋体" w:cs="宋体"/>
          <w:color w:val="auto"/>
          <w:sz w:val="24"/>
          <w:szCs w:val="32"/>
          <w:highlight w:val="none"/>
        </w:rPr>
        <w:t>响应文件应密封包装，并在封套的封口处加盖供应商单位章或由供应商的法定 代表人（单位负责人）或其授权的代理人签字。</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21.2 投标文件的封套上应清楚地标记“正本”或“副本”字样，封套上应写明的其他内容见投标人须知前附表</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32"/>
          <w:lang w:eastAsia="zh-CN"/>
        </w:rPr>
      </w:pPr>
      <w:r>
        <w:rPr>
          <w:rFonts w:hint="eastAsia" w:ascii="宋体" w:hAnsi="宋体" w:eastAsia="宋体" w:cs="宋体"/>
          <w:color w:val="auto"/>
          <w:sz w:val="24"/>
          <w:szCs w:val="32"/>
          <w:lang w:eastAsia="zh-CN"/>
        </w:rPr>
        <w:t>2</w:t>
      </w:r>
      <w:r>
        <w:rPr>
          <w:rFonts w:hint="eastAsia" w:ascii="宋体" w:hAnsi="宋体" w:eastAsia="宋体" w:cs="宋体"/>
          <w:color w:val="auto"/>
          <w:sz w:val="24"/>
          <w:szCs w:val="32"/>
          <w:lang w:val="en-US" w:eastAsia="zh-CN"/>
        </w:rPr>
        <w:t>1</w:t>
      </w:r>
      <w:r>
        <w:rPr>
          <w:rFonts w:hint="eastAsia" w:ascii="宋体" w:hAnsi="宋体" w:eastAsia="宋体" w:cs="宋体"/>
          <w:color w:val="auto"/>
          <w:sz w:val="24"/>
          <w:szCs w:val="32"/>
          <w:lang w:eastAsia="zh-CN"/>
        </w:rPr>
        <w:t>.3 未按本章第2</w:t>
      </w:r>
      <w:r>
        <w:rPr>
          <w:rFonts w:hint="eastAsia" w:ascii="宋体" w:hAnsi="宋体" w:eastAsia="宋体" w:cs="宋体"/>
          <w:color w:val="auto"/>
          <w:sz w:val="24"/>
          <w:szCs w:val="32"/>
          <w:lang w:val="en-US" w:eastAsia="zh-CN"/>
        </w:rPr>
        <w:t>1</w:t>
      </w:r>
      <w:r>
        <w:rPr>
          <w:rFonts w:hint="eastAsia" w:ascii="宋体" w:hAnsi="宋体" w:eastAsia="宋体" w:cs="宋体"/>
          <w:color w:val="auto"/>
          <w:sz w:val="24"/>
          <w:szCs w:val="32"/>
          <w:lang w:eastAsia="zh-CN"/>
        </w:rPr>
        <w:t>.1项或第2</w:t>
      </w:r>
      <w:r>
        <w:rPr>
          <w:rFonts w:hint="eastAsia" w:ascii="宋体" w:hAnsi="宋体" w:eastAsia="宋体" w:cs="宋体"/>
          <w:color w:val="auto"/>
          <w:sz w:val="24"/>
          <w:szCs w:val="32"/>
          <w:lang w:val="en-US" w:eastAsia="zh-CN"/>
        </w:rPr>
        <w:t>1</w:t>
      </w:r>
      <w:r>
        <w:rPr>
          <w:rFonts w:hint="eastAsia" w:ascii="宋体" w:hAnsi="宋体" w:eastAsia="宋体" w:cs="宋体"/>
          <w:color w:val="auto"/>
          <w:sz w:val="24"/>
          <w:szCs w:val="32"/>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 投标人应在规定的投标截止时间前</w:t>
      </w:r>
      <w:r>
        <w:rPr>
          <w:rFonts w:hint="eastAsia" w:ascii="宋体" w:hAnsi="宋体" w:eastAsia="宋体" w:cs="宋体"/>
          <w:color w:val="auto"/>
          <w:kern w:val="0"/>
          <w:sz w:val="24"/>
          <w:szCs w:val="24"/>
          <w:highlight w:val="none"/>
          <w:lang w:eastAsia="zh-CN"/>
        </w:rPr>
        <w:t>递交</w:t>
      </w:r>
      <w:r>
        <w:rPr>
          <w:rFonts w:hint="eastAsia" w:ascii="宋体" w:hAnsi="宋体" w:eastAsia="宋体" w:cs="宋体"/>
          <w:color w:val="auto"/>
          <w:kern w:val="0"/>
          <w:sz w:val="24"/>
          <w:szCs w:val="24"/>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23.1 投标人在投标截止时间前，可以对所提交的投标文件进行补充、修改或者撤回，并书面通知</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24"/>
          <w:szCs w:val="24"/>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30"/>
          <w:szCs w:val="30"/>
          <w:highlight w:val="none"/>
        </w:rPr>
      </w:pPr>
      <w:r>
        <w:rPr>
          <w:rFonts w:hint="eastAsia" w:ascii="宋体" w:hAnsi="宋体" w:eastAsia="宋体" w:cs="宋体"/>
          <w:b/>
          <w:bCs/>
          <w:color w:val="auto"/>
          <w:kern w:val="0"/>
          <w:sz w:val="32"/>
          <w:szCs w:val="32"/>
          <w:highlight w:val="none"/>
          <w:lang w:val="en-US" w:eastAsia="zh-CN"/>
        </w:rPr>
        <w:t>五</w:t>
      </w:r>
      <w:r>
        <w:rPr>
          <w:rFonts w:hint="eastAsia" w:ascii="宋体" w:hAnsi="宋体" w:eastAsia="宋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 组建评标委员会</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评标委员会由采购人代表和评审专家组成。成员由</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人以上单数组成。</w:t>
      </w:r>
      <w:r>
        <w:rPr>
          <w:rFonts w:hint="eastAsia" w:ascii="宋体" w:hAnsi="宋体" w:eastAsia="宋体" w:cs="宋体"/>
          <w:color w:val="auto"/>
          <w:sz w:val="24"/>
          <w:szCs w:val="24"/>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.2评标委员会成员要依法独立评审，并对评审意见承担个人责任。</w:t>
      </w:r>
      <w:r>
        <w:rPr>
          <w:rFonts w:hint="eastAsia" w:ascii="宋体" w:hAnsi="宋体" w:eastAsia="宋体" w:cs="宋体"/>
          <w:color w:val="auto"/>
          <w:sz w:val="24"/>
          <w:szCs w:val="24"/>
          <w:highlight w:val="none"/>
        </w:rPr>
        <w:t>评标委员会成员对需要共同认定的事项存在争议的，按照少数服从多数的原则</w:t>
      </w:r>
      <w:r>
        <w:rPr>
          <w:rFonts w:hint="eastAsia" w:ascii="宋体" w:hAnsi="宋体" w:eastAsia="宋体" w:cs="宋体"/>
          <w:color w:val="auto"/>
          <w:kern w:val="0"/>
          <w:sz w:val="24"/>
          <w:szCs w:val="24"/>
          <w:highlight w:val="none"/>
        </w:rPr>
        <w:t>做</w:t>
      </w:r>
      <w:r>
        <w:rPr>
          <w:rFonts w:hint="eastAsia" w:ascii="宋体" w:hAnsi="宋体" w:eastAsia="宋体" w:cs="宋体"/>
          <w:color w:val="auto"/>
          <w:sz w:val="24"/>
          <w:szCs w:val="24"/>
          <w:highlight w:val="none"/>
        </w:rPr>
        <w:t>出结论。持不同意见的评标委员会成员应当在评标报告上签署不同意见</w:t>
      </w:r>
      <w:r>
        <w:rPr>
          <w:rFonts w:hint="eastAsia" w:ascii="宋体" w:hAnsi="宋体" w:eastAsia="宋体" w:cs="宋体"/>
          <w:color w:val="auto"/>
          <w:kern w:val="0"/>
          <w:sz w:val="24"/>
          <w:szCs w:val="24"/>
          <w:highlight w:val="none"/>
        </w:rPr>
        <w:t>并说明</w:t>
      </w:r>
      <w:r>
        <w:rPr>
          <w:rFonts w:hint="eastAsia" w:ascii="宋体" w:hAnsi="宋体" w:eastAsia="宋体" w:cs="宋体"/>
          <w:color w:val="auto"/>
          <w:sz w:val="24"/>
          <w:szCs w:val="24"/>
          <w:highlight w:val="none"/>
        </w:rPr>
        <w:t>理由，否则视为同意。</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 投标文件的初审</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.1对所有投标人的评估，都采用相同的程序和标准。评标过程将严格按照</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文件的要求和条件进行。</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 投标文件报价出现前后不一致的，除</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文件另有规定外，修正错误的原则如下：</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.3.1</w:t>
      </w:r>
      <w:r>
        <w:rPr>
          <w:rFonts w:hint="eastAsia" w:ascii="宋体" w:hAnsi="宋体" w:eastAsia="宋体" w:cs="宋体"/>
          <w:color w:val="auto"/>
          <w:sz w:val="24"/>
          <w:szCs w:val="24"/>
          <w:highlight w:val="none"/>
          <w:shd w:val="clear" w:color="auto" w:fill="FFFFFF"/>
        </w:rPr>
        <w:t>投标文件开标一览表（报价表）内容与投标文件中相应内容不一致的，以开标一览表（报价表）为准；</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shd w:val="clear" w:color="auto" w:fill="FFFFFF"/>
        </w:rPr>
        <w:t>大写金额</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shd w:val="clear" w:color="auto" w:fill="FFFFFF"/>
        </w:rPr>
        <w:t>小写金额不一致的，以大写金额为准；</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.3.3</w:t>
      </w:r>
      <w:r>
        <w:rPr>
          <w:rFonts w:hint="eastAsia" w:ascii="宋体" w:hAnsi="宋体" w:eastAsia="宋体" w:cs="宋体"/>
          <w:color w:val="auto"/>
          <w:sz w:val="24"/>
          <w:szCs w:val="24"/>
          <w:highlight w:val="none"/>
          <w:shd w:val="clear" w:color="auto" w:fill="FFFFFF"/>
        </w:rPr>
        <w:t>单价金额小数点或者百分比有明显错位的，以开标一览表的总价为准，并修改单价；</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.3.4</w:t>
      </w:r>
      <w:r>
        <w:rPr>
          <w:rFonts w:hint="eastAsia" w:ascii="宋体" w:hAnsi="宋体" w:eastAsia="宋体" w:cs="宋体"/>
          <w:color w:val="auto"/>
          <w:sz w:val="24"/>
          <w:szCs w:val="24"/>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.4.1</w:t>
      </w:r>
      <w:r>
        <w:rPr>
          <w:rFonts w:hint="eastAsia" w:ascii="宋体" w:hAnsi="宋体" w:eastAsia="宋体" w:cs="宋体"/>
          <w:color w:val="auto"/>
          <w:sz w:val="24"/>
          <w:szCs w:val="24"/>
          <w:highlight w:val="none"/>
        </w:rPr>
        <w:t>资格性检查。依据法规政策和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文件的规定，在对投标文件详细评估之前，采购人将依据投标人提交的投标文件按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公告第二项和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文件第三章4.投标人应提交的证明文件所述的资格标准对投标人进行资格审查,以确定其是否具备投标资格。如果投标人不具备投标资格、不满足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文件所规定的资格标准或提供资格证明文件不全,其投标将被作为无效投标。在审查过程中，采购人有权要求投标人按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.4.3 符合性检查。依据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文件的规定，评标委员会将从投标文件的有效性、完整性和对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文件的响应程度进行审查，以确定是否符合对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（3）资格证明文件不全的，或不符合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（4）投标有效期、交货时间、质保期等不满足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（6）投标文件的实质性内容未使用中文表述，或意思表述不明确，或前后矛盾，或使用计量单位不符合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（8）投标文件内容未按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（9）不符合</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.4.4 对资格性检查和符合性检查不合格的投标人，将</w:t>
      </w:r>
      <w:r>
        <w:rPr>
          <w:rFonts w:hint="eastAsia" w:ascii="宋体" w:hAnsi="宋体" w:eastAsia="宋体" w:cs="宋体"/>
          <w:color w:val="auto"/>
          <w:kern w:val="0"/>
          <w:sz w:val="24"/>
          <w:szCs w:val="24"/>
          <w:highlight w:val="none"/>
          <w:lang w:val="en-US" w:eastAsia="zh-CN"/>
        </w:rPr>
        <w:t>通过评标系统</w:t>
      </w:r>
      <w:r>
        <w:rPr>
          <w:rFonts w:hint="eastAsia" w:ascii="宋体" w:hAnsi="宋体" w:eastAsia="宋体" w:cs="宋体"/>
          <w:color w:val="auto"/>
          <w:kern w:val="0"/>
          <w:sz w:val="24"/>
          <w:szCs w:val="24"/>
          <w:highlight w:val="none"/>
        </w:rPr>
        <w:t>告知其理由。</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456" w:firstLineChars="19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 xml:space="preserve"> 评标委员会认定的其他串通投标情形。</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6</w:t>
      </w:r>
      <w:r>
        <w:rPr>
          <w:rFonts w:hint="eastAsia" w:ascii="宋体" w:hAnsi="宋体" w:eastAsia="宋体" w:cs="宋体"/>
          <w:b/>
          <w:bCs/>
          <w:color w:val="auto"/>
          <w:kern w:val="0"/>
          <w:sz w:val="24"/>
          <w:szCs w:val="24"/>
          <w:highlight w:val="none"/>
        </w:rPr>
        <w:t>. 投标文件的澄清</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7</w:t>
      </w:r>
      <w:r>
        <w:rPr>
          <w:rFonts w:hint="eastAsia" w:ascii="宋体" w:hAnsi="宋体" w:eastAsia="宋体" w:cs="宋体"/>
          <w:b/>
          <w:bCs/>
          <w:color w:val="auto"/>
          <w:kern w:val="0"/>
          <w:sz w:val="24"/>
          <w:szCs w:val="24"/>
          <w:highlight w:val="none"/>
        </w:rPr>
        <w:t>. 比较与评价</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.1 评标委员会将按本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文件规定的评标方法与标准，对资格性检查和符合性检查合格的投标文件进行商务和技术评估，综合比较与评价。</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.2对漏（缺）报项的处理：</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文件中要求列入报价的费用（含配置、功能），漏（缺）报的视同已含在投标总价中。</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8</w:t>
      </w:r>
      <w:r>
        <w:rPr>
          <w:rFonts w:hint="eastAsia" w:ascii="宋体" w:hAnsi="宋体" w:eastAsia="宋体" w:cs="宋体"/>
          <w:b/>
          <w:bCs/>
          <w:color w:val="auto"/>
          <w:kern w:val="0"/>
          <w:sz w:val="24"/>
          <w:szCs w:val="24"/>
          <w:highlight w:val="none"/>
        </w:rPr>
        <w:t>. 评标过程及保密原则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.1 凡与本次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29</w:t>
      </w:r>
      <w:r>
        <w:rPr>
          <w:rFonts w:hint="eastAsia" w:ascii="宋体" w:hAnsi="宋体" w:eastAsia="宋体" w:cs="宋体"/>
          <w:b/>
          <w:color w:val="auto"/>
          <w:kern w:val="0"/>
          <w:sz w:val="24"/>
          <w:szCs w:val="24"/>
          <w:highlight w:val="none"/>
        </w:rPr>
        <w:t>.评标异议登记</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32"/>
          <w:szCs w:val="32"/>
          <w:highlight w:val="none"/>
        </w:rPr>
      </w:pP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hint="eastAsia" w:ascii="宋体" w:hAnsi="宋体" w:eastAsia="宋体" w:cs="宋体"/>
          <w:color w:val="auto"/>
          <w:kern w:val="0"/>
          <w:sz w:val="32"/>
          <w:szCs w:val="32"/>
          <w:highlight w:val="none"/>
        </w:rPr>
      </w:pPr>
      <w:r>
        <w:rPr>
          <w:rFonts w:hint="eastAsia" w:ascii="宋体" w:hAnsi="宋体" w:eastAsia="宋体" w:cs="宋体"/>
          <w:b/>
          <w:bCs/>
          <w:color w:val="auto"/>
          <w:kern w:val="0"/>
          <w:sz w:val="32"/>
          <w:szCs w:val="32"/>
          <w:highlight w:val="none"/>
          <w:lang w:val="en-US" w:eastAsia="zh-CN"/>
        </w:rPr>
        <w:t>六</w:t>
      </w:r>
      <w:r>
        <w:rPr>
          <w:rFonts w:hint="eastAsia" w:ascii="宋体" w:hAnsi="宋体" w:eastAsia="宋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0</w:t>
      </w:r>
      <w:r>
        <w:rPr>
          <w:rFonts w:hint="eastAsia" w:ascii="宋体" w:hAnsi="宋体" w:eastAsia="宋体" w:cs="宋体"/>
          <w:b/>
          <w:bCs/>
          <w:color w:val="auto"/>
          <w:kern w:val="0"/>
          <w:sz w:val="24"/>
          <w:szCs w:val="24"/>
          <w:highlight w:val="none"/>
        </w:rPr>
        <w:t>. 定标原则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 确定实质上响应</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bookmarkStart w:id="45" w:name="_Toc32200"/>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.2.1</w:t>
      </w:r>
      <w:bookmarkEnd w:id="45"/>
      <w:r>
        <w:rPr>
          <w:rFonts w:hint="eastAsia" w:ascii="宋体" w:hAnsi="宋体" w:eastAsia="宋体" w:cs="宋体"/>
          <w:bCs/>
          <w:color w:val="auto"/>
          <w:kern w:val="0"/>
          <w:sz w:val="24"/>
          <w:szCs w:val="24"/>
          <w:highlight w:val="none"/>
        </w:rPr>
        <w:t>本次评标采用</w:t>
      </w:r>
      <w:r>
        <w:rPr>
          <w:rFonts w:hint="eastAsia" w:ascii="宋体" w:hAnsi="宋体" w:eastAsia="宋体" w:cs="宋体"/>
          <w:color w:val="auto"/>
          <w:sz w:val="24"/>
          <w:szCs w:val="24"/>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采用综合评分法的，评标结果按评审后得分由高到低顺序排列。投标文件满足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1</w:t>
      </w:r>
      <w:r>
        <w:rPr>
          <w:rFonts w:hint="eastAsia" w:ascii="宋体" w:hAnsi="宋体" w:eastAsia="宋体" w:cs="宋体"/>
          <w:b/>
          <w:bCs/>
          <w:color w:val="auto"/>
          <w:kern w:val="0"/>
          <w:sz w:val="24"/>
          <w:szCs w:val="24"/>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本项目由采购人授权评标委员会确定一名中标人并推荐两名中标候选人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 中标通知书及中标公告</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.1评审结束后，</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人将中标候选人的情况在本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项目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公告发布的同一媒介予以公示，公示</w:t>
      </w:r>
      <w:r>
        <w:rPr>
          <w:rFonts w:hint="eastAsia" w:ascii="宋体" w:hAnsi="宋体" w:eastAsia="宋体" w:cs="宋体"/>
          <w:color w:val="auto"/>
          <w:kern w:val="0"/>
          <w:sz w:val="24"/>
          <w:szCs w:val="24"/>
          <w:highlight w:val="none"/>
          <w:lang w:eastAsia="zh-CN"/>
        </w:rPr>
        <w:t>期限</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eastAsia="zh-CN"/>
        </w:rPr>
        <w:t>个工作日</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bCs/>
          <w:color w:val="auto"/>
          <w:kern w:val="0"/>
          <w:sz w:val="24"/>
          <w:szCs w:val="24"/>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 采购人宣布废标的权利</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.1.2投标人的报价均超过了</w:t>
      </w:r>
      <w:r>
        <w:rPr>
          <w:rFonts w:hint="eastAsia" w:ascii="宋体" w:hAnsi="宋体" w:eastAsia="宋体" w:cs="宋体"/>
          <w:bCs/>
          <w:color w:val="auto"/>
          <w:kern w:val="0"/>
          <w:sz w:val="24"/>
          <w:szCs w:val="24"/>
          <w:highlight w:val="none"/>
          <w:lang w:val="en-US" w:eastAsia="zh-CN"/>
        </w:rPr>
        <w:t>采购预算金额</w:t>
      </w:r>
      <w:r>
        <w:rPr>
          <w:rFonts w:hint="eastAsia" w:ascii="宋体" w:hAnsi="宋体" w:eastAsia="宋体" w:cs="宋体"/>
          <w:bCs/>
          <w:color w:val="auto"/>
          <w:kern w:val="0"/>
          <w:sz w:val="24"/>
          <w:szCs w:val="24"/>
          <w:highlight w:val="none"/>
        </w:rPr>
        <w:t>，采购人不能支付的。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.1.3因重大变故，采购任务取消的。</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sz w:val="24"/>
          <w:szCs w:val="24"/>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b/>
          <w:color w:val="auto"/>
          <w:kern w:val="0"/>
          <w:sz w:val="72"/>
          <w:szCs w:val="72"/>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32"/>
          <w:szCs w:val="32"/>
          <w:highlight w:val="none"/>
          <w:lang w:val="en-US" w:eastAsia="zh-CN"/>
        </w:rPr>
        <w:t>七</w:t>
      </w:r>
      <w:r>
        <w:rPr>
          <w:rFonts w:hint="eastAsia" w:ascii="宋体" w:hAnsi="宋体" w:eastAsia="宋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540" w:firstLineChars="224"/>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.合同签订</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u w:val="single"/>
        </w:rPr>
      </w:pPr>
      <w:bookmarkStart w:id="46" w:name="_Toc8594"/>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采购人、中标人自中标通知书发出之日起，在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文件第三章《投标人须知前附表》规定的时间内，根据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文件确定的事项和中标人投标文件签订合同。双方所签订的合同不得对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文件的修改文件、中标人的投标文件、补充或修改的文件及澄清或承诺文件等，均为双方签订合同的组成部分，并与合同一并作为本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.3 中标人放弃中标、因不可抗力不能履行合同、不按照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文件要求提交履约保证金，或者被查实存在影响中标结果的违法行为等情形，不符合中标条件的，采购人可以按照评标委员会提出的中标候选人名单排序依次确定其他中标候选人为中标人，也可以重新招标。</w:t>
      </w:r>
    </w:p>
    <w:bookmarkEnd w:id="46"/>
    <w:p>
      <w:pPr>
        <w:rPr>
          <w:rFonts w:hint="eastAsia" w:ascii="宋体" w:hAnsi="宋体" w:eastAsia="宋体" w:cs="宋体"/>
          <w:color w:val="auto"/>
          <w:sz w:val="24"/>
          <w:szCs w:val="32"/>
          <w:highlight w:val="none"/>
        </w:rPr>
      </w:pPr>
      <w:bookmarkStart w:id="47" w:name="_Toc4700"/>
      <w:bookmarkStart w:id="48" w:name="_Toc16669"/>
      <w:r>
        <w:rPr>
          <w:rFonts w:hint="eastAsia" w:ascii="宋体" w:hAnsi="宋体" w:eastAsia="宋体" w:cs="宋体"/>
          <w:color w:val="auto"/>
          <w:sz w:val="24"/>
          <w:szCs w:val="32"/>
          <w:highlight w:val="none"/>
        </w:rPr>
        <w:br w:type="page"/>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9" w:name="_Toc9022"/>
      <w:bookmarkStart w:id="50" w:name="_Toc23054"/>
      <w:r>
        <w:rPr>
          <w:rFonts w:hint="eastAsia" w:ascii="黑体" w:hAnsi="宋体" w:eastAsia="黑体" w:cs="宋体"/>
          <w:b/>
          <w:bCs/>
          <w:color w:val="auto"/>
          <w:kern w:val="0"/>
          <w:sz w:val="32"/>
          <w:szCs w:val="32"/>
          <w:highlight w:val="none"/>
        </w:rPr>
        <w:t>第四章  评标办法及评分标准</w:t>
      </w:r>
      <w:bookmarkEnd w:id="49"/>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文件全部实质性要求，且评审得分最高的投标人为中标人。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4"/>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5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009"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cs="宋体"/>
                <w:b w:val="0"/>
                <w:bCs w:val="0"/>
                <w:color w:val="auto"/>
                <w:sz w:val="21"/>
                <w:szCs w:val="21"/>
                <w:highlight w:val="none"/>
                <w:lang w:val="en-US" w:eastAsia="zh-CN"/>
              </w:rPr>
              <w:t>35</w:t>
            </w:r>
            <w:r>
              <w:rPr>
                <w:rFonts w:hint="eastAsia" w:ascii="宋体" w:hAnsi="宋体" w:eastAsia="宋体" w:cs="宋体"/>
                <w:b w:val="0"/>
                <w:bCs w:val="0"/>
                <w:color w:val="auto"/>
                <w:sz w:val="21"/>
                <w:szCs w:val="21"/>
                <w:highlight w:val="none"/>
              </w:rPr>
              <w:t>分)</w:t>
            </w:r>
          </w:p>
        </w:tc>
        <w:tc>
          <w:tcPr>
            <w:tcW w:w="7770" w:type="dxa"/>
            <w:gridSpan w:val="2"/>
            <w:noWrap w:val="0"/>
            <w:vAlign w:val="center"/>
          </w:tcPr>
          <w:p>
            <w:pPr>
              <w:pStyle w:val="5"/>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5"/>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5"/>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pStyle w:val="5"/>
              <w:keepNext w:val="0"/>
              <w:keepLines w:val="0"/>
              <w:pageBreakBefore w:val="0"/>
              <w:kinsoku/>
              <w:wordWrap/>
              <w:overflowPunct/>
              <w:topLinePunct w:val="0"/>
              <w:bidi w:val="0"/>
              <w:snapToGrid w:val="0"/>
              <w:spacing w:line="320" w:lineRule="exact"/>
              <w:jc w:val="both"/>
              <w:textAlignment w:val="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cs="Times New Roman"/>
                <w:color w:val="auto"/>
                <w:kern w:val="2"/>
                <w:sz w:val="21"/>
                <w:szCs w:val="24"/>
                <w:lang w:val="en-US" w:eastAsia="zh-CN" w:bidi="ar-SA"/>
              </w:rPr>
              <w:t>带“*”号产品</w:t>
            </w:r>
            <w:r>
              <w:rPr>
                <w:rFonts w:hint="eastAsia" w:ascii="Times New Roman" w:hAnsi="Times New Roman" w:eastAsia="宋体" w:cs="Times New Roman"/>
                <w:color w:val="auto"/>
                <w:kern w:val="2"/>
                <w:sz w:val="21"/>
                <w:szCs w:val="24"/>
                <w:lang w:val="en-US" w:eastAsia="zh-CN" w:bidi="ar-SA"/>
              </w:rPr>
              <w:t>投标报价得分=（评标基准价/有效投标报价）×</w:t>
            </w:r>
            <w:r>
              <w:rPr>
                <w:rFonts w:hint="eastAsia" w:ascii="Times New Roman" w:hAnsi="Times New Roman" w:cs="Times New Roman"/>
                <w:color w:val="auto"/>
                <w:kern w:val="2"/>
                <w:sz w:val="21"/>
                <w:szCs w:val="24"/>
                <w:lang w:val="en-US" w:eastAsia="zh-CN" w:bidi="ar-SA"/>
              </w:rPr>
              <w:t>0.7</w:t>
            </w:r>
            <w:r>
              <w:rPr>
                <w:rFonts w:hint="eastAsia" w:ascii="Times New Roman" w:hAnsi="Times New Roman" w:eastAsia="宋体" w:cs="Times New Roman"/>
                <w:color w:val="auto"/>
                <w:kern w:val="2"/>
                <w:sz w:val="21"/>
                <w:szCs w:val="24"/>
                <w:lang w:val="en-US" w:eastAsia="zh-CN" w:bidi="ar-SA"/>
              </w:rPr>
              <w:t>×</w:t>
            </w:r>
            <w:r>
              <w:rPr>
                <w:rFonts w:hint="eastAsia" w:ascii="Times New Roman" w:hAnsi="Times New Roman" w:cs="Times New Roman"/>
                <w:color w:val="auto"/>
                <w:kern w:val="2"/>
                <w:sz w:val="21"/>
                <w:szCs w:val="24"/>
                <w:lang w:val="en-US" w:eastAsia="zh-CN" w:bidi="ar-SA"/>
              </w:rPr>
              <w:t>35</w:t>
            </w:r>
            <w:r>
              <w:rPr>
                <w:rFonts w:hint="eastAsia" w:ascii="Times New Roman" w:hAnsi="Times New Roman" w:eastAsia="宋体" w:cs="Times New Roman"/>
                <w:color w:val="auto"/>
                <w:kern w:val="2"/>
                <w:sz w:val="21"/>
                <w:szCs w:val="24"/>
                <w:lang w:val="en-US" w:eastAsia="zh-CN" w:bidi="ar-SA"/>
              </w:rPr>
              <w:t>分</w:t>
            </w:r>
          </w:p>
          <w:p>
            <w:pPr>
              <w:pStyle w:val="5"/>
              <w:keepNext w:val="0"/>
              <w:keepLines w:val="0"/>
              <w:pageBreakBefore w:val="0"/>
              <w:kinsoku/>
              <w:wordWrap/>
              <w:overflowPunct/>
              <w:topLinePunct w:val="0"/>
              <w:bidi w:val="0"/>
              <w:snapToGrid w:val="0"/>
              <w:spacing w:line="320" w:lineRule="exact"/>
              <w:jc w:val="both"/>
              <w:textAlignment w:val="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其他</w:t>
            </w:r>
            <w:r>
              <w:rPr>
                <w:rFonts w:hint="eastAsia" w:ascii="Times New Roman" w:hAnsi="Times New Roman" w:cs="Times New Roman"/>
                <w:color w:val="auto"/>
                <w:kern w:val="2"/>
                <w:sz w:val="21"/>
                <w:szCs w:val="24"/>
                <w:lang w:val="en-US" w:eastAsia="zh-CN" w:bidi="ar-SA"/>
              </w:rPr>
              <w:t>产品</w:t>
            </w:r>
            <w:r>
              <w:rPr>
                <w:rFonts w:hint="eastAsia" w:ascii="Times New Roman" w:hAnsi="Times New Roman" w:eastAsia="宋体" w:cs="Times New Roman"/>
                <w:color w:val="auto"/>
                <w:kern w:val="2"/>
                <w:sz w:val="21"/>
                <w:szCs w:val="24"/>
                <w:lang w:val="en-US" w:eastAsia="zh-CN" w:bidi="ar-SA"/>
              </w:rPr>
              <w:t>投标报价得分=（评标基准价/有效投标报价）×</w:t>
            </w:r>
            <w:r>
              <w:rPr>
                <w:rFonts w:hint="eastAsia" w:ascii="Times New Roman" w:hAnsi="Times New Roman" w:cs="Times New Roman"/>
                <w:color w:val="auto"/>
                <w:kern w:val="2"/>
                <w:sz w:val="21"/>
                <w:szCs w:val="24"/>
                <w:lang w:val="en-US" w:eastAsia="zh-CN" w:bidi="ar-SA"/>
              </w:rPr>
              <w:t>0.3</w:t>
            </w:r>
            <w:r>
              <w:rPr>
                <w:rFonts w:hint="eastAsia" w:ascii="Times New Roman" w:hAnsi="Times New Roman" w:eastAsia="宋体" w:cs="Times New Roman"/>
                <w:color w:val="auto"/>
                <w:kern w:val="2"/>
                <w:sz w:val="21"/>
                <w:szCs w:val="24"/>
                <w:lang w:val="en-US" w:eastAsia="zh-CN" w:bidi="ar-SA"/>
              </w:rPr>
              <w:t>×</w:t>
            </w:r>
            <w:r>
              <w:rPr>
                <w:rFonts w:hint="eastAsia" w:ascii="Times New Roman" w:hAnsi="Times New Roman" w:cs="Times New Roman"/>
                <w:color w:val="auto"/>
                <w:kern w:val="2"/>
                <w:sz w:val="21"/>
                <w:szCs w:val="24"/>
                <w:lang w:val="en-US" w:eastAsia="zh-CN" w:bidi="ar-SA"/>
              </w:rPr>
              <w:t>35</w:t>
            </w:r>
            <w:r>
              <w:rPr>
                <w:rFonts w:hint="eastAsia" w:ascii="Times New Roman" w:hAnsi="Times New Roman" w:eastAsia="宋体" w:cs="Times New Roman"/>
                <w:color w:val="auto"/>
                <w:kern w:val="2"/>
                <w:sz w:val="21"/>
                <w:szCs w:val="24"/>
                <w:lang w:val="en-US" w:eastAsia="zh-CN" w:bidi="ar-SA"/>
              </w:rPr>
              <w:t>分</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color w:val="auto"/>
                <w:lang w:val="en-US" w:eastAsia="zh-CN"/>
              </w:rPr>
              <w:t>注：</w:t>
            </w:r>
            <w:r>
              <w:rPr>
                <w:rFonts w:hint="eastAsia" w:ascii="Times New Roman" w:hAnsi="Times New Roman" w:cs="Times New Roman"/>
                <w:color w:val="auto"/>
                <w:kern w:val="2"/>
                <w:sz w:val="21"/>
                <w:szCs w:val="24"/>
                <w:lang w:val="en-US" w:eastAsia="zh-CN" w:bidi="ar-SA"/>
              </w:rPr>
              <w:t>带“*”号产品</w:t>
            </w:r>
            <w:r>
              <w:rPr>
                <w:rFonts w:hint="eastAsia"/>
                <w:color w:val="auto"/>
                <w:lang w:val="en-US" w:eastAsia="zh-CN"/>
              </w:rPr>
              <w:t>有很多项，计算时把各项报价相加得</w:t>
            </w:r>
            <w:r>
              <w:rPr>
                <w:rFonts w:hint="eastAsia"/>
                <w:color w:val="auto"/>
              </w:rPr>
              <w:t>有效投标报价</w:t>
            </w:r>
            <w:r>
              <w:rPr>
                <w:rFonts w:hint="eastAsia"/>
                <w:color w:val="auto"/>
                <w:lang w:eastAsia="zh-CN"/>
              </w:rPr>
              <w:t>，</w:t>
            </w:r>
            <w:r>
              <w:rPr>
                <w:rFonts w:hint="eastAsia"/>
                <w:color w:val="auto"/>
                <w:lang w:val="en-US" w:eastAsia="zh-CN"/>
              </w:rPr>
              <w:t>其他项目计算类推。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技术部分</w:t>
            </w:r>
            <w:r>
              <w:rPr>
                <w:rFonts w:hint="eastAsia" w:ascii="宋体" w:hAnsi="宋体" w:eastAsia="宋体" w:cs="宋体"/>
                <w:b w:val="0"/>
                <w:bCs w:val="0"/>
                <w:color w:val="auto"/>
                <w:sz w:val="21"/>
                <w:szCs w:val="21"/>
                <w:highlight w:val="none"/>
                <w:lang w:eastAsia="zh-CN"/>
              </w:rPr>
              <w:t>（3</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kern w:val="0"/>
                <w:sz w:val="21"/>
                <w:szCs w:val="21"/>
                <w:highlight w:val="none"/>
                <w:lang w:val="en-US" w:eastAsia="zh-CN"/>
              </w:rPr>
              <w:t>对“</w:t>
            </w:r>
            <w:r>
              <w:rPr>
                <w:rFonts w:hint="eastAsia" w:ascii="宋体" w:hAnsi="宋体" w:eastAsia="宋体" w:cs="宋体"/>
                <w:b w:val="0"/>
                <w:bCs w:val="0"/>
                <w:color w:val="auto"/>
                <w:kern w:val="0"/>
                <w:sz w:val="21"/>
                <w:szCs w:val="21"/>
                <w:highlight w:val="none"/>
                <w:lang w:eastAsia="zh-CN"/>
              </w:rPr>
              <w:t>第二章  采购需求</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eastAsia="zh-CN"/>
              </w:rPr>
              <w:t>技术参数</w:t>
            </w:r>
            <w:r>
              <w:rPr>
                <w:rFonts w:hint="eastAsia" w:ascii="宋体" w:hAnsi="宋体" w:cs="宋体"/>
                <w:b w:val="0"/>
                <w:bCs w:val="0"/>
                <w:color w:val="auto"/>
                <w:kern w:val="0"/>
                <w:sz w:val="21"/>
                <w:szCs w:val="21"/>
                <w:highlight w:val="none"/>
                <w:lang w:val="en-US" w:eastAsia="zh-CN"/>
              </w:rPr>
              <w:t>的响应</w:t>
            </w:r>
            <w:r>
              <w:rPr>
                <w:rFonts w:hint="eastAsia" w:ascii="宋体" w:hAnsi="宋体" w:eastAsia="宋体" w:cs="宋体"/>
                <w:b w:val="0"/>
                <w:bCs w:val="0"/>
                <w:color w:val="auto"/>
                <w:kern w:val="0"/>
                <w:sz w:val="21"/>
                <w:szCs w:val="21"/>
                <w:highlight w:val="none"/>
                <w:lang w:eastAsia="zh-CN"/>
              </w:rPr>
              <w:t>、性能及产品功能等</w:t>
            </w:r>
          </w:p>
        </w:tc>
        <w:tc>
          <w:tcPr>
            <w:tcW w:w="5630"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若投标设备技术指标与</w:t>
            </w:r>
            <w:r>
              <w:rPr>
                <w:rFonts w:hint="eastAsia" w:ascii="宋体" w:hAnsi="宋体" w:cs="宋体"/>
                <w:b w:val="0"/>
                <w:bCs w:val="0"/>
                <w:color w:val="auto"/>
                <w:sz w:val="21"/>
                <w:szCs w:val="21"/>
                <w:highlight w:val="none"/>
                <w:lang w:val="en-US" w:eastAsia="zh-CN"/>
              </w:rPr>
              <w:t>磋商文件中</w:t>
            </w:r>
            <w:r>
              <w:rPr>
                <w:rFonts w:hint="eastAsia" w:ascii="宋体" w:hAnsi="宋体" w:eastAsia="宋体" w:cs="宋体"/>
                <w:b w:val="0"/>
                <w:bCs w:val="0"/>
                <w:color w:val="auto"/>
                <w:sz w:val="21"/>
                <w:szCs w:val="21"/>
                <w:highlight w:val="none"/>
              </w:rPr>
              <w:t>技术参数相比出现负偏离者或提供证明文件不符</w:t>
            </w:r>
            <w:r>
              <w:rPr>
                <w:rFonts w:hint="eastAsia" w:ascii="宋体" w:hAnsi="宋体" w:eastAsia="宋体" w:cs="宋体"/>
                <w:b w:val="0"/>
                <w:bCs w:val="0"/>
                <w:color w:val="auto"/>
                <w:sz w:val="21"/>
                <w:szCs w:val="21"/>
                <w:highlight w:val="none"/>
                <w:lang w:val="en-US" w:eastAsia="zh-CN"/>
              </w:rPr>
              <w:t>或未按要求提供证明材料</w:t>
            </w:r>
            <w:r>
              <w:rPr>
                <w:rFonts w:hint="eastAsia" w:ascii="宋体" w:hAnsi="宋体" w:eastAsia="宋体" w:cs="宋体"/>
                <w:b w:val="0"/>
                <w:bCs w:val="0"/>
                <w:color w:val="auto"/>
                <w:sz w:val="21"/>
                <w:szCs w:val="21"/>
                <w:highlight w:val="none"/>
              </w:rPr>
              <w:t>，每项扣除技术分</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扣完为止</w:t>
            </w:r>
            <w:r>
              <w:rPr>
                <w:rFonts w:hint="eastAsia" w:ascii="宋体" w:hAnsi="宋体" w:eastAsia="宋体" w:cs="宋体"/>
                <w:b w:val="0"/>
                <w:bCs w:val="0"/>
                <w:color w:val="auto"/>
                <w:sz w:val="21"/>
                <w:szCs w:val="21"/>
                <w:highlight w:val="none"/>
              </w:rPr>
              <w:t>。</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.消防产品需提供正规厂家合格证及检验报告；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rPr>
              <w:t>分）</w:t>
            </w:r>
          </w:p>
        </w:tc>
        <w:tc>
          <w:tcPr>
            <w:tcW w:w="214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质保期</w:t>
            </w:r>
          </w:p>
        </w:tc>
        <w:tc>
          <w:tcPr>
            <w:tcW w:w="5630"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质保期达到招标要求的，得基础分2分，超过招标文件规定的，每增加一年加2分,最多加4分（出具相关服务承诺书）；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p>
        </w:tc>
        <w:tc>
          <w:tcPr>
            <w:tcW w:w="2140" w:type="dxa"/>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类似业绩</w:t>
            </w:r>
          </w:p>
        </w:tc>
        <w:tc>
          <w:tcPr>
            <w:tcW w:w="563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自 2020年 1 月 1 日至今（近三年）已完成的类似项目(</w:t>
            </w:r>
            <w:r>
              <w:rPr>
                <w:rFonts w:hint="eastAsia" w:ascii="宋体" w:hAnsi="宋体" w:cs="宋体"/>
                <w:color w:val="auto"/>
                <w:sz w:val="24"/>
                <w:szCs w:val="32"/>
              </w:rPr>
              <w:t>以合同文件为准</w:t>
            </w:r>
            <w:r>
              <w:rPr>
                <w:rFonts w:hint="eastAsia" w:ascii="宋体" w:hAnsi="宋体" w:cs="宋体"/>
                <w:b w:val="0"/>
                <w:bCs w:val="0"/>
                <w:color w:val="auto"/>
                <w:kern w:val="0"/>
                <w:sz w:val="21"/>
                <w:szCs w:val="21"/>
                <w:highlight w:val="none"/>
                <w:lang w:val="en-US" w:eastAsia="zh-CN"/>
              </w:rPr>
              <w:t>），</w:t>
            </w:r>
            <w:r>
              <w:rPr>
                <w:rFonts w:hint="eastAsia" w:ascii="宋体" w:hAnsi="宋体" w:cs="宋体"/>
                <w:color w:val="auto"/>
                <w:sz w:val="24"/>
                <w:szCs w:val="32"/>
              </w:rPr>
              <w:t>每提供一份得</w:t>
            </w:r>
            <w:r>
              <w:rPr>
                <w:rFonts w:hint="eastAsia" w:ascii="宋体" w:hAnsi="宋体" w:cs="宋体"/>
                <w:color w:val="auto"/>
                <w:sz w:val="24"/>
                <w:szCs w:val="32"/>
                <w:lang w:val="en-US" w:eastAsia="zh-CN"/>
              </w:rPr>
              <w:t>3</w:t>
            </w:r>
            <w:r>
              <w:rPr>
                <w:rFonts w:hint="eastAsia" w:ascii="宋体" w:hAnsi="宋体" w:cs="宋体"/>
                <w:color w:val="auto"/>
                <w:sz w:val="24"/>
                <w:szCs w:val="32"/>
              </w:rPr>
              <w:t>分，最多得</w:t>
            </w:r>
            <w:r>
              <w:rPr>
                <w:rFonts w:hint="eastAsia" w:ascii="宋体" w:hAnsi="宋体" w:cs="宋体"/>
                <w:color w:val="auto"/>
                <w:sz w:val="24"/>
                <w:szCs w:val="32"/>
                <w:lang w:val="en-US" w:eastAsia="zh-CN"/>
              </w:rPr>
              <w:t>6</w:t>
            </w:r>
            <w:r>
              <w:rPr>
                <w:rFonts w:hint="eastAsia" w:ascii="宋体" w:hAnsi="宋体" w:cs="宋体"/>
                <w:color w:val="auto"/>
                <w:sz w:val="24"/>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tc>
        <w:tc>
          <w:tcPr>
            <w:tcW w:w="2140" w:type="dxa"/>
            <w:noWrap w:val="0"/>
            <w:vAlign w:val="center"/>
          </w:tcPr>
          <w:p>
            <w:pPr>
              <w:pStyle w:val="5"/>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563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根据投标人在投标文件中所投产品的售后服务站设立情况（配备有专业售后服务技术人员，提供售后服务人员名单和售后服务地址、电话）、培训方案、售后服务及时率、服务到位程度、详细的维修时间和处理办法、售后服务方案、安全质量保障措施等内容；</w:t>
            </w:r>
          </w:p>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售后服务内容具体、完善、合理性程度强得14-20分，具体、完善、合理性程度一般得7-13分，具体、完善、合理性程度差得1-6分，缺项得0分。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7770"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7"/>
    <w:bookmarkEnd w:id="48"/>
    <w:bookmarkEnd w:id="50"/>
    <w:p>
      <w:pPr>
        <w:rPr>
          <w:color w:val="auto"/>
          <w:highlight w:val="none"/>
        </w:rPr>
      </w:pPr>
      <w:bookmarkStart w:id="51" w:name="_Toc1947"/>
      <w:bookmarkStart w:id="52" w:name="_Toc1482"/>
      <w:bookmarkStart w:id="53" w:name="_Toc256519703"/>
      <w:bookmarkStart w:id="54" w:name="_Toc326786897"/>
    </w:p>
    <w:p>
      <w:pPr>
        <w:pStyle w:val="3"/>
        <w:snapToGrid w:val="0"/>
        <w:spacing w:before="0" w:after="0" w:line="360" w:lineRule="auto"/>
        <w:jc w:val="center"/>
        <w:rPr>
          <w:color w:val="auto"/>
          <w:sz w:val="28"/>
          <w:szCs w:val="28"/>
          <w:highlight w:val="yellow"/>
        </w:rPr>
      </w:pPr>
      <w:bookmarkStart w:id="55" w:name="_Toc32036"/>
      <w:r>
        <w:rPr>
          <w:rFonts w:hint="eastAsia"/>
          <w:color w:val="auto"/>
          <w:sz w:val="40"/>
          <w:szCs w:val="40"/>
          <w:highlight w:val="none"/>
        </w:rPr>
        <w:t>第五章  采购合同</w:t>
      </w:r>
      <w:bookmarkEnd w:id="55"/>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4"/>
          <w:szCs w:val="24"/>
          <w:lang w:eastAsia="zh-CN"/>
        </w:rPr>
      </w:pPr>
      <w:r>
        <w:rPr>
          <w:rFonts w:hint="eastAsia" w:ascii="宋体" w:hAnsi="宋体"/>
          <w:color w:val="auto"/>
          <w:sz w:val="24"/>
          <w:szCs w:val="24"/>
          <w:lang w:eastAsia="zh-CN"/>
        </w:rPr>
        <w:t>（</w:t>
      </w:r>
      <w:r>
        <w:rPr>
          <w:rFonts w:hint="eastAsia" w:ascii="宋体" w:hAnsi="宋体"/>
          <w:color w:val="auto"/>
          <w:sz w:val="24"/>
          <w:szCs w:val="24"/>
          <w:lang w:val="en-US" w:eastAsia="zh-CN"/>
        </w:rPr>
        <w:t>以实际合同为准</w:t>
      </w:r>
      <w:r>
        <w:rPr>
          <w:rFonts w:hint="eastAsia" w:ascii="宋体" w:hAnsi="宋体"/>
          <w:color w:val="auto"/>
          <w:sz w:val="24"/>
          <w:szCs w:val="24"/>
          <w:lang w:eastAsia="zh-CN"/>
        </w:rPr>
        <w:t>）</w:t>
      </w:r>
    </w:p>
    <w:p>
      <w:pPr>
        <w:rPr>
          <w:color w:val="auto"/>
          <w:sz w:val="32"/>
          <w:szCs w:val="32"/>
          <w:highlight w:val="none"/>
        </w:rPr>
      </w:pPr>
    </w:p>
    <w:p>
      <w:pPr>
        <w:rPr>
          <w:color w:val="auto"/>
        </w:rPr>
      </w:pPr>
      <w:r>
        <w:rPr>
          <w:color w:val="auto"/>
          <w:highlight w:val="none"/>
        </w:rPr>
        <w:br w:type="page"/>
      </w:r>
    </w:p>
    <w:p>
      <w:pPr>
        <w:pStyle w:val="3"/>
        <w:spacing w:line="360" w:lineRule="auto"/>
        <w:jc w:val="center"/>
        <w:rPr>
          <w:rFonts w:ascii="宋体" w:hAnsi="宋体" w:cs="宋体"/>
          <w:color w:val="auto"/>
          <w:kern w:val="0"/>
          <w:highlight w:val="none"/>
        </w:rPr>
      </w:pPr>
      <w:bookmarkStart w:id="56" w:name="_Toc8994"/>
      <w:r>
        <w:rPr>
          <w:rFonts w:hint="eastAsia"/>
          <w:color w:val="auto"/>
          <w:sz w:val="44"/>
          <w:szCs w:val="44"/>
          <w:highlight w:val="none"/>
        </w:rPr>
        <w:t>第六章  投标文件格式</w:t>
      </w:r>
      <w:bookmarkEnd w:id="51"/>
      <w:bookmarkEnd w:id="52"/>
      <w:bookmarkEnd w:id="56"/>
    </w:p>
    <w:p>
      <w:pPr>
        <w:spacing w:line="440" w:lineRule="exact"/>
        <w:rPr>
          <w:color w:val="auto"/>
          <w:sz w:val="24"/>
          <w:highlight w:val="none"/>
        </w:rPr>
      </w:pPr>
    </w:p>
    <w:p>
      <w:pPr>
        <w:jc w:val="center"/>
        <w:rPr>
          <w:b/>
          <w:bCs/>
          <w:color w:val="auto"/>
          <w:sz w:val="32"/>
          <w:szCs w:val="32"/>
          <w:highlight w:val="none"/>
        </w:rPr>
      </w:pPr>
      <w:bookmarkStart w:id="57" w:name="_Toc13604"/>
      <w:r>
        <w:rPr>
          <w:rFonts w:hint="eastAsia"/>
          <w:b/>
          <w:bCs/>
          <w:color w:val="auto"/>
          <w:sz w:val="32"/>
          <w:szCs w:val="32"/>
          <w:highlight w:val="none"/>
        </w:rPr>
        <w:t>目    录</w:t>
      </w:r>
      <w:bookmarkEnd w:id="57"/>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8" w:name="_Toc11308"/>
      <w:r>
        <w:rPr>
          <w:rFonts w:hint="eastAsia"/>
          <w:color w:val="auto"/>
          <w:sz w:val="24"/>
          <w:highlight w:val="none"/>
        </w:rPr>
        <w:t>附件1投标文件封面（格式）</w:t>
      </w:r>
      <w:bookmarkEnd w:id="58"/>
    </w:p>
    <w:p>
      <w:pPr>
        <w:snapToGrid w:val="0"/>
        <w:spacing w:line="360" w:lineRule="auto"/>
        <w:ind w:firstLine="480" w:firstLineChars="200"/>
        <w:rPr>
          <w:color w:val="auto"/>
          <w:sz w:val="24"/>
          <w:highlight w:val="none"/>
        </w:rPr>
      </w:pPr>
      <w:bookmarkStart w:id="59" w:name="_Toc25345"/>
      <w:r>
        <w:rPr>
          <w:rFonts w:hint="eastAsia"/>
          <w:color w:val="auto"/>
          <w:sz w:val="24"/>
          <w:highlight w:val="none"/>
        </w:rPr>
        <w:t>附件2 投标书（格式）</w:t>
      </w:r>
      <w:bookmarkEnd w:id="59"/>
    </w:p>
    <w:p>
      <w:pPr>
        <w:snapToGrid w:val="0"/>
        <w:spacing w:line="360" w:lineRule="auto"/>
        <w:ind w:firstLine="480" w:firstLineChars="200"/>
        <w:rPr>
          <w:color w:val="auto"/>
          <w:sz w:val="24"/>
          <w:highlight w:val="none"/>
        </w:rPr>
      </w:pPr>
      <w:bookmarkStart w:id="60" w:name="_Toc10217"/>
      <w:r>
        <w:rPr>
          <w:rFonts w:hint="eastAsia"/>
          <w:color w:val="auto"/>
          <w:sz w:val="24"/>
          <w:highlight w:val="none"/>
        </w:rPr>
        <w:t>附件3 开标一览表（格式）</w:t>
      </w:r>
      <w:bookmarkEnd w:id="60"/>
    </w:p>
    <w:p>
      <w:pPr>
        <w:snapToGrid w:val="0"/>
        <w:spacing w:line="360" w:lineRule="auto"/>
        <w:ind w:firstLine="480" w:firstLineChars="200"/>
        <w:rPr>
          <w:color w:val="auto"/>
          <w:sz w:val="24"/>
          <w:highlight w:val="none"/>
        </w:rPr>
      </w:pPr>
      <w:bookmarkStart w:id="61" w:name="_Toc9579"/>
      <w:r>
        <w:rPr>
          <w:rFonts w:hint="eastAsia"/>
          <w:color w:val="auto"/>
          <w:sz w:val="24"/>
          <w:highlight w:val="none"/>
        </w:rPr>
        <w:t>附件4 投标报价明细表（格式）</w:t>
      </w:r>
      <w:bookmarkEnd w:id="61"/>
    </w:p>
    <w:p>
      <w:pPr>
        <w:snapToGrid w:val="0"/>
        <w:spacing w:line="360" w:lineRule="auto"/>
        <w:ind w:firstLine="480" w:firstLineChars="200"/>
        <w:rPr>
          <w:color w:val="auto"/>
          <w:sz w:val="24"/>
          <w:highlight w:val="none"/>
        </w:rPr>
      </w:pPr>
      <w:bookmarkStart w:id="62" w:name="_Toc28392"/>
      <w:r>
        <w:rPr>
          <w:rFonts w:hint="eastAsia"/>
          <w:color w:val="auto"/>
          <w:sz w:val="24"/>
          <w:highlight w:val="none"/>
        </w:rPr>
        <w:t>附件5技术响应表（格式）</w:t>
      </w:r>
      <w:bookmarkEnd w:id="62"/>
    </w:p>
    <w:p>
      <w:pPr>
        <w:snapToGrid w:val="0"/>
        <w:spacing w:line="360" w:lineRule="auto"/>
        <w:ind w:firstLine="480" w:firstLineChars="200"/>
        <w:rPr>
          <w:color w:val="auto"/>
          <w:sz w:val="24"/>
          <w:highlight w:val="none"/>
        </w:rPr>
      </w:pPr>
      <w:bookmarkStart w:id="63" w:name="_Toc6234"/>
      <w:r>
        <w:rPr>
          <w:rFonts w:hint="eastAsia"/>
          <w:color w:val="auto"/>
          <w:sz w:val="24"/>
          <w:highlight w:val="none"/>
        </w:rPr>
        <w:t>附件6 商务响应表（格式）</w:t>
      </w:r>
      <w:bookmarkEnd w:id="63"/>
    </w:p>
    <w:p>
      <w:pPr>
        <w:snapToGrid w:val="0"/>
        <w:spacing w:line="360" w:lineRule="auto"/>
        <w:ind w:firstLine="480" w:firstLineChars="200"/>
        <w:rPr>
          <w:color w:val="auto"/>
          <w:sz w:val="24"/>
          <w:highlight w:val="none"/>
        </w:rPr>
      </w:pPr>
      <w:bookmarkStart w:id="64"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64"/>
    </w:p>
    <w:p>
      <w:pPr>
        <w:snapToGrid w:val="0"/>
        <w:spacing w:line="360" w:lineRule="auto"/>
        <w:ind w:firstLine="480" w:firstLineChars="200"/>
        <w:rPr>
          <w:color w:val="auto"/>
          <w:sz w:val="24"/>
          <w:highlight w:val="none"/>
        </w:rPr>
      </w:pPr>
      <w:bookmarkStart w:id="65"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5"/>
    </w:p>
    <w:p>
      <w:pPr>
        <w:snapToGrid w:val="0"/>
        <w:spacing w:line="360" w:lineRule="auto"/>
        <w:ind w:firstLine="480" w:firstLineChars="200"/>
        <w:rPr>
          <w:color w:val="auto"/>
          <w:sz w:val="24"/>
          <w:highlight w:val="none"/>
        </w:rPr>
      </w:pPr>
      <w:bookmarkStart w:id="66" w:name="_Toc31857"/>
      <w:r>
        <w:rPr>
          <w:rFonts w:hint="eastAsia"/>
          <w:color w:val="auto"/>
          <w:sz w:val="24"/>
          <w:highlight w:val="none"/>
        </w:rPr>
        <w:t>附件9 证明文件</w:t>
      </w:r>
      <w:bookmarkEnd w:id="66"/>
    </w:p>
    <w:p>
      <w:pPr>
        <w:snapToGrid w:val="0"/>
        <w:spacing w:line="360" w:lineRule="auto"/>
        <w:ind w:firstLine="480" w:firstLineChars="200"/>
        <w:rPr>
          <w:rFonts w:hint="eastAsia"/>
          <w:color w:val="auto"/>
          <w:sz w:val="24"/>
          <w:highlight w:val="none"/>
        </w:rPr>
      </w:pPr>
      <w:bookmarkStart w:id="67" w:name="_Toc23116"/>
      <w:r>
        <w:rPr>
          <w:rFonts w:hint="eastAsia"/>
          <w:color w:val="auto"/>
          <w:sz w:val="24"/>
          <w:highlight w:val="none"/>
        </w:rPr>
        <w:t>附件10 供应商承诺书（格式）</w:t>
      </w:r>
      <w:bookmarkEnd w:id="67"/>
    </w:p>
    <w:p>
      <w:pPr>
        <w:snapToGrid w:val="0"/>
        <w:spacing w:line="360" w:lineRule="auto"/>
        <w:ind w:firstLine="480" w:firstLineChars="200"/>
        <w:rPr>
          <w:rFonts w:hint="eastAsia" w:eastAsia="宋体"/>
          <w:color w:val="auto"/>
          <w:sz w:val="24"/>
          <w:highlight w:val="none"/>
          <w:lang w:val="en-US" w:eastAsia="zh-CN"/>
        </w:rPr>
      </w:pPr>
      <w:r>
        <w:rPr>
          <w:rFonts w:hint="eastAsia" w:eastAsia="宋体"/>
          <w:color w:val="auto"/>
          <w:sz w:val="24"/>
          <w:highlight w:val="none"/>
          <w:lang w:val="en-US" w:eastAsia="zh-CN"/>
        </w:rPr>
        <w:t>附件11 供应商信用承诺函（格式）</w:t>
      </w:r>
    </w:p>
    <w:p>
      <w:pPr>
        <w:pStyle w:val="33"/>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4"/>
        <w:rPr>
          <w:rFonts w:ascii="宋体" w:hAnsi="宋体" w:cs="宋体"/>
          <w:b/>
          <w:bCs/>
          <w:color w:val="auto"/>
          <w:kern w:val="0"/>
          <w:sz w:val="24"/>
          <w:highlight w:val="none"/>
        </w:rPr>
      </w:pPr>
    </w:p>
    <w:p>
      <w:pPr>
        <w:pStyle w:val="5"/>
        <w:rPr>
          <w:rFonts w:hAnsi="宋体"/>
          <w:b/>
          <w:bCs/>
          <w:color w:val="auto"/>
          <w:highlight w:val="none"/>
        </w:rPr>
      </w:pPr>
    </w:p>
    <w:p>
      <w:pPr>
        <w:pStyle w:val="5"/>
        <w:rPr>
          <w:rFonts w:hAnsi="宋体"/>
          <w:b/>
          <w:bCs/>
          <w:color w:val="auto"/>
          <w:highlight w:val="none"/>
        </w:rPr>
      </w:pPr>
    </w:p>
    <w:p>
      <w:pPr>
        <w:rPr>
          <w:color w:val="auto"/>
          <w:highlight w:val="none"/>
        </w:rPr>
      </w:pPr>
      <w:r>
        <w:rPr>
          <w:rFonts w:hint="eastAsia"/>
          <w:color w:val="auto"/>
          <w:highlight w:val="none"/>
        </w:rPr>
        <w:br w:type="page"/>
      </w:r>
    </w:p>
    <w:p>
      <w:pPr>
        <w:pStyle w:val="28"/>
        <w:rPr>
          <w:color w:val="auto"/>
          <w:highlight w:val="none"/>
        </w:rPr>
      </w:pPr>
    </w:p>
    <w:p>
      <w:pPr>
        <w:pStyle w:val="2"/>
        <w:rPr>
          <w:color w:val="auto"/>
          <w:highlight w:val="none"/>
        </w:rPr>
      </w:pPr>
      <w:bookmarkStart w:id="68" w:name="_Toc24743"/>
      <w:bookmarkStart w:id="69" w:name="_Toc31798"/>
      <w:r>
        <w:rPr>
          <w:rFonts w:hint="eastAsia"/>
          <w:color w:val="auto"/>
          <w:highlight w:val="none"/>
        </w:rPr>
        <w:t>附件1               投标文件封面（格式）</w:t>
      </w:r>
      <w:bookmarkEnd w:id="68"/>
      <w:bookmarkEnd w:id="69"/>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
        <w:spacing w:line="360" w:lineRule="auto"/>
        <w:rPr>
          <w:rFonts w:hint="eastAsia" w:ascii="宋体" w:hAnsi="宋体" w:eastAsia="宋体" w:cs="宋体"/>
          <w:color w:val="auto"/>
          <w:highlight w:val="none"/>
        </w:rPr>
      </w:pPr>
    </w:p>
    <w:p>
      <w:pPr>
        <w:pStyle w:val="5"/>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4"/>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70" w:name="_Toc8818"/>
      <w:bookmarkStart w:id="71" w:name="_Toc14560"/>
      <w:r>
        <w:rPr>
          <w:rFonts w:hint="eastAsia"/>
          <w:color w:val="auto"/>
          <w:highlight w:val="none"/>
        </w:rPr>
        <w:t>附件2               投  标  书（格式）</w:t>
      </w:r>
      <w:bookmarkEnd w:id="70"/>
      <w:bookmarkEnd w:id="71"/>
    </w:p>
    <w:p>
      <w:pPr>
        <w:widowControl/>
        <w:wordWrap w:val="0"/>
        <w:snapToGrid w:val="0"/>
        <w:spacing w:line="46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致：</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eastAsia="zh-CN"/>
        </w:rPr>
        <w:t>采购人</w:t>
      </w:r>
      <w:r>
        <w:rPr>
          <w:rFonts w:hint="eastAsia" w:ascii="宋体" w:hAnsi="宋体" w:cs="宋体"/>
          <w:color w:val="auto"/>
          <w:kern w:val="0"/>
          <w:sz w:val="24"/>
          <w:szCs w:val="24"/>
          <w:highlight w:val="none"/>
          <w:u w:val="single"/>
        </w:rPr>
        <w:t>名称）</w:t>
      </w:r>
      <w:r>
        <w:rPr>
          <w:rFonts w:hint="eastAsia" w:ascii="宋体" w:hAnsi="宋体" w:cs="宋体"/>
          <w:color w:val="auto"/>
          <w:kern w:val="0"/>
          <w:sz w:val="24"/>
          <w:szCs w:val="24"/>
          <w:highlight w:val="none"/>
        </w:rPr>
        <w:t>：</w:t>
      </w:r>
    </w:p>
    <w:p>
      <w:pPr>
        <w:widowControl/>
        <w:wordWrap w:val="0"/>
        <w:spacing w:line="460" w:lineRule="exact"/>
        <w:ind w:firstLine="600" w:firstLineChars="25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（投标人名称）</w:t>
      </w:r>
      <w:r>
        <w:rPr>
          <w:rFonts w:hint="eastAsia" w:ascii="宋体" w:hAnsi="宋体" w:cs="宋体"/>
          <w:color w:val="auto"/>
          <w:kern w:val="0"/>
          <w:sz w:val="24"/>
          <w:szCs w:val="24"/>
          <w:highlight w:val="none"/>
        </w:rPr>
        <w:t xml:space="preserve">现委托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rPr>
        <w:t>（姓名）为我方代理人，参加贵方组织的</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rPr>
        <w:t>项目的投标。现正式提交下述文件1份：</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1、开标一览表。</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2、投标报价明细表。</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4、技术响应表。</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4、商务响应表。</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5、证明文件。</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1、我方承诺已经具备</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文件中规定的参加政府采购活动的投标人应当具备的条件。我方愿意向贵方提供任何与本</w:t>
      </w:r>
      <w:r>
        <w:rPr>
          <w:rFonts w:hint="eastAsia" w:ascii="宋体" w:hAnsi="宋体" w:cs="宋体"/>
          <w:color w:val="auto"/>
          <w:kern w:val="0"/>
          <w:sz w:val="24"/>
          <w:szCs w:val="24"/>
          <w:highlight w:val="none"/>
          <w:lang w:eastAsia="zh-CN"/>
        </w:rPr>
        <w:t>采购</w:t>
      </w:r>
      <w:r>
        <w:rPr>
          <w:rFonts w:hint="eastAsia" w:ascii="宋体" w:hAnsi="宋体" w:cs="宋体"/>
          <w:color w:val="auto"/>
          <w:kern w:val="0"/>
          <w:sz w:val="24"/>
          <w:szCs w:val="24"/>
          <w:highlight w:val="none"/>
        </w:rPr>
        <w:t>项目投标有关的数据、情况和技术资料，并根据需要提供一切承诺的证明材料，并保证其真实、合法、有效。</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2、我方承诺在投标活动中提供的各种材料真实有效。</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4、我方已详细审查全部</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文件，包括修改文件（如有的话）和有关附件，将自行承担因对全部</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文件理解不正确或误解而产生的相应后果。</w:t>
      </w:r>
    </w:p>
    <w:p>
      <w:pPr>
        <w:widowControl/>
        <w:wordWrap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5、我方保证尊重评标委员会的评标结果，完全理解本</w:t>
      </w:r>
      <w:r>
        <w:rPr>
          <w:rFonts w:hint="eastAsia" w:ascii="宋体" w:hAnsi="宋体" w:cs="宋体"/>
          <w:color w:val="auto"/>
          <w:kern w:val="0"/>
          <w:sz w:val="24"/>
          <w:szCs w:val="24"/>
          <w:highlight w:val="none"/>
          <w:lang w:eastAsia="zh-CN"/>
        </w:rPr>
        <w:t>采购</w:t>
      </w:r>
      <w:r>
        <w:rPr>
          <w:rFonts w:hint="eastAsia" w:ascii="宋体" w:hAnsi="宋体" w:cs="宋体"/>
          <w:color w:val="auto"/>
          <w:kern w:val="0"/>
          <w:sz w:val="24"/>
          <w:szCs w:val="24"/>
          <w:highlight w:val="none"/>
        </w:rPr>
        <w:t>项目最低投标价不作为中标的保证。</w:t>
      </w:r>
    </w:p>
    <w:p>
      <w:pPr>
        <w:widowControl/>
        <w:wordWrap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6、我方理解并遵守</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文件的全部规定，接受</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文件中政府采购合同的全部条款且无任何异议。</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7、如果我方代表</w:t>
      </w:r>
      <w:r>
        <w:rPr>
          <w:rFonts w:hint="eastAsia" w:ascii="宋体" w:hAnsi="宋体" w:cs="宋体"/>
          <w:bCs/>
          <w:color w:val="auto"/>
          <w:kern w:val="0"/>
          <w:sz w:val="24"/>
          <w:szCs w:val="24"/>
          <w:highlight w:val="none"/>
        </w:rPr>
        <w:t>未按时参加开标的，视同放弃开标监督权利，认可开标结果。</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8、如果我方存在投标人须知第9.3项所述情况，同意被认定为在经营活动中有重大违法记录。</w:t>
      </w:r>
    </w:p>
    <w:p>
      <w:pPr>
        <w:widowControl/>
        <w:wordWrap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9、如果发生投标人须知第2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.4.1、2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.4.3项所述情况，同意我方投标被作为无效投标处理。</w:t>
      </w:r>
    </w:p>
    <w:p>
      <w:pPr>
        <w:widowControl/>
        <w:wordWrap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10、如果发生投标人须知第2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.5项所述情况，同意评标委员会认定我方的行为属于串通投标的行为，并自愿接受监管部门的处罚。</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11、如果现场变更采购方式，我方同意在不改变</w:t>
      </w:r>
      <w:r>
        <w:rPr>
          <w:rFonts w:hint="eastAsia" w:ascii="宋体" w:hAnsi="宋体" w:cs="宋体"/>
          <w:color w:val="auto"/>
          <w:kern w:val="0"/>
          <w:sz w:val="24"/>
          <w:szCs w:val="24"/>
          <w:highlight w:val="none"/>
          <w:lang w:eastAsia="zh-CN"/>
        </w:rPr>
        <w:t>采购</w:t>
      </w:r>
      <w:r>
        <w:rPr>
          <w:rFonts w:hint="eastAsia" w:ascii="宋体" w:hAnsi="宋体" w:cs="宋体"/>
          <w:color w:val="auto"/>
          <w:kern w:val="0"/>
          <w:sz w:val="24"/>
          <w:szCs w:val="24"/>
          <w:highlight w:val="none"/>
        </w:rPr>
        <w:t>需求、资质条件等情况下，按变更后的采购方式的规定程序进行采购。</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12、如果被确定为中标供应商，我方同意按</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文件的规定领取中标通知书并缴纳服务费。否则，视为我方中标后自动放弃中标资格，承担由此引起的一切后果。</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13、如果被确定为中标供应商，我方同意在领取中标通知书之日起日内，按照</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14、我方最近3年内的被公开披露或查处的违法违规行为有：</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w:t>
      </w:r>
    </w:p>
    <w:p>
      <w:pPr>
        <w:widowControl/>
        <w:tabs>
          <w:tab w:val="left" w:pos="939"/>
        </w:tabs>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15、以上事项如有虚假或隐瞒，我方愿意承担一切后果和责任。</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16、与本投标有关的一切正式往来通讯请寄（地址电话必须为最新并可以联系到）：</w:t>
      </w:r>
    </w:p>
    <w:p>
      <w:pPr>
        <w:widowControl/>
        <w:wordWrap w:val="0"/>
        <w:spacing w:line="460" w:lineRule="exact"/>
        <w:ind w:firstLine="480" w:firstLineChars="200"/>
        <w:jc w:val="lef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 xml:space="preserve">   地址：  邮编：</w:t>
      </w:r>
    </w:p>
    <w:p>
      <w:pPr>
        <w:widowControl/>
        <w:wordWrap w:val="0"/>
        <w:spacing w:line="460" w:lineRule="exact"/>
        <w:ind w:firstLine="480" w:firstLineChars="200"/>
        <w:jc w:val="lef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 xml:space="preserve">   电话：  传真： </w:t>
      </w:r>
    </w:p>
    <w:p>
      <w:pPr>
        <w:widowControl/>
        <w:wordWrap w:val="0"/>
        <w:spacing w:line="460" w:lineRule="exact"/>
        <w:ind w:firstLine="480" w:firstLineChars="200"/>
        <w:jc w:val="left"/>
        <w:rPr>
          <w:rFonts w:ascii="宋体" w:hAnsi="宋体" w:cs="宋体"/>
          <w:color w:val="auto"/>
          <w:kern w:val="0"/>
          <w:sz w:val="24"/>
          <w:szCs w:val="24"/>
          <w:highlight w:val="none"/>
        </w:rPr>
      </w:pPr>
    </w:p>
    <w:p>
      <w:pPr>
        <w:widowControl/>
        <w:wordWrap w:val="0"/>
        <w:spacing w:line="460" w:lineRule="exact"/>
        <w:ind w:firstLine="840" w:firstLineChars="350"/>
        <w:jc w:val="lef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 xml:space="preserve">投标人代表签字： </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投标人：（全称并加盖公章）</w:t>
      </w:r>
    </w:p>
    <w:p>
      <w:pPr>
        <w:widowControl/>
        <w:wordWrap w:val="0"/>
        <w:spacing w:line="460" w:lineRule="exact"/>
        <w:ind w:firstLine="480" w:firstLineChars="200"/>
        <w:jc w:val="left"/>
        <w:rPr>
          <w:rFonts w:ascii="宋体" w:hAnsi="宋体" w:cs="宋体"/>
          <w:color w:val="auto"/>
          <w:kern w:val="0"/>
          <w:sz w:val="24"/>
          <w:szCs w:val="24"/>
          <w:highlight w:val="none"/>
        </w:rPr>
      </w:pPr>
    </w:p>
    <w:p>
      <w:pPr>
        <w:widowControl/>
        <w:snapToGrid w:val="0"/>
        <w:spacing w:line="460" w:lineRule="exact"/>
        <w:ind w:firstLine="3840" w:firstLineChars="16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72" w:name="_Toc7838"/>
      <w:r>
        <w:rPr>
          <w:rFonts w:hint="eastAsia"/>
          <w:color w:val="auto"/>
          <w:highlight w:val="none"/>
        </w:rPr>
        <w:t>附件3               开标一览表</w:t>
      </w:r>
      <w:bookmarkEnd w:id="72"/>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4"/>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 w:val="24"/>
                <w:szCs w:val="24"/>
                <w:highlight w:val="none"/>
              </w:rPr>
            </w:pPr>
            <w:r>
              <w:rPr>
                <w:rFonts w:hint="eastAsia" w:ascii="宋体" w:hAnsi="宋体" w:cs="宋体"/>
                <w:color w:val="auto"/>
                <w:kern w:val="0"/>
                <w:sz w:val="24"/>
                <w:szCs w:val="24"/>
                <w:highlight w:val="none"/>
              </w:rPr>
              <w:t>项目名称</w:t>
            </w:r>
          </w:p>
        </w:tc>
        <w:tc>
          <w:tcPr>
            <w:tcW w:w="7708" w:type="dxa"/>
            <w:noWrap/>
            <w:vAlign w:val="center"/>
          </w:tcPr>
          <w:p>
            <w:pPr>
              <w:rPr>
                <w:rFonts w:ascii="宋体" w:hAnsi="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 w:val="24"/>
                <w:szCs w:val="24"/>
                <w:highlight w:val="none"/>
              </w:rPr>
            </w:pPr>
            <w:r>
              <w:rPr>
                <w:rFonts w:hint="eastAsia" w:ascii="宋体" w:hAnsi="宋体" w:cs="宋体"/>
                <w:color w:val="auto"/>
                <w:kern w:val="0"/>
                <w:sz w:val="24"/>
                <w:szCs w:val="24"/>
                <w:highlight w:val="none"/>
              </w:rPr>
              <w:t>投标人名称</w:t>
            </w:r>
          </w:p>
        </w:tc>
        <w:tc>
          <w:tcPr>
            <w:tcW w:w="7708" w:type="dxa"/>
            <w:noWrap/>
            <w:vAlign w:val="center"/>
          </w:tcPr>
          <w:p>
            <w:pP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 w:val="24"/>
                <w:szCs w:val="24"/>
                <w:highlight w:val="none"/>
              </w:rPr>
            </w:pPr>
            <w:r>
              <w:rPr>
                <w:rFonts w:hint="eastAsia" w:ascii="宋体" w:hAnsi="宋体"/>
                <w:color w:val="auto"/>
                <w:sz w:val="24"/>
                <w:szCs w:val="24"/>
                <w:highlight w:val="none"/>
              </w:rPr>
              <w:t>投标报价</w:t>
            </w:r>
          </w:p>
        </w:tc>
        <w:tc>
          <w:tcPr>
            <w:tcW w:w="7708" w:type="dxa"/>
            <w:noWrap/>
            <w:vAlign w:val="center"/>
          </w:tcPr>
          <w:p>
            <w:pP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大写：        元</w:t>
            </w:r>
          </w:p>
          <w:p>
            <w:pP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 w:val="24"/>
                <w:szCs w:val="24"/>
                <w:highlight w:val="none"/>
              </w:rPr>
            </w:pPr>
            <w:r>
              <w:rPr>
                <w:rFonts w:hint="eastAsia" w:ascii="宋体" w:hAnsi="宋体" w:cs="宋体"/>
                <w:color w:val="auto"/>
                <w:kern w:val="0"/>
                <w:sz w:val="24"/>
                <w:szCs w:val="24"/>
                <w:highlight w:val="none"/>
              </w:rPr>
              <w:t>交货地点</w:t>
            </w:r>
          </w:p>
        </w:tc>
        <w:tc>
          <w:tcPr>
            <w:tcW w:w="7708" w:type="dxa"/>
            <w:noWrap/>
            <w:vAlign w:val="bottom"/>
          </w:tcPr>
          <w:p>
            <w:pPr>
              <w:spacing w:line="360" w:lineRule="auto"/>
              <w:ind w:firstLine="1320" w:firstLineChars="55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质保期</w:t>
            </w:r>
          </w:p>
        </w:tc>
        <w:tc>
          <w:tcPr>
            <w:tcW w:w="7708" w:type="dxa"/>
            <w:noWrap/>
            <w:vAlign w:val="bottom"/>
          </w:tcPr>
          <w:p>
            <w:pPr>
              <w:spacing w:line="360" w:lineRule="auto"/>
              <w:ind w:firstLine="1320" w:firstLineChars="55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 w:val="24"/>
                <w:szCs w:val="24"/>
                <w:highlight w:val="none"/>
              </w:rPr>
            </w:pPr>
            <w:r>
              <w:rPr>
                <w:rFonts w:hint="eastAsia" w:ascii="宋体" w:hAnsi="宋体" w:cs="宋体"/>
                <w:color w:val="auto"/>
                <w:kern w:val="0"/>
                <w:sz w:val="24"/>
                <w:szCs w:val="24"/>
                <w:highlight w:val="none"/>
              </w:rPr>
              <w:t>投标有效期</w:t>
            </w:r>
          </w:p>
        </w:tc>
        <w:tc>
          <w:tcPr>
            <w:tcW w:w="7708" w:type="dxa"/>
            <w:noWrap/>
            <w:vAlign w:val="bottom"/>
          </w:tcPr>
          <w:p>
            <w:pPr>
              <w:spacing w:line="360" w:lineRule="auto"/>
              <w:ind w:firstLine="1320" w:firstLineChars="55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质量标准</w:t>
            </w:r>
          </w:p>
        </w:tc>
        <w:tc>
          <w:tcPr>
            <w:tcW w:w="7708" w:type="dxa"/>
            <w:noWrap/>
            <w:vAlign w:val="bottom"/>
          </w:tcPr>
          <w:p>
            <w:pPr>
              <w:spacing w:line="360" w:lineRule="auto"/>
              <w:ind w:firstLine="1320" w:firstLineChars="550"/>
              <w:rPr>
                <w:rFonts w:ascii="宋体" w:hAnsi="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备  注</w:t>
            </w:r>
          </w:p>
        </w:tc>
        <w:tc>
          <w:tcPr>
            <w:tcW w:w="7708" w:type="dxa"/>
            <w:noWrap/>
            <w:vAlign w:val="center"/>
          </w:tcPr>
          <w:p>
            <w:pPr>
              <w:pStyle w:val="21"/>
              <w:ind w:left="0" w:leftChars="0"/>
              <w:rPr>
                <w:color w:val="auto"/>
                <w:sz w:val="24"/>
                <w:szCs w:val="24"/>
                <w:highlight w:val="none"/>
              </w:rPr>
            </w:pPr>
          </w:p>
        </w:tc>
      </w:tr>
    </w:tbl>
    <w:p>
      <w:pPr>
        <w:rPr>
          <w:color w:val="auto"/>
          <w:sz w:val="24"/>
          <w:szCs w:val="24"/>
          <w:highlight w:val="none"/>
        </w:rPr>
      </w:pP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注: 1、报价一经涂改，应在涂改处加盖单位公章或投标人代表签字或盖章，否则其投标作无效标处理。</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2、以上报价应与“投标报价明细表”中的报价相一致。</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3、凡认为所投产品符合价格折扣条件的，在相应的产品的“备注”栏内注明符合何种折扣条件。</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szCs w:val="24"/>
          <w:highlight w:val="none"/>
        </w:rPr>
      </w:pPr>
    </w:p>
    <w:p>
      <w:pPr>
        <w:rPr>
          <w:color w:val="auto"/>
          <w:sz w:val="24"/>
          <w:szCs w:val="24"/>
          <w:highlight w:val="none"/>
        </w:rPr>
      </w:pPr>
    </w:p>
    <w:p>
      <w:pPr>
        <w:rPr>
          <w:color w:val="auto"/>
          <w:sz w:val="24"/>
          <w:szCs w:val="24"/>
          <w:highlight w:val="none"/>
        </w:rPr>
      </w:pPr>
    </w:p>
    <w:p>
      <w:pPr>
        <w:spacing w:line="360" w:lineRule="auto"/>
        <w:ind w:firstLine="480" w:firstLineChars="200"/>
        <w:jc w:val="center"/>
        <w:rPr>
          <w:rFonts w:ascii="宋体" w:hAnsi="宋体"/>
          <w:color w:val="auto"/>
          <w:sz w:val="24"/>
          <w:szCs w:val="24"/>
          <w:highlight w:val="none"/>
        </w:rPr>
      </w:pPr>
      <w:bookmarkStart w:id="73" w:name="_Toc11620"/>
      <w:bookmarkStart w:id="74" w:name="_Toc20877"/>
      <w:r>
        <w:rPr>
          <w:rFonts w:hint="eastAsia" w:ascii="宋体" w:hAnsi="宋体"/>
          <w:color w:val="auto"/>
          <w:sz w:val="24"/>
          <w:szCs w:val="24"/>
          <w:highlight w:val="none"/>
        </w:rPr>
        <w:t>投标人（全称并加盖公章）：</w:t>
      </w:r>
      <w:bookmarkEnd w:id="73"/>
      <w:bookmarkEnd w:id="74"/>
    </w:p>
    <w:p>
      <w:pPr>
        <w:jc w:val="center"/>
        <w:rPr>
          <w:rFonts w:ascii="宋体" w:hAnsi="宋体"/>
          <w:color w:val="auto"/>
          <w:sz w:val="24"/>
          <w:szCs w:val="24"/>
          <w:highlight w:val="none"/>
        </w:rPr>
      </w:pPr>
    </w:p>
    <w:p>
      <w:pPr>
        <w:spacing w:line="360" w:lineRule="auto"/>
        <w:ind w:firstLine="480" w:firstLineChars="200"/>
        <w:jc w:val="center"/>
        <w:rPr>
          <w:rFonts w:ascii="宋体" w:hAnsi="宋体"/>
          <w:color w:val="auto"/>
          <w:sz w:val="24"/>
          <w:szCs w:val="24"/>
          <w:highlight w:val="none"/>
          <w:u w:val="single"/>
        </w:rPr>
      </w:pPr>
      <w:bookmarkStart w:id="75" w:name="_Toc12222"/>
      <w:bookmarkStart w:id="76" w:name="_Toc625"/>
      <w:r>
        <w:rPr>
          <w:rFonts w:hint="eastAsia" w:ascii="宋体" w:hAnsi="宋体"/>
          <w:color w:val="auto"/>
          <w:sz w:val="24"/>
          <w:szCs w:val="24"/>
          <w:highlight w:val="none"/>
        </w:rPr>
        <w:t>法定代表人或其委托代理人（签字）：</w:t>
      </w:r>
      <w:bookmarkEnd w:id="75"/>
      <w:bookmarkEnd w:id="76"/>
    </w:p>
    <w:p>
      <w:pPr>
        <w:jc w:val="center"/>
        <w:rPr>
          <w:rFonts w:ascii="宋体" w:hAnsi="宋体"/>
          <w:color w:val="auto"/>
          <w:sz w:val="24"/>
          <w:szCs w:val="24"/>
          <w:highlight w:val="none"/>
        </w:rPr>
      </w:pPr>
    </w:p>
    <w:p>
      <w:pPr>
        <w:spacing w:line="360" w:lineRule="auto"/>
        <w:ind w:firstLine="480" w:firstLineChars="200"/>
        <w:jc w:val="center"/>
        <w:rPr>
          <w:rFonts w:ascii="宋体" w:hAnsi="宋体"/>
          <w:color w:val="auto"/>
          <w:sz w:val="24"/>
          <w:szCs w:val="24"/>
          <w:highlight w:val="none"/>
        </w:rPr>
      </w:pPr>
      <w:bookmarkStart w:id="77" w:name="_Toc9950"/>
      <w:bookmarkStart w:id="78" w:name="_Toc1330"/>
      <w:r>
        <w:rPr>
          <w:rFonts w:hint="eastAsia" w:ascii="宋体" w:hAnsi="宋体"/>
          <w:color w:val="auto"/>
          <w:sz w:val="24"/>
          <w:szCs w:val="24"/>
          <w:highlight w:val="none"/>
        </w:rPr>
        <w:t>年  月  日</w:t>
      </w:r>
      <w:bookmarkEnd w:id="77"/>
      <w:bookmarkEnd w:id="78"/>
    </w:p>
    <w:p>
      <w:pPr>
        <w:rPr>
          <w:color w:val="auto"/>
          <w:sz w:val="24"/>
          <w:szCs w:val="24"/>
          <w:highlight w:val="none"/>
        </w:rPr>
      </w:pPr>
      <w:r>
        <w:rPr>
          <w:color w:val="auto"/>
          <w:sz w:val="24"/>
          <w:szCs w:val="24"/>
          <w:highlight w:val="none"/>
        </w:rPr>
        <w:br w:type="page"/>
      </w:r>
    </w:p>
    <w:p>
      <w:pPr>
        <w:rPr>
          <w:color w:val="auto"/>
          <w:highlight w:val="none"/>
        </w:rPr>
      </w:pPr>
    </w:p>
    <w:bookmarkEnd w:id="53"/>
    <w:bookmarkEnd w:id="54"/>
    <w:p>
      <w:pPr>
        <w:pStyle w:val="2"/>
        <w:spacing w:before="20" w:after="20"/>
        <w:rPr>
          <w:color w:val="auto"/>
          <w:highlight w:val="none"/>
        </w:rPr>
      </w:pPr>
      <w:bookmarkStart w:id="79" w:name="_Toc22004"/>
      <w:bookmarkStart w:id="80" w:name="_Toc24984"/>
      <w:r>
        <w:rPr>
          <w:rFonts w:hint="eastAsia"/>
          <w:color w:val="auto"/>
          <w:highlight w:val="none"/>
        </w:rPr>
        <w:t>附件4               报价明细表</w:t>
      </w:r>
      <w:bookmarkEnd w:id="79"/>
      <w:bookmarkEnd w:id="80"/>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4"/>
        <w:tblW w:w="83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color w:val="auto"/>
          <w:highlight w:val="none"/>
        </w:rPr>
      </w:pPr>
      <w:r>
        <w:rPr>
          <w:rFonts w:hint="eastAsia"/>
          <w:color w:val="auto"/>
          <w:highlight w:val="none"/>
        </w:rPr>
        <w:br w:type="page"/>
      </w:r>
      <w:bookmarkStart w:id="81" w:name="_Toc226"/>
      <w:bookmarkStart w:id="82" w:name="_Toc15804"/>
      <w:r>
        <w:rPr>
          <w:rFonts w:hint="eastAsia"/>
          <w:color w:val="auto"/>
          <w:highlight w:val="none"/>
        </w:rPr>
        <w:t>附件5               技术响应表（格式）</w:t>
      </w:r>
      <w:bookmarkEnd w:id="81"/>
      <w:bookmarkEnd w:id="82"/>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5"/>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83" w:name="_Toc20420"/>
      <w:bookmarkStart w:id="84" w:name="_Toc29960"/>
      <w:bookmarkStart w:id="85" w:name="_Toc14290"/>
      <w:r>
        <w:rPr>
          <w:rFonts w:hint="eastAsia" w:ascii="Arial" w:hAnsi="Arial" w:eastAsia="新宋体"/>
          <w:b/>
          <w:color w:val="auto"/>
          <w:sz w:val="28"/>
          <w:highlight w:val="none"/>
        </w:rPr>
        <w:t>附件6               商务响应</w:t>
      </w:r>
      <w:bookmarkEnd w:id="83"/>
      <w:bookmarkEnd w:id="84"/>
      <w:r>
        <w:rPr>
          <w:rFonts w:hint="eastAsia" w:ascii="Arial" w:hAnsi="Arial" w:eastAsia="新宋体"/>
          <w:b/>
          <w:color w:val="auto"/>
          <w:sz w:val="28"/>
          <w:highlight w:val="none"/>
          <w:lang w:val="en-US" w:eastAsia="zh-CN"/>
        </w:rPr>
        <w:t>部分</w:t>
      </w:r>
      <w:bookmarkEnd w:id="85"/>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outlineLvl w:val="9"/>
        <w:rPr>
          <w:rFonts w:cs="宋体"/>
          <w:b/>
          <w:color w:val="auto"/>
          <w:kern w:val="0"/>
          <w:sz w:val="24"/>
          <w:highlight w:val="none"/>
        </w:rPr>
      </w:pPr>
    </w:p>
    <w:p>
      <w:pPr>
        <w:widowControl/>
        <w:wordWrap w:val="0"/>
        <w:spacing w:line="460" w:lineRule="exact"/>
        <w:jc w:val="left"/>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color w:val="auto"/>
        </w:rPr>
      </w:pPr>
    </w:p>
    <w:p>
      <w:pPr>
        <w:outlineLvl w:val="9"/>
        <w:rPr>
          <w:rFonts w:cs="宋体"/>
          <w:b/>
          <w:color w:val="auto"/>
          <w:kern w:val="0"/>
          <w:sz w:val="24"/>
          <w:highlight w:val="none"/>
        </w:rPr>
      </w:pPr>
      <w:r>
        <w:rPr>
          <w:rFonts w:cs="宋体"/>
          <w:b/>
          <w:color w:val="auto"/>
          <w:kern w:val="0"/>
          <w:sz w:val="24"/>
          <w:highlight w:val="none"/>
        </w:rPr>
        <w:br w:type="page"/>
      </w:r>
    </w:p>
    <w:p>
      <w:pPr>
        <w:pStyle w:val="33"/>
        <w:rPr>
          <w:color w:val="auto"/>
        </w:rPr>
      </w:pPr>
    </w:p>
    <w:p>
      <w:pPr>
        <w:widowControl/>
        <w:wordWrap w:val="0"/>
        <w:spacing w:line="460" w:lineRule="exact"/>
        <w:jc w:val="left"/>
        <w:outlineLvl w:val="0"/>
        <w:rPr>
          <w:rFonts w:ascii="Arial" w:hAnsi="Arial" w:eastAsia="新宋体"/>
          <w:b/>
          <w:color w:val="auto"/>
          <w:sz w:val="28"/>
          <w:highlight w:val="none"/>
        </w:rPr>
      </w:pPr>
      <w:bookmarkStart w:id="86" w:name="_Toc28621"/>
      <w:bookmarkStart w:id="87" w:name="_Toc2169"/>
      <w:bookmarkStart w:id="88" w:name="_Toc31526"/>
      <w:r>
        <w:rPr>
          <w:rFonts w:hint="eastAsia" w:ascii="Arial" w:hAnsi="Arial" w:eastAsia="新宋体"/>
          <w:b/>
          <w:color w:val="auto"/>
          <w:sz w:val="28"/>
          <w:highlight w:val="none"/>
        </w:rPr>
        <w:t>附件7               法定代表人身份证明（格式）</w:t>
      </w:r>
      <w:bookmarkEnd w:id="86"/>
      <w:bookmarkEnd w:id="87"/>
      <w:bookmarkEnd w:id="88"/>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4"/>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9" w:name="_Toc13976"/>
      <w:bookmarkStart w:id="90" w:name="_Toc30519"/>
      <w:bookmarkStart w:id="91" w:name="_Toc16979"/>
      <w:r>
        <w:rPr>
          <w:rFonts w:hint="eastAsia" w:ascii="Arial" w:hAnsi="Arial" w:eastAsia="新宋体"/>
          <w:b/>
          <w:color w:val="auto"/>
          <w:sz w:val="28"/>
          <w:highlight w:val="none"/>
        </w:rPr>
        <w:t>附件8               法定代表人授权书（格式）</w:t>
      </w:r>
      <w:bookmarkEnd w:id="89"/>
      <w:bookmarkEnd w:id="90"/>
      <w:bookmarkEnd w:id="91"/>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4"/>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92" w:name="_Toc18819"/>
      <w:bookmarkStart w:id="93" w:name="_Toc18105"/>
      <w:bookmarkStart w:id="94" w:name="_Toc24693"/>
      <w:r>
        <w:rPr>
          <w:rFonts w:hint="eastAsia" w:ascii="Arial" w:hAnsi="Arial" w:eastAsia="新宋体"/>
          <w:b/>
          <w:color w:val="auto"/>
          <w:sz w:val="28"/>
          <w:highlight w:val="none"/>
        </w:rPr>
        <w:t>附件9               证明文件</w:t>
      </w:r>
      <w:bookmarkEnd w:id="92"/>
      <w:bookmarkEnd w:id="93"/>
      <w:bookmarkEnd w:id="94"/>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13"/>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95" w:name="_Toc17966"/>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13"/>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13"/>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96" w:name="_Toc11559"/>
      <w:bookmarkStart w:id="97" w:name="_Toc13726"/>
      <w:bookmarkStart w:id="98" w:name="_Toc12888"/>
      <w:r>
        <w:rPr>
          <w:rFonts w:hint="eastAsia" w:ascii="宋体" w:hAnsi="宋体" w:cs="Lucida Sans Unicode"/>
          <w:b/>
          <w:color w:val="auto"/>
          <w:kern w:val="0"/>
          <w:sz w:val="28"/>
          <w:szCs w:val="28"/>
          <w:highlight w:val="none"/>
        </w:rPr>
        <w:t xml:space="preserve">附件10        </w:t>
      </w:r>
      <w:bookmarkEnd w:id="95"/>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96"/>
      <w:bookmarkEnd w:id="97"/>
      <w:bookmarkEnd w:id="98"/>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widowControl/>
        <w:shd w:val="clear" w:color="auto" w:fill="auto"/>
        <w:ind w:firstLine="360" w:firstLineChars="150"/>
        <w:jc w:val="left"/>
        <w:rPr>
          <w:rFonts w:hint="eastAsia" w:ascii="宋体" w:hAnsi="宋体" w:eastAsia="宋体" w:cs="宋体"/>
          <w:sz w:val="24"/>
          <w:szCs w:val="24"/>
        </w:rPr>
      </w:pPr>
    </w:p>
    <w:p>
      <w:pPr>
        <w:pStyle w:val="33"/>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33"/>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33"/>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33"/>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33"/>
        <w:rPr>
          <w:rFonts w:hint="eastAsia"/>
        </w:rPr>
      </w:pPr>
    </w:p>
    <w:p>
      <w:pPr>
        <w:pStyle w:val="50"/>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99" w:name="_Toc4178"/>
      <w:bookmarkStart w:id="100" w:name="_Toc25094"/>
      <w:bookmarkStart w:id="101" w:name="_Toc23394"/>
      <w:r>
        <w:rPr>
          <w:rFonts w:hint="eastAsia" w:ascii="宋体" w:hAnsi="宋体" w:cs="Lucida Sans Unicode"/>
          <w:b/>
          <w:color w:val="auto"/>
          <w:kern w:val="0"/>
          <w:sz w:val="24"/>
          <w:highlight w:val="none"/>
        </w:rPr>
        <w:t>投标人认为有必要的其他资料</w:t>
      </w:r>
      <w:bookmarkEnd w:id="99"/>
      <w:bookmarkEnd w:id="100"/>
      <w:bookmarkEnd w:id="101"/>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r>
      <w:rPr>
        <w:rFonts w:hint="eastAsia" w:ascii="宋体" w:hAnsi="宋体" w:cs="宋体"/>
        <w:color w:val="auto"/>
        <w:szCs w:val="21"/>
        <w:highlight w:val="none"/>
      </w:rPr>
      <w:t>驻马店市中心医院</w:t>
    </w:r>
    <w:r>
      <w:rPr>
        <w:rFonts w:hint="eastAsia" w:ascii="宋体" w:hAnsi="宋体" w:cs="宋体"/>
        <w:color w:val="auto"/>
        <w:szCs w:val="21"/>
        <w:highlight w:val="none"/>
        <w:lang w:val="en-US" w:eastAsia="zh-CN"/>
      </w:rPr>
      <w:t>妇儿院区医疗废物智能管理系统摄像头采购及对接项目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hint="eastAsia" w:eastAsia="宋体"/>
        <w:lang w:val="en-US" w:eastAsia="zh-CN"/>
      </w:rPr>
    </w:pPr>
    <w:r>
      <w:rPr>
        <w:rFonts w:hint="eastAsia"/>
      </w:rPr>
      <w:t xml:space="preserve">                         </w:t>
    </w:r>
    <w:r>
      <w:rPr>
        <w:rFonts w:hint="eastAsia" w:ascii="宋体" w:hAnsi="宋体" w:cs="宋体"/>
        <w:color w:val="auto"/>
        <w:szCs w:val="21"/>
        <w:highlight w:val="none"/>
      </w:rPr>
      <w:t>驻马店市中心医院</w:t>
    </w:r>
    <w:r>
      <w:rPr>
        <w:rFonts w:hint="eastAsia" w:ascii="宋体" w:hAnsi="宋体" w:cs="宋体"/>
        <w:color w:val="auto"/>
        <w:szCs w:val="21"/>
        <w:highlight w:val="none"/>
        <w:lang w:val="en-US" w:eastAsia="zh-CN"/>
      </w:rPr>
      <w:t>妇儿院区医疗废物智能管理系统摄像头采购及对接项目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200E"/>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CC1143"/>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070D64"/>
    <w:rsid w:val="04416C20"/>
    <w:rsid w:val="047968B1"/>
    <w:rsid w:val="0481606D"/>
    <w:rsid w:val="04870542"/>
    <w:rsid w:val="04B9160E"/>
    <w:rsid w:val="05157BA2"/>
    <w:rsid w:val="053F1F5A"/>
    <w:rsid w:val="05545DD3"/>
    <w:rsid w:val="056E2AD6"/>
    <w:rsid w:val="05806815"/>
    <w:rsid w:val="058251D3"/>
    <w:rsid w:val="05945CCE"/>
    <w:rsid w:val="059D05A4"/>
    <w:rsid w:val="059D5E17"/>
    <w:rsid w:val="05AB0A28"/>
    <w:rsid w:val="05AB0F81"/>
    <w:rsid w:val="05B93D6B"/>
    <w:rsid w:val="05D53002"/>
    <w:rsid w:val="05D75738"/>
    <w:rsid w:val="061E7D14"/>
    <w:rsid w:val="0646323F"/>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D206F0"/>
    <w:rsid w:val="0A321AC2"/>
    <w:rsid w:val="0A343D4E"/>
    <w:rsid w:val="0A3E6D2E"/>
    <w:rsid w:val="0A6C3DC0"/>
    <w:rsid w:val="0AD13A85"/>
    <w:rsid w:val="0AE033D9"/>
    <w:rsid w:val="0B091954"/>
    <w:rsid w:val="0B167AE8"/>
    <w:rsid w:val="0B1A1257"/>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3F3A0E"/>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1DE0FD1"/>
    <w:rsid w:val="12010480"/>
    <w:rsid w:val="120E707F"/>
    <w:rsid w:val="127A7D1C"/>
    <w:rsid w:val="12836D8B"/>
    <w:rsid w:val="12AB0349"/>
    <w:rsid w:val="12CD57F1"/>
    <w:rsid w:val="12CE7AFA"/>
    <w:rsid w:val="12D67466"/>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ED3D4F"/>
    <w:rsid w:val="14FC36BD"/>
    <w:rsid w:val="151E3A0F"/>
    <w:rsid w:val="1557566D"/>
    <w:rsid w:val="15811F1B"/>
    <w:rsid w:val="15A30135"/>
    <w:rsid w:val="15A34015"/>
    <w:rsid w:val="15E2236F"/>
    <w:rsid w:val="161D09ED"/>
    <w:rsid w:val="162323A3"/>
    <w:rsid w:val="162F30B1"/>
    <w:rsid w:val="16510F12"/>
    <w:rsid w:val="166448F9"/>
    <w:rsid w:val="16647475"/>
    <w:rsid w:val="1677211D"/>
    <w:rsid w:val="167954F9"/>
    <w:rsid w:val="16A060BA"/>
    <w:rsid w:val="16A57EAF"/>
    <w:rsid w:val="16AC6E3F"/>
    <w:rsid w:val="16C872D5"/>
    <w:rsid w:val="16D54FA3"/>
    <w:rsid w:val="16D84D9F"/>
    <w:rsid w:val="16E94D3E"/>
    <w:rsid w:val="170D06E0"/>
    <w:rsid w:val="17332185"/>
    <w:rsid w:val="17475951"/>
    <w:rsid w:val="179F2E61"/>
    <w:rsid w:val="17C227C0"/>
    <w:rsid w:val="18097740"/>
    <w:rsid w:val="185D3C42"/>
    <w:rsid w:val="185F38AF"/>
    <w:rsid w:val="18AD1BEB"/>
    <w:rsid w:val="18B3004A"/>
    <w:rsid w:val="18B96080"/>
    <w:rsid w:val="18F04FDE"/>
    <w:rsid w:val="18F67868"/>
    <w:rsid w:val="190B2D88"/>
    <w:rsid w:val="190E6B63"/>
    <w:rsid w:val="19123928"/>
    <w:rsid w:val="19194264"/>
    <w:rsid w:val="19420786"/>
    <w:rsid w:val="19427EC0"/>
    <w:rsid w:val="195711D7"/>
    <w:rsid w:val="195D2A3F"/>
    <w:rsid w:val="198310E9"/>
    <w:rsid w:val="198D747A"/>
    <w:rsid w:val="19A15638"/>
    <w:rsid w:val="1A125525"/>
    <w:rsid w:val="1A514E33"/>
    <w:rsid w:val="1A5F4342"/>
    <w:rsid w:val="1A8C5D82"/>
    <w:rsid w:val="1A994988"/>
    <w:rsid w:val="1A9B546C"/>
    <w:rsid w:val="1AA3511F"/>
    <w:rsid w:val="1AAE3B54"/>
    <w:rsid w:val="1AC10987"/>
    <w:rsid w:val="1B0C5B32"/>
    <w:rsid w:val="1B0D3E82"/>
    <w:rsid w:val="1B1652AB"/>
    <w:rsid w:val="1B181CD5"/>
    <w:rsid w:val="1B265306"/>
    <w:rsid w:val="1B4F2450"/>
    <w:rsid w:val="1B8C18B7"/>
    <w:rsid w:val="1BB73AE1"/>
    <w:rsid w:val="1BDA6D68"/>
    <w:rsid w:val="1C555978"/>
    <w:rsid w:val="1C6554A1"/>
    <w:rsid w:val="1C7971B7"/>
    <w:rsid w:val="1CD402EC"/>
    <w:rsid w:val="1CF02333"/>
    <w:rsid w:val="1D0C33A2"/>
    <w:rsid w:val="1D113E6E"/>
    <w:rsid w:val="1D114E5E"/>
    <w:rsid w:val="1D1F0050"/>
    <w:rsid w:val="1D2222DC"/>
    <w:rsid w:val="1D5B3CDE"/>
    <w:rsid w:val="1D6E2950"/>
    <w:rsid w:val="1D98209B"/>
    <w:rsid w:val="1DA23746"/>
    <w:rsid w:val="1DAA14B9"/>
    <w:rsid w:val="1DD04513"/>
    <w:rsid w:val="1E4C5F8A"/>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76124"/>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D03A0"/>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742F70"/>
    <w:rsid w:val="2EDC2A13"/>
    <w:rsid w:val="2EFD7DB9"/>
    <w:rsid w:val="2F1A081D"/>
    <w:rsid w:val="2F1E3DC0"/>
    <w:rsid w:val="2F3112DE"/>
    <w:rsid w:val="2F3B6922"/>
    <w:rsid w:val="2F506C6D"/>
    <w:rsid w:val="2F51291F"/>
    <w:rsid w:val="2F55758A"/>
    <w:rsid w:val="2F7F15AE"/>
    <w:rsid w:val="2FA54796"/>
    <w:rsid w:val="2FA674E2"/>
    <w:rsid w:val="2FFE7D49"/>
    <w:rsid w:val="302A5C42"/>
    <w:rsid w:val="3075258E"/>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96649"/>
    <w:rsid w:val="33CC3D88"/>
    <w:rsid w:val="33D76F4A"/>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630459D"/>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7737AC"/>
    <w:rsid w:val="38A53DB7"/>
    <w:rsid w:val="38BF3388"/>
    <w:rsid w:val="38CC268D"/>
    <w:rsid w:val="38EC2960"/>
    <w:rsid w:val="3906718E"/>
    <w:rsid w:val="392536E2"/>
    <w:rsid w:val="39465F15"/>
    <w:rsid w:val="396453C5"/>
    <w:rsid w:val="39922CCF"/>
    <w:rsid w:val="39A65327"/>
    <w:rsid w:val="39A65C9B"/>
    <w:rsid w:val="39BC5ED6"/>
    <w:rsid w:val="39EB39E0"/>
    <w:rsid w:val="39EF02D4"/>
    <w:rsid w:val="3A11342A"/>
    <w:rsid w:val="3A153110"/>
    <w:rsid w:val="3A2507C0"/>
    <w:rsid w:val="3A297E52"/>
    <w:rsid w:val="3A393FA7"/>
    <w:rsid w:val="3A64203E"/>
    <w:rsid w:val="3A663D00"/>
    <w:rsid w:val="3A7428D0"/>
    <w:rsid w:val="3A923AE4"/>
    <w:rsid w:val="3AA50E25"/>
    <w:rsid w:val="3AC566E3"/>
    <w:rsid w:val="3AD6747A"/>
    <w:rsid w:val="3B3D0FF2"/>
    <w:rsid w:val="3B521A18"/>
    <w:rsid w:val="3B7F1A97"/>
    <w:rsid w:val="3B923660"/>
    <w:rsid w:val="3BCA44BE"/>
    <w:rsid w:val="3C061F3A"/>
    <w:rsid w:val="3C244FFA"/>
    <w:rsid w:val="3C495480"/>
    <w:rsid w:val="3C6F0167"/>
    <w:rsid w:val="3C71667B"/>
    <w:rsid w:val="3C914F3B"/>
    <w:rsid w:val="3CA7234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B6E71"/>
    <w:rsid w:val="3E1A106E"/>
    <w:rsid w:val="3E36303B"/>
    <w:rsid w:val="3E526044"/>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86454"/>
    <w:rsid w:val="407F2DE9"/>
    <w:rsid w:val="408C5A03"/>
    <w:rsid w:val="40991379"/>
    <w:rsid w:val="409B3C3D"/>
    <w:rsid w:val="40F701DF"/>
    <w:rsid w:val="40FD480A"/>
    <w:rsid w:val="412A32F8"/>
    <w:rsid w:val="417F433E"/>
    <w:rsid w:val="41B7239D"/>
    <w:rsid w:val="41E47AD6"/>
    <w:rsid w:val="41FF3845"/>
    <w:rsid w:val="421104A9"/>
    <w:rsid w:val="42143B88"/>
    <w:rsid w:val="42164586"/>
    <w:rsid w:val="422143B7"/>
    <w:rsid w:val="425B5DD1"/>
    <w:rsid w:val="4260300C"/>
    <w:rsid w:val="42800B9B"/>
    <w:rsid w:val="42A06B6C"/>
    <w:rsid w:val="42EA5650"/>
    <w:rsid w:val="431408DA"/>
    <w:rsid w:val="4331401E"/>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67501D"/>
    <w:rsid w:val="4476661F"/>
    <w:rsid w:val="447E3AC5"/>
    <w:rsid w:val="44A90BAA"/>
    <w:rsid w:val="44B24A20"/>
    <w:rsid w:val="44BC0BEE"/>
    <w:rsid w:val="44FB1C9C"/>
    <w:rsid w:val="451C313A"/>
    <w:rsid w:val="454F1836"/>
    <w:rsid w:val="45887B45"/>
    <w:rsid w:val="458B66DF"/>
    <w:rsid w:val="45940F0E"/>
    <w:rsid w:val="45AC5DBA"/>
    <w:rsid w:val="45C647AF"/>
    <w:rsid w:val="45DD529D"/>
    <w:rsid w:val="45E1701A"/>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32531E"/>
    <w:rsid w:val="48450F81"/>
    <w:rsid w:val="484E729D"/>
    <w:rsid w:val="485A23C2"/>
    <w:rsid w:val="48A16B62"/>
    <w:rsid w:val="48BC6222"/>
    <w:rsid w:val="48C245E9"/>
    <w:rsid w:val="48DB312A"/>
    <w:rsid w:val="48DF49D9"/>
    <w:rsid w:val="49081F84"/>
    <w:rsid w:val="492108CC"/>
    <w:rsid w:val="49392333"/>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BB37B9"/>
    <w:rsid w:val="4BC06040"/>
    <w:rsid w:val="4BF441D2"/>
    <w:rsid w:val="4C1C2A09"/>
    <w:rsid w:val="4C694192"/>
    <w:rsid w:val="4C7964D9"/>
    <w:rsid w:val="4C9269F6"/>
    <w:rsid w:val="4CC84335"/>
    <w:rsid w:val="4CE9350A"/>
    <w:rsid w:val="4CF632F0"/>
    <w:rsid w:val="4D297BF3"/>
    <w:rsid w:val="4D2D0EAF"/>
    <w:rsid w:val="4D63401A"/>
    <w:rsid w:val="4D7F0082"/>
    <w:rsid w:val="4D952FD9"/>
    <w:rsid w:val="4D970662"/>
    <w:rsid w:val="4DB33393"/>
    <w:rsid w:val="4DCF1E0D"/>
    <w:rsid w:val="4DD632D9"/>
    <w:rsid w:val="4DE05DF9"/>
    <w:rsid w:val="4DE44800"/>
    <w:rsid w:val="4DEE0709"/>
    <w:rsid w:val="4DFC14EA"/>
    <w:rsid w:val="4DFF6815"/>
    <w:rsid w:val="4E0A3427"/>
    <w:rsid w:val="4E27036A"/>
    <w:rsid w:val="4E304B5D"/>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1CAF"/>
    <w:rsid w:val="532540D9"/>
    <w:rsid w:val="532B6CAF"/>
    <w:rsid w:val="53350D91"/>
    <w:rsid w:val="53412644"/>
    <w:rsid w:val="53433903"/>
    <w:rsid w:val="53517A72"/>
    <w:rsid w:val="535C74C1"/>
    <w:rsid w:val="5361549D"/>
    <w:rsid w:val="536220DA"/>
    <w:rsid w:val="53650637"/>
    <w:rsid w:val="53757C6B"/>
    <w:rsid w:val="537E1075"/>
    <w:rsid w:val="53A44D07"/>
    <w:rsid w:val="53A46AC8"/>
    <w:rsid w:val="53AB7F1F"/>
    <w:rsid w:val="53AC6F7B"/>
    <w:rsid w:val="53EB297B"/>
    <w:rsid w:val="542E2BC2"/>
    <w:rsid w:val="54352A96"/>
    <w:rsid w:val="54425CFB"/>
    <w:rsid w:val="54447390"/>
    <w:rsid w:val="545E1D01"/>
    <w:rsid w:val="54935B8F"/>
    <w:rsid w:val="54CC6227"/>
    <w:rsid w:val="54D10F9B"/>
    <w:rsid w:val="551D586C"/>
    <w:rsid w:val="55200298"/>
    <w:rsid w:val="55335E1B"/>
    <w:rsid w:val="554B7EF0"/>
    <w:rsid w:val="556F3D99"/>
    <w:rsid w:val="55860894"/>
    <w:rsid w:val="55B02DF1"/>
    <w:rsid w:val="55DC290C"/>
    <w:rsid w:val="55F01FA1"/>
    <w:rsid w:val="561D0945"/>
    <w:rsid w:val="56990B7C"/>
    <w:rsid w:val="569E1126"/>
    <w:rsid w:val="56AC249A"/>
    <w:rsid w:val="56B80DEB"/>
    <w:rsid w:val="56E06E61"/>
    <w:rsid w:val="56F653FE"/>
    <w:rsid w:val="575B7AFD"/>
    <w:rsid w:val="57660D3F"/>
    <w:rsid w:val="57706F91"/>
    <w:rsid w:val="57D1153D"/>
    <w:rsid w:val="57FA3774"/>
    <w:rsid w:val="58084A3C"/>
    <w:rsid w:val="585D2975"/>
    <w:rsid w:val="587E3341"/>
    <w:rsid w:val="58CF56D8"/>
    <w:rsid w:val="58D31010"/>
    <w:rsid w:val="58D6741E"/>
    <w:rsid w:val="58EA3D0E"/>
    <w:rsid w:val="58F71269"/>
    <w:rsid w:val="58FE045E"/>
    <w:rsid w:val="59561946"/>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745221"/>
    <w:rsid w:val="5A8734A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C349B4"/>
    <w:rsid w:val="5BF03D58"/>
    <w:rsid w:val="5C1A6BB2"/>
    <w:rsid w:val="5C357C0E"/>
    <w:rsid w:val="5C5355FE"/>
    <w:rsid w:val="5C6F4105"/>
    <w:rsid w:val="5C7A4EE2"/>
    <w:rsid w:val="5CBB7F6F"/>
    <w:rsid w:val="5D7C3F11"/>
    <w:rsid w:val="5D9D49E0"/>
    <w:rsid w:val="5DDF1821"/>
    <w:rsid w:val="5DEA2F91"/>
    <w:rsid w:val="5E3146A3"/>
    <w:rsid w:val="5E442F62"/>
    <w:rsid w:val="5E6C2C5B"/>
    <w:rsid w:val="5E7251A2"/>
    <w:rsid w:val="5E7C3591"/>
    <w:rsid w:val="5E9D0E18"/>
    <w:rsid w:val="5EA2144B"/>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DF3861"/>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970898"/>
    <w:rsid w:val="61A90D68"/>
    <w:rsid w:val="621775E2"/>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EE4692"/>
    <w:rsid w:val="63FD622D"/>
    <w:rsid w:val="643F32F9"/>
    <w:rsid w:val="64412458"/>
    <w:rsid w:val="64582686"/>
    <w:rsid w:val="64673C87"/>
    <w:rsid w:val="64A251DD"/>
    <w:rsid w:val="64AF4418"/>
    <w:rsid w:val="64DB63AB"/>
    <w:rsid w:val="650242F0"/>
    <w:rsid w:val="65542778"/>
    <w:rsid w:val="655829AF"/>
    <w:rsid w:val="656B70C3"/>
    <w:rsid w:val="658F4798"/>
    <w:rsid w:val="659B1EBA"/>
    <w:rsid w:val="65B461E9"/>
    <w:rsid w:val="65BE39A8"/>
    <w:rsid w:val="65FB3FBE"/>
    <w:rsid w:val="66247D11"/>
    <w:rsid w:val="66736112"/>
    <w:rsid w:val="667F5B5B"/>
    <w:rsid w:val="66897C79"/>
    <w:rsid w:val="6694262A"/>
    <w:rsid w:val="669609C2"/>
    <w:rsid w:val="66990381"/>
    <w:rsid w:val="66B31B01"/>
    <w:rsid w:val="66CE1E80"/>
    <w:rsid w:val="66E362F9"/>
    <w:rsid w:val="66E47FD9"/>
    <w:rsid w:val="67071922"/>
    <w:rsid w:val="671626D9"/>
    <w:rsid w:val="673B73C0"/>
    <w:rsid w:val="675608B6"/>
    <w:rsid w:val="67754402"/>
    <w:rsid w:val="677D54ED"/>
    <w:rsid w:val="67AC6886"/>
    <w:rsid w:val="67B25E27"/>
    <w:rsid w:val="67C4383B"/>
    <w:rsid w:val="67D35E1A"/>
    <w:rsid w:val="67F35317"/>
    <w:rsid w:val="680201B7"/>
    <w:rsid w:val="68362BFB"/>
    <w:rsid w:val="683F1130"/>
    <w:rsid w:val="684456A1"/>
    <w:rsid w:val="685E1363"/>
    <w:rsid w:val="688A0B3C"/>
    <w:rsid w:val="688E1089"/>
    <w:rsid w:val="68A026F3"/>
    <w:rsid w:val="68AF6C13"/>
    <w:rsid w:val="690E07C7"/>
    <w:rsid w:val="69236A65"/>
    <w:rsid w:val="692E469B"/>
    <w:rsid w:val="69315C48"/>
    <w:rsid w:val="694019EC"/>
    <w:rsid w:val="69584DB4"/>
    <w:rsid w:val="696C3D80"/>
    <w:rsid w:val="69792EBA"/>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952C1"/>
    <w:rsid w:val="71452CD8"/>
    <w:rsid w:val="7158683A"/>
    <w:rsid w:val="715B2F52"/>
    <w:rsid w:val="71764F23"/>
    <w:rsid w:val="71946576"/>
    <w:rsid w:val="71967E84"/>
    <w:rsid w:val="71A61873"/>
    <w:rsid w:val="71AF4936"/>
    <w:rsid w:val="71D75D0F"/>
    <w:rsid w:val="71E31D57"/>
    <w:rsid w:val="721919B3"/>
    <w:rsid w:val="721A6098"/>
    <w:rsid w:val="72310D1A"/>
    <w:rsid w:val="725D6B54"/>
    <w:rsid w:val="729C6026"/>
    <w:rsid w:val="72A17C99"/>
    <w:rsid w:val="72AF6F7E"/>
    <w:rsid w:val="72C576C8"/>
    <w:rsid w:val="73047904"/>
    <w:rsid w:val="734C1A6A"/>
    <w:rsid w:val="735C5949"/>
    <w:rsid w:val="73737DA5"/>
    <w:rsid w:val="73887B3E"/>
    <w:rsid w:val="73892412"/>
    <w:rsid w:val="73E96BCA"/>
    <w:rsid w:val="73EE4A6E"/>
    <w:rsid w:val="741048BC"/>
    <w:rsid w:val="742E78D4"/>
    <w:rsid w:val="74676A28"/>
    <w:rsid w:val="7479207F"/>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07B65"/>
    <w:rsid w:val="77B4450A"/>
    <w:rsid w:val="77B46E73"/>
    <w:rsid w:val="77E37A12"/>
    <w:rsid w:val="77FE3468"/>
    <w:rsid w:val="78546F0C"/>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10">
    <w:name w:val="heading 3"/>
    <w:basedOn w:val="1"/>
    <w:next w:val="1"/>
    <w:qFormat/>
    <w:uiPriority w:val="0"/>
    <w:pPr>
      <w:keepNext/>
      <w:keepLines/>
      <w:spacing w:before="260" w:after="260" w:line="416" w:lineRule="auto"/>
      <w:outlineLvl w:val="2"/>
    </w:pPr>
    <w:rPr>
      <w:b/>
      <w:bCs/>
      <w:sz w:val="32"/>
      <w:szCs w:val="32"/>
    </w:rPr>
  </w:style>
  <w:style w:type="paragraph" w:styleId="11">
    <w:name w:val="heading 4"/>
    <w:basedOn w:val="1"/>
    <w:next w:val="1"/>
    <w:qFormat/>
    <w:uiPriority w:val="0"/>
    <w:pPr>
      <w:keepNext/>
      <w:keepLines/>
      <w:spacing w:line="360" w:lineRule="auto"/>
      <w:outlineLvl w:val="3"/>
    </w:pPr>
    <w:rPr>
      <w:rFonts w:ascii="Arial" w:hAnsi="Arial"/>
      <w:b/>
      <w:bCs/>
      <w:szCs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link w:val="73"/>
    <w:qFormat/>
    <w:uiPriority w:val="0"/>
  </w:style>
  <w:style w:type="paragraph" w:customStyle="1" w:styleId="5">
    <w:name w:val="Default"/>
    <w:next w:val="6"/>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
    <w:name w:val="大标题"/>
    <w:basedOn w:val="1"/>
    <w:next w:val="7"/>
    <w:qFormat/>
    <w:uiPriority w:val="0"/>
    <w:pPr>
      <w:jc w:val="center"/>
    </w:pPr>
    <w:rPr>
      <w:rFonts w:ascii="Arial" w:hAnsi="Arial"/>
      <w:b/>
      <w:sz w:val="28"/>
    </w:rPr>
  </w:style>
  <w:style w:type="paragraph" w:styleId="7">
    <w:name w:val="Body Text First Indent 2"/>
    <w:basedOn w:val="8"/>
    <w:next w:val="1"/>
    <w:qFormat/>
    <w:uiPriority w:val="0"/>
    <w:pPr>
      <w:ind w:firstLine="420" w:firstLineChars="200"/>
    </w:pPr>
  </w:style>
  <w:style w:type="paragraph" w:styleId="8">
    <w:name w:val="Body Text Indent"/>
    <w:basedOn w:val="1"/>
    <w:next w:val="9"/>
    <w:qFormat/>
    <w:uiPriority w:val="0"/>
    <w:pPr>
      <w:widowControl/>
      <w:spacing w:beforeAutospacing="1" w:afterAutospacing="1"/>
      <w:jc w:val="left"/>
    </w:pPr>
    <w:rPr>
      <w:rFonts w:ascii="宋体" w:hAnsi="宋体" w:cs="宋体"/>
      <w:kern w:val="0"/>
      <w:sz w:val="24"/>
    </w:rPr>
  </w:style>
  <w:style w:type="paragraph" w:customStyle="1" w:styleId="9">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2">
    <w:name w:val="List Number"/>
    <w:basedOn w:val="1"/>
    <w:qFormat/>
    <w:uiPriority w:val="0"/>
    <w:pPr>
      <w:widowControl/>
      <w:spacing w:beforeAutospacing="1" w:afterAutospacing="1"/>
      <w:jc w:val="left"/>
    </w:pPr>
    <w:rPr>
      <w:rFonts w:ascii="宋体" w:hAnsi="宋体" w:cs="宋体"/>
      <w:kern w:val="0"/>
      <w:sz w:val="24"/>
    </w:rPr>
  </w:style>
  <w:style w:type="paragraph" w:styleId="13">
    <w:name w:val="Normal Indent"/>
    <w:basedOn w:val="1"/>
    <w:qFormat/>
    <w:uiPriority w:val="0"/>
    <w:pPr>
      <w:widowControl/>
      <w:spacing w:beforeAutospacing="1" w:afterAutospacing="1"/>
      <w:jc w:val="left"/>
    </w:pPr>
    <w:rPr>
      <w:rFonts w:ascii="宋体" w:hAnsi="宋体" w:cs="宋体"/>
      <w:kern w:val="0"/>
      <w:sz w:val="24"/>
    </w:rPr>
  </w:style>
  <w:style w:type="paragraph" w:styleId="14">
    <w:name w:val="Document Map"/>
    <w:basedOn w:val="1"/>
    <w:link w:val="75"/>
    <w:qFormat/>
    <w:uiPriority w:val="0"/>
    <w:rPr>
      <w:rFonts w:ascii="宋体" w:hAnsi="Calibri"/>
      <w:sz w:val="18"/>
      <w:szCs w:val="18"/>
    </w:rPr>
  </w:style>
  <w:style w:type="paragraph" w:styleId="15">
    <w:name w:val="annotation text"/>
    <w:basedOn w:val="1"/>
    <w:qFormat/>
    <w:uiPriority w:val="0"/>
    <w:pPr>
      <w:jc w:val="left"/>
    </w:pPr>
  </w:style>
  <w:style w:type="paragraph" w:styleId="16">
    <w:name w:val="Body Text 3"/>
    <w:basedOn w:val="1"/>
    <w:qFormat/>
    <w:uiPriority w:val="0"/>
    <w:rPr>
      <w:sz w:val="16"/>
      <w:szCs w:val="16"/>
    </w:rPr>
  </w:style>
  <w:style w:type="paragraph" w:styleId="17">
    <w:name w:val="List 2"/>
    <w:basedOn w:val="1"/>
    <w:qFormat/>
    <w:uiPriority w:val="0"/>
    <w:pPr>
      <w:ind w:left="100" w:leftChars="200" w:hanging="200" w:hangingChars="200"/>
    </w:pPr>
  </w:style>
  <w:style w:type="paragraph" w:styleId="18">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9">
    <w:name w:val="toc 3"/>
    <w:basedOn w:val="1"/>
    <w:next w:val="1"/>
    <w:qFormat/>
    <w:uiPriority w:val="0"/>
    <w:pPr>
      <w:tabs>
        <w:tab w:val="left" w:pos="709"/>
        <w:tab w:val="right" w:leader="dot" w:pos="8789"/>
      </w:tabs>
      <w:spacing w:line="400" w:lineRule="atLeast"/>
    </w:pPr>
    <w:rPr>
      <w:rFonts w:ascii="宋体"/>
      <w:kern w:val="0"/>
      <w:szCs w:val="20"/>
    </w:rPr>
  </w:style>
  <w:style w:type="paragraph" w:styleId="20">
    <w:name w:val="Plain Text"/>
    <w:basedOn w:val="1"/>
    <w:qFormat/>
    <w:uiPriority w:val="0"/>
    <w:pPr>
      <w:widowControl/>
      <w:spacing w:beforeAutospacing="1" w:afterAutospacing="1"/>
      <w:jc w:val="left"/>
    </w:pPr>
    <w:rPr>
      <w:rFonts w:ascii="宋体" w:hAnsi="宋体" w:cs="宋体"/>
      <w:kern w:val="0"/>
      <w:sz w:val="24"/>
    </w:rPr>
  </w:style>
  <w:style w:type="paragraph" w:styleId="21">
    <w:name w:val="Date"/>
    <w:basedOn w:val="1"/>
    <w:next w:val="1"/>
    <w:qFormat/>
    <w:uiPriority w:val="0"/>
    <w:pPr>
      <w:ind w:left="100" w:leftChars="2500"/>
    </w:pPr>
    <w:rPr>
      <w:rFonts w:ascii="宋体" w:hAnsi="宋体"/>
      <w:sz w:val="28"/>
    </w:rPr>
  </w:style>
  <w:style w:type="paragraph" w:styleId="22">
    <w:name w:val="Body Text Indent 2"/>
    <w:basedOn w:val="1"/>
    <w:qFormat/>
    <w:uiPriority w:val="0"/>
    <w:pPr>
      <w:spacing w:line="480" w:lineRule="auto"/>
      <w:ind w:left="420" w:leftChars="200"/>
    </w:p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envelope return"/>
    <w:basedOn w:val="1"/>
    <w:unhideWhenUsed/>
    <w:qFormat/>
    <w:uiPriority w:val="99"/>
    <w:pPr>
      <w:snapToGrid w:val="0"/>
    </w:pPr>
    <w:rPr>
      <w:rFonts w:ascii="Arial" w:hAnsi="Arial"/>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style>
  <w:style w:type="paragraph" w:styleId="27">
    <w:name w:val="List"/>
    <w:basedOn w:val="1"/>
    <w:qFormat/>
    <w:uiPriority w:val="0"/>
    <w:pPr>
      <w:ind w:left="200" w:hanging="200" w:hangingChars="200"/>
    </w:pPr>
  </w:style>
  <w:style w:type="paragraph" w:styleId="28">
    <w:name w:val="Body Text 2"/>
    <w:basedOn w:val="1"/>
    <w:next w:val="4"/>
    <w:qFormat/>
    <w:uiPriority w:val="0"/>
    <w:pPr>
      <w:spacing w:line="480" w:lineRule="auto"/>
    </w:pPr>
  </w:style>
  <w:style w:type="paragraph" w:styleId="29">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3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1">
    <w:name w:val="Normal (Web)"/>
    <w:basedOn w:val="1"/>
    <w:qFormat/>
    <w:uiPriority w:val="99"/>
    <w:pPr>
      <w:spacing w:before="100" w:beforeAutospacing="1" w:after="100" w:afterAutospacing="1"/>
      <w:jc w:val="left"/>
    </w:pPr>
    <w:rPr>
      <w:kern w:val="0"/>
      <w:sz w:val="24"/>
    </w:rPr>
  </w:style>
  <w:style w:type="paragraph" w:styleId="32">
    <w:name w:val="Title"/>
    <w:basedOn w:val="1"/>
    <w:qFormat/>
    <w:uiPriority w:val="0"/>
    <w:pPr>
      <w:jc w:val="center"/>
      <w:outlineLvl w:val="0"/>
    </w:pPr>
    <w:rPr>
      <w:rFonts w:ascii="Arial" w:hAnsi="Arial" w:cs="Arial"/>
      <w:b/>
      <w:bCs/>
      <w:sz w:val="32"/>
      <w:szCs w:val="32"/>
    </w:rPr>
  </w:style>
  <w:style w:type="paragraph" w:styleId="33">
    <w:name w:val="Body Text First Indent"/>
    <w:basedOn w:val="4"/>
    <w:next w:val="7"/>
    <w:qFormat/>
    <w:uiPriority w:val="0"/>
    <w:pPr>
      <w:spacing w:line="360" w:lineRule="auto"/>
      <w:ind w:firstLine="420" w:firstLineChars="100"/>
    </w:pPr>
    <w:rPr>
      <w:szCs w:val="21"/>
    </w:rPr>
  </w:style>
  <w:style w:type="table" w:styleId="35">
    <w:name w:val="Table Grid"/>
    <w:basedOn w:val="3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bCs/>
      <w:szCs w:val="24"/>
    </w:rPr>
  </w:style>
  <w:style w:type="character" w:styleId="38">
    <w:name w:val="page number"/>
    <w:basedOn w:val="36"/>
    <w:qFormat/>
    <w:uiPriority w:val="0"/>
  </w:style>
  <w:style w:type="character" w:styleId="39">
    <w:name w:val="FollowedHyperlink"/>
    <w:qFormat/>
    <w:uiPriority w:val="0"/>
    <w:rPr>
      <w:color w:val="333333"/>
      <w:szCs w:val="24"/>
      <w:u w:val="none"/>
    </w:rPr>
  </w:style>
  <w:style w:type="character" w:styleId="40">
    <w:name w:val="Emphasis"/>
    <w:basedOn w:val="36"/>
    <w:qFormat/>
    <w:uiPriority w:val="0"/>
  </w:style>
  <w:style w:type="character" w:styleId="41">
    <w:name w:val="HTML Definition"/>
    <w:basedOn w:val="36"/>
    <w:qFormat/>
    <w:uiPriority w:val="0"/>
  </w:style>
  <w:style w:type="character" w:styleId="42">
    <w:name w:val="HTML Typewriter"/>
    <w:basedOn w:val="36"/>
    <w:qFormat/>
    <w:uiPriority w:val="0"/>
    <w:rPr>
      <w:rFonts w:hint="default" w:ascii="monospace" w:hAnsi="monospace" w:eastAsia="monospace" w:cs="monospace"/>
      <w:sz w:val="20"/>
    </w:rPr>
  </w:style>
  <w:style w:type="character" w:styleId="43">
    <w:name w:val="HTML Acronym"/>
    <w:basedOn w:val="36"/>
    <w:qFormat/>
    <w:uiPriority w:val="0"/>
  </w:style>
  <w:style w:type="character" w:styleId="44">
    <w:name w:val="HTML Variable"/>
    <w:basedOn w:val="36"/>
    <w:qFormat/>
    <w:uiPriority w:val="0"/>
  </w:style>
  <w:style w:type="character" w:styleId="45">
    <w:name w:val="Hyperlink"/>
    <w:basedOn w:val="36"/>
    <w:qFormat/>
    <w:uiPriority w:val="0"/>
    <w:rPr>
      <w:color w:val="333333"/>
      <w:szCs w:val="24"/>
      <w:u w:val="none"/>
    </w:rPr>
  </w:style>
  <w:style w:type="character" w:styleId="46">
    <w:name w:val="HTML Code"/>
    <w:basedOn w:val="36"/>
    <w:qFormat/>
    <w:uiPriority w:val="0"/>
    <w:rPr>
      <w:rFonts w:ascii="monospace" w:hAnsi="monospace" w:eastAsia="monospace" w:cs="monospace"/>
      <w:sz w:val="20"/>
    </w:rPr>
  </w:style>
  <w:style w:type="character" w:styleId="47">
    <w:name w:val="HTML Cite"/>
    <w:basedOn w:val="36"/>
    <w:qFormat/>
    <w:uiPriority w:val="0"/>
  </w:style>
  <w:style w:type="character" w:styleId="48">
    <w:name w:val="HTML Keyboard"/>
    <w:basedOn w:val="36"/>
    <w:qFormat/>
    <w:uiPriority w:val="0"/>
    <w:rPr>
      <w:rFonts w:hint="default" w:ascii="monospace" w:hAnsi="monospace" w:eastAsia="monospace" w:cs="monospace"/>
      <w:sz w:val="20"/>
    </w:rPr>
  </w:style>
  <w:style w:type="character" w:styleId="49">
    <w:name w:val="HTML Sample"/>
    <w:basedOn w:val="36"/>
    <w:qFormat/>
    <w:uiPriority w:val="0"/>
    <w:rPr>
      <w:rFonts w:hint="default" w:ascii="monospace" w:hAnsi="monospace" w:eastAsia="monospace" w:cs="monospace"/>
    </w:rPr>
  </w:style>
  <w:style w:type="paragraph" w:customStyle="1" w:styleId="50">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1">
    <w:name w:val="No Spacing1"/>
    <w:basedOn w:val="1"/>
    <w:qFormat/>
    <w:uiPriority w:val="0"/>
    <w:pPr>
      <w:spacing w:line="400" w:lineRule="exact"/>
    </w:pPr>
    <w:rPr>
      <w:sz w:val="24"/>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6"/>
    <w:link w:val="4"/>
    <w:qFormat/>
    <w:uiPriority w:val="0"/>
  </w:style>
  <w:style w:type="character" w:customStyle="1" w:styleId="74">
    <w:name w:val="apple-converted-space"/>
    <w:basedOn w:val="36"/>
    <w:qFormat/>
    <w:uiPriority w:val="0"/>
  </w:style>
  <w:style w:type="character" w:customStyle="1" w:styleId="75">
    <w:name w:val="文档结构图 Char"/>
    <w:link w:val="14"/>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4"/>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41</Pages>
  <Words>16248</Words>
  <Characters>17271</Characters>
  <Lines>50</Lines>
  <Paragraphs>68</Paragraphs>
  <TotalTime>2</TotalTime>
  <ScaleCrop>false</ScaleCrop>
  <LinksUpToDate>false</LinksUpToDate>
  <CharactersWithSpaces>18143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2023-03-14T00:27:33Z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562A285641654D2EA086C4325B3B203C</vt:lpwstr>
  </property>
</Properties>
</file>