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7"/>
        <w:keepNext w:val="0"/>
        <w:keepLines w:val="0"/>
        <w:pageBreakBefore w:val="0"/>
        <w:widowControl w:val="0"/>
        <w:kinsoku/>
        <w:wordWrap/>
        <w:overflowPunct/>
        <w:topLinePunct w:val="0"/>
        <w:autoSpaceDE/>
        <w:autoSpaceDN/>
        <w:bidi w:val="0"/>
        <w:adjustRightInd/>
        <w:snapToGrid/>
        <w:spacing w:beforeAutospacing="0" w:afterAutospacing="0" w:line="360" w:lineRule="auto"/>
        <w:jc w:val="both"/>
        <w:textAlignment w:val="auto"/>
        <w:rPr>
          <w:rFonts w:hint="eastAsia" w:ascii="宋体" w:hAnsi="宋体" w:eastAsia="宋体" w:cs="宋体"/>
          <w:b/>
          <w:bCs/>
          <w:color w:val="auto"/>
          <w:sz w:val="21"/>
          <w:szCs w:val="21"/>
          <w:lang w:val="en-US" w:eastAsia="zh-CN"/>
        </w:rPr>
      </w:pPr>
      <w:bookmarkStart w:id="0" w:name="_Toc22804073"/>
      <w:bookmarkEnd w:id="0"/>
      <w:bookmarkStart w:id="1" w:name="_Toc22953395"/>
      <w:bookmarkEnd w:id="1"/>
    </w:p>
    <w:p>
      <w:pPr>
        <w:pStyle w:val="17"/>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color w:val="auto"/>
          <w:sz w:val="48"/>
          <w:szCs w:val="48"/>
          <w:lang w:val="en-US" w:eastAsia="zh-CN"/>
        </w:rPr>
      </w:pPr>
      <w:r>
        <w:rPr>
          <w:rFonts w:hint="eastAsia" w:cs="宋体"/>
          <w:b/>
          <w:bCs/>
          <w:color w:val="auto"/>
          <w:sz w:val="48"/>
          <w:szCs w:val="48"/>
          <w:lang w:val="en-US" w:eastAsia="zh-CN"/>
        </w:rPr>
        <w:t>驻马店市中心医院医用输血输液加温器采购项目</w:t>
      </w: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30"/>
        <w:rPr>
          <w:rFonts w:hint="eastAsia"/>
          <w:color w:val="auto"/>
        </w:rPr>
      </w:pPr>
    </w:p>
    <w:p>
      <w:pPr>
        <w:pStyle w:val="58"/>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w:t>
      </w:r>
      <w:r>
        <w:rPr>
          <w:rFonts w:hint="eastAsia" w:ascii="宋体" w:hAnsi="宋体" w:cs="宋体"/>
          <w:b/>
          <w:bCs/>
          <w:color w:val="auto"/>
          <w:spacing w:val="40"/>
          <w:sz w:val="34"/>
          <w:szCs w:val="34"/>
          <w:lang w:val="en-US" w:eastAsia="zh-CN"/>
        </w:rPr>
        <w:t>23</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03</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sz w:val="36"/>
          <w:szCs w:val="24"/>
          <w:highlight w:val="none"/>
        </w:rPr>
      </w:pPr>
    </w:p>
    <w:p>
      <w:pPr>
        <w:pStyle w:val="23"/>
        <w:tabs>
          <w:tab w:val="right" w:leader="dot" w:pos="8958"/>
        </w:tabs>
        <w:spacing w:line="360" w:lineRule="auto"/>
        <w:rPr>
          <w:sz w:val="28"/>
          <w:szCs w:val="36"/>
        </w:rPr>
      </w:pPr>
      <w:r>
        <w:rPr>
          <w:rFonts w:hint="eastAsia" w:ascii="宋体" w:hAnsi="宋体" w:cs="宋体"/>
          <w:b/>
          <w:bCs/>
          <w:color w:val="auto"/>
          <w:sz w:val="56"/>
          <w:szCs w:val="56"/>
          <w:highlight w:val="none"/>
        </w:rPr>
        <w:fldChar w:fldCharType="begin"/>
      </w:r>
      <w:r>
        <w:rPr>
          <w:rFonts w:hint="eastAsia" w:ascii="宋体" w:hAnsi="宋体" w:cs="宋体"/>
          <w:b/>
          <w:bCs/>
          <w:color w:val="auto"/>
          <w:sz w:val="56"/>
          <w:szCs w:val="56"/>
          <w:highlight w:val="none"/>
        </w:rPr>
        <w:instrText xml:space="preserve">TOC \o "1-1" \h \u </w:instrText>
      </w:r>
      <w:r>
        <w:rPr>
          <w:rFonts w:hint="eastAsia" w:ascii="宋体" w:hAnsi="宋体" w:cs="宋体"/>
          <w:b/>
          <w:bCs/>
          <w:color w:val="auto"/>
          <w:sz w:val="56"/>
          <w:szCs w:val="56"/>
          <w:highlight w:val="none"/>
        </w:rPr>
        <w:fldChar w:fldCharType="separate"/>
      </w:r>
      <w:r>
        <w:rPr>
          <w:rFonts w:hint="eastAsia" w:ascii="宋体" w:hAnsi="宋体" w:cs="宋体"/>
          <w:bCs/>
          <w:color w:val="auto"/>
          <w:sz w:val="28"/>
          <w:szCs w:val="56"/>
          <w:highlight w:val="none"/>
        </w:rPr>
        <w:fldChar w:fldCharType="begin"/>
      </w:r>
      <w:r>
        <w:rPr>
          <w:rFonts w:hint="eastAsia" w:ascii="宋体" w:hAnsi="宋体" w:cs="宋体"/>
          <w:bCs/>
          <w:sz w:val="28"/>
          <w:szCs w:val="56"/>
          <w:highlight w:val="none"/>
        </w:rPr>
        <w:instrText xml:space="preserve"> HYPERLINK \l _Toc21195 </w:instrText>
      </w:r>
      <w:r>
        <w:rPr>
          <w:rFonts w:hint="eastAsia" w:ascii="宋体" w:hAnsi="宋体" w:cs="宋体"/>
          <w:bCs/>
          <w:sz w:val="28"/>
          <w:szCs w:val="56"/>
          <w:highlight w:val="none"/>
        </w:rPr>
        <w:fldChar w:fldCharType="separate"/>
      </w:r>
      <w:r>
        <w:rPr>
          <w:rFonts w:hint="eastAsia" w:ascii="宋体" w:hAnsi="宋体"/>
          <w:sz w:val="28"/>
          <w:szCs w:val="52"/>
          <w:highlight w:val="none"/>
        </w:rPr>
        <w:t xml:space="preserve">第一章  </w:t>
      </w:r>
      <w:r>
        <w:rPr>
          <w:rFonts w:hint="eastAsia" w:ascii="宋体" w:hAnsi="宋体"/>
          <w:sz w:val="28"/>
          <w:szCs w:val="52"/>
          <w:highlight w:val="none"/>
          <w:lang w:val="en-US" w:eastAsia="zh-CN"/>
        </w:rPr>
        <w:t>竞争性磋商采购</w:t>
      </w:r>
      <w:r>
        <w:rPr>
          <w:rFonts w:hint="eastAsia" w:ascii="宋体" w:hAnsi="宋体"/>
          <w:sz w:val="28"/>
          <w:szCs w:val="52"/>
          <w:highlight w:val="none"/>
        </w:rPr>
        <w:t>公告</w:t>
      </w:r>
      <w:r>
        <w:rPr>
          <w:sz w:val="28"/>
          <w:szCs w:val="36"/>
        </w:rPr>
        <w:tab/>
      </w:r>
      <w:r>
        <w:rPr>
          <w:sz w:val="28"/>
          <w:szCs w:val="36"/>
        </w:rPr>
        <w:fldChar w:fldCharType="begin"/>
      </w:r>
      <w:r>
        <w:rPr>
          <w:sz w:val="28"/>
          <w:szCs w:val="36"/>
        </w:rPr>
        <w:instrText xml:space="preserve"> PAGEREF _Toc21195 \h </w:instrText>
      </w:r>
      <w:r>
        <w:rPr>
          <w:sz w:val="28"/>
          <w:szCs w:val="36"/>
        </w:rPr>
        <w:fldChar w:fldCharType="separate"/>
      </w:r>
      <w:r>
        <w:rPr>
          <w:sz w:val="28"/>
          <w:szCs w:val="36"/>
        </w:rPr>
        <w:t>2</w:t>
      </w:r>
      <w:r>
        <w:rPr>
          <w:sz w:val="28"/>
          <w:szCs w:val="36"/>
        </w:rPr>
        <w:fldChar w:fldCharType="end"/>
      </w:r>
      <w:r>
        <w:rPr>
          <w:rFonts w:hint="eastAsia" w:ascii="宋体" w:hAnsi="宋体" w:cs="宋体"/>
          <w:bCs/>
          <w:color w:val="auto"/>
          <w:sz w:val="28"/>
          <w:szCs w:val="56"/>
          <w:highlight w:val="none"/>
        </w:rPr>
        <w:fldChar w:fldCharType="end"/>
      </w:r>
    </w:p>
    <w:p>
      <w:pPr>
        <w:pStyle w:val="23"/>
        <w:tabs>
          <w:tab w:val="right" w:leader="dot" w:pos="8958"/>
        </w:tabs>
        <w:spacing w:line="360" w:lineRule="auto"/>
        <w:rPr>
          <w:sz w:val="28"/>
          <w:szCs w:val="36"/>
        </w:rPr>
      </w:pPr>
      <w:r>
        <w:rPr>
          <w:rFonts w:hint="eastAsia" w:ascii="宋体" w:hAnsi="宋体" w:cs="宋体"/>
          <w:bCs/>
          <w:color w:val="auto"/>
          <w:sz w:val="28"/>
          <w:szCs w:val="56"/>
          <w:highlight w:val="none"/>
        </w:rPr>
        <w:fldChar w:fldCharType="begin"/>
      </w:r>
      <w:r>
        <w:rPr>
          <w:rFonts w:hint="eastAsia" w:ascii="宋体" w:hAnsi="宋体" w:cs="宋体"/>
          <w:bCs/>
          <w:sz w:val="28"/>
          <w:szCs w:val="56"/>
          <w:highlight w:val="none"/>
        </w:rPr>
        <w:instrText xml:space="preserve"> HYPERLINK \l _Toc26828 </w:instrText>
      </w:r>
      <w:r>
        <w:rPr>
          <w:rFonts w:hint="eastAsia" w:ascii="宋体" w:hAnsi="宋体" w:cs="宋体"/>
          <w:bCs/>
          <w:sz w:val="28"/>
          <w:szCs w:val="56"/>
          <w:highlight w:val="none"/>
        </w:rPr>
        <w:fldChar w:fldCharType="separate"/>
      </w:r>
      <w:r>
        <w:rPr>
          <w:rFonts w:hint="eastAsia" w:ascii="宋体" w:hAnsi="宋体"/>
          <w:sz w:val="28"/>
          <w:szCs w:val="52"/>
          <w:highlight w:val="none"/>
        </w:rPr>
        <w:t xml:space="preserve">第二章  </w:t>
      </w:r>
      <w:r>
        <w:rPr>
          <w:rFonts w:hint="eastAsia" w:ascii="宋体" w:hAnsi="宋体"/>
          <w:sz w:val="28"/>
          <w:szCs w:val="52"/>
          <w:highlight w:val="none"/>
          <w:lang w:eastAsia="zh-CN"/>
        </w:rPr>
        <w:t>采购</w:t>
      </w:r>
      <w:r>
        <w:rPr>
          <w:rFonts w:hint="eastAsia" w:ascii="宋体" w:hAnsi="宋体"/>
          <w:sz w:val="28"/>
          <w:szCs w:val="52"/>
          <w:highlight w:val="none"/>
        </w:rPr>
        <w:t>需求</w:t>
      </w:r>
      <w:r>
        <w:rPr>
          <w:sz w:val="28"/>
          <w:szCs w:val="36"/>
        </w:rPr>
        <w:tab/>
      </w:r>
      <w:r>
        <w:rPr>
          <w:sz w:val="28"/>
          <w:szCs w:val="36"/>
        </w:rPr>
        <w:fldChar w:fldCharType="begin"/>
      </w:r>
      <w:r>
        <w:rPr>
          <w:sz w:val="28"/>
          <w:szCs w:val="36"/>
        </w:rPr>
        <w:instrText xml:space="preserve"> PAGEREF _Toc26828 \h </w:instrText>
      </w:r>
      <w:r>
        <w:rPr>
          <w:sz w:val="28"/>
          <w:szCs w:val="36"/>
        </w:rPr>
        <w:fldChar w:fldCharType="separate"/>
      </w:r>
      <w:r>
        <w:rPr>
          <w:sz w:val="28"/>
          <w:szCs w:val="36"/>
        </w:rPr>
        <w:t>4</w:t>
      </w:r>
      <w:r>
        <w:rPr>
          <w:sz w:val="28"/>
          <w:szCs w:val="36"/>
        </w:rPr>
        <w:fldChar w:fldCharType="end"/>
      </w:r>
      <w:r>
        <w:rPr>
          <w:rFonts w:hint="eastAsia" w:ascii="宋体" w:hAnsi="宋体" w:cs="宋体"/>
          <w:bCs/>
          <w:color w:val="auto"/>
          <w:sz w:val="28"/>
          <w:szCs w:val="56"/>
          <w:highlight w:val="none"/>
        </w:rPr>
        <w:fldChar w:fldCharType="end"/>
      </w:r>
    </w:p>
    <w:p>
      <w:pPr>
        <w:pStyle w:val="23"/>
        <w:tabs>
          <w:tab w:val="right" w:leader="dot" w:pos="8958"/>
        </w:tabs>
        <w:spacing w:line="360" w:lineRule="auto"/>
        <w:rPr>
          <w:sz w:val="28"/>
          <w:szCs w:val="36"/>
        </w:rPr>
      </w:pPr>
      <w:r>
        <w:rPr>
          <w:rFonts w:hint="eastAsia" w:ascii="宋体" w:hAnsi="宋体" w:cs="宋体"/>
          <w:bCs/>
          <w:color w:val="auto"/>
          <w:sz w:val="28"/>
          <w:szCs w:val="56"/>
          <w:highlight w:val="none"/>
        </w:rPr>
        <w:fldChar w:fldCharType="begin"/>
      </w:r>
      <w:r>
        <w:rPr>
          <w:rFonts w:hint="eastAsia" w:ascii="宋体" w:hAnsi="宋体" w:cs="宋体"/>
          <w:bCs/>
          <w:sz w:val="28"/>
          <w:szCs w:val="56"/>
          <w:highlight w:val="none"/>
        </w:rPr>
        <w:instrText xml:space="preserve"> HYPERLINK \l _Toc12002 </w:instrText>
      </w:r>
      <w:r>
        <w:rPr>
          <w:rFonts w:hint="eastAsia" w:ascii="宋体" w:hAnsi="宋体" w:cs="宋体"/>
          <w:bCs/>
          <w:sz w:val="28"/>
          <w:szCs w:val="56"/>
          <w:highlight w:val="none"/>
        </w:rPr>
        <w:fldChar w:fldCharType="separate"/>
      </w:r>
      <w:r>
        <w:rPr>
          <w:rFonts w:hint="eastAsia"/>
          <w:sz w:val="28"/>
          <w:szCs w:val="52"/>
          <w:highlight w:val="none"/>
        </w:rPr>
        <w:t>第三章  投标人须知</w:t>
      </w:r>
      <w:r>
        <w:rPr>
          <w:sz w:val="28"/>
          <w:szCs w:val="36"/>
        </w:rPr>
        <w:tab/>
      </w:r>
      <w:r>
        <w:rPr>
          <w:sz w:val="28"/>
          <w:szCs w:val="36"/>
        </w:rPr>
        <w:fldChar w:fldCharType="begin"/>
      </w:r>
      <w:r>
        <w:rPr>
          <w:sz w:val="28"/>
          <w:szCs w:val="36"/>
        </w:rPr>
        <w:instrText xml:space="preserve"> PAGEREF _Toc12002 \h </w:instrText>
      </w:r>
      <w:r>
        <w:rPr>
          <w:sz w:val="28"/>
          <w:szCs w:val="36"/>
        </w:rPr>
        <w:fldChar w:fldCharType="separate"/>
      </w:r>
      <w:r>
        <w:rPr>
          <w:sz w:val="28"/>
          <w:szCs w:val="36"/>
        </w:rPr>
        <w:t>6</w:t>
      </w:r>
      <w:r>
        <w:rPr>
          <w:sz w:val="28"/>
          <w:szCs w:val="36"/>
        </w:rPr>
        <w:fldChar w:fldCharType="end"/>
      </w:r>
      <w:r>
        <w:rPr>
          <w:rFonts w:hint="eastAsia" w:ascii="宋体" w:hAnsi="宋体" w:cs="宋体"/>
          <w:bCs/>
          <w:color w:val="auto"/>
          <w:sz w:val="28"/>
          <w:szCs w:val="56"/>
          <w:highlight w:val="none"/>
        </w:rPr>
        <w:fldChar w:fldCharType="end"/>
      </w:r>
    </w:p>
    <w:p>
      <w:pPr>
        <w:pStyle w:val="23"/>
        <w:tabs>
          <w:tab w:val="right" w:leader="dot" w:pos="8958"/>
        </w:tabs>
        <w:spacing w:line="360" w:lineRule="auto"/>
        <w:rPr>
          <w:sz w:val="28"/>
          <w:szCs w:val="36"/>
        </w:rPr>
      </w:pPr>
      <w:r>
        <w:rPr>
          <w:rFonts w:hint="eastAsia" w:ascii="宋体" w:hAnsi="宋体" w:cs="宋体"/>
          <w:bCs/>
          <w:color w:val="auto"/>
          <w:sz w:val="28"/>
          <w:szCs w:val="56"/>
          <w:highlight w:val="none"/>
        </w:rPr>
        <w:fldChar w:fldCharType="begin"/>
      </w:r>
      <w:r>
        <w:rPr>
          <w:rFonts w:hint="eastAsia" w:ascii="宋体" w:hAnsi="宋体" w:cs="宋体"/>
          <w:bCs/>
          <w:sz w:val="28"/>
          <w:szCs w:val="56"/>
          <w:highlight w:val="none"/>
        </w:rPr>
        <w:instrText xml:space="preserve"> HYPERLINK \l _Toc23054 </w:instrText>
      </w:r>
      <w:r>
        <w:rPr>
          <w:rFonts w:hint="eastAsia" w:ascii="宋体" w:hAnsi="宋体" w:cs="宋体"/>
          <w:bCs/>
          <w:sz w:val="28"/>
          <w:szCs w:val="56"/>
          <w:highlight w:val="none"/>
        </w:rPr>
        <w:fldChar w:fldCharType="separate"/>
      </w:r>
      <w:r>
        <w:rPr>
          <w:rFonts w:hint="eastAsia" w:ascii="宋体" w:hAnsi="宋体" w:eastAsia="宋体" w:cs="宋体"/>
          <w:bCs/>
          <w:kern w:val="0"/>
          <w:sz w:val="28"/>
          <w:szCs w:val="52"/>
          <w:highlight w:val="none"/>
        </w:rPr>
        <w:t>第四章  评标办法及评分标准</w:t>
      </w:r>
      <w:r>
        <w:rPr>
          <w:sz w:val="28"/>
          <w:szCs w:val="36"/>
        </w:rPr>
        <w:tab/>
      </w:r>
      <w:r>
        <w:rPr>
          <w:sz w:val="28"/>
          <w:szCs w:val="36"/>
        </w:rPr>
        <w:fldChar w:fldCharType="begin"/>
      </w:r>
      <w:r>
        <w:rPr>
          <w:sz w:val="28"/>
          <w:szCs w:val="36"/>
        </w:rPr>
        <w:instrText xml:space="preserve"> PAGEREF _Toc23054 \h </w:instrText>
      </w:r>
      <w:r>
        <w:rPr>
          <w:sz w:val="28"/>
          <w:szCs w:val="36"/>
        </w:rPr>
        <w:fldChar w:fldCharType="separate"/>
      </w:r>
      <w:r>
        <w:rPr>
          <w:sz w:val="28"/>
          <w:szCs w:val="36"/>
        </w:rPr>
        <w:t>19</w:t>
      </w:r>
      <w:r>
        <w:rPr>
          <w:sz w:val="28"/>
          <w:szCs w:val="36"/>
        </w:rPr>
        <w:fldChar w:fldCharType="end"/>
      </w:r>
      <w:r>
        <w:rPr>
          <w:rFonts w:hint="eastAsia" w:ascii="宋体" w:hAnsi="宋体" w:cs="宋体"/>
          <w:bCs/>
          <w:color w:val="auto"/>
          <w:sz w:val="28"/>
          <w:szCs w:val="56"/>
          <w:highlight w:val="none"/>
        </w:rPr>
        <w:fldChar w:fldCharType="end"/>
      </w:r>
    </w:p>
    <w:p>
      <w:pPr>
        <w:pStyle w:val="23"/>
        <w:tabs>
          <w:tab w:val="right" w:leader="dot" w:pos="8958"/>
        </w:tabs>
        <w:spacing w:line="360" w:lineRule="auto"/>
        <w:rPr>
          <w:sz w:val="28"/>
          <w:szCs w:val="36"/>
        </w:rPr>
      </w:pPr>
      <w:r>
        <w:rPr>
          <w:rFonts w:hint="eastAsia" w:ascii="宋体" w:hAnsi="宋体" w:cs="宋体"/>
          <w:bCs/>
          <w:color w:val="auto"/>
          <w:sz w:val="28"/>
          <w:szCs w:val="56"/>
          <w:highlight w:val="none"/>
        </w:rPr>
        <w:fldChar w:fldCharType="begin"/>
      </w:r>
      <w:r>
        <w:rPr>
          <w:rFonts w:hint="eastAsia" w:ascii="宋体" w:hAnsi="宋体" w:cs="宋体"/>
          <w:bCs/>
          <w:sz w:val="28"/>
          <w:szCs w:val="56"/>
          <w:highlight w:val="none"/>
        </w:rPr>
        <w:instrText xml:space="preserve"> HYPERLINK \l _Toc32036 </w:instrText>
      </w:r>
      <w:r>
        <w:rPr>
          <w:rFonts w:hint="eastAsia" w:ascii="宋体" w:hAnsi="宋体" w:cs="宋体"/>
          <w:bCs/>
          <w:sz w:val="28"/>
          <w:szCs w:val="56"/>
          <w:highlight w:val="none"/>
        </w:rPr>
        <w:fldChar w:fldCharType="separate"/>
      </w:r>
      <w:r>
        <w:rPr>
          <w:rFonts w:hint="eastAsia"/>
          <w:sz w:val="28"/>
          <w:szCs w:val="52"/>
          <w:highlight w:val="none"/>
        </w:rPr>
        <w:t>第五章  采购合同</w:t>
      </w:r>
      <w:r>
        <w:rPr>
          <w:sz w:val="28"/>
          <w:szCs w:val="36"/>
        </w:rPr>
        <w:tab/>
      </w:r>
      <w:r>
        <w:rPr>
          <w:sz w:val="28"/>
          <w:szCs w:val="36"/>
        </w:rPr>
        <w:fldChar w:fldCharType="begin"/>
      </w:r>
      <w:r>
        <w:rPr>
          <w:sz w:val="28"/>
          <w:szCs w:val="36"/>
        </w:rPr>
        <w:instrText xml:space="preserve"> PAGEREF _Toc32036 \h </w:instrText>
      </w:r>
      <w:r>
        <w:rPr>
          <w:sz w:val="28"/>
          <w:szCs w:val="36"/>
        </w:rPr>
        <w:fldChar w:fldCharType="separate"/>
      </w:r>
      <w:r>
        <w:rPr>
          <w:sz w:val="28"/>
          <w:szCs w:val="36"/>
        </w:rPr>
        <w:t>21</w:t>
      </w:r>
      <w:r>
        <w:rPr>
          <w:sz w:val="28"/>
          <w:szCs w:val="36"/>
        </w:rPr>
        <w:fldChar w:fldCharType="end"/>
      </w:r>
      <w:r>
        <w:rPr>
          <w:rFonts w:hint="eastAsia" w:ascii="宋体" w:hAnsi="宋体" w:cs="宋体"/>
          <w:bCs/>
          <w:color w:val="auto"/>
          <w:sz w:val="28"/>
          <w:szCs w:val="56"/>
          <w:highlight w:val="none"/>
        </w:rPr>
        <w:fldChar w:fldCharType="end"/>
      </w:r>
    </w:p>
    <w:p>
      <w:pPr>
        <w:pStyle w:val="23"/>
        <w:tabs>
          <w:tab w:val="right" w:leader="dot" w:pos="8958"/>
        </w:tabs>
        <w:spacing w:line="360" w:lineRule="auto"/>
        <w:rPr>
          <w:sz w:val="28"/>
          <w:szCs w:val="36"/>
        </w:rPr>
      </w:pPr>
      <w:r>
        <w:rPr>
          <w:rFonts w:hint="eastAsia" w:ascii="宋体" w:hAnsi="宋体" w:cs="宋体"/>
          <w:bCs/>
          <w:color w:val="auto"/>
          <w:sz w:val="28"/>
          <w:szCs w:val="56"/>
          <w:highlight w:val="none"/>
        </w:rPr>
        <w:fldChar w:fldCharType="begin"/>
      </w:r>
      <w:r>
        <w:rPr>
          <w:rFonts w:hint="eastAsia" w:ascii="宋体" w:hAnsi="宋体" w:cs="宋体"/>
          <w:bCs/>
          <w:sz w:val="28"/>
          <w:szCs w:val="56"/>
          <w:highlight w:val="none"/>
        </w:rPr>
        <w:instrText xml:space="preserve"> HYPERLINK \l _Toc8994 </w:instrText>
      </w:r>
      <w:r>
        <w:rPr>
          <w:rFonts w:hint="eastAsia" w:ascii="宋体" w:hAnsi="宋体" w:cs="宋体"/>
          <w:bCs/>
          <w:sz w:val="28"/>
          <w:szCs w:val="56"/>
          <w:highlight w:val="none"/>
        </w:rPr>
        <w:fldChar w:fldCharType="separate"/>
      </w:r>
      <w:r>
        <w:rPr>
          <w:rFonts w:hint="eastAsia"/>
          <w:sz w:val="28"/>
          <w:szCs w:val="56"/>
          <w:highlight w:val="none"/>
        </w:rPr>
        <w:t>第六章  投标文件格式</w:t>
      </w:r>
      <w:r>
        <w:rPr>
          <w:sz w:val="28"/>
          <w:szCs w:val="36"/>
        </w:rPr>
        <w:tab/>
      </w:r>
      <w:r>
        <w:rPr>
          <w:sz w:val="28"/>
          <w:szCs w:val="36"/>
        </w:rPr>
        <w:fldChar w:fldCharType="begin"/>
      </w:r>
      <w:r>
        <w:rPr>
          <w:sz w:val="28"/>
          <w:szCs w:val="36"/>
        </w:rPr>
        <w:instrText xml:space="preserve"> PAGEREF _Toc8994 \h </w:instrText>
      </w:r>
      <w:r>
        <w:rPr>
          <w:sz w:val="28"/>
          <w:szCs w:val="36"/>
        </w:rPr>
        <w:fldChar w:fldCharType="separate"/>
      </w:r>
      <w:r>
        <w:rPr>
          <w:sz w:val="28"/>
          <w:szCs w:val="36"/>
        </w:rPr>
        <w:t>22</w:t>
      </w:r>
      <w:r>
        <w:rPr>
          <w:sz w:val="28"/>
          <w:szCs w:val="36"/>
        </w:rPr>
        <w:fldChar w:fldCharType="end"/>
      </w:r>
      <w:r>
        <w:rPr>
          <w:rFonts w:hint="eastAsia" w:ascii="宋体" w:hAnsi="宋体" w:cs="宋体"/>
          <w:bCs/>
          <w:color w:val="auto"/>
          <w:sz w:val="28"/>
          <w:szCs w:val="56"/>
          <w:highlight w:val="none"/>
        </w:rPr>
        <w:fldChar w:fldCharType="end"/>
      </w:r>
    </w:p>
    <w:p>
      <w:pPr>
        <w:pStyle w:val="82"/>
        <w:tabs>
          <w:tab w:val="right" w:leader="dot" w:pos="8300"/>
        </w:tabs>
        <w:snapToGrid w:val="0"/>
        <w:spacing w:line="360" w:lineRule="auto"/>
        <w:rPr>
          <w:rFonts w:ascii="宋体" w:hAnsi="宋体" w:cs="宋体"/>
          <w:color w:val="auto"/>
          <w:sz w:val="32"/>
          <w:szCs w:val="32"/>
          <w:highlight w:val="none"/>
        </w:rPr>
      </w:pPr>
      <w:r>
        <w:rPr>
          <w:rFonts w:hint="eastAsia" w:ascii="宋体" w:hAnsi="宋体" w:cs="宋体"/>
          <w:bCs/>
          <w:color w:val="auto"/>
          <w:sz w:val="24"/>
          <w:szCs w:val="56"/>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21195"/>
      <w:r>
        <w:rPr>
          <w:rFonts w:hint="eastAsia" w:ascii="宋体" w:hAnsi="宋体"/>
          <w:b/>
          <w:color w:val="auto"/>
          <w:sz w:val="40"/>
          <w:szCs w:val="40"/>
          <w:highlight w:val="none"/>
        </w:rPr>
        <w:t xml:space="preserve">第一章  </w:t>
      </w:r>
      <w:r>
        <w:rPr>
          <w:rFonts w:hint="eastAsia" w:ascii="宋体" w:hAnsi="宋体"/>
          <w:b/>
          <w:color w:val="auto"/>
          <w:sz w:val="40"/>
          <w:szCs w:val="40"/>
          <w:highlight w:val="none"/>
          <w:lang w:val="en-US" w:eastAsia="zh-CN"/>
        </w:rPr>
        <w:t>竞争性磋商采购</w:t>
      </w:r>
      <w:r>
        <w:rPr>
          <w:rFonts w:hint="eastAsia" w:ascii="宋体" w:hAnsi="宋体"/>
          <w:b/>
          <w:color w:val="auto"/>
          <w:sz w:val="40"/>
          <w:szCs w:val="40"/>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黑体" w:hAnsi="黑体" w:eastAsia="黑体" w:cs="宋体"/>
          <w:bCs/>
          <w:color w:val="auto"/>
          <w:kern w:val="0"/>
          <w:sz w:val="32"/>
          <w:szCs w:val="32"/>
        </w:rPr>
      </w:pPr>
      <w:r>
        <w:rPr>
          <w:rFonts w:hint="eastAsia" w:ascii="黑体" w:hAnsi="黑体" w:eastAsia="黑体" w:cs="宋体"/>
          <w:b/>
          <w:bCs w:val="0"/>
          <w:color w:val="auto"/>
          <w:kern w:val="0"/>
          <w:sz w:val="28"/>
          <w:szCs w:val="28"/>
          <w:u w:val="none"/>
          <w:lang w:val="en-US" w:eastAsia="zh-CN"/>
        </w:rPr>
        <w:t>驻马店市中心医院医用输血输液加温器采购项目竞争性磋商</w:t>
      </w:r>
      <w:r>
        <w:rPr>
          <w:rFonts w:hint="eastAsia" w:ascii="黑体" w:hAnsi="黑体" w:eastAsia="黑体" w:cs="宋体"/>
          <w:b/>
          <w:bCs w:val="0"/>
          <w:color w:val="auto"/>
          <w:kern w:val="0"/>
          <w:sz w:val="28"/>
          <w:szCs w:val="28"/>
        </w:rPr>
        <w:t>公告</w:t>
      </w:r>
    </w:p>
    <w:p>
      <w:pPr>
        <w:keepNext w:val="0"/>
        <w:keepLines w:val="0"/>
        <w:pageBreakBefore w:val="0"/>
        <w:kinsoku/>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8"/>
        </w:rPr>
        <w:t>驻马店市中心医院现对</w:t>
      </w:r>
      <w:r>
        <w:rPr>
          <w:rFonts w:hint="eastAsia" w:ascii="宋体" w:hAnsi="宋体" w:eastAsia="宋体" w:cs="宋体"/>
          <w:color w:val="auto"/>
          <w:sz w:val="24"/>
          <w:szCs w:val="28"/>
          <w:u w:val="single"/>
        </w:rPr>
        <w:t xml:space="preserve"> </w:t>
      </w:r>
      <w:r>
        <w:rPr>
          <w:rFonts w:hint="eastAsia" w:ascii="宋体" w:hAnsi="宋体" w:eastAsia="宋体" w:cs="宋体"/>
          <w:color w:val="auto"/>
          <w:sz w:val="24"/>
          <w:szCs w:val="28"/>
          <w:u w:val="single"/>
          <w:lang w:eastAsia="zh-CN"/>
        </w:rPr>
        <w:t>医用输血输液加温器采购项目</w:t>
      </w:r>
      <w:r>
        <w:rPr>
          <w:rFonts w:hint="eastAsia" w:ascii="宋体" w:hAnsi="宋体" w:eastAsia="宋体" w:cs="宋体"/>
          <w:color w:val="auto"/>
          <w:sz w:val="24"/>
          <w:szCs w:val="28"/>
        </w:rPr>
        <w:t>进行院内</w:t>
      </w:r>
      <w:r>
        <w:rPr>
          <w:rFonts w:hint="eastAsia" w:ascii="宋体" w:hAnsi="宋体" w:eastAsia="宋体" w:cs="宋体"/>
          <w:color w:val="auto"/>
          <w:sz w:val="24"/>
          <w:szCs w:val="28"/>
          <w:lang w:val="en-US" w:eastAsia="zh-CN"/>
        </w:rPr>
        <w:t>竞争性磋商</w:t>
      </w:r>
      <w:r>
        <w:rPr>
          <w:rFonts w:hint="eastAsia" w:ascii="宋体" w:hAnsi="宋体" w:eastAsia="宋体" w:cs="宋体"/>
          <w:color w:val="auto"/>
          <w:sz w:val="24"/>
          <w:szCs w:val="28"/>
        </w:rPr>
        <w:t>采购，欢迎符合资格条件的供应商前来</w:t>
      </w:r>
      <w:r>
        <w:rPr>
          <w:rFonts w:hint="eastAsia" w:ascii="宋体" w:hAnsi="宋体" w:eastAsia="宋体" w:cs="宋体"/>
          <w:color w:val="auto"/>
          <w:sz w:val="24"/>
          <w:szCs w:val="28"/>
          <w:lang w:val="en-US" w:eastAsia="zh-CN"/>
        </w:rPr>
        <w:t>报名并</w:t>
      </w:r>
      <w:r>
        <w:rPr>
          <w:rFonts w:hint="eastAsia" w:ascii="宋体" w:hAnsi="宋体" w:eastAsia="宋体" w:cs="宋体"/>
          <w:color w:val="auto"/>
          <w:sz w:val="24"/>
          <w:szCs w:val="24"/>
        </w:rPr>
        <w:t>获取</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rPr>
        <w:t>文件。</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auto"/>
          <w:kern w:val="2"/>
          <w:sz w:val="24"/>
          <w:szCs w:val="24"/>
          <w:shd w:val="clear" w:color="auto" w:fill="FFFFFF"/>
          <w:lang w:val="en-US" w:eastAsia="zh-CN" w:bidi="ar-SA"/>
        </w:rPr>
      </w:pPr>
      <w:r>
        <w:rPr>
          <w:rFonts w:hint="eastAsia" w:ascii="宋体" w:hAnsi="宋体" w:eastAsia="宋体" w:cs="宋体"/>
          <w:b/>
          <w:bCs/>
          <w:color w:val="auto"/>
          <w:kern w:val="2"/>
          <w:sz w:val="24"/>
          <w:szCs w:val="24"/>
          <w:shd w:val="clear" w:color="auto" w:fill="FFFFFF"/>
          <w:lang w:val="en-US" w:eastAsia="zh-CN" w:bidi="ar-SA"/>
        </w:rPr>
        <w:t>一、项目基本情况</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yellow"/>
          <w:shd w:val="clear" w:color="auto" w:fill="FFFFFF"/>
          <w:lang w:eastAsia="zh-CN"/>
        </w:rPr>
      </w:pPr>
      <w:r>
        <w:rPr>
          <w:rFonts w:hint="eastAsia" w:ascii="宋体" w:hAnsi="宋体" w:eastAsia="宋体" w:cs="宋体"/>
          <w:color w:val="auto"/>
          <w:sz w:val="24"/>
          <w:szCs w:val="24"/>
          <w:highlight w:val="none"/>
          <w:shd w:val="clear" w:color="auto" w:fill="FFFFFF"/>
        </w:rPr>
        <w:t>1、</w:t>
      </w:r>
      <w:r>
        <w:rPr>
          <w:rFonts w:hint="eastAsia" w:ascii="宋体" w:hAnsi="宋体" w:eastAsia="宋体" w:cs="宋体"/>
          <w:color w:val="auto"/>
          <w:sz w:val="24"/>
          <w:szCs w:val="24"/>
          <w:highlight w:val="none"/>
          <w:shd w:val="clear" w:color="auto" w:fill="FFFFFF"/>
          <w:lang w:val="en-US" w:eastAsia="zh-CN"/>
        </w:rPr>
        <w:t>采购</w:t>
      </w:r>
      <w:r>
        <w:rPr>
          <w:rFonts w:hint="eastAsia" w:ascii="宋体" w:hAnsi="宋体" w:eastAsia="宋体" w:cs="宋体"/>
          <w:color w:val="auto"/>
          <w:sz w:val="24"/>
          <w:szCs w:val="24"/>
          <w:highlight w:val="none"/>
          <w:shd w:val="clear" w:color="auto" w:fill="FFFFFF"/>
        </w:rPr>
        <w:t>项目名称：</w:t>
      </w:r>
      <w:r>
        <w:rPr>
          <w:rFonts w:hint="eastAsia" w:ascii="宋体" w:hAnsi="宋体" w:eastAsia="宋体" w:cs="宋体"/>
          <w:color w:val="auto"/>
          <w:sz w:val="24"/>
          <w:szCs w:val="28"/>
        </w:rPr>
        <w:t>驻马店市中心医院</w:t>
      </w:r>
      <w:r>
        <w:rPr>
          <w:rFonts w:hint="eastAsia" w:ascii="宋体" w:hAnsi="宋体" w:eastAsia="宋体" w:cs="宋体"/>
          <w:color w:val="auto"/>
          <w:sz w:val="24"/>
          <w:szCs w:val="28"/>
          <w:lang w:val="en-US" w:eastAsia="zh-CN"/>
        </w:rPr>
        <w:t>医用输血输液加温器采购项目</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2、采购需求</w:t>
      </w:r>
      <w:r>
        <w:rPr>
          <w:rFonts w:hint="eastAsia" w:ascii="宋体" w:hAnsi="宋体" w:eastAsia="宋体" w:cs="宋体"/>
          <w:i w:val="0"/>
          <w:caps w:val="0"/>
          <w:color w:val="auto"/>
          <w:spacing w:val="0"/>
          <w:sz w:val="24"/>
          <w:szCs w:val="24"/>
          <w:shd w:val="clear" w:color="auto" w:fill="FFFFFF"/>
          <w:lang w:eastAsia="zh-CN"/>
        </w:rPr>
        <w:t>：</w:t>
      </w:r>
      <w:r>
        <w:rPr>
          <w:rFonts w:hint="eastAsia" w:ascii="宋体" w:hAnsi="宋体" w:eastAsia="宋体" w:cs="宋体"/>
          <w:color w:val="auto"/>
          <w:sz w:val="24"/>
          <w:szCs w:val="24"/>
          <w:highlight w:val="none"/>
          <w:shd w:val="clear" w:color="auto" w:fill="FFFFFF"/>
        </w:rPr>
        <w:t>具体要求详见附件</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w:t>
      </w:r>
      <w:bookmarkStart w:id="3" w:name="_Toc26725"/>
      <w:r>
        <w:rPr>
          <w:rFonts w:hint="eastAsia" w:ascii="宋体" w:hAnsi="宋体" w:eastAsia="宋体" w:cs="宋体"/>
          <w:color w:val="auto"/>
          <w:sz w:val="24"/>
          <w:szCs w:val="24"/>
          <w:highlight w:val="none"/>
          <w:shd w:val="clear" w:color="auto" w:fill="FFFFFF"/>
        </w:rPr>
        <w:t>、预算金额：</w:t>
      </w:r>
      <w:r>
        <w:rPr>
          <w:rFonts w:hint="eastAsia" w:ascii="宋体" w:hAnsi="宋体" w:eastAsia="宋体" w:cs="宋体"/>
          <w:color w:val="auto"/>
          <w:kern w:val="0"/>
          <w:sz w:val="24"/>
          <w:szCs w:val="24"/>
          <w:highlight w:val="none"/>
          <w:u w:val="none"/>
          <w:lang w:val="en-US" w:eastAsia="zh-CN"/>
        </w:rPr>
        <w:t>50000.00</w:t>
      </w:r>
      <w:r>
        <w:rPr>
          <w:rFonts w:hint="eastAsia" w:ascii="宋体" w:hAnsi="宋体" w:eastAsia="宋体" w:cs="宋体"/>
          <w:color w:val="auto"/>
          <w:kern w:val="0"/>
          <w:sz w:val="24"/>
          <w:szCs w:val="24"/>
          <w:highlight w:val="none"/>
        </w:rPr>
        <w:t>元</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lang w:val="en-US" w:eastAsia="zh-CN"/>
        </w:rPr>
        <w:t>自筹资金；</w:t>
      </w:r>
    </w:p>
    <w:p>
      <w:pPr>
        <w:keepNext w:val="0"/>
        <w:keepLines w:val="0"/>
        <w:pageBreakBefore w:val="0"/>
        <w:kinsoku/>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rPr>
        <w:t>4、</w:t>
      </w:r>
      <w:r>
        <w:rPr>
          <w:rFonts w:hint="eastAsia" w:ascii="宋体" w:hAnsi="宋体" w:eastAsia="宋体" w:cs="宋体"/>
          <w:color w:val="auto"/>
          <w:sz w:val="24"/>
          <w:szCs w:val="24"/>
          <w:highlight w:val="none"/>
          <w:shd w:val="clear" w:color="auto" w:fill="FFFFFF"/>
          <w:lang w:val="en-US" w:eastAsia="zh-CN"/>
        </w:rPr>
        <w:t>交货地点：采购人指定地点；</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rPr>
      </w:pPr>
      <w:bookmarkStart w:id="4" w:name="_Toc24040"/>
      <w:bookmarkStart w:id="5" w:name="_Toc19521"/>
      <w:bookmarkStart w:id="6" w:name="_Toc21071"/>
      <w:bookmarkStart w:id="7" w:name="_Toc27913"/>
      <w:bookmarkStart w:id="8" w:name="_Toc26079"/>
      <w:r>
        <w:rPr>
          <w:rFonts w:hint="eastAsia" w:ascii="宋体" w:hAnsi="宋体" w:eastAsia="宋体" w:cs="宋体"/>
          <w:color w:val="auto"/>
          <w:sz w:val="24"/>
          <w:szCs w:val="24"/>
          <w:highlight w:val="none"/>
          <w:shd w:val="clear" w:color="auto" w:fill="FFFFFF"/>
        </w:rPr>
        <w:t>5、合同履行期限：以合同约定为准</w:t>
      </w:r>
      <w:r>
        <w:rPr>
          <w:rFonts w:hint="eastAsia" w:ascii="宋体" w:hAnsi="宋体" w:eastAsia="宋体" w:cs="宋体"/>
          <w:color w:val="auto"/>
          <w:sz w:val="24"/>
          <w:szCs w:val="24"/>
          <w:highlight w:val="none"/>
          <w:shd w:val="clear" w:color="auto" w:fill="FFFFFF"/>
          <w:lang w:val="en-US" w:eastAsia="zh-CN"/>
        </w:rPr>
        <w:t>；</w:t>
      </w:r>
    </w:p>
    <w:p>
      <w:pPr>
        <w:keepNext w:val="0"/>
        <w:keepLines w:val="0"/>
        <w:pageBreakBefore w:val="0"/>
        <w:widowControl/>
        <w:tabs>
          <w:tab w:val="left" w:pos="840"/>
        </w:tabs>
        <w:kinsoku/>
        <w:overflowPunct/>
        <w:topLinePunct w:val="0"/>
        <w:bidi w:val="0"/>
        <w:snapToGrid w:val="0"/>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val="en-US" w:eastAsia="zh-CN"/>
        </w:rPr>
        <w:t>6</w:t>
      </w:r>
      <w:r>
        <w:rPr>
          <w:rFonts w:hint="eastAsia" w:ascii="宋体" w:hAnsi="宋体" w:eastAsia="宋体" w:cs="宋体"/>
          <w:color w:val="auto"/>
          <w:sz w:val="24"/>
          <w:szCs w:val="24"/>
          <w:highlight w:val="none"/>
          <w:shd w:val="clear" w:color="auto" w:fill="FFFFFF"/>
        </w:rPr>
        <w:t>、</w:t>
      </w:r>
      <w:bookmarkEnd w:id="4"/>
      <w:bookmarkEnd w:id="5"/>
      <w:bookmarkEnd w:id="6"/>
      <w:bookmarkEnd w:id="7"/>
      <w:bookmarkEnd w:id="8"/>
      <w:r>
        <w:rPr>
          <w:rFonts w:hint="eastAsia" w:ascii="宋体" w:hAnsi="宋体" w:eastAsia="宋体" w:cs="宋体"/>
          <w:color w:val="auto"/>
          <w:sz w:val="24"/>
          <w:szCs w:val="24"/>
          <w:highlight w:val="none"/>
          <w:shd w:val="clear" w:color="auto" w:fill="FFFFFF"/>
        </w:rPr>
        <w:t>质量要求：</w:t>
      </w:r>
      <w:r>
        <w:rPr>
          <w:rFonts w:hint="eastAsia" w:ascii="宋体" w:hAnsi="宋体" w:eastAsia="宋体" w:cs="宋体"/>
          <w:color w:val="auto"/>
          <w:sz w:val="24"/>
          <w:szCs w:val="24"/>
          <w:highlight w:val="none"/>
          <w:shd w:val="clear" w:color="auto" w:fill="FFFFFF"/>
          <w:lang w:eastAsia="zh-CN"/>
        </w:rPr>
        <w:t>合格。</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auto"/>
          <w:kern w:val="2"/>
          <w:sz w:val="24"/>
          <w:szCs w:val="24"/>
          <w:shd w:val="clear" w:color="auto" w:fill="FFFFFF"/>
          <w:lang w:val="en-US" w:eastAsia="zh-CN" w:bidi="ar-SA"/>
        </w:rPr>
      </w:pPr>
      <w:bookmarkStart w:id="9" w:name="_Toc27704"/>
      <w:bookmarkStart w:id="10" w:name="_Toc23626"/>
      <w:bookmarkStart w:id="11" w:name="_Toc18607"/>
      <w:bookmarkStart w:id="12" w:name="_Toc16639"/>
      <w:r>
        <w:rPr>
          <w:rFonts w:hint="eastAsia" w:ascii="宋体" w:hAnsi="宋体" w:eastAsia="宋体" w:cs="宋体"/>
          <w:b/>
          <w:bCs/>
          <w:color w:val="auto"/>
          <w:kern w:val="2"/>
          <w:sz w:val="24"/>
          <w:szCs w:val="24"/>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4"/>
          <w:szCs w:val="24"/>
          <w:shd w:val="clear" w:color="auto" w:fill="FFFFFF"/>
          <w:lang w:val="en-US" w:eastAsia="zh-CN" w:bidi="ar-SA"/>
        </w:rPr>
        <w:t>供应商资格要求：</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2、供应商应提供2021年度或2022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3、具有履行合同所必需的设备和专业技术能力（提供书面声明函）。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4、参加本采购活动前三年内，在经营活动中没有重大违法记录（提供书面声明函）。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5、符合法律、行政法规规定的其他条件。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6、供应商是生产厂家的须具有《医疗器械生产许可证》；供应商是代理商的须具有《医疗器械经营许可证》或《医疗器械经营备案凭证》。</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8"/>
          <w:lang w:val="en-US" w:eastAsia="zh-CN"/>
        </w:rPr>
      </w:pPr>
      <w:r>
        <w:rPr>
          <w:rFonts w:hint="eastAsia" w:ascii="宋体" w:hAnsi="宋体" w:eastAsia="宋体" w:cs="宋体"/>
          <w:color w:val="auto"/>
          <w:kern w:val="2"/>
          <w:sz w:val="24"/>
          <w:szCs w:val="32"/>
          <w:highlight w:val="none"/>
          <w:lang w:val="en-US" w:eastAsia="zh-CN" w:bidi="ar-SA"/>
        </w:rPr>
        <w:t>7</w:t>
      </w:r>
      <w:r>
        <w:rPr>
          <w:rFonts w:hint="eastAsia" w:ascii="宋体" w:hAnsi="宋体" w:eastAsia="宋体" w:cs="宋体"/>
          <w:color w:val="auto"/>
          <w:sz w:val="24"/>
          <w:szCs w:val="28"/>
          <w:highlight w:val="none"/>
          <w:lang w:val="en-US" w:eastAsia="zh-CN"/>
        </w:rPr>
        <w:t>、</w:t>
      </w:r>
      <w:r>
        <w:rPr>
          <w:rFonts w:hint="eastAsia" w:ascii="宋体" w:hAnsi="宋体" w:eastAsia="宋体" w:cs="宋体"/>
          <w:color w:val="auto"/>
          <w:sz w:val="24"/>
          <w:szCs w:val="28"/>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8、不接受联合体投标。</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auto"/>
          <w:kern w:val="2"/>
          <w:sz w:val="24"/>
          <w:szCs w:val="32"/>
          <w:lang w:val="en-US" w:eastAsia="zh-CN" w:bidi="ar-SA"/>
        </w:rPr>
      </w:pPr>
      <w:bookmarkStart w:id="13" w:name="_Toc30643"/>
      <w:bookmarkStart w:id="14" w:name="_Toc7823"/>
      <w:bookmarkStart w:id="15" w:name="_Toc23395"/>
      <w:bookmarkStart w:id="16" w:name="_Toc30971"/>
      <w:bookmarkStart w:id="17" w:name="_Toc9562"/>
      <w:r>
        <w:rPr>
          <w:rFonts w:hint="eastAsia" w:ascii="宋体" w:hAnsi="宋体" w:eastAsia="宋体" w:cs="宋体"/>
          <w:b/>
          <w:bCs/>
          <w:color w:val="auto"/>
          <w:kern w:val="2"/>
          <w:sz w:val="24"/>
          <w:szCs w:val="32"/>
          <w:lang w:val="en-US" w:eastAsia="zh-CN" w:bidi="ar-SA"/>
        </w:rPr>
        <w:t>三、获取采购文件</w:t>
      </w:r>
      <w:bookmarkEnd w:id="13"/>
      <w:bookmarkEnd w:id="14"/>
      <w:bookmarkEnd w:id="15"/>
      <w:bookmarkEnd w:id="16"/>
      <w:bookmarkEnd w:id="17"/>
    </w:p>
    <w:p>
      <w:pPr>
        <w:keepNext w:val="0"/>
        <w:keepLines w:val="0"/>
        <w:pageBreakBefore w:val="0"/>
        <w:widowControl/>
        <w:kinsoku/>
        <w:overflowPunct/>
        <w:topLinePunct w:val="0"/>
        <w:bidi w:val="0"/>
        <w:adjustRightInd w:val="0"/>
        <w:snapToGrid w:val="0"/>
        <w:spacing w:line="360" w:lineRule="auto"/>
        <w:ind w:firstLine="480" w:firstLineChars="200"/>
        <w:jc w:val="left"/>
        <w:textAlignment w:val="auto"/>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auto"/>
          <w:sz w:val="24"/>
          <w:szCs w:val="24"/>
          <w:shd w:val="clear" w:color="auto" w:fill="FFFFFF"/>
        </w:rPr>
        <w:t>1</w:t>
      </w:r>
      <w:r>
        <w:rPr>
          <w:rFonts w:hint="eastAsia" w:ascii="宋体" w:hAnsi="宋体" w:eastAsia="宋体" w:cs="宋体"/>
          <w:color w:val="auto"/>
          <w:sz w:val="24"/>
          <w:szCs w:val="24"/>
          <w:shd w:val="clear" w:color="auto" w:fill="FFFFFF"/>
          <w:lang w:val="en-US" w:eastAsia="zh-CN"/>
        </w:rPr>
        <w:t>报</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名</w:t>
      </w:r>
      <w:r>
        <w:rPr>
          <w:rFonts w:hint="eastAsia" w:ascii="宋体" w:hAnsi="宋体" w:eastAsia="宋体" w:cs="宋体"/>
          <w:color w:val="000000" w:themeColor="text1"/>
          <w:sz w:val="24"/>
          <w:szCs w:val="24"/>
          <w:shd w:val="clear" w:color="auto" w:fill="FFFFFF"/>
          <w14:textFill>
            <w14:solidFill>
              <w14:schemeClr w14:val="tx1"/>
            </w14:solidFill>
          </w14:textFill>
        </w:rPr>
        <w:t>时间：</w:t>
      </w:r>
      <w:r>
        <w:rPr>
          <w:rFonts w:hint="eastAsia" w:ascii="宋体" w:hAnsi="宋体" w:eastAsia="宋体" w:cs="宋体"/>
          <w:color w:val="FF0000"/>
          <w:sz w:val="24"/>
          <w:szCs w:val="24"/>
          <w:highlight w:val="none"/>
          <w:shd w:val="clear" w:color="auto" w:fill="FFFFFF"/>
        </w:rPr>
        <w:t>202</w:t>
      </w:r>
      <w:r>
        <w:rPr>
          <w:rFonts w:hint="eastAsia" w:ascii="宋体" w:hAnsi="宋体" w:eastAsia="宋体" w:cs="宋体"/>
          <w:color w:val="FF0000"/>
          <w:sz w:val="24"/>
          <w:szCs w:val="24"/>
          <w:highlight w:val="none"/>
          <w:shd w:val="clear" w:color="auto" w:fill="FFFFFF"/>
          <w:lang w:val="en-US" w:eastAsia="zh-CN"/>
        </w:rPr>
        <w:t>3</w:t>
      </w:r>
      <w:r>
        <w:rPr>
          <w:rFonts w:hint="eastAsia" w:ascii="宋体" w:hAnsi="宋体" w:eastAsia="宋体" w:cs="宋体"/>
          <w:color w:val="FF0000"/>
          <w:sz w:val="24"/>
          <w:szCs w:val="24"/>
          <w:highlight w:val="none"/>
          <w:shd w:val="clear" w:color="auto" w:fill="FFFFFF"/>
        </w:rPr>
        <w:t>年</w:t>
      </w:r>
      <w:r>
        <w:rPr>
          <w:rFonts w:hint="eastAsia" w:ascii="宋体" w:hAnsi="宋体" w:eastAsia="宋体" w:cs="宋体"/>
          <w:color w:val="FF0000"/>
          <w:sz w:val="24"/>
          <w:szCs w:val="24"/>
          <w:highlight w:val="none"/>
          <w:shd w:val="clear" w:color="auto" w:fill="FFFFFF"/>
          <w:lang w:val="en-US" w:eastAsia="zh-CN"/>
        </w:rPr>
        <w:t>03</w:t>
      </w:r>
      <w:r>
        <w:rPr>
          <w:rFonts w:hint="eastAsia" w:ascii="宋体" w:hAnsi="宋体" w:eastAsia="宋体" w:cs="宋体"/>
          <w:color w:val="FF0000"/>
          <w:sz w:val="24"/>
          <w:szCs w:val="24"/>
          <w:highlight w:val="none"/>
          <w:shd w:val="clear" w:color="auto" w:fill="FFFFFF"/>
        </w:rPr>
        <w:t>月</w:t>
      </w:r>
      <w:r>
        <w:rPr>
          <w:rFonts w:hint="eastAsia" w:ascii="宋体" w:hAnsi="宋体" w:cs="宋体"/>
          <w:color w:val="FF0000"/>
          <w:sz w:val="24"/>
          <w:szCs w:val="24"/>
          <w:highlight w:val="none"/>
          <w:shd w:val="clear" w:color="auto" w:fill="FFFFFF"/>
          <w:lang w:val="en-US" w:eastAsia="zh-CN"/>
        </w:rPr>
        <w:t>20</w:t>
      </w:r>
      <w:r>
        <w:rPr>
          <w:rFonts w:hint="eastAsia" w:ascii="宋体" w:hAnsi="宋体" w:eastAsia="宋体" w:cs="宋体"/>
          <w:color w:val="FF0000"/>
          <w:sz w:val="24"/>
          <w:szCs w:val="24"/>
          <w:highlight w:val="none"/>
          <w:shd w:val="clear" w:color="auto" w:fill="FFFFFF"/>
        </w:rPr>
        <w:t>日-202</w:t>
      </w:r>
      <w:r>
        <w:rPr>
          <w:rFonts w:hint="eastAsia" w:ascii="宋体" w:hAnsi="宋体" w:eastAsia="宋体" w:cs="宋体"/>
          <w:color w:val="FF0000"/>
          <w:sz w:val="24"/>
          <w:szCs w:val="24"/>
          <w:highlight w:val="none"/>
          <w:shd w:val="clear" w:color="auto" w:fill="FFFFFF"/>
          <w:lang w:val="en-US" w:eastAsia="zh-CN"/>
        </w:rPr>
        <w:t>3</w:t>
      </w:r>
      <w:r>
        <w:rPr>
          <w:rFonts w:hint="eastAsia" w:ascii="宋体" w:hAnsi="宋体" w:eastAsia="宋体" w:cs="宋体"/>
          <w:color w:val="FF0000"/>
          <w:sz w:val="24"/>
          <w:szCs w:val="24"/>
          <w:highlight w:val="none"/>
          <w:shd w:val="clear" w:color="auto" w:fill="FFFFFF"/>
        </w:rPr>
        <w:t>年</w:t>
      </w:r>
      <w:r>
        <w:rPr>
          <w:rFonts w:hint="eastAsia" w:ascii="宋体" w:hAnsi="宋体" w:eastAsia="宋体" w:cs="宋体"/>
          <w:color w:val="FF0000"/>
          <w:sz w:val="24"/>
          <w:szCs w:val="24"/>
          <w:highlight w:val="none"/>
          <w:shd w:val="clear" w:color="auto" w:fill="FFFFFF"/>
          <w:lang w:val="en-US" w:eastAsia="zh-CN"/>
        </w:rPr>
        <w:t>03</w:t>
      </w:r>
      <w:r>
        <w:rPr>
          <w:rFonts w:hint="eastAsia" w:ascii="宋体" w:hAnsi="宋体" w:eastAsia="宋体" w:cs="宋体"/>
          <w:color w:val="FF0000"/>
          <w:sz w:val="24"/>
          <w:szCs w:val="24"/>
          <w:highlight w:val="none"/>
          <w:shd w:val="clear" w:color="auto" w:fill="FFFFFF"/>
        </w:rPr>
        <w:t>月</w:t>
      </w:r>
      <w:r>
        <w:rPr>
          <w:rFonts w:hint="eastAsia" w:ascii="宋体" w:hAnsi="宋体" w:cs="宋体"/>
          <w:color w:val="FF0000"/>
          <w:sz w:val="24"/>
          <w:szCs w:val="24"/>
          <w:highlight w:val="none"/>
          <w:shd w:val="clear" w:color="auto" w:fill="FFFFFF"/>
          <w:lang w:val="en-US" w:eastAsia="zh-CN"/>
        </w:rPr>
        <w:t>22</w:t>
      </w:r>
      <w:r>
        <w:rPr>
          <w:rFonts w:hint="eastAsia" w:ascii="宋体" w:hAnsi="宋体" w:eastAsia="宋体" w:cs="宋体"/>
          <w:color w:val="FF0000"/>
          <w:sz w:val="24"/>
          <w:szCs w:val="24"/>
          <w:highlight w:val="none"/>
          <w:shd w:val="clear" w:color="auto" w:fill="FFFFFF"/>
        </w:rPr>
        <w:t>日，上</w:t>
      </w:r>
      <w:r>
        <w:rPr>
          <w:rFonts w:hint="eastAsia" w:ascii="宋体" w:hAnsi="宋体" w:eastAsia="宋体" w:cs="宋体"/>
          <w:color w:val="FF0000"/>
          <w:sz w:val="24"/>
          <w:szCs w:val="24"/>
          <w:shd w:val="clear" w:color="auto" w:fill="FFFFFF"/>
        </w:rPr>
        <w:t>午8：30-11:30，下午14:30-17:30</w:t>
      </w:r>
      <w:r>
        <w:rPr>
          <w:rFonts w:hint="eastAsia" w:ascii="宋体" w:hAnsi="宋体" w:eastAsia="宋体" w:cs="宋体"/>
          <w:color w:val="000000" w:themeColor="text1"/>
          <w:sz w:val="24"/>
          <w:szCs w:val="24"/>
          <w:shd w:val="clear" w:color="auto" w:fill="FFFFFF"/>
          <w14:textFill>
            <w14:solidFill>
              <w14:schemeClr w14:val="tx1"/>
            </w14:solidFill>
          </w14:textFill>
        </w:rPr>
        <w:t>（北京时间，法定节假日除外）</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报名费用：100元。</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 xml:space="preserve">2.凡报名成功的供应商无故不来参与投标的列入我院黑名单，一年内不得参与我院任何采购活动。中标供应商缴纳相应服务费。 </w:t>
      </w:r>
    </w:p>
    <w:p>
      <w:pPr>
        <w:keepNext w:val="0"/>
        <w:keepLines w:val="0"/>
        <w:pageBreakBefore w:val="0"/>
        <w:widowControl/>
        <w:kinsoku/>
        <w:wordWrap w:val="0"/>
        <w:overflowPunct/>
        <w:topLinePunct w:val="0"/>
        <w:bidi w:val="0"/>
        <w:snapToGrid w:val="0"/>
        <w:spacing w:before="0" w:beforeAutospacing="0" w:after="0" w:afterAutospacing="0" w:line="360" w:lineRule="auto"/>
        <w:ind w:left="0" w:leftChars="0" w:firstLine="480" w:firstLineChars="200"/>
        <w:jc w:val="left"/>
        <w:textAlignment w:val="auto"/>
        <w:rPr>
          <w:rFonts w:hint="eastAsia" w:ascii="宋体" w:hAnsi="宋体" w:eastAsia="宋体" w:cs="宋体"/>
          <w:color w:val="000000" w:themeColor="text1"/>
          <w:kern w:val="0"/>
          <w:sz w:val="24"/>
          <w:szCs w:val="24"/>
          <w:u w:val="singl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instrText xml:space="preserve"> HYPERLINK "mailto:hnwxzb2@163.com并标明XX" </w:instrTex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1150105437@qq.com</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并标明XX</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end"/>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项目报名资料；审核通过后按要求交纳报名费。</w:t>
      </w:r>
    </w:p>
    <w:p>
      <w:pPr>
        <w:keepNext w:val="0"/>
        <w:keepLines w:val="0"/>
        <w:pageBreakBefore w:val="0"/>
        <w:widowControl/>
        <w:kinsoku/>
        <w:wordWrap w:val="0"/>
        <w:overflowPunct/>
        <w:topLinePunct w:val="0"/>
        <w:bidi w:val="0"/>
        <w:snapToGrid w:val="0"/>
        <w:spacing w:before="0" w:beforeAutospacing="0" w:after="0" w:afterAutospacing="0" w:line="360" w:lineRule="auto"/>
        <w:ind w:left="420" w:left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4.报名登记表：请从附件中下载。</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18" w:name="_Toc10738"/>
      <w:bookmarkStart w:id="19" w:name="_Toc25869"/>
      <w:bookmarkStart w:id="20" w:name="_Toc27480"/>
      <w:bookmarkStart w:id="21" w:name="_Toc15135"/>
      <w:bookmarkStart w:id="22" w:name="_Toc15111"/>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四、投标截止时间及地点</w:t>
      </w:r>
      <w:bookmarkEnd w:id="18"/>
      <w:bookmarkEnd w:id="19"/>
      <w:bookmarkEnd w:id="20"/>
      <w:bookmarkEnd w:id="21"/>
      <w:bookmarkEnd w:id="22"/>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五、开标时间及地点</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u w:val="none"/>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23" w:name="_Toc20287"/>
      <w:bookmarkStart w:id="24" w:name="_Toc30918"/>
      <w:bookmarkStart w:id="25" w:name="_Toc6523"/>
      <w:bookmarkStart w:id="26" w:name="_Toc29784"/>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六、发布公告的媒介及</w:t>
      </w:r>
      <w:r>
        <w:rPr>
          <w:rFonts w:hint="eastAsia" w:ascii="宋体" w:hAnsi="宋体" w:eastAsia="宋体" w:cs="宋体"/>
          <w:b/>
          <w:bCs/>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公告期限</w:t>
      </w:r>
      <w:bookmarkEnd w:id="23"/>
      <w:bookmarkEnd w:id="24"/>
      <w:bookmarkEnd w:id="25"/>
      <w:bookmarkEnd w:id="26"/>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本次</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公告在《驻马店市中心医院》院内网</w:t>
      </w:r>
      <w:r>
        <w:rPr>
          <w:rFonts w:hint="eastAsia" w:ascii="宋体" w:hAnsi="宋体" w:eastAsia="宋体" w:cs="宋体"/>
          <w:color w:val="000000" w:themeColor="text1"/>
          <w:sz w:val="24"/>
          <w:szCs w:val="24"/>
          <w:shd w:val="clear" w:color="auto" w:fill="auto"/>
          <w14:textFill>
            <w14:solidFill>
              <w14:schemeClr w14:val="tx1"/>
            </w14:solidFill>
          </w14:textFill>
        </w:rPr>
        <w:t>上发布</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公告期限为</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三</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个工作日</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bookmarkStart w:id="27" w:name="_Toc35393626"/>
      <w:bookmarkStart w:id="28" w:name="_Toc35393795"/>
    </w:p>
    <w:bookmarkEnd w:id="27"/>
    <w:bookmarkEnd w:id="28"/>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bookmarkStart w:id="29" w:name="_Toc16291"/>
      <w:bookmarkStart w:id="30" w:name="_Toc31928"/>
      <w:bookmarkStart w:id="31" w:name="_Toc27370"/>
      <w:bookmarkStart w:id="32" w:name="_Toc3604"/>
      <w:bookmarkStart w:id="33" w:name="_Toc24274"/>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八、</w:t>
      </w:r>
      <w:bookmarkEnd w:id="29"/>
      <w:bookmarkEnd w:id="30"/>
      <w:bookmarkEnd w:id="31"/>
      <w:bookmarkEnd w:id="32"/>
      <w:bookmarkEnd w:id="33"/>
      <w:r>
        <w:rPr>
          <w:rFonts w:hint="eastAsia" w:ascii="宋体" w:hAnsi="宋体" w:eastAsia="宋体" w:cs="宋体"/>
          <w:b/>
          <w:bCs/>
          <w:color w:val="000000" w:themeColor="text1"/>
          <w:kern w:val="2"/>
          <w:sz w:val="24"/>
          <w:szCs w:val="24"/>
          <w:highlight w:val="none"/>
          <w:shd w:val="clear" w:color="auto" w:fill="FFFFFF"/>
          <w:lang w:val="en-US" w:eastAsia="zh-CN" w:bidi="ar-SA"/>
          <w14:textFill>
            <w14:solidFill>
              <w14:schemeClr w14:val="tx1"/>
            </w14:solidFill>
          </w14:textFill>
        </w:rPr>
        <w:t>凡对本次招标提出询问，请按照以下方式联系</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报名联系人：王女士</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联系电话：0396-2858369   18639627370</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联系人：陈先生</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联系电话：0396-2726379</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联系邮箱：</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instrText xml:space="preserve"> HYPERLINK "mailto:zxyyjzcgbgs@163.com" </w:instrTex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zxyyjzcgbgs@163.com</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end"/>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监督部门：驻马店市中心医院纪检监察室</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left"/>
        <w:textAlignment w:val="auto"/>
        <w:rPr>
          <w:rFonts w:hint="eastAsia" w:ascii="宋体" w:hAnsi="宋体" w:eastAsia="宋体" w:cs="宋体"/>
          <w:color w:val="000000" w:themeColor="text1"/>
          <w:sz w:val="24"/>
          <w:szCs w:val="28"/>
          <w:lang w:val="en-US" w:eastAsia="zh-CN"/>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监督电话：0396-2725435</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驻马店市中心医院采购科</w:t>
      </w:r>
    </w:p>
    <w:p>
      <w:pPr>
        <w:pStyle w:val="28"/>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b/>
          <w:bCs/>
          <w:color w:val="auto"/>
          <w:sz w:val="24"/>
          <w:highlight w:val="none"/>
        </w:rPr>
      </w:pPr>
      <w:r>
        <w:rPr>
          <w:rFonts w:hint="eastAsia" w:ascii="宋体" w:hAnsi="宋体" w:eastAsia="宋体" w:cs="宋体"/>
          <w:color w:val="FF0000"/>
          <w:kern w:val="0"/>
          <w:sz w:val="24"/>
          <w:szCs w:val="24"/>
          <w:shd w:val="clear" w:color="auto" w:fill="FFFFFF"/>
          <w:lang w:val="en-US" w:eastAsia="zh-CN" w:bidi="ar-SA"/>
        </w:rPr>
        <w:t>2023年</w:t>
      </w:r>
      <w:r>
        <w:rPr>
          <w:rFonts w:hint="eastAsia" w:ascii="宋体" w:hAnsi="宋体" w:eastAsia="宋体" w:cs="宋体"/>
          <w:color w:val="FF0000"/>
          <w:kern w:val="0"/>
          <w:sz w:val="24"/>
          <w:szCs w:val="24"/>
          <w:highlight w:val="none"/>
          <w:shd w:val="clear" w:color="auto" w:fill="FFFFFF"/>
          <w:lang w:val="en-US" w:eastAsia="zh-CN" w:bidi="ar-SA"/>
        </w:rPr>
        <w:t>03月</w:t>
      </w:r>
      <w:r>
        <w:rPr>
          <w:rFonts w:hint="eastAsia" w:ascii="宋体" w:hAnsi="宋体" w:cs="宋体"/>
          <w:color w:val="FF0000"/>
          <w:kern w:val="0"/>
          <w:sz w:val="24"/>
          <w:szCs w:val="24"/>
          <w:highlight w:val="none"/>
          <w:shd w:val="clear" w:color="auto" w:fill="FFFFFF"/>
          <w:lang w:val="en-US" w:eastAsia="zh-CN" w:bidi="ar-SA"/>
        </w:rPr>
        <w:t>17</w:t>
      </w:r>
      <w:bookmarkStart w:id="100" w:name="_GoBack"/>
      <w:bookmarkEnd w:id="100"/>
      <w:r>
        <w:rPr>
          <w:rFonts w:hint="eastAsia" w:ascii="宋体" w:hAnsi="宋体" w:eastAsia="宋体" w:cs="宋体"/>
          <w:color w:val="FF0000"/>
          <w:kern w:val="0"/>
          <w:sz w:val="24"/>
          <w:szCs w:val="24"/>
          <w:highlight w:val="none"/>
          <w:shd w:val="clear" w:color="auto" w:fill="FFFFFF"/>
          <w:lang w:val="en-US" w:eastAsia="zh-CN" w:bidi="ar-SA"/>
        </w:rPr>
        <w:t>日</w:t>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40"/>
          <w:szCs w:val="40"/>
          <w:highlight w:val="none"/>
        </w:rPr>
      </w:pPr>
      <w:bookmarkStart w:id="34" w:name="_Toc26828"/>
      <w:bookmarkStart w:id="35" w:name="_Toc29890"/>
      <w:bookmarkStart w:id="36" w:name="_Toc23793"/>
      <w:r>
        <w:rPr>
          <w:rFonts w:hint="eastAsia" w:ascii="宋体" w:hAnsi="宋体"/>
          <w:b/>
          <w:color w:val="auto"/>
          <w:sz w:val="40"/>
          <w:szCs w:val="40"/>
          <w:highlight w:val="none"/>
        </w:rPr>
        <w:t xml:space="preserve">第二章  </w:t>
      </w:r>
      <w:r>
        <w:rPr>
          <w:rFonts w:hint="eastAsia" w:ascii="宋体" w:hAnsi="宋体"/>
          <w:b/>
          <w:color w:val="auto"/>
          <w:sz w:val="40"/>
          <w:szCs w:val="40"/>
          <w:highlight w:val="none"/>
          <w:lang w:eastAsia="zh-CN"/>
        </w:rPr>
        <w:t>采购</w:t>
      </w:r>
      <w:r>
        <w:rPr>
          <w:rFonts w:hint="eastAsia" w:ascii="宋体" w:hAnsi="宋体"/>
          <w:b/>
          <w:color w:val="auto"/>
          <w:sz w:val="40"/>
          <w:szCs w:val="40"/>
          <w:highlight w:val="none"/>
        </w:rPr>
        <w:t>需求</w:t>
      </w:r>
      <w:bookmarkEnd w:id="34"/>
      <w:bookmarkStart w:id="37" w:name="_Toc9989"/>
      <w:bookmarkStart w:id="38" w:name="_Toc23610"/>
      <w:bookmarkStart w:id="39" w:name="_Toc31536"/>
    </w:p>
    <w:bookmarkEnd w:id="37"/>
    <w:bookmarkEnd w:id="38"/>
    <w:bookmarkEnd w:id="39"/>
    <w:p>
      <w:pPr>
        <w:widowControl/>
        <w:adjustRightInd w:val="0"/>
        <w:snapToGrid w:val="0"/>
        <w:spacing w:line="360" w:lineRule="auto"/>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一、</w:t>
      </w:r>
      <w:r>
        <w:rPr>
          <w:rFonts w:hint="eastAsia" w:ascii="宋体" w:hAnsi="宋体" w:cs="宋体"/>
          <w:color w:val="auto"/>
          <w:sz w:val="24"/>
          <w:szCs w:val="24"/>
          <w:highlight w:val="none"/>
        </w:rPr>
        <w:t>项目名称：</w:t>
      </w:r>
      <w:r>
        <w:rPr>
          <w:rFonts w:hint="eastAsia" w:ascii="宋体" w:hAnsi="宋体" w:cs="宋体"/>
          <w:color w:val="auto"/>
          <w:sz w:val="24"/>
          <w:szCs w:val="24"/>
          <w:highlight w:val="none"/>
          <w:lang w:eastAsia="zh-CN"/>
        </w:rPr>
        <w:t>驻马店市中心医院医用输血输液加温器采购项目</w:t>
      </w:r>
    </w:p>
    <w:p>
      <w:pPr>
        <w:widowControl/>
        <w:adjustRightInd w:val="0"/>
        <w:snapToGrid w:val="0"/>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二、项目用途说明：采购医用输血输液加温器。</w:t>
      </w:r>
    </w:p>
    <w:p>
      <w:pPr>
        <w:widowControl/>
        <w:adjustRightInd w:val="0"/>
        <w:snapToGrid w:val="0"/>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三、详细技术要求、参数及产品资料等： 附技术偏离表、评分标准</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3299"/>
        <w:gridCol w:w="1612"/>
        <w:gridCol w:w="1800"/>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42" w:type="dxa"/>
            <w:vAlign w:val="center"/>
          </w:tcPr>
          <w:p>
            <w:pPr>
              <w:pStyle w:val="12"/>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cs="宋体"/>
                <w:b/>
                <w:bCs/>
                <w:color w:val="auto"/>
                <w:sz w:val="24"/>
                <w:szCs w:val="24"/>
                <w:lang w:val="en-US" w:eastAsia="zh-CN"/>
              </w:rPr>
              <w:t>序号</w:t>
            </w:r>
          </w:p>
        </w:tc>
        <w:tc>
          <w:tcPr>
            <w:tcW w:w="3299" w:type="dxa"/>
            <w:vAlign w:val="center"/>
          </w:tcPr>
          <w:p>
            <w:pPr>
              <w:pStyle w:val="12"/>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bCs/>
                <w:color w:val="auto"/>
                <w:sz w:val="24"/>
                <w:szCs w:val="24"/>
              </w:rPr>
              <w:t>项目名称</w:t>
            </w:r>
          </w:p>
        </w:tc>
        <w:tc>
          <w:tcPr>
            <w:tcW w:w="1612" w:type="dxa"/>
            <w:vAlign w:val="center"/>
          </w:tcPr>
          <w:p>
            <w:pPr>
              <w:pStyle w:val="12"/>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bCs/>
                <w:color w:val="auto"/>
                <w:sz w:val="24"/>
                <w:szCs w:val="24"/>
              </w:rPr>
              <w:t>数量或规模</w:t>
            </w:r>
          </w:p>
        </w:tc>
        <w:tc>
          <w:tcPr>
            <w:tcW w:w="1800" w:type="dxa"/>
            <w:vAlign w:val="center"/>
          </w:tcPr>
          <w:p>
            <w:pPr>
              <w:pStyle w:val="12"/>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bCs/>
                <w:color w:val="auto"/>
                <w:sz w:val="24"/>
                <w:szCs w:val="24"/>
              </w:rPr>
              <w:t>资金预算</w:t>
            </w:r>
            <w:r>
              <w:rPr>
                <w:rFonts w:hint="eastAsia" w:ascii="宋体" w:hAnsi="宋体" w:eastAsia="宋体" w:cs="宋体"/>
                <w:b/>
                <w:bCs/>
                <w:color w:val="auto"/>
                <w:sz w:val="24"/>
                <w:szCs w:val="24"/>
                <w:lang w:eastAsia="zh-CN"/>
              </w:rPr>
              <w:t>（元）</w:t>
            </w:r>
          </w:p>
        </w:tc>
        <w:tc>
          <w:tcPr>
            <w:tcW w:w="1346" w:type="dxa"/>
            <w:vAlign w:val="center"/>
          </w:tcPr>
          <w:p>
            <w:pPr>
              <w:pStyle w:val="12"/>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bCs/>
                <w:color w:val="auto"/>
                <w:sz w:val="24"/>
                <w:szCs w:val="24"/>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42" w:type="dxa"/>
            <w:vAlign w:val="center"/>
          </w:tcPr>
          <w:p>
            <w:pPr>
              <w:pStyle w:val="12"/>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cs="宋体"/>
                <w:color w:val="auto"/>
                <w:sz w:val="24"/>
                <w:szCs w:val="24"/>
                <w:lang w:val="en-US" w:eastAsia="zh-CN"/>
              </w:rPr>
              <w:t>1</w:t>
            </w:r>
          </w:p>
        </w:tc>
        <w:tc>
          <w:tcPr>
            <w:tcW w:w="3299" w:type="dxa"/>
            <w:vAlign w:val="center"/>
          </w:tcPr>
          <w:p>
            <w:pPr>
              <w:pStyle w:val="12"/>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医用输血输液加温器</w:t>
            </w:r>
          </w:p>
        </w:tc>
        <w:tc>
          <w:tcPr>
            <w:tcW w:w="1612" w:type="dxa"/>
            <w:vAlign w:val="center"/>
          </w:tcPr>
          <w:p>
            <w:pPr>
              <w:pStyle w:val="12"/>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w:t>
            </w:r>
          </w:p>
        </w:tc>
        <w:tc>
          <w:tcPr>
            <w:tcW w:w="1800" w:type="dxa"/>
            <w:vAlign w:val="center"/>
          </w:tcPr>
          <w:p>
            <w:pPr>
              <w:pStyle w:val="12"/>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5万元</w:t>
            </w:r>
          </w:p>
        </w:tc>
        <w:tc>
          <w:tcPr>
            <w:tcW w:w="1346" w:type="dxa"/>
            <w:vAlign w:val="center"/>
          </w:tcPr>
          <w:p>
            <w:pPr>
              <w:pStyle w:val="12"/>
              <w:spacing w:line="360" w:lineRule="auto"/>
              <w:ind w:left="0" w:left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自筹</w:t>
            </w:r>
          </w:p>
        </w:tc>
      </w:tr>
    </w:tbl>
    <w:p>
      <w:pPr>
        <w:widowControl/>
        <w:numPr>
          <w:ilvl w:val="0"/>
          <w:numId w:val="1"/>
        </w:numPr>
        <w:adjustRightInd w:val="0"/>
        <w:snapToGrid w:val="0"/>
        <w:spacing w:line="360" w:lineRule="auto"/>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售后服务条件及交货日期（或工期）：</w:t>
      </w:r>
    </w:p>
    <w:p>
      <w:pPr>
        <w:widowControl/>
        <w:numPr>
          <w:ilvl w:val="0"/>
          <w:numId w:val="0"/>
        </w:numPr>
        <w:adjustRightInd w:val="0"/>
        <w:snapToGrid w:val="0"/>
        <w:spacing w:line="360" w:lineRule="auto"/>
        <w:ind w:firstLine="480" w:firstLineChars="2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1、从产品最终验收合格之日起，整机保修≥两年，出具相关服务承诺书。</w:t>
      </w:r>
    </w:p>
    <w:p>
      <w:pPr>
        <w:widowControl/>
        <w:numPr>
          <w:ilvl w:val="0"/>
          <w:numId w:val="0"/>
        </w:numPr>
        <w:adjustRightInd w:val="0"/>
        <w:snapToGrid w:val="0"/>
        <w:spacing w:line="360" w:lineRule="auto"/>
        <w:ind w:leftChars="0" w:firstLine="480" w:firstLineChars="2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2、费用：在保修期内，由于非人为因素货物故障所产生的费用由供应商负责。</w:t>
      </w:r>
    </w:p>
    <w:p>
      <w:pPr>
        <w:widowControl/>
        <w:numPr>
          <w:ilvl w:val="0"/>
          <w:numId w:val="0"/>
        </w:numPr>
        <w:adjustRightInd w:val="0"/>
        <w:snapToGrid w:val="0"/>
        <w:spacing w:line="360" w:lineRule="auto"/>
        <w:ind w:leftChars="0" w:firstLine="480" w:firstLineChars="2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3、响应：供应商应保证在12小时内对用户提出的问题或故障予以响应及处理。</w:t>
      </w:r>
    </w:p>
    <w:p>
      <w:pPr>
        <w:widowControl/>
        <w:numPr>
          <w:ilvl w:val="0"/>
          <w:numId w:val="0"/>
        </w:numPr>
        <w:adjustRightInd w:val="0"/>
        <w:snapToGrid w:val="0"/>
        <w:spacing w:line="360" w:lineRule="auto"/>
        <w:ind w:leftChars="0" w:firstLine="480" w:firstLineChars="2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4、供应商应免费提供维护手册、维修手册、软件备份、故障代码表、备件清单、零部件、维修密码等维护维修必需的材料和信息。</w:t>
      </w:r>
    </w:p>
    <w:p>
      <w:pPr>
        <w:widowControl/>
        <w:numPr>
          <w:ilvl w:val="0"/>
          <w:numId w:val="0"/>
        </w:numPr>
        <w:adjustRightInd w:val="0"/>
        <w:snapToGrid w:val="0"/>
        <w:spacing w:line="360" w:lineRule="auto"/>
        <w:ind w:leftChars="0" w:firstLine="480" w:firstLineChars="2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5、培训：免费提供操作培训和维修培训。</w:t>
      </w:r>
    </w:p>
    <w:p>
      <w:pPr>
        <w:pStyle w:val="2"/>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b w:val="0"/>
          <w:bCs w:val="0"/>
          <w:sz w:val="24"/>
          <w:szCs w:val="24"/>
          <w:lang w:eastAsia="zh-CN"/>
        </w:rPr>
      </w:pPr>
      <w:r>
        <w:rPr>
          <w:rFonts w:hint="eastAsia" w:ascii="宋体" w:hAnsi="宋体" w:eastAsia="宋体" w:cs="宋体"/>
          <w:b/>
          <w:bCs/>
          <w:sz w:val="24"/>
          <w:szCs w:val="24"/>
          <w:lang w:eastAsia="zh-CN"/>
        </w:rPr>
        <w:t>医用输血输液加温器招标参数</w:t>
      </w:r>
    </w:p>
    <w:p>
      <w:pPr>
        <w:pStyle w:val="2"/>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1、主机结构：一体化支架提手</w:t>
      </w:r>
    </w:p>
    <w:p>
      <w:pPr>
        <w:pStyle w:val="2"/>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eastAsia="zh-CN"/>
        </w:rPr>
        <w:t>硅胶柔性加热套管，全程包裹式加温，液体管路无裸露部分；</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＊3、温度可调范围： 33℃-41℃，连续可调，增率0.1℃，控温精度为0.1℃；</w:t>
      </w:r>
    </w:p>
    <w:p>
      <w:pPr>
        <w:pStyle w:val="2"/>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4、显示屏：微电脑闭环温控系统，彩色显示屏，尺寸≥80*90mm；</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5、按键操作模式；</w:t>
      </w:r>
    </w:p>
    <w:p>
      <w:pPr>
        <w:pStyle w:val="2"/>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＊6、机器运行时同屏显示</w:t>
      </w:r>
      <w:r>
        <w:rPr>
          <w:rFonts w:hint="default" w:ascii="Arial" w:hAnsi="Arial" w:eastAsia="宋体" w:cs="Arial"/>
          <w:b w:val="0"/>
          <w:bCs w:val="0"/>
          <w:sz w:val="24"/>
          <w:szCs w:val="24"/>
          <w:lang w:eastAsia="zh-CN"/>
        </w:rPr>
        <w:t>≥</w:t>
      </w:r>
      <w:r>
        <w:rPr>
          <w:rFonts w:hint="eastAsia" w:ascii="宋体" w:hAnsi="宋体" w:eastAsia="宋体" w:cs="宋体"/>
          <w:b w:val="0"/>
          <w:bCs w:val="0"/>
          <w:sz w:val="24"/>
          <w:szCs w:val="24"/>
          <w:lang w:eastAsia="zh-CN"/>
        </w:rPr>
        <w:t>六参数，包括：加热时间，设定温度，加热温度，高温报警，低温报警，传感器故障等；</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7、使用常规输血输液管路，无需专用耗材；</w:t>
      </w:r>
    </w:p>
    <w:p>
      <w:pPr>
        <w:pStyle w:val="2"/>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8、安全控制：系统内置报警测试功能，在面板操作即可测试报警功能是否正常；</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9、超温断电保护：超过42℃系统声光报警自动停止加热；</w:t>
      </w:r>
    </w:p>
    <w:p>
      <w:pPr>
        <w:pStyle w:val="2"/>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10、低温报警：低于32℃系统声光报警提示低温；</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＊11、</w:t>
      </w:r>
      <w:r>
        <w:rPr>
          <w:rFonts w:hint="eastAsia" w:ascii="宋体" w:hAnsi="宋体" w:eastAsia="宋体" w:cs="宋体"/>
          <w:b w:val="0"/>
          <w:bCs w:val="0"/>
          <w:kern w:val="2"/>
          <w:sz w:val="24"/>
          <w:szCs w:val="24"/>
          <w:lang w:val="en-US" w:eastAsia="zh-CN" w:bidi="ar-SA"/>
        </w:rPr>
        <w:t>双加温通道，每个通道可单独设定温度和独立控制加温，可单独或串联使用；</w:t>
      </w:r>
    </w:p>
    <w:p>
      <w:pPr>
        <w:pStyle w:val="2"/>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12、预热时间：从20℃-36℃小于2分钟；</w:t>
      </w:r>
    </w:p>
    <w:p>
      <w:pPr>
        <w:pStyle w:val="2"/>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lang w:eastAsia="zh-CN"/>
        </w:rPr>
        <w:t>、加温管尾部开口≥45°；</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lang w:eastAsia="zh-CN"/>
        </w:rPr>
        <w:t>、加热管可选长度≥10种，包括0.5米，0.6米，0.9米，1.0米，1.2米，1.4米，1.5米，1.8米，2.4米，2.8米等；</w:t>
      </w:r>
    </w:p>
    <w:p>
      <w:pPr>
        <w:pStyle w:val="2"/>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w:t>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lang w:eastAsia="zh-CN"/>
        </w:rPr>
        <w:t>、加热管可选内径≥3种，其中一条为内径14.5mm具备特殊加温需要，一条内径3.5mm或5mm常规加温；</w:t>
      </w:r>
    </w:p>
    <w:p>
      <w:pPr>
        <w:pStyle w:val="2"/>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w:t>
      </w: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lang w:eastAsia="zh-CN"/>
        </w:rPr>
        <w:t>、电气安全保护级别：BF型，防除颤保护；</w:t>
      </w:r>
    </w:p>
    <w:p>
      <w:pPr>
        <w:pStyle w:val="2"/>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sz w:val="24"/>
          <w:szCs w:val="24"/>
          <w:lang w:eastAsia="zh-CN"/>
        </w:rPr>
      </w:pPr>
      <w:r>
        <w:rPr>
          <w:rFonts w:hint="eastAsia" w:ascii="宋体" w:hAnsi="宋体" w:cs="宋体"/>
          <w:b w:val="0"/>
          <w:bCs w:val="0"/>
          <w:sz w:val="24"/>
          <w:szCs w:val="24"/>
          <w:lang w:eastAsia="zh-CN"/>
        </w:rPr>
        <w:t>二、</w:t>
      </w:r>
      <w:r>
        <w:rPr>
          <w:rFonts w:hint="eastAsia" w:ascii="宋体" w:hAnsi="宋体" w:eastAsia="宋体" w:cs="宋体"/>
          <w:b w:val="0"/>
          <w:bCs w:val="0"/>
          <w:sz w:val="24"/>
          <w:szCs w:val="24"/>
          <w:lang w:eastAsia="zh-CN"/>
        </w:rPr>
        <w:t>配置要求（包含但不限于）</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1.双通道加温器主机：壹台</w:t>
      </w:r>
    </w:p>
    <w:p>
      <w:pPr>
        <w:pStyle w:val="2"/>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2.加热管：贰条</w:t>
      </w:r>
    </w:p>
    <w:p>
      <w:pPr>
        <w:pStyle w:val="2"/>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3.加热管末夹子：贰套</w:t>
      </w:r>
    </w:p>
    <w:p>
      <w:pPr>
        <w:spacing w:line="360" w:lineRule="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lang w:eastAsia="zh-CN"/>
        </w:rPr>
        <w:t>需提供响应技术参数条款的注册检验报告或相关资料（完整版），并对响应技术参数部分做出明显标注；</w:t>
      </w:r>
    </w:p>
    <w:p>
      <w:pPr>
        <w:spacing w:line="360" w:lineRule="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2、需提供响应技术参数条款的技术白皮书和彩页等相关文件，并对响应技术参数部分做出明显标注；</w:t>
      </w:r>
    </w:p>
    <w:p>
      <w:pPr>
        <w:spacing w:line="360" w:lineRule="auto"/>
        <w:rPr>
          <w:rFonts w:hint="eastAsia"/>
          <w:b/>
          <w:bCs/>
          <w:lang w:val="en-US" w:eastAsia="zh-CN"/>
        </w:rPr>
      </w:pPr>
      <w:r>
        <w:rPr>
          <w:rFonts w:hint="eastAsia" w:ascii="宋体" w:hAnsi="宋体" w:eastAsia="宋体" w:cs="宋体"/>
          <w:b/>
          <w:bCs/>
          <w:sz w:val="24"/>
          <w:szCs w:val="24"/>
          <w:lang w:eastAsia="zh-CN"/>
        </w:rPr>
        <w:t>3、注册证中有附件的提供完整版的附件。</w:t>
      </w:r>
    </w:p>
    <w:bookmarkEnd w:id="35"/>
    <w:bookmarkEnd w:id="36"/>
    <w:p>
      <w:pPr>
        <w:snapToGrid w:val="0"/>
        <w:spacing w:line="360" w:lineRule="auto"/>
        <w:jc w:val="center"/>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0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55"/>
        <w:gridCol w:w="6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2655"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合同签订时间</w:t>
            </w:r>
          </w:p>
        </w:tc>
        <w:tc>
          <w:tcPr>
            <w:tcW w:w="64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自中标通知书发出之日起</w:t>
            </w:r>
            <w:r>
              <w:rPr>
                <w:rFonts w:hint="eastAsia" w:ascii="宋体" w:hAnsi="宋体" w:cs="宋体"/>
                <w:color w:val="auto"/>
                <w:kern w:val="0"/>
                <w:sz w:val="24"/>
                <w:szCs w:val="24"/>
                <w:highlight w:val="none"/>
                <w:lang w:val="en-US" w:eastAsia="zh-CN"/>
              </w:rPr>
              <w:t>三十</w:t>
            </w:r>
            <w:r>
              <w:rPr>
                <w:rFonts w:hint="eastAsia" w:ascii="宋体" w:hAnsi="宋体" w:cs="宋体"/>
                <w:color w:val="auto"/>
                <w:kern w:val="0"/>
                <w:sz w:val="24"/>
                <w:szCs w:val="24"/>
                <w:highlight w:val="none"/>
              </w:rPr>
              <w:t>个</w:t>
            </w:r>
            <w:r>
              <w:rPr>
                <w:rFonts w:hint="eastAsia" w:ascii="宋体" w:hAnsi="宋体" w:cs="宋体"/>
                <w:color w:val="auto"/>
                <w:kern w:val="0"/>
                <w:sz w:val="24"/>
                <w:szCs w:val="24"/>
                <w:highlight w:val="none"/>
                <w:lang w:val="en-US" w:eastAsia="zh-CN"/>
              </w:rPr>
              <w:t>日历日</w:t>
            </w:r>
            <w:r>
              <w:rPr>
                <w:rFonts w:hint="eastAsia" w:ascii="宋体" w:hAnsi="宋体" w:cs="宋体"/>
                <w:color w:val="auto"/>
                <w:kern w:val="0"/>
                <w:sz w:val="24"/>
                <w:szCs w:val="24"/>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2655"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交货地点</w:t>
            </w:r>
          </w:p>
        </w:tc>
        <w:tc>
          <w:tcPr>
            <w:tcW w:w="64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sz w:val="24"/>
                <w:szCs w:val="32"/>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4" w:hRule="atLeast"/>
          <w:jc w:val="center"/>
        </w:trPr>
        <w:tc>
          <w:tcPr>
            <w:tcW w:w="2655"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验   收</w:t>
            </w:r>
          </w:p>
        </w:tc>
        <w:tc>
          <w:tcPr>
            <w:tcW w:w="64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2655"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质量要求</w:t>
            </w:r>
          </w:p>
        </w:tc>
        <w:tc>
          <w:tcPr>
            <w:tcW w:w="64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2655"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付款方式</w:t>
            </w:r>
          </w:p>
        </w:tc>
        <w:tc>
          <w:tcPr>
            <w:tcW w:w="64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以供货合同签订为准。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2655"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Ansi="宋体" w:cs="宋体"/>
                <w:color w:val="auto"/>
                <w:kern w:val="0"/>
                <w:sz w:val="24"/>
                <w:szCs w:val="24"/>
                <w:highlight w:val="none"/>
              </w:rPr>
            </w:pPr>
            <w:r>
              <w:rPr>
                <w:rFonts w:hint="eastAsia" w:ascii="宋体" w:hAnsi="宋体"/>
                <w:color w:val="auto"/>
                <w:kern w:val="0"/>
                <w:sz w:val="24"/>
                <w:szCs w:val="24"/>
                <w:highlight w:val="none"/>
              </w:rPr>
              <w:t>售后技术服务要求、售后服务保障要求</w:t>
            </w:r>
          </w:p>
        </w:tc>
        <w:tc>
          <w:tcPr>
            <w:tcW w:w="6424"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中标人须提供后期服务保障和技术支持。</w:t>
            </w:r>
          </w:p>
        </w:tc>
      </w:tr>
    </w:tbl>
    <w:p>
      <w:pPr>
        <w:snapToGrid w:val="0"/>
        <w:spacing w:line="36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2"/>
        <w:tblW w:w="909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28"/>
        <w:gridCol w:w="77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132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采购人的特殊要求及说明理由</w:t>
            </w:r>
          </w:p>
        </w:tc>
        <w:tc>
          <w:tcPr>
            <w:tcW w:w="7771"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napToGrid w:val="0"/>
              <w:spacing w:line="360" w:lineRule="auto"/>
              <w:rPr>
                <w:rFonts w:hint="eastAsia" w:ascii="宋体" w:hAnsi="宋体" w:eastAsia="宋体" w:cs="宋体"/>
                <w:color w:val="auto"/>
                <w:sz w:val="24"/>
                <w:szCs w:val="32"/>
              </w:rPr>
            </w:pPr>
            <w:r>
              <w:rPr>
                <w:rFonts w:hint="eastAsia" w:ascii="宋体" w:hAnsi="宋体" w:eastAsia="宋体" w:cs="宋体"/>
                <w:color w:val="auto"/>
                <w:sz w:val="24"/>
                <w:szCs w:val="32"/>
              </w:rPr>
              <w:t>不接受联合体投标，不允许转包和分包。</w:t>
            </w:r>
          </w:p>
          <w:p>
            <w:pPr>
              <w:widowControl/>
              <w:snapToGrid w:val="0"/>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32"/>
                <w:lang w:val="en-US" w:eastAsia="zh-CN"/>
              </w:rPr>
              <w:t>2</w:t>
            </w:r>
            <w:r>
              <w:rPr>
                <w:rFonts w:hint="eastAsia" w:ascii="宋体" w:hAnsi="宋体" w:eastAsia="宋体" w:cs="宋体"/>
                <w:color w:val="auto"/>
                <w:sz w:val="24"/>
                <w:szCs w:val="32"/>
              </w:rPr>
              <w:t>、</w:t>
            </w:r>
            <w:r>
              <w:rPr>
                <w:rFonts w:hint="eastAsia" w:ascii="宋体" w:hAnsi="宋体" w:eastAsia="宋体" w:cs="宋体"/>
                <w:color w:val="auto"/>
                <w:kern w:val="0"/>
                <w:sz w:val="24"/>
                <w:szCs w:val="24"/>
                <w:highlight w:val="none"/>
              </w:rPr>
              <w:t>授权评标委员会确定一名中标人并推荐两名中标候选人。</w:t>
            </w:r>
          </w:p>
          <w:p>
            <w:pPr>
              <w:widowControl/>
              <w:snapToGrid w:val="0"/>
              <w:spacing w:line="360" w:lineRule="auto"/>
              <w:rPr>
                <w:rFonts w:hint="eastAsia" w:ascii="宋体" w:hAnsi="宋体" w:eastAsia="宋体" w:cs="宋体"/>
                <w:color w:val="auto"/>
                <w:sz w:val="24"/>
                <w:szCs w:val="32"/>
              </w:rPr>
            </w:pPr>
            <w:r>
              <w:rPr>
                <w:rFonts w:hint="eastAsia" w:ascii="宋体" w:hAnsi="宋体" w:eastAsia="宋体" w:cs="宋体"/>
                <w:color w:val="auto"/>
                <w:sz w:val="24"/>
                <w:szCs w:val="32"/>
                <w:lang w:val="en-US" w:eastAsia="zh-CN"/>
              </w:rPr>
              <w:t>3</w:t>
            </w:r>
            <w:r>
              <w:rPr>
                <w:rFonts w:hint="eastAsia" w:ascii="宋体" w:hAnsi="宋体" w:eastAsia="宋体" w:cs="宋体"/>
                <w:color w:val="auto"/>
                <w:sz w:val="24"/>
                <w:szCs w:val="32"/>
              </w:rPr>
              <w:t>、供应商应根据</w:t>
            </w:r>
            <w:r>
              <w:rPr>
                <w:rFonts w:hint="eastAsia" w:ascii="宋体" w:hAnsi="宋体" w:eastAsia="宋体" w:cs="宋体"/>
                <w:color w:val="auto"/>
                <w:sz w:val="24"/>
                <w:szCs w:val="32"/>
                <w:lang w:eastAsia="zh-CN"/>
              </w:rPr>
              <w:t>采购</w:t>
            </w:r>
            <w:r>
              <w:rPr>
                <w:rFonts w:hint="eastAsia" w:ascii="宋体" w:hAnsi="宋体" w:eastAsia="宋体" w:cs="宋体"/>
                <w:color w:val="auto"/>
                <w:sz w:val="24"/>
                <w:szCs w:val="32"/>
              </w:rPr>
              <w:t>文件的要求提供技术响应表、商务响应表等内容以对</w:t>
            </w:r>
            <w:r>
              <w:rPr>
                <w:rFonts w:hint="eastAsia" w:ascii="宋体" w:hAnsi="宋体" w:eastAsia="宋体" w:cs="宋体"/>
                <w:color w:val="auto"/>
                <w:sz w:val="24"/>
                <w:szCs w:val="32"/>
                <w:lang w:eastAsia="zh-CN"/>
              </w:rPr>
              <w:t>采购</w:t>
            </w:r>
            <w:r>
              <w:rPr>
                <w:rFonts w:hint="eastAsia" w:ascii="宋体" w:hAnsi="宋体" w:eastAsia="宋体" w:cs="宋体"/>
                <w:color w:val="auto"/>
                <w:sz w:val="24"/>
                <w:szCs w:val="32"/>
              </w:rPr>
              <w:t>文件作出响应。</w:t>
            </w:r>
          </w:p>
        </w:tc>
      </w:tr>
    </w:tbl>
    <w:p>
      <w:pPr>
        <w:rPr>
          <w:color w:val="auto"/>
          <w:highlight w:val="none"/>
        </w:rPr>
      </w:pPr>
    </w:p>
    <w:p>
      <w:pPr>
        <w:rPr>
          <w:color w:val="auto"/>
          <w:highlight w:val="none"/>
        </w:rPr>
      </w:pPr>
    </w:p>
    <w:p>
      <w:pPr>
        <w:rPr>
          <w:color w:val="auto"/>
          <w:highlight w:val="none"/>
        </w:rPr>
      </w:pPr>
      <w:r>
        <w:rPr>
          <w:color w:val="auto"/>
          <w:sz w:val="32"/>
          <w:szCs w:val="32"/>
          <w:highlight w:val="none"/>
        </w:rPr>
        <w:br w:type="page"/>
      </w:r>
    </w:p>
    <w:p>
      <w:pPr>
        <w:pStyle w:val="3"/>
        <w:spacing w:before="0" w:after="0" w:line="240" w:lineRule="atLeast"/>
        <w:jc w:val="center"/>
        <w:rPr>
          <w:color w:val="auto"/>
          <w:sz w:val="32"/>
          <w:szCs w:val="32"/>
          <w:highlight w:val="none"/>
        </w:rPr>
      </w:pPr>
      <w:bookmarkStart w:id="40" w:name="_Toc12002"/>
      <w:r>
        <w:rPr>
          <w:rFonts w:hint="eastAsia"/>
          <w:color w:val="auto"/>
          <w:sz w:val="40"/>
          <w:szCs w:val="40"/>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sz w:val="24"/>
                <w:szCs w:val="32"/>
                <w:lang w:eastAsia="zh-CN"/>
              </w:rPr>
            </w:pPr>
            <w:bookmarkStart w:id="41" w:name="_Toc10024"/>
            <w:r>
              <w:rPr>
                <w:rFonts w:hint="eastAsia" w:ascii="宋体" w:hAnsi="宋体" w:eastAsia="宋体" w:cs="宋体"/>
                <w:color w:val="auto"/>
                <w:sz w:val="24"/>
                <w:szCs w:val="32"/>
                <w:highlight w:val="none"/>
              </w:rPr>
              <w:t>1.1 项目名称：</w:t>
            </w:r>
            <w:bookmarkEnd w:id="41"/>
            <w:r>
              <w:rPr>
                <w:rFonts w:hint="eastAsia" w:ascii="宋体" w:hAnsi="宋体" w:cs="宋体"/>
                <w:color w:val="auto"/>
                <w:sz w:val="24"/>
                <w:szCs w:val="32"/>
                <w:highlight w:val="none"/>
                <w:lang w:eastAsia="zh-CN"/>
              </w:rPr>
              <w:t>驻马店市中心医院医用输血输液加温器采购项目</w:t>
            </w:r>
          </w:p>
          <w:p>
            <w:pPr>
              <w:widowControl/>
              <w:snapToGrid w:val="0"/>
              <w:spacing w:line="440" w:lineRule="exact"/>
              <w:jc w:val="left"/>
              <w:outlineLvl w:val="0"/>
              <w:rPr>
                <w:rFonts w:hint="eastAsia" w:ascii="宋体" w:hAnsi="宋体" w:eastAsia="宋体" w:cs="宋体"/>
                <w:color w:val="auto"/>
                <w:sz w:val="24"/>
                <w:szCs w:val="32"/>
                <w:highlight w:val="none"/>
              </w:rPr>
            </w:pPr>
            <w:bookmarkStart w:id="42" w:name="_Toc18520"/>
            <w:r>
              <w:rPr>
                <w:rFonts w:hint="eastAsia" w:ascii="宋体" w:hAnsi="宋体" w:eastAsia="宋体" w:cs="宋体"/>
                <w:color w:val="auto"/>
                <w:sz w:val="24"/>
                <w:szCs w:val="32"/>
                <w:highlight w:val="none"/>
              </w:rPr>
              <w:t>1.2 采购人名称：</w:t>
            </w:r>
            <w:r>
              <w:rPr>
                <w:rFonts w:hint="eastAsia" w:ascii="宋体" w:hAnsi="宋体" w:eastAsia="宋体" w:cs="宋体"/>
                <w:color w:val="auto"/>
                <w:sz w:val="24"/>
                <w:szCs w:val="32"/>
              </w:rPr>
              <w:t>驻马店市中心医院</w:t>
            </w:r>
            <w:bookmarkEnd w:id="42"/>
          </w:p>
          <w:p>
            <w:pPr>
              <w:widowControl/>
              <w:snapToGrid w:val="0"/>
              <w:spacing w:line="440" w:lineRule="exact"/>
              <w:jc w:val="left"/>
              <w:outlineLvl w:val="0"/>
              <w:rPr>
                <w:rFonts w:hint="eastAsia" w:ascii="宋体" w:hAnsi="宋体" w:eastAsia="宋体" w:cs="宋体"/>
                <w:color w:val="auto"/>
                <w:kern w:val="2"/>
                <w:sz w:val="24"/>
                <w:szCs w:val="32"/>
                <w:highlight w:val="none"/>
                <w:lang w:val="en-US" w:eastAsia="zh-CN" w:bidi="ar-SA"/>
              </w:rPr>
            </w:pPr>
            <w:bookmarkStart w:id="43" w:name="_Toc2100"/>
            <w:r>
              <w:rPr>
                <w:rFonts w:hint="eastAsia" w:ascii="宋体" w:hAnsi="宋体" w:eastAsia="宋体" w:cs="宋体"/>
                <w:color w:val="auto"/>
                <w:sz w:val="24"/>
                <w:szCs w:val="32"/>
                <w:highlight w:val="none"/>
              </w:rPr>
              <w:t>1.</w:t>
            </w:r>
            <w:r>
              <w:rPr>
                <w:rFonts w:hint="eastAsia" w:ascii="宋体" w:hAnsi="宋体" w:eastAsia="宋体" w:cs="宋体"/>
                <w:color w:val="auto"/>
                <w:sz w:val="24"/>
                <w:szCs w:val="32"/>
                <w:highlight w:val="none"/>
                <w:lang w:val="en-US" w:eastAsia="zh-CN"/>
              </w:rPr>
              <w:t>3</w:t>
            </w:r>
            <w:r>
              <w:rPr>
                <w:rFonts w:hint="eastAsia" w:ascii="宋体" w:hAnsi="宋体" w:eastAsia="宋体" w:cs="宋体"/>
                <w:color w:val="auto"/>
                <w:sz w:val="24"/>
                <w:szCs w:val="32"/>
                <w:highlight w:val="none"/>
              </w:rPr>
              <w:t>采购范围：详</w:t>
            </w:r>
            <w:r>
              <w:rPr>
                <w:rFonts w:hint="eastAsia" w:ascii="宋体" w:hAnsi="宋体" w:eastAsia="宋体" w:cs="宋体"/>
                <w:color w:val="auto"/>
                <w:sz w:val="24"/>
                <w:szCs w:val="32"/>
                <w:highlight w:val="none"/>
                <w:lang w:val="en-US" w:eastAsia="zh-CN"/>
              </w:rPr>
              <w:t>见第二章采购</w:t>
            </w:r>
            <w:r>
              <w:rPr>
                <w:rFonts w:hint="eastAsia" w:ascii="宋体" w:hAnsi="宋体" w:eastAsia="宋体" w:cs="宋体"/>
                <w:color w:val="auto"/>
                <w:sz w:val="24"/>
                <w:szCs w:val="32"/>
                <w:highlight w:val="none"/>
              </w:rPr>
              <w:t>需求</w:t>
            </w:r>
            <w:bookmarkEnd w:id="43"/>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合格投标人：具备</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采购预算（最高投标限价）：</w:t>
            </w: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val="en-US" w:eastAsia="zh-CN"/>
              </w:rPr>
              <w:t>万</w:t>
            </w:r>
            <w:r>
              <w:rPr>
                <w:rFonts w:hint="eastAsia" w:ascii="宋体" w:hAnsi="宋体" w:eastAsia="宋体" w:cs="宋体"/>
                <w:color w:val="auto"/>
                <w:kern w:val="0"/>
                <w:sz w:val="24"/>
                <w:szCs w:val="24"/>
                <w:highlight w:val="none"/>
              </w:rPr>
              <w:t>元</w:t>
            </w:r>
          </w:p>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 本项目投标以人民币报价。</w:t>
            </w:r>
          </w:p>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 供应商的报价超过采购预算，采购人不能支付的，按废标处理。</w:t>
            </w:r>
          </w:p>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 本项目</w:t>
            </w:r>
            <w:r>
              <w:rPr>
                <w:rFonts w:hint="eastAsia" w:ascii="宋体" w:hAnsi="宋体" w:eastAsia="宋体" w:cs="宋体"/>
                <w:color w:val="auto"/>
                <w:kern w:val="0"/>
                <w:sz w:val="24"/>
                <w:szCs w:val="24"/>
                <w:highlight w:val="none"/>
                <w:lang w:val="en-US" w:eastAsia="zh-CN"/>
              </w:rPr>
              <w:t>由成交供应商缴纳</w:t>
            </w:r>
            <w:r>
              <w:rPr>
                <w:rFonts w:hint="eastAsia" w:ascii="宋体" w:hAnsi="宋体" w:eastAsia="宋体" w:cs="宋体"/>
                <w:color w:val="auto"/>
                <w:kern w:val="0"/>
                <w:sz w:val="24"/>
                <w:szCs w:val="24"/>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sz w:val="24"/>
                <w:szCs w:val="32"/>
              </w:rPr>
            </w:pPr>
            <w:r>
              <w:rPr>
                <w:rFonts w:hint="eastAsia" w:ascii="宋体" w:hAnsi="宋体" w:eastAsia="宋体" w:cs="宋体"/>
                <w:color w:val="auto"/>
                <w:sz w:val="24"/>
                <w:szCs w:val="32"/>
              </w:rPr>
              <w:t>投标文件组成：纸质投标文件正本1份</w:t>
            </w:r>
            <w:r>
              <w:rPr>
                <w:rFonts w:hint="eastAsia" w:ascii="宋体" w:hAnsi="宋体" w:eastAsia="宋体" w:cs="宋体"/>
                <w:color w:val="auto"/>
                <w:sz w:val="24"/>
                <w:szCs w:val="32"/>
                <w:lang w:eastAsia="zh-CN"/>
              </w:rPr>
              <w:t>、</w:t>
            </w:r>
            <w:r>
              <w:rPr>
                <w:rFonts w:hint="eastAsia" w:ascii="宋体" w:hAnsi="宋体" w:eastAsia="宋体" w:cs="宋体"/>
                <w:color w:val="auto"/>
                <w:sz w:val="24"/>
                <w:szCs w:val="32"/>
                <w:lang w:val="en-US" w:eastAsia="zh-CN"/>
              </w:rPr>
              <w:t>副本2份</w:t>
            </w:r>
            <w:r>
              <w:rPr>
                <w:rFonts w:hint="eastAsia" w:ascii="宋体" w:hAnsi="宋体" w:eastAsia="宋体" w:cs="宋体"/>
                <w:color w:val="auto"/>
                <w:sz w:val="24"/>
                <w:szCs w:val="32"/>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投标截止时间</w:t>
            </w:r>
            <w:r>
              <w:rPr>
                <w:rFonts w:hint="eastAsia" w:ascii="宋体" w:hAnsi="宋体" w:eastAsia="宋体" w:cs="宋体"/>
                <w:color w:val="auto"/>
                <w:kern w:val="0"/>
                <w:sz w:val="24"/>
                <w:szCs w:val="24"/>
                <w:highlight w:val="none"/>
                <w:lang w:val="en-US" w:eastAsia="zh-CN"/>
              </w:rPr>
              <w:t>及开标时间</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lang w:val="en-US" w:eastAsia="zh-CN"/>
              </w:rPr>
              <w:t>另行通知</w:t>
            </w:r>
          </w:p>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投标文件递交地点</w:t>
            </w:r>
            <w:r>
              <w:rPr>
                <w:rFonts w:hint="eastAsia" w:ascii="宋体" w:hAnsi="宋体" w:eastAsia="宋体" w:cs="宋体"/>
                <w:color w:val="auto"/>
                <w:kern w:val="0"/>
                <w:sz w:val="24"/>
                <w:szCs w:val="24"/>
                <w:highlight w:val="none"/>
                <w:lang w:val="en-US" w:eastAsia="zh-CN"/>
              </w:rPr>
              <w:t>及开标地点</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lang w:val="en-US" w:eastAsia="zh-CN"/>
              </w:rPr>
              <w:t>另行通知</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评审委员会成</w:t>
            </w:r>
            <w:r>
              <w:rPr>
                <w:rFonts w:hint="eastAsia" w:ascii="宋体" w:hAnsi="宋体" w:eastAsia="宋体" w:cs="宋体"/>
                <w:color w:val="auto"/>
                <w:kern w:val="0"/>
                <w:sz w:val="24"/>
                <w:szCs w:val="24"/>
                <w:highlight w:val="none"/>
              </w:rPr>
              <w:t>员：</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32"/>
                <w:highlight w:val="none"/>
              </w:rPr>
              <w:t>人</w:t>
            </w:r>
            <w:r>
              <w:rPr>
                <w:rFonts w:hint="eastAsia" w:ascii="宋体" w:hAnsi="宋体" w:eastAsia="宋体" w:cs="宋体"/>
                <w:color w:val="auto"/>
                <w:sz w:val="24"/>
                <w:szCs w:val="32"/>
                <w:highlight w:val="none"/>
                <w:lang w:val="en-US" w:eastAsia="zh-CN"/>
              </w:rPr>
              <w:t>及以上单数</w:t>
            </w:r>
            <w:r>
              <w:rPr>
                <w:rFonts w:hint="eastAsia" w:ascii="宋体" w:hAnsi="宋体" w:eastAsia="宋体" w:cs="宋体"/>
                <w:color w:val="auto"/>
                <w:kern w:val="0"/>
                <w:sz w:val="24"/>
                <w:szCs w:val="24"/>
                <w:highlight w:val="none"/>
              </w:rPr>
              <w:t>。</w:t>
            </w:r>
          </w:p>
          <w:p>
            <w:pPr>
              <w:widowControl/>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专家确定方式：</w:t>
            </w:r>
            <w:r>
              <w:rPr>
                <w:rFonts w:hint="eastAsia" w:ascii="宋体" w:hAnsi="宋体" w:eastAsia="宋体" w:cs="宋体"/>
                <w:color w:val="auto"/>
                <w:kern w:val="0"/>
                <w:sz w:val="24"/>
                <w:szCs w:val="24"/>
                <w:highlight w:val="none"/>
              </w:rPr>
              <w:t>由采购人</w:t>
            </w:r>
            <w:r>
              <w:rPr>
                <w:rFonts w:hint="eastAsia" w:ascii="宋体" w:hAnsi="宋体" w:eastAsia="宋体" w:cs="宋体"/>
                <w:color w:val="auto"/>
                <w:kern w:val="0"/>
                <w:sz w:val="24"/>
                <w:szCs w:val="24"/>
                <w:highlight w:val="none"/>
                <w:lang w:val="en-US" w:eastAsia="zh-CN"/>
              </w:rPr>
              <w:t>抽取相关的技术人员组成</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评标办法：</w:t>
            </w:r>
            <w:r>
              <w:rPr>
                <w:rFonts w:hint="eastAsia" w:ascii="宋体" w:hAnsi="宋体" w:eastAsia="宋体" w:cs="宋体"/>
                <w:color w:val="auto"/>
                <w:kern w:val="0"/>
                <w:sz w:val="24"/>
                <w:szCs w:val="24"/>
                <w:highlight w:val="none"/>
              </w:rPr>
              <w:t>本项目采用</w:t>
            </w:r>
            <w:r>
              <w:rPr>
                <w:rFonts w:hint="eastAsia" w:ascii="宋体" w:hAnsi="宋体" w:eastAsia="宋体" w:cs="宋体"/>
                <w:color w:val="auto"/>
                <w:sz w:val="24"/>
                <w:szCs w:val="24"/>
                <w:highlight w:val="none"/>
              </w:rPr>
              <w:t>综合评分法</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中标公告及中标通知书：由采购人授权评标委员会确定一名中标人并推荐两名中标候选人。评审结束后</w:t>
            </w:r>
            <w:r>
              <w:rPr>
                <w:rFonts w:hint="eastAsia" w:ascii="宋体" w:hAnsi="宋体" w:eastAsia="宋体" w:cs="宋体"/>
                <w:color w:val="auto"/>
                <w:kern w:val="0"/>
                <w:sz w:val="24"/>
                <w:szCs w:val="24"/>
                <w:highlight w:val="none"/>
                <w:lang w:val="en-US" w:eastAsia="zh-CN"/>
              </w:rPr>
              <w:t>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驻马店市中心医院网</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上发布中标公告，</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签订合同：自中标通知书发出之日起</w:t>
            </w:r>
            <w:r>
              <w:rPr>
                <w:rFonts w:hint="eastAsia" w:ascii="宋体" w:hAnsi="宋体" w:eastAsia="宋体" w:cs="宋体"/>
                <w:color w:val="auto"/>
                <w:kern w:val="0"/>
                <w:sz w:val="24"/>
                <w:szCs w:val="24"/>
                <w:highlight w:val="none"/>
                <w:lang w:val="en-US" w:eastAsia="zh-CN"/>
              </w:rPr>
              <w:t>三十</w:t>
            </w:r>
            <w:r>
              <w:rPr>
                <w:rFonts w:hint="eastAsia" w:ascii="宋体" w:hAnsi="宋体" w:eastAsia="宋体" w:cs="宋体"/>
                <w:color w:val="auto"/>
                <w:kern w:val="0"/>
                <w:sz w:val="24"/>
                <w:szCs w:val="24"/>
                <w:highlight w:val="none"/>
              </w:rPr>
              <w:t>个</w:t>
            </w:r>
            <w:r>
              <w:rPr>
                <w:rFonts w:hint="eastAsia" w:ascii="宋体" w:hAnsi="宋体" w:eastAsia="宋体" w:cs="宋体"/>
                <w:color w:val="auto"/>
                <w:kern w:val="0"/>
                <w:sz w:val="24"/>
                <w:szCs w:val="24"/>
                <w:highlight w:val="none"/>
                <w:lang w:val="en-US" w:eastAsia="zh-CN"/>
              </w:rPr>
              <w:t>日历</w:t>
            </w:r>
            <w:r>
              <w:rPr>
                <w:rFonts w:hint="eastAsia" w:ascii="宋体" w:hAnsi="宋体" w:eastAsia="宋体" w:cs="宋体"/>
                <w:color w:val="auto"/>
                <w:kern w:val="0"/>
                <w:sz w:val="24"/>
                <w:szCs w:val="24"/>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付款方式：详见第二章</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投标文件有效期：投标</w:t>
            </w:r>
            <w:r>
              <w:rPr>
                <w:rFonts w:hint="eastAsia" w:ascii="宋体" w:hAnsi="宋体" w:eastAsia="宋体" w:cs="宋体"/>
                <w:color w:val="auto"/>
                <w:kern w:val="0"/>
                <w:sz w:val="24"/>
                <w:szCs w:val="24"/>
                <w:highlight w:val="none"/>
                <w:lang w:val="en-US" w:eastAsia="zh-CN"/>
              </w:rPr>
              <w:t>文件递交</w:t>
            </w:r>
            <w:r>
              <w:rPr>
                <w:rFonts w:hint="eastAsia" w:ascii="宋体" w:hAnsi="宋体" w:eastAsia="宋体" w:cs="宋体"/>
                <w:color w:val="auto"/>
                <w:kern w:val="0"/>
                <w:sz w:val="24"/>
                <w:szCs w:val="24"/>
                <w:highlight w:val="none"/>
              </w:rPr>
              <w:t>截止期结束后</w:t>
            </w:r>
            <w:r>
              <w:rPr>
                <w:rFonts w:hint="eastAsia" w:ascii="宋体" w:hAnsi="宋体" w:eastAsia="宋体" w:cs="宋体"/>
                <w:color w:val="auto"/>
                <w:kern w:val="0"/>
                <w:sz w:val="24"/>
                <w:szCs w:val="24"/>
                <w:highlight w:val="none"/>
                <w:lang w:val="en-US" w:eastAsia="zh-CN"/>
              </w:rPr>
              <w:t>90</w:t>
            </w:r>
            <w:r>
              <w:rPr>
                <w:rFonts w:hint="eastAsia" w:ascii="宋体" w:hAnsi="宋体" w:eastAsia="宋体" w:cs="宋体"/>
                <w:color w:val="auto"/>
                <w:kern w:val="0"/>
                <w:sz w:val="24"/>
                <w:szCs w:val="24"/>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eastAsia="宋体" w:cs="宋体"/>
                <w:color w:val="auto"/>
                <w:sz w:val="24"/>
                <w:szCs w:val="24"/>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质疑和投诉：供应商认为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过程和中标结果使自己的合法权益受到损害的，应当在知道或者应知其权益受到损害之日起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解释：1、构成本</w:t>
            </w:r>
            <w:r>
              <w:rPr>
                <w:rFonts w:hint="eastAsia" w:ascii="宋体" w:hAnsi="宋体" w:eastAsia="宋体" w:cs="宋体"/>
                <w:color w:val="auto"/>
                <w:sz w:val="24"/>
                <w:szCs w:val="32"/>
                <w:highlight w:val="none"/>
                <w:lang w:val="en-US" w:eastAsia="zh-CN"/>
              </w:rPr>
              <w:t>采购</w:t>
            </w:r>
            <w:r>
              <w:rPr>
                <w:rFonts w:hint="eastAsia" w:ascii="宋体" w:hAnsi="宋体" w:eastAsia="宋体" w:cs="宋体"/>
                <w:color w:val="auto"/>
                <w:sz w:val="24"/>
                <w:szCs w:val="32"/>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sz w:val="24"/>
                <w:szCs w:val="32"/>
                <w:highlight w:val="none"/>
                <w:lang w:val="en-US" w:eastAsia="zh-CN"/>
              </w:rPr>
              <w:t>采购</w:t>
            </w:r>
            <w:r>
              <w:rPr>
                <w:rFonts w:hint="eastAsia" w:ascii="宋体" w:hAnsi="宋体" w:eastAsia="宋体" w:cs="宋体"/>
                <w:color w:val="auto"/>
                <w:sz w:val="24"/>
                <w:szCs w:val="32"/>
                <w:highlight w:val="none"/>
              </w:rPr>
              <w:t>文件中有特殊规定外，仅适用于招标投标阶段的规定，按</w:t>
            </w:r>
            <w:r>
              <w:rPr>
                <w:rFonts w:hint="eastAsia" w:ascii="宋体" w:hAnsi="宋体" w:eastAsia="宋体" w:cs="宋体"/>
                <w:color w:val="auto"/>
                <w:sz w:val="24"/>
                <w:szCs w:val="32"/>
                <w:highlight w:val="none"/>
                <w:lang w:val="en-US" w:eastAsia="zh-CN"/>
              </w:rPr>
              <w:t>采购</w:t>
            </w:r>
            <w:r>
              <w:rPr>
                <w:rFonts w:hint="eastAsia" w:ascii="宋体" w:hAnsi="宋体" w:eastAsia="宋体" w:cs="宋体"/>
                <w:color w:val="auto"/>
                <w:sz w:val="24"/>
                <w:szCs w:val="32"/>
                <w:highlight w:val="none"/>
              </w:rPr>
              <w:t>公告、供应商须知、评标办法、投标文件格式的先后顺序解释；同一组成文件中就同一事项的规定或约定不一致的，以编排顺序在后者为准；当</w:t>
            </w:r>
            <w:r>
              <w:rPr>
                <w:rFonts w:hint="eastAsia" w:ascii="宋体" w:hAnsi="宋体" w:eastAsia="宋体" w:cs="宋体"/>
                <w:color w:val="auto"/>
                <w:sz w:val="24"/>
                <w:szCs w:val="32"/>
                <w:highlight w:val="none"/>
                <w:lang w:val="en-US" w:eastAsia="zh-CN"/>
              </w:rPr>
              <w:t>采购</w:t>
            </w:r>
            <w:r>
              <w:rPr>
                <w:rFonts w:hint="eastAsia" w:ascii="宋体" w:hAnsi="宋体" w:eastAsia="宋体" w:cs="宋体"/>
                <w:color w:val="auto"/>
                <w:sz w:val="24"/>
                <w:szCs w:val="32"/>
                <w:highlight w:val="none"/>
              </w:rPr>
              <w:t>文件与</w:t>
            </w:r>
            <w:r>
              <w:rPr>
                <w:rFonts w:hint="eastAsia" w:ascii="宋体" w:hAnsi="宋体" w:eastAsia="宋体" w:cs="宋体"/>
                <w:color w:val="auto"/>
                <w:sz w:val="24"/>
                <w:szCs w:val="32"/>
                <w:highlight w:val="none"/>
                <w:lang w:val="en-US" w:eastAsia="zh-CN"/>
              </w:rPr>
              <w:t>采购</w:t>
            </w:r>
            <w:r>
              <w:rPr>
                <w:rFonts w:hint="eastAsia" w:ascii="宋体" w:hAnsi="宋体" w:eastAsia="宋体" w:cs="宋体"/>
                <w:color w:val="auto"/>
                <w:sz w:val="24"/>
                <w:szCs w:val="32"/>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32"/>
                <w:highlight w:val="none"/>
              </w:rPr>
              <w:t>2、本</w:t>
            </w:r>
            <w:r>
              <w:rPr>
                <w:rFonts w:hint="eastAsia" w:ascii="宋体" w:hAnsi="宋体" w:eastAsia="宋体" w:cs="宋体"/>
                <w:color w:val="auto"/>
                <w:sz w:val="24"/>
                <w:szCs w:val="32"/>
                <w:highlight w:val="none"/>
                <w:lang w:val="en-US" w:eastAsia="zh-CN"/>
              </w:rPr>
              <w:t>采购</w:t>
            </w:r>
            <w:r>
              <w:rPr>
                <w:rFonts w:hint="eastAsia" w:ascii="宋体" w:hAnsi="宋体" w:eastAsia="宋体" w:cs="宋体"/>
                <w:color w:val="auto"/>
                <w:sz w:val="24"/>
                <w:szCs w:val="32"/>
                <w:highlight w:val="none"/>
              </w:rPr>
              <w:t>文件解释权归采购人。</w:t>
            </w:r>
          </w:p>
        </w:tc>
      </w:tr>
    </w:tbl>
    <w:p>
      <w:pPr>
        <w:rPr>
          <w:rFonts w:hint="eastAsia" w:ascii="宋体" w:hAnsi="宋体" w:eastAsia="宋体" w:cs="宋体"/>
          <w:color w:val="auto"/>
          <w:sz w:val="24"/>
          <w:szCs w:val="32"/>
          <w:highlight w:val="none"/>
        </w:rPr>
      </w:pP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32"/>
          <w:szCs w:val="32"/>
          <w:highlight w:val="none"/>
        </w:rPr>
      </w:pPr>
      <w:r>
        <w:rPr>
          <w:rFonts w:hint="eastAsia" w:ascii="宋体" w:hAnsi="宋体" w:eastAsia="宋体" w:cs="宋体"/>
          <w:b/>
          <w:bCs/>
          <w:color w:val="auto"/>
          <w:kern w:val="0"/>
          <w:sz w:val="32"/>
          <w:szCs w:val="32"/>
          <w:highlight w:val="none"/>
        </w:rPr>
        <w:t>一 、说 明</w:t>
      </w:r>
    </w:p>
    <w:p>
      <w:pPr>
        <w:keepNext w:val="0"/>
        <w:keepLines w:val="0"/>
        <w:pageBreakBefore w:val="0"/>
        <w:kinsoku/>
        <w:wordWrap/>
        <w:overflowPunct/>
        <w:topLinePunct w:val="0"/>
        <w:bidi w:val="0"/>
        <w:snapToGrid w:val="0"/>
        <w:spacing w:line="360" w:lineRule="auto"/>
        <w:rPr>
          <w:rFonts w:hint="eastAsia" w:ascii="宋体" w:hAnsi="宋体" w:eastAsia="宋体" w:cs="宋体"/>
          <w:color w:val="auto"/>
          <w:sz w:val="24"/>
          <w:szCs w:val="32"/>
          <w:highlight w:val="none"/>
        </w:rPr>
      </w:pP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1.适用范围</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文件仅适用于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2.定义</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 “投标人”系指</w:t>
      </w:r>
      <w:r>
        <w:rPr>
          <w:rFonts w:hint="eastAsia" w:ascii="宋体" w:hAnsi="宋体" w:eastAsia="宋体" w:cs="宋体"/>
          <w:color w:val="auto"/>
          <w:kern w:val="0"/>
          <w:sz w:val="24"/>
          <w:szCs w:val="24"/>
          <w:highlight w:val="none"/>
          <w:lang w:val="en-US" w:eastAsia="zh-CN"/>
        </w:rPr>
        <w:t>领取</w:t>
      </w:r>
      <w:r>
        <w:rPr>
          <w:rFonts w:hint="eastAsia" w:ascii="宋体" w:hAnsi="宋体" w:eastAsia="宋体" w:cs="宋体"/>
          <w:color w:val="auto"/>
          <w:kern w:val="0"/>
          <w:sz w:val="24"/>
          <w:szCs w:val="24"/>
          <w:highlight w:val="none"/>
        </w:rPr>
        <w:t>了本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 “投标人代表”系指代表投标人参加本次</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2.4 “货物”系指投标人按</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2.5 “相关服务”系指</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3.本次采购预算（最高限价）为</w:t>
      </w:r>
      <w:r>
        <w:rPr>
          <w:rFonts w:hint="eastAsia" w:ascii="宋体" w:hAnsi="宋体" w:cs="宋体"/>
          <w:b/>
          <w:bCs/>
          <w:color w:val="auto"/>
          <w:kern w:val="0"/>
          <w:sz w:val="24"/>
          <w:szCs w:val="24"/>
          <w:highlight w:val="none"/>
          <w:lang w:val="en-US" w:eastAsia="zh-CN"/>
        </w:rPr>
        <w:t>5</w:t>
      </w:r>
      <w:r>
        <w:rPr>
          <w:rFonts w:hint="eastAsia" w:ascii="宋体" w:hAnsi="宋体" w:eastAsia="宋体" w:cs="宋体"/>
          <w:b/>
          <w:bCs/>
          <w:color w:val="auto"/>
          <w:kern w:val="0"/>
          <w:sz w:val="24"/>
          <w:szCs w:val="24"/>
          <w:highlight w:val="none"/>
          <w:lang w:val="en-US" w:eastAsia="zh-CN"/>
        </w:rPr>
        <w:t>万</w:t>
      </w:r>
      <w:r>
        <w:rPr>
          <w:rFonts w:hint="eastAsia" w:ascii="宋体" w:hAnsi="宋体" w:eastAsia="宋体" w:cs="宋体"/>
          <w:b/>
          <w:bCs/>
          <w:color w:val="auto"/>
          <w:kern w:val="0"/>
          <w:sz w:val="24"/>
          <w:szCs w:val="24"/>
          <w:highlight w:val="none"/>
        </w:rPr>
        <w:t>元</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lang w:eastAsia="zh-CN"/>
        </w:rPr>
        <w:t>供应商应提供2021年度或2022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eastAsia="宋体" w:cs="宋体"/>
          <w:color w:val="auto"/>
          <w:sz w:val="24"/>
          <w:szCs w:val="24"/>
          <w:highlight w:val="none"/>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3具有履行合同所必需的设备和专业技术能力（提供书面声明函）。</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4参加本采购活动前三年内，在经营活动中没有重大违法记录（提供书面声明函）。</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5符合法律、行政法规规定的其他条件。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6供应商是生产厂家的须具有《医疗器械生产许可证》；供应商是代理商的须具有《医疗器械经营许可证》或《医疗器械经营备案凭证》</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
          <w:bCs/>
          <w:color w:val="auto"/>
          <w:kern w:val="0"/>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 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10.质疑和投诉</w:t>
      </w:r>
    </w:p>
    <w:p>
      <w:pPr>
        <w:keepNext w:val="0"/>
        <w:keepLines w:val="0"/>
        <w:pageBreakBefore w:val="0"/>
        <w:widowControl/>
        <w:kinsoku/>
        <w:wordWrap/>
        <w:overflowPunct/>
        <w:topLinePunct w:val="0"/>
        <w:bidi w:val="0"/>
        <w:snapToGrid w:val="0"/>
        <w:spacing w:line="360" w:lineRule="auto"/>
        <w:ind w:firstLine="470" w:firstLineChars="196"/>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10.1 </w:t>
      </w:r>
      <w:r>
        <w:rPr>
          <w:rFonts w:hint="eastAsia" w:ascii="宋体" w:hAnsi="宋体" w:eastAsia="宋体" w:cs="宋体"/>
          <w:bCs/>
          <w:color w:val="auto"/>
          <w:kern w:val="0"/>
          <w:sz w:val="24"/>
          <w:szCs w:val="24"/>
          <w:highlight w:val="none"/>
        </w:rPr>
        <w:t>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过程和中标结果使自己的合法权益受到损害的，应当在知道或者应知其权益受到损害之日起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w:t>
      </w:r>
      <w:r>
        <w:rPr>
          <w:rFonts w:hint="eastAsia" w:ascii="宋体" w:hAnsi="宋体" w:eastAsia="宋体" w:cs="宋体"/>
          <w:color w:val="auto"/>
          <w:kern w:val="0"/>
          <w:sz w:val="24"/>
          <w:szCs w:val="24"/>
          <w:highlight w:val="none"/>
          <w:lang w:val="en-US" w:eastAsia="zh-CN"/>
        </w:rPr>
        <w:t>医院纪检</w:t>
      </w:r>
      <w:r>
        <w:rPr>
          <w:rFonts w:hint="eastAsia" w:ascii="宋体" w:hAnsi="宋体" w:eastAsia="宋体" w:cs="宋体"/>
          <w:color w:val="auto"/>
          <w:kern w:val="0"/>
          <w:sz w:val="24"/>
          <w:szCs w:val="24"/>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10.2 </w:t>
      </w:r>
      <w:r>
        <w:rPr>
          <w:rFonts w:hint="eastAsia" w:ascii="宋体" w:hAnsi="宋体" w:eastAsia="宋体" w:cs="宋体"/>
          <w:bCs/>
          <w:color w:val="auto"/>
          <w:kern w:val="0"/>
          <w:sz w:val="24"/>
          <w:szCs w:val="24"/>
          <w:highlight w:val="none"/>
        </w:rPr>
        <w:t>质疑、投诉应当采用书面形式，质疑书、投诉书均应明确阐述</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24"/>
          <w:szCs w:val="24"/>
          <w:highlight w:val="none"/>
        </w:rPr>
        <w:t>投标人没有按照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文件要求提供全部资料，或者投标人没有对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32"/>
          <w:szCs w:val="32"/>
          <w:highlight w:val="none"/>
        </w:rPr>
      </w:pPr>
      <w:r>
        <w:rPr>
          <w:rFonts w:hint="eastAsia" w:ascii="宋体" w:hAnsi="宋体" w:eastAsia="宋体" w:cs="宋体"/>
          <w:b/>
          <w:bCs/>
          <w:color w:val="auto"/>
          <w:kern w:val="0"/>
          <w:sz w:val="32"/>
          <w:szCs w:val="32"/>
          <w:highlight w:val="none"/>
        </w:rPr>
        <w:t>二、</w:t>
      </w:r>
      <w:r>
        <w:rPr>
          <w:rFonts w:hint="eastAsia" w:ascii="宋体" w:hAnsi="宋体" w:eastAsia="宋体" w:cs="宋体"/>
          <w:b/>
          <w:bCs/>
          <w:color w:val="auto"/>
          <w:kern w:val="0"/>
          <w:sz w:val="32"/>
          <w:szCs w:val="32"/>
          <w:highlight w:val="none"/>
          <w:lang w:val="en-US" w:eastAsia="zh-CN"/>
        </w:rPr>
        <w:t>采购</w:t>
      </w:r>
      <w:r>
        <w:rPr>
          <w:rFonts w:hint="eastAsia" w:ascii="宋体" w:hAnsi="宋体" w:eastAsia="宋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12.</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文件的构成。本</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文件由以下部分组成：</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需求</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12.3 投标人须知</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12.4 评标办法</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12.5 合同主要条款</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12.6 投标文件格式</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13.</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文件的澄清与修改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13.1 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对已发出的</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文件进行必要澄清、修改或补充的，应当在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文件要求提交投标文件截止时间</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前，在</w:t>
      </w:r>
      <w:r>
        <w:rPr>
          <w:rFonts w:hint="eastAsia" w:ascii="宋体" w:hAnsi="宋体" w:eastAsia="宋体" w:cs="宋体"/>
          <w:color w:val="auto"/>
          <w:kern w:val="0"/>
          <w:sz w:val="24"/>
          <w:szCs w:val="24"/>
          <w:highlight w:val="none"/>
          <w:lang w:val="en-US" w:eastAsia="zh-CN"/>
        </w:rPr>
        <w:t>原采购公告发布</w:t>
      </w:r>
      <w:r>
        <w:rPr>
          <w:rFonts w:hint="eastAsia" w:ascii="宋体" w:hAnsi="宋体" w:eastAsia="宋体" w:cs="宋体"/>
          <w:color w:val="auto"/>
          <w:kern w:val="0"/>
          <w:sz w:val="24"/>
          <w:szCs w:val="24"/>
          <w:highlight w:val="none"/>
        </w:rPr>
        <w:t>相关媒体上发布更正公告或变更公告。</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文件公示期间对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文件澄清、修改或补充的内容为</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13.3 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文件的澄清、修改或补充都应以法定形式发布。采购人未对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24"/>
          <w:szCs w:val="24"/>
          <w:highlight w:val="none"/>
        </w:rPr>
        <w:t>13.4 </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可以视招标具体情况延长投标截止时间和开标时间，但至少应当在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文件要求提交投标文件的截止时间3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前，将变更时间</w:t>
      </w:r>
      <w:r>
        <w:rPr>
          <w:rFonts w:hint="eastAsia" w:ascii="宋体" w:hAnsi="宋体" w:eastAsia="宋体" w:cs="宋体"/>
          <w:color w:val="auto"/>
          <w:kern w:val="0"/>
          <w:sz w:val="24"/>
          <w:szCs w:val="24"/>
          <w:highlight w:val="none"/>
          <w:lang w:val="en-US" w:eastAsia="zh-CN"/>
        </w:rPr>
        <w:t>通知所有潜在投标人</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32"/>
          <w:szCs w:val="32"/>
          <w:highlight w:val="none"/>
        </w:rPr>
      </w:pPr>
      <w:r>
        <w:rPr>
          <w:rFonts w:hint="eastAsia" w:ascii="宋体" w:hAnsi="宋体" w:eastAsia="宋体" w:cs="宋体"/>
          <w:b/>
          <w:bCs/>
          <w:color w:val="auto"/>
          <w:kern w:val="0"/>
          <w:sz w:val="32"/>
          <w:szCs w:val="32"/>
          <w:highlight w:val="none"/>
        </w:rPr>
        <w:t>三</w:t>
      </w:r>
      <w:r>
        <w:rPr>
          <w:rFonts w:hint="eastAsia" w:ascii="宋体" w:hAnsi="宋体" w:eastAsia="宋体" w:cs="宋体"/>
          <w:b/>
          <w:bCs/>
          <w:color w:val="auto"/>
          <w:kern w:val="0"/>
          <w:sz w:val="32"/>
          <w:szCs w:val="24"/>
          <w:highlight w:val="none"/>
        </w:rPr>
        <w:t>、</w:t>
      </w:r>
      <w:r>
        <w:rPr>
          <w:rFonts w:hint="eastAsia" w:ascii="宋体" w:hAnsi="宋体" w:eastAsia="宋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14.要求</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14.1 投标人应仔细阅读</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文件的所有内容，按照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文件提供的格式编写投标文件，不得缺少或留空任何</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文件要求填写的表格或提交的资料。</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文件提供格式的按格式填列，未提供格式的可自行拟定。投标文件应对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 投标人应完整签署投标文件格式附件中《投标书》和《抵制商业贿赂承诺》，不得增减或修改内容。否则视为对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15.2 关于投标计量单位，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文件已有明确规定的，使用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文件规定的计量单位；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文件没有规定的，应采用中华人民共和国法定计量单位。否则视为对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16.投标文件的组成</w:t>
      </w:r>
      <w:r>
        <w:rPr>
          <w:rFonts w:hint="eastAsia" w:ascii="宋体" w:hAnsi="宋体" w:eastAsia="宋体" w:cs="宋体"/>
          <w:color w:val="auto"/>
          <w:kern w:val="0"/>
          <w:sz w:val="24"/>
          <w:szCs w:val="24"/>
          <w:highlight w:val="none"/>
        </w:rPr>
        <w:t>。</w:t>
      </w:r>
      <w:r>
        <w:rPr>
          <w:rFonts w:hint="eastAsia" w:ascii="宋体" w:hAnsi="宋体" w:eastAsia="宋体" w:cs="宋体"/>
          <w:b/>
          <w:bCs/>
          <w:color w:val="auto"/>
          <w:kern w:val="0"/>
          <w:sz w:val="24"/>
          <w:szCs w:val="24"/>
          <w:highlight w:val="none"/>
        </w:rPr>
        <w:t>投标文件应包括下列部分：</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rPr>
        <w:t>16.1、</w:t>
      </w:r>
      <w:r>
        <w:rPr>
          <w:rFonts w:hint="eastAsia"/>
          <w:color w:val="auto"/>
          <w:sz w:val="24"/>
          <w:highlight w:val="none"/>
        </w:rPr>
        <w:t>投标书</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lang w:val="en-US" w:eastAsia="zh-CN"/>
        </w:rPr>
        <w:t>16.2、</w:t>
      </w:r>
      <w:r>
        <w:rPr>
          <w:rFonts w:hint="eastAsia"/>
          <w:color w:val="auto"/>
          <w:sz w:val="24"/>
          <w:highlight w:val="none"/>
        </w:rPr>
        <w:t>开标一览表</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w:t>
      </w:r>
      <w:r>
        <w:rPr>
          <w:rFonts w:hint="eastAsia"/>
          <w:color w:val="auto"/>
          <w:sz w:val="24"/>
          <w:highlight w:val="none"/>
        </w:rPr>
        <w:t>投标报价明细表</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r>
        <w:rPr>
          <w:rFonts w:hint="eastAsia"/>
          <w:color w:val="auto"/>
          <w:sz w:val="24"/>
          <w:highlight w:val="none"/>
        </w:rPr>
        <w:t>技术响应表</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rPr>
        <w:t>16.</w:t>
      </w: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w:t>
      </w:r>
      <w:r>
        <w:rPr>
          <w:rFonts w:hint="eastAsia"/>
          <w:color w:val="auto"/>
          <w:sz w:val="24"/>
          <w:highlight w:val="none"/>
        </w:rPr>
        <w:t>商务响应表</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rPr>
        <w:t>16.</w:t>
      </w: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w:t>
      </w:r>
      <w:r>
        <w:rPr>
          <w:rFonts w:hint="eastAsia"/>
          <w:color w:val="auto"/>
          <w:sz w:val="24"/>
          <w:highlight w:val="none"/>
        </w:rPr>
        <w:t>法定代表人身份证明</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rPr>
        <w:t>16.</w:t>
      </w:r>
      <w:r>
        <w:rPr>
          <w:rFonts w:hint="eastAsia" w:ascii="宋体" w:hAnsi="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w:t>
      </w:r>
      <w:r>
        <w:rPr>
          <w:rFonts w:hint="eastAsia"/>
          <w:color w:val="auto"/>
          <w:sz w:val="24"/>
          <w:highlight w:val="none"/>
        </w:rPr>
        <w:t>法定代表人授权书</w:t>
      </w:r>
    </w:p>
    <w:p>
      <w:pPr>
        <w:snapToGrid w:val="0"/>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rPr>
        <w:t>16.</w:t>
      </w:r>
      <w:r>
        <w:rPr>
          <w:rFonts w:hint="eastAsia" w:ascii="宋体" w:hAnsi="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w:t>
      </w:r>
      <w:r>
        <w:rPr>
          <w:rFonts w:hint="eastAsia"/>
          <w:color w:val="auto"/>
          <w:sz w:val="24"/>
          <w:highlight w:val="none"/>
        </w:rPr>
        <w:t>证明文件</w:t>
      </w:r>
    </w:p>
    <w:p>
      <w:pPr>
        <w:snapToGrid w:val="0"/>
        <w:spacing w:line="360" w:lineRule="auto"/>
        <w:ind w:firstLine="480" w:firstLineChars="200"/>
        <w:rPr>
          <w:rFonts w:hint="eastAsia"/>
          <w:color w:val="auto"/>
          <w:sz w:val="24"/>
          <w:highlight w:val="none"/>
        </w:rPr>
      </w:pPr>
      <w:r>
        <w:rPr>
          <w:rFonts w:hint="eastAsia" w:ascii="宋体" w:hAnsi="宋体" w:eastAsia="宋体" w:cs="宋体"/>
          <w:color w:val="auto"/>
          <w:kern w:val="0"/>
          <w:sz w:val="24"/>
          <w:szCs w:val="24"/>
          <w:highlight w:val="none"/>
        </w:rPr>
        <w:t>16.</w:t>
      </w:r>
      <w:r>
        <w:rPr>
          <w:rFonts w:hint="eastAsia" w:ascii="宋体" w:hAnsi="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rPr>
        <w:t>、</w:t>
      </w:r>
      <w:r>
        <w:rPr>
          <w:rFonts w:hint="eastAsia"/>
          <w:color w:val="auto"/>
          <w:sz w:val="24"/>
          <w:highlight w:val="none"/>
        </w:rPr>
        <w:t>供应商承诺书</w:t>
      </w:r>
    </w:p>
    <w:p>
      <w:pPr>
        <w:snapToGrid w:val="0"/>
        <w:spacing w:line="360" w:lineRule="auto"/>
        <w:ind w:firstLine="480" w:firstLineChars="200"/>
        <w:rPr>
          <w:rFonts w:hint="eastAsia"/>
        </w:rPr>
      </w:pPr>
      <w:r>
        <w:rPr>
          <w:rFonts w:hint="eastAsia" w:ascii="宋体" w:hAnsi="宋体" w:eastAsia="宋体" w:cs="宋体"/>
          <w:color w:val="auto"/>
          <w:kern w:val="0"/>
          <w:sz w:val="24"/>
          <w:szCs w:val="24"/>
          <w:highlight w:val="none"/>
        </w:rPr>
        <w:t>16</w:t>
      </w:r>
      <w:r>
        <w:rPr>
          <w:rFonts w:hint="eastAsia" w:ascii="宋体" w:hAnsi="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w:t>
      </w:r>
      <w:r>
        <w:rPr>
          <w:rFonts w:hint="eastAsia" w:eastAsia="宋体"/>
          <w:color w:val="auto"/>
          <w:sz w:val="24"/>
          <w:highlight w:val="none"/>
          <w:lang w:val="en-US" w:eastAsia="zh-CN"/>
        </w:rPr>
        <w:t>供应商信用承诺函</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17.投标有效期</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17.1 投标文件从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公告所规定的投标截止期之后开始生效，在</w:t>
      </w:r>
      <w:r>
        <w:rPr>
          <w:rFonts w:hint="eastAsia" w:ascii="宋体" w:hAnsi="宋体" w:eastAsia="宋体" w:cs="宋体"/>
          <w:bCs/>
          <w:color w:val="auto"/>
          <w:kern w:val="0"/>
          <w:sz w:val="24"/>
          <w:szCs w:val="24"/>
          <w:highlight w:val="none"/>
        </w:rPr>
        <w:t>投标人须知前附表</w:t>
      </w:r>
      <w:r>
        <w:rPr>
          <w:rFonts w:hint="eastAsia" w:ascii="宋体" w:hAnsi="宋体" w:eastAsia="宋体" w:cs="宋体"/>
          <w:color w:val="auto"/>
          <w:kern w:val="0"/>
          <w:sz w:val="24"/>
          <w:szCs w:val="24"/>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17.2特殊情况下</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可于投标有效期满之前书面要求投标人同意延长有效期，投标人应在</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18.投标报价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18.3 </w:t>
      </w:r>
      <w:r>
        <w:rPr>
          <w:rFonts w:hint="eastAsia" w:ascii="宋体" w:hAnsi="宋体" w:eastAsia="宋体" w:cs="宋体"/>
          <w:color w:val="auto"/>
          <w:spacing w:val="10"/>
          <w:kern w:val="0"/>
          <w:sz w:val="24"/>
          <w:szCs w:val="24"/>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18.5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rPr>
        <w:t>19.投标保证金</w:t>
      </w:r>
      <w:r>
        <w:rPr>
          <w:rFonts w:hint="eastAsia" w:ascii="宋体" w:hAnsi="宋体" w:eastAsia="宋体" w:cs="宋体"/>
          <w:b/>
          <w:color w:val="auto"/>
          <w:kern w:val="0"/>
          <w:sz w:val="24"/>
          <w:szCs w:val="24"/>
          <w:highlight w:val="none"/>
          <w:lang w:eastAsia="zh-CN"/>
        </w:rPr>
        <w:t>（</w:t>
      </w:r>
      <w:r>
        <w:rPr>
          <w:rFonts w:hint="eastAsia" w:ascii="宋体" w:hAnsi="宋体" w:eastAsia="宋体" w:cs="宋体"/>
          <w:b/>
          <w:color w:val="auto"/>
          <w:kern w:val="0"/>
          <w:sz w:val="24"/>
          <w:szCs w:val="24"/>
          <w:highlight w:val="none"/>
          <w:lang w:val="en-US" w:eastAsia="zh-CN"/>
        </w:rPr>
        <w:t>不要求</w:t>
      </w:r>
      <w:r>
        <w:rPr>
          <w:rFonts w:hint="eastAsia" w:ascii="宋体" w:hAnsi="宋体" w:eastAsia="宋体" w:cs="宋体"/>
          <w:b/>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rPr>
        <w:t>20.投标文件的签署</w:t>
      </w:r>
      <w:r>
        <w:rPr>
          <w:rFonts w:hint="eastAsia" w:ascii="宋体" w:hAnsi="宋体" w:eastAsia="宋体" w:cs="宋体"/>
          <w:b/>
          <w:color w:val="auto"/>
          <w:kern w:val="0"/>
          <w:sz w:val="24"/>
          <w:szCs w:val="24"/>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.1投标文件应按第六章“投标文件格式”进行编写，如有必要，可以增加附页，作为投标文件的组成部分。其中，投标报价一览表在满足</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文件实质性要求的基础上，可以提出比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.2 投标文件应当对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文件有关服务期、投标有效期、质量要求、技术标准和要求、</w:t>
      </w:r>
      <w:r>
        <w:rPr>
          <w:rFonts w:hint="eastAsia" w:ascii="宋体" w:hAnsi="宋体" w:eastAsia="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77" w:firstLineChars="198"/>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21. 投标文件的密封、标记</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21.1</w:t>
      </w:r>
      <w:r>
        <w:rPr>
          <w:rFonts w:hint="eastAsia" w:ascii="宋体" w:hAnsi="宋体" w:eastAsia="宋体" w:cs="宋体"/>
          <w:color w:val="auto"/>
          <w:sz w:val="24"/>
          <w:szCs w:val="32"/>
          <w:highlight w:val="none"/>
        </w:rPr>
        <w:t>响应文件应密封包装，并在封套的封口处加盖供应商单位章或由供应商的法定 代表人（单位负责人）或其授权的代理人签字。</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21.2 投标文件的封套上应清楚地标记“正本”或“副本”字样，封套上应写明的其他内容见投标人须知前附表</w:t>
      </w:r>
      <w:r>
        <w:rPr>
          <w:rFonts w:hint="eastAsia" w:ascii="宋体" w:hAnsi="宋体" w:eastAsia="宋体" w:cs="宋体"/>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32"/>
          <w:lang w:eastAsia="zh-CN"/>
        </w:rPr>
      </w:pPr>
      <w:r>
        <w:rPr>
          <w:rFonts w:hint="eastAsia" w:ascii="宋体" w:hAnsi="宋体" w:eastAsia="宋体" w:cs="宋体"/>
          <w:color w:val="auto"/>
          <w:sz w:val="24"/>
          <w:szCs w:val="32"/>
          <w:lang w:eastAsia="zh-CN"/>
        </w:rPr>
        <w:t>2</w:t>
      </w:r>
      <w:r>
        <w:rPr>
          <w:rFonts w:hint="eastAsia" w:ascii="宋体" w:hAnsi="宋体" w:eastAsia="宋体" w:cs="宋体"/>
          <w:color w:val="auto"/>
          <w:sz w:val="24"/>
          <w:szCs w:val="32"/>
          <w:lang w:val="en-US" w:eastAsia="zh-CN"/>
        </w:rPr>
        <w:t>1</w:t>
      </w:r>
      <w:r>
        <w:rPr>
          <w:rFonts w:hint="eastAsia" w:ascii="宋体" w:hAnsi="宋体" w:eastAsia="宋体" w:cs="宋体"/>
          <w:color w:val="auto"/>
          <w:sz w:val="24"/>
          <w:szCs w:val="32"/>
          <w:lang w:eastAsia="zh-CN"/>
        </w:rPr>
        <w:t>.3 未按本章第2</w:t>
      </w:r>
      <w:r>
        <w:rPr>
          <w:rFonts w:hint="eastAsia" w:ascii="宋体" w:hAnsi="宋体" w:eastAsia="宋体" w:cs="宋体"/>
          <w:color w:val="auto"/>
          <w:sz w:val="24"/>
          <w:szCs w:val="32"/>
          <w:lang w:val="en-US" w:eastAsia="zh-CN"/>
        </w:rPr>
        <w:t>1</w:t>
      </w:r>
      <w:r>
        <w:rPr>
          <w:rFonts w:hint="eastAsia" w:ascii="宋体" w:hAnsi="宋体" w:eastAsia="宋体" w:cs="宋体"/>
          <w:color w:val="auto"/>
          <w:sz w:val="24"/>
          <w:szCs w:val="32"/>
          <w:lang w:eastAsia="zh-CN"/>
        </w:rPr>
        <w:t>.1项或第2</w:t>
      </w:r>
      <w:r>
        <w:rPr>
          <w:rFonts w:hint="eastAsia" w:ascii="宋体" w:hAnsi="宋体" w:eastAsia="宋体" w:cs="宋体"/>
          <w:color w:val="auto"/>
          <w:sz w:val="24"/>
          <w:szCs w:val="32"/>
          <w:lang w:val="en-US" w:eastAsia="zh-CN"/>
        </w:rPr>
        <w:t>1</w:t>
      </w:r>
      <w:r>
        <w:rPr>
          <w:rFonts w:hint="eastAsia" w:ascii="宋体" w:hAnsi="宋体" w:eastAsia="宋体" w:cs="宋体"/>
          <w:color w:val="auto"/>
          <w:sz w:val="24"/>
          <w:szCs w:val="32"/>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.1 投标人应在规定的投标截止时间前</w:t>
      </w:r>
      <w:r>
        <w:rPr>
          <w:rFonts w:hint="eastAsia" w:ascii="宋体" w:hAnsi="宋体" w:eastAsia="宋体" w:cs="宋体"/>
          <w:color w:val="auto"/>
          <w:kern w:val="0"/>
          <w:sz w:val="24"/>
          <w:szCs w:val="24"/>
          <w:highlight w:val="none"/>
          <w:lang w:eastAsia="zh-CN"/>
        </w:rPr>
        <w:t>递交</w:t>
      </w:r>
      <w:r>
        <w:rPr>
          <w:rFonts w:hint="eastAsia" w:ascii="宋体" w:hAnsi="宋体" w:eastAsia="宋体" w:cs="宋体"/>
          <w:color w:val="auto"/>
          <w:kern w:val="0"/>
          <w:sz w:val="24"/>
          <w:szCs w:val="24"/>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23.1 投标人在投标截止时间前，可以对所提交的投标文件进行补充、修改或者撤回，并书面通知</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24"/>
          <w:szCs w:val="24"/>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30"/>
          <w:szCs w:val="30"/>
          <w:highlight w:val="none"/>
        </w:rPr>
      </w:pPr>
      <w:r>
        <w:rPr>
          <w:rFonts w:hint="eastAsia" w:ascii="宋体" w:hAnsi="宋体" w:eastAsia="宋体" w:cs="宋体"/>
          <w:b/>
          <w:bCs/>
          <w:color w:val="auto"/>
          <w:kern w:val="0"/>
          <w:sz w:val="32"/>
          <w:szCs w:val="32"/>
          <w:highlight w:val="none"/>
          <w:lang w:val="en-US" w:eastAsia="zh-CN"/>
        </w:rPr>
        <w:t>五</w:t>
      </w:r>
      <w:r>
        <w:rPr>
          <w:rFonts w:hint="eastAsia" w:ascii="宋体" w:hAnsi="宋体" w:eastAsia="宋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 组建评标委员会</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.1 评标委员会由采购人代表和评审专家组成。成员由</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人以上单数组成。</w:t>
      </w:r>
      <w:r>
        <w:rPr>
          <w:rFonts w:hint="eastAsia" w:ascii="宋体" w:hAnsi="宋体" w:eastAsia="宋体" w:cs="宋体"/>
          <w:color w:val="auto"/>
          <w:sz w:val="24"/>
          <w:szCs w:val="24"/>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.2评标委员会成员要依法独立评审，并对评审意见承担个人责任。</w:t>
      </w:r>
      <w:r>
        <w:rPr>
          <w:rFonts w:hint="eastAsia" w:ascii="宋体" w:hAnsi="宋体" w:eastAsia="宋体" w:cs="宋体"/>
          <w:color w:val="auto"/>
          <w:sz w:val="24"/>
          <w:szCs w:val="24"/>
          <w:highlight w:val="none"/>
        </w:rPr>
        <w:t>评标委员会成员对需要共同认定的事项存在争议的，按照少数服从多数的原则</w:t>
      </w:r>
      <w:r>
        <w:rPr>
          <w:rFonts w:hint="eastAsia" w:ascii="宋体" w:hAnsi="宋体" w:eastAsia="宋体" w:cs="宋体"/>
          <w:color w:val="auto"/>
          <w:kern w:val="0"/>
          <w:sz w:val="24"/>
          <w:szCs w:val="24"/>
          <w:highlight w:val="none"/>
        </w:rPr>
        <w:t>做</w:t>
      </w:r>
      <w:r>
        <w:rPr>
          <w:rFonts w:hint="eastAsia" w:ascii="宋体" w:hAnsi="宋体" w:eastAsia="宋体" w:cs="宋体"/>
          <w:color w:val="auto"/>
          <w:sz w:val="24"/>
          <w:szCs w:val="24"/>
          <w:highlight w:val="none"/>
        </w:rPr>
        <w:t>出结论。持不同意见的评标委员会成员应当在评标报告上签署不同意见</w:t>
      </w:r>
      <w:r>
        <w:rPr>
          <w:rFonts w:hint="eastAsia" w:ascii="宋体" w:hAnsi="宋体" w:eastAsia="宋体" w:cs="宋体"/>
          <w:color w:val="auto"/>
          <w:kern w:val="0"/>
          <w:sz w:val="24"/>
          <w:szCs w:val="24"/>
          <w:highlight w:val="none"/>
        </w:rPr>
        <w:t>并说明</w:t>
      </w:r>
      <w:r>
        <w:rPr>
          <w:rFonts w:hint="eastAsia" w:ascii="宋体" w:hAnsi="宋体" w:eastAsia="宋体" w:cs="宋体"/>
          <w:color w:val="auto"/>
          <w:sz w:val="24"/>
          <w:szCs w:val="24"/>
          <w:highlight w:val="none"/>
        </w:rPr>
        <w:t>理由，否则视为同意。</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.1对所有投标人的评估，都采用相同的程序和标准。评标过程将严格按照</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文件的要求和条件进行。</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 投标文件报价出现前后不一致的，除</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文件另有规定外，修正错误的原则如下：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.3.1</w:t>
      </w:r>
      <w:r>
        <w:rPr>
          <w:rFonts w:hint="eastAsia" w:ascii="宋体" w:hAnsi="宋体" w:eastAsia="宋体" w:cs="宋体"/>
          <w:color w:val="auto"/>
          <w:sz w:val="24"/>
          <w:szCs w:val="24"/>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shd w:val="clear" w:color="auto" w:fill="FFFFFF"/>
        </w:rPr>
        <w:t>大写金额</w:t>
      </w:r>
      <w:r>
        <w:rPr>
          <w:rFonts w:hint="eastAsia" w:ascii="宋体" w:hAnsi="宋体" w:eastAsia="宋体" w:cs="宋体"/>
          <w:color w:val="auto"/>
          <w:sz w:val="24"/>
          <w:szCs w:val="24"/>
          <w:highlight w:val="none"/>
        </w:rPr>
        <w:t>与</w:t>
      </w:r>
      <w:r>
        <w:rPr>
          <w:rFonts w:hint="eastAsia" w:ascii="宋体" w:hAnsi="宋体" w:eastAsia="宋体" w:cs="宋体"/>
          <w:color w:val="auto"/>
          <w:sz w:val="24"/>
          <w:szCs w:val="24"/>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.3.3</w:t>
      </w:r>
      <w:r>
        <w:rPr>
          <w:rFonts w:hint="eastAsia" w:ascii="宋体" w:hAnsi="宋体" w:eastAsia="宋体" w:cs="宋体"/>
          <w:color w:val="auto"/>
          <w:sz w:val="24"/>
          <w:szCs w:val="24"/>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.3.4</w:t>
      </w:r>
      <w:r>
        <w:rPr>
          <w:rFonts w:hint="eastAsia" w:ascii="宋体" w:hAnsi="宋体" w:eastAsia="宋体" w:cs="宋体"/>
          <w:color w:val="auto"/>
          <w:sz w:val="24"/>
          <w:szCs w:val="24"/>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.4.1</w:t>
      </w:r>
      <w:r>
        <w:rPr>
          <w:rFonts w:hint="eastAsia" w:ascii="宋体" w:hAnsi="宋体" w:eastAsia="宋体" w:cs="宋体"/>
          <w:color w:val="auto"/>
          <w:sz w:val="24"/>
          <w:szCs w:val="24"/>
          <w:highlight w:val="none"/>
        </w:rPr>
        <w:t>资格性检查。依据法规政策和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文件的规定，在对投标文件详细评估之前，采购人将依据投标人提交的投标文件按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公告第二项和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文件第三章4.投标人应提交的证明文件所述的资格标准对投标人进行资格审查,以确定其是否具备投标资格。如果投标人不具备投标资格、不满足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文件所规定的资格标准或提供资格证明文件不全,其投标将被作为无效投标。在审查过程中，采购人有权要求投标人按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.4.3 符合性检查。依据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文件的规定，评标委员会将从投标文件的有效性、完整性和对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文件的响应程度进行审查，以确定是否符合对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（3）资格证明文件不全的，或不符合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（4）投标有效期、交货时间、质保期等不满足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（6）投标文件的实质性内容未使用中文表述，或意思表述不明确，或前后矛盾，或使用计量单位不符合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（8）投标文件内容未按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（9）不符合</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.4.4 对资格性检查和符合性检查不合格的投标人，将</w:t>
      </w:r>
      <w:r>
        <w:rPr>
          <w:rFonts w:hint="eastAsia" w:ascii="宋体" w:hAnsi="宋体" w:eastAsia="宋体" w:cs="宋体"/>
          <w:color w:val="auto"/>
          <w:kern w:val="0"/>
          <w:sz w:val="24"/>
          <w:szCs w:val="24"/>
          <w:highlight w:val="none"/>
          <w:lang w:val="en-US" w:eastAsia="zh-CN"/>
        </w:rPr>
        <w:t>通过评标系统</w:t>
      </w:r>
      <w:r>
        <w:rPr>
          <w:rFonts w:hint="eastAsia" w:ascii="宋体" w:hAnsi="宋体" w:eastAsia="宋体" w:cs="宋体"/>
          <w:color w:val="auto"/>
          <w:kern w:val="0"/>
          <w:sz w:val="24"/>
          <w:szCs w:val="24"/>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456" w:firstLineChars="19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 xml:space="preserve"> 评标委员会认定的其他串通投标情形。</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6</w:t>
      </w:r>
      <w:r>
        <w:rPr>
          <w:rFonts w:hint="eastAsia" w:ascii="宋体" w:hAnsi="宋体" w:eastAsia="宋体" w:cs="宋体"/>
          <w:b/>
          <w:bCs/>
          <w:color w:val="auto"/>
          <w:kern w:val="0"/>
          <w:sz w:val="24"/>
          <w:szCs w:val="24"/>
          <w:highlight w:val="none"/>
        </w:rPr>
        <w:t>. 投标文件的澄清</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7</w:t>
      </w:r>
      <w:r>
        <w:rPr>
          <w:rFonts w:hint="eastAsia" w:ascii="宋体" w:hAnsi="宋体" w:eastAsia="宋体" w:cs="宋体"/>
          <w:b/>
          <w:bCs/>
          <w:color w:val="auto"/>
          <w:kern w:val="0"/>
          <w:sz w:val="24"/>
          <w:szCs w:val="24"/>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.1 评标委员会将按本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.2对漏（缺）报项的处理：</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8</w:t>
      </w:r>
      <w:r>
        <w:rPr>
          <w:rFonts w:hint="eastAsia" w:ascii="宋体" w:hAnsi="宋体" w:eastAsia="宋体" w:cs="宋体"/>
          <w:b/>
          <w:bCs/>
          <w:color w:val="auto"/>
          <w:kern w:val="0"/>
          <w:sz w:val="24"/>
          <w:szCs w:val="24"/>
          <w:highlight w:val="none"/>
        </w:rPr>
        <w:t>. 评标过程及保密原则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.1 凡与本次</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en-US" w:eastAsia="zh-CN"/>
        </w:rPr>
        <w:t>29</w:t>
      </w:r>
      <w:r>
        <w:rPr>
          <w:rFonts w:hint="eastAsia" w:ascii="宋体" w:hAnsi="宋体" w:eastAsia="宋体" w:cs="宋体"/>
          <w:b/>
          <w:color w:val="auto"/>
          <w:kern w:val="0"/>
          <w:sz w:val="24"/>
          <w:szCs w:val="24"/>
          <w:highlight w:val="none"/>
        </w:rPr>
        <w:t>.评标异议登记</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32"/>
          <w:szCs w:val="32"/>
          <w:highlight w:val="none"/>
        </w:rPr>
      </w:pP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hint="eastAsia" w:ascii="宋体" w:hAnsi="宋体" w:eastAsia="宋体" w:cs="宋体"/>
          <w:color w:val="auto"/>
          <w:kern w:val="0"/>
          <w:sz w:val="32"/>
          <w:szCs w:val="32"/>
          <w:highlight w:val="none"/>
        </w:rPr>
      </w:pPr>
      <w:r>
        <w:rPr>
          <w:rFonts w:hint="eastAsia" w:ascii="宋体" w:hAnsi="宋体" w:eastAsia="宋体" w:cs="宋体"/>
          <w:b/>
          <w:bCs/>
          <w:color w:val="auto"/>
          <w:kern w:val="0"/>
          <w:sz w:val="32"/>
          <w:szCs w:val="32"/>
          <w:highlight w:val="none"/>
          <w:lang w:val="en-US" w:eastAsia="zh-CN"/>
        </w:rPr>
        <w:t>六</w:t>
      </w:r>
      <w:r>
        <w:rPr>
          <w:rFonts w:hint="eastAsia" w:ascii="宋体" w:hAnsi="宋体" w:eastAsia="宋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0</w:t>
      </w:r>
      <w:r>
        <w:rPr>
          <w:rFonts w:hint="eastAsia" w:ascii="宋体" w:hAnsi="宋体" w:eastAsia="宋体" w:cs="宋体"/>
          <w:b/>
          <w:bCs/>
          <w:color w:val="auto"/>
          <w:kern w:val="0"/>
          <w:sz w:val="24"/>
          <w:szCs w:val="24"/>
          <w:highlight w:val="none"/>
        </w:rPr>
        <w:t>. 定标原则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 确定实质上响应</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bookmarkStart w:id="44" w:name="_Toc32200"/>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.2.1</w:t>
      </w:r>
      <w:bookmarkEnd w:id="44"/>
      <w:r>
        <w:rPr>
          <w:rFonts w:hint="eastAsia" w:ascii="宋体" w:hAnsi="宋体" w:eastAsia="宋体" w:cs="宋体"/>
          <w:bCs/>
          <w:color w:val="auto"/>
          <w:kern w:val="0"/>
          <w:sz w:val="24"/>
          <w:szCs w:val="24"/>
          <w:highlight w:val="none"/>
        </w:rPr>
        <w:t>本次评标采用</w:t>
      </w:r>
      <w:r>
        <w:rPr>
          <w:rFonts w:hint="eastAsia" w:ascii="宋体" w:hAnsi="宋体" w:eastAsia="宋体" w:cs="宋体"/>
          <w:color w:val="auto"/>
          <w:sz w:val="24"/>
          <w:szCs w:val="24"/>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采用综合评分法的，评标结果按评审后得分由高到低顺序排列。投标文件满足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1</w:t>
      </w:r>
      <w:r>
        <w:rPr>
          <w:rFonts w:hint="eastAsia" w:ascii="宋体" w:hAnsi="宋体" w:eastAsia="宋体" w:cs="宋体"/>
          <w:b/>
          <w:bCs/>
          <w:color w:val="auto"/>
          <w:kern w:val="0"/>
          <w:sz w:val="24"/>
          <w:szCs w:val="24"/>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本项目由采购人授权评标委员会确定一名中标人并推荐两名中标候选人</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rPr>
        <w:t>. 中标通知书及中标公告</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.1评审结束后，</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人将中标候选人的情况在本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项目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公告发布的同一媒介予以公示，公示</w:t>
      </w:r>
      <w:r>
        <w:rPr>
          <w:rFonts w:hint="eastAsia" w:ascii="宋体" w:hAnsi="宋体" w:eastAsia="宋体" w:cs="宋体"/>
          <w:color w:val="auto"/>
          <w:kern w:val="0"/>
          <w:sz w:val="24"/>
          <w:szCs w:val="24"/>
          <w:highlight w:val="none"/>
          <w:lang w:eastAsia="zh-CN"/>
        </w:rPr>
        <w:t>期限</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eastAsia="zh-CN"/>
        </w:rPr>
        <w:t>个工作日</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bCs/>
          <w:color w:val="auto"/>
          <w:kern w:val="0"/>
          <w:sz w:val="24"/>
          <w:szCs w:val="24"/>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 采购人宣布废标的权利</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.1.2投标人的报价均超过了</w:t>
      </w:r>
      <w:r>
        <w:rPr>
          <w:rFonts w:hint="eastAsia" w:ascii="宋体" w:hAnsi="宋体" w:eastAsia="宋体" w:cs="宋体"/>
          <w:bCs/>
          <w:color w:val="auto"/>
          <w:kern w:val="0"/>
          <w:sz w:val="24"/>
          <w:szCs w:val="24"/>
          <w:highlight w:val="none"/>
          <w:lang w:val="en-US" w:eastAsia="zh-CN"/>
        </w:rPr>
        <w:t>采购预算金额</w:t>
      </w:r>
      <w:r>
        <w:rPr>
          <w:rFonts w:hint="eastAsia" w:ascii="宋体" w:hAnsi="宋体" w:eastAsia="宋体" w:cs="宋体"/>
          <w:bCs/>
          <w:color w:val="auto"/>
          <w:kern w:val="0"/>
          <w:sz w:val="24"/>
          <w:szCs w:val="24"/>
          <w:highlight w:val="none"/>
        </w:rPr>
        <w:t>，采购人不能支付的。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.1.3因重大变故，采购任务取消的。</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sz w:val="24"/>
          <w:szCs w:val="24"/>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3"/>
        </w:numPr>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b/>
          <w:color w:val="auto"/>
          <w:kern w:val="0"/>
          <w:sz w:val="72"/>
          <w:szCs w:val="72"/>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32"/>
          <w:szCs w:val="32"/>
          <w:highlight w:val="none"/>
          <w:lang w:val="en-US" w:eastAsia="zh-CN"/>
        </w:rPr>
        <w:t>七</w:t>
      </w:r>
      <w:r>
        <w:rPr>
          <w:rFonts w:hint="eastAsia" w:ascii="宋体" w:hAnsi="宋体" w:eastAsia="宋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540" w:firstLineChars="224"/>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.合同签订</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u w:val="single"/>
        </w:rPr>
      </w:pPr>
      <w:bookmarkStart w:id="45" w:name="_Toc8594"/>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.1 采购人、中标人自中标通知书发出之日起，在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文件第三章《投标人须知前附表》规定的时间内，根据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文件确定的事项和中标人投标文件签订合同。双方所签订的合同不得对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文件的修改文件、中标人的投标文件、补充或修改的文件及澄清或承诺文件等，均为双方签订合同的组成部分，并与合同一并作为本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.3 中标人放弃中标、因不可抗力不能履行合同、不按照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文件要求提交履约保证金，或者被查实存在影响中标结果的违法行为等情形，不符合中标条件的，采购人可以按照评标委员会提出的中标候选人名单排序依次确定其他中标候选人为中标人，也可以重新招标。</w:t>
      </w:r>
    </w:p>
    <w:bookmarkEnd w:id="45"/>
    <w:p>
      <w:pPr>
        <w:rPr>
          <w:rFonts w:hint="eastAsia" w:ascii="宋体" w:hAnsi="宋体" w:eastAsia="宋体" w:cs="宋体"/>
          <w:color w:val="auto"/>
          <w:sz w:val="24"/>
          <w:szCs w:val="32"/>
          <w:highlight w:val="none"/>
        </w:rPr>
      </w:pPr>
      <w:bookmarkStart w:id="46" w:name="_Toc4700"/>
      <w:bookmarkStart w:id="47" w:name="_Toc16669"/>
      <w:r>
        <w:rPr>
          <w:rFonts w:hint="eastAsia" w:ascii="宋体" w:hAnsi="宋体" w:eastAsia="宋体" w:cs="宋体"/>
          <w:color w:val="auto"/>
          <w:sz w:val="24"/>
          <w:szCs w:val="32"/>
          <w:highlight w:val="none"/>
        </w:rPr>
        <w:br w:type="page"/>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hint="eastAsia" w:ascii="宋体" w:hAnsi="宋体" w:eastAsia="宋体" w:cs="宋体"/>
          <w:color w:val="auto"/>
          <w:kern w:val="0"/>
          <w:sz w:val="32"/>
          <w:szCs w:val="32"/>
          <w:highlight w:val="none"/>
        </w:rPr>
      </w:pPr>
      <w:bookmarkStart w:id="48" w:name="_Toc23054"/>
      <w:r>
        <w:rPr>
          <w:rFonts w:hint="eastAsia" w:ascii="宋体" w:hAnsi="宋体" w:eastAsia="宋体" w:cs="宋体"/>
          <w:b/>
          <w:bCs/>
          <w:color w:val="auto"/>
          <w:kern w:val="0"/>
          <w:sz w:val="40"/>
          <w:szCs w:val="40"/>
          <w:highlight w:val="none"/>
        </w:rPr>
        <w:t>第四章  评标办法及评分标准</w:t>
      </w:r>
      <w:bookmarkEnd w:id="46"/>
      <w:bookmarkEnd w:id="48"/>
    </w:p>
    <w:p>
      <w:pPr>
        <w:rPr>
          <w:rFonts w:hint="eastAsia" w:ascii="宋体" w:hAnsi="宋体" w:eastAsia="宋体" w:cs="宋体"/>
          <w:color w:val="auto"/>
          <w:sz w:val="24"/>
          <w:szCs w:val="32"/>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（一）评标原则</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按照“公平、公正”的原则对待所有投标人</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按照</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二</w:t>
      </w:r>
      <w:r>
        <w:rPr>
          <w:rFonts w:hint="eastAsia" w:ascii="宋体" w:hAnsi="宋体" w:eastAsia="宋体" w:cs="宋体"/>
          <w:b w:val="0"/>
          <w:bCs w:val="0"/>
          <w:color w:val="auto"/>
          <w:sz w:val="24"/>
          <w:szCs w:val="24"/>
          <w:highlight w:val="none"/>
        </w:rPr>
        <w:t>）评标办法</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2．评标委员会按照</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.投标文件满足</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rPr>
        <w:t>）评标程序</w:t>
      </w:r>
    </w:p>
    <w:p>
      <w:pPr>
        <w:keepNext w:val="0"/>
        <w:keepLines w:val="0"/>
        <w:pageBreakBefore w:val="0"/>
        <w:numPr>
          <w:ilvl w:val="0"/>
          <w:numId w:val="4"/>
        </w:numPr>
        <w:kinsoku/>
        <w:overflowPunct/>
        <w:topLinePunct w:val="0"/>
        <w:bidi w:val="0"/>
        <w:snapToGrid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价格标部分(3</w:t>
            </w: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分)</w:t>
            </w:r>
          </w:p>
        </w:tc>
        <w:tc>
          <w:tcPr>
            <w:tcW w:w="8243" w:type="dxa"/>
            <w:gridSpan w:val="2"/>
            <w:noWrap w:val="0"/>
            <w:vAlign w:val="center"/>
          </w:tcPr>
          <w:p>
            <w:pPr>
              <w:pStyle w:val="48"/>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8"/>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有效投标报价：投标报价</w:t>
            </w:r>
            <w:r>
              <w:rPr>
                <w:rFonts w:hint="eastAsia" w:ascii="宋体" w:hAnsi="宋体" w:eastAsia="宋体" w:cs="宋体"/>
                <w:b w:val="0"/>
                <w:bCs w:val="0"/>
                <w:color w:val="auto"/>
                <w:sz w:val="24"/>
                <w:szCs w:val="24"/>
                <w:highlight w:val="none"/>
                <w:lang w:val="en-US" w:eastAsia="zh-CN"/>
              </w:rPr>
              <w:t>不高于</w:t>
            </w:r>
            <w:r>
              <w:rPr>
                <w:rFonts w:hint="eastAsia" w:ascii="宋体" w:hAnsi="宋体" w:eastAsia="宋体" w:cs="宋体"/>
                <w:b w:val="0"/>
                <w:bCs w:val="0"/>
                <w:color w:val="auto"/>
                <w:sz w:val="24"/>
                <w:szCs w:val="24"/>
                <w:highlight w:val="none"/>
              </w:rPr>
              <w:t>采购预算价的为有效投标报价。</w:t>
            </w:r>
          </w:p>
          <w:p>
            <w:pPr>
              <w:pStyle w:val="48"/>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评标基准值的确定：满足</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文件要求且投标价格最低的有效投标报价为评标基准价。</w:t>
            </w:r>
          </w:p>
          <w:p>
            <w:pPr>
              <w:pStyle w:val="48"/>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投标报价得分=（评标基准价/有效投标报价）×35分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239" w:type="dxa"/>
            <w:noWrap w:val="0"/>
            <w:vAlign w:val="center"/>
          </w:tcPr>
          <w:p>
            <w:pPr>
              <w:keepNext w:val="0"/>
              <w:keepLines w:val="0"/>
              <w:pageBreakBefore w:val="0"/>
              <w:kinsoku/>
              <w:wordWrap/>
              <w:overflowPunct/>
              <w:topLinePunct w:val="0"/>
              <w:bidi w:val="0"/>
              <w:snapToGrid w:val="0"/>
              <w:spacing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技术部分（33分）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对“第二章  采购需求”技术参数的响应、性能及产品功能等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若投标设备技术指标与磋商文件中技术参数相比出现负偏离者或提供证明文件不符或未按要求提供证明材料，每项扣除技术分3分，扣完为止。</w:t>
            </w:r>
          </w:p>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1）.所投产品或设备均应提供相关证明文件资料，所投产品必须是正规厂家生产的原装正品；</w:t>
            </w:r>
          </w:p>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提供有关投标货物符合采购文件要求的相关证明文件。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商务评价</w:t>
            </w:r>
          </w:p>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(12分)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1、质保期</w:t>
            </w:r>
          </w:p>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（6分）</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质保期达到招标要求的，得基础分2分，超过招标文件规定的，每增加一年加2分,最多加4分（出具相关服务承诺书）；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2、类似业绩（6分）</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自 2020年 1 月 1 日至今（近三年）已完成的类似项目(以合同文件为准），每提供一份得2分，最多得6分。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售后服务</w:t>
            </w:r>
          </w:p>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(20分)</w:t>
            </w:r>
          </w:p>
        </w:tc>
        <w:tc>
          <w:tcPr>
            <w:tcW w:w="2140" w:type="dxa"/>
            <w:noWrap w:val="0"/>
            <w:vAlign w:val="center"/>
          </w:tcPr>
          <w:p>
            <w:pPr>
              <w:pStyle w:val="48"/>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根据投标人在投标文件中所投产品的售后服务站设立情况（配备有专业售后服务技术人员，提供售后服务人员名单和售后服务地址、电话）、培训方案、售后服务及时率、服务到位程度、详细的维修时间和处理办法、售后服务方案、安全质量保障措施等内容；</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售后服务内容具体、完善、合理性程度强得14-20分，具体、完善、合理性程度一般得7-13分，具体、完善、合理性程度差得1-6分，缺项得0分。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评标委员会成员评分=各项评分因素的汇总得分。</w:t>
            </w:r>
          </w:p>
          <w:p>
            <w:pPr>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7"/>
    <w:p>
      <w:pPr>
        <w:rPr>
          <w:color w:val="auto"/>
          <w:highlight w:val="none"/>
        </w:rPr>
      </w:pPr>
      <w:bookmarkStart w:id="49" w:name="_Toc1482"/>
      <w:bookmarkStart w:id="50" w:name="_Toc1947"/>
      <w:bookmarkStart w:id="51" w:name="_Toc326786897"/>
      <w:bookmarkStart w:id="52" w:name="_Toc256519703"/>
    </w:p>
    <w:p>
      <w:pPr>
        <w:pStyle w:val="3"/>
        <w:snapToGrid w:val="0"/>
        <w:spacing w:before="0" w:after="0" w:line="360" w:lineRule="auto"/>
        <w:jc w:val="center"/>
        <w:rPr>
          <w:color w:val="auto"/>
          <w:sz w:val="28"/>
          <w:szCs w:val="28"/>
          <w:highlight w:val="yellow"/>
        </w:rPr>
      </w:pPr>
      <w:bookmarkStart w:id="53" w:name="_Toc32036"/>
      <w:r>
        <w:rPr>
          <w:rFonts w:hint="eastAsia"/>
          <w:color w:val="auto"/>
          <w:sz w:val="40"/>
          <w:szCs w:val="40"/>
          <w:highlight w:val="none"/>
        </w:rPr>
        <w:t>第五章  采购合同</w:t>
      </w:r>
      <w:bookmarkEnd w:id="53"/>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olor w:val="auto"/>
          <w:sz w:val="24"/>
          <w:szCs w:val="24"/>
          <w:lang w:eastAsia="zh-CN"/>
        </w:rPr>
      </w:pPr>
      <w:r>
        <w:rPr>
          <w:rFonts w:hint="eastAsia" w:ascii="宋体" w:hAnsi="宋体"/>
          <w:color w:val="auto"/>
          <w:sz w:val="24"/>
          <w:szCs w:val="24"/>
          <w:lang w:eastAsia="zh-CN"/>
        </w:rPr>
        <w:t>（</w:t>
      </w:r>
      <w:r>
        <w:rPr>
          <w:rFonts w:hint="eastAsia" w:ascii="宋体" w:hAnsi="宋体"/>
          <w:color w:val="auto"/>
          <w:sz w:val="24"/>
          <w:szCs w:val="24"/>
          <w:lang w:val="en-US" w:eastAsia="zh-CN"/>
        </w:rPr>
        <w:t>以实际合同为准</w:t>
      </w:r>
      <w:r>
        <w:rPr>
          <w:rFonts w:hint="eastAsia" w:ascii="宋体" w:hAnsi="宋体"/>
          <w:color w:val="auto"/>
          <w:sz w:val="24"/>
          <w:szCs w:val="24"/>
          <w:lang w:eastAsia="zh-CN"/>
        </w:rPr>
        <w:t>）</w:t>
      </w:r>
    </w:p>
    <w:p>
      <w:pPr>
        <w:rPr>
          <w:color w:val="auto"/>
          <w:sz w:val="32"/>
          <w:szCs w:val="32"/>
          <w:highlight w:val="none"/>
        </w:rPr>
      </w:pPr>
    </w:p>
    <w:p>
      <w:pPr>
        <w:rPr>
          <w:color w:val="auto"/>
        </w:rPr>
      </w:pPr>
      <w:r>
        <w:rPr>
          <w:color w:val="auto"/>
          <w:highlight w:val="none"/>
        </w:rPr>
        <w:br w:type="page"/>
      </w:r>
    </w:p>
    <w:p>
      <w:pPr>
        <w:pStyle w:val="3"/>
        <w:spacing w:line="360" w:lineRule="auto"/>
        <w:jc w:val="center"/>
        <w:rPr>
          <w:rFonts w:ascii="宋体" w:hAnsi="宋体" w:cs="宋体"/>
          <w:color w:val="auto"/>
          <w:kern w:val="0"/>
          <w:highlight w:val="none"/>
        </w:rPr>
      </w:pPr>
      <w:bookmarkStart w:id="54" w:name="_Toc8994"/>
      <w:r>
        <w:rPr>
          <w:rFonts w:hint="eastAsia"/>
          <w:color w:val="auto"/>
          <w:sz w:val="44"/>
          <w:szCs w:val="44"/>
          <w:highlight w:val="none"/>
        </w:rPr>
        <w:t>第六章  投标文件格式</w:t>
      </w:r>
      <w:bookmarkEnd w:id="49"/>
      <w:bookmarkEnd w:id="50"/>
      <w:bookmarkEnd w:id="54"/>
    </w:p>
    <w:p>
      <w:pPr>
        <w:spacing w:line="440" w:lineRule="exact"/>
        <w:rPr>
          <w:color w:val="auto"/>
          <w:sz w:val="24"/>
          <w:highlight w:val="none"/>
        </w:rPr>
      </w:pPr>
    </w:p>
    <w:p>
      <w:pPr>
        <w:jc w:val="center"/>
        <w:rPr>
          <w:b/>
          <w:bCs/>
          <w:color w:val="auto"/>
          <w:sz w:val="32"/>
          <w:szCs w:val="32"/>
          <w:highlight w:val="none"/>
        </w:rPr>
      </w:pPr>
      <w:bookmarkStart w:id="55" w:name="_Toc13604"/>
      <w:r>
        <w:rPr>
          <w:rFonts w:hint="eastAsia"/>
          <w:b/>
          <w:bCs/>
          <w:color w:val="auto"/>
          <w:sz w:val="32"/>
          <w:szCs w:val="32"/>
          <w:highlight w:val="none"/>
        </w:rPr>
        <w:t>目    录</w:t>
      </w:r>
      <w:bookmarkEnd w:id="55"/>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6" w:name="_Toc11308"/>
      <w:r>
        <w:rPr>
          <w:rFonts w:hint="eastAsia"/>
          <w:color w:val="auto"/>
          <w:sz w:val="24"/>
          <w:highlight w:val="none"/>
        </w:rPr>
        <w:t>附件1投标文件封面（格式）</w:t>
      </w:r>
      <w:bookmarkEnd w:id="56"/>
    </w:p>
    <w:p>
      <w:pPr>
        <w:snapToGrid w:val="0"/>
        <w:spacing w:line="360" w:lineRule="auto"/>
        <w:ind w:firstLine="480" w:firstLineChars="200"/>
        <w:rPr>
          <w:color w:val="auto"/>
          <w:sz w:val="24"/>
          <w:highlight w:val="none"/>
        </w:rPr>
      </w:pPr>
      <w:bookmarkStart w:id="57" w:name="_Toc25345"/>
      <w:r>
        <w:rPr>
          <w:rFonts w:hint="eastAsia"/>
          <w:color w:val="auto"/>
          <w:sz w:val="24"/>
          <w:highlight w:val="none"/>
        </w:rPr>
        <w:t>附件2 投标书（格式）</w:t>
      </w:r>
      <w:bookmarkEnd w:id="57"/>
    </w:p>
    <w:p>
      <w:pPr>
        <w:snapToGrid w:val="0"/>
        <w:spacing w:line="360" w:lineRule="auto"/>
        <w:ind w:firstLine="480" w:firstLineChars="200"/>
        <w:rPr>
          <w:color w:val="auto"/>
          <w:sz w:val="24"/>
          <w:highlight w:val="none"/>
        </w:rPr>
      </w:pPr>
      <w:bookmarkStart w:id="58" w:name="_Toc10217"/>
      <w:r>
        <w:rPr>
          <w:rFonts w:hint="eastAsia"/>
          <w:color w:val="auto"/>
          <w:sz w:val="24"/>
          <w:highlight w:val="none"/>
        </w:rPr>
        <w:t>附件3 开标一览表（格式）</w:t>
      </w:r>
      <w:bookmarkEnd w:id="58"/>
    </w:p>
    <w:p>
      <w:pPr>
        <w:snapToGrid w:val="0"/>
        <w:spacing w:line="360" w:lineRule="auto"/>
        <w:ind w:firstLine="480" w:firstLineChars="200"/>
        <w:rPr>
          <w:color w:val="auto"/>
          <w:sz w:val="24"/>
          <w:highlight w:val="none"/>
        </w:rPr>
      </w:pPr>
      <w:bookmarkStart w:id="59" w:name="_Toc9579"/>
      <w:r>
        <w:rPr>
          <w:rFonts w:hint="eastAsia"/>
          <w:color w:val="auto"/>
          <w:sz w:val="24"/>
          <w:highlight w:val="none"/>
        </w:rPr>
        <w:t>附件4 投标报价明细表（格式）</w:t>
      </w:r>
      <w:bookmarkEnd w:id="59"/>
    </w:p>
    <w:p>
      <w:pPr>
        <w:snapToGrid w:val="0"/>
        <w:spacing w:line="360" w:lineRule="auto"/>
        <w:ind w:firstLine="480" w:firstLineChars="200"/>
        <w:rPr>
          <w:color w:val="auto"/>
          <w:sz w:val="24"/>
          <w:highlight w:val="none"/>
        </w:rPr>
      </w:pPr>
      <w:bookmarkStart w:id="60" w:name="_Toc28392"/>
      <w:r>
        <w:rPr>
          <w:rFonts w:hint="eastAsia"/>
          <w:color w:val="auto"/>
          <w:sz w:val="24"/>
          <w:highlight w:val="none"/>
        </w:rPr>
        <w:t>附件5技术响应表（格式）</w:t>
      </w:r>
      <w:bookmarkEnd w:id="60"/>
    </w:p>
    <w:p>
      <w:pPr>
        <w:snapToGrid w:val="0"/>
        <w:spacing w:line="360" w:lineRule="auto"/>
        <w:ind w:firstLine="480" w:firstLineChars="200"/>
        <w:rPr>
          <w:color w:val="auto"/>
          <w:sz w:val="24"/>
          <w:highlight w:val="none"/>
        </w:rPr>
      </w:pPr>
      <w:bookmarkStart w:id="61" w:name="_Toc6234"/>
      <w:r>
        <w:rPr>
          <w:rFonts w:hint="eastAsia"/>
          <w:color w:val="auto"/>
          <w:sz w:val="24"/>
          <w:highlight w:val="none"/>
        </w:rPr>
        <w:t>附件6 商务响应表（格式）</w:t>
      </w:r>
      <w:bookmarkEnd w:id="61"/>
    </w:p>
    <w:p>
      <w:pPr>
        <w:snapToGrid w:val="0"/>
        <w:spacing w:line="360" w:lineRule="auto"/>
        <w:ind w:firstLine="480" w:firstLineChars="200"/>
        <w:rPr>
          <w:color w:val="auto"/>
          <w:sz w:val="24"/>
          <w:highlight w:val="none"/>
        </w:rPr>
      </w:pPr>
      <w:bookmarkStart w:id="62"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62"/>
    </w:p>
    <w:p>
      <w:pPr>
        <w:snapToGrid w:val="0"/>
        <w:spacing w:line="360" w:lineRule="auto"/>
        <w:ind w:firstLine="480" w:firstLineChars="200"/>
        <w:rPr>
          <w:color w:val="auto"/>
          <w:sz w:val="24"/>
          <w:highlight w:val="none"/>
        </w:rPr>
      </w:pPr>
      <w:bookmarkStart w:id="63"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3"/>
    </w:p>
    <w:p>
      <w:pPr>
        <w:snapToGrid w:val="0"/>
        <w:spacing w:line="360" w:lineRule="auto"/>
        <w:ind w:firstLine="480" w:firstLineChars="200"/>
        <w:rPr>
          <w:color w:val="auto"/>
          <w:sz w:val="24"/>
          <w:highlight w:val="none"/>
        </w:rPr>
      </w:pPr>
      <w:bookmarkStart w:id="64" w:name="_Toc31857"/>
      <w:r>
        <w:rPr>
          <w:rFonts w:hint="eastAsia"/>
          <w:color w:val="auto"/>
          <w:sz w:val="24"/>
          <w:highlight w:val="none"/>
        </w:rPr>
        <w:t>附件9 证明文件</w:t>
      </w:r>
      <w:bookmarkEnd w:id="64"/>
    </w:p>
    <w:p>
      <w:pPr>
        <w:snapToGrid w:val="0"/>
        <w:spacing w:line="360" w:lineRule="auto"/>
        <w:ind w:firstLine="480" w:firstLineChars="200"/>
        <w:rPr>
          <w:rFonts w:hint="eastAsia"/>
          <w:color w:val="auto"/>
          <w:sz w:val="24"/>
          <w:highlight w:val="none"/>
        </w:rPr>
      </w:pPr>
      <w:bookmarkStart w:id="65" w:name="_Toc23116"/>
      <w:r>
        <w:rPr>
          <w:rFonts w:hint="eastAsia"/>
          <w:color w:val="auto"/>
          <w:sz w:val="24"/>
          <w:highlight w:val="none"/>
        </w:rPr>
        <w:t>附件10 供应商承诺书（格式）</w:t>
      </w:r>
      <w:bookmarkEnd w:id="65"/>
    </w:p>
    <w:p>
      <w:pPr>
        <w:snapToGrid w:val="0"/>
        <w:spacing w:line="360" w:lineRule="auto"/>
        <w:ind w:firstLine="480" w:firstLineChars="200"/>
        <w:rPr>
          <w:rFonts w:hint="eastAsia" w:eastAsia="宋体"/>
          <w:color w:val="auto"/>
          <w:sz w:val="24"/>
          <w:highlight w:val="none"/>
          <w:lang w:val="en-US" w:eastAsia="zh-CN"/>
        </w:rPr>
      </w:pPr>
      <w:r>
        <w:rPr>
          <w:rFonts w:hint="eastAsia" w:eastAsia="宋体"/>
          <w:color w:val="auto"/>
          <w:sz w:val="24"/>
          <w:highlight w:val="none"/>
          <w:lang w:val="en-US" w:eastAsia="zh-CN"/>
        </w:rPr>
        <w:t>附件11 供应商信用承诺函（格式）</w:t>
      </w:r>
    </w:p>
    <w:p>
      <w:pPr>
        <w:pStyle w:val="30"/>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4"/>
        <w:rPr>
          <w:rFonts w:ascii="宋体" w:hAnsi="宋体" w:cs="宋体"/>
          <w:b/>
          <w:bCs/>
          <w:color w:val="auto"/>
          <w:kern w:val="0"/>
          <w:sz w:val="24"/>
          <w:highlight w:val="none"/>
        </w:rPr>
      </w:pPr>
    </w:p>
    <w:p>
      <w:pPr>
        <w:pStyle w:val="48"/>
        <w:rPr>
          <w:rFonts w:hAnsi="宋体"/>
          <w:b/>
          <w:bCs/>
          <w:color w:val="auto"/>
          <w:highlight w:val="none"/>
        </w:rPr>
      </w:pPr>
    </w:p>
    <w:p>
      <w:pPr>
        <w:pStyle w:val="48"/>
        <w:rPr>
          <w:rFonts w:hAnsi="宋体"/>
          <w:b/>
          <w:bCs/>
          <w:color w:val="auto"/>
          <w:highlight w:val="none"/>
        </w:rPr>
      </w:pPr>
    </w:p>
    <w:p>
      <w:pPr>
        <w:rPr>
          <w:color w:val="auto"/>
          <w:highlight w:val="none"/>
        </w:rPr>
      </w:pPr>
      <w:r>
        <w:rPr>
          <w:rFonts w:hint="eastAsia"/>
          <w:color w:val="auto"/>
          <w:highlight w:val="none"/>
        </w:rPr>
        <w:br w:type="page"/>
      </w:r>
    </w:p>
    <w:p>
      <w:pPr>
        <w:pStyle w:val="25"/>
        <w:rPr>
          <w:color w:val="auto"/>
          <w:highlight w:val="none"/>
        </w:rPr>
      </w:pPr>
    </w:p>
    <w:p>
      <w:pPr>
        <w:pStyle w:val="2"/>
        <w:rPr>
          <w:color w:val="auto"/>
          <w:highlight w:val="none"/>
        </w:rPr>
      </w:pPr>
      <w:bookmarkStart w:id="66" w:name="_Toc24743"/>
      <w:bookmarkStart w:id="67" w:name="_Toc31798"/>
      <w:r>
        <w:rPr>
          <w:rFonts w:hint="eastAsia"/>
          <w:color w:val="auto"/>
          <w:highlight w:val="none"/>
        </w:rPr>
        <w:t>附件1               投标文件封面（格式）</w:t>
      </w:r>
      <w:bookmarkEnd w:id="66"/>
      <w:bookmarkEnd w:id="67"/>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default" w:ascii="宋体" w:hAnsi="宋体" w:eastAsia="宋体" w:cs="宋体"/>
          <w:b/>
          <w:color w:val="auto"/>
          <w:spacing w:val="90"/>
          <w:sz w:val="52"/>
          <w:szCs w:val="52"/>
          <w:highlight w:val="none"/>
          <w:u w:val="singl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8"/>
        <w:spacing w:line="360" w:lineRule="auto"/>
        <w:rPr>
          <w:rFonts w:hint="eastAsia" w:ascii="宋体" w:hAnsi="宋体" w:eastAsia="宋体" w:cs="宋体"/>
          <w:color w:val="auto"/>
          <w:highlight w:val="none"/>
        </w:rPr>
      </w:pPr>
    </w:p>
    <w:p>
      <w:pPr>
        <w:pStyle w:val="48"/>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4"/>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68" w:name="_Toc8818"/>
      <w:bookmarkStart w:id="69" w:name="_Toc14560"/>
      <w:r>
        <w:rPr>
          <w:rFonts w:hint="eastAsia"/>
          <w:color w:val="auto"/>
          <w:highlight w:val="none"/>
        </w:rPr>
        <w:t>附件2               投  标  书（格式）</w:t>
      </w:r>
      <w:bookmarkEnd w:id="68"/>
      <w:bookmarkEnd w:id="69"/>
    </w:p>
    <w:p>
      <w:pPr>
        <w:widowControl/>
        <w:wordWrap w:val="0"/>
        <w:snapToGrid w:val="0"/>
        <w:spacing w:line="46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致：</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eastAsia="zh-CN"/>
        </w:rPr>
        <w:t>采购人</w:t>
      </w:r>
      <w:r>
        <w:rPr>
          <w:rFonts w:hint="eastAsia" w:ascii="宋体" w:hAnsi="宋体" w:cs="宋体"/>
          <w:color w:val="auto"/>
          <w:kern w:val="0"/>
          <w:sz w:val="24"/>
          <w:szCs w:val="24"/>
          <w:highlight w:val="none"/>
          <w:u w:val="single"/>
        </w:rPr>
        <w:t>名称）</w:t>
      </w:r>
      <w:r>
        <w:rPr>
          <w:rFonts w:hint="eastAsia" w:ascii="宋体" w:hAnsi="宋体" w:cs="宋体"/>
          <w:color w:val="auto"/>
          <w:kern w:val="0"/>
          <w:sz w:val="24"/>
          <w:szCs w:val="24"/>
          <w:highlight w:val="none"/>
        </w:rPr>
        <w:t>：</w:t>
      </w:r>
    </w:p>
    <w:p>
      <w:pPr>
        <w:widowControl/>
        <w:wordWrap w:val="0"/>
        <w:spacing w:line="460" w:lineRule="exact"/>
        <w:ind w:firstLine="600" w:firstLineChars="25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（投标人名称）</w:t>
      </w:r>
      <w:r>
        <w:rPr>
          <w:rFonts w:hint="eastAsia" w:ascii="宋体" w:hAnsi="宋体" w:cs="宋体"/>
          <w:color w:val="auto"/>
          <w:kern w:val="0"/>
          <w:sz w:val="24"/>
          <w:szCs w:val="24"/>
          <w:highlight w:val="none"/>
        </w:rPr>
        <w:t xml:space="preserve">现委托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rPr>
        <w:t>（姓名）为我方代理人，参加贵方组织的</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rPr>
        <w:t>项目的投标。现正式提交下述文件1份：</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1、开标一览表。</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2、投标报价明细表。</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4、技术响应表。</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4、商务响应表。</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5、证明文件。</w:t>
      </w:r>
    </w:p>
    <w:p>
      <w:pPr>
        <w:widowControl/>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1、我方承诺已经具备</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文件中规定的参加政府采购活动的投标人应当具备的条件。我方愿意向贵方提供任何与本</w:t>
      </w:r>
      <w:r>
        <w:rPr>
          <w:rFonts w:hint="eastAsia" w:ascii="宋体" w:hAnsi="宋体" w:cs="宋体"/>
          <w:color w:val="auto"/>
          <w:kern w:val="0"/>
          <w:sz w:val="24"/>
          <w:szCs w:val="24"/>
          <w:highlight w:val="none"/>
          <w:lang w:eastAsia="zh-CN"/>
        </w:rPr>
        <w:t>采购</w:t>
      </w:r>
      <w:r>
        <w:rPr>
          <w:rFonts w:hint="eastAsia" w:ascii="宋体" w:hAnsi="宋体" w:cs="宋体"/>
          <w:color w:val="auto"/>
          <w:kern w:val="0"/>
          <w:sz w:val="24"/>
          <w:szCs w:val="24"/>
          <w:highlight w:val="none"/>
        </w:rPr>
        <w:t>项目投标有关的数据、情况和技术资料，并根据需要提供一切承诺的证明材料，并保证其真实、合法、有效。</w:t>
      </w:r>
    </w:p>
    <w:p>
      <w:pPr>
        <w:widowControl/>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2、我方承诺在投标活动中提供的各种材料真实有效。</w:t>
      </w:r>
    </w:p>
    <w:p>
      <w:pPr>
        <w:widowControl/>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4、我方已详细审查全部</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文件，包括修改文件（如有的话）和有关附件，将自行承担因对全部</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文件理解不正确或误解而产生的相应后果。</w:t>
      </w:r>
    </w:p>
    <w:p>
      <w:pPr>
        <w:widowControl/>
        <w:wordWrap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5、我方保证尊重评标委员会的评标结果，完全理解本</w:t>
      </w:r>
      <w:r>
        <w:rPr>
          <w:rFonts w:hint="eastAsia" w:ascii="宋体" w:hAnsi="宋体" w:cs="宋体"/>
          <w:color w:val="auto"/>
          <w:kern w:val="0"/>
          <w:sz w:val="24"/>
          <w:szCs w:val="24"/>
          <w:highlight w:val="none"/>
          <w:lang w:eastAsia="zh-CN"/>
        </w:rPr>
        <w:t>采购</w:t>
      </w:r>
      <w:r>
        <w:rPr>
          <w:rFonts w:hint="eastAsia" w:ascii="宋体" w:hAnsi="宋体" w:cs="宋体"/>
          <w:color w:val="auto"/>
          <w:kern w:val="0"/>
          <w:sz w:val="24"/>
          <w:szCs w:val="24"/>
          <w:highlight w:val="none"/>
        </w:rPr>
        <w:t>项目最低投标价不作为中标的保证。</w:t>
      </w:r>
    </w:p>
    <w:p>
      <w:pPr>
        <w:widowControl/>
        <w:wordWrap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6、我方理解并遵守</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文件的全部规定，接受</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文件中政府采购合同的全部条款且无任何异议。</w:t>
      </w:r>
    </w:p>
    <w:p>
      <w:pPr>
        <w:widowControl/>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7、如果我方代表</w:t>
      </w:r>
      <w:r>
        <w:rPr>
          <w:rFonts w:hint="eastAsia" w:ascii="宋体" w:hAnsi="宋体" w:cs="宋体"/>
          <w:bCs/>
          <w:color w:val="auto"/>
          <w:kern w:val="0"/>
          <w:sz w:val="24"/>
          <w:szCs w:val="24"/>
          <w:highlight w:val="none"/>
        </w:rPr>
        <w:t>未按时参加开标的，视同放弃开标监督权利，认可开标结果。</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8、如果我方存在投标人须知第9.3项所述情况，同意被认定为在经营活动中有重大违法记录。</w:t>
      </w:r>
    </w:p>
    <w:p>
      <w:pPr>
        <w:widowControl/>
        <w:wordWrap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9、如果发生投标人须知第2</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.4.1、2</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.4.3项所述情况，同意我方投标被作为无效投标处理。</w:t>
      </w:r>
    </w:p>
    <w:p>
      <w:pPr>
        <w:widowControl/>
        <w:wordWrap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10、如果发生投标人须知第2</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.5项所述情况，同意评标委员会认定我方的行为属于串通投标的行为，并自愿接受监管部门的处罚。</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11、如果现场变更采购方式，我方同意在不改变</w:t>
      </w:r>
      <w:r>
        <w:rPr>
          <w:rFonts w:hint="eastAsia" w:ascii="宋体" w:hAnsi="宋体" w:cs="宋体"/>
          <w:color w:val="auto"/>
          <w:kern w:val="0"/>
          <w:sz w:val="24"/>
          <w:szCs w:val="24"/>
          <w:highlight w:val="none"/>
          <w:lang w:eastAsia="zh-CN"/>
        </w:rPr>
        <w:t>采购</w:t>
      </w:r>
      <w:r>
        <w:rPr>
          <w:rFonts w:hint="eastAsia" w:ascii="宋体" w:hAnsi="宋体" w:cs="宋体"/>
          <w:color w:val="auto"/>
          <w:kern w:val="0"/>
          <w:sz w:val="24"/>
          <w:szCs w:val="24"/>
          <w:highlight w:val="none"/>
        </w:rPr>
        <w:t>需求、资质条件等情况下，按变更后的采购方式的规定程序进行采购。</w:t>
      </w:r>
    </w:p>
    <w:p>
      <w:pPr>
        <w:widowControl/>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12、如果被确定为中标供应商，我方同意按</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文件的规定领取中标通知书并缴纳服务费。否则，视为我方中标后自动放弃中标资格，承担由此引起的一切后果。</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13、如果被确定为中标供应商，我方同意在领取中标通知书之日起日内，按照</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14、我方最近3年内的被公开披露或查处的违法违规行为有：</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w:t>
      </w:r>
    </w:p>
    <w:p>
      <w:pPr>
        <w:widowControl/>
        <w:tabs>
          <w:tab w:val="left" w:pos="939"/>
        </w:tabs>
        <w:wordWrap w:val="0"/>
        <w:snapToGrid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15、以上事项如有虚假或隐瞒，我方愿意承担一切后果和责任。</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16、与本投标有关的一切正式往来通讯请寄（地址电话必须为最新并可以联系到）：</w:t>
      </w:r>
    </w:p>
    <w:p>
      <w:pPr>
        <w:widowControl/>
        <w:wordWrap w:val="0"/>
        <w:spacing w:line="460" w:lineRule="exact"/>
        <w:ind w:firstLine="480" w:firstLineChars="200"/>
        <w:jc w:val="lef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 xml:space="preserve">   地址：  邮编：</w:t>
      </w:r>
    </w:p>
    <w:p>
      <w:pPr>
        <w:widowControl/>
        <w:wordWrap w:val="0"/>
        <w:spacing w:line="460" w:lineRule="exact"/>
        <w:ind w:firstLine="480" w:firstLineChars="200"/>
        <w:jc w:val="lef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 xml:space="preserve">   电话：  传真： </w:t>
      </w:r>
    </w:p>
    <w:p>
      <w:pPr>
        <w:widowControl/>
        <w:wordWrap w:val="0"/>
        <w:spacing w:line="460" w:lineRule="exact"/>
        <w:ind w:firstLine="480" w:firstLineChars="200"/>
        <w:jc w:val="left"/>
        <w:rPr>
          <w:rFonts w:ascii="宋体" w:hAnsi="宋体" w:cs="宋体"/>
          <w:color w:val="auto"/>
          <w:kern w:val="0"/>
          <w:sz w:val="24"/>
          <w:szCs w:val="24"/>
          <w:highlight w:val="none"/>
        </w:rPr>
      </w:pPr>
    </w:p>
    <w:p>
      <w:pPr>
        <w:widowControl/>
        <w:wordWrap w:val="0"/>
        <w:spacing w:line="460" w:lineRule="exact"/>
        <w:ind w:firstLine="840" w:firstLineChars="350"/>
        <w:jc w:val="lef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 xml:space="preserve">投标人代表签字： </w:t>
      </w:r>
    </w:p>
    <w:p>
      <w:pPr>
        <w:widowControl/>
        <w:wordWrap w:val="0"/>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投标人：（全称并加盖公章）</w:t>
      </w:r>
    </w:p>
    <w:p>
      <w:pPr>
        <w:widowControl/>
        <w:wordWrap w:val="0"/>
        <w:spacing w:line="460" w:lineRule="exact"/>
        <w:ind w:firstLine="480" w:firstLineChars="200"/>
        <w:jc w:val="left"/>
        <w:rPr>
          <w:rFonts w:ascii="宋体" w:hAnsi="宋体" w:cs="宋体"/>
          <w:color w:val="auto"/>
          <w:kern w:val="0"/>
          <w:sz w:val="24"/>
          <w:szCs w:val="24"/>
          <w:highlight w:val="none"/>
        </w:rPr>
      </w:pPr>
    </w:p>
    <w:p>
      <w:pPr>
        <w:widowControl/>
        <w:snapToGrid w:val="0"/>
        <w:spacing w:line="460" w:lineRule="exact"/>
        <w:ind w:firstLine="3840" w:firstLineChars="160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70" w:name="_Toc7838"/>
      <w:r>
        <w:rPr>
          <w:rFonts w:hint="eastAsia"/>
          <w:color w:val="auto"/>
          <w:highlight w:val="none"/>
        </w:rPr>
        <w:t>附件3               开标一览表</w:t>
      </w:r>
      <w:bookmarkEnd w:id="70"/>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 w:val="24"/>
                <w:szCs w:val="24"/>
                <w:highlight w:val="none"/>
              </w:rPr>
            </w:pPr>
            <w:r>
              <w:rPr>
                <w:rFonts w:hint="eastAsia" w:ascii="宋体" w:hAnsi="宋体" w:cs="宋体"/>
                <w:color w:val="auto"/>
                <w:kern w:val="0"/>
                <w:sz w:val="24"/>
                <w:szCs w:val="24"/>
                <w:highlight w:val="none"/>
              </w:rPr>
              <w:t>项目名称</w:t>
            </w:r>
          </w:p>
        </w:tc>
        <w:tc>
          <w:tcPr>
            <w:tcW w:w="7708" w:type="dxa"/>
            <w:noWrap/>
            <w:vAlign w:val="center"/>
          </w:tcPr>
          <w:p>
            <w:pPr>
              <w:rPr>
                <w:rFonts w:ascii="宋体" w:hAnsi="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 w:val="24"/>
                <w:szCs w:val="24"/>
                <w:highlight w:val="none"/>
              </w:rPr>
            </w:pPr>
            <w:r>
              <w:rPr>
                <w:rFonts w:hint="eastAsia" w:ascii="宋体" w:hAnsi="宋体" w:cs="宋体"/>
                <w:color w:val="auto"/>
                <w:kern w:val="0"/>
                <w:sz w:val="24"/>
                <w:szCs w:val="24"/>
                <w:highlight w:val="none"/>
              </w:rPr>
              <w:t>投标人名称</w:t>
            </w:r>
          </w:p>
        </w:tc>
        <w:tc>
          <w:tcPr>
            <w:tcW w:w="7708" w:type="dxa"/>
            <w:noWrap/>
            <w:vAlign w:val="center"/>
          </w:tcPr>
          <w:p>
            <w:pP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 w:val="24"/>
                <w:szCs w:val="24"/>
                <w:highlight w:val="none"/>
              </w:rPr>
            </w:pPr>
            <w:r>
              <w:rPr>
                <w:rFonts w:hint="eastAsia" w:ascii="宋体" w:hAnsi="宋体"/>
                <w:color w:val="auto"/>
                <w:sz w:val="24"/>
                <w:szCs w:val="24"/>
                <w:highlight w:val="none"/>
              </w:rPr>
              <w:t>投标报价</w:t>
            </w:r>
          </w:p>
        </w:tc>
        <w:tc>
          <w:tcPr>
            <w:tcW w:w="7708" w:type="dxa"/>
            <w:noWrap/>
            <w:vAlign w:val="center"/>
          </w:tcPr>
          <w:p>
            <w:pPr>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大写：        元</w:t>
            </w:r>
          </w:p>
          <w:p>
            <w:pP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 w:val="24"/>
                <w:szCs w:val="24"/>
                <w:highlight w:val="none"/>
              </w:rPr>
            </w:pPr>
            <w:r>
              <w:rPr>
                <w:rFonts w:hint="eastAsia" w:ascii="宋体" w:hAnsi="宋体" w:cs="宋体"/>
                <w:color w:val="auto"/>
                <w:kern w:val="0"/>
                <w:sz w:val="24"/>
                <w:szCs w:val="24"/>
                <w:highlight w:val="none"/>
              </w:rPr>
              <w:t>交货地点</w:t>
            </w:r>
          </w:p>
        </w:tc>
        <w:tc>
          <w:tcPr>
            <w:tcW w:w="7708" w:type="dxa"/>
            <w:noWrap/>
            <w:vAlign w:val="bottom"/>
          </w:tcPr>
          <w:p>
            <w:pPr>
              <w:spacing w:line="360" w:lineRule="auto"/>
              <w:ind w:firstLine="1320" w:firstLineChars="550"/>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质保期</w:t>
            </w:r>
          </w:p>
        </w:tc>
        <w:tc>
          <w:tcPr>
            <w:tcW w:w="7708" w:type="dxa"/>
            <w:noWrap/>
            <w:vAlign w:val="bottom"/>
          </w:tcPr>
          <w:p>
            <w:pPr>
              <w:spacing w:line="360" w:lineRule="auto"/>
              <w:ind w:firstLine="1320" w:firstLineChars="550"/>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 w:val="24"/>
                <w:szCs w:val="24"/>
                <w:highlight w:val="none"/>
              </w:rPr>
            </w:pPr>
            <w:r>
              <w:rPr>
                <w:rFonts w:hint="eastAsia" w:ascii="宋体" w:hAnsi="宋体" w:cs="宋体"/>
                <w:color w:val="auto"/>
                <w:kern w:val="0"/>
                <w:sz w:val="24"/>
                <w:szCs w:val="24"/>
                <w:highlight w:val="none"/>
              </w:rPr>
              <w:t>投标有效期</w:t>
            </w:r>
          </w:p>
        </w:tc>
        <w:tc>
          <w:tcPr>
            <w:tcW w:w="7708" w:type="dxa"/>
            <w:noWrap/>
            <w:vAlign w:val="bottom"/>
          </w:tcPr>
          <w:p>
            <w:pPr>
              <w:spacing w:line="360" w:lineRule="auto"/>
              <w:ind w:firstLine="1320" w:firstLineChars="550"/>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质量标准</w:t>
            </w:r>
          </w:p>
        </w:tc>
        <w:tc>
          <w:tcPr>
            <w:tcW w:w="7708" w:type="dxa"/>
            <w:noWrap/>
            <w:vAlign w:val="bottom"/>
          </w:tcPr>
          <w:p>
            <w:pPr>
              <w:spacing w:line="360" w:lineRule="auto"/>
              <w:ind w:firstLine="1320" w:firstLineChars="550"/>
              <w:rPr>
                <w:rFonts w:ascii="宋体" w:hAnsi="宋体"/>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备  注</w:t>
            </w:r>
          </w:p>
        </w:tc>
        <w:tc>
          <w:tcPr>
            <w:tcW w:w="7708" w:type="dxa"/>
            <w:noWrap/>
            <w:vAlign w:val="center"/>
          </w:tcPr>
          <w:p>
            <w:pPr>
              <w:pStyle w:val="18"/>
              <w:ind w:left="0" w:leftChars="0"/>
              <w:rPr>
                <w:color w:val="auto"/>
                <w:sz w:val="24"/>
                <w:szCs w:val="24"/>
                <w:highlight w:val="none"/>
              </w:rPr>
            </w:pPr>
          </w:p>
        </w:tc>
      </w:tr>
    </w:tbl>
    <w:p>
      <w:pPr>
        <w:rPr>
          <w:color w:val="auto"/>
          <w:sz w:val="24"/>
          <w:szCs w:val="24"/>
          <w:highlight w:val="none"/>
        </w:rPr>
      </w:pP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注: 1、报价一经涂改，应在涂改处加盖单位公章或投标人代表签字或盖章，否则其投标作无效标处理。</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2、以上报价应与“投标报价明细表”中的报价相一致。</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3、凡认为所投产品符合价格折扣条件的，在相应的产品的“备注”栏内注明符合何种折扣条件。</w:t>
      </w:r>
    </w:p>
    <w:p>
      <w:pP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szCs w:val="24"/>
          <w:highlight w:val="none"/>
        </w:rPr>
      </w:pPr>
    </w:p>
    <w:p>
      <w:pPr>
        <w:rPr>
          <w:color w:val="auto"/>
          <w:sz w:val="24"/>
          <w:szCs w:val="24"/>
          <w:highlight w:val="none"/>
        </w:rPr>
      </w:pPr>
    </w:p>
    <w:p>
      <w:pPr>
        <w:rPr>
          <w:color w:val="auto"/>
          <w:sz w:val="24"/>
          <w:szCs w:val="24"/>
          <w:highlight w:val="none"/>
        </w:rPr>
      </w:pPr>
    </w:p>
    <w:p>
      <w:pPr>
        <w:spacing w:line="360" w:lineRule="auto"/>
        <w:ind w:firstLine="480" w:firstLineChars="200"/>
        <w:jc w:val="center"/>
        <w:rPr>
          <w:rFonts w:ascii="宋体" w:hAnsi="宋体"/>
          <w:color w:val="auto"/>
          <w:sz w:val="24"/>
          <w:szCs w:val="24"/>
          <w:highlight w:val="none"/>
        </w:rPr>
      </w:pPr>
      <w:bookmarkStart w:id="71" w:name="_Toc20877"/>
      <w:bookmarkStart w:id="72" w:name="_Toc11620"/>
      <w:r>
        <w:rPr>
          <w:rFonts w:hint="eastAsia" w:ascii="宋体" w:hAnsi="宋体"/>
          <w:color w:val="auto"/>
          <w:sz w:val="24"/>
          <w:szCs w:val="24"/>
          <w:highlight w:val="none"/>
        </w:rPr>
        <w:t>投标人（全称并加盖公章）：</w:t>
      </w:r>
      <w:bookmarkEnd w:id="71"/>
      <w:bookmarkEnd w:id="72"/>
    </w:p>
    <w:p>
      <w:pPr>
        <w:jc w:val="center"/>
        <w:rPr>
          <w:rFonts w:ascii="宋体" w:hAnsi="宋体"/>
          <w:color w:val="auto"/>
          <w:sz w:val="24"/>
          <w:szCs w:val="24"/>
          <w:highlight w:val="none"/>
        </w:rPr>
      </w:pPr>
    </w:p>
    <w:p>
      <w:pPr>
        <w:spacing w:line="360" w:lineRule="auto"/>
        <w:ind w:firstLine="480" w:firstLineChars="200"/>
        <w:jc w:val="center"/>
        <w:rPr>
          <w:rFonts w:ascii="宋体" w:hAnsi="宋体"/>
          <w:color w:val="auto"/>
          <w:sz w:val="24"/>
          <w:szCs w:val="24"/>
          <w:highlight w:val="none"/>
          <w:u w:val="single"/>
        </w:rPr>
      </w:pPr>
      <w:bookmarkStart w:id="73" w:name="_Toc12222"/>
      <w:bookmarkStart w:id="74" w:name="_Toc625"/>
      <w:r>
        <w:rPr>
          <w:rFonts w:hint="eastAsia" w:ascii="宋体" w:hAnsi="宋体"/>
          <w:color w:val="auto"/>
          <w:sz w:val="24"/>
          <w:szCs w:val="24"/>
          <w:highlight w:val="none"/>
        </w:rPr>
        <w:t>法定代表人或其委托代理人（签字）：</w:t>
      </w:r>
      <w:bookmarkEnd w:id="73"/>
      <w:bookmarkEnd w:id="74"/>
    </w:p>
    <w:p>
      <w:pPr>
        <w:jc w:val="center"/>
        <w:rPr>
          <w:rFonts w:ascii="宋体" w:hAnsi="宋体"/>
          <w:color w:val="auto"/>
          <w:sz w:val="24"/>
          <w:szCs w:val="24"/>
          <w:highlight w:val="none"/>
        </w:rPr>
      </w:pPr>
    </w:p>
    <w:p>
      <w:pPr>
        <w:spacing w:line="360" w:lineRule="auto"/>
        <w:ind w:firstLine="480" w:firstLineChars="200"/>
        <w:jc w:val="center"/>
        <w:rPr>
          <w:rFonts w:ascii="宋体" w:hAnsi="宋体"/>
          <w:color w:val="auto"/>
          <w:sz w:val="24"/>
          <w:szCs w:val="24"/>
          <w:highlight w:val="none"/>
        </w:rPr>
      </w:pPr>
      <w:bookmarkStart w:id="75" w:name="_Toc1330"/>
      <w:bookmarkStart w:id="76" w:name="_Toc9950"/>
      <w:r>
        <w:rPr>
          <w:rFonts w:hint="eastAsia" w:ascii="宋体" w:hAnsi="宋体"/>
          <w:color w:val="auto"/>
          <w:sz w:val="24"/>
          <w:szCs w:val="24"/>
          <w:highlight w:val="none"/>
        </w:rPr>
        <w:t>年  月  日</w:t>
      </w:r>
      <w:bookmarkEnd w:id="75"/>
      <w:bookmarkEnd w:id="76"/>
    </w:p>
    <w:p>
      <w:pPr>
        <w:rPr>
          <w:color w:val="auto"/>
          <w:sz w:val="24"/>
          <w:szCs w:val="24"/>
          <w:highlight w:val="none"/>
        </w:rPr>
      </w:pPr>
      <w:r>
        <w:rPr>
          <w:color w:val="auto"/>
          <w:sz w:val="24"/>
          <w:szCs w:val="24"/>
          <w:highlight w:val="none"/>
        </w:rPr>
        <w:br w:type="page"/>
      </w:r>
    </w:p>
    <w:p>
      <w:pPr>
        <w:rPr>
          <w:color w:val="auto"/>
          <w:highlight w:val="none"/>
        </w:rPr>
      </w:pPr>
    </w:p>
    <w:bookmarkEnd w:id="51"/>
    <w:bookmarkEnd w:id="52"/>
    <w:p>
      <w:pPr>
        <w:pStyle w:val="2"/>
        <w:spacing w:before="20" w:after="20"/>
        <w:rPr>
          <w:color w:val="auto"/>
          <w:highlight w:val="none"/>
        </w:rPr>
      </w:pPr>
      <w:bookmarkStart w:id="77" w:name="_Toc22004"/>
      <w:bookmarkStart w:id="78" w:name="_Toc24984"/>
      <w:r>
        <w:rPr>
          <w:rFonts w:hint="eastAsia"/>
          <w:color w:val="auto"/>
          <w:highlight w:val="none"/>
        </w:rPr>
        <w:t>附件4               报价明细表</w:t>
      </w:r>
      <w:bookmarkEnd w:id="77"/>
      <w:bookmarkEnd w:id="78"/>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2"/>
        <w:tblW w:w="909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283"/>
        <w:gridCol w:w="1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28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1568"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28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56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28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56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28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56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28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56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28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56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28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56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28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56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28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56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28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56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527"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1568"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kern w:val="0"/>
                <w:sz w:val="24"/>
                <w:szCs w:val="21"/>
                <w:highlight w:val="none"/>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2"/>
        <w:rPr>
          <w:color w:val="auto"/>
          <w:highlight w:val="none"/>
        </w:rPr>
      </w:pPr>
      <w:r>
        <w:rPr>
          <w:rFonts w:hint="eastAsia"/>
          <w:color w:val="auto"/>
          <w:highlight w:val="none"/>
        </w:rPr>
        <w:br w:type="page"/>
      </w:r>
      <w:bookmarkStart w:id="79" w:name="_Toc226"/>
      <w:bookmarkStart w:id="80" w:name="_Toc15804"/>
      <w:r>
        <w:rPr>
          <w:rFonts w:hint="eastAsia"/>
          <w:color w:val="auto"/>
          <w:highlight w:val="none"/>
        </w:rPr>
        <w:t>附件5               技术响应表（格式）</w:t>
      </w:r>
      <w:bookmarkEnd w:id="79"/>
      <w:bookmarkEnd w:id="80"/>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2"/>
        <w:rPr>
          <w:bCs/>
          <w:color w:val="auto"/>
          <w:kern w:val="0"/>
          <w:highlight w:val="none"/>
        </w:rPr>
      </w:pPr>
    </w:p>
    <w:p>
      <w:pPr>
        <w:pStyle w:val="52"/>
        <w:rPr>
          <w:bCs/>
          <w:color w:val="auto"/>
          <w:kern w:val="0"/>
          <w:highlight w:val="none"/>
        </w:rPr>
      </w:pPr>
    </w:p>
    <w:p>
      <w:pPr>
        <w:pStyle w:val="52"/>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eastAsia="zh-CN"/>
        </w:rPr>
      </w:pPr>
      <w:bookmarkStart w:id="81" w:name="_Toc20420"/>
      <w:bookmarkStart w:id="82" w:name="_Toc29960"/>
      <w:bookmarkStart w:id="83" w:name="_Toc14290"/>
      <w:r>
        <w:rPr>
          <w:rFonts w:hint="eastAsia" w:ascii="Arial" w:hAnsi="Arial" w:eastAsia="新宋体"/>
          <w:b/>
          <w:color w:val="auto"/>
          <w:sz w:val="28"/>
          <w:highlight w:val="none"/>
        </w:rPr>
        <w:t>附件6               商务响应</w:t>
      </w:r>
      <w:bookmarkEnd w:id="81"/>
      <w:bookmarkEnd w:id="82"/>
      <w:r>
        <w:rPr>
          <w:rFonts w:hint="eastAsia" w:ascii="Arial" w:hAnsi="Arial" w:eastAsia="新宋体"/>
          <w:b/>
          <w:color w:val="auto"/>
          <w:sz w:val="28"/>
          <w:highlight w:val="none"/>
          <w:lang w:val="en-US" w:eastAsia="zh-CN"/>
        </w:rPr>
        <w:t>部分</w:t>
      </w:r>
      <w:bookmarkEnd w:id="83"/>
    </w:p>
    <w:p>
      <w:pPr>
        <w:widowControl/>
        <w:wordWrap w:val="0"/>
        <w:snapToGrid w:val="0"/>
        <w:spacing w:before="50" w:afterLines="50"/>
        <w:jc w:val="left"/>
        <w:rPr>
          <w:rFonts w:cs="宋体"/>
          <w:color w:val="auto"/>
          <w:kern w:val="0"/>
          <w:sz w:val="24"/>
          <w:highlight w:val="none"/>
        </w:rPr>
      </w:pPr>
    </w:p>
    <w:p>
      <w:pPr>
        <w:widowControl/>
        <w:wordWrap w:val="0"/>
        <w:spacing w:line="460" w:lineRule="exact"/>
        <w:ind w:firstLine="480" w:firstLineChars="200"/>
        <w:jc w:val="left"/>
        <w:rPr>
          <w:rFonts w:hint="default" w:ascii="宋体" w:hAnsi="宋体" w:eastAsia="宋体" w:cs="宋体"/>
          <w:b/>
          <w:color w:val="auto"/>
          <w:kern w:val="0"/>
          <w:sz w:val="32"/>
          <w:szCs w:val="32"/>
          <w:highlight w:val="none"/>
          <w:lang w:val="en-US" w:eastAsia="zh-CN"/>
        </w:rPr>
      </w:pPr>
      <w:r>
        <w:rPr>
          <w:rFonts w:hint="eastAsia" w:cs="宋体"/>
          <w:color w:val="auto"/>
          <w:kern w:val="0"/>
          <w:sz w:val="24"/>
          <w:highlight w:val="none"/>
          <w:lang w:eastAsia="zh-CN"/>
        </w:rPr>
        <w:t xml:space="preserve"> </w:t>
      </w:r>
      <w:r>
        <w:rPr>
          <w:rFonts w:hint="eastAsia" w:ascii="宋体" w:hAnsi="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ascii="宋体" w:hAnsi="宋体" w:cs="宋体"/>
          <w:b/>
          <w:color w:val="auto"/>
          <w:kern w:val="0"/>
          <w:sz w:val="32"/>
          <w:szCs w:val="32"/>
          <w:highlight w:val="none"/>
        </w:rPr>
      </w:pPr>
    </w:p>
    <w:p>
      <w:pPr>
        <w:widowControl/>
        <w:wordWrap w:val="0"/>
        <w:spacing w:line="460" w:lineRule="exact"/>
        <w:jc w:val="left"/>
        <w:outlineLvl w:val="9"/>
        <w:rPr>
          <w:rFonts w:cs="宋体"/>
          <w:b/>
          <w:color w:val="auto"/>
          <w:kern w:val="0"/>
          <w:sz w:val="24"/>
          <w:highlight w:val="none"/>
        </w:rPr>
      </w:pPr>
    </w:p>
    <w:p>
      <w:pPr>
        <w:widowControl/>
        <w:wordWrap w:val="0"/>
        <w:spacing w:line="460" w:lineRule="exact"/>
        <w:jc w:val="left"/>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color w:val="auto"/>
        </w:rPr>
      </w:pPr>
    </w:p>
    <w:p>
      <w:pPr>
        <w:outlineLvl w:val="9"/>
        <w:rPr>
          <w:rFonts w:cs="宋体"/>
          <w:b/>
          <w:color w:val="auto"/>
          <w:kern w:val="0"/>
          <w:sz w:val="24"/>
          <w:highlight w:val="none"/>
        </w:rPr>
      </w:pPr>
      <w:r>
        <w:rPr>
          <w:rFonts w:cs="宋体"/>
          <w:b/>
          <w:color w:val="auto"/>
          <w:kern w:val="0"/>
          <w:sz w:val="24"/>
          <w:highlight w:val="none"/>
        </w:rPr>
        <w:br w:type="page"/>
      </w:r>
    </w:p>
    <w:p>
      <w:pPr>
        <w:pStyle w:val="30"/>
        <w:rPr>
          <w:color w:val="auto"/>
        </w:rPr>
      </w:pPr>
    </w:p>
    <w:p>
      <w:pPr>
        <w:widowControl/>
        <w:wordWrap w:val="0"/>
        <w:spacing w:line="460" w:lineRule="exact"/>
        <w:jc w:val="left"/>
        <w:outlineLvl w:val="0"/>
        <w:rPr>
          <w:rFonts w:ascii="Arial" w:hAnsi="Arial" w:eastAsia="新宋体"/>
          <w:b/>
          <w:color w:val="auto"/>
          <w:sz w:val="28"/>
          <w:highlight w:val="none"/>
        </w:rPr>
      </w:pPr>
      <w:bookmarkStart w:id="84" w:name="_Toc31526"/>
      <w:bookmarkStart w:id="85" w:name="_Toc2169"/>
      <w:bookmarkStart w:id="86" w:name="_Toc28621"/>
      <w:r>
        <w:rPr>
          <w:rFonts w:hint="eastAsia" w:ascii="Arial" w:hAnsi="Arial" w:eastAsia="新宋体"/>
          <w:b/>
          <w:color w:val="auto"/>
          <w:sz w:val="28"/>
          <w:highlight w:val="none"/>
        </w:rPr>
        <w:t>附件7               法定代表人身份证明（格式）</w:t>
      </w:r>
      <w:bookmarkEnd w:id="84"/>
      <w:bookmarkEnd w:id="85"/>
      <w:bookmarkEnd w:id="86"/>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7" w:name="_Toc13976"/>
      <w:bookmarkStart w:id="88" w:name="_Toc30519"/>
      <w:bookmarkStart w:id="89" w:name="_Toc16979"/>
      <w:r>
        <w:rPr>
          <w:rFonts w:hint="eastAsia" w:ascii="Arial" w:hAnsi="Arial" w:eastAsia="新宋体"/>
          <w:b/>
          <w:color w:val="auto"/>
          <w:sz w:val="28"/>
          <w:highlight w:val="none"/>
        </w:rPr>
        <w:t>附件8               法定代表人授权书（格式）</w:t>
      </w:r>
      <w:bookmarkEnd w:id="87"/>
      <w:bookmarkEnd w:id="88"/>
      <w:bookmarkEnd w:id="89"/>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90" w:name="_Toc18819"/>
      <w:bookmarkStart w:id="91" w:name="_Toc18105"/>
      <w:bookmarkStart w:id="92" w:name="_Toc24693"/>
      <w:r>
        <w:rPr>
          <w:rFonts w:hint="eastAsia" w:ascii="Arial" w:hAnsi="Arial" w:eastAsia="新宋体"/>
          <w:b/>
          <w:color w:val="auto"/>
          <w:sz w:val="28"/>
          <w:highlight w:val="none"/>
        </w:rPr>
        <w:t>附件9               证明文件</w:t>
      </w:r>
      <w:bookmarkEnd w:id="90"/>
      <w:bookmarkEnd w:id="91"/>
      <w:bookmarkEnd w:id="92"/>
    </w:p>
    <w:p>
      <w:pPr>
        <w:pStyle w:val="8"/>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8"/>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8"/>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93" w:name="_Toc17966"/>
    </w:p>
    <w:p>
      <w:pPr>
        <w:pStyle w:val="8"/>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8"/>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8"/>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94" w:name="_Toc13726"/>
      <w:bookmarkStart w:id="95" w:name="_Toc11559"/>
      <w:bookmarkStart w:id="96" w:name="_Toc12888"/>
      <w:r>
        <w:rPr>
          <w:rFonts w:hint="eastAsia" w:ascii="宋体" w:hAnsi="宋体" w:cs="Lucida Sans Unicode"/>
          <w:b/>
          <w:color w:val="auto"/>
          <w:kern w:val="0"/>
          <w:sz w:val="28"/>
          <w:szCs w:val="28"/>
          <w:highlight w:val="none"/>
        </w:rPr>
        <w:t xml:space="preserve">附件10        </w:t>
      </w:r>
      <w:bookmarkEnd w:id="93"/>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94"/>
      <w:bookmarkEnd w:id="95"/>
      <w:bookmarkEnd w:id="96"/>
    </w:p>
    <w:p>
      <w:pPr>
        <w:bidi w:val="0"/>
        <w:rPr>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widowControl/>
        <w:shd w:val="clear" w:color="auto" w:fill="auto"/>
        <w:ind w:firstLine="360" w:firstLineChars="150"/>
        <w:jc w:val="left"/>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rPr>
      </w:pPr>
    </w:p>
    <w:p>
      <w:pPr>
        <w:pStyle w:val="50"/>
        <w:rPr>
          <w:color w:val="auto"/>
        </w:rPr>
      </w:pPr>
    </w:p>
    <w:p>
      <w:pPr>
        <w:widowControl/>
        <w:snapToGrid w:val="0"/>
        <w:spacing w:line="360" w:lineRule="auto"/>
        <w:jc w:val="center"/>
        <w:outlineLvl w:val="0"/>
        <w:rPr>
          <w:rFonts w:ascii="宋体" w:hAnsi="宋体" w:cs="Lucida Sans Unicode"/>
          <w:b/>
          <w:color w:val="auto"/>
          <w:kern w:val="0"/>
          <w:sz w:val="24"/>
          <w:highlight w:val="none"/>
        </w:rPr>
      </w:pPr>
      <w:bookmarkStart w:id="97" w:name="_Toc25094"/>
      <w:bookmarkStart w:id="98" w:name="_Toc23394"/>
      <w:bookmarkStart w:id="99" w:name="_Toc4178"/>
      <w:r>
        <w:rPr>
          <w:rFonts w:hint="eastAsia" w:ascii="宋体" w:hAnsi="宋体" w:cs="Lucida Sans Unicode"/>
          <w:b/>
          <w:color w:val="auto"/>
          <w:kern w:val="0"/>
          <w:sz w:val="24"/>
          <w:highlight w:val="none"/>
        </w:rPr>
        <w:t>投标人认为有必要的其他资料</w:t>
      </w:r>
      <w:bookmarkEnd w:id="97"/>
      <w:bookmarkEnd w:id="98"/>
      <w:bookmarkEnd w:id="99"/>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ascii="宋体" w:hAnsi="宋体" w:cs="宋体"/>
        <w:color w:val="auto"/>
        <w:szCs w:val="21"/>
        <w:highlight w:val="none"/>
        <w:lang w:eastAsia="zh-CN"/>
      </w:rPr>
      <w:t>驻马店市中心医院医用输血输液加温器采购项目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eastAsia="宋体"/>
        <w:lang w:val="en-US" w:eastAsia="zh-CN"/>
      </w:rPr>
    </w:pPr>
    <w:r>
      <w:rPr>
        <w:rFonts w:hint="eastAsia"/>
      </w:rPr>
      <w:t xml:space="preserve">                         </w:t>
    </w:r>
    <w:r>
      <w:rPr>
        <w:rFonts w:hint="eastAsia" w:ascii="宋体" w:hAnsi="宋体" w:cs="宋体"/>
        <w:color w:val="auto"/>
        <w:szCs w:val="21"/>
        <w:highlight w:val="none"/>
        <w:lang w:eastAsia="zh-CN"/>
      </w:rPr>
      <w:t>驻马店市中心医院医用输血输液加温器采购项目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abstractNum w:abstractNumId="3">
    <w:nsid w:val="6B443D07"/>
    <w:multiLevelType w:val="singleLevel"/>
    <w:tmpl w:val="6B443D07"/>
    <w:lvl w:ilvl="0" w:tentative="0">
      <w:start w:val="4"/>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200E"/>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CC1143"/>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070D64"/>
    <w:rsid w:val="04416C20"/>
    <w:rsid w:val="047968B1"/>
    <w:rsid w:val="0481606D"/>
    <w:rsid w:val="04870542"/>
    <w:rsid w:val="04B9160E"/>
    <w:rsid w:val="05157BA2"/>
    <w:rsid w:val="053F1F5A"/>
    <w:rsid w:val="05545DD3"/>
    <w:rsid w:val="056E2AD6"/>
    <w:rsid w:val="05806815"/>
    <w:rsid w:val="058251D3"/>
    <w:rsid w:val="05945CCE"/>
    <w:rsid w:val="059D05A4"/>
    <w:rsid w:val="059D5E17"/>
    <w:rsid w:val="05AB0A28"/>
    <w:rsid w:val="05AB0F81"/>
    <w:rsid w:val="05B93D6B"/>
    <w:rsid w:val="05D53002"/>
    <w:rsid w:val="05D75738"/>
    <w:rsid w:val="05DB25FB"/>
    <w:rsid w:val="061E7D14"/>
    <w:rsid w:val="0646323F"/>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B10EA5"/>
    <w:rsid w:val="07CE3FA1"/>
    <w:rsid w:val="07EC2ECB"/>
    <w:rsid w:val="07FE66CB"/>
    <w:rsid w:val="080B4D47"/>
    <w:rsid w:val="08321601"/>
    <w:rsid w:val="083D5C91"/>
    <w:rsid w:val="0847191F"/>
    <w:rsid w:val="08591DC3"/>
    <w:rsid w:val="087C4541"/>
    <w:rsid w:val="087E5595"/>
    <w:rsid w:val="08C52D6F"/>
    <w:rsid w:val="08D01612"/>
    <w:rsid w:val="08EF0201"/>
    <w:rsid w:val="08F41DE8"/>
    <w:rsid w:val="09737462"/>
    <w:rsid w:val="099156C3"/>
    <w:rsid w:val="09A53F39"/>
    <w:rsid w:val="09A60E13"/>
    <w:rsid w:val="09D206F0"/>
    <w:rsid w:val="0A321AC2"/>
    <w:rsid w:val="0A343D4E"/>
    <w:rsid w:val="0A3E6D2E"/>
    <w:rsid w:val="0A6C3DC0"/>
    <w:rsid w:val="0AD13A85"/>
    <w:rsid w:val="0AE033D9"/>
    <w:rsid w:val="0B091954"/>
    <w:rsid w:val="0B167AE8"/>
    <w:rsid w:val="0B1A1257"/>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1771C4"/>
    <w:rsid w:val="0D3F3A0E"/>
    <w:rsid w:val="0DB53B00"/>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13329E7"/>
    <w:rsid w:val="113F294C"/>
    <w:rsid w:val="11437C85"/>
    <w:rsid w:val="1166372C"/>
    <w:rsid w:val="11700D10"/>
    <w:rsid w:val="1178125A"/>
    <w:rsid w:val="1196056D"/>
    <w:rsid w:val="11D34654"/>
    <w:rsid w:val="11DE0FD1"/>
    <w:rsid w:val="12010480"/>
    <w:rsid w:val="120E707F"/>
    <w:rsid w:val="127A7D1C"/>
    <w:rsid w:val="12836D8B"/>
    <w:rsid w:val="12AB0349"/>
    <w:rsid w:val="12CD57F1"/>
    <w:rsid w:val="12CE7AFA"/>
    <w:rsid w:val="12D67466"/>
    <w:rsid w:val="12D8538D"/>
    <w:rsid w:val="12E549BD"/>
    <w:rsid w:val="13272A5D"/>
    <w:rsid w:val="13493108"/>
    <w:rsid w:val="1373392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ED3D4F"/>
    <w:rsid w:val="14FC36BD"/>
    <w:rsid w:val="151E3A0F"/>
    <w:rsid w:val="1557566D"/>
    <w:rsid w:val="15811F1B"/>
    <w:rsid w:val="15A30135"/>
    <w:rsid w:val="15A34015"/>
    <w:rsid w:val="15E2236F"/>
    <w:rsid w:val="161D09ED"/>
    <w:rsid w:val="162323A3"/>
    <w:rsid w:val="162F30B1"/>
    <w:rsid w:val="16510F12"/>
    <w:rsid w:val="166448F9"/>
    <w:rsid w:val="16647475"/>
    <w:rsid w:val="1677211D"/>
    <w:rsid w:val="167954F9"/>
    <w:rsid w:val="16A060BA"/>
    <w:rsid w:val="16A57EAF"/>
    <w:rsid w:val="16AC6E3F"/>
    <w:rsid w:val="16C872D5"/>
    <w:rsid w:val="16D54FA3"/>
    <w:rsid w:val="16D84D9F"/>
    <w:rsid w:val="16E94D3E"/>
    <w:rsid w:val="170D06E0"/>
    <w:rsid w:val="171A2E9A"/>
    <w:rsid w:val="17332185"/>
    <w:rsid w:val="17475951"/>
    <w:rsid w:val="179F2E61"/>
    <w:rsid w:val="17C227C0"/>
    <w:rsid w:val="18097740"/>
    <w:rsid w:val="185D3C42"/>
    <w:rsid w:val="185F38AF"/>
    <w:rsid w:val="18AD1BEB"/>
    <w:rsid w:val="18B3004A"/>
    <w:rsid w:val="18B96080"/>
    <w:rsid w:val="18F67868"/>
    <w:rsid w:val="190B2D88"/>
    <w:rsid w:val="190E6B63"/>
    <w:rsid w:val="19123928"/>
    <w:rsid w:val="19194264"/>
    <w:rsid w:val="19420786"/>
    <w:rsid w:val="19427EC0"/>
    <w:rsid w:val="195711D7"/>
    <w:rsid w:val="195D2A3F"/>
    <w:rsid w:val="198310E9"/>
    <w:rsid w:val="198D747A"/>
    <w:rsid w:val="19A15638"/>
    <w:rsid w:val="19CE23A1"/>
    <w:rsid w:val="1A125525"/>
    <w:rsid w:val="1A514E33"/>
    <w:rsid w:val="1A5F4342"/>
    <w:rsid w:val="1A8C5D82"/>
    <w:rsid w:val="1A994988"/>
    <w:rsid w:val="1A9B546C"/>
    <w:rsid w:val="1AA3511F"/>
    <w:rsid w:val="1AAE3B54"/>
    <w:rsid w:val="1AC10987"/>
    <w:rsid w:val="1B0C5B32"/>
    <w:rsid w:val="1B0D3E82"/>
    <w:rsid w:val="1B1652AB"/>
    <w:rsid w:val="1B181CD5"/>
    <w:rsid w:val="1B265306"/>
    <w:rsid w:val="1B3426D8"/>
    <w:rsid w:val="1B4F2450"/>
    <w:rsid w:val="1B8C18B7"/>
    <w:rsid w:val="1BB73AE1"/>
    <w:rsid w:val="1BDA6D68"/>
    <w:rsid w:val="1C555978"/>
    <w:rsid w:val="1C6554A1"/>
    <w:rsid w:val="1C7971B7"/>
    <w:rsid w:val="1CD402EC"/>
    <w:rsid w:val="1CF02333"/>
    <w:rsid w:val="1D0C33A2"/>
    <w:rsid w:val="1D113E6E"/>
    <w:rsid w:val="1D114E5E"/>
    <w:rsid w:val="1D1F0050"/>
    <w:rsid w:val="1D2222DC"/>
    <w:rsid w:val="1D5B3CDE"/>
    <w:rsid w:val="1D6E2950"/>
    <w:rsid w:val="1D98209B"/>
    <w:rsid w:val="1DA23746"/>
    <w:rsid w:val="1DAA14B9"/>
    <w:rsid w:val="1DD04513"/>
    <w:rsid w:val="1E4C5F8A"/>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A1406"/>
    <w:rsid w:val="1FEF08C8"/>
    <w:rsid w:val="1FF72E6A"/>
    <w:rsid w:val="20176124"/>
    <w:rsid w:val="201B3ED4"/>
    <w:rsid w:val="20310B02"/>
    <w:rsid w:val="206F0406"/>
    <w:rsid w:val="20784063"/>
    <w:rsid w:val="207E346A"/>
    <w:rsid w:val="208E12C3"/>
    <w:rsid w:val="209502A3"/>
    <w:rsid w:val="20B9460A"/>
    <w:rsid w:val="210F579E"/>
    <w:rsid w:val="212550B5"/>
    <w:rsid w:val="21484F14"/>
    <w:rsid w:val="21592B62"/>
    <w:rsid w:val="21747CD2"/>
    <w:rsid w:val="219E5782"/>
    <w:rsid w:val="21E72B0B"/>
    <w:rsid w:val="221F2D96"/>
    <w:rsid w:val="22246DB1"/>
    <w:rsid w:val="22440067"/>
    <w:rsid w:val="2250480C"/>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6016AA"/>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0B7C95"/>
    <w:rsid w:val="2B100BA9"/>
    <w:rsid w:val="2B1E3AFC"/>
    <w:rsid w:val="2B9E4F56"/>
    <w:rsid w:val="2BDB5A88"/>
    <w:rsid w:val="2BE91C37"/>
    <w:rsid w:val="2BEC3F72"/>
    <w:rsid w:val="2C083572"/>
    <w:rsid w:val="2C185F94"/>
    <w:rsid w:val="2C1F1AC4"/>
    <w:rsid w:val="2C3D03A0"/>
    <w:rsid w:val="2C3F3A41"/>
    <w:rsid w:val="2C4431C4"/>
    <w:rsid w:val="2C62059F"/>
    <w:rsid w:val="2C6634FA"/>
    <w:rsid w:val="2CAC022C"/>
    <w:rsid w:val="2CC11807"/>
    <w:rsid w:val="2CF16074"/>
    <w:rsid w:val="2CF81D1B"/>
    <w:rsid w:val="2D3F2453"/>
    <w:rsid w:val="2D835174"/>
    <w:rsid w:val="2DD90B7B"/>
    <w:rsid w:val="2DDC0033"/>
    <w:rsid w:val="2DDD3FC1"/>
    <w:rsid w:val="2DF701D8"/>
    <w:rsid w:val="2DF970A1"/>
    <w:rsid w:val="2E085834"/>
    <w:rsid w:val="2E1034F8"/>
    <w:rsid w:val="2E505773"/>
    <w:rsid w:val="2E742F70"/>
    <w:rsid w:val="2EDC2A13"/>
    <w:rsid w:val="2EFD7DB9"/>
    <w:rsid w:val="2F1A081D"/>
    <w:rsid w:val="2F1E3DC0"/>
    <w:rsid w:val="2F3112DE"/>
    <w:rsid w:val="2F3B6922"/>
    <w:rsid w:val="2F506C6D"/>
    <w:rsid w:val="2F51291F"/>
    <w:rsid w:val="2F55758A"/>
    <w:rsid w:val="2F7F15AE"/>
    <w:rsid w:val="2FA54796"/>
    <w:rsid w:val="2FA674E2"/>
    <w:rsid w:val="2FFE7D49"/>
    <w:rsid w:val="302A5C42"/>
    <w:rsid w:val="3075258E"/>
    <w:rsid w:val="30BF439A"/>
    <w:rsid w:val="30CB1B61"/>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96649"/>
    <w:rsid w:val="33CC3D88"/>
    <w:rsid w:val="33D76F4A"/>
    <w:rsid w:val="33FD722F"/>
    <w:rsid w:val="3400362D"/>
    <w:rsid w:val="340B09C5"/>
    <w:rsid w:val="341E4CAB"/>
    <w:rsid w:val="34584EE2"/>
    <w:rsid w:val="347D373F"/>
    <w:rsid w:val="34956481"/>
    <w:rsid w:val="34A35871"/>
    <w:rsid w:val="34C06C9D"/>
    <w:rsid w:val="34DF24AE"/>
    <w:rsid w:val="3500135E"/>
    <w:rsid w:val="351C4931"/>
    <w:rsid w:val="351D4C26"/>
    <w:rsid w:val="35361A77"/>
    <w:rsid w:val="35461A22"/>
    <w:rsid w:val="35483CC9"/>
    <w:rsid w:val="35A815CB"/>
    <w:rsid w:val="35AA1B9C"/>
    <w:rsid w:val="35DB09A6"/>
    <w:rsid w:val="3630459D"/>
    <w:rsid w:val="36883480"/>
    <w:rsid w:val="369B4CF0"/>
    <w:rsid w:val="36D62629"/>
    <w:rsid w:val="36D76172"/>
    <w:rsid w:val="36E833BB"/>
    <w:rsid w:val="36EB1E1B"/>
    <w:rsid w:val="36F17F0D"/>
    <w:rsid w:val="373234C8"/>
    <w:rsid w:val="3735197D"/>
    <w:rsid w:val="373756A2"/>
    <w:rsid w:val="375E0DA6"/>
    <w:rsid w:val="378B61A6"/>
    <w:rsid w:val="37CD3F98"/>
    <w:rsid w:val="37DF75BA"/>
    <w:rsid w:val="37E148E2"/>
    <w:rsid w:val="38304889"/>
    <w:rsid w:val="38382675"/>
    <w:rsid w:val="3851700B"/>
    <w:rsid w:val="385246B6"/>
    <w:rsid w:val="387737AC"/>
    <w:rsid w:val="38A53DB7"/>
    <w:rsid w:val="38BF3388"/>
    <w:rsid w:val="38CC268D"/>
    <w:rsid w:val="38EC2960"/>
    <w:rsid w:val="3906718E"/>
    <w:rsid w:val="392536E2"/>
    <w:rsid w:val="39465F15"/>
    <w:rsid w:val="396453C5"/>
    <w:rsid w:val="39922CCF"/>
    <w:rsid w:val="39A65327"/>
    <w:rsid w:val="39A65C9B"/>
    <w:rsid w:val="39BC5ED6"/>
    <w:rsid w:val="39EB39E0"/>
    <w:rsid w:val="39EF02D4"/>
    <w:rsid w:val="3A11342A"/>
    <w:rsid w:val="3A153110"/>
    <w:rsid w:val="3A2507C0"/>
    <w:rsid w:val="3A297E52"/>
    <w:rsid w:val="3A393FA7"/>
    <w:rsid w:val="3A64203E"/>
    <w:rsid w:val="3A663D00"/>
    <w:rsid w:val="3A7428D0"/>
    <w:rsid w:val="3A923AE4"/>
    <w:rsid w:val="3AA50E25"/>
    <w:rsid w:val="3AC566E3"/>
    <w:rsid w:val="3AD6747A"/>
    <w:rsid w:val="3B3D0FF2"/>
    <w:rsid w:val="3B521A18"/>
    <w:rsid w:val="3B7F1A97"/>
    <w:rsid w:val="3B923660"/>
    <w:rsid w:val="3BCA44BE"/>
    <w:rsid w:val="3C061F3A"/>
    <w:rsid w:val="3C244FFA"/>
    <w:rsid w:val="3C495480"/>
    <w:rsid w:val="3C6F0167"/>
    <w:rsid w:val="3C71667B"/>
    <w:rsid w:val="3C914F3B"/>
    <w:rsid w:val="3CA72347"/>
    <w:rsid w:val="3CC17F13"/>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0B6E71"/>
    <w:rsid w:val="3E1A106E"/>
    <w:rsid w:val="3E36303B"/>
    <w:rsid w:val="3E526044"/>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6214AE"/>
    <w:rsid w:val="40765D15"/>
    <w:rsid w:val="40786454"/>
    <w:rsid w:val="407F2DE9"/>
    <w:rsid w:val="40845973"/>
    <w:rsid w:val="408C5A03"/>
    <w:rsid w:val="40991379"/>
    <w:rsid w:val="409B3C3D"/>
    <w:rsid w:val="40F701DF"/>
    <w:rsid w:val="40FD480A"/>
    <w:rsid w:val="412A32F8"/>
    <w:rsid w:val="417F433E"/>
    <w:rsid w:val="41B7239D"/>
    <w:rsid w:val="41E47AD6"/>
    <w:rsid w:val="41FF3845"/>
    <w:rsid w:val="421104A9"/>
    <w:rsid w:val="42143B88"/>
    <w:rsid w:val="42164586"/>
    <w:rsid w:val="422143B7"/>
    <w:rsid w:val="425B5DD1"/>
    <w:rsid w:val="4260300C"/>
    <w:rsid w:val="42800B9B"/>
    <w:rsid w:val="42A06B6C"/>
    <w:rsid w:val="42EA5650"/>
    <w:rsid w:val="431408DA"/>
    <w:rsid w:val="4331401E"/>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67501D"/>
    <w:rsid w:val="4476661F"/>
    <w:rsid w:val="447E3AC5"/>
    <w:rsid w:val="44A90BAA"/>
    <w:rsid w:val="44B24A20"/>
    <w:rsid w:val="44BC0BEE"/>
    <w:rsid w:val="44FB1C9C"/>
    <w:rsid w:val="451C313A"/>
    <w:rsid w:val="454F1836"/>
    <w:rsid w:val="45887B45"/>
    <w:rsid w:val="458B66DF"/>
    <w:rsid w:val="45940F0E"/>
    <w:rsid w:val="45AC5DBA"/>
    <w:rsid w:val="45C647AF"/>
    <w:rsid w:val="45DD529D"/>
    <w:rsid w:val="45E1701A"/>
    <w:rsid w:val="45E57886"/>
    <w:rsid w:val="46003076"/>
    <w:rsid w:val="46177E29"/>
    <w:rsid w:val="46205B7F"/>
    <w:rsid w:val="465D501C"/>
    <w:rsid w:val="466367DB"/>
    <w:rsid w:val="46686D18"/>
    <w:rsid w:val="46C3037C"/>
    <w:rsid w:val="46FF15E0"/>
    <w:rsid w:val="4700581C"/>
    <w:rsid w:val="4702516A"/>
    <w:rsid w:val="474A4B33"/>
    <w:rsid w:val="474D04FA"/>
    <w:rsid w:val="47665A15"/>
    <w:rsid w:val="47677941"/>
    <w:rsid w:val="477F1660"/>
    <w:rsid w:val="4788232A"/>
    <w:rsid w:val="478B0398"/>
    <w:rsid w:val="478F5D0B"/>
    <w:rsid w:val="47B8724E"/>
    <w:rsid w:val="47ED7BCA"/>
    <w:rsid w:val="48016F34"/>
    <w:rsid w:val="480556DB"/>
    <w:rsid w:val="48185C56"/>
    <w:rsid w:val="4832531E"/>
    <w:rsid w:val="48450F81"/>
    <w:rsid w:val="484E729D"/>
    <w:rsid w:val="485A23C2"/>
    <w:rsid w:val="48A16B62"/>
    <w:rsid w:val="48BC6222"/>
    <w:rsid w:val="48C245E9"/>
    <w:rsid w:val="48DB312A"/>
    <w:rsid w:val="48DF49D9"/>
    <w:rsid w:val="49081F84"/>
    <w:rsid w:val="492108CC"/>
    <w:rsid w:val="49392333"/>
    <w:rsid w:val="49D22F38"/>
    <w:rsid w:val="49E669E4"/>
    <w:rsid w:val="4A05334F"/>
    <w:rsid w:val="4A082FF4"/>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BB37B9"/>
    <w:rsid w:val="4BC06040"/>
    <w:rsid w:val="4BF441D2"/>
    <w:rsid w:val="4C1C2A09"/>
    <w:rsid w:val="4C3E2B07"/>
    <w:rsid w:val="4C694192"/>
    <w:rsid w:val="4C7964D9"/>
    <w:rsid w:val="4C9269F6"/>
    <w:rsid w:val="4CC84335"/>
    <w:rsid w:val="4CE9350A"/>
    <w:rsid w:val="4CF632F0"/>
    <w:rsid w:val="4D297BF3"/>
    <w:rsid w:val="4D2D0EAF"/>
    <w:rsid w:val="4D63401A"/>
    <w:rsid w:val="4D7F0082"/>
    <w:rsid w:val="4D952FD9"/>
    <w:rsid w:val="4D970662"/>
    <w:rsid w:val="4DB33393"/>
    <w:rsid w:val="4DCF1E0D"/>
    <w:rsid w:val="4DD632D9"/>
    <w:rsid w:val="4DE05DF9"/>
    <w:rsid w:val="4DE44800"/>
    <w:rsid w:val="4DEE0709"/>
    <w:rsid w:val="4DFC14EA"/>
    <w:rsid w:val="4DFF6815"/>
    <w:rsid w:val="4E0A3427"/>
    <w:rsid w:val="4E27036A"/>
    <w:rsid w:val="4E304B5D"/>
    <w:rsid w:val="4E682F8C"/>
    <w:rsid w:val="4E6A7BB7"/>
    <w:rsid w:val="4F0773B4"/>
    <w:rsid w:val="4F307BB1"/>
    <w:rsid w:val="4F3D562D"/>
    <w:rsid w:val="4F556802"/>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9003B1"/>
    <w:rsid w:val="52DE008D"/>
    <w:rsid w:val="52EE341E"/>
    <w:rsid w:val="52F37FE6"/>
    <w:rsid w:val="52FC1CAF"/>
    <w:rsid w:val="532540D9"/>
    <w:rsid w:val="532B6CAF"/>
    <w:rsid w:val="53350D91"/>
    <w:rsid w:val="53412644"/>
    <w:rsid w:val="53433903"/>
    <w:rsid w:val="53517A72"/>
    <w:rsid w:val="535C74C1"/>
    <w:rsid w:val="5361549D"/>
    <w:rsid w:val="536220DA"/>
    <w:rsid w:val="53650637"/>
    <w:rsid w:val="53757C6B"/>
    <w:rsid w:val="537E1075"/>
    <w:rsid w:val="53A44D07"/>
    <w:rsid w:val="53A46AC8"/>
    <w:rsid w:val="53AB7F1F"/>
    <w:rsid w:val="53AC6F7B"/>
    <w:rsid w:val="53EB297B"/>
    <w:rsid w:val="5419263D"/>
    <w:rsid w:val="541E5562"/>
    <w:rsid w:val="542E2BC2"/>
    <w:rsid w:val="54352A96"/>
    <w:rsid w:val="54425CFB"/>
    <w:rsid w:val="54447390"/>
    <w:rsid w:val="545E1D01"/>
    <w:rsid w:val="54935B8F"/>
    <w:rsid w:val="54CC6227"/>
    <w:rsid w:val="54D10F9B"/>
    <w:rsid w:val="551D586C"/>
    <w:rsid w:val="55200298"/>
    <w:rsid w:val="55335E1B"/>
    <w:rsid w:val="554B7EF0"/>
    <w:rsid w:val="556F3D99"/>
    <w:rsid w:val="55860894"/>
    <w:rsid w:val="55B02DF1"/>
    <w:rsid w:val="55DC290C"/>
    <w:rsid w:val="55F01FA1"/>
    <w:rsid w:val="561D0945"/>
    <w:rsid w:val="56990B7C"/>
    <w:rsid w:val="569E1126"/>
    <w:rsid w:val="56AC249A"/>
    <w:rsid w:val="56B80DEB"/>
    <w:rsid w:val="56E06E61"/>
    <w:rsid w:val="56F653FE"/>
    <w:rsid w:val="575B7AFD"/>
    <w:rsid w:val="57660D3F"/>
    <w:rsid w:val="57706F91"/>
    <w:rsid w:val="57D1153D"/>
    <w:rsid w:val="57FA3774"/>
    <w:rsid w:val="58084A3C"/>
    <w:rsid w:val="585D2975"/>
    <w:rsid w:val="587E3341"/>
    <w:rsid w:val="58CF56D8"/>
    <w:rsid w:val="58D31010"/>
    <w:rsid w:val="58D6741E"/>
    <w:rsid w:val="58EA3D0E"/>
    <w:rsid w:val="58F71269"/>
    <w:rsid w:val="58FE045E"/>
    <w:rsid w:val="59561946"/>
    <w:rsid w:val="59670F51"/>
    <w:rsid w:val="596A44F9"/>
    <w:rsid w:val="596C19BB"/>
    <w:rsid w:val="59790BDB"/>
    <w:rsid w:val="598653AC"/>
    <w:rsid w:val="59AB52AC"/>
    <w:rsid w:val="59AC3C86"/>
    <w:rsid w:val="59D42FDA"/>
    <w:rsid w:val="59DA4E01"/>
    <w:rsid w:val="59F64E82"/>
    <w:rsid w:val="5A10435C"/>
    <w:rsid w:val="5A2654CC"/>
    <w:rsid w:val="5A323A44"/>
    <w:rsid w:val="5A395E66"/>
    <w:rsid w:val="5A484352"/>
    <w:rsid w:val="5A5321A5"/>
    <w:rsid w:val="5A745221"/>
    <w:rsid w:val="5A8734A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C349B4"/>
    <w:rsid w:val="5BF03D58"/>
    <w:rsid w:val="5C1A6BB2"/>
    <w:rsid w:val="5C357C0E"/>
    <w:rsid w:val="5C5355FE"/>
    <w:rsid w:val="5C6F4105"/>
    <w:rsid w:val="5C7A4EE2"/>
    <w:rsid w:val="5CBB7F6F"/>
    <w:rsid w:val="5CBE30B7"/>
    <w:rsid w:val="5D7C3F11"/>
    <w:rsid w:val="5D9D49E0"/>
    <w:rsid w:val="5DDF1821"/>
    <w:rsid w:val="5DEA2F91"/>
    <w:rsid w:val="5E0D2339"/>
    <w:rsid w:val="5E3146A3"/>
    <w:rsid w:val="5E442F62"/>
    <w:rsid w:val="5E6C2C5B"/>
    <w:rsid w:val="5E7251A2"/>
    <w:rsid w:val="5E7C3591"/>
    <w:rsid w:val="5E9D0E18"/>
    <w:rsid w:val="5EA2144B"/>
    <w:rsid w:val="5EA341D7"/>
    <w:rsid w:val="5EA755DE"/>
    <w:rsid w:val="5ED35F0E"/>
    <w:rsid w:val="5EFC1390"/>
    <w:rsid w:val="5EFC3EB6"/>
    <w:rsid w:val="5F03335D"/>
    <w:rsid w:val="5F0368C7"/>
    <w:rsid w:val="5F1544E7"/>
    <w:rsid w:val="5F3C4923"/>
    <w:rsid w:val="5F9A65E6"/>
    <w:rsid w:val="5F9B2627"/>
    <w:rsid w:val="5FAC7B1F"/>
    <w:rsid w:val="5FB80E3D"/>
    <w:rsid w:val="5FB831B4"/>
    <w:rsid w:val="5FD40999"/>
    <w:rsid w:val="5FDF3861"/>
    <w:rsid w:val="5FE5522B"/>
    <w:rsid w:val="5FF03F08"/>
    <w:rsid w:val="5FF2548E"/>
    <w:rsid w:val="5FF313D3"/>
    <w:rsid w:val="602610FD"/>
    <w:rsid w:val="602808B2"/>
    <w:rsid w:val="603814FF"/>
    <w:rsid w:val="604109A8"/>
    <w:rsid w:val="605D2617"/>
    <w:rsid w:val="60616CDC"/>
    <w:rsid w:val="60624E53"/>
    <w:rsid w:val="606319E5"/>
    <w:rsid w:val="60671922"/>
    <w:rsid w:val="607B3C50"/>
    <w:rsid w:val="608B6567"/>
    <w:rsid w:val="60FF21D9"/>
    <w:rsid w:val="613253FD"/>
    <w:rsid w:val="61421F29"/>
    <w:rsid w:val="61712185"/>
    <w:rsid w:val="61970898"/>
    <w:rsid w:val="61A90D68"/>
    <w:rsid w:val="621775E2"/>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EE4692"/>
    <w:rsid w:val="63FD622D"/>
    <w:rsid w:val="643F32F9"/>
    <w:rsid w:val="64412458"/>
    <w:rsid w:val="64582686"/>
    <w:rsid w:val="64673C87"/>
    <w:rsid w:val="64A251DD"/>
    <w:rsid w:val="64AF4418"/>
    <w:rsid w:val="64DB63AB"/>
    <w:rsid w:val="650242F0"/>
    <w:rsid w:val="65542778"/>
    <w:rsid w:val="655829AF"/>
    <w:rsid w:val="656B70C3"/>
    <w:rsid w:val="658F4798"/>
    <w:rsid w:val="659B1EBA"/>
    <w:rsid w:val="65B461E9"/>
    <w:rsid w:val="65BE39A8"/>
    <w:rsid w:val="65FB3FBE"/>
    <w:rsid w:val="65FE2039"/>
    <w:rsid w:val="66247D11"/>
    <w:rsid w:val="665054B9"/>
    <w:rsid w:val="66736112"/>
    <w:rsid w:val="667F5B5B"/>
    <w:rsid w:val="66897C79"/>
    <w:rsid w:val="6694262A"/>
    <w:rsid w:val="669609C2"/>
    <w:rsid w:val="66990381"/>
    <w:rsid w:val="66B31B01"/>
    <w:rsid w:val="66CE1E80"/>
    <w:rsid w:val="66E362F9"/>
    <w:rsid w:val="66E47FD9"/>
    <w:rsid w:val="67071922"/>
    <w:rsid w:val="671626D9"/>
    <w:rsid w:val="673B73C0"/>
    <w:rsid w:val="675608B6"/>
    <w:rsid w:val="67754402"/>
    <w:rsid w:val="677D54ED"/>
    <w:rsid w:val="67AC6886"/>
    <w:rsid w:val="67B25E27"/>
    <w:rsid w:val="67C4383B"/>
    <w:rsid w:val="67D35E1A"/>
    <w:rsid w:val="67F35317"/>
    <w:rsid w:val="680201B7"/>
    <w:rsid w:val="682F6F1D"/>
    <w:rsid w:val="68362BFB"/>
    <w:rsid w:val="683F1130"/>
    <w:rsid w:val="684456A1"/>
    <w:rsid w:val="685E1363"/>
    <w:rsid w:val="688A0B3C"/>
    <w:rsid w:val="688E1089"/>
    <w:rsid w:val="68A026F3"/>
    <w:rsid w:val="68AF6C13"/>
    <w:rsid w:val="68D77169"/>
    <w:rsid w:val="690E07C7"/>
    <w:rsid w:val="69236A65"/>
    <w:rsid w:val="692E469B"/>
    <w:rsid w:val="69315C48"/>
    <w:rsid w:val="694019EC"/>
    <w:rsid w:val="69584DB4"/>
    <w:rsid w:val="696C3D80"/>
    <w:rsid w:val="69792EBA"/>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BF84629"/>
    <w:rsid w:val="6C234DED"/>
    <w:rsid w:val="6C29198B"/>
    <w:rsid w:val="6C3A67D1"/>
    <w:rsid w:val="6C3D2D5C"/>
    <w:rsid w:val="6C4800AA"/>
    <w:rsid w:val="6C4D28F8"/>
    <w:rsid w:val="6C5101CA"/>
    <w:rsid w:val="6C573E9C"/>
    <w:rsid w:val="6C6D1126"/>
    <w:rsid w:val="6CA35B3A"/>
    <w:rsid w:val="6CA41A5D"/>
    <w:rsid w:val="6CAF588C"/>
    <w:rsid w:val="6CB4638E"/>
    <w:rsid w:val="6CBF3C6A"/>
    <w:rsid w:val="6CBF5306"/>
    <w:rsid w:val="6CE70FA1"/>
    <w:rsid w:val="6CFA6351"/>
    <w:rsid w:val="6CFC3C40"/>
    <w:rsid w:val="6D480984"/>
    <w:rsid w:val="6D9A1575"/>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7024611F"/>
    <w:rsid w:val="70637B96"/>
    <w:rsid w:val="70797317"/>
    <w:rsid w:val="7099044B"/>
    <w:rsid w:val="709D518F"/>
    <w:rsid w:val="70C759D3"/>
    <w:rsid w:val="70CF2B23"/>
    <w:rsid w:val="710952C1"/>
    <w:rsid w:val="71452CD8"/>
    <w:rsid w:val="7158683A"/>
    <w:rsid w:val="715B2F52"/>
    <w:rsid w:val="71764F23"/>
    <w:rsid w:val="71946576"/>
    <w:rsid w:val="71967E84"/>
    <w:rsid w:val="71A61873"/>
    <w:rsid w:val="71AF4936"/>
    <w:rsid w:val="71D75D0F"/>
    <w:rsid w:val="71E31D57"/>
    <w:rsid w:val="721919B3"/>
    <w:rsid w:val="721A6098"/>
    <w:rsid w:val="72310D1A"/>
    <w:rsid w:val="725D6B54"/>
    <w:rsid w:val="729C6026"/>
    <w:rsid w:val="72A17C99"/>
    <w:rsid w:val="72AF6F7E"/>
    <w:rsid w:val="72C576C8"/>
    <w:rsid w:val="73047904"/>
    <w:rsid w:val="734C1A6A"/>
    <w:rsid w:val="735C5949"/>
    <w:rsid w:val="73737DA5"/>
    <w:rsid w:val="73887B3E"/>
    <w:rsid w:val="73892412"/>
    <w:rsid w:val="73C03C7E"/>
    <w:rsid w:val="73E96BCA"/>
    <w:rsid w:val="73EE4A6E"/>
    <w:rsid w:val="741048BC"/>
    <w:rsid w:val="742E78D4"/>
    <w:rsid w:val="74676A28"/>
    <w:rsid w:val="7479207F"/>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D37C3"/>
    <w:rsid w:val="764F3FCC"/>
    <w:rsid w:val="7650339F"/>
    <w:rsid w:val="76603C9A"/>
    <w:rsid w:val="76750E5E"/>
    <w:rsid w:val="76BB1CAB"/>
    <w:rsid w:val="76C04050"/>
    <w:rsid w:val="76E65049"/>
    <w:rsid w:val="77076007"/>
    <w:rsid w:val="77413F7E"/>
    <w:rsid w:val="77835654"/>
    <w:rsid w:val="7797109C"/>
    <w:rsid w:val="779A2A38"/>
    <w:rsid w:val="77B07B65"/>
    <w:rsid w:val="77B4450A"/>
    <w:rsid w:val="77B46E73"/>
    <w:rsid w:val="77E37A12"/>
    <w:rsid w:val="77FE3468"/>
    <w:rsid w:val="78546F0C"/>
    <w:rsid w:val="78EE1C79"/>
    <w:rsid w:val="797239CC"/>
    <w:rsid w:val="79831473"/>
    <w:rsid w:val="7999527A"/>
    <w:rsid w:val="79AF76C5"/>
    <w:rsid w:val="79C25EE1"/>
    <w:rsid w:val="79CE2967"/>
    <w:rsid w:val="79EA664C"/>
    <w:rsid w:val="7A2F459A"/>
    <w:rsid w:val="7A517022"/>
    <w:rsid w:val="7A6F5001"/>
    <w:rsid w:val="7AA2343E"/>
    <w:rsid w:val="7ADA73A4"/>
    <w:rsid w:val="7AE66B99"/>
    <w:rsid w:val="7B0A3BCA"/>
    <w:rsid w:val="7B4048C1"/>
    <w:rsid w:val="7B73082F"/>
    <w:rsid w:val="7B8D45CE"/>
    <w:rsid w:val="7BC62E00"/>
    <w:rsid w:val="7BE35E2A"/>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6E3E85"/>
    <w:rsid w:val="7E952DCE"/>
    <w:rsid w:val="7E9C184B"/>
    <w:rsid w:val="7EA72948"/>
    <w:rsid w:val="7EB31EDB"/>
    <w:rsid w:val="7EE70CC0"/>
    <w:rsid w:val="7EEB48DB"/>
    <w:rsid w:val="7EF27444"/>
    <w:rsid w:val="7F265C5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link w:val="73"/>
    <w:qFormat/>
    <w:uiPriority w:val="0"/>
  </w:style>
  <w:style w:type="paragraph" w:styleId="7">
    <w:name w:val="List Number"/>
    <w:basedOn w:val="1"/>
    <w:qFormat/>
    <w:uiPriority w:val="0"/>
    <w:pPr>
      <w:widowControl/>
      <w:spacing w:beforeAutospacing="1" w:afterAutospacing="1"/>
      <w:jc w:val="left"/>
    </w:pPr>
    <w:rPr>
      <w:rFonts w:ascii="宋体" w:hAnsi="宋体" w:cs="宋体"/>
      <w:kern w:val="0"/>
      <w:sz w:val="24"/>
    </w:rPr>
  </w:style>
  <w:style w:type="paragraph" w:styleId="8">
    <w:name w:val="Normal Indent"/>
    <w:basedOn w:val="1"/>
    <w:qFormat/>
    <w:uiPriority w:val="0"/>
    <w:pPr>
      <w:widowControl/>
      <w:spacing w:beforeAutospacing="1" w:afterAutospacing="1"/>
      <w:jc w:val="left"/>
    </w:pPr>
    <w:rPr>
      <w:rFonts w:ascii="宋体" w:hAnsi="宋体" w:cs="宋体"/>
      <w:kern w:val="0"/>
      <w:sz w:val="24"/>
    </w:rPr>
  </w:style>
  <w:style w:type="paragraph" w:styleId="9">
    <w:name w:val="Document Map"/>
    <w:basedOn w:val="1"/>
    <w:link w:val="75"/>
    <w:qFormat/>
    <w:uiPriority w:val="0"/>
    <w:rPr>
      <w:rFonts w:ascii="宋体" w:hAnsi="Calibri"/>
      <w:sz w:val="18"/>
      <w:szCs w:val="18"/>
    </w:rPr>
  </w:style>
  <w:style w:type="paragraph" w:styleId="10">
    <w:name w:val="annotation text"/>
    <w:basedOn w:val="1"/>
    <w:qFormat/>
    <w:uiPriority w:val="0"/>
    <w:pPr>
      <w:jc w:val="left"/>
    </w:pPr>
  </w:style>
  <w:style w:type="paragraph" w:styleId="11">
    <w:name w:val="Body Text 3"/>
    <w:basedOn w:val="1"/>
    <w:qFormat/>
    <w:uiPriority w:val="0"/>
    <w:rPr>
      <w:sz w:val="16"/>
      <w:szCs w:val="16"/>
    </w:rPr>
  </w:style>
  <w:style w:type="paragraph" w:styleId="12">
    <w:name w:val="Body Text Indent"/>
    <w:basedOn w:val="1"/>
    <w:next w:val="13"/>
    <w:qFormat/>
    <w:uiPriority w:val="0"/>
    <w:pPr>
      <w:widowControl/>
      <w:spacing w:beforeAutospacing="1" w:afterAutospacing="1"/>
      <w:jc w:val="left"/>
    </w:pPr>
    <w:rPr>
      <w:rFonts w:ascii="宋体" w:hAnsi="宋体" w:cs="宋体"/>
      <w:kern w:val="0"/>
      <w:sz w:val="24"/>
    </w:rPr>
  </w:style>
  <w:style w:type="paragraph" w:customStyle="1" w:styleId="13">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4">
    <w:name w:val="List 2"/>
    <w:basedOn w:val="1"/>
    <w:qFormat/>
    <w:uiPriority w:val="0"/>
    <w:pPr>
      <w:ind w:left="100" w:leftChars="200" w:hanging="200" w:hangingChars="200"/>
    </w:pPr>
  </w:style>
  <w:style w:type="paragraph" w:styleId="15">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6">
    <w:name w:val="toc 3"/>
    <w:basedOn w:val="1"/>
    <w:next w:val="1"/>
    <w:qFormat/>
    <w:uiPriority w:val="0"/>
    <w:pPr>
      <w:tabs>
        <w:tab w:val="left" w:pos="709"/>
        <w:tab w:val="right" w:leader="dot" w:pos="8789"/>
      </w:tabs>
      <w:spacing w:line="400" w:lineRule="atLeast"/>
    </w:pPr>
    <w:rPr>
      <w:rFonts w:ascii="宋体"/>
      <w:kern w:val="0"/>
      <w:szCs w:val="20"/>
    </w:rPr>
  </w:style>
  <w:style w:type="paragraph" w:styleId="17">
    <w:name w:val="Plain Text"/>
    <w:basedOn w:val="1"/>
    <w:qFormat/>
    <w:uiPriority w:val="0"/>
    <w:pPr>
      <w:widowControl/>
      <w:spacing w:beforeAutospacing="1" w:afterAutospacing="1"/>
      <w:jc w:val="left"/>
    </w:pPr>
    <w:rPr>
      <w:rFonts w:ascii="宋体" w:hAnsi="宋体" w:cs="宋体"/>
      <w:kern w:val="0"/>
      <w:sz w:val="24"/>
    </w:rPr>
  </w:style>
  <w:style w:type="paragraph" w:styleId="18">
    <w:name w:val="Date"/>
    <w:basedOn w:val="1"/>
    <w:next w:val="1"/>
    <w:qFormat/>
    <w:uiPriority w:val="0"/>
    <w:pPr>
      <w:ind w:left="100" w:leftChars="2500"/>
    </w:pPr>
    <w:rPr>
      <w:rFonts w:ascii="宋体" w:hAnsi="宋体"/>
      <w:sz w:val="28"/>
    </w:rPr>
  </w:style>
  <w:style w:type="paragraph" w:styleId="19">
    <w:name w:val="Body Text Indent 2"/>
    <w:basedOn w:val="1"/>
    <w:qFormat/>
    <w:uiPriority w:val="0"/>
    <w:pPr>
      <w:spacing w:line="480" w:lineRule="auto"/>
      <w:ind w:left="420" w:leftChars="200"/>
    </w:p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envelope return"/>
    <w:basedOn w:val="1"/>
    <w:unhideWhenUsed/>
    <w:qFormat/>
    <w:uiPriority w:val="99"/>
    <w:pPr>
      <w:snapToGrid w:val="0"/>
    </w:pPr>
    <w:rPr>
      <w:rFonts w:ascii="Arial" w:hAnsi="Arial"/>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Body Text 2"/>
    <w:basedOn w:val="1"/>
    <w:next w:val="4"/>
    <w:qFormat/>
    <w:uiPriority w:val="0"/>
    <w:pPr>
      <w:spacing w:line="480" w:lineRule="auto"/>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4"/>
    <w:next w:val="31"/>
    <w:qFormat/>
    <w:uiPriority w:val="0"/>
    <w:pPr>
      <w:spacing w:line="360" w:lineRule="auto"/>
      <w:ind w:firstLine="420" w:firstLineChars="100"/>
    </w:pPr>
    <w:rPr>
      <w:szCs w:val="21"/>
    </w:rPr>
  </w:style>
  <w:style w:type="paragraph" w:styleId="31">
    <w:name w:val="Body Text First Indent 2"/>
    <w:basedOn w:val="12"/>
    <w:next w:val="1"/>
    <w:qFormat/>
    <w:uiPriority w:val="0"/>
    <w:pPr>
      <w:ind w:firstLine="420" w:firstLineChars="200"/>
    </w:p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Default"/>
    <w:next w:val="49"/>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大标题"/>
    <w:basedOn w:val="1"/>
    <w:next w:val="31"/>
    <w:qFormat/>
    <w:uiPriority w:val="0"/>
    <w:pPr>
      <w:jc w:val="center"/>
    </w:pPr>
    <w:rPr>
      <w:rFonts w:ascii="Arial" w:hAnsi="Arial"/>
      <w:b/>
      <w:sz w:val="28"/>
    </w:rPr>
  </w:style>
  <w:style w:type="paragraph" w:customStyle="1" w:styleId="50">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1">
    <w:name w:val="No Spacing1"/>
    <w:basedOn w:val="1"/>
    <w:qFormat/>
    <w:uiPriority w:val="0"/>
    <w:pPr>
      <w:spacing w:line="400" w:lineRule="exact"/>
    </w:pPr>
    <w:rPr>
      <w:sz w:val="24"/>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4"/>
    <w:qFormat/>
    <w:uiPriority w:val="0"/>
  </w:style>
  <w:style w:type="character" w:customStyle="1" w:styleId="74">
    <w:name w:val="apple-converted-space"/>
    <w:basedOn w:val="34"/>
    <w:qFormat/>
    <w:uiPriority w:val="0"/>
  </w:style>
  <w:style w:type="character" w:customStyle="1" w:styleId="75">
    <w:name w:val="文档结构图 Char"/>
    <w:link w:val="9"/>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4"/>
    <w:qFormat/>
    <w:uiPriority w:val="0"/>
    <w:pPr>
      <w:adjustRightInd w:val="0"/>
      <w:spacing w:line="420" w:lineRule="atLeast"/>
      <w:jc w:val="left"/>
      <w:textAlignment w:val="baseline"/>
    </w:pPr>
    <w:rPr>
      <w:kern w:val="0"/>
      <w:szCs w:val="20"/>
    </w:rPr>
  </w:style>
  <w:style w:type="character" w:customStyle="1" w:styleId="85">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37</Pages>
  <Words>15418</Words>
  <Characters>16160</Characters>
  <Lines>50</Lines>
  <Paragraphs>68</Paragraphs>
  <TotalTime>1</TotalTime>
  <ScaleCrop>false</ScaleCrop>
  <LinksUpToDate>false</LinksUpToDate>
  <CharactersWithSpaces>17023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2023-03-17T08:05:29Z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562A285641654D2EA086C4325B3B203C</vt:lpwstr>
  </property>
</Properties>
</file>