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color w:val="auto"/>
          <w:sz w:val="21"/>
          <w:szCs w:val="21"/>
          <w:lang w:val="en-US" w:eastAsia="zh-CN"/>
        </w:rPr>
      </w:pPr>
      <w:bookmarkStart w:id="0" w:name="_Toc22804073"/>
      <w:bookmarkEnd w:id="0"/>
      <w:bookmarkStart w:id="1" w:name="_Toc22953395"/>
      <w:bookmarkEnd w:id="1"/>
    </w:p>
    <w:p>
      <w:pPr>
        <w:pStyle w:val="28"/>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FF0000"/>
          <w:kern w:val="0"/>
          <w:sz w:val="24"/>
          <w:szCs w:val="24"/>
          <w:highlight w:val="none"/>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40"/>
          <w:szCs w:val="40"/>
          <w:highlight w:val="none"/>
        </w:rPr>
      </w:pPr>
      <w:bookmarkStart w:id="9" w:name="_GoBack"/>
      <w:bookmarkEnd w:id="9"/>
      <w:bookmarkStart w:id="2" w:name="_Toc26828"/>
      <w:bookmarkStart w:id="3" w:name="_Toc29890"/>
      <w:bookmarkStart w:id="4" w:name="_Toc23793"/>
      <w:r>
        <w:rPr>
          <w:rFonts w:hint="eastAsia" w:ascii="宋体" w:hAnsi="宋体"/>
          <w:b/>
          <w:color w:val="auto"/>
          <w:sz w:val="40"/>
          <w:szCs w:val="40"/>
          <w:highlight w:val="none"/>
        </w:rPr>
        <w:t xml:space="preserve">  </w:t>
      </w:r>
      <w:r>
        <w:rPr>
          <w:rFonts w:hint="eastAsia" w:ascii="宋体" w:hAnsi="宋体"/>
          <w:b/>
          <w:color w:val="auto"/>
          <w:sz w:val="40"/>
          <w:szCs w:val="40"/>
          <w:highlight w:val="none"/>
          <w:lang w:eastAsia="zh-CN"/>
        </w:rPr>
        <w:t>采购</w:t>
      </w:r>
      <w:r>
        <w:rPr>
          <w:rFonts w:hint="eastAsia" w:ascii="宋体" w:hAnsi="宋体"/>
          <w:b/>
          <w:color w:val="auto"/>
          <w:sz w:val="40"/>
          <w:szCs w:val="40"/>
          <w:highlight w:val="none"/>
        </w:rPr>
        <w:t>需求</w:t>
      </w:r>
      <w:bookmarkEnd w:id="2"/>
      <w:bookmarkStart w:id="5" w:name="_Toc9989"/>
      <w:bookmarkStart w:id="6" w:name="_Toc23610"/>
      <w:bookmarkStart w:id="7" w:name="_Toc31536"/>
    </w:p>
    <w:bookmarkEnd w:id="3"/>
    <w:bookmarkEnd w:id="4"/>
    <w:bookmarkEnd w:id="5"/>
    <w:bookmarkEnd w:id="6"/>
    <w:bookmarkEnd w:id="7"/>
    <w:p>
      <w:pPr>
        <w:pStyle w:val="12"/>
        <w:spacing w:after="156" w:afterLines="50"/>
        <w:ind w:left="561" w:leftChars="0"/>
        <w:jc w:val="left"/>
        <w:rPr>
          <w:rFonts w:ascii="宋体" w:hAnsi="宋体"/>
          <w:sz w:val="28"/>
          <w:szCs w:val="28"/>
        </w:rPr>
      </w:pPr>
      <w:bookmarkStart w:id="8" w:name="_Toc12002"/>
      <w:r>
        <w:rPr>
          <w:rFonts w:hint="eastAsia" w:ascii="宋体" w:hAnsi="宋体"/>
          <w:sz w:val="28"/>
          <w:szCs w:val="28"/>
        </w:rPr>
        <w:t>详细技术参数及产品资料、配品配件等：</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1、支持物理工作站与服务器操作系统总数不少于</w:t>
      </w:r>
      <w:r>
        <w:rPr>
          <w:rFonts w:ascii="宋体" w:hAnsi="宋体" w:eastAsia="宋体" w:cs="宋体"/>
          <w:kern w:val="0"/>
          <w:sz w:val="24"/>
          <w:szCs w:val="24"/>
        </w:rPr>
        <w:t>1</w:t>
      </w:r>
      <w:r>
        <w:rPr>
          <w:rFonts w:hint="eastAsia" w:ascii="宋体" w:hAnsi="宋体" w:eastAsia="宋体" w:cs="宋体"/>
          <w:kern w:val="0"/>
          <w:sz w:val="24"/>
          <w:szCs w:val="24"/>
        </w:rPr>
        <w:t>000个点位的3年安全防护授权（验收合格之日起开始计算）。工作站系统平台：Windows XP /Windows 7/Windows 8/Windows 10</w:t>
      </w:r>
      <w:r>
        <w:rPr>
          <w:rFonts w:ascii="宋体" w:hAnsi="宋体" w:eastAsia="宋体" w:cs="宋体"/>
          <w:kern w:val="0"/>
          <w:sz w:val="24"/>
          <w:szCs w:val="24"/>
        </w:rPr>
        <w:t>/</w:t>
      </w:r>
      <w:r>
        <w:rPr>
          <w:rFonts w:hint="eastAsia" w:ascii="宋体" w:hAnsi="宋体" w:eastAsia="宋体" w:cs="宋体"/>
          <w:kern w:val="0"/>
          <w:sz w:val="24"/>
          <w:szCs w:val="24"/>
        </w:rPr>
        <w:t xml:space="preserve"> Windows 1</w:t>
      </w:r>
      <w:r>
        <w:rPr>
          <w:rFonts w:ascii="宋体" w:hAnsi="宋体" w:eastAsia="宋体" w:cs="宋体"/>
          <w:kern w:val="0"/>
          <w:sz w:val="24"/>
          <w:szCs w:val="24"/>
        </w:rPr>
        <w:t>1</w:t>
      </w:r>
      <w:r>
        <w:rPr>
          <w:rFonts w:hint="eastAsia" w:ascii="宋体" w:hAnsi="宋体" w:eastAsia="宋体" w:cs="宋体"/>
          <w:kern w:val="0"/>
          <w:sz w:val="24"/>
          <w:szCs w:val="24"/>
        </w:rPr>
        <w:t>（32位与64位）、MAC服务器系统平台:Windows Server 2003_SP2/Windows Server 2008/Windows Server 2008 R2/Windows Server 2012/Windows Server 2016/Windows Server 2019（64位）；必须支持Linux系统实时防病毒而非通过扫描的方式查杀病毒，即有恶意代码传入Linux系统立即查杀，提供支持Linux系统实时防病毒功能技术截图证明。</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2、（1）能够实时监控和清除来自各种途径的病毒、木马、广告软件、勒索病毒、恶意插件、挖矿木马、黑客工具以及风险程序等。</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（2）产品自带远程部署工具，便于管理员统一远程部署产品,支持网络自动分发，客户端在线自动升级。</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（3）具备丰富的报表功能，展示全网终端健康状态、报警信息；展示全网终端病毒库日期比例，可方便的查看全网终端病毒库的情况能够按照中毒最多终端排名，网内感染新病毒告警定位等。</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3、（1）防火墙支持基于应用程序与网络数据流两个级别的防护，能监控应用程序所使用端口，能对进出流量进行端口访问控制设置，可统一进行设置。</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（2）具有漏洞利用防御功能，能对操作系统、Office、Oracle、Apache、SQL等常用未及时更新补丁的程序具有防护功能。</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（3）主机入侵防御功能，能对类似永恒之蓝、暴力破解、端口扫描等网络攻击流量具有防护功能，防止在院内进行横向传播。</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（4）针对共享目录提供专门的保护，防止在本地无病毒的情况，通过客户端对共享文件读写权限加密共享文件。</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（5）关键业务服务器可以实现应用程序控制功能，允许启动的程序可以正常启动使用，未经允许的没有启动权限。可设置程序的读写权限，或者对某些关键存储位置只允许某些应用进行读写权限。</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（6）产品具有云查杀功能，本地可疑文件可与云端进行查杀比对，提高查杀能力。</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4、（1）为减少虚拟化资源的浪费，虚拟化防病毒安装需采用针对虚拟化系统专有安装程序，产品需要支持有代理和无代理两种模式，供用户选择或同时共存。</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（2）有代理与无代理更新扫描通过部署在宿主机上的扫描与更新虚拟机进行，避免防病毒风暴、减少虚拟机性能影响。两种模式均支持压缩文件扫描，包含多级嵌套压缩文件，能够做到压缩包清毒。</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有代理提供主动防御技术，安全防护能力高于无代理模式，产品具备系统监控主动防御技术，当恶意行为对系统关键区域比如注册表进破坏或修改后，可回滚恶意软件在操作系统上执行的操作，如通过系统监控主动防御技术发现未知勒索病毒进行拦截的同时能够回滚还原被勒索病毒加密破坏的文件。</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有代理模式具备反网络攻击虚拟补丁功能，检测和抵御危险的网络活动和网络攻击，支持漏洞入侵防护技术，即系统未修补补丁程序可实现补丁自动热修复无需再安装补丁，并自动将攻击源加入攻击列表；例如在未安装补丁情况下对永恒之蓝攻击进行防御。</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（5）有代理模式需要具备防火墙、防病毒、漏洞防护、入侵防御等物理客户端常见功能。</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（6）支持与VMware v</w:t>
      </w:r>
      <w:r>
        <w:rPr>
          <w:rFonts w:ascii="宋体" w:hAnsi="宋体" w:eastAsia="宋体" w:cs="宋体"/>
          <w:kern w:val="0"/>
          <w:sz w:val="24"/>
          <w:szCs w:val="24"/>
        </w:rPr>
        <w:t>Sphere</w:t>
      </w:r>
      <w:r>
        <w:rPr>
          <w:rFonts w:hint="eastAsia" w:ascii="宋体" w:hAnsi="宋体" w:eastAsia="宋体" w:cs="宋体"/>
          <w:kern w:val="0"/>
          <w:sz w:val="24"/>
          <w:szCs w:val="24"/>
        </w:rPr>
        <w:t>或NSX集成，提供实时的无代理反恶意程序保护，无需在虚拟机上安装任何安全代理客户端软件，通过专属安全虚拟应用SVA与VMware接口集成进行无代理的安全防护模式，和传统防病毒客户端模式相比，专属安全虚拟应用SVA的无代理防护模式能减少对整个虚拟化资源池硬件资源的消耗。</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系统支持对受控主机的操作系统、软件和共享等目录中的文件的保护功能，设定访问、删除、修改权限；系统支持对设定目录文件的操作审计，包括文件创建、打印、读写、复制、改名、删除、移动等的记录，同时将信息上报管理信息库供查询。支持自动录屏、截屏等审计功能。</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5、（1）要求管理控制中心能够统计网络中被管理客户端的操作系统及所安装软件的漏洞信息，并支持客户端漏洞补丁的下载和安装。</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具有病毒日志查询与统计功能，可以随时对网络中病毒发生的情况进行查询统计，能按时间（日、周或任意时间段）、按IP地址、机器名、按病毒名称、病毒类型进行统计查询，能将查询统计结果打印或导出，导出支持XLS、PDF等格式。支持多种事件导出方式联动SOC或SIEM等大数据分析系统平台，支持RFC5424、Splunk（CEF格式）、Arcsight（CEF格式）及QRadar（LEEF格式）。</w:t>
      </w:r>
    </w:p>
    <w:p>
      <w:pPr>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（3）要求实现统一平台、统一管理和统一流程，管控中心可对传统终端计算机、物理服务器和虚拟化安全产品集中管控，并集中定制物理和虚拟化平台策略配置和报告输出。</w:t>
      </w:r>
    </w:p>
    <w:p>
      <w:pPr>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6、★为保证兼容性需与院内现有杀毒软件统一管理，配置可以利旧，不用单独再次部署额外控制端，分配额外管理员进行日常维护管理，只需要简单继续安装扩容的授权即可</w:t>
      </w:r>
    </w:p>
    <w:p>
      <w:pPr>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7</w:t>
      </w:r>
      <w:r>
        <w:rPr>
          <w:rFonts w:hint="eastAsia" w:ascii="宋体" w:hAnsi="宋体" w:eastAsia="宋体" w:cs="宋体"/>
          <w:kern w:val="0"/>
          <w:sz w:val="24"/>
          <w:szCs w:val="24"/>
        </w:rPr>
        <w:t>、产品具有公安部计算机信息系统安全专用产品的销售许可证；</w:t>
      </w:r>
    </w:p>
    <w:p>
      <w:pPr>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8</w:t>
      </w:r>
      <w:r>
        <w:rPr>
          <w:rFonts w:hint="eastAsia" w:ascii="宋体" w:hAnsi="宋体" w:eastAsia="宋体" w:cs="宋体"/>
          <w:kern w:val="0"/>
          <w:sz w:val="24"/>
          <w:szCs w:val="24"/>
        </w:rPr>
        <w:t>、提供≥</w:t>
      </w:r>
      <w:r>
        <w:rPr>
          <w:rFonts w:ascii="宋体" w:hAnsi="宋体" w:eastAsia="宋体" w:cs="宋体"/>
          <w:kern w:val="0"/>
          <w:sz w:val="24"/>
          <w:szCs w:val="24"/>
        </w:rPr>
        <w:t>3</w:t>
      </w:r>
      <w:r>
        <w:rPr>
          <w:rFonts w:hint="eastAsia" w:ascii="宋体" w:hAnsi="宋体" w:eastAsia="宋体" w:cs="宋体"/>
          <w:kern w:val="0"/>
          <w:sz w:val="24"/>
          <w:szCs w:val="24"/>
        </w:rPr>
        <w:t>年原厂质保。质保期内，提供原厂7</w:t>
      </w:r>
      <w:r>
        <w:rPr>
          <w:rFonts w:ascii="宋体" w:hAnsi="宋体" w:eastAsia="宋体" w:cs="宋体"/>
          <w:kern w:val="0"/>
          <w:sz w:val="24"/>
          <w:szCs w:val="24"/>
        </w:rPr>
        <w:t>*24</w:t>
      </w:r>
      <w:r>
        <w:rPr>
          <w:rFonts w:hint="eastAsia" w:ascii="宋体" w:hAnsi="宋体" w:eastAsia="宋体" w:cs="宋体"/>
          <w:kern w:val="0"/>
          <w:sz w:val="24"/>
          <w:szCs w:val="24"/>
        </w:rPr>
        <w:t>小时免费售后服务，免费无限次派工及工时，服务内容包括包退、包换、包修、技术支持、巡检维护、系统优化、软件升级等所有维保相关服务，所有费用包含在合同价款内，除合同价款外，质保期内不再产生其他任何费用；在标的物出现质量问题或甲方要求支持的情况下，供应商及原厂须在</w:t>
      </w:r>
      <w:r>
        <w:rPr>
          <w:rFonts w:ascii="宋体" w:hAnsi="宋体" w:eastAsia="宋体" w:cs="宋体"/>
          <w:kern w:val="0"/>
          <w:sz w:val="24"/>
          <w:szCs w:val="24"/>
        </w:rPr>
        <w:t>1小时内</w:t>
      </w:r>
      <w:r>
        <w:rPr>
          <w:rFonts w:hint="eastAsia" w:ascii="宋体" w:hAnsi="宋体" w:eastAsia="宋体" w:cs="宋体"/>
          <w:kern w:val="0"/>
          <w:sz w:val="24"/>
          <w:szCs w:val="24"/>
        </w:rPr>
        <w:t>远程</w:t>
      </w:r>
      <w:r>
        <w:rPr>
          <w:rFonts w:ascii="宋体" w:hAnsi="宋体" w:eastAsia="宋体" w:cs="宋体"/>
          <w:kern w:val="0"/>
          <w:sz w:val="24"/>
          <w:szCs w:val="24"/>
        </w:rPr>
        <w:t>响应，4小时内</w:t>
      </w:r>
      <w:r>
        <w:rPr>
          <w:rFonts w:hint="eastAsia" w:ascii="宋体" w:hAnsi="宋体" w:eastAsia="宋体" w:cs="宋体"/>
          <w:kern w:val="0"/>
          <w:sz w:val="24"/>
          <w:szCs w:val="24"/>
        </w:rPr>
        <w:t>上门服务，</w:t>
      </w:r>
      <w:r>
        <w:rPr>
          <w:rFonts w:ascii="宋体" w:hAnsi="宋体" w:eastAsia="宋体" w:cs="宋体"/>
          <w:kern w:val="0"/>
          <w:sz w:val="24"/>
          <w:szCs w:val="24"/>
        </w:rPr>
        <w:t>12小时</w:t>
      </w:r>
      <w:r>
        <w:rPr>
          <w:rFonts w:hint="eastAsia" w:ascii="宋体" w:hAnsi="宋体" w:eastAsia="宋体" w:cs="宋体"/>
          <w:kern w:val="0"/>
          <w:sz w:val="24"/>
          <w:szCs w:val="24"/>
        </w:rPr>
        <w:t>内解决问题。提供原厂针对本项目的授权函及售后服务的承诺函。</w:t>
      </w:r>
    </w:p>
    <w:p>
      <w:pPr>
        <w:spacing w:line="360" w:lineRule="auto"/>
        <w:ind w:firstLine="480" w:firstLineChars="200"/>
        <w:jc w:val="left"/>
      </w:pPr>
      <w:r>
        <w:rPr>
          <w:rFonts w:ascii="宋体" w:hAnsi="宋体" w:eastAsia="宋体" w:cs="宋体"/>
          <w:kern w:val="0"/>
          <w:sz w:val="24"/>
          <w:szCs w:val="24"/>
        </w:rPr>
        <w:t>9</w:t>
      </w:r>
      <w:r>
        <w:rPr>
          <w:rFonts w:hint="eastAsia" w:ascii="宋体" w:hAnsi="宋体" w:eastAsia="宋体" w:cs="宋体"/>
          <w:kern w:val="0"/>
          <w:sz w:val="24"/>
          <w:szCs w:val="24"/>
        </w:rPr>
        <w:t>、提供本项目所需的软件安装、调试、调优等集成服务。</w:t>
      </w:r>
    </w:p>
    <w:p>
      <w:pPr>
        <w:pStyle w:val="12"/>
        <w:spacing w:after="0"/>
        <w:ind w:left="525" w:leftChars="0"/>
        <w:jc w:val="left"/>
        <w:rPr>
          <w:rFonts w:ascii="宋体" w:hAnsi="宋体"/>
          <w:sz w:val="28"/>
          <w:szCs w:val="28"/>
        </w:rPr>
      </w:pPr>
      <w:r>
        <w:rPr>
          <w:rFonts w:hint="eastAsia" w:ascii="宋体" w:hAnsi="宋体"/>
          <w:sz w:val="28"/>
          <w:szCs w:val="28"/>
        </w:rPr>
        <w:t>（五）售后服务条件及交货日期（或工期）：</w:t>
      </w:r>
    </w:p>
    <w:p>
      <w:pPr>
        <w:pStyle w:val="87"/>
        <w:numPr>
          <w:ilvl w:val="3"/>
          <w:numId w:val="1"/>
        </w:numPr>
        <w:spacing w:line="360" w:lineRule="auto"/>
        <w:ind w:firstLine="480"/>
        <w:rPr>
          <w:rFonts w:asciiTheme="minorEastAsia" w:hAnsiTheme="minorEastAsia"/>
          <w:sz w:val="24"/>
          <w:szCs w:val="28"/>
        </w:rPr>
      </w:pPr>
      <w:r>
        <w:rPr>
          <w:rFonts w:hint="eastAsia" w:asciiTheme="minorEastAsia" w:hAnsiTheme="minorEastAsia"/>
          <w:sz w:val="24"/>
          <w:szCs w:val="28"/>
        </w:rPr>
        <w:t>质保期内，如</w:t>
      </w:r>
      <w:r>
        <w:rPr>
          <w:rFonts w:asciiTheme="minorEastAsia" w:hAnsiTheme="minorEastAsia"/>
          <w:sz w:val="24"/>
          <w:szCs w:val="28"/>
        </w:rPr>
        <w:t>标的物经乙方 2 次维修仍不能达到合同约定的质量标准，</w:t>
      </w:r>
      <w:r>
        <w:rPr>
          <w:rFonts w:hint="eastAsia" w:asciiTheme="minorEastAsia" w:hAnsiTheme="minorEastAsia"/>
          <w:sz w:val="24"/>
          <w:szCs w:val="28"/>
        </w:rPr>
        <w:t>或</w:t>
      </w:r>
      <w:r>
        <w:rPr>
          <w:rFonts w:asciiTheme="minorEastAsia" w:hAnsiTheme="minorEastAsia"/>
          <w:sz w:val="24"/>
          <w:szCs w:val="28"/>
        </w:rPr>
        <w:t>标的物经甲方送交具有法定资格条件的质量技术监督机构检测</w:t>
      </w:r>
      <w:r>
        <w:rPr>
          <w:rFonts w:hint="eastAsia" w:asciiTheme="minorEastAsia" w:hAnsiTheme="minorEastAsia"/>
          <w:sz w:val="24"/>
          <w:szCs w:val="28"/>
        </w:rPr>
        <w:t>后</w:t>
      </w:r>
      <w:r>
        <w:rPr>
          <w:rFonts w:asciiTheme="minorEastAsia" w:hAnsiTheme="minorEastAsia"/>
          <w:sz w:val="24"/>
          <w:szCs w:val="28"/>
        </w:rPr>
        <w:t>，</w:t>
      </w:r>
      <w:r>
        <w:rPr>
          <w:rFonts w:hint="eastAsia" w:asciiTheme="minorEastAsia" w:hAnsiTheme="minorEastAsia"/>
          <w:sz w:val="24"/>
          <w:szCs w:val="28"/>
        </w:rPr>
        <w:t>如</w:t>
      </w:r>
      <w:r>
        <w:rPr>
          <w:rFonts w:asciiTheme="minorEastAsia" w:hAnsiTheme="minorEastAsia"/>
          <w:sz w:val="24"/>
          <w:szCs w:val="28"/>
        </w:rPr>
        <w:t>检测结果认定标的物质量不符合合同</w:t>
      </w:r>
      <w:r>
        <w:rPr>
          <w:rFonts w:hint="eastAsia" w:asciiTheme="minorEastAsia" w:hAnsiTheme="minorEastAsia"/>
          <w:sz w:val="24"/>
          <w:szCs w:val="28"/>
        </w:rPr>
        <w:t>约定</w:t>
      </w:r>
      <w:r>
        <w:rPr>
          <w:rFonts w:asciiTheme="minorEastAsia" w:hAnsiTheme="minorEastAsia"/>
          <w:sz w:val="24"/>
          <w:szCs w:val="28"/>
        </w:rPr>
        <w:t>标准的</w:t>
      </w:r>
      <w:r>
        <w:rPr>
          <w:rFonts w:hint="eastAsia" w:asciiTheme="minorEastAsia" w:hAnsiTheme="minorEastAsia"/>
          <w:sz w:val="24"/>
          <w:szCs w:val="28"/>
        </w:rPr>
        <w:t>，则</w:t>
      </w:r>
      <w:r>
        <w:rPr>
          <w:rFonts w:asciiTheme="minorEastAsia" w:hAnsiTheme="minorEastAsia"/>
          <w:sz w:val="24"/>
          <w:szCs w:val="28"/>
        </w:rPr>
        <w:t>视作乙方不能交付标的物</w:t>
      </w:r>
      <w:r>
        <w:rPr>
          <w:rFonts w:hint="eastAsia" w:asciiTheme="minorEastAsia" w:hAnsiTheme="minorEastAsia"/>
          <w:sz w:val="24"/>
          <w:szCs w:val="28"/>
        </w:rPr>
        <w:t>而</w:t>
      </w:r>
      <w:r>
        <w:rPr>
          <w:rFonts w:asciiTheme="minorEastAsia" w:hAnsiTheme="minorEastAsia"/>
          <w:sz w:val="24"/>
          <w:szCs w:val="28"/>
        </w:rPr>
        <w:t>违约</w:t>
      </w:r>
      <w:r>
        <w:rPr>
          <w:rFonts w:hint="eastAsia" w:asciiTheme="minorEastAsia" w:hAnsiTheme="minorEastAsia"/>
          <w:sz w:val="24"/>
          <w:szCs w:val="28"/>
        </w:rPr>
        <w:t>，</w:t>
      </w:r>
      <w:r>
        <w:rPr>
          <w:rFonts w:asciiTheme="minorEastAsia" w:hAnsiTheme="minorEastAsia"/>
          <w:sz w:val="24"/>
          <w:szCs w:val="28"/>
        </w:rPr>
        <w:t>甲方有权退货</w:t>
      </w:r>
      <w:r>
        <w:rPr>
          <w:rFonts w:hint="eastAsia" w:asciiTheme="minorEastAsia" w:hAnsiTheme="minorEastAsia"/>
          <w:sz w:val="24"/>
          <w:szCs w:val="28"/>
        </w:rPr>
        <w:t>并追究乙方的违约责任</w:t>
      </w:r>
      <w:r>
        <w:rPr>
          <w:rFonts w:asciiTheme="minorEastAsia" w:hAnsiTheme="minorEastAsia"/>
          <w:sz w:val="24"/>
          <w:szCs w:val="28"/>
        </w:rPr>
        <w:t>。</w:t>
      </w:r>
    </w:p>
    <w:p>
      <w:pPr>
        <w:pStyle w:val="87"/>
        <w:numPr>
          <w:ilvl w:val="3"/>
          <w:numId w:val="1"/>
        </w:numPr>
        <w:spacing w:line="360" w:lineRule="auto"/>
        <w:ind w:firstLine="480"/>
        <w:rPr>
          <w:rFonts w:asciiTheme="minorEastAsia" w:hAnsiTheme="minorEastAsia"/>
          <w:sz w:val="24"/>
          <w:szCs w:val="28"/>
        </w:rPr>
      </w:pPr>
      <w:r>
        <w:rPr>
          <w:rFonts w:hint="eastAsia" w:asciiTheme="minorEastAsia" w:hAnsiTheme="minorEastAsia"/>
          <w:sz w:val="24"/>
          <w:szCs w:val="28"/>
        </w:rPr>
        <w:t xml:space="preserve">免费售后服务期内，因标的物质量问题导致甲方业务中断超过 </w:t>
      </w:r>
      <w:r>
        <w:rPr>
          <w:rFonts w:asciiTheme="minorEastAsia" w:hAnsiTheme="minorEastAsia"/>
          <w:sz w:val="24"/>
          <w:szCs w:val="28"/>
        </w:rPr>
        <w:t>2</w:t>
      </w:r>
      <w:r>
        <w:rPr>
          <w:rFonts w:hint="eastAsia" w:asciiTheme="minorEastAsia" w:hAnsiTheme="minorEastAsia"/>
          <w:sz w:val="24"/>
          <w:szCs w:val="28"/>
        </w:rPr>
        <w:t xml:space="preserve"> 个小时的，乙方</w:t>
      </w:r>
      <w:r>
        <w:rPr>
          <w:rFonts w:asciiTheme="minorEastAsia" w:hAnsiTheme="minorEastAsia"/>
          <w:sz w:val="24"/>
          <w:szCs w:val="28"/>
        </w:rPr>
        <w:t xml:space="preserve">应按合同总价的百分之 </w:t>
      </w:r>
      <w:r>
        <w:rPr>
          <w:rFonts w:hint="eastAsia" w:asciiTheme="minorEastAsia" w:hAnsiTheme="minorEastAsia"/>
          <w:sz w:val="24"/>
          <w:szCs w:val="28"/>
        </w:rPr>
        <w:t>一</w:t>
      </w:r>
      <w:r>
        <w:rPr>
          <w:rFonts w:asciiTheme="minorEastAsia" w:hAnsiTheme="minorEastAsia"/>
          <w:sz w:val="24"/>
          <w:szCs w:val="28"/>
        </w:rPr>
        <w:t xml:space="preserve"> 的款额向甲方支付</w:t>
      </w:r>
      <w:r>
        <w:rPr>
          <w:rFonts w:hint="eastAsia" w:asciiTheme="minorEastAsia" w:hAnsiTheme="minorEastAsia"/>
          <w:sz w:val="24"/>
          <w:szCs w:val="28"/>
        </w:rPr>
        <w:t>违约</w:t>
      </w:r>
      <w:r>
        <w:rPr>
          <w:rFonts w:asciiTheme="minorEastAsia" w:hAnsiTheme="minorEastAsia"/>
          <w:sz w:val="24"/>
          <w:szCs w:val="28"/>
        </w:rPr>
        <w:t>金</w:t>
      </w:r>
      <w:r>
        <w:rPr>
          <w:rFonts w:hint="eastAsia" w:asciiTheme="minorEastAsia" w:hAnsiTheme="minorEastAsia"/>
          <w:sz w:val="24"/>
          <w:szCs w:val="28"/>
        </w:rPr>
        <w:t xml:space="preserve">；超过 </w:t>
      </w:r>
      <w:r>
        <w:rPr>
          <w:rFonts w:asciiTheme="minorEastAsia" w:hAnsiTheme="minorEastAsia"/>
          <w:sz w:val="24"/>
          <w:szCs w:val="28"/>
        </w:rPr>
        <w:t xml:space="preserve">8 </w:t>
      </w:r>
      <w:r>
        <w:rPr>
          <w:rFonts w:hint="eastAsia" w:asciiTheme="minorEastAsia" w:hAnsiTheme="minorEastAsia"/>
          <w:sz w:val="24"/>
          <w:szCs w:val="28"/>
        </w:rPr>
        <w:t>小时的，乙方</w:t>
      </w:r>
      <w:r>
        <w:rPr>
          <w:rFonts w:asciiTheme="minorEastAsia" w:hAnsiTheme="minorEastAsia"/>
          <w:sz w:val="24"/>
          <w:szCs w:val="28"/>
        </w:rPr>
        <w:t xml:space="preserve">应按合同总价的百分之 </w:t>
      </w:r>
      <w:r>
        <w:rPr>
          <w:rFonts w:hint="eastAsia" w:asciiTheme="minorEastAsia" w:hAnsiTheme="minorEastAsia"/>
          <w:sz w:val="24"/>
          <w:szCs w:val="28"/>
        </w:rPr>
        <w:t>三</w:t>
      </w:r>
      <w:r>
        <w:rPr>
          <w:rFonts w:asciiTheme="minorEastAsia" w:hAnsiTheme="minorEastAsia"/>
          <w:sz w:val="24"/>
          <w:szCs w:val="28"/>
        </w:rPr>
        <w:t xml:space="preserve"> 的款额向甲方支付</w:t>
      </w:r>
      <w:r>
        <w:rPr>
          <w:rFonts w:hint="eastAsia" w:asciiTheme="minorEastAsia" w:hAnsiTheme="minorEastAsia"/>
          <w:sz w:val="24"/>
          <w:szCs w:val="28"/>
        </w:rPr>
        <w:t>违约</w:t>
      </w:r>
      <w:r>
        <w:rPr>
          <w:rFonts w:asciiTheme="minorEastAsia" w:hAnsiTheme="minorEastAsia"/>
          <w:sz w:val="24"/>
          <w:szCs w:val="28"/>
        </w:rPr>
        <w:t>金</w:t>
      </w:r>
      <w:r>
        <w:rPr>
          <w:rFonts w:hint="eastAsia" w:asciiTheme="minorEastAsia" w:hAnsiTheme="minorEastAsia"/>
          <w:sz w:val="24"/>
          <w:szCs w:val="28"/>
        </w:rPr>
        <w:t xml:space="preserve">；超过 </w:t>
      </w:r>
      <w:r>
        <w:rPr>
          <w:rFonts w:asciiTheme="minorEastAsia" w:hAnsiTheme="minorEastAsia"/>
          <w:sz w:val="24"/>
          <w:szCs w:val="28"/>
        </w:rPr>
        <w:t xml:space="preserve">12 </w:t>
      </w:r>
      <w:r>
        <w:rPr>
          <w:rFonts w:hint="eastAsia" w:asciiTheme="minorEastAsia" w:hAnsiTheme="minorEastAsia"/>
          <w:sz w:val="24"/>
          <w:szCs w:val="28"/>
        </w:rPr>
        <w:t>小时的，乙方</w:t>
      </w:r>
      <w:r>
        <w:rPr>
          <w:rFonts w:asciiTheme="minorEastAsia" w:hAnsiTheme="minorEastAsia"/>
          <w:sz w:val="24"/>
          <w:szCs w:val="28"/>
        </w:rPr>
        <w:t xml:space="preserve">应按合同总价的百分之 </w:t>
      </w:r>
      <w:r>
        <w:rPr>
          <w:rFonts w:hint="eastAsia" w:asciiTheme="minorEastAsia" w:hAnsiTheme="minorEastAsia"/>
          <w:sz w:val="24"/>
          <w:szCs w:val="28"/>
        </w:rPr>
        <w:t>五</w:t>
      </w:r>
      <w:r>
        <w:rPr>
          <w:rFonts w:asciiTheme="minorEastAsia" w:hAnsiTheme="minorEastAsia"/>
          <w:sz w:val="24"/>
          <w:szCs w:val="28"/>
        </w:rPr>
        <w:t xml:space="preserve"> 的款额向甲方支付</w:t>
      </w:r>
      <w:r>
        <w:rPr>
          <w:rFonts w:hint="eastAsia" w:asciiTheme="minorEastAsia" w:hAnsiTheme="minorEastAsia"/>
          <w:sz w:val="24"/>
          <w:szCs w:val="28"/>
        </w:rPr>
        <w:t>违约</w:t>
      </w:r>
      <w:r>
        <w:rPr>
          <w:rFonts w:asciiTheme="minorEastAsia" w:hAnsiTheme="minorEastAsia"/>
          <w:sz w:val="24"/>
          <w:szCs w:val="28"/>
        </w:rPr>
        <w:t>金</w:t>
      </w:r>
      <w:r>
        <w:rPr>
          <w:rFonts w:hint="eastAsia" w:asciiTheme="minorEastAsia" w:hAnsiTheme="minorEastAsia"/>
          <w:sz w:val="24"/>
          <w:szCs w:val="28"/>
        </w:rPr>
        <w:t>。</w:t>
      </w:r>
    </w:p>
    <w:p>
      <w:pPr>
        <w:pStyle w:val="87"/>
        <w:numPr>
          <w:ilvl w:val="3"/>
          <w:numId w:val="1"/>
        </w:numPr>
        <w:spacing w:line="360" w:lineRule="auto"/>
        <w:ind w:firstLine="480"/>
      </w:pPr>
      <w:r>
        <w:rPr>
          <w:rFonts w:hint="eastAsia" w:asciiTheme="minorEastAsia" w:hAnsiTheme="minorEastAsia"/>
          <w:sz w:val="24"/>
          <w:szCs w:val="28"/>
        </w:rPr>
        <w:t>免费售后服务期内，乙方未按合同约定履行维保义务的情况发生1次的，</w:t>
      </w:r>
      <w:r>
        <w:rPr>
          <w:rFonts w:asciiTheme="minorEastAsia" w:hAnsiTheme="minorEastAsia"/>
          <w:sz w:val="24"/>
          <w:szCs w:val="28"/>
        </w:rPr>
        <w:t xml:space="preserve">乙方应按合同总价的百分之 </w:t>
      </w:r>
      <w:r>
        <w:rPr>
          <w:rFonts w:hint="eastAsia" w:asciiTheme="minorEastAsia" w:hAnsiTheme="minorEastAsia"/>
          <w:sz w:val="24"/>
          <w:szCs w:val="28"/>
        </w:rPr>
        <w:t>三</w:t>
      </w:r>
      <w:r>
        <w:rPr>
          <w:rFonts w:asciiTheme="minorEastAsia" w:hAnsiTheme="minorEastAsia"/>
          <w:sz w:val="24"/>
          <w:szCs w:val="28"/>
        </w:rPr>
        <w:t xml:space="preserve"> 的款额向甲方支付</w:t>
      </w:r>
      <w:r>
        <w:rPr>
          <w:rFonts w:hint="eastAsia" w:asciiTheme="minorEastAsia" w:hAnsiTheme="minorEastAsia"/>
          <w:sz w:val="24"/>
          <w:szCs w:val="28"/>
        </w:rPr>
        <w:t>违约</w:t>
      </w:r>
      <w:r>
        <w:rPr>
          <w:rFonts w:asciiTheme="minorEastAsia" w:hAnsiTheme="minorEastAsia"/>
          <w:sz w:val="24"/>
          <w:szCs w:val="28"/>
        </w:rPr>
        <w:t>金</w:t>
      </w:r>
      <w:r>
        <w:rPr>
          <w:rFonts w:hint="eastAsia" w:asciiTheme="minorEastAsia" w:hAnsiTheme="minorEastAsia"/>
          <w:sz w:val="24"/>
          <w:szCs w:val="28"/>
        </w:rPr>
        <w:t>；发生2次的，</w:t>
      </w:r>
      <w:r>
        <w:rPr>
          <w:rFonts w:asciiTheme="minorEastAsia" w:hAnsiTheme="minorEastAsia"/>
          <w:sz w:val="24"/>
          <w:szCs w:val="28"/>
        </w:rPr>
        <w:t xml:space="preserve">乙方应按合同总价的百分之 </w:t>
      </w:r>
      <w:r>
        <w:rPr>
          <w:rFonts w:hint="eastAsia" w:asciiTheme="minorEastAsia" w:hAnsiTheme="minorEastAsia"/>
          <w:sz w:val="24"/>
          <w:szCs w:val="28"/>
        </w:rPr>
        <w:t>五</w:t>
      </w:r>
      <w:r>
        <w:rPr>
          <w:rFonts w:asciiTheme="minorEastAsia" w:hAnsiTheme="minorEastAsia"/>
          <w:sz w:val="24"/>
          <w:szCs w:val="28"/>
        </w:rPr>
        <w:t xml:space="preserve"> 的款额向甲方支付</w:t>
      </w:r>
      <w:r>
        <w:rPr>
          <w:rFonts w:hint="eastAsia" w:asciiTheme="minorEastAsia" w:hAnsiTheme="minorEastAsia"/>
          <w:sz w:val="24"/>
          <w:szCs w:val="28"/>
        </w:rPr>
        <w:t>违约</w:t>
      </w:r>
      <w:r>
        <w:rPr>
          <w:rFonts w:asciiTheme="minorEastAsia" w:hAnsiTheme="minorEastAsia"/>
          <w:sz w:val="24"/>
          <w:szCs w:val="28"/>
        </w:rPr>
        <w:t>金</w:t>
      </w:r>
      <w:r>
        <w:rPr>
          <w:rFonts w:hint="eastAsia" w:asciiTheme="minorEastAsia" w:hAnsiTheme="minorEastAsia"/>
          <w:sz w:val="24"/>
          <w:szCs w:val="28"/>
        </w:rPr>
        <w:t>；发生</w:t>
      </w:r>
      <w:r>
        <w:rPr>
          <w:rFonts w:asciiTheme="minorEastAsia" w:hAnsiTheme="minorEastAsia"/>
          <w:sz w:val="24"/>
          <w:szCs w:val="28"/>
        </w:rPr>
        <w:t>3</w:t>
      </w:r>
      <w:r>
        <w:rPr>
          <w:rFonts w:hint="eastAsia" w:asciiTheme="minorEastAsia" w:hAnsiTheme="minorEastAsia"/>
          <w:sz w:val="24"/>
          <w:szCs w:val="28"/>
        </w:rPr>
        <w:t>次的，</w:t>
      </w:r>
      <w:r>
        <w:rPr>
          <w:rFonts w:asciiTheme="minorEastAsia" w:hAnsiTheme="minorEastAsia"/>
          <w:sz w:val="24"/>
          <w:szCs w:val="28"/>
        </w:rPr>
        <w:t xml:space="preserve">乙方应按合同总价的百分之 </w:t>
      </w:r>
      <w:r>
        <w:rPr>
          <w:rFonts w:hint="eastAsia" w:asciiTheme="minorEastAsia" w:hAnsiTheme="minorEastAsia"/>
          <w:sz w:val="24"/>
          <w:szCs w:val="28"/>
        </w:rPr>
        <w:t>十</w:t>
      </w:r>
      <w:r>
        <w:rPr>
          <w:rFonts w:asciiTheme="minorEastAsia" w:hAnsiTheme="minorEastAsia"/>
          <w:sz w:val="24"/>
          <w:szCs w:val="28"/>
        </w:rPr>
        <w:t xml:space="preserve"> 的款额向甲方支付</w:t>
      </w:r>
      <w:r>
        <w:rPr>
          <w:rFonts w:hint="eastAsia" w:asciiTheme="minorEastAsia" w:hAnsiTheme="minorEastAsia"/>
          <w:sz w:val="24"/>
          <w:szCs w:val="28"/>
        </w:rPr>
        <w:t>违约</w:t>
      </w:r>
      <w:r>
        <w:rPr>
          <w:rFonts w:asciiTheme="minorEastAsia" w:hAnsiTheme="minorEastAsia"/>
          <w:sz w:val="24"/>
          <w:szCs w:val="28"/>
        </w:rPr>
        <w:t>金</w:t>
      </w:r>
      <w:r>
        <w:rPr>
          <w:rFonts w:hint="eastAsia" w:asciiTheme="minorEastAsia" w:hAnsiTheme="minorEastAsia"/>
          <w:sz w:val="24"/>
          <w:szCs w:val="28"/>
        </w:rPr>
        <w:t>；乙方偿付的违约金由甲方从质保金中扣除，不足的款额由乙方另向甲方支付。</w:t>
      </w:r>
    </w:p>
    <w:p>
      <w:pPr>
        <w:pStyle w:val="12"/>
        <w:ind w:left="542" w:leftChars="258"/>
        <w:rPr>
          <w:rFonts w:ascii="宋体" w:hAnsi="宋体"/>
          <w:b/>
          <w:bCs/>
          <w:sz w:val="32"/>
          <w:szCs w:val="32"/>
        </w:rPr>
      </w:pPr>
      <w:r>
        <w:rPr>
          <w:rFonts w:hint="eastAsia" w:asciiTheme="minorEastAsia" w:hAnsiTheme="minorEastAsia"/>
          <w:sz w:val="24"/>
          <w:szCs w:val="28"/>
        </w:rPr>
        <w:t>4</w:t>
      </w:r>
      <w:r>
        <w:rPr>
          <w:rFonts w:asciiTheme="minorEastAsia" w:hAnsiTheme="minorEastAsia"/>
          <w:sz w:val="24"/>
          <w:szCs w:val="28"/>
        </w:rPr>
        <w:t>.交货期为</w:t>
      </w:r>
      <w:r>
        <w:rPr>
          <w:rFonts w:hint="eastAsia" w:asciiTheme="minorEastAsia" w:hAnsiTheme="minorEastAsia"/>
          <w:sz w:val="24"/>
          <w:szCs w:val="28"/>
        </w:rPr>
        <w:t>合同签署后</w:t>
      </w:r>
      <w:r>
        <w:rPr>
          <w:rFonts w:asciiTheme="minorEastAsia" w:hAnsiTheme="minorEastAsia"/>
          <w:sz w:val="24"/>
          <w:szCs w:val="28"/>
        </w:rPr>
        <w:t>30</w:t>
      </w:r>
      <w:r>
        <w:rPr>
          <w:rFonts w:hint="eastAsia" w:asciiTheme="minorEastAsia" w:hAnsiTheme="minorEastAsia"/>
          <w:sz w:val="24"/>
          <w:szCs w:val="28"/>
        </w:rPr>
        <w:t>日内。</w:t>
      </w:r>
    </w:p>
    <w:bookmarkEnd w:id="8"/>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3" w:type="default"/>
      <w:footerReference r:id="rId4"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lang w:val="en-US" w:eastAsia="zh-CN"/>
      </w:rPr>
    </w:pPr>
    <w:r>
      <w:rPr>
        <w:rFonts w:hint="eastAsia"/>
      </w:rPr>
      <w:t xml:space="preserve">                         </w:t>
    </w:r>
    <w:r>
      <w:rPr>
        <w:rFonts w:hint="eastAsia" w:ascii="宋体" w:hAnsi="宋体" w:cs="宋体"/>
        <w:color w:val="auto"/>
        <w:szCs w:val="21"/>
        <w:highlight w:val="none"/>
        <w:lang w:eastAsia="zh-CN"/>
      </w:rPr>
      <w:t>驻马店市中心医院信手书签名板采购项目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297FA5"/>
    <w:multiLevelType w:val="multilevel"/>
    <w:tmpl w:val="49297FA5"/>
    <w:lvl w:ilvl="0" w:tentative="0">
      <w:start w:val="1"/>
      <w:numFmt w:val="japaneseCounting"/>
      <w:lvlText w:val="%1、"/>
      <w:lvlJc w:val="left"/>
      <w:pPr>
        <w:tabs>
          <w:tab w:val="left" w:pos="1455"/>
        </w:tabs>
        <w:ind w:left="1455" w:hanging="720"/>
      </w:pPr>
      <w:rPr>
        <w:rFonts w:hint="eastAsia" w:ascii="宋体" w:hAnsi="宋体" w:eastAsia="宋体"/>
      </w:rPr>
    </w:lvl>
    <w:lvl w:ilvl="1" w:tentative="0">
      <w:start w:val="1"/>
      <w:numFmt w:val="lowerLetter"/>
      <w:lvlText w:val="%2)"/>
      <w:lvlJc w:val="left"/>
      <w:pPr>
        <w:tabs>
          <w:tab w:val="left" w:pos="1575"/>
        </w:tabs>
        <w:ind w:left="1575" w:hanging="420"/>
      </w:pPr>
      <w:rPr>
        <w:rFonts w:hint="default" w:ascii="Times New Roman" w:hAnsi="Times New Roman" w:cs="Times New Roman"/>
      </w:rPr>
    </w:lvl>
    <w:lvl w:ilvl="2" w:tentative="0">
      <w:start w:val="1"/>
      <w:numFmt w:val="lowerRoman"/>
      <w:lvlText w:val="%3."/>
      <w:lvlJc w:val="right"/>
      <w:pPr>
        <w:tabs>
          <w:tab w:val="left" w:pos="1995"/>
        </w:tabs>
        <w:ind w:left="1995" w:hanging="420"/>
      </w:pPr>
      <w:rPr>
        <w:rFonts w:hint="default" w:ascii="Times New Roman" w:hAnsi="Times New Roman" w:cs="Times New Roman"/>
      </w:rPr>
    </w:lvl>
    <w:lvl w:ilvl="3" w:tentative="0">
      <w:start w:val="1"/>
      <w:numFmt w:val="decimal"/>
      <w:suff w:val="space"/>
      <w:lvlText w:val="%4."/>
      <w:lvlJc w:val="left"/>
      <w:pPr>
        <w:ind w:left="0" w:firstLine="0"/>
      </w:pPr>
      <w:rPr>
        <w:rFonts w:hint="default" w:cs="Times New Roman" w:asciiTheme="minorEastAsia" w:hAnsiTheme="minorEastAsia" w:eastAsiaTheme="minorEastAsia"/>
        <w:sz w:val="24"/>
        <w:szCs w:val="24"/>
      </w:rPr>
    </w:lvl>
    <w:lvl w:ilvl="4" w:tentative="0">
      <w:start w:val="1"/>
      <w:numFmt w:val="lowerLetter"/>
      <w:lvlText w:val="%5)"/>
      <w:lvlJc w:val="left"/>
      <w:pPr>
        <w:tabs>
          <w:tab w:val="left" w:pos="2835"/>
        </w:tabs>
        <w:ind w:left="2835" w:hanging="420"/>
      </w:pPr>
      <w:rPr>
        <w:rFonts w:hint="default" w:ascii="Times New Roman" w:hAnsi="Times New Roman" w:cs="Times New Roman"/>
      </w:rPr>
    </w:lvl>
    <w:lvl w:ilvl="5" w:tentative="0">
      <w:start w:val="1"/>
      <w:numFmt w:val="lowerRoman"/>
      <w:lvlText w:val="%6."/>
      <w:lvlJc w:val="right"/>
      <w:pPr>
        <w:tabs>
          <w:tab w:val="left" w:pos="3255"/>
        </w:tabs>
        <w:ind w:left="3255" w:hanging="420"/>
      </w:pPr>
      <w:rPr>
        <w:rFonts w:hint="default" w:ascii="Times New Roman" w:hAnsi="Times New Roman" w:cs="Times New Roman"/>
      </w:rPr>
    </w:lvl>
    <w:lvl w:ilvl="6" w:tentative="0">
      <w:start w:val="1"/>
      <w:numFmt w:val="decimal"/>
      <w:lvlText w:val="%7."/>
      <w:lvlJc w:val="left"/>
      <w:pPr>
        <w:tabs>
          <w:tab w:val="left" w:pos="3675"/>
        </w:tabs>
        <w:ind w:left="3675" w:hanging="420"/>
      </w:pPr>
      <w:rPr>
        <w:rFonts w:hint="default" w:ascii="Times New Roman" w:hAnsi="Times New Roman" w:cs="Times New Roman"/>
      </w:rPr>
    </w:lvl>
    <w:lvl w:ilvl="7" w:tentative="0">
      <w:start w:val="1"/>
      <w:numFmt w:val="lowerLetter"/>
      <w:lvlText w:val="%8)"/>
      <w:lvlJc w:val="left"/>
      <w:pPr>
        <w:tabs>
          <w:tab w:val="left" w:pos="4095"/>
        </w:tabs>
        <w:ind w:left="4095" w:hanging="420"/>
      </w:pPr>
      <w:rPr>
        <w:rFonts w:hint="default" w:ascii="Times New Roman" w:hAnsi="Times New Roman" w:cs="Times New Roman"/>
      </w:rPr>
    </w:lvl>
    <w:lvl w:ilvl="8" w:tentative="0">
      <w:start w:val="1"/>
      <w:numFmt w:val="lowerRoman"/>
      <w:lvlText w:val="%9."/>
      <w:lvlJc w:val="right"/>
      <w:pPr>
        <w:tabs>
          <w:tab w:val="left" w:pos="4515"/>
        </w:tabs>
        <w:ind w:left="4515"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3473"/>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200E"/>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CC1143"/>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1606D"/>
    <w:rsid w:val="04870542"/>
    <w:rsid w:val="04B9160E"/>
    <w:rsid w:val="05157BA2"/>
    <w:rsid w:val="053F1F5A"/>
    <w:rsid w:val="05545DD3"/>
    <w:rsid w:val="056E2AD6"/>
    <w:rsid w:val="05806815"/>
    <w:rsid w:val="058251D3"/>
    <w:rsid w:val="05945CCE"/>
    <w:rsid w:val="059D05A4"/>
    <w:rsid w:val="059D5E17"/>
    <w:rsid w:val="05AB0A28"/>
    <w:rsid w:val="05AB0F81"/>
    <w:rsid w:val="05B93D6B"/>
    <w:rsid w:val="05D53002"/>
    <w:rsid w:val="05D75738"/>
    <w:rsid w:val="05DB25FB"/>
    <w:rsid w:val="061E7D14"/>
    <w:rsid w:val="0646323F"/>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AD86CAC"/>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1771C4"/>
    <w:rsid w:val="0D3F3A0E"/>
    <w:rsid w:val="0DB53B00"/>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2D8538D"/>
    <w:rsid w:val="12E549BD"/>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ED3D4F"/>
    <w:rsid w:val="14FC36BD"/>
    <w:rsid w:val="151E3A0F"/>
    <w:rsid w:val="1557566D"/>
    <w:rsid w:val="15811F1B"/>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1A2E9A"/>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9CE23A1"/>
    <w:rsid w:val="1A125525"/>
    <w:rsid w:val="1A514E33"/>
    <w:rsid w:val="1A5F4342"/>
    <w:rsid w:val="1A8C5D82"/>
    <w:rsid w:val="1A994988"/>
    <w:rsid w:val="1A9B546C"/>
    <w:rsid w:val="1AA3511F"/>
    <w:rsid w:val="1AAE3B54"/>
    <w:rsid w:val="1AC10987"/>
    <w:rsid w:val="1B0C5B32"/>
    <w:rsid w:val="1B0D3E82"/>
    <w:rsid w:val="1B1652AB"/>
    <w:rsid w:val="1B181CD5"/>
    <w:rsid w:val="1B265306"/>
    <w:rsid w:val="1B3426D8"/>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A1406"/>
    <w:rsid w:val="1FEF08C8"/>
    <w:rsid w:val="1FF72E6A"/>
    <w:rsid w:val="20176124"/>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0480C"/>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D03A0"/>
    <w:rsid w:val="2C3F3A41"/>
    <w:rsid w:val="2C42700B"/>
    <w:rsid w:val="2C4431C4"/>
    <w:rsid w:val="2C62059F"/>
    <w:rsid w:val="2C6634FA"/>
    <w:rsid w:val="2CAC022C"/>
    <w:rsid w:val="2CC11807"/>
    <w:rsid w:val="2CF16074"/>
    <w:rsid w:val="2CF81D1B"/>
    <w:rsid w:val="2D3F2453"/>
    <w:rsid w:val="2D835174"/>
    <w:rsid w:val="2DD90B7B"/>
    <w:rsid w:val="2DDC0033"/>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BE1AAD"/>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30459D"/>
    <w:rsid w:val="36883480"/>
    <w:rsid w:val="369B4CF0"/>
    <w:rsid w:val="36D62629"/>
    <w:rsid w:val="36D76172"/>
    <w:rsid w:val="36E833BB"/>
    <w:rsid w:val="36EB1E1B"/>
    <w:rsid w:val="36F17F0D"/>
    <w:rsid w:val="373234C8"/>
    <w:rsid w:val="3735197D"/>
    <w:rsid w:val="373756A2"/>
    <w:rsid w:val="375E0DA6"/>
    <w:rsid w:val="378B61A6"/>
    <w:rsid w:val="37CD3F98"/>
    <w:rsid w:val="37DF75BA"/>
    <w:rsid w:val="37E148E2"/>
    <w:rsid w:val="38304889"/>
    <w:rsid w:val="38382675"/>
    <w:rsid w:val="3851700B"/>
    <w:rsid w:val="385246B6"/>
    <w:rsid w:val="387737AC"/>
    <w:rsid w:val="38A53DB7"/>
    <w:rsid w:val="38BF3388"/>
    <w:rsid w:val="38CC268D"/>
    <w:rsid w:val="38EC2960"/>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7F1A97"/>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6214AE"/>
    <w:rsid w:val="40765D15"/>
    <w:rsid w:val="40786454"/>
    <w:rsid w:val="407F2DE9"/>
    <w:rsid w:val="40845973"/>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67501D"/>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1701A"/>
    <w:rsid w:val="45E57886"/>
    <w:rsid w:val="46003076"/>
    <w:rsid w:val="46177E29"/>
    <w:rsid w:val="46205B7F"/>
    <w:rsid w:val="465D501C"/>
    <w:rsid w:val="466367DB"/>
    <w:rsid w:val="46641E11"/>
    <w:rsid w:val="46686D18"/>
    <w:rsid w:val="46C3037C"/>
    <w:rsid w:val="46FF15E0"/>
    <w:rsid w:val="4700581C"/>
    <w:rsid w:val="4702516A"/>
    <w:rsid w:val="474A4B33"/>
    <w:rsid w:val="474D04FA"/>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6D373D"/>
    <w:rsid w:val="48A16B62"/>
    <w:rsid w:val="48BC6222"/>
    <w:rsid w:val="48C245E9"/>
    <w:rsid w:val="48DB312A"/>
    <w:rsid w:val="48DF49D9"/>
    <w:rsid w:val="49081F84"/>
    <w:rsid w:val="492108CC"/>
    <w:rsid w:val="49392333"/>
    <w:rsid w:val="49D22F38"/>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BB37B9"/>
    <w:rsid w:val="4BC06040"/>
    <w:rsid w:val="4BF441D2"/>
    <w:rsid w:val="4C1C2A09"/>
    <w:rsid w:val="4C3E2B07"/>
    <w:rsid w:val="4C694192"/>
    <w:rsid w:val="4C7964D9"/>
    <w:rsid w:val="4C9269F6"/>
    <w:rsid w:val="4CC84335"/>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56802"/>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5C74C1"/>
    <w:rsid w:val="5361549D"/>
    <w:rsid w:val="536220DA"/>
    <w:rsid w:val="53650637"/>
    <w:rsid w:val="53757C6B"/>
    <w:rsid w:val="537E1075"/>
    <w:rsid w:val="53A44D07"/>
    <w:rsid w:val="53A46AC8"/>
    <w:rsid w:val="53AB7F1F"/>
    <w:rsid w:val="53AC6F7B"/>
    <w:rsid w:val="53EB297B"/>
    <w:rsid w:val="5419263D"/>
    <w:rsid w:val="541E5562"/>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1D0945"/>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357C0E"/>
    <w:rsid w:val="5C5355FE"/>
    <w:rsid w:val="5C6F4105"/>
    <w:rsid w:val="5C7A4EE2"/>
    <w:rsid w:val="5CBB7F6F"/>
    <w:rsid w:val="5CBE30B7"/>
    <w:rsid w:val="5D7C3F11"/>
    <w:rsid w:val="5D9D49E0"/>
    <w:rsid w:val="5DDF1821"/>
    <w:rsid w:val="5DEA2F91"/>
    <w:rsid w:val="5E0D2339"/>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DF3861"/>
    <w:rsid w:val="5FE5522B"/>
    <w:rsid w:val="5FF03F08"/>
    <w:rsid w:val="5FF2548E"/>
    <w:rsid w:val="5FF313D3"/>
    <w:rsid w:val="602610FD"/>
    <w:rsid w:val="602808B2"/>
    <w:rsid w:val="603814FF"/>
    <w:rsid w:val="604109A8"/>
    <w:rsid w:val="605D2617"/>
    <w:rsid w:val="60616CDC"/>
    <w:rsid w:val="60624E53"/>
    <w:rsid w:val="606319E5"/>
    <w:rsid w:val="60671922"/>
    <w:rsid w:val="607B3C50"/>
    <w:rsid w:val="608B6567"/>
    <w:rsid w:val="60FF21D9"/>
    <w:rsid w:val="613253FD"/>
    <w:rsid w:val="61333E65"/>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2C77C7"/>
    <w:rsid w:val="6340438B"/>
    <w:rsid w:val="6353238E"/>
    <w:rsid w:val="63612AB8"/>
    <w:rsid w:val="637D0978"/>
    <w:rsid w:val="638968B0"/>
    <w:rsid w:val="638A282C"/>
    <w:rsid w:val="63A85E90"/>
    <w:rsid w:val="63A962DB"/>
    <w:rsid w:val="63AB1A91"/>
    <w:rsid w:val="63EE4692"/>
    <w:rsid w:val="63FD622D"/>
    <w:rsid w:val="643F32F9"/>
    <w:rsid w:val="64412458"/>
    <w:rsid w:val="64582686"/>
    <w:rsid w:val="64673C87"/>
    <w:rsid w:val="64A251DD"/>
    <w:rsid w:val="64AF4418"/>
    <w:rsid w:val="64DB63AB"/>
    <w:rsid w:val="650242F0"/>
    <w:rsid w:val="65542778"/>
    <w:rsid w:val="655829AF"/>
    <w:rsid w:val="656B70C3"/>
    <w:rsid w:val="658F4798"/>
    <w:rsid w:val="659B1EBA"/>
    <w:rsid w:val="65B461E9"/>
    <w:rsid w:val="65BE39A8"/>
    <w:rsid w:val="65FB3FBE"/>
    <w:rsid w:val="65FE2039"/>
    <w:rsid w:val="66247D11"/>
    <w:rsid w:val="665054B9"/>
    <w:rsid w:val="66736112"/>
    <w:rsid w:val="667F5B5B"/>
    <w:rsid w:val="66897C79"/>
    <w:rsid w:val="6694262A"/>
    <w:rsid w:val="669609C2"/>
    <w:rsid w:val="66990381"/>
    <w:rsid w:val="66B31B01"/>
    <w:rsid w:val="66CE1E80"/>
    <w:rsid w:val="66E11239"/>
    <w:rsid w:val="66E362F9"/>
    <w:rsid w:val="66E47FD9"/>
    <w:rsid w:val="67071922"/>
    <w:rsid w:val="671626D9"/>
    <w:rsid w:val="673B73C0"/>
    <w:rsid w:val="675608B6"/>
    <w:rsid w:val="67754402"/>
    <w:rsid w:val="677D54ED"/>
    <w:rsid w:val="67AC6886"/>
    <w:rsid w:val="67B25E27"/>
    <w:rsid w:val="67C4383B"/>
    <w:rsid w:val="67D35E1A"/>
    <w:rsid w:val="67F35317"/>
    <w:rsid w:val="680201B7"/>
    <w:rsid w:val="682F6F1D"/>
    <w:rsid w:val="68362BFB"/>
    <w:rsid w:val="683F1130"/>
    <w:rsid w:val="684456A1"/>
    <w:rsid w:val="685E1363"/>
    <w:rsid w:val="688A0B3C"/>
    <w:rsid w:val="688E1089"/>
    <w:rsid w:val="68A026F3"/>
    <w:rsid w:val="68AF6C13"/>
    <w:rsid w:val="68D77169"/>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34D1E"/>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7E26F9"/>
    <w:rsid w:val="6CA35B3A"/>
    <w:rsid w:val="6CA41A5D"/>
    <w:rsid w:val="6CAF588C"/>
    <w:rsid w:val="6CB4638E"/>
    <w:rsid w:val="6CBF3C6A"/>
    <w:rsid w:val="6CBF5306"/>
    <w:rsid w:val="6CE70FA1"/>
    <w:rsid w:val="6CFA6351"/>
    <w:rsid w:val="6CFC3C40"/>
    <w:rsid w:val="6D480984"/>
    <w:rsid w:val="6D9A1575"/>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1E31D57"/>
    <w:rsid w:val="721919B3"/>
    <w:rsid w:val="721A6098"/>
    <w:rsid w:val="72310D1A"/>
    <w:rsid w:val="725D6B54"/>
    <w:rsid w:val="729C6026"/>
    <w:rsid w:val="72A17C99"/>
    <w:rsid w:val="72AF6F7E"/>
    <w:rsid w:val="72C576C8"/>
    <w:rsid w:val="73047904"/>
    <w:rsid w:val="734C1A6A"/>
    <w:rsid w:val="735C5949"/>
    <w:rsid w:val="73737DA5"/>
    <w:rsid w:val="73887B3E"/>
    <w:rsid w:val="73892412"/>
    <w:rsid w:val="73C03C7E"/>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D37C3"/>
    <w:rsid w:val="764F3FCC"/>
    <w:rsid w:val="7650339F"/>
    <w:rsid w:val="76603C9A"/>
    <w:rsid w:val="76750E5E"/>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8D45CE"/>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52DCE"/>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73"/>
    <w:qFormat/>
    <w:uiPriority w:val="0"/>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5"/>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4"/>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4"/>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1"/>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4"/>
    <w:qFormat/>
    <w:uiPriority w:val="0"/>
  </w:style>
  <w:style w:type="character" w:customStyle="1" w:styleId="74">
    <w:name w:val="apple-converted-space"/>
    <w:basedOn w:val="34"/>
    <w:qFormat/>
    <w:uiPriority w:val="0"/>
  </w:style>
  <w:style w:type="character" w:customStyle="1" w:styleId="75">
    <w:name w:val="文档结构图 Char"/>
    <w:link w:val="9"/>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paragraph" w:customStyle="1" w:styleId="89">
    <w:name w:val="方案正文"/>
    <w:basedOn w:val="1"/>
    <w:qFormat/>
    <w:uiPriority w:val="0"/>
    <w:pPr>
      <w:spacing w:before="120" w:line="360" w:lineRule="auto"/>
      <w:ind w:firstLine="425" w:firstLineChars="177"/>
    </w:pPr>
    <w:rPr>
      <w:rFonts w:ascii="华文细黑" w:hAnsi="华文细黑" w:eastAsia="华文细黑" w:cs="Times New Roman"/>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15284</Words>
  <Characters>16023</Characters>
  <Lines>50</Lines>
  <Paragraphs>68</Paragraphs>
  <TotalTime>0</TotalTime>
  <ScaleCrop>false</ScaleCrop>
  <LinksUpToDate>false</LinksUpToDate>
  <CharactersWithSpaces>16878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2023-03-27T01:39:12Z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562A285641654D2EA086C4325B3B203C</vt:lpwstr>
  </property>
</Properties>
</file>