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ascii="宋体" w:hAnsi="宋体" w:eastAsia="宋体" w:cs="宋体"/>
          <w:b/>
          <w:bCs/>
          <w:sz w:val="48"/>
          <w:szCs w:val="48"/>
          <w:lang w:val="en-US" w:eastAsia="zh-CN"/>
        </w:rPr>
        <w:t>驻马店市中心医院妇儿院区安全生产双重预防体系建设</w:t>
      </w:r>
      <w:r>
        <w:rPr>
          <w:rFonts w:hint="eastAsia" w:cs="宋体"/>
          <w:b/>
          <w:bCs/>
          <w:sz w:val="48"/>
          <w:szCs w:val="48"/>
          <w:lang w:val="en-US" w:eastAsia="zh-CN"/>
        </w:rPr>
        <w:t>项目</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lang w:val="en-US" w:eastAsia="zh-CN"/>
        </w:rPr>
      </w:pPr>
      <w:r>
        <w:rPr>
          <w:rFonts w:hint="eastAsia" w:ascii="黑体" w:hAnsi="黑体" w:eastAsia="黑体" w:cs="宋体"/>
          <w:bCs/>
          <w:color w:val="auto"/>
          <w:kern w:val="0"/>
          <w:sz w:val="28"/>
          <w:szCs w:val="28"/>
        </w:rPr>
        <w:t>驻马店市中心医院妇儿院区安全生产双重预防体系建设</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妇儿院区安全生产双重预防体系建设</w:t>
      </w:r>
      <w:r>
        <w:rPr>
          <w:rFonts w:hint="eastAsia" w:ascii="宋体" w:hAnsi="宋体" w:eastAsia="宋体" w:cs="宋体"/>
          <w:color w:val="auto"/>
          <w:u w:val="single"/>
          <w:lang w:val="en-US" w:eastAsia="zh-CN"/>
        </w:rPr>
        <w:t xml:space="preserve">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驻马店市中心医院妇儿院区安全生产双重预防体系建设</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139000.00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w:t>
      </w:r>
      <w:r>
        <w:rPr>
          <w:rFonts w:hint="eastAsia" w:ascii="宋体" w:hAnsi="宋体" w:eastAsia="宋体" w:cs="宋体"/>
          <w:color w:val="auto"/>
          <w:szCs w:val="21"/>
          <w:highlight w:val="none"/>
          <w:shd w:val="clear" w:color="auto" w:fill="FFFFFF"/>
          <w:lang w:val="en-US" w:eastAsia="zh-CN"/>
        </w:rPr>
        <w:t>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21071"/>
      <w:bookmarkStart w:id="5" w:name="_Toc24040"/>
      <w:bookmarkStart w:id="6" w:name="_Toc19521"/>
      <w:bookmarkStart w:id="7" w:name="_Toc27913"/>
      <w:bookmarkStart w:id="8" w:name="_Toc26079"/>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8607"/>
      <w:bookmarkStart w:id="10" w:name="_Toc23626"/>
      <w:bookmarkStart w:id="11" w:name="_Toc27704"/>
      <w:bookmarkStart w:id="12"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eastAsia="宋体" w:cs="宋体"/>
          <w:color w:val="auto"/>
          <w:kern w:val="2"/>
          <w:sz w:val="21"/>
          <w:szCs w:val="24"/>
          <w:lang w:val="en-US" w:eastAsia="zh-CN" w:bidi="ar-SA"/>
        </w:rPr>
        <w:t>6</w:t>
      </w:r>
      <w:r>
        <w:rPr>
          <w:rFonts w:hint="eastAsia"/>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7、不接受联合体投标。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30971"/>
      <w:bookmarkStart w:id="14" w:name="_Toc30643"/>
      <w:bookmarkStart w:id="15" w:name="_Toc23395"/>
      <w:bookmarkStart w:id="16" w:name="_Toc7823"/>
      <w:bookmarkStart w:id="17" w:name="_Toc9562"/>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18</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22</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5869"/>
      <w:bookmarkStart w:id="19" w:name="_Toc15111"/>
      <w:bookmarkStart w:id="20" w:name="_Toc10738"/>
      <w:bookmarkStart w:id="21" w:name="_Toc15135"/>
      <w:bookmarkStart w:id="22" w:name="_Toc27480"/>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30918"/>
      <w:bookmarkStart w:id="25" w:name="_Toc6523"/>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1928"/>
      <w:bookmarkStart w:id="30" w:name="_Toc16291"/>
      <w:bookmarkStart w:id="31" w:name="_Toc24274"/>
      <w:bookmarkStart w:id="32" w:name="_Toc27370"/>
      <w:bookmarkStart w:id="33" w:name="_Toc360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cs="宋体"/>
          <w:kern w:val="0"/>
          <w:sz w:val="21"/>
          <w:szCs w:val="21"/>
          <w:highlight w:val="none"/>
          <w:shd w:val="clear" w:color="auto" w:fill="FFFFFF"/>
          <w:lang w:val="en-US" w:eastAsia="zh-CN" w:bidi="ar-SA"/>
        </w:rPr>
        <w:t>17</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31536"/>
      <w:bookmarkStart w:id="38" w:name="_Toc9989"/>
      <w:bookmarkStart w:id="39" w:name="_Toc23610"/>
    </w:p>
    <w:bookmarkEnd w:id="37"/>
    <w:bookmarkEnd w:id="38"/>
    <w:bookmarkEnd w:id="39"/>
    <w:p>
      <w:pPr>
        <w:widowControl/>
        <w:adjustRightInd w:val="0"/>
        <w:snapToGrid w:val="0"/>
        <w:spacing w:line="360" w:lineRule="auto"/>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项目名称、数量：安全生产双重预防体系信息化建设</w:t>
      </w:r>
    </w:p>
    <w:p>
      <w:pPr>
        <w:pStyle w:val="13"/>
        <w:jc w:val="both"/>
        <w:rPr>
          <w:rFonts w:ascii="宋体" w:hAnsi="宋体"/>
          <w:b/>
          <w:bCs/>
        </w:rPr>
      </w:pPr>
      <w:r>
        <w:rPr>
          <w:rFonts w:hint="eastAsia" w:cs="宋体"/>
          <w:kern w:val="2"/>
          <w:sz w:val="21"/>
          <w:szCs w:val="24"/>
          <w:lang w:val="en-US" w:eastAsia="zh-CN" w:bidi="ar-SA"/>
        </w:rPr>
        <w:t>二、</w:t>
      </w:r>
      <w:r>
        <w:rPr>
          <w:rFonts w:hint="eastAsia" w:ascii="宋体" w:hAnsi="宋体" w:eastAsia="宋体" w:cs="宋体"/>
          <w:kern w:val="2"/>
          <w:sz w:val="21"/>
          <w:szCs w:val="24"/>
          <w:lang w:val="en-US" w:eastAsia="zh-CN" w:bidi="ar-SA"/>
        </w:rPr>
        <w:t>集中采购项目清单</w:t>
      </w:r>
    </w:p>
    <w:tbl>
      <w:tblPr>
        <w:tblStyle w:val="32"/>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991"/>
        <w:gridCol w:w="2847"/>
        <w:gridCol w:w="1600"/>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113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ascii="宋体" w:hAnsi="宋体"/>
                <w:b/>
                <w:bCs/>
                <w:sz w:val="24"/>
                <w:szCs w:val="24"/>
              </w:rPr>
            </w:pPr>
            <w:r>
              <w:rPr>
                <w:rFonts w:hint="eastAsia" w:ascii="宋体" w:hAnsi="宋体"/>
                <w:b/>
                <w:bCs/>
                <w:sz w:val="24"/>
                <w:szCs w:val="24"/>
              </w:rPr>
              <w:t>序号</w:t>
            </w:r>
          </w:p>
        </w:tc>
        <w:tc>
          <w:tcPr>
            <w:tcW w:w="1991"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24"/>
                <w:szCs w:val="24"/>
              </w:rPr>
            </w:pPr>
            <w:r>
              <w:rPr>
                <w:rFonts w:hint="eastAsia" w:ascii="宋体" w:hAnsi="宋体"/>
                <w:b/>
                <w:bCs/>
                <w:sz w:val="24"/>
                <w:szCs w:val="24"/>
              </w:rPr>
              <w:t>项目名称</w:t>
            </w:r>
          </w:p>
        </w:tc>
        <w:tc>
          <w:tcPr>
            <w:tcW w:w="2847"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24"/>
                <w:szCs w:val="24"/>
              </w:rPr>
            </w:pPr>
            <w:r>
              <w:rPr>
                <w:rFonts w:hint="eastAsia" w:ascii="宋体" w:hAnsi="宋体"/>
                <w:b/>
                <w:bCs/>
                <w:sz w:val="24"/>
                <w:szCs w:val="24"/>
              </w:rPr>
              <w:t>数量或规模</w:t>
            </w:r>
          </w:p>
        </w:tc>
        <w:tc>
          <w:tcPr>
            <w:tcW w:w="1600"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24"/>
                <w:szCs w:val="24"/>
              </w:rPr>
            </w:pPr>
            <w:r>
              <w:rPr>
                <w:rFonts w:hint="eastAsia" w:ascii="宋体" w:hAnsi="宋体"/>
                <w:b/>
                <w:bCs/>
                <w:sz w:val="24"/>
                <w:szCs w:val="24"/>
              </w:rPr>
              <w:t>资金预算</w:t>
            </w:r>
          </w:p>
        </w:tc>
        <w:tc>
          <w:tcPr>
            <w:tcW w:w="1688"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24"/>
                <w:szCs w:val="24"/>
              </w:rPr>
            </w:pPr>
            <w:r>
              <w:rPr>
                <w:rFonts w:hint="eastAsia" w:ascii="宋体" w:hAnsi="宋体"/>
                <w:b/>
                <w:bCs/>
                <w:sz w:val="24"/>
                <w:szCs w:val="24"/>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1131"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sz w:val="24"/>
                <w:szCs w:val="24"/>
              </w:rPr>
            </w:pPr>
            <w:r>
              <w:rPr>
                <w:rFonts w:hint="eastAsia" w:ascii="宋体" w:hAnsi="宋体"/>
                <w:sz w:val="24"/>
                <w:szCs w:val="24"/>
              </w:rPr>
              <w:t>1</w:t>
            </w:r>
          </w:p>
        </w:tc>
        <w:tc>
          <w:tcPr>
            <w:tcW w:w="1991" w:type="dxa"/>
            <w:tcBorders>
              <w:top w:val="single" w:color="auto" w:sz="4" w:space="0"/>
              <w:left w:val="nil"/>
              <w:bottom w:val="single" w:color="auto" w:sz="4" w:space="0"/>
              <w:right w:val="single" w:color="auto" w:sz="4" w:space="0"/>
            </w:tcBorders>
            <w:vAlign w:val="center"/>
          </w:tcPr>
          <w:p>
            <w:pPr>
              <w:pStyle w:val="13"/>
              <w:ind w:left="0" w:leftChars="0"/>
              <w:rPr>
                <w:rFonts w:ascii="宋体" w:hAnsi="宋体"/>
                <w:sz w:val="24"/>
                <w:szCs w:val="24"/>
              </w:rPr>
            </w:pPr>
            <w:r>
              <w:rPr>
                <w:rFonts w:hint="eastAsia" w:ascii="宋体" w:hAnsi="宋体"/>
                <w:sz w:val="24"/>
                <w:szCs w:val="24"/>
              </w:rPr>
              <w:t>双重预防体系信息化建设</w:t>
            </w:r>
          </w:p>
        </w:tc>
        <w:tc>
          <w:tcPr>
            <w:tcW w:w="2847" w:type="dxa"/>
            <w:tcBorders>
              <w:top w:val="single" w:color="auto" w:sz="4" w:space="0"/>
              <w:left w:val="nil"/>
              <w:bottom w:val="single" w:color="auto" w:sz="4" w:space="0"/>
              <w:right w:val="single" w:color="auto" w:sz="4" w:space="0"/>
            </w:tcBorders>
            <w:vAlign w:val="center"/>
          </w:tcPr>
          <w:p>
            <w:pPr>
              <w:pStyle w:val="13"/>
              <w:ind w:left="0" w:leftChars="0"/>
              <w:jc w:val="left"/>
              <w:rPr>
                <w:rFonts w:ascii="宋体" w:hAnsi="宋体"/>
                <w:sz w:val="24"/>
                <w:szCs w:val="24"/>
              </w:rPr>
            </w:pPr>
            <w:r>
              <w:rPr>
                <w:rFonts w:hint="eastAsia" w:ascii="宋体" w:hAnsi="宋体"/>
                <w:sz w:val="24"/>
                <w:szCs w:val="24"/>
              </w:rPr>
              <w:t>对驻马店市妇女儿童医院全院各个岗位的风险点进行评估，建成全院职工会使用会操作的信息化系统，完善线下建设。</w:t>
            </w:r>
          </w:p>
        </w:tc>
        <w:tc>
          <w:tcPr>
            <w:tcW w:w="1600" w:type="dxa"/>
            <w:tcBorders>
              <w:top w:val="single" w:color="auto" w:sz="4" w:space="0"/>
              <w:left w:val="nil"/>
              <w:bottom w:val="single" w:color="auto" w:sz="4" w:space="0"/>
              <w:right w:val="single" w:color="auto" w:sz="4" w:space="0"/>
            </w:tcBorders>
            <w:vAlign w:val="center"/>
          </w:tcPr>
          <w:p>
            <w:pPr>
              <w:pStyle w:val="13"/>
              <w:ind w:left="34" w:leftChars="16"/>
              <w:jc w:val="center"/>
              <w:rPr>
                <w:rFonts w:ascii="宋体" w:hAnsi="宋体"/>
                <w:sz w:val="24"/>
                <w:szCs w:val="24"/>
              </w:rPr>
            </w:pPr>
            <w:r>
              <w:rPr>
                <w:rFonts w:hint="eastAsia" w:ascii="宋体" w:hAnsi="宋体"/>
                <w:sz w:val="24"/>
                <w:szCs w:val="24"/>
              </w:rPr>
              <w:t>13.9万元</w:t>
            </w:r>
          </w:p>
        </w:tc>
        <w:tc>
          <w:tcPr>
            <w:tcW w:w="1688" w:type="dxa"/>
            <w:tcBorders>
              <w:top w:val="single" w:color="auto" w:sz="4" w:space="0"/>
              <w:left w:val="nil"/>
              <w:bottom w:val="single" w:color="auto" w:sz="4" w:space="0"/>
              <w:right w:val="single" w:color="auto" w:sz="4" w:space="0"/>
            </w:tcBorders>
            <w:vAlign w:val="center"/>
          </w:tcPr>
          <w:p>
            <w:pPr>
              <w:pStyle w:val="13"/>
              <w:ind w:left="0" w:leftChars="0" w:firstLine="240" w:firstLineChars="100"/>
              <w:rPr>
                <w:rFonts w:ascii="宋体" w:hAnsi="宋体"/>
              </w:rPr>
            </w:pPr>
            <w:r>
              <w:rPr>
                <w:rFonts w:hint="eastAsia" w:ascii="宋体" w:hAnsi="宋体"/>
              </w:rPr>
              <w:t>预算内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1" w:type="dxa"/>
            <w:tcBorders>
              <w:top w:val="single" w:color="auto" w:sz="4" w:space="0"/>
              <w:left w:val="single" w:color="auto" w:sz="4" w:space="0"/>
              <w:bottom w:val="single" w:color="auto" w:sz="4" w:space="0"/>
              <w:right w:val="single" w:color="auto" w:sz="4" w:space="0"/>
            </w:tcBorders>
          </w:tcPr>
          <w:p>
            <w:pPr>
              <w:pStyle w:val="13"/>
              <w:ind w:left="0" w:leftChars="0"/>
              <w:jc w:val="center"/>
              <w:rPr>
                <w:rFonts w:ascii="宋体" w:hAnsi="宋体"/>
                <w:b/>
                <w:bCs/>
                <w:sz w:val="30"/>
                <w:szCs w:val="30"/>
              </w:rPr>
            </w:pPr>
            <w:r>
              <w:rPr>
                <w:rFonts w:hint="eastAsia" w:ascii="宋体" w:hAnsi="宋体"/>
                <w:b/>
                <w:bCs/>
                <w:sz w:val="24"/>
                <w:szCs w:val="24"/>
              </w:rPr>
              <w:t>合计</w:t>
            </w:r>
          </w:p>
        </w:tc>
        <w:tc>
          <w:tcPr>
            <w:tcW w:w="1991" w:type="dxa"/>
            <w:tcBorders>
              <w:top w:val="single" w:color="auto" w:sz="4" w:space="0"/>
              <w:left w:val="nil"/>
              <w:bottom w:val="single" w:color="auto" w:sz="4" w:space="0"/>
              <w:right w:val="single" w:color="auto" w:sz="4" w:space="0"/>
            </w:tcBorders>
            <w:vAlign w:val="center"/>
          </w:tcPr>
          <w:p>
            <w:pPr>
              <w:pStyle w:val="13"/>
              <w:jc w:val="center"/>
              <w:rPr>
                <w:rFonts w:ascii="宋体" w:hAnsi="宋体"/>
                <w:sz w:val="24"/>
                <w:szCs w:val="24"/>
              </w:rPr>
            </w:pPr>
          </w:p>
        </w:tc>
        <w:tc>
          <w:tcPr>
            <w:tcW w:w="2847" w:type="dxa"/>
            <w:tcBorders>
              <w:top w:val="single" w:color="auto" w:sz="4" w:space="0"/>
              <w:left w:val="nil"/>
              <w:bottom w:val="single" w:color="auto" w:sz="4" w:space="0"/>
              <w:right w:val="single" w:color="auto" w:sz="4" w:space="0"/>
            </w:tcBorders>
            <w:vAlign w:val="center"/>
          </w:tcPr>
          <w:p>
            <w:pPr>
              <w:pStyle w:val="13"/>
              <w:jc w:val="center"/>
              <w:rPr>
                <w:rFonts w:ascii="宋体" w:hAnsi="宋体"/>
                <w:sz w:val="24"/>
                <w:szCs w:val="24"/>
              </w:rPr>
            </w:pPr>
          </w:p>
        </w:tc>
        <w:tc>
          <w:tcPr>
            <w:tcW w:w="1600" w:type="dxa"/>
            <w:tcBorders>
              <w:top w:val="single" w:color="auto" w:sz="4" w:space="0"/>
              <w:left w:val="nil"/>
              <w:bottom w:val="single" w:color="auto" w:sz="4" w:space="0"/>
              <w:right w:val="single" w:color="auto" w:sz="4" w:space="0"/>
            </w:tcBorders>
            <w:vAlign w:val="center"/>
          </w:tcPr>
          <w:p>
            <w:pPr>
              <w:pStyle w:val="13"/>
              <w:ind w:left="0" w:leftChars="0"/>
              <w:rPr>
                <w:rFonts w:ascii="宋体" w:hAnsi="宋体"/>
                <w:sz w:val="24"/>
                <w:szCs w:val="24"/>
              </w:rPr>
            </w:pPr>
            <w:r>
              <w:rPr>
                <w:rFonts w:hint="eastAsia" w:ascii="宋体" w:hAnsi="宋体"/>
                <w:sz w:val="24"/>
                <w:szCs w:val="24"/>
              </w:rPr>
              <w:t>13.9万元</w:t>
            </w:r>
          </w:p>
        </w:tc>
        <w:tc>
          <w:tcPr>
            <w:tcW w:w="1688" w:type="dxa"/>
            <w:tcBorders>
              <w:top w:val="single" w:color="auto" w:sz="4" w:space="0"/>
              <w:left w:val="nil"/>
              <w:bottom w:val="single" w:color="auto" w:sz="4" w:space="0"/>
              <w:right w:val="single" w:color="auto" w:sz="4" w:space="0"/>
            </w:tcBorders>
            <w:vAlign w:val="center"/>
          </w:tcPr>
          <w:p>
            <w:pPr>
              <w:pStyle w:val="13"/>
              <w:jc w:val="center"/>
              <w:rPr>
                <w:rFonts w:ascii="宋体" w:hAnsi="宋体"/>
              </w:rPr>
            </w:pPr>
          </w:p>
        </w:tc>
      </w:tr>
    </w:tbl>
    <w:p>
      <w:pPr>
        <w:rPr>
          <w:rFonts w:ascii="宋体" w:hAnsi="宋体" w:cs="Times New Roman"/>
          <w:szCs w:val="21"/>
        </w:rPr>
      </w:pPr>
      <w:r>
        <w:rPr>
          <w:rFonts w:hint="eastAsia" w:ascii="宋体" w:hAnsi="宋体"/>
        </w:rPr>
        <w:t xml:space="preserve"> </w:t>
      </w:r>
    </w:p>
    <w:p>
      <w:pPr>
        <w:rPr>
          <w:rFonts w:ascii="宋体" w:hAnsi="宋体"/>
          <w:sz w:val="24"/>
          <w:szCs w:val="24"/>
        </w:rPr>
      </w:pPr>
      <w:r>
        <w:rPr>
          <w:rFonts w:hint="eastAsia" w:ascii="宋体" w:hAnsi="宋体"/>
          <w:b/>
          <w:bCs/>
          <w:sz w:val="24"/>
          <w:szCs w:val="24"/>
          <w:lang w:val="en-US" w:eastAsia="zh-CN"/>
        </w:rPr>
        <w:t>三、</w:t>
      </w:r>
      <w:r>
        <w:rPr>
          <w:rFonts w:hint="eastAsia" w:ascii="宋体" w:hAnsi="宋体"/>
          <w:b/>
          <w:bCs/>
          <w:sz w:val="24"/>
          <w:szCs w:val="24"/>
        </w:rPr>
        <w:t>技术要求及配置确认书</w:t>
      </w:r>
    </w:p>
    <w:p>
      <w:pPr>
        <w:pStyle w:val="13"/>
        <w:numPr>
          <w:ilvl w:val="0"/>
          <w:numId w:val="0"/>
        </w:numPr>
        <w:spacing w:after="0"/>
        <w:ind w:left="420" w:leftChars="0"/>
        <w:rPr>
          <w:rFonts w:hint="eastAsia" w:ascii="宋体" w:hAnsi="宋体" w:eastAsia="宋体" w:cs="宋体"/>
          <w:sz w:val="24"/>
          <w:szCs w:val="24"/>
          <w:u w:val="single"/>
        </w:rPr>
      </w:pPr>
      <w:r>
        <w:rPr>
          <w:rFonts w:hint="eastAsia" w:ascii="宋体" w:hAnsi="宋体" w:eastAsia="宋体" w:cs="宋体"/>
          <w:sz w:val="24"/>
          <w:szCs w:val="24"/>
        </w:rPr>
        <w:t>项目名称、数量：</w:t>
      </w:r>
      <w:r>
        <w:rPr>
          <w:rFonts w:hint="eastAsia" w:ascii="宋体" w:hAnsi="宋体" w:eastAsia="宋体" w:cs="宋体"/>
          <w:sz w:val="24"/>
          <w:szCs w:val="24"/>
          <w:u w:val="single"/>
        </w:rPr>
        <w:t>安全生产双重预防体系信息化建设</w:t>
      </w:r>
    </w:p>
    <w:p>
      <w:pPr>
        <w:pStyle w:val="13"/>
        <w:numPr>
          <w:ilvl w:val="0"/>
          <w:numId w:val="0"/>
        </w:numPr>
        <w:spacing w:after="0"/>
        <w:ind w:left="420" w:leftChars="0"/>
        <w:rPr>
          <w:rFonts w:hint="eastAsia" w:ascii="宋体" w:hAnsi="宋体" w:eastAsia="宋体" w:cs="宋体"/>
          <w:color w:val="000000"/>
          <w:kern w:val="0"/>
          <w:sz w:val="24"/>
          <w:szCs w:val="24"/>
        </w:rPr>
      </w:pPr>
      <w:r>
        <w:rPr>
          <w:rFonts w:hint="eastAsia" w:ascii="宋体" w:hAnsi="宋体" w:eastAsia="宋体" w:cs="宋体"/>
          <w:sz w:val="24"/>
          <w:szCs w:val="24"/>
        </w:rPr>
        <w:t xml:space="preserve">项目用途说明： </w:t>
      </w:r>
      <w:r>
        <w:rPr>
          <w:rFonts w:hint="eastAsia" w:ascii="宋体" w:hAnsi="宋体" w:eastAsia="宋体" w:cs="宋体"/>
          <w:sz w:val="24"/>
          <w:szCs w:val="24"/>
          <w:u w:val="single"/>
        </w:rPr>
        <w:t xml:space="preserve"> 提升妇儿院区安全生产管理技术手段，做到风险隐患分级管理  </w:t>
      </w:r>
      <w:r>
        <w:rPr>
          <w:rFonts w:hint="eastAsia" w:ascii="宋体" w:hAnsi="宋体" w:eastAsia="宋体" w:cs="宋体"/>
          <w:sz w:val="24"/>
          <w:szCs w:val="24"/>
        </w:rPr>
        <w:t xml:space="preserve">  </w:t>
      </w:r>
    </w:p>
    <w:p>
      <w:pPr>
        <w:pStyle w:val="13"/>
        <w:tabs>
          <w:tab w:val="left" w:pos="1245"/>
        </w:tabs>
        <w:spacing w:after="0" w:line="520" w:lineRule="exact"/>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详</w:t>
      </w:r>
      <w:r>
        <w:rPr>
          <w:rFonts w:hint="eastAsia" w:ascii="宋体" w:hAnsi="宋体" w:eastAsia="宋体" w:cs="宋体"/>
          <w:sz w:val="24"/>
          <w:szCs w:val="24"/>
        </w:rPr>
        <w:t>细技术要求、参数及产品资料等：</w:t>
      </w:r>
    </w:p>
    <w:tbl>
      <w:tblPr>
        <w:tblStyle w:val="32"/>
        <w:tblpPr w:leftFromText="180" w:rightFromText="180" w:vertAnchor="text" w:tblpXSpec="center" w:tblpY="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82"/>
        <w:gridCol w:w="218"/>
        <w:gridCol w:w="1199"/>
        <w:gridCol w:w="361"/>
        <w:gridCol w:w="5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9180" w:type="dxa"/>
            <w:gridSpan w:val="6"/>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bCs/>
                <w:sz w:val="24"/>
                <w:szCs w:val="24"/>
              </w:rPr>
              <w:t>1、 WEB端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811" w:type="dxa"/>
            <w:shd w:val="clear" w:color="auto" w:fill="C6D9F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82" w:type="dxa"/>
            <w:shd w:val="clear" w:color="auto" w:fill="C6D9F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一级模块</w:t>
            </w:r>
          </w:p>
        </w:tc>
        <w:tc>
          <w:tcPr>
            <w:tcW w:w="1417" w:type="dxa"/>
            <w:gridSpan w:val="2"/>
            <w:shd w:val="clear" w:color="auto" w:fill="C6D9F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二级模块</w:t>
            </w:r>
          </w:p>
        </w:tc>
        <w:tc>
          <w:tcPr>
            <w:tcW w:w="5670" w:type="dxa"/>
            <w:gridSpan w:val="2"/>
            <w:shd w:val="clear" w:color="auto" w:fill="C6D9F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1.1</w:t>
            </w:r>
          </w:p>
        </w:tc>
        <w:tc>
          <w:tcPr>
            <w:tcW w:w="1282" w:type="dxa"/>
            <w:vMerge w:val="restart"/>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基础信息管理</w:t>
            </w: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账号管理</w:t>
            </w:r>
          </w:p>
        </w:tc>
        <w:tc>
          <w:tcPr>
            <w:tcW w:w="5670" w:type="dxa"/>
            <w:gridSpan w:val="2"/>
            <w:shd w:val="clear" w:color="auto" w:fill="auto"/>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医疗机构平台用户通过输入账号密码可进行登录。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1.2</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权限管理</w:t>
            </w:r>
          </w:p>
        </w:tc>
        <w:tc>
          <w:tcPr>
            <w:tcW w:w="5670" w:type="dxa"/>
            <w:gridSpan w:val="2"/>
            <w:shd w:val="clear" w:color="auto" w:fill="auto"/>
            <w:vAlign w:val="center"/>
          </w:tcPr>
          <w:p>
            <w:pPr>
              <w:ind w:left="211" w:hanging="241" w:hangingChars="100"/>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实现本单位多种用户权限分配，通过权限实现数据和业务区分。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1.3</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安全网格管理</w:t>
            </w:r>
          </w:p>
        </w:tc>
        <w:tc>
          <w:tcPr>
            <w:tcW w:w="5670" w:type="dxa"/>
            <w:gridSpan w:val="2"/>
            <w:shd w:val="clear" w:color="auto" w:fill="auto"/>
            <w:vAlign w:val="center"/>
          </w:tcPr>
          <w:p>
            <w:pPr>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实现本单位的安全网格信息管理与维护。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1.4</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安全组织架构</w:t>
            </w:r>
          </w:p>
        </w:tc>
        <w:tc>
          <w:tcPr>
            <w:tcW w:w="5670" w:type="dxa"/>
            <w:gridSpan w:val="2"/>
            <w:shd w:val="clear" w:color="auto" w:fill="auto"/>
            <w:vAlign w:val="center"/>
          </w:tcPr>
          <w:p>
            <w:pPr>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实现本单位的安全组织架构信息管理与维护。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1.5</w:t>
            </w:r>
          </w:p>
        </w:tc>
        <w:tc>
          <w:tcPr>
            <w:tcW w:w="1282" w:type="dxa"/>
            <w:vMerge w:val="restart"/>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数据看板</w:t>
            </w: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隐患数据查看</w:t>
            </w:r>
          </w:p>
        </w:tc>
        <w:tc>
          <w:tcPr>
            <w:tcW w:w="5670" w:type="dxa"/>
            <w:gridSpan w:val="2"/>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显示本单位风险分布概况，包括：①隐患状态分析统计图②隐患类型分析统计图、隐患趋势统计图③今日日检查分析统计图④本月周检查分析统计图⑤上报处置科室Top10，多维度实时展示风险数据</w:t>
            </w:r>
          </w:p>
          <w:p>
            <w:pPr>
              <w:ind w:left="241" w:hanging="241" w:hangingChars="100"/>
              <w:rPr>
                <w:rFonts w:hint="eastAsia" w:ascii="宋体" w:hAnsi="宋体" w:eastAsia="宋体" w:cs="宋体"/>
                <w:sz w:val="24"/>
                <w:szCs w:val="24"/>
              </w:rPr>
            </w:pPr>
            <w:r>
              <w:rPr>
                <w:rFonts w:hint="eastAsia" w:ascii="宋体" w:hAnsi="宋体" w:eastAsia="宋体" w:cs="宋体"/>
                <w:b/>
                <w:bCs/>
                <w:color w:val="000000"/>
                <w:kern w:val="0"/>
                <w:sz w:val="24"/>
                <w:szCs w:val="24"/>
              </w:rPr>
              <w:t xml:space="preserve">* </w:t>
            </w:r>
            <w:r>
              <w:rPr>
                <w:rFonts w:hint="eastAsia" w:ascii="宋体" w:hAnsi="宋体" w:eastAsia="宋体" w:cs="宋体"/>
                <w:sz w:val="24"/>
                <w:szCs w:val="24"/>
              </w:rPr>
              <w:t>中心院区与妇儿院区实时3D地图呈现整个院区风险数据。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1.6</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检查任务查看</w:t>
            </w:r>
          </w:p>
        </w:tc>
        <w:tc>
          <w:tcPr>
            <w:tcW w:w="5670" w:type="dxa"/>
            <w:gridSpan w:val="2"/>
            <w:shd w:val="clear" w:color="auto" w:fill="auto"/>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显示本单位日常安全例行检查任务执行情况的数据查看。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1.7</w:t>
            </w:r>
          </w:p>
        </w:tc>
        <w:tc>
          <w:tcPr>
            <w:tcW w:w="1282" w:type="dxa"/>
            <w:vMerge w:val="restart"/>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风险台账管理</w:t>
            </w: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风险点管理</w:t>
            </w:r>
          </w:p>
        </w:tc>
        <w:tc>
          <w:tcPr>
            <w:tcW w:w="5670" w:type="dxa"/>
            <w:gridSpan w:val="2"/>
            <w:shd w:val="clear" w:color="auto" w:fill="auto"/>
            <w:vAlign w:val="center"/>
          </w:tcPr>
          <w:p>
            <w:pPr>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实现日常风险隐患点的登记管理与维护；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1.8</w:t>
            </w:r>
          </w:p>
        </w:tc>
        <w:tc>
          <w:tcPr>
            <w:tcW w:w="1282" w:type="dxa"/>
            <w:vMerge w:val="continue"/>
            <w:shd w:val="clear" w:color="auto" w:fill="auto"/>
            <w:vAlign w:val="center"/>
          </w:tcPr>
          <w:p>
            <w:pPr>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风险因素管理</w:t>
            </w:r>
          </w:p>
        </w:tc>
        <w:tc>
          <w:tcPr>
            <w:tcW w:w="5670" w:type="dxa"/>
            <w:gridSpan w:val="2"/>
            <w:shd w:val="clear" w:color="auto" w:fill="auto"/>
            <w:vAlign w:val="center"/>
          </w:tcPr>
          <w:p>
            <w:pPr>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实现三级风险隐患与数据库管理；</w:t>
            </w:r>
          </w:p>
          <w:p>
            <w:pPr>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实现自定义风险隐患数据管理与维护。</w:t>
            </w:r>
          </w:p>
          <w:p>
            <w:pPr>
              <w:ind w:left="211" w:hanging="241" w:hangingChars="100"/>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系统已完成风险三级分类，一级类型不少于50项，二级分类不少于100项，三级分类不少于1500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1.9</w:t>
            </w:r>
          </w:p>
        </w:tc>
        <w:tc>
          <w:tcPr>
            <w:tcW w:w="1282" w:type="dxa"/>
            <w:vMerge w:val="continue"/>
            <w:shd w:val="clear" w:color="auto" w:fill="auto"/>
            <w:vAlign w:val="center"/>
          </w:tcPr>
          <w:p>
            <w:pPr>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风险分级管控</w:t>
            </w:r>
          </w:p>
        </w:tc>
        <w:tc>
          <w:tcPr>
            <w:tcW w:w="5670" w:type="dxa"/>
            <w:gridSpan w:val="2"/>
            <w:shd w:val="clear" w:color="auto" w:fill="auto"/>
            <w:vAlign w:val="center"/>
          </w:tcPr>
          <w:p>
            <w:pPr>
              <w:ind w:left="211" w:hanging="241" w:hangingChars="100"/>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根据风险等级及风险类别的不同，实现已登记的风险隐患点下发给对应的责任科室/责任人进行管理；</w:t>
            </w:r>
          </w:p>
          <w:p>
            <w:pPr>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领导可实现对已登记风险的监督。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1.10</w:t>
            </w:r>
          </w:p>
        </w:tc>
        <w:tc>
          <w:tcPr>
            <w:tcW w:w="1282" w:type="dxa"/>
            <w:vMerge w:val="continue"/>
            <w:shd w:val="clear" w:color="auto" w:fill="auto"/>
            <w:vAlign w:val="center"/>
          </w:tcPr>
          <w:p>
            <w:pPr>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一般台账</w:t>
            </w:r>
          </w:p>
        </w:tc>
        <w:tc>
          <w:tcPr>
            <w:tcW w:w="5670" w:type="dxa"/>
            <w:gridSpan w:val="2"/>
            <w:shd w:val="clear" w:color="auto" w:fill="auto"/>
            <w:vAlign w:val="center"/>
          </w:tcPr>
          <w:p>
            <w:pPr>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实现日常一般台账的登记管理与维护。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1.11</w:t>
            </w:r>
          </w:p>
        </w:tc>
        <w:tc>
          <w:tcPr>
            <w:tcW w:w="1282" w:type="dxa"/>
            <w:vMerge w:val="continue"/>
            <w:shd w:val="clear" w:color="auto" w:fill="auto"/>
            <w:vAlign w:val="center"/>
          </w:tcPr>
          <w:p>
            <w:pPr>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重点台账</w:t>
            </w:r>
          </w:p>
        </w:tc>
        <w:tc>
          <w:tcPr>
            <w:tcW w:w="5670" w:type="dxa"/>
            <w:gridSpan w:val="2"/>
            <w:shd w:val="clear" w:color="auto" w:fill="auto"/>
            <w:vAlign w:val="center"/>
          </w:tcPr>
          <w:p>
            <w:pPr>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实现重点台账的登记管理与维护。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1.12</w:t>
            </w:r>
          </w:p>
        </w:tc>
        <w:tc>
          <w:tcPr>
            <w:tcW w:w="1282" w:type="dxa"/>
            <w:vMerge w:val="continue"/>
            <w:shd w:val="clear" w:color="auto" w:fill="auto"/>
            <w:vAlign w:val="center"/>
          </w:tcPr>
          <w:p>
            <w:pPr>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台账变更记录</w:t>
            </w:r>
          </w:p>
        </w:tc>
        <w:tc>
          <w:tcPr>
            <w:tcW w:w="5670" w:type="dxa"/>
            <w:gridSpan w:val="2"/>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实现台账的全生命周周期闭环管理，记录以生命时间轴的方式从登记后关闭每个过程均可显示。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1.13</w:t>
            </w:r>
          </w:p>
        </w:tc>
        <w:tc>
          <w:tcPr>
            <w:tcW w:w="1282" w:type="dxa"/>
            <w:vMerge w:val="continue"/>
            <w:shd w:val="clear" w:color="auto" w:fill="auto"/>
            <w:vAlign w:val="center"/>
          </w:tcPr>
          <w:p>
            <w:pPr>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台账报表</w:t>
            </w:r>
          </w:p>
        </w:tc>
        <w:tc>
          <w:tcPr>
            <w:tcW w:w="5670" w:type="dxa"/>
            <w:gridSpan w:val="2"/>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实现安全台账的报表管理，可按部门处理问题、部门上报问题、全院处置问题进行报表，报表结果以图形和列表进行展示。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1.14</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风险四色预警</w:t>
            </w:r>
          </w:p>
        </w:tc>
        <w:tc>
          <w:tcPr>
            <w:tcW w:w="5670" w:type="dxa"/>
            <w:gridSpan w:val="2"/>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以平面地图为载体，通过红、橙、黄、蓝颜色标注四种不同的风险等级及区域分布情况。</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系统可根据历史风险隐患情况，自动预警分析风险数据情况。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1.15</w:t>
            </w:r>
          </w:p>
        </w:tc>
        <w:tc>
          <w:tcPr>
            <w:tcW w:w="1282" w:type="dxa"/>
            <w:vMerge w:val="restart"/>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隐患排查管理</w:t>
            </w:r>
          </w:p>
        </w:tc>
        <w:tc>
          <w:tcPr>
            <w:tcW w:w="1417" w:type="dxa"/>
            <w:gridSpan w:val="2"/>
            <w:shd w:val="clear" w:color="auto" w:fill="auto"/>
            <w:vAlign w:val="center"/>
          </w:tcPr>
          <w:p>
            <w:pPr>
              <w:widowControl/>
              <w:rPr>
                <w:rFonts w:hint="eastAsia" w:ascii="宋体" w:hAnsi="宋体" w:eastAsia="宋体" w:cs="宋体"/>
                <w:sz w:val="24"/>
                <w:szCs w:val="24"/>
              </w:rPr>
            </w:pPr>
            <w:r>
              <w:rPr>
                <w:rFonts w:hint="eastAsia" w:ascii="宋体" w:hAnsi="宋体" w:eastAsia="宋体" w:cs="宋体"/>
                <w:sz w:val="24"/>
                <w:szCs w:val="24"/>
              </w:rPr>
              <w:t xml:space="preserve"> 例行检查管理</w:t>
            </w:r>
          </w:p>
        </w:tc>
        <w:tc>
          <w:tcPr>
            <w:tcW w:w="5670" w:type="dxa"/>
            <w:gridSpan w:val="2"/>
            <w:shd w:val="clear" w:color="auto" w:fill="auto"/>
            <w:vAlign w:val="center"/>
          </w:tcPr>
          <w:p>
            <w:pPr>
              <w:tabs>
                <w:tab w:val="left" w:pos="720"/>
              </w:tabs>
              <w:ind w:left="210" w:leftChars="100"/>
              <w:rPr>
                <w:rFonts w:hint="eastAsia" w:ascii="宋体" w:hAnsi="宋体" w:eastAsia="宋体" w:cs="宋体"/>
                <w:sz w:val="24"/>
                <w:szCs w:val="24"/>
              </w:rPr>
            </w:pPr>
            <w:r>
              <w:rPr>
                <w:rFonts w:hint="eastAsia" w:ascii="宋体" w:hAnsi="宋体" w:eastAsia="宋体" w:cs="宋体"/>
                <w:sz w:val="24"/>
                <w:szCs w:val="24"/>
              </w:rPr>
              <w:t>实现例行安全日检查电子化，可代替原有纸质安全检查记录表，有效避免纸质表格填写麻烦、过期补填、检查状态反馈滞后、历史数据统计困难等问题；</w:t>
            </w:r>
          </w:p>
          <w:p>
            <w:pPr>
              <w:ind w:left="210" w:leftChars="100"/>
              <w:rPr>
                <w:rFonts w:hint="eastAsia" w:ascii="宋体" w:hAnsi="宋体" w:eastAsia="宋体" w:cs="宋体"/>
                <w:sz w:val="24"/>
                <w:szCs w:val="24"/>
              </w:rPr>
            </w:pPr>
            <w:r>
              <w:rPr>
                <w:rFonts w:hint="eastAsia" w:ascii="宋体" w:hAnsi="宋体" w:eastAsia="宋体" w:cs="宋体"/>
                <w:sz w:val="24"/>
                <w:szCs w:val="24"/>
              </w:rPr>
              <w:t>系统根据日、周、月安全检查模板内容，系统根据周期自动生成检查表并下发，责任科室/责任人可在手机端进行安全检查执行，并生成记录。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1.16</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日检查</w:t>
            </w:r>
          </w:p>
        </w:tc>
        <w:tc>
          <w:tcPr>
            <w:tcW w:w="5670" w:type="dxa"/>
            <w:gridSpan w:val="2"/>
            <w:shd w:val="clear" w:color="auto" w:fill="auto"/>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实现例行日检查工作，可查看检查执行情况。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1.17</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周检查</w:t>
            </w:r>
          </w:p>
        </w:tc>
        <w:tc>
          <w:tcPr>
            <w:tcW w:w="5670" w:type="dxa"/>
            <w:gridSpan w:val="2"/>
            <w:shd w:val="clear" w:color="auto" w:fill="auto"/>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实现例行周检查工作，可查看检查执行情况。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1.18</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月检查</w:t>
            </w:r>
          </w:p>
        </w:tc>
        <w:tc>
          <w:tcPr>
            <w:tcW w:w="5670" w:type="dxa"/>
            <w:gridSpan w:val="2"/>
            <w:shd w:val="clear" w:color="auto" w:fill="auto"/>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实现例行月检查工作，可查看检查执行情况。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1.19</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隐患整改单管理</w:t>
            </w:r>
          </w:p>
        </w:tc>
        <w:tc>
          <w:tcPr>
            <w:tcW w:w="5670" w:type="dxa"/>
            <w:gridSpan w:val="2"/>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责任科室/责任人可在线接收隐患整改通知单，根据内容安排整改计划。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1.20</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统计分析</w:t>
            </w:r>
          </w:p>
        </w:tc>
        <w:tc>
          <w:tcPr>
            <w:tcW w:w="5670" w:type="dxa"/>
            <w:gridSpan w:val="2"/>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实现例行安全检查的报表统计，可按日周月类别，应检查、已检查、完成率进行统计分析，并支持Excel导出。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1.21</w:t>
            </w:r>
          </w:p>
        </w:tc>
        <w:tc>
          <w:tcPr>
            <w:tcW w:w="1282" w:type="dxa"/>
            <w:vMerge w:val="restart"/>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隐患闭环整改</w:t>
            </w: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问题池管理</w:t>
            </w:r>
          </w:p>
        </w:tc>
        <w:tc>
          <w:tcPr>
            <w:tcW w:w="5670" w:type="dxa"/>
            <w:gridSpan w:val="2"/>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问题池管理显示本单元所有待认领和无责任主体的问题单，领导可进行指派，责任科室/责任人可进行认领。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1.22</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提交问题</w:t>
            </w:r>
          </w:p>
        </w:tc>
        <w:tc>
          <w:tcPr>
            <w:tcW w:w="5670" w:type="dxa"/>
            <w:gridSpan w:val="2"/>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实现本单位日常安全工作检查，可对发现的隐患问题进行登记并提交给责任科室/责任人；</w:t>
            </w:r>
          </w:p>
          <w:p>
            <w:pPr>
              <w:ind w:left="211" w:hanging="241" w:hangingChars="100"/>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问题单提交内容包含：检查类型、位置、风险分类、风险等级、安全责任主体、要求整改完成时间等；</w:t>
            </w:r>
          </w:p>
          <w:p>
            <w:pPr>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问题描述支持文字、图片、视频。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1.23</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认领问题</w:t>
            </w:r>
          </w:p>
        </w:tc>
        <w:tc>
          <w:tcPr>
            <w:tcW w:w="5670" w:type="dxa"/>
            <w:gridSpan w:val="2"/>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责任科室/责任人对问题进行认领，认领后的问题将归档到待整改列表中。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1.24</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问题审核</w:t>
            </w:r>
          </w:p>
        </w:tc>
        <w:tc>
          <w:tcPr>
            <w:tcW w:w="5670" w:type="dxa"/>
            <w:gridSpan w:val="2"/>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问题单整改完成后由上级安全主管单位进行整改结果审核审核；</w:t>
            </w:r>
          </w:p>
          <w:p>
            <w:pPr>
              <w:ind w:left="210" w:leftChars="100"/>
              <w:rPr>
                <w:rFonts w:hint="eastAsia" w:ascii="宋体" w:hAnsi="宋体" w:eastAsia="宋体" w:cs="宋体"/>
                <w:sz w:val="24"/>
                <w:szCs w:val="24"/>
              </w:rPr>
            </w:pPr>
            <w:r>
              <w:rPr>
                <w:rFonts w:hint="eastAsia" w:ascii="宋体" w:hAnsi="宋体" w:eastAsia="宋体" w:cs="宋体"/>
                <w:sz w:val="24"/>
                <w:szCs w:val="24"/>
              </w:rPr>
              <w:t>整改情况符合要求的可验收通过并添加星级评价，审核通过的问题单显示在已完结列表；</w:t>
            </w:r>
          </w:p>
          <w:p>
            <w:pPr>
              <w:ind w:left="210" w:leftChars="100"/>
              <w:rPr>
                <w:rFonts w:hint="eastAsia" w:ascii="宋体" w:hAnsi="宋体" w:eastAsia="宋体" w:cs="宋体"/>
                <w:sz w:val="24"/>
                <w:szCs w:val="24"/>
              </w:rPr>
            </w:pPr>
            <w:r>
              <w:rPr>
                <w:rFonts w:hint="eastAsia" w:ascii="宋体" w:hAnsi="宋体" w:eastAsia="宋体" w:cs="宋体"/>
                <w:sz w:val="24"/>
                <w:szCs w:val="24"/>
              </w:rPr>
              <w:t>整改情况不符合要求的可进行驳回操作并添加驳回原因，责任单位需要按照闭环管理方式进行再次整改。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1.25</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问题挂账</w:t>
            </w:r>
          </w:p>
        </w:tc>
        <w:tc>
          <w:tcPr>
            <w:tcW w:w="5670" w:type="dxa"/>
            <w:gridSpan w:val="2"/>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对长时间无法处理或者短时间不具备整改条件的问题可进行挂账操作，已挂账的问题将转为专项跟踪；</w:t>
            </w:r>
          </w:p>
          <w:p>
            <w:pPr>
              <w:ind w:left="210" w:leftChars="100"/>
              <w:rPr>
                <w:rFonts w:hint="eastAsia" w:ascii="宋体" w:hAnsi="宋体" w:eastAsia="宋体" w:cs="宋体"/>
                <w:sz w:val="24"/>
                <w:szCs w:val="24"/>
              </w:rPr>
            </w:pPr>
            <w:r>
              <w:rPr>
                <w:rFonts w:hint="eastAsia" w:ascii="宋体" w:hAnsi="宋体" w:eastAsia="宋体" w:cs="宋体"/>
                <w:sz w:val="24"/>
                <w:szCs w:val="24"/>
              </w:rPr>
              <w:t>问题挂账时需输入挂账原因、现阶段风险防控措施、整改计划等内容，挂账需审核，审核后将不记录整改超时；</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挂账附件支持语音描述。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1.26</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隐患全生命周期管理</w:t>
            </w:r>
          </w:p>
        </w:tc>
        <w:tc>
          <w:tcPr>
            <w:tcW w:w="5670" w:type="dxa"/>
            <w:gridSpan w:val="2"/>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通过状态区分，实现隐患从登记到关闭的每一个流程的管理，所有流程记录均可查看。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1.27</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部门处理问题统计</w:t>
            </w:r>
          </w:p>
        </w:tc>
        <w:tc>
          <w:tcPr>
            <w:tcW w:w="5670" w:type="dxa"/>
            <w:gridSpan w:val="2"/>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本部门的日常整改处理问题进行统计，可按时间、问题类型统计，统计结果以饼状图、柱状图、列表方式显示，并支持数据导出。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1.28</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部门上报问题统计</w:t>
            </w:r>
          </w:p>
        </w:tc>
        <w:tc>
          <w:tcPr>
            <w:tcW w:w="5670" w:type="dxa"/>
            <w:gridSpan w:val="2"/>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本部门的日常整上报问题进行统计，可按时间、问题类型统计，统计结果以饼状图、柱状图、列表方式显示，并支持数据导出。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1.29</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全院问题统计</w:t>
            </w:r>
          </w:p>
        </w:tc>
        <w:tc>
          <w:tcPr>
            <w:tcW w:w="5670" w:type="dxa"/>
            <w:gridSpan w:val="2"/>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全院风险隐患问题进行统计，统计结果以饼状图、列表方式显示，并支持数据导出。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1.30</w:t>
            </w:r>
          </w:p>
        </w:tc>
        <w:tc>
          <w:tcPr>
            <w:tcW w:w="1282" w:type="dxa"/>
            <w:vMerge w:val="restart"/>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通知公告管理</w:t>
            </w: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通知公告管理</w:t>
            </w:r>
          </w:p>
        </w:tc>
        <w:tc>
          <w:tcPr>
            <w:tcW w:w="5670" w:type="dxa"/>
            <w:gridSpan w:val="2"/>
            <w:shd w:val="clear" w:color="auto" w:fill="auto"/>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具有通知公告的录入、发布、修改、删除功能；</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支持通知公告列表导出功能。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1.31</w:t>
            </w:r>
          </w:p>
        </w:tc>
        <w:tc>
          <w:tcPr>
            <w:tcW w:w="1282" w:type="dxa"/>
            <w:vMerge w:val="continue"/>
            <w:shd w:val="clear" w:color="auto" w:fill="auto"/>
            <w:vAlign w:val="center"/>
          </w:tcPr>
          <w:p>
            <w:pPr>
              <w:widowControl/>
              <w:jc w:val="center"/>
              <w:rPr>
                <w:rFonts w:hint="eastAsia" w:ascii="宋体" w:hAnsi="宋体" w:eastAsia="宋体" w:cs="宋体"/>
                <w:sz w:val="24"/>
                <w:szCs w:val="24"/>
              </w:rPr>
            </w:pPr>
          </w:p>
        </w:tc>
        <w:tc>
          <w:tcPr>
            <w:tcW w:w="1417"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安全教育</w:t>
            </w:r>
          </w:p>
        </w:tc>
        <w:tc>
          <w:tcPr>
            <w:tcW w:w="5670" w:type="dxa"/>
            <w:gridSpan w:val="2"/>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系统可实现在线安全教育培训内容发布，用户可以在手机端进行在线学习。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80" w:type="dxa"/>
            <w:gridSpan w:val="6"/>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2、APP端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2.1</w:t>
            </w:r>
          </w:p>
        </w:tc>
        <w:tc>
          <w:tcPr>
            <w:tcW w:w="1500" w:type="dxa"/>
            <w:gridSpan w:val="2"/>
            <w:vMerge w:val="restart"/>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登录</w:t>
            </w: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账号密码登录</w:t>
            </w:r>
          </w:p>
        </w:tc>
        <w:tc>
          <w:tcPr>
            <w:tcW w:w="5309" w:type="dxa"/>
            <w:shd w:val="clear" w:color="auto" w:fill="auto"/>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用户通过输入账号密码可进行登录。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2.2</w:t>
            </w:r>
          </w:p>
        </w:tc>
        <w:tc>
          <w:tcPr>
            <w:tcW w:w="1500" w:type="dxa"/>
            <w:gridSpan w:val="2"/>
            <w:vMerge w:val="continue"/>
            <w:shd w:val="clear" w:color="auto" w:fill="auto"/>
            <w:vAlign w:val="center"/>
          </w:tcPr>
          <w:p>
            <w:pPr>
              <w:widowControl/>
              <w:jc w:val="center"/>
              <w:rPr>
                <w:rFonts w:hint="eastAsia" w:ascii="宋体" w:hAnsi="宋体" w:eastAsia="宋体" w:cs="宋体"/>
                <w:sz w:val="24"/>
                <w:szCs w:val="24"/>
              </w:rPr>
            </w:pP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手势密码登录</w:t>
            </w:r>
          </w:p>
        </w:tc>
        <w:tc>
          <w:tcPr>
            <w:tcW w:w="5309" w:type="dxa"/>
            <w:shd w:val="clear" w:color="auto" w:fill="auto"/>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用户可以通过设置的手势密码进行登录。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2.3</w:t>
            </w:r>
          </w:p>
        </w:tc>
        <w:tc>
          <w:tcPr>
            <w:tcW w:w="1500" w:type="dxa"/>
            <w:gridSpan w:val="2"/>
            <w:vMerge w:val="restart"/>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多终端支持</w:t>
            </w: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多终端支持</w:t>
            </w:r>
          </w:p>
        </w:tc>
        <w:tc>
          <w:tcPr>
            <w:tcW w:w="5309" w:type="dxa"/>
            <w:shd w:val="clear" w:color="auto" w:fill="auto"/>
            <w:vAlign w:val="center"/>
          </w:tcPr>
          <w:p>
            <w:pPr>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支持安卓手机、苹果手机、安卓平板电脑。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2.4</w:t>
            </w:r>
          </w:p>
        </w:tc>
        <w:tc>
          <w:tcPr>
            <w:tcW w:w="1500" w:type="dxa"/>
            <w:gridSpan w:val="2"/>
            <w:vMerge w:val="continue"/>
            <w:shd w:val="clear" w:color="auto" w:fill="auto"/>
            <w:vAlign w:val="center"/>
          </w:tcPr>
          <w:p>
            <w:pPr>
              <w:widowControl/>
              <w:jc w:val="center"/>
              <w:rPr>
                <w:rFonts w:hint="eastAsia" w:ascii="宋体" w:hAnsi="宋体" w:eastAsia="宋体" w:cs="宋体"/>
                <w:sz w:val="24"/>
                <w:szCs w:val="24"/>
              </w:rPr>
            </w:pP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商店快速下载</w:t>
            </w:r>
          </w:p>
        </w:tc>
        <w:tc>
          <w:tcPr>
            <w:tcW w:w="5309" w:type="dxa"/>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360手机助手、百度手机助手、华为应用市场、小米应用商店、腾讯应用宝、App Store、二维码分享方式的快速搜索现在安装。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2.5</w:t>
            </w:r>
          </w:p>
        </w:tc>
        <w:tc>
          <w:tcPr>
            <w:tcW w:w="150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工作提醒</w:t>
            </w: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工作提醒</w:t>
            </w:r>
          </w:p>
        </w:tc>
        <w:tc>
          <w:tcPr>
            <w:tcW w:w="5309" w:type="dxa"/>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首页弹框提示医院用户待审核问题单数量、待整改问题数量，方便了解及处理工作。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2.6</w:t>
            </w:r>
          </w:p>
        </w:tc>
        <w:tc>
          <w:tcPr>
            <w:tcW w:w="1500" w:type="dxa"/>
            <w:gridSpan w:val="2"/>
            <w:vMerge w:val="restart"/>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安全风险隐患问题闭环管理</w:t>
            </w: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问题提交上报</w:t>
            </w:r>
          </w:p>
        </w:tc>
        <w:tc>
          <w:tcPr>
            <w:tcW w:w="5309" w:type="dxa"/>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本单位用户对日常发现的风险隐患点，可以使用手机随时随地对发现的隐患问题进行提交，实现碎片化办公；</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问题单附件支持添加文字、语音、图片、视频；</w:t>
            </w:r>
          </w:p>
          <w:p>
            <w:pPr>
              <w:ind w:left="210" w:leftChars="100"/>
              <w:rPr>
                <w:rFonts w:hint="eastAsia" w:ascii="宋体" w:hAnsi="宋体" w:eastAsia="宋体" w:cs="宋体"/>
                <w:sz w:val="24"/>
                <w:szCs w:val="24"/>
              </w:rPr>
            </w:pPr>
            <w:r>
              <w:rPr>
                <w:rFonts w:hint="eastAsia" w:ascii="宋体" w:hAnsi="宋体" w:eastAsia="宋体" w:cs="宋体"/>
                <w:sz w:val="24"/>
                <w:szCs w:val="24"/>
              </w:rPr>
              <w:t>问题单提交成功显示问题单唯一编号，问题单显示在下级单位/医院“认领指派”列表；</w:t>
            </w:r>
          </w:p>
          <w:p>
            <w:pPr>
              <w:ind w:left="210" w:leftChars="100"/>
              <w:rPr>
                <w:rFonts w:hint="eastAsia" w:ascii="宋体" w:hAnsi="宋体" w:eastAsia="宋体" w:cs="宋体"/>
                <w:sz w:val="24"/>
                <w:szCs w:val="24"/>
              </w:rPr>
            </w:pPr>
            <w:r>
              <w:rPr>
                <w:rFonts w:hint="eastAsia" w:ascii="宋体" w:hAnsi="宋体" w:eastAsia="宋体" w:cs="宋体"/>
                <w:sz w:val="24"/>
                <w:szCs w:val="24"/>
              </w:rPr>
              <w:t>支持离线提交。例如无网络时，可对问题进行暂存，等待网络允许时提交。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2.7</w:t>
            </w:r>
          </w:p>
        </w:tc>
        <w:tc>
          <w:tcPr>
            <w:tcW w:w="1500" w:type="dxa"/>
            <w:gridSpan w:val="2"/>
            <w:vMerge w:val="continue"/>
            <w:shd w:val="clear" w:color="auto" w:fill="auto"/>
            <w:vAlign w:val="center"/>
          </w:tcPr>
          <w:p>
            <w:pPr>
              <w:widowControl/>
              <w:jc w:val="center"/>
              <w:rPr>
                <w:rFonts w:hint="eastAsia" w:ascii="宋体" w:hAnsi="宋体" w:eastAsia="宋体" w:cs="宋体"/>
                <w:sz w:val="24"/>
                <w:szCs w:val="24"/>
              </w:rPr>
            </w:pP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认领指派</w:t>
            </w:r>
          </w:p>
        </w:tc>
        <w:tc>
          <w:tcPr>
            <w:tcW w:w="5309" w:type="dxa"/>
            <w:shd w:val="clear" w:color="auto" w:fill="auto"/>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未指定责任部门的问题单显示在认领指派列表；</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认领/指派成功的问题单显示在待整改列表；</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认领/指派有误的问题单可以回退至认领指派列表。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2.8</w:t>
            </w:r>
          </w:p>
        </w:tc>
        <w:tc>
          <w:tcPr>
            <w:tcW w:w="1500" w:type="dxa"/>
            <w:gridSpan w:val="2"/>
            <w:vMerge w:val="continue"/>
            <w:shd w:val="clear" w:color="auto" w:fill="auto"/>
            <w:vAlign w:val="center"/>
          </w:tcPr>
          <w:p>
            <w:pPr>
              <w:widowControl/>
              <w:jc w:val="center"/>
              <w:rPr>
                <w:rFonts w:hint="eastAsia" w:ascii="宋体" w:hAnsi="宋体" w:eastAsia="宋体" w:cs="宋体"/>
                <w:sz w:val="24"/>
                <w:szCs w:val="24"/>
              </w:rPr>
            </w:pP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问题整改</w:t>
            </w:r>
          </w:p>
        </w:tc>
        <w:tc>
          <w:tcPr>
            <w:tcW w:w="5309" w:type="dxa"/>
            <w:shd w:val="clear" w:color="auto" w:fill="auto"/>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问题整改时需选择问题原因；</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问题整改详情支持添加文字、语音、图片、视频；</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超过认领指派/整改时限的问题单记录超时状态。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2.9</w:t>
            </w:r>
          </w:p>
        </w:tc>
        <w:tc>
          <w:tcPr>
            <w:tcW w:w="1500" w:type="dxa"/>
            <w:gridSpan w:val="2"/>
            <w:vMerge w:val="continue"/>
            <w:shd w:val="clear" w:color="auto" w:fill="auto"/>
            <w:vAlign w:val="center"/>
          </w:tcPr>
          <w:p>
            <w:pPr>
              <w:widowControl/>
              <w:jc w:val="center"/>
              <w:rPr>
                <w:rFonts w:hint="eastAsia" w:ascii="宋体" w:hAnsi="宋体" w:eastAsia="宋体" w:cs="宋体"/>
                <w:sz w:val="24"/>
                <w:szCs w:val="24"/>
              </w:rPr>
            </w:pP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问题挂账</w:t>
            </w:r>
          </w:p>
        </w:tc>
        <w:tc>
          <w:tcPr>
            <w:tcW w:w="5309" w:type="dxa"/>
            <w:shd w:val="clear" w:color="auto" w:fill="auto"/>
            <w:vAlign w:val="center"/>
          </w:tcPr>
          <w:p>
            <w:pPr>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不具备问题整改条件的问题单需要进行挂账操作；</w:t>
            </w:r>
          </w:p>
          <w:p>
            <w:pPr>
              <w:ind w:left="211" w:hanging="241" w:hangingChars="100"/>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问题挂账需输入挂账原因、现阶段风险防控措施、整改计划；</w:t>
            </w:r>
          </w:p>
          <w:p>
            <w:pPr>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问题挂账说明支持输入文字、语音。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2.10</w:t>
            </w:r>
          </w:p>
        </w:tc>
        <w:tc>
          <w:tcPr>
            <w:tcW w:w="1500" w:type="dxa"/>
            <w:gridSpan w:val="2"/>
            <w:vMerge w:val="continue"/>
            <w:shd w:val="clear" w:color="auto" w:fill="auto"/>
            <w:vAlign w:val="center"/>
          </w:tcPr>
          <w:p>
            <w:pPr>
              <w:widowControl/>
              <w:jc w:val="center"/>
              <w:rPr>
                <w:rFonts w:hint="eastAsia" w:ascii="宋体" w:hAnsi="宋体" w:eastAsia="宋体" w:cs="宋体"/>
                <w:sz w:val="24"/>
                <w:szCs w:val="24"/>
              </w:rPr>
            </w:pPr>
          </w:p>
        </w:tc>
        <w:tc>
          <w:tcPr>
            <w:tcW w:w="1560" w:type="dxa"/>
            <w:gridSpan w:val="2"/>
            <w:shd w:val="clear" w:color="auto" w:fill="auto"/>
            <w:vAlign w:val="center"/>
          </w:tcPr>
          <w:p>
            <w:pPr>
              <w:widowControl/>
              <w:jc w:val="center"/>
              <w:rPr>
                <w:rFonts w:hint="eastAsia" w:ascii="宋体" w:hAnsi="宋体" w:eastAsia="宋体" w:cs="宋体"/>
                <w:b/>
                <w:bCs/>
                <w:sz w:val="24"/>
                <w:szCs w:val="24"/>
              </w:rPr>
            </w:pPr>
            <w:r>
              <w:rPr>
                <w:rFonts w:hint="eastAsia" w:ascii="宋体" w:hAnsi="宋体" w:eastAsia="宋体" w:cs="宋体"/>
                <w:sz w:val="24"/>
                <w:szCs w:val="24"/>
              </w:rPr>
              <w:t>问题审核</w:t>
            </w:r>
          </w:p>
        </w:tc>
        <w:tc>
          <w:tcPr>
            <w:tcW w:w="5309" w:type="dxa"/>
            <w:shd w:val="clear" w:color="auto" w:fill="auto"/>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已整改的问题需要问题提交人进行审核；</w:t>
            </w:r>
          </w:p>
          <w:p>
            <w:pPr>
              <w:ind w:left="211" w:hanging="241" w:hangingChars="100"/>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整改情况符合要求可进行通过并添加星级评价，审核通过的问题单显示在已完结列表；</w:t>
            </w:r>
          </w:p>
          <w:p>
            <w:pPr>
              <w:ind w:left="210" w:leftChars="100"/>
              <w:rPr>
                <w:rFonts w:hint="eastAsia" w:ascii="宋体" w:hAnsi="宋体" w:eastAsia="宋体" w:cs="宋体"/>
                <w:sz w:val="24"/>
                <w:szCs w:val="24"/>
              </w:rPr>
            </w:pPr>
            <w:r>
              <w:rPr>
                <w:rFonts w:hint="eastAsia" w:ascii="宋体" w:hAnsi="宋体" w:eastAsia="宋体" w:cs="宋体"/>
                <w:sz w:val="24"/>
                <w:szCs w:val="24"/>
              </w:rPr>
              <w:t>整改情况不符合要求可进行驳回操作并添加驳回原因，审核驳回的问题单显示在待整改列表。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2.11</w:t>
            </w:r>
          </w:p>
        </w:tc>
        <w:tc>
          <w:tcPr>
            <w:tcW w:w="1500" w:type="dxa"/>
            <w:gridSpan w:val="2"/>
            <w:vMerge w:val="continue"/>
            <w:shd w:val="clear" w:color="auto" w:fill="auto"/>
            <w:vAlign w:val="center"/>
          </w:tcPr>
          <w:p>
            <w:pPr>
              <w:widowControl/>
              <w:jc w:val="center"/>
              <w:rPr>
                <w:rFonts w:hint="eastAsia" w:ascii="宋体" w:hAnsi="宋体" w:eastAsia="宋体" w:cs="宋体"/>
                <w:sz w:val="24"/>
                <w:szCs w:val="24"/>
              </w:rPr>
            </w:pP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已完结</w:t>
            </w:r>
          </w:p>
        </w:tc>
        <w:tc>
          <w:tcPr>
            <w:tcW w:w="5309" w:type="dxa"/>
            <w:shd w:val="clear" w:color="auto" w:fill="auto"/>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以时间轴方式显示问题的生命周期状态；</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通过时间轴可以对安全风险隐患问题每个节点进行详情查看。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2.12</w:t>
            </w:r>
          </w:p>
        </w:tc>
        <w:tc>
          <w:tcPr>
            <w:tcW w:w="1500" w:type="dxa"/>
            <w:gridSpan w:val="2"/>
            <w:vMerge w:val="restart"/>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重点台账</w:t>
            </w: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生产安全</w:t>
            </w:r>
          </w:p>
        </w:tc>
        <w:tc>
          <w:tcPr>
            <w:tcW w:w="5309" w:type="dxa"/>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医院端用户可以查看本医院危化品台账、设备安全、消防安全台账数据；</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支持用户自定义台账类别内容查看。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2.13</w:t>
            </w:r>
          </w:p>
        </w:tc>
        <w:tc>
          <w:tcPr>
            <w:tcW w:w="1500" w:type="dxa"/>
            <w:gridSpan w:val="2"/>
            <w:vMerge w:val="continue"/>
            <w:shd w:val="clear" w:color="auto" w:fill="auto"/>
            <w:vAlign w:val="center"/>
          </w:tcPr>
          <w:p>
            <w:pPr>
              <w:widowControl/>
              <w:jc w:val="center"/>
              <w:rPr>
                <w:rFonts w:hint="eastAsia" w:ascii="宋体" w:hAnsi="宋体" w:eastAsia="宋体" w:cs="宋体"/>
                <w:sz w:val="24"/>
                <w:szCs w:val="24"/>
              </w:rPr>
            </w:pP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社会安全</w:t>
            </w:r>
          </w:p>
        </w:tc>
        <w:tc>
          <w:tcPr>
            <w:tcW w:w="5309" w:type="dxa"/>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医院端用户可以查看本医院重点人群、涉医事件、医疗纠纷台账数据；</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支持用户自定义台账类别内容查看。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2.14</w:t>
            </w:r>
          </w:p>
        </w:tc>
        <w:tc>
          <w:tcPr>
            <w:tcW w:w="1500" w:type="dxa"/>
            <w:gridSpan w:val="2"/>
            <w:vMerge w:val="restart"/>
            <w:shd w:val="clear" w:color="auto" w:fill="auto"/>
            <w:vAlign w:val="center"/>
          </w:tcPr>
          <w:p>
            <w:pPr>
              <w:widowControl/>
              <w:jc w:val="center"/>
              <w:rPr>
                <w:rFonts w:hint="eastAsia" w:ascii="宋体" w:hAnsi="宋体" w:eastAsia="宋体" w:cs="宋体"/>
                <w:sz w:val="24"/>
                <w:szCs w:val="24"/>
              </w:rPr>
            </w:pP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建筑安全</w:t>
            </w:r>
          </w:p>
        </w:tc>
        <w:tc>
          <w:tcPr>
            <w:tcW w:w="5309" w:type="dxa"/>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医院端用户可以查看本医院彩钢板房、危房面积、房屋安全台账数据；</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支持用户自定义台账类别内容查看。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2.15</w:t>
            </w:r>
          </w:p>
        </w:tc>
        <w:tc>
          <w:tcPr>
            <w:tcW w:w="1500" w:type="dxa"/>
            <w:gridSpan w:val="2"/>
            <w:vMerge w:val="continue"/>
            <w:shd w:val="clear" w:color="auto" w:fill="auto"/>
            <w:vAlign w:val="center"/>
          </w:tcPr>
          <w:p>
            <w:pPr>
              <w:widowControl/>
              <w:jc w:val="center"/>
              <w:rPr>
                <w:rFonts w:hint="eastAsia" w:ascii="宋体" w:hAnsi="宋体" w:eastAsia="宋体" w:cs="宋体"/>
                <w:sz w:val="24"/>
                <w:szCs w:val="24"/>
              </w:rPr>
            </w:pP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环境安全</w:t>
            </w:r>
          </w:p>
        </w:tc>
        <w:tc>
          <w:tcPr>
            <w:tcW w:w="5309" w:type="dxa"/>
            <w:shd w:val="clear" w:color="auto" w:fill="auto"/>
            <w:vAlign w:val="center"/>
          </w:tcPr>
          <w:p>
            <w:pPr>
              <w:ind w:left="210" w:leftChars="100"/>
              <w:rPr>
                <w:rFonts w:hint="eastAsia" w:ascii="宋体" w:hAnsi="宋体" w:eastAsia="宋体" w:cs="宋体"/>
                <w:sz w:val="24"/>
                <w:szCs w:val="24"/>
              </w:rPr>
            </w:pPr>
            <w:r>
              <w:rPr>
                <w:rFonts w:hint="eastAsia" w:ascii="宋体" w:hAnsi="宋体" w:eastAsia="宋体" w:cs="宋体"/>
                <w:sz w:val="24"/>
                <w:szCs w:val="24"/>
              </w:rPr>
              <w:t>医院端用户可以查看本医院历史文物、医院人车密集程度时台账数据；</w:t>
            </w:r>
          </w:p>
          <w:p>
            <w:pPr>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支持用户自定义台账类别内容查看。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2.16</w:t>
            </w:r>
          </w:p>
        </w:tc>
        <w:tc>
          <w:tcPr>
            <w:tcW w:w="1500" w:type="dxa"/>
            <w:gridSpan w:val="2"/>
            <w:vMerge w:val="restart"/>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安全检查</w:t>
            </w: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日检查</w:t>
            </w:r>
          </w:p>
        </w:tc>
        <w:tc>
          <w:tcPr>
            <w:tcW w:w="5309" w:type="dxa"/>
            <w:shd w:val="clear" w:color="auto" w:fill="auto"/>
            <w:vAlign w:val="center"/>
          </w:tcPr>
          <w:p>
            <w:pPr>
              <w:ind w:left="210" w:leftChars="100"/>
              <w:rPr>
                <w:rFonts w:hint="eastAsia" w:ascii="宋体" w:hAnsi="宋体" w:eastAsia="宋体" w:cs="宋体"/>
                <w:b/>
                <w:bCs/>
                <w:sz w:val="24"/>
                <w:szCs w:val="24"/>
              </w:rPr>
            </w:pPr>
            <w:r>
              <w:rPr>
                <w:rFonts w:hint="eastAsia" w:ascii="宋体" w:hAnsi="宋体" w:eastAsia="宋体" w:cs="宋体"/>
                <w:sz w:val="24"/>
                <w:szCs w:val="24"/>
              </w:rPr>
              <w:t>接收后端下发的日例行安全检查，手机端可提交检查结果，如检查结果又不符合项，可在线提交问题。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2.17</w:t>
            </w:r>
          </w:p>
        </w:tc>
        <w:tc>
          <w:tcPr>
            <w:tcW w:w="1500" w:type="dxa"/>
            <w:gridSpan w:val="2"/>
            <w:vMerge w:val="continue"/>
            <w:shd w:val="clear" w:color="auto" w:fill="auto"/>
            <w:vAlign w:val="center"/>
          </w:tcPr>
          <w:p>
            <w:pPr>
              <w:widowControl/>
              <w:jc w:val="center"/>
              <w:rPr>
                <w:rFonts w:hint="eastAsia" w:ascii="宋体" w:hAnsi="宋体" w:eastAsia="宋体" w:cs="宋体"/>
                <w:sz w:val="24"/>
                <w:szCs w:val="24"/>
              </w:rPr>
            </w:pP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周检查</w:t>
            </w:r>
          </w:p>
        </w:tc>
        <w:tc>
          <w:tcPr>
            <w:tcW w:w="5309" w:type="dxa"/>
            <w:shd w:val="clear" w:color="auto" w:fill="auto"/>
            <w:vAlign w:val="center"/>
          </w:tcPr>
          <w:p>
            <w:pPr>
              <w:ind w:left="210" w:leftChars="100"/>
              <w:rPr>
                <w:rFonts w:hint="eastAsia" w:ascii="宋体" w:hAnsi="宋体" w:eastAsia="宋体" w:cs="宋体"/>
                <w:b/>
                <w:bCs/>
                <w:sz w:val="24"/>
                <w:szCs w:val="24"/>
              </w:rPr>
            </w:pPr>
            <w:r>
              <w:rPr>
                <w:rFonts w:hint="eastAsia" w:ascii="宋体" w:hAnsi="宋体" w:eastAsia="宋体" w:cs="宋体"/>
                <w:sz w:val="24"/>
                <w:szCs w:val="24"/>
              </w:rPr>
              <w:t>接收后端下发的周例行安全检查，手机端可提交检查结果，如检查结果又不符合项，可在线提交问题。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2.18</w:t>
            </w:r>
          </w:p>
        </w:tc>
        <w:tc>
          <w:tcPr>
            <w:tcW w:w="1500" w:type="dxa"/>
            <w:gridSpan w:val="2"/>
            <w:vMerge w:val="continue"/>
            <w:shd w:val="clear" w:color="auto" w:fill="auto"/>
            <w:vAlign w:val="center"/>
          </w:tcPr>
          <w:p>
            <w:pPr>
              <w:widowControl/>
              <w:jc w:val="center"/>
              <w:rPr>
                <w:rFonts w:hint="eastAsia" w:ascii="宋体" w:hAnsi="宋体" w:eastAsia="宋体" w:cs="宋体"/>
                <w:sz w:val="24"/>
                <w:szCs w:val="24"/>
              </w:rPr>
            </w:pP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月检查</w:t>
            </w:r>
          </w:p>
        </w:tc>
        <w:tc>
          <w:tcPr>
            <w:tcW w:w="5309" w:type="dxa"/>
            <w:shd w:val="clear" w:color="auto" w:fill="auto"/>
            <w:vAlign w:val="center"/>
          </w:tcPr>
          <w:p>
            <w:pPr>
              <w:ind w:left="210" w:leftChars="100"/>
              <w:rPr>
                <w:rFonts w:hint="eastAsia" w:ascii="宋体" w:hAnsi="宋体" w:eastAsia="宋体" w:cs="宋体"/>
                <w:b/>
                <w:bCs/>
                <w:sz w:val="24"/>
                <w:szCs w:val="24"/>
              </w:rPr>
            </w:pPr>
            <w:r>
              <w:rPr>
                <w:rFonts w:hint="eastAsia" w:ascii="宋体" w:hAnsi="宋体" w:eastAsia="宋体" w:cs="宋体"/>
                <w:sz w:val="24"/>
                <w:szCs w:val="24"/>
              </w:rPr>
              <w:t>接收后端下发的月例行安全检查，手机端可提交检查结果，如检查结果又不符合项，可在线提交问题。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2.19</w:t>
            </w:r>
          </w:p>
        </w:tc>
        <w:tc>
          <w:tcPr>
            <w:tcW w:w="1500" w:type="dxa"/>
            <w:gridSpan w:val="2"/>
            <w:vMerge w:val="continue"/>
            <w:shd w:val="clear" w:color="auto" w:fill="auto"/>
            <w:vAlign w:val="center"/>
          </w:tcPr>
          <w:p>
            <w:pPr>
              <w:widowControl/>
              <w:jc w:val="center"/>
              <w:rPr>
                <w:rFonts w:hint="eastAsia" w:ascii="宋体" w:hAnsi="宋体" w:eastAsia="宋体" w:cs="宋体"/>
                <w:sz w:val="24"/>
                <w:szCs w:val="24"/>
              </w:rPr>
            </w:pP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专项检查</w:t>
            </w:r>
          </w:p>
        </w:tc>
        <w:tc>
          <w:tcPr>
            <w:tcW w:w="5309" w:type="dxa"/>
            <w:shd w:val="clear" w:color="auto" w:fill="auto"/>
            <w:vAlign w:val="center"/>
          </w:tcPr>
          <w:p>
            <w:pPr>
              <w:ind w:left="210" w:leftChars="100"/>
              <w:rPr>
                <w:rFonts w:hint="eastAsia" w:ascii="宋体" w:hAnsi="宋体" w:eastAsia="宋体" w:cs="宋体"/>
                <w:b/>
                <w:bCs/>
                <w:sz w:val="24"/>
                <w:szCs w:val="24"/>
              </w:rPr>
            </w:pPr>
            <w:r>
              <w:rPr>
                <w:rFonts w:hint="eastAsia" w:ascii="宋体" w:hAnsi="宋体" w:eastAsia="宋体" w:cs="宋体"/>
                <w:sz w:val="24"/>
                <w:szCs w:val="24"/>
              </w:rPr>
              <w:t>接收后端下发的专项安全检查，用户可通过app实现专项安全检查的执行和跟踪。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2.20</w:t>
            </w:r>
          </w:p>
        </w:tc>
        <w:tc>
          <w:tcPr>
            <w:tcW w:w="150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统计分析</w:t>
            </w: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统计分析</w:t>
            </w:r>
          </w:p>
        </w:tc>
        <w:tc>
          <w:tcPr>
            <w:tcW w:w="5309" w:type="dxa"/>
            <w:shd w:val="clear" w:color="auto" w:fill="auto"/>
            <w:vAlign w:val="center"/>
          </w:tcPr>
          <w:p>
            <w:pPr>
              <w:ind w:left="211" w:hanging="241" w:hangingChars="100"/>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下属单位/医院统计分析包括部门处理问题统计、部门提交问题统计、全院问题统计；</w:t>
            </w:r>
          </w:p>
          <w:p>
            <w:pPr>
              <w:ind w:left="211" w:hanging="241" w:hangingChars="100"/>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下属单位/医院统计分析根据年度、月度不同时间范围查询数据；</w:t>
            </w:r>
          </w:p>
          <w:p>
            <w:pPr>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统计结果以图形和列表方式展示。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2.21</w:t>
            </w:r>
          </w:p>
        </w:tc>
        <w:tc>
          <w:tcPr>
            <w:tcW w:w="1500" w:type="dxa"/>
            <w:gridSpan w:val="2"/>
            <w:vMerge w:val="restart"/>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消息</w:t>
            </w: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通知公告</w:t>
            </w:r>
          </w:p>
        </w:tc>
        <w:tc>
          <w:tcPr>
            <w:tcW w:w="5309" w:type="dxa"/>
            <w:shd w:val="clear" w:color="auto" w:fill="auto"/>
            <w:vAlign w:val="center"/>
          </w:tcPr>
          <w:p>
            <w:pPr>
              <w:ind w:firstLine="240" w:firstLineChars="100"/>
              <w:rPr>
                <w:rFonts w:hint="eastAsia" w:ascii="宋体" w:hAnsi="宋体" w:eastAsia="宋体" w:cs="宋体"/>
                <w:b/>
                <w:bCs/>
                <w:sz w:val="24"/>
                <w:szCs w:val="24"/>
              </w:rPr>
            </w:pPr>
            <w:r>
              <w:rPr>
                <w:rFonts w:hint="eastAsia" w:ascii="宋体" w:hAnsi="宋体" w:eastAsia="宋体" w:cs="宋体"/>
                <w:sz w:val="24"/>
                <w:szCs w:val="24"/>
              </w:rPr>
              <w:t>支持查看通知公告详情，区分已读和未读状态。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2.22</w:t>
            </w:r>
          </w:p>
        </w:tc>
        <w:tc>
          <w:tcPr>
            <w:tcW w:w="1500" w:type="dxa"/>
            <w:gridSpan w:val="2"/>
            <w:vMerge w:val="continue"/>
            <w:shd w:val="clear" w:color="auto" w:fill="auto"/>
            <w:vAlign w:val="center"/>
          </w:tcPr>
          <w:p>
            <w:pPr>
              <w:widowControl/>
              <w:jc w:val="center"/>
              <w:rPr>
                <w:rFonts w:hint="eastAsia" w:ascii="宋体" w:hAnsi="宋体" w:eastAsia="宋体" w:cs="宋体"/>
                <w:sz w:val="24"/>
                <w:szCs w:val="24"/>
              </w:rPr>
            </w:pP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教育培训</w:t>
            </w:r>
          </w:p>
        </w:tc>
        <w:tc>
          <w:tcPr>
            <w:tcW w:w="5309" w:type="dxa"/>
            <w:shd w:val="clear" w:color="auto" w:fill="auto"/>
            <w:vAlign w:val="center"/>
          </w:tcPr>
          <w:p>
            <w:pPr>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sz w:val="24"/>
                <w:szCs w:val="24"/>
              </w:rPr>
              <w:t>支持在线安全教育培训，用户可以在手机端进行在线学习。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2.23</w:t>
            </w:r>
          </w:p>
        </w:tc>
        <w:tc>
          <w:tcPr>
            <w:tcW w:w="1500" w:type="dxa"/>
            <w:gridSpan w:val="2"/>
            <w:vMerge w:val="continue"/>
            <w:shd w:val="clear" w:color="auto" w:fill="auto"/>
            <w:vAlign w:val="center"/>
          </w:tcPr>
          <w:p>
            <w:pPr>
              <w:widowControl/>
              <w:jc w:val="center"/>
              <w:rPr>
                <w:rFonts w:hint="eastAsia" w:ascii="宋体" w:hAnsi="宋体" w:eastAsia="宋体" w:cs="宋体"/>
                <w:sz w:val="24"/>
                <w:szCs w:val="24"/>
              </w:rPr>
            </w:pP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问题动态</w:t>
            </w:r>
          </w:p>
        </w:tc>
        <w:tc>
          <w:tcPr>
            <w:tcW w:w="5309" w:type="dxa"/>
            <w:shd w:val="clear" w:color="auto" w:fill="auto"/>
            <w:vAlign w:val="center"/>
          </w:tcPr>
          <w:p>
            <w:pPr>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sz w:val="24"/>
                <w:szCs w:val="24"/>
              </w:rPr>
              <w:t>用户提交的问题单状态变更实时展示在问题动态列表。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2.24</w:t>
            </w:r>
          </w:p>
        </w:tc>
        <w:tc>
          <w:tcPr>
            <w:tcW w:w="150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个人中心</w:t>
            </w: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个人中心</w:t>
            </w:r>
          </w:p>
        </w:tc>
        <w:tc>
          <w:tcPr>
            <w:tcW w:w="5309" w:type="dxa"/>
            <w:shd w:val="clear" w:color="auto" w:fill="auto"/>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支持修改用户头像、密码；</w:t>
            </w:r>
          </w:p>
          <w:p>
            <w:pPr>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支持设置手势登录密码;</w:t>
            </w:r>
          </w:p>
          <w:p>
            <w:pPr>
              <w:ind w:firstLine="240" w:firstLineChars="100"/>
              <w:rPr>
                <w:rFonts w:hint="eastAsia" w:ascii="宋体" w:hAnsi="宋体" w:eastAsia="宋体" w:cs="宋体"/>
                <w:b/>
                <w:bCs/>
                <w:sz w:val="24"/>
                <w:szCs w:val="24"/>
              </w:rPr>
            </w:pPr>
            <w:r>
              <w:rPr>
                <w:rFonts w:hint="eastAsia" w:ascii="宋体" w:hAnsi="宋体" w:eastAsia="宋体" w:cs="宋体"/>
                <w:sz w:val="24"/>
                <w:szCs w:val="24"/>
              </w:rPr>
              <w:t>用户基本信息查看。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11"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2.25</w:t>
            </w:r>
          </w:p>
        </w:tc>
        <w:tc>
          <w:tcPr>
            <w:tcW w:w="150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分级管控</w:t>
            </w:r>
          </w:p>
        </w:tc>
        <w:tc>
          <w:tcPr>
            <w:tcW w:w="1560" w:type="dxa"/>
            <w:gridSpan w:val="2"/>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分级管控</w:t>
            </w:r>
          </w:p>
        </w:tc>
        <w:tc>
          <w:tcPr>
            <w:tcW w:w="5309" w:type="dxa"/>
            <w:shd w:val="clear" w:color="auto" w:fill="auto"/>
            <w:vAlign w:val="center"/>
          </w:tcPr>
          <w:p>
            <w:pPr>
              <w:spacing w:line="240" w:lineRule="atLeast"/>
              <w:ind w:left="241" w:hanging="241" w:hangingChars="100"/>
              <w:rPr>
                <w:rFonts w:hint="eastAsia" w:ascii="宋体" w:hAnsi="宋体" w:eastAsia="宋体" w:cs="宋体"/>
                <w:sz w:val="24"/>
                <w:szCs w:val="24"/>
              </w:rPr>
            </w:pPr>
            <w:r>
              <w:rPr>
                <w:rFonts w:hint="eastAsia" w:ascii="宋体" w:hAnsi="宋体" w:eastAsia="宋体" w:cs="宋体"/>
                <w:b/>
                <w:bCs/>
                <w:color w:val="000000"/>
                <w:kern w:val="0"/>
                <w:sz w:val="24"/>
                <w:szCs w:val="24"/>
              </w:rPr>
              <w:t xml:space="preserve">* </w:t>
            </w:r>
            <w:r>
              <w:rPr>
                <w:rFonts w:hint="eastAsia" w:ascii="宋体" w:hAnsi="宋体" w:eastAsia="宋体" w:cs="宋体"/>
                <w:sz w:val="24"/>
                <w:szCs w:val="24"/>
              </w:rPr>
              <w:t>双重预防系统分级管控功能可实现中心院区与妇女儿童院区的用电安全、锅炉房、氧气站、高压氧舱、大型机电设备等系统无缝对接，可实现分级管控的高级功能。</w:t>
            </w:r>
          </w:p>
        </w:tc>
      </w:tr>
    </w:tbl>
    <w:p>
      <w:pPr>
        <w:pStyle w:val="13"/>
        <w:tabs>
          <w:tab w:val="left" w:pos="1245"/>
        </w:tabs>
        <w:spacing w:after="0"/>
        <w:ind w:left="525" w:leftChars="0"/>
        <w:jc w:val="left"/>
        <w:rPr>
          <w:rFonts w:hint="eastAsia" w:ascii="宋体" w:hAnsi="宋体" w:eastAsia="宋体" w:cs="宋体"/>
          <w:sz w:val="24"/>
          <w:szCs w:val="24"/>
        </w:rPr>
      </w:pPr>
      <w:r>
        <w:rPr>
          <w:rFonts w:hint="eastAsia" w:ascii="宋体" w:hAnsi="宋体" w:eastAsia="宋体" w:cs="宋体"/>
          <w:sz w:val="24"/>
          <w:szCs w:val="24"/>
        </w:rPr>
        <w:t>（二）服务条件及交货日期（或工期）：</w:t>
      </w:r>
    </w:p>
    <w:p>
      <w:pPr>
        <w:snapToGrid w:val="0"/>
        <w:spacing w:line="360" w:lineRule="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1、服务内容：</w:t>
      </w:r>
    </w:p>
    <w:p>
      <w:pPr>
        <w:spacing w:line="480" w:lineRule="exact"/>
        <w:ind w:left="-2" w:leftChars="-1" w:firstLine="2"/>
        <w:rPr>
          <w:rFonts w:hint="eastAsia" w:ascii="宋体" w:hAnsi="宋体" w:eastAsia="宋体" w:cs="宋体"/>
          <w:sz w:val="24"/>
          <w:szCs w:val="24"/>
          <w:u w:val="single"/>
          <w:lang w:val="zh-CN"/>
        </w:rPr>
      </w:pPr>
      <w:r>
        <w:rPr>
          <w:rFonts w:hint="eastAsia" w:ascii="宋体" w:hAnsi="宋体" w:eastAsia="宋体" w:cs="宋体"/>
          <w:b/>
          <w:bCs/>
          <w:sz w:val="24"/>
          <w:szCs w:val="24"/>
          <w:u w:val="single"/>
          <w:lang w:val="zh-CN"/>
        </w:rPr>
        <w:t>线下：</w:t>
      </w:r>
      <w:r>
        <w:rPr>
          <w:rFonts w:hint="eastAsia" w:ascii="宋体" w:hAnsi="宋体" w:eastAsia="宋体" w:cs="宋体"/>
          <w:sz w:val="24"/>
          <w:szCs w:val="24"/>
          <w:u w:val="single"/>
          <w:lang w:val="zh-CN"/>
        </w:rPr>
        <w:t>1、建立执行安全生产责任制2、建立执行风险分级管控制度3、建立执行隐患排查治理制度4.医院安全双重预防体系培训教育制度5、医院安全双重预防体系建设考核与奖罚制度：6、制定全年隐患排查计划、7、制定院内全体人员培训计划。8、对医院内成立领导小组中高层进行安全生产双重预防知识培训9、全体医护人员安全生产双重预防知识培训。10、对医院排查风险点，每一楼层逐一进行风险（风险因素）辨识、分析、风险分级、通过对危险源进行风险类型分析、风险值LEC法计算、风险程度分级11、对风险控制措施的符合性、采用科学、合理方法对风险因素所伴随的风险进行定性或定量评价。</w:t>
      </w:r>
    </w:p>
    <w:p>
      <w:pPr>
        <w:spacing w:line="480" w:lineRule="exact"/>
        <w:ind w:left="-2" w:leftChars="-1" w:firstLine="2"/>
        <w:rPr>
          <w:rFonts w:hint="eastAsia" w:ascii="宋体" w:hAnsi="宋体" w:eastAsia="宋体" w:cs="宋体"/>
          <w:sz w:val="24"/>
          <w:szCs w:val="24"/>
          <w:u w:val="single"/>
          <w:lang w:val="zh-CN"/>
        </w:rPr>
      </w:pPr>
      <w:r>
        <w:rPr>
          <w:rFonts w:hint="eastAsia" w:ascii="宋体" w:hAnsi="宋体" w:eastAsia="宋体" w:cs="宋体"/>
          <w:sz w:val="24"/>
          <w:szCs w:val="24"/>
          <w:u w:val="single"/>
          <w:lang w:val="zh-CN"/>
        </w:rPr>
        <w:t>12、对医院进行风险（风险因素）辨识、分析、风险分级、标明风险因素，风险名称(类别)2风险点（区域或系统）、风险等级、风险管控措施（设施设备及技术、控制措施）、应急处置措施、责任部门、责任人编辑明确。13、排查编辑绘图出来医院内部出现风险点2每栋楼层风险（风险因素）辨识、分析、用红、橙、黄、蓝四色风险分布图及作业活动风险对比图进行公示。</w:t>
      </w:r>
    </w:p>
    <w:p>
      <w:pPr>
        <w:spacing w:line="480" w:lineRule="exact"/>
        <w:ind w:left="-2" w:leftChars="-1" w:firstLine="2"/>
        <w:rPr>
          <w:rFonts w:hint="eastAsia" w:ascii="宋体" w:hAnsi="宋体" w:eastAsia="宋体" w:cs="宋体"/>
          <w:sz w:val="24"/>
          <w:szCs w:val="24"/>
          <w:u w:val="single"/>
          <w:lang w:val="zh-CN"/>
        </w:rPr>
      </w:pPr>
      <w:r>
        <w:rPr>
          <w:rFonts w:hint="eastAsia" w:ascii="宋体" w:hAnsi="宋体" w:eastAsia="宋体" w:cs="宋体"/>
          <w:b/>
          <w:bCs/>
          <w:sz w:val="24"/>
          <w:szCs w:val="24"/>
          <w:u w:val="single"/>
          <w:lang w:val="zh-CN"/>
        </w:rPr>
        <w:t>线上：</w:t>
      </w:r>
      <w:r>
        <w:rPr>
          <w:rFonts w:hint="eastAsia" w:ascii="宋体" w:hAnsi="宋体" w:eastAsia="宋体" w:cs="宋体"/>
          <w:sz w:val="24"/>
          <w:szCs w:val="24"/>
          <w:u w:val="single"/>
          <w:lang w:val="zh-CN"/>
        </w:rPr>
        <w:t>扫描医院现场设置的医院自查二维码，可查看该部位的历史检查情况，包括：检查部位责任人、检查次数、隐患数及整改率等信息。在扫描时将会记录医院人员扫描时间，作为督导人员到现场检查的依据。</w:t>
      </w:r>
    </w:p>
    <w:p>
      <w:pPr>
        <w:spacing w:line="480" w:lineRule="exact"/>
        <w:ind w:left="-2" w:leftChars="-1" w:firstLine="2"/>
        <w:rPr>
          <w:rFonts w:hint="eastAsia" w:ascii="宋体" w:hAnsi="宋体" w:eastAsia="宋体" w:cs="宋体"/>
          <w:sz w:val="24"/>
          <w:szCs w:val="24"/>
          <w:u w:val="single"/>
          <w:lang w:val="zh-CN"/>
        </w:rPr>
      </w:pPr>
      <w:r>
        <w:rPr>
          <w:rFonts w:hint="eastAsia" w:ascii="宋体" w:hAnsi="宋体" w:eastAsia="宋体" w:cs="宋体"/>
          <w:sz w:val="24"/>
          <w:szCs w:val="24"/>
          <w:u w:val="single"/>
          <w:lang w:val="zh-CN"/>
        </w:rPr>
        <w:t>用手机APP端能够查看、短信接收并转发领导部门内部传输的公文通知。</w:t>
      </w:r>
    </w:p>
    <w:p>
      <w:pPr>
        <w:spacing w:line="480" w:lineRule="exact"/>
        <w:ind w:left="-2" w:leftChars="-1" w:firstLine="2"/>
        <w:rPr>
          <w:rFonts w:hint="eastAsia" w:ascii="宋体" w:hAnsi="宋体" w:eastAsia="宋体" w:cs="宋体"/>
          <w:sz w:val="24"/>
          <w:szCs w:val="24"/>
          <w:u w:val="single"/>
          <w:lang w:val="zh-CN"/>
        </w:rPr>
      </w:pPr>
      <w:r>
        <w:rPr>
          <w:rFonts w:hint="eastAsia" w:ascii="宋体" w:hAnsi="宋体" w:eastAsia="宋体" w:cs="宋体"/>
          <w:sz w:val="24"/>
          <w:szCs w:val="24"/>
          <w:u w:val="single"/>
          <w:lang w:val="zh-CN"/>
        </w:rPr>
        <w:t>建立安全数据库，将法律法规、应急处置方案、安全生产标准规范等纳入安全百科库中，由系统维护人员维护后台安全数据库，做到及时更新并不定期上传相关安全材料，方便行政人员查询下载。</w:t>
      </w:r>
    </w:p>
    <w:p>
      <w:pPr>
        <w:spacing w:line="480" w:lineRule="exact"/>
        <w:ind w:left="-2" w:leftChars="-1" w:firstLine="2"/>
        <w:rPr>
          <w:rFonts w:hint="eastAsia" w:ascii="宋体" w:hAnsi="宋体" w:eastAsia="宋体" w:cs="宋体"/>
          <w:sz w:val="24"/>
          <w:szCs w:val="24"/>
          <w:u w:val="single"/>
          <w:lang w:val="zh-CN"/>
        </w:rPr>
      </w:pPr>
      <w:r>
        <w:rPr>
          <w:rFonts w:hint="eastAsia" w:ascii="宋体" w:hAnsi="宋体" w:eastAsia="宋体" w:cs="宋体"/>
          <w:sz w:val="24"/>
          <w:szCs w:val="24"/>
          <w:u w:val="single"/>
          <w:lang w:val="zh-CN"/>
        </w:rPr>
        <w:t>手机端按（手机APP与电脑PC端）照区域、预警对象及时间周期进行分类汇总预警信息，以供责任人员查看。</w:t>
      </w:r>
    </w:p>
    <w:p>
      <w:pPr>
        <w:spacing w:line="480" w:lineRule="exact"/>
        <w:ind w:left="-2" w:leftChars="-1" w:firstLine="2"/>
        <w:rPr>
          <w:rFonts w:hint="eastAsia" w:ascii="宋体" w:hAnsi="宋体" w:eastAsia="宋体" w:cs="宋体"/>
          <w:sz w:val="24"/>
          <w:szCs w:val="24"/>
          <w:u w:val="single"/>
          <w:lang w:val="zh-CN"/>
        </w:rPr>
      </w:pPr>
      <w:r>
        <w:rPr>
          <w:rFonts w:hint="eastAsia" w:ascii="宋体" w:hAnsi="宋体" w:eastAsia="宋体" w:cs="宋体"/>
          <w:sz w:val="24"/>
          <w:szCs w:val="24"/>
          <w:u w:val="single"/>
          <w:lang w:val="zh-CN"/>
        </w:rPr>
        <w:t>运维、通信费用、预警（巡检、催办、短信、语音等）芯片材料、数据存储、传输对接、信息预警、系统安装、培训使用、系统维护、更新优化。</w:t>
      </w:r>
    </w:p>
    <w:p>
      <w:pPr>
        <w:snapToGrid w:val="0"/>
        <w:spacing w:line="360" w:lineRule="auto"/>
        <w:ind w:left="-2" w:leftChars="-1" w:firstLine="2"/>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2、服务要求：</w:t>
      </w:r>
    </w:p>
    <w:p>
      <w:pPr>
        <w:pStyle w:val="13"/>
        <w:numPr>
          <w:ilvl w:val="0"/>
          <w:numId w:val="0"/>
        </w:numPr>
        <w:spacing w:after="0"/>
        <w:ind w:left="36" w:leftChars="0"/>
        <w:jc w:val="left"/>
        <w:rPr>
          <w:rFonts w:hint="eastAsia" w:ascii="宋体" w:hAnsi="宋体" w:eastAsia="宋体" w:cs="宋体"/>
          <w:kern w:val="2"/>
          <w:sz w:val="21"/>
          <w:szCs w:val="24"/>
          <w:lang w:val="en-US" w:eastAsia="zh-CN" w:bidi="ar-SA"/>
        </w:rPr>
      </w:pPr>
      <w:r>
        <w:rPr>
          <w:rFonts w:hint="eastAsia" w:ascii="宋体" w:hAnsi="宋体" w:eastAsia="宋体" w:cs="宋体"/>
          <w:sz w:val="24"/>
          <w:szCs w:val="24"/>
          <w:u w:val="single"/>
          <w:lang w:val="zh-CN"/>
        </w:rPr>
        <w:t>该项目应达到</w:t>
      </w:r>
      <w:r>
        <w:rPr>
          <w:rFonts w:hint="eastAsia" w:ascii="宋体" w:hAnsi="宋体" w:eastAsia="宋体" w:cs="宋体"/>
          <w:sz w:val="24"/>
          <w:szCs w:val="24"/>
          <w:u w:val="single"/>
        </w:rPr>
        <w:t>《河南省卫生健康委关于印发深化安全生产风险隐患双重预防体系建设行动方案的通知》豫政办〔2018〕68号、《2020年河南省政府工作报告》、《河南省卫生健康委关于印发2020年全省卫生系统安全生产和消防工作要点的通知》豫卫办函〔2020〕10号文件中的所有</w:t>
      </w:r>
      <w:r>
        <w:rPr>
          <w:rFonts w:hint="eastAsia" w:ascii="宋体" w:hAnsi="宋体" w:eastAsia="宋体" w:cs="宋体"/>
          <w:sz w:val="24"/>
          <w:szCs w:val="24"/>
          <w:u w:val="single"/>
          <w:lang w:val="zh-CN"/>
        </w:rPr>
        <w:t>要求，</w:t>
      </w:r>
      <w:r>
        <w:rPr>
          <w:rFonts w:hint="eastAsia" w:ascii="宋体" w:hAnsi="宋体" w:eastAsia="宋体" w:cs="宋体"/>
          <w:sz w:val="24"/>
          <w:szCs w:val="24"/>
          <w:u w:val="single"/>
        </w:rPr>
        <w:t>能通过达到市安监局、市卫健体委及省卫健委验收，并且系统运行能与市安监局、市卫健体委进行有效对接</w:t>
      </w:r>
      <w:r>
        <w:rPr>
          <w:rFonts w:hint="eastAsia" w:ascii="宋体" w:hAnsi="宋体" w:eastAsia="宋体" w:cs="宋体"/>
          <w:sz w:val="24"/>
          <w:szCs w:val="24"/>
          <w:u w:val="single"/>
          <w:lang w:val="zh-CN"/>
        </w:rPr>
        <w:t>。建成后支付90％费用。一年后，系统运行正常，经验收合格，支付剩余10％的费用，每年服务费单独报价，作为评标依据。承诺对软件运行后期的服务随叫随到，遇有问题2小时内消除故障，1次服务不到位、不及时扣除当年维护费的5％，3次服务不到位，扣除当年全部服务费。承诺有驻地服务，提供7*24小时服务，发生故障30分钟内响应到达现场，同时2小时内解决问题，最长不得超过4小时解决问题。</w:t>
      </w:r>
      <w:r>
        <w:rPr>
          <w:rFonts w:hint="eastAsia" w:ascii="宋体" w:hAnsi="宋体" w:eastAsia="宋体" w:cs="宋体"/>
          <w:kern w:val="2"/>
          <w:sz w:val="21"/>
          <w:szCs w:val="24"/>
          <w:lang w:val="en-US" w:eastAsia="zh-CN" w:bidi="ar-SA"/>
        </w:rPr>
        <w:br w:type="page"/>
      </w: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cs="宋体"/>
                <w:bCs/>
                <w:color w:val="auto"/>
                <w:szCs w:val="21"/>
                <w:highlight w:val="none"/>
                <w:u w:val="single"/>
                <w:shd w:val="clear" w:color="auto" w:fill="FFFFFF"/>
                <w:lang w:val="en-US" w:eastAsia="zh-CN"/>
              </w:rPr>
              <w:t>1</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ascii="宋体" w:hAnsi="宋体" w:eastAsia="宋体" w:cs="宋体"/>
              </w:rPr>
              <w:t>驻马店市中心医院</w:t>
            </w:r>
            <w:r>
              <w:rPr>
                <w:rFonts w:hint="eastAsia" w:ascii="宋体" w:hAnsi="宋体" w:eastAsia="宋体" w:cs="宋体"/>
                <w:color w:val="auto"/>
              </w:rPr>
              <w:t>妇儿院区安全生产双重预防体系建设</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139000.00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139000.00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专业技术水平、人员配备、人员专业素质等</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根据投标人在投标文件中所附专业技术人员配备情况</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bookmarkStart w:id="91" w:name="_GoBack"/>
            <w:bookmarkEnd w:id="91"/>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4984"/>
      <w:bookmarkStart w:id="75" w:name="_Toc2200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rFonts w:hint="eastAsia" w:eastAsia="黑体"/>
          <w:color w:val="auto"/>
          <w:highlight w:val="none"/>
          <w:lang w:val="en-US" w:eastAsia="zh-CN"/>
        </w:rPr>
      </w:pPr>
      <w:r>
        <w:rPr>
          <w:rFonts w:hint="eastAsia"/>
          <w:color w:val="auto"/>
          <w:highlight w:val="none"/>
        </w:rPr>
        <w:br w:type="page"/>
      </w:r>
      <w:bookmarkStart w:id="76" w:name="_Toc226"/>
      <w:bookmarkStart w:id="77" w:name="_Toc15804"/>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9960"/>
      <w:bookmarkStart w:id="79" w:name="_Toc2042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29"/>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eastAsia="宋体" w:cs="宋体"/>
        <w:color w:val="auto"/>
      </w:rPr>
      <w:t>驻马店市中心医院妇儿院区安全生产双重预防体系建设</w:t>
    </w:r>
    <w:r>
      <w:rPr>
        <w:rFonts w:hint="eastAsia" w:ascii="宋体" w:hAnsi="宋体" w:eastAsia="宋体" w:cs="宋体"/>
        <w:color w:val="auto"/>
        <w:szCs w:val="21"/>
        <w:highlight w:val="none"/>
        <w:u w:val="none"/>
        <w:shd w:val="clear" w:color="auto" w:fill="FFFFFF"/>
      </w:rPr>
      <w:t>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eastAsia="宋体" w:cs="宋体"/>
        <w:color w:val="auto"/>
      </w:rPr>
      <w:t>驻马店市中心医院妇儿院区安全生产双重预防体系建设</w:t>
    </w:r>
    <w:r>
      <w:rPr>
        <w:rFonts w:hint="eastAsia" w:ascii="宋体" w:hAnsi="宋体" w:eastAsia="宋体" w:cs="宋体"/>
        <w:color w:val="auto"/>
        <w:szCs w:val="21"/>
        <w:highlight w:val="none"/>
        <w:u w:val="none"/>
        <w:shd w:val="clear" w:color="auto" w:fill="FFFFFF"/>
      </w:rPr>
      <w:t>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7006C4"/>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6612B1"/>
    <w:rsid w:val="109010E6"/>
    <w:rsid w:val="10B271F4"/>
    <w:rsid w:val="10C8275C"/>
    <w:rsid w:val="10C86D3B"/>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4FF5EA7"/>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ED16EF"/>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B5825"/>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B90F0B"/>
    <w:rsid w:val="37CD3F98"/>
    <w:rsid w:val="37DF75BA"/>
    <w:rsid w:val="37E148E2"/>
    <w:rsid w:val="38304889"/>
    <w:rsid w:val="38382675"/>
    <w:rsid w:val="3851700B"/>
    <w:rsid w:val="385246B6"/>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C55A88"/>
    <w:rsid w:val="44FB1C9C"/>
    <w:rsid w:val="454F1836"/>
    <w:rsid w:val="45887B45"/>
    <w:rsid w:val="458B66DF"/>
    <w:rsid w:val="45940F0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A05334F"/>
    <w:rsid w:val="4A244932"/>
    <w:rsid w:val="4A2922C8"/>
    <w:rsid w:val="4A4117B2"/>
    <w:rsid w:val="4A7A4350"/>
    <w:rsid w:val="4A7E2497"/>
    <w:rsid w:val="4A896826"/>
    <w:rsid w:val="4ABF5E17"/>
    <w:rsid w:val="4AE01A66"/>
    <w:rsid w:val="4AE104D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9E"/>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374A3C"/>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12D8D"/>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A90D68"/>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B4646D"/>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1021F4"/>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C1A6A"/>
    <w:rsid w:val="735C5949"/>
    <w:rsid w:val="73737DA5"/>
    <w:rsid w:val="73887B3E"/>
    <w:rsid w:val="73892412"/>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8FA66FA"/>
    <w:rsid w:val="797239CC"/>
    <w:rsid w:val="79831473"/>
    <w:rsid w:val="7999527A"/>
    <w:rsid w:val="79AF76C5"/>
    <w:rsid w:val="79C25EE1"/>
    <w:rsid w:val="79CE2967"/>
    <w:rsid w:val="79EA664C"/>
    <w:rsid w:val="7A2F3BBF"/>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28470</Words>
  <Characters>6031</Characters>
  <Lines>50</Lines>
  <Paragraphs>68</Paragraphs>
  <TotalTime>0</TotalTime>
  <ScaleCrop>false</ScaleCrop>
  <LinksUpToDate>false</LinksUpToDate>
  <CharactersWithSpaces>34433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2022-03-18T00:51:48Z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