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r>
        <w:rPr>
          <w:rFonts w:hint="eastAsia" w:ascii="黑体" w:hAnsi="黑体" w:eastAsia="黑体" w:cs="宋体"/>
          <w:bCs/>
          <w:color w:val="auto"/>
          <w:kern w:val="0"/>
          <w:sz w:val="48"/>
          <w:szCs w:val="48"/>
        </w:rPr>
        <w:t>驻马店市中心医院</w:t>
      </w:r>
      <w:r>
        <w:rPr>
          <w:rFonts w:hint="eastAsia" w:ascii="黑体" w:hAnsi="黑体" w:eastAsia="黑体" w:cs="宋体"/>
          <w:bCs/>
          <w:color w:val="auto"/>
          <w:kern w:val="0"/>
          <w:sz w:val="48"/>
          <w:szCs w:val="48"/>
          <w:lang w:val="en-US" w:eastAsia="zh-CN"/>
        </w:rPr>
        <w:t>A/B超、</w:t>
      </w:r>
      <w:r>
        <w:rPr>
          <w:rFonts w:hint="eastAsia" w:ascii="黑体" w:hAnsi="黑体" w:eastAsia="黑体" w:cs="宋体"/>
          <w:bCs/>
          <w:color w:val="auto"/>
          <w:kern w:val="0"/>
          <w:sz w:val="48"/>
          <w:szCs w:val="48"/>
          <w:lang w:eastAsia="zh-CN"/>
        </w:rPr>
        <w:t>脑电图室</w:t>
      </w:r>
      <w:r>
        <w:rPr>
          <w:rFonts w:hint="eastAsia" w:ascii="黑体" w:hAnsi="黑体" w:eastAsia="黑体" w:cs="宋体"/>
          <w:bCs/>
          <w:color w:val="auto"/>
          <w:kern w:val="0"/>
          <w:sz w:val="48"/>
          <w:szCs w:val="48"/>
          <w:lang w:val="en-US" w:eastAsia="zh-CN"/>
        </w:rPr>
        <w:t>等医疗设备采购项目</w:t>
      </w: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03</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rPr>
        <w:t>驻马店市中心医院</w:t>
      </w:r>
      <w:r>
        <w:rPr>
          <w:rFonts w:hint="eastAsia" w:ascii="黑体" w:hAnsi="黑体" w:eastAsia="黑体" w:cs="宋体"/>
          <w:bCs/>
          <w:color w:val="auto"/>
          <w:kern w:val="0"/>
          <w:sz w:val="28"/>
          <w:szCs w:val="28"/>
          <w:lang w:val="en-US" w:eastAsia="zh-CN"/>
        </w:rPr>
        <w:t>A/B超、</w:t>
      </w:r>
      <w:r>
        <w:rPr>
          <w:rFonts w:hint="eastAsia" w:ascii="黑体" w:hAnsi="黑体" w:eastAsia="黑体" w:cs="宋体"/>
          <w:bCs/>
          <w:color w:val="auto"/>
          <w:kern w:val="0"/>
          <w:sz w:val="28"/>
          <w:szCs w:val="28"/>
          <w:lang w:eastAsia="zh-CN"/>
        </w:rPr>
        <w:t>脑电图室</w:t>
      </w:r>
      <w:r>
        <w:rPr>
          <w:rFonts w:hint="eastAsia" w:ascii="黑体" w:hAnsi="黑体" w:eastAsia="黑体" w:cs="宋体"/>
          <w:bCs/>
          <w:color w:val="auto"/>
          <w:kern w:val="0"/>
          <w:sz w:val="28"/>
          <w:szCs w:val="28"/>
          <w:lang w:val="en-US" w:eastAsia="zh-CN"/>
        </w:rPr>
        <w:t>等医疗设备采购项目</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A/B超、</w:t>
      </w:r>
      <w:r>
        <w:rPr>
          <w:rFonts w:hint="eastAsia" w:ascii="宋体" w:hAnsi="宋体" w:eastAsia="宋体" w:cs="宋体"/>
          <w:color w:val="auto"/>
          <w:u w:val="single"/>
          <w:lang w:eastAsia="zh-CN"/>
        </w:rPr>
        <w:t>脑电图室</w:t>
      </w:r>
      <w:r>
        <w:rPr>
          <w:rFonts w:hint="eastAsia" w:ascii="宋体" w:hAnsi="宋体" w:eastAsia="宋体" w:cs="宋体"/>
          <w:color w:val="auto"/>
          <w:u w:val="single"/>
          <w:lang w:val="en-US" w:eastAsia="zh-CN"/>
        </w:rPr>
        <w:t xml:space="preserve">等医疗设备采购项目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rPr>
        <w:t>驻马店市中心医院</w:t>
      </w:r>
      <w:r>
        <w:rPr>
          <w:rFonts w:hint="eastAsia" w:ascii="宋体" w:hAnsi="宋体" w:eastAsia="宋体" w:cs="宋体"/>
          <w:color w:val="auto"/>
          <w:lang w:val="en-US" w:eastAsia="zh-CN"/>
        </w:rPr>
        <w:t>A/B超、</w:t>
      </w:r>
      <w:r>
        <w:rPr>
          <w:rFonts w:hint="eastAsia" w:ascii="宋体" w:hAnsi="宋体" w:eastAsia="宋体" w:cs="宋体"/>
          <w:color w:val="auto"/>
          <w:lang w:eastAsia="zh-CN"/>
        </w:rPr>
        <w:t>脑电图室</w:t>
      </w:r>
      <w:r>
        <w:rPr>
          <w:rFonts w:hint="eastAsia" w:ascii="宋体" w:hAnsi="宋体" w:eastAsia="宋体" w:cs="宋体"/>
          <w:color w:val="auto"/>
          <w:lang w:val="en-US" w:eastAsia="zh-CN"/>
        </w:rPr>
        <w:t>等医疗设备采购项目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490000.00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bookmarkStart w:id="4" w:name="_Toc26079"/>
      <w:bookmarkStart w:id="5" w:name="_Toc24040"/>
      <w:bookmarkStart w:id="6" w:name="_Toc21071"/>
      <w:bookmarkStart w:id="7" w:name="_Toc27913"/>
      <w:bookmarkStart w:id="8" w:name="_Toc19521"/>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16639"/>
      <w:bookmarkStart w:id="10" w:name="_Toc23626"/>
      <w:bookmarkStart w:id="11" w:name="_Toc18607"/>
      <w:bookmarkStart w:id="12" w:name="_Toc27704"/>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highlight w:val="none"/>
          <w:lang w:val="en-US" w:eastAsia="zh-CN"/>
        </w:rPr>
      </w:pPr>
      <w:r>
        <w:rPr>
          <w:rFonts w:hint="eastAsia" w:ascii="宋体" w:hAnsi="宋体" w:eastAsia="宋体" w:cs="宋体"/>
          <w:color w:val="auto"/>
          <w:kern w:val="2"/>
          <w:sz w:val="21"/>
          <w:szCs w:val="24"/>
          <w:highlight w:val="none"/>
          <w:lang w:val="en-US" w:eastAsia="zh-CN" w:bidi="ar-SA"/>
        </w:rPr>
        <w:t>6</w:t>
      </w:r>
      <w:r>
        <w:rPr>
          <w:rFonts w:hint="eastAsia"/>
          <w:color w:val="auto"/>
          <w:highlight w:val="none"/>
          <w:lang w:val="en-US" w:eastAsia="zh-CN"/>
        </w:rPr>
        <w:t>、供应商是生产厂家的须具有《医疗器械生产许可证》；供应商是代理商的须具有《医疗器械经营许可证》或《医疗器械经营备案凭证》。</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7、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30971"/>
      <w:bookmarkStart w:id="14" w:name="_Toc23395"/>
      <w:bookmarkStart w:id="15" w:name="_Toc9562"/>
      <w:bookmarkStart w:id="16" w:name="_Toc7823"/>
      <w:bookmarkStart w:id="17" w:name="_Toc30643"/>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yellow"/>
          <w:shd w:val="clear" w:color="auto" w:fill="FFFFFF"/>
          <w:lang w:val="en-US" w:eastAsia="zh-CN"/>
        </w:rPr>
        <w:t>03</w:t>
      </w:r>
      <w:r>
        <w:rPr>
          <w:rFonts w:hint="eastAsia" w:ascii="宋体" w:hAnsi="宋体" w:eastAsia="宋体" w:cs="宋体"/>
          <w:color w:val="auto"/>
          <w:szCs w:val="21"/>
          <w:highlight w:val="yellow"/>
          <w:shd w:val="clear" w:color="auto" w:fill="FFFFFF"/>
        </w:rPr>
        <w:t>月</w:t>
      </w:r>
      <w:r>
        <w:rPr>
          <w:rFonts w:hint="eastAsia" w:ascii="宋体" w:hAnsi="宋体" w:eastAsia="宋体" w:cs="宋体"/>
          <w:color w:val="auto"/>
          <w:szCs w:val="21"/>
          <w:highlight w:val="yellow"/>
          <w:shd w:val="clear" w:color="auto" w:fill="FFFFFF"/>
          <w:lang w:val="en-US" w:eastAsia="zh-CN"/>
        </w:rPr>
        <w:t xml:space="preserve">   </w:t>
      </w:r>
      <w:r>
        <w:rPr>
          <w:rFonts w:hint="eastAsia" w:ascii="宋体" w:hAnsi="宋体" w:eastAsia="宋体" w:cs="宋体"/>
          <w:color w:val="auto"/>
          <w:szCs w:val="21"/>
          <w:highlight w:val="yellow"/>
          <w:shd w:val="clear" w:color="auto" w:fill="FFFFFF"/>
        </w:rPr>
        <w:t>日</w:t>
      </w:r>
      <w:r>
        <w:rPr>
          <w:rFonts w:hint="eastAsia" w:ascii="宋体" w:hAnsi="宋体" w:eastAsia="宋体" w:cs="宋体"/>
          <w:color w:val="auto"/>
          <w:szCs w:val="21"/>
          <w:highlight w:val="none"/>
          <w:shd w:val="clear" w:color="auto" w:fill="FFFFFF"/>
        </w:rPr>
        <w:t>-202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yellow"/>
          <w:shd w:val="clear" w:color="auto" w:fill="FFFFFF"/>
          <w:lang w:val="en-US" w:eastAsia="zh-CN"/>
        </w:rPr>
        <w:t>03</w:t>
      </w:r>
      <w:r>
        <w:rPr>
          <w:rFonts w:hint="eastAsia" w:ascii="宋体" w:hAnsi="宋体" w:eastAsia="宋体" w:cs="宋体"/>
          <w:color w:val="auto"/>
          <w:szCs w:val="21"/>
          <w:highlight w:val="yellow"/>
          <w:shd w:val="clear" w:color="auto" w:fill="FFFFFF"/>
        </w:rPr>
        <w:t>月</w:t>
      </w:r>
      <w:r>
        <w:rPr>
          <w:rFonts w:hint="eastAsia" w:ascii="宋体" w:hAnsi="宋体" w:eastAsia="宋体" w:cs="宋体"/>
          <w:color w:val="auto"/>
          <w:szCs w:val="21"/>
          <w:highlight w:val="yellow"/>
          <w:shd w:val="clear" w:color="auto" w:fill="FFFFFF"/>
          <w:lang w:val="en-US" w:eastAsia="zh-CN"/>
        </w:rPr>
        <w:t xml:space="preserve">  </w:t>
      </w:r>
      <w:r>
        <w:rPr>
          <w:rFonts w:hint="eastAsia" w:ascii="宋体" w:hAnsi="宋体" w:eastAsia="宋体" w:cs="宋体"/>
          <w:color w:val="auto"/>
          <w:szCs w:val="21"/>
          <w:highlight w:val="yellow"/>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897728619@qq.com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5869"/>
      <w:bookmarkStart w:id="19" w:name="_Toc27480"/>
      <w:bookmarkStart w:id="20" w:name="_Toc10738"/>
      <w:bookmarkStart w:id="21" w:name="_Toc15135"/>
      <w:bookmarkStart w:id="22" w:name="_Toc15111"/>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0287"/>
      <w:bookmarkStart w:id="24" w:name="_Toc6523"/>
      <w:bookmarkStart w:id="25" w:name="_Toc30918"/>
      <w:bookmarkStart w:id="26" w:name="_Toc29784"/>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3604"/>
      <w:bookmarkStart w:id="30" w:name="_Toc24274"/>
      <w:bookmarkStart w:id="31" w:name="_Toc16291"/>
      <w:bookmarkStart w:id="32" w:name="_Toc27370"/>
      <w:bookmarkStart w:id="33" w:name="_Toc31928"/>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报名联系人：魏女士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联系电话：16639616696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bookmarkStart w:id="91" w:name="_GoBack"/>
      <w:bookmarkEnd w:id="91"/>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shd w:val="clear" w:color="auto" w:fill="FFFFFF"/>
          <w:lang w:val="en-US" w:eastAsia="zh-CN" w:bidi="ar-SA"/>
        </w:rPr>
        <w:t>2022年03月</w:t>
      </w:r>
      <w:r>
        <w:rPr>
          <w:rFonts w:hint="eastAsia" w:ascii="宋体" w:hAnsi="宋体" w:eastAsia="宋体" w:cs="宋体"/>
          <w:kern w:val="0"/>
          <w:sz w:val="21"/>
          <w:szCs w:val="21"/>
          <w:highlight w:val="yellow"/>
          <w:shd w:val="clear" w:color="auto" w:fill="FFFFFF"/>
          <w:lang w:val="en-US" w:eastAsia="zh-CN" w:bidi="ar-SA"/>
        </w:rPr>
        <w:t xml:space="preserve">  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31536"/>
      <w:bookmarkStart w:id="38" w:name="_Toc9989"/>
      <w:bookmarkStart w:id="39" w:name="_Toc23610"/>
    </w:p>
    <w:bookmarkEnd w:id="37"/>
    <w:bookmarkEnd w:id="38"/>
    <w:bookmarkEnd w:id="39"/>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项目名称：</w:t>
      </w:r>
      <w:r>
        <w:rPr>
          <w:rFonts w:hint="eastAsia" w:ascii="宋体" w:hAnsi="宋体" w:eastAsia="宋体" w:cs="宋体"/>
          <w:color w:val="auto"/>
          <w:szCs w:val="21"/>
          <w:highlight w:val="none"/>
        </w:rPr>
        <w:t xml:space="preserve"> </w:t>
      </w:r>
      <w:r>
        <w:rPr>
          <w:rFonts w:hint="eastAsia" w:ascii="宋体" w:hAnsi="宋体" w:eastAsia="宋体" w:cs="宋体"/>
          <w:color w:val="auto"/>
          <w:lang w:val="en-US" w:eastAsia="zh-CN"/>
        </w:rPr>
        <w:t>A/B超、</w:t>
      </w:r>
      <w:r>
        <w:rPr>
          <w:rFonts w:hint="eastAsia" w:ascii="宋体" w:hAnsi="宋体" w:eastAsia="宋体" w:cs="宋体"/>
          <w:color w:val="auto"/>
          <w:lang w:eastAsia="zh-CN"/>
        </w:rPr>
        <w:t>脑电图室</w:t>
      </w:r>
      <w:r>
        <w:rPr>
          <w:rFonts w:hint="eastAsia" w:ascii="宋体" w:hAnsi="宋体" w:eastAsia="宋体" w:cs="宋体"/>
          <w:color w:val="auto"/>
          <w:lang w:val="en-US" w:eastAsia="zh-CN"/>
        </w:rPr>
        <w:t>等医疗设备采购项目</w:t>
      </w:r>
      <w:r>
        <w:rPr>
          <w:rFonts w:hint="eastAsia" w:ascii="宋体" w:hAnsi="宋体" w:eastAsia="宋体" w:cs="宋体"/>
          <w:color w:val="auto"/>
          <w:kern w:val="2"/>
          <w:sz w:val="21"/>
          <w:szCs w:val="21"/>
          <w:highlight w:val="none"/>
          <w:lang w:val="en-US" w:eastAsia="zh-CN" w:bidi="ar-SA"/>
        </w:rPr>
        <w:t xml:space="preserve">                                                         </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914"/>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845"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ascii="宋体" w:hAnsi="宋体"/>
                <w:b/>
                <w:bCs/>
                <w:sz w:val="21"/>
                <w:szCs w:val="21"/>
              </w:rPr>
            </w:pPr>
            <w:r>
              <w:rPr>
                <w:rFonts w:hint="eastAsia" w:ascii="宋体" w:hAnsi="宋体"/>
                <w:b/>
                <w:bCs/>
                <w:sz w:val="21"/>
                <w:szCs w:val="21"/>
              </w:rPr>
              <w:t>序号</w:t>
            </w:r>
          </w:p>
        </w:tc>
        <w:tc>
          <w:tcPr>
            <w:tcW w:w="2914" w:type="dxa"/>
            <w:tcBorders>
              <w:top w:val="single" w:color="auto" w:sz="4" w:space="0"/>
              <w:left w:val="nil"/>
              <w:bottom w:val="single" w:color="auto" w:sz="4" w:space="0"/>
              <w:right w:val="single" w:color="auto" w:sz="4" w:space="0"/>
            </w:tcBorders>
            <w:vAlign w:val="center"/>
          </w:tcPr>
          <w:p>
            <w:pPr>
              <w:pStyle w:val="13"/>
              <w:ind w:left="0" w:leftChars="0"/>
              <w:jc w:val="center"/>
              <w:rPr>
                <w:rFonts w:ascii="宋体" w:hAnsi="宋体"/>
                <w:b/>
                <w:bCs/>
                <w:sz w:val="21"/>
                <w:szCs w:val="21"/>
              </w:rPr>
            </w:pPr>
            <w:r>
              <w:rPr>
                <w:rFonts w:hint="eastAsia" w:ascii="宋体" w:hAnsi="宋体"/>
                <w:b/>
                <w:bCs/>
                <w:sz w:val="21"/>
                <w:szCs w:val="21"/>
              </w:rPr>
              <w:t>项目名称</w:t>
            </w:r>
          </w:p>
        </w:tc>
        <w:tc>
          <w:tcPr>
            <w:tcW w:w="1736" w:type="dxa"/>
            <w:tcBorders>
              <w:top w:val="single" w:color="auto" w:sz="4" w:space="0"/>
              <w:left w:val="nil"/>
              <w:bottom w:val="single" w:color="auto" w:sz="4" w:space="0"/>
              <w:right w:val="single" w:color="auto" w:sz="4" w:space="0"/>
            </w:tcBorders>
            <w:vAlign w:val="center"/>
          </w:tcPr>
          <w:p>
            <w:pPr>
              <w:pStyle w:val="13"/>
              <w:ind w:left="0" w:leftChars="0"/>
              <w:jc w:val="center"/>
              <w:rPr>
                <w:rFonts w:ascii="宋体" w:hAnsi="宋体"/>
                <w:b/>
                <w:bCs/>
                <w:sz w:val="21"/>
                <w:szCs w:val="21"/>
              </w:rPr>
            </w:pPr>
            <w:r>
              <w:rPr>
                <w:rFonts w:hint="eastAsia" w:ascii="宋体" w:hAnsi="宋体"/>
                <w:b/>
                <w:bCs/>
                <w:sz w:val="21"/>
                <w:szCs w:val="21"/>
              </w:rPr>
              <w:t>数量或规模</w:t>
            </w:r>
          </w:p>
        </w:tc>
        <w:tc>
          <w:tcPr>
            <w:tcW w:w="1473"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b/>
                <w:bCs/>
                <w:sz w:val="21"/>
                <w:szCs w:val="21"/>
                <w:lang w:eastAsia="zh-CN"/>
              </w:rPr>
            </w:pPr>
            <w:r>
              <w:rPr>
                <w:rFonts w:hint="eastAsia" w:ascii="宋体" w:hAnsi="宋体"/>
                <w:b/>
                <w:bCs/>
                <w:sz w:val="21"/>
                <w:szCs w:val="21"/>
              </w:rPr>
              <w:t>资金预算</w:t>
            </w:r>
            <w:r>
              <w:rPr>
                <w:rFonts w:hint="eastAsia" w:ascii="宋体" w:hAnsi="宋体"/>
                <w:b/>
                <w:bCs/>
                <w:sz w:val="21"/>
                <w:szCs w:val="21"/>
                <w:lang w:eastAsia="zh-CN"/>
              </w:rPr>
              <w:t>（万元）</w:t>
            </w:r>
          </w:p>
        </w:tc>
        <w:tc>
          <w:tcPr>
            <w:tcW w:w="1554" w:type="dxa"/>
            <w:tcBorders>
              <w:top w:val="single" w:color="auto" w:sz="4" w:space="0"/>
              <w:left w:val="nil"/>
              <w:bottom w:val="single" w:color="auto" w:sz="4" w:space="0"/>
              <w:right w:val="single" w:color="auto" w:sz="4" w:space="0"/>
            </w:tcBorders>
            <w:vAlign w:val="center"/>
          </w:tcPr>
          <w:p>
            <w:pPr>
              <w:pStyle w:val="13"/>
              <w:ind w:left="0" w:leftChars="0"/>
              <w:jc w:val="center"/>
              <w:rPr>
                <w:rFonts w:ascii="宋体" w:hAnsi="宋体"/>
                <w:b/>
                <w:bCs/>
                <w:sz w:val="21"/>
                <w:szCs w:val="21"/>
              </w:rPr>
            </w:pPr>
            <w:r>
              <w:rPr>
                <w:rFonts w:hint="eastAsia" w:ascii="宋体" w:hAnsi="宋体"/>
                <w:b/>
                <w:bCs/>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45" w:type="dxa"/>
            <w:tcBorders>
              <w:top w:val="single" w:color="auto" w:sz="4" w:space="0"/>
              <w:left w:val="single" w:color="auto" w:sz="4" w:space="0"/>
              <w:bottom w:val="single" w:color="auto" w:sz="4" w:space="0"/>
              <w:right w:val="single" w:color="auto" w:sz="4" w:space="0"/>
            </w:tcBorders>
            <w:vAlign w:val="center"/>
          </w:tcPr>
          <w:p>
            <w:pPr>
              <w:pStyle w:val="13"/>
              <w:jc w:val="cente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2914" w:type="dxa"/>
            <w:tcBorders>
              <w:top w:val="single" w:color="auto" w:sz="4" w:space="0"/>
              <w:left w:val="nil"/>
              <w:bottom w:val="single" w:color="auto" w:sz="4" w:space="0"/>
              <w:right w:val="single" w:color="auto" w:sz="4" w:space="0"/>
            </w:tcBorders>
            <w:vAlign w:val="center"/>
          </w:tcPr>
          <w:p>
            <w:pPr>
              <w:pStyle w:val="13"/>
              <w:jc w:val="center"/>
              <w:rPr>
                <w:rFonts w:hint="default" w:ascii="宋体" w:hAnsi="宋体" w:eastAsia="宋体"/>
                <w:sz w:val="21"/>
                <w:szCs w:val="21"/>
                <w:lang w:val="en-US" w:eastAsia="zh-CN"/>
              </w:rPr>
            </w:pPr>
            <w:r>
              <w:rPr>
                <w:rFonts w:hint="eastAsia" w:ascii="宋体" w:hAnsi="宋体"/>
                <w:sz w:val="21"/>
                <w:szCs w:val="21"/>
                <w:lang w:val="en-US" w:eastAsia="zh-CN"/>
              </w:rPr>
              <w:t>A/B超</w:t>
            </w:r>
          </w:p>
        </w:tc>
        <w:tc>
          <w:tcPr>
            <w:tcW w:w="1736"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1473" w:type="dxa"/>
            <w:tcBorders>
              <w:top w:val="single" w:color="auto" w:sz="4" w:space="0"/>
              <w:left w:val="nil"/>
              <w:bottom w:val="single" w:color="auto" w:sz="4" w:space="0"/>
              <w:right w:val="single" w:color="auto" w:sz="4" w:space="0"/>
            </w:tcBorders>
            <w:vAlign w:val="center"/>
          </w:tcPr>
          <w:p>
            <w:pPr>
              <w:pStyle w:val="13"/>
              <w:jc w:val="center"/>
              <w:rPr>
                <w:rFonts w:hint="default" w:ascii="宋体" w:hAnsi="宋体" w:eastAsia="宋体"/>
                <w:sz w:val="21"/>
                <w:szCs w:val="21"/>
                <w:lang w:val="en-US" w:eastAsia="zh-CN"/>
              </w:rPr>
            </w:pPr>
            <w:r>
              <w:rPr>
                <w:rFonts w:hint="eastAsia" w:ascii="宋体" w:hAnsi="宋体"/>
                <w:sz w:val="21"/>
                <w:szCs w:val="21"/>
                <w:lang w:val="en-US" w:eastAsia="zh-CN"/>
              </w:rPr>
              <w:t>11</w:t>
            </w:r>
          </w:p>
        </w:tc>
        <w:tc>
          <w:tcPr>
            <w:tcW w:w="1554"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sz w:val="21"/>
                <w:szCs w:val="21"/>
                <w:lang w:eastAsia="zh-CN"/>
              </w:rPr>
            </w:pPr>
            <w:r>
              <w:rPr>
                <w:rFonts w:hint="eastAsia" w:ascii="宋体" w:hAnsi="宋体"/>
                <w:sz w:val="21"/>
                <w:szCs w:val="21"/>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45" w:type="dxa"/>
            <w:tcBorders>
              <w:top w:val="single" w:color="auto" w:sz="4" w:space="0"/>
              <w:left w:val="single" w:color="auto" w:sz="4" w:space="0"/>
              <w:bottom w:val="single" w:color="auto" w:sz="4" w:space="0"/>
              <w:right w:val="single" w:color="auto" w:sz="4" w:space="0"/>
            </w:tcBorders>
            <w:vAlign w:val="center"/>
          </w:tcPr>
          <w:p>
            <w:pPr>
              <w:pStyle w:val="13"/>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2914" w:type="dxa"/>
            <w:tcBorders>
              <w:top w:val="single" w:color="auto" w:sz="4" w:space="0"/>
              <w:left w:val="nil"/>
              <w:bottom w:val="single" w:color="auto" w:sz="4" w:space="0"/>
              <w:right w:val="single" w:color="auto" w:sz="4" w:space="0"/>
            </w:tcBorders>
            <w:vAlign w:val="center"/>
          </w:tcPr>
          <w:p>
            <w:pPr>
              <w:pStyle w:val="13"/>
              <w:ind w:left="420" w:leftChars="200"/>
              <w:jc w:val="center"/>
              <w:rPr>
                <w:rFonts w:ascii="宋体" w:hAnsi="宋体"/>
                <w:sz w:val="21"/>
                <w:szCs w:val="21"/>
              </w:rPr>
            </w:pPr>
            <w:r>
              <w:rPr>
                <w:rFonts w:hint="eastAsia" w:ascii="宋体" w:hAnsi="宋体" w:eastAsia="宋体"/>
                <w:sz w:val="21"/>
                <w:szCs w:val="21"/>
                <w:lang w:eastAsia="zh-CN"/>
              </w:rPr>
              <w:t>视频脑电一拖二分析系统</w:t>
            </w:r>
          </w:p>
        </w:tc>
        <w:tc>
          <w:tcPr>
            <w:tcW w:w="1736" w:type="dxa"/>
            <w:tcBorders>
              <w:top w:val="single" w:color="auto" w:sz="4" w:space="0"/>
              <w:left w:val="nil"/>
              <w:bottom w:val="single" w:color="auto" w:sz="4" w:space="0"/>
              <w:right w:val="single" w:color="auto" w:sz="4" w:space="0"/>
            </w:tcBorders>
            <w:vAlign w:val="center"/>
          </w:tcPr>
          <w:p>
            <w:pPr>
              <w:pStyle w:val="13"/>
              <w:ind w:left="420" w:leftChars="200" w:firstLine="420" w:firstLineChars="200"/>
              <w:jc w:val="both"/>
              <w:rPr>
                <w:rFonts w:hint="eastAsia" w:ascii="宋体" w:hAnsi="宋体" w:eastAsia="宋体"/>
                <w:sz w:val="21"/>
                <w:szCs w:val="21"/>
                <w:lang w:val="en-US" w:eastAsia="zh-CN"/>
              </w:rPr>
            </w:pPr>
            <w:r>
              <w:rPr>
                <w:rFonts w:hint="eastAsia"/>
                <w:sz w:val="21"/>
                <w:szCs w:val="21"/>
                <w:lang w:val="en-US" w:eastAsia="zh-CN"/>
              </w:rPr>
              <w:t>1</w:t>
            </w:r>
          </w:p>
        </w:tc>
        <w:tc>
          <w:tcPr>
            <w:tcW w:w="1473" w:type="dxa"/>
            <w:tcBorders>
              <w:top w:val="single" w:color="auto" w:sz="4" w:space="0"/>
              <w:left w:val="nil"/>
              <w:bottom w:val="single" w:color="auto" w:sz="4" w:space="0"/>
              <w:right w:val="single" w:color="auto" w:sz="4" w:space="0"/>
            </w:tcBorders>
            <w:vAlign w:val="center"/>
          </w:tcPr>
          <w:p>
            <w:pPr>
              <w:pStyle w:val="13"/>
              <w:ind w:left="420" w:leftChars="200" w:firstLine="210" w:firstLineChars="100"/>
              <w:jc w:val="both"/>
              <w:rPr>
                <w:rFonts w:ascii="宋体" w:hAnsi="宋体"/>
                <w:sz w:val="21"/>
                <w:szCs w:val="21"/>
              </w:rPr>
            </w:pPr>
            <w:r>
              <w:rPr>
                <w:rFonts w:hint="eastAsia" w:ascii="宋体" w:hAnsi="宋体"/>
                <w:sz w:val="21"/>
                <w:szCs w:val="21"/>
                <w:lang w:val="en-US" w:eastAsia="zh-CN"/>
              </w:rPr>
              <w:t>38</w:t>
            </w:r>
          </w:p>
        </w:tc>
        <w:tc>
          <w:tcPr>
            <w:tcW w:w="1554"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sz w:val="21"/>
                <w:szCs w:val="21"/>
                <w:lang w:eastAsia="zh-CN"/>
              </w:rPr>
            </w:pPr>
            <w:r>
              <w:rPr>
                <w:rFonts w:hint="eastAsia" w:ascii="宋体" w:hAnsi="宋体"/>
                <w:sz w:val="21"/>
                <w:szCs w:val="21"/>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45"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ascii="宋体" w:hAnsi="宋体"/>
                <w:b/>
                <w:bCs/>
                <w:sz w:val="21"/>
                <w:szCs w:val="21"/>
              </w:rPr>
            </w:pPr>
            <w:r>
              <w:rPr>
                <w:rFonts w:hint="eastAsia" w:ascii="宋体" w:hAnsi="宋体"/>
                <w:b/>
                <w:bCs/>
                <w:sz w:val="21"/>
                <w:szCs w:val="21"/>
              </w:rPr>
              <w:t>合计</w:t>
            </w:r>
          </w:p>
        </w:tc>
        <w:tc>
          <w:tcPr>
            <w:tcW w:w="2914" w:type="dxa"/>
            <w:tcBorders>
              <w:top w:val="single" w:color="auto" w:sz="4" w:space="0"/>
              <w:left w:val="nil"/>
              <w:bottom w:val="single" w:color="auto" w:sz="4" w:space="0"/>
              <w:right w:val="single" w:color="auto" w:sz="4" w:space="0"/>
            </w:tcBorders>
            <w:vAlign w:val="center"/>
          </w:tcPr>
          <w:p>
            <w:pPr>
              <w:pStyle w:val="13"/>
              <w:jc w:val="center"/>
              <w:rPr>
                <w:rFonts w:ascii="宋体" w:hAnsi="宋体"/>
                <w:sz w:val="21"/>
                <w:szCs w:val="21"/>
              </w:rPr>
            </w:pPr>
          </w:p>
        </w:tc>
        <w:tc>
          <w:tcPr>
            <w:tcW w:w="1736"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1473" w:type="dxa"/>
            <w:tcBorders>
              <w:top w:val="single" w:color="auto" w:sz="4" w:space="0"/>
              <w:left w:val="nil"/>
              <w:bottom w:val="single" w:color="auto" w:sz="4" w:space="0"/>
              <w:right w:val="single" w:color="auto" w:sz="4" w:space="0"/>
            </w:tcBorders>
            <w:vAlign w:val="center"/>
          </w:tcPr>
          <w:p>
            <w:pPr>
              <w:pStyle w:val="13"/>
              <w:jc w:val="center"/>
              <w:rPr>
                <w:rFonts w:hint="default" w:ascii="宋体" w:hAnsi="宋体" w:eastAsia="宋体"/>
                <w:sz w:val="21"/>
                <w:szCs w:val="21"/>
                <w:lang w:val="en-US" w:eastAsia="zh-CN"/>
              </w:rPr>
            </w:pPr>
            <w:r>
              <w:rPr>
                <w:rFonts w:hint="eastAsia" w:ascii="宋体" w:hAnsi="宋体"/>
                <w:sz w:val="21"/>
                <w:szCs w:val="21"/>
                <w:lang w:val="en-US" w:eastAsia="zh-CN"/>
              </w:rPr>
              <w:t>49</w:t>
            </w:r>
          </w:p>
        </w:tc>
        <w:tc>
          <w:tcPr>
            <w:tcW w:w="1554" w:type="dxa"/>
            <w:tcBorders>
              <w:top w:val="single" w:color="auto" w:sz="4" w:space="0"/>
              <w:left w:val="nil"/>
              <w:bottom w:val="single" w:color="auto" w:sz="4" w:space="0"/>
              <w:right w:val="single" w:color="auto" w:sz="4" w:space="0"/>
            </w:tcBorders>
            <w:vAlign w:val="center"/>
          </w:tcPr>
          <w:p>
            <w:pPr>
              <w:pStyle w:val="13"/>
              <w:jc w:val="center"/>
              <w:rPr>
                <w:rFonts w:ascii="宋体" w:hAnsi="宋体"/>
                <w:sz w:val="21"/>
                <w:szCs w:val="21"/>
              </w:rPr>
            </w:pPr>
          </w:p>
        </w:tc>
      </w:tr>
    </w:tbl>
    <w:p>
      <w:pPr>
        <w:pStyle w:val="13"/>
        <w:numPr>
          <w:ilvl w:val="0"/>
          <w:numId w:val="0"/>
        </w:numPr>
        <w:spacing w:after="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二、详细技术要求、参数及产品资料等：</w:t>
      </w:r>
    </w:p>
    <w:p>
      <w:pPr>
        <w:pStyle w:val="13"/>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附技术偏离表、评分标准、产品彩页、相关证明文件                                                            </w:t>
      </w:r>
    </w:p>
    <w:p>
      <w:pPr>
        <w:pStyle w:val="13"/>
        <w:numPr>
          <w:ilvl w:val="0"/>
          <w:numId w:val="0"/>
        </w:numPr>
        <w:spacing w:after="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三、售后服务条件及交货日期（或工期）：</w:t>
      </w:r>
    </w:p>
    <w:p>
      <w:pPr>
        <w:widowControl/>
        <w:adjustRightInd w:val="0"/>
        <w:snapToGrid w:val="0"/>
        <w:spacing w:line="360" w:lineRule="auto"/>
        <w:jc w:val="left"/>
        <w:rPr>
          <w:rFonts w:ascii="宋体" w:hAnsi="宋体"/>
          <w:sz w:val="28"/>
          <w:szCs w:val="28"/>
          <w:u w:val="single"/>
        </w:rPr>
      </w:pPr>
      <w:r>
        <w:rPr>
          <w:rFonts w:hint="eastAsia" w:ascii="宋体" w:hAnsi="宋体" w:eastAsia="宋体" w:cs="宋体"/>
          <w:color w:val="auto"/>
          <w:kern w:val="2"/>
          <w:sz w:val="21"/>
          <w:szCs w:val="21"/>
          <w:highlight w:val="none"/>
          <w:lang w:val="en-US" w:eastAsia="zh-CN" w:bidi="ar-SA"/>
        </w:rPr>
        <w:t xml:space="preserve"> 1、从产品最终验收合格之日起，整机保修≥两年，出具相关服务承诺书。2、费用：在保修期内，由于非人为因素货物故障所产生的费用由供应商负责。3、响应：供应商应保证在12小时内对用户提出的问题或故障予以响应及处理。4、供应商应免费提供维护手册、维修手册、软件备份、故障代码表、备件清单、零部件、维修密码等维护维修必需的材料和信息。5、培训：免费提供操作培训和维修培训。6、免费为医院对接院内信息系统。    </w:t>
      </w:r>
      <w:r>
        <w:rPr>
          <w:rFonts w:hint="eastAsia" w:ascii="宋体" w:hAnsi="宋体" w:eastAsia="宋体" w:cs="宋体"/>
          <w:color w:val="auto"/>
          <w:szCs w:val="21"/>
          <w:highlight w:val="none"/>
        </w:rPr>
        <w:t xml:space="preserve"> </w:t>
      </w:r>
    </w:p>
    <w:p/>
    <w:p>
      <w:pPr>
        <w:pStyle w:val="2"/>
        <w:spacing w:before="0" w:after="0" w:line="360" w:lineRule="auto"/>
        <w:ind w:left="-201" w:leftChars="-200" w:right="-313" w:rightChars="-149" w:hanging="219" w:hangingChars="78"/>
        <w:jc w:val="center"/>
        <w:rPr>
          <w:rFonts w:hint="eastAsia" w:ascii="宋体" w:hAnsi="宋体" w:eastAsia="宋体"/>
          <w:sz w:val="28"/>
          <w:szCs w:val="28"/>
        </w:rPr>
      </w:pPr>
      <w:r>
        <w:rPr>
          <w:rFonts w:hint="eastAsia" w:ascii="宋体" w:hAnsi="宋体" w:eastAsia="宋体"/>
          <w:sz w:val="28"/>
          <w:szCs w:val="28"/>
        </w:rPr>
        <w:t>A</w:t>
      </w:r>
      <w:r>
        <w:rPr>
          <w:rFonts w:hint="eastAsia" w:ascii="宋体" w:hAnsi="宋体" w:eastAsia="宋体"/>
          <w:sz w:val="28"/>
          <w:szCs w:val="28"/>
          <w:lang w:val="en-US" w:eastAsia="zh-CN"/>
        </w:rPr>
        <w:t>/</w:t>
      </w:r>
      <w:r>
        <w:rPr>
          <w:rFonts w:hint="eastAsia" w:ascii="宋体" w:hAnsi="宋体" w:eastAsia="宋体"/>
          <w:sz w:val="28"/>
          <w:szCs w:val="28"/>
        </w:rPr>
        <w:t>B超</w:t>
      </w:r>
      <w:r>
        <w:rPr>
          <w:rFonts w:ascii="宋体" w:hAnsi="宋体" w:eastAsia="宋体"/>
          <w:sz w:val="28"/>
          <w:szCs w:val="28"/>
        </w:rPr>
        <w:t>技术参数</w:t>
      </w:r>
    </w:p>
    <w:p>
      <w:pPr>
        <w:widowControl/>
        <w:adjustRightInd w:val="0"/>
        <w:snapToGrid w:val="0"/>
        <w:spacing w:line="36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B 型：</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B型探头扫描角度：≥53°</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※B型探头工作方式 :电机驱动式扇扫探头</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探头频率  ：B型超声探头：10MHz</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※探测深度34mm-60mm</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B超图像轴向分辨力：≤0.4mm</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B超图像纵向分辨力：≤0.2mm</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图像灰阶：≥256级</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显示模式：B，B+A，B+B，A等</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※探头持续扫描10分钟后，会自动冻结，保护探头。</w:t>
      </w:r>
    </w:p>
    <w:p>
      <w:pPr>
        <w:widowControl/>
        <w:adjustRightInd w:val="0"/>
        <w:snapToGrid w:val="0"/>
        <w:spacing w:line="36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A 型：</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※进口A型探头频率：10MHz 固体探头,内置发光管，提供进口报关单</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测量精度：≤±0.06mm</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测量范围：前房深度，晶体厚度，玻璃体长度，自动计算标差、平均值及分析统计等</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冻结方式：自动及手动辨认冻结</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人工晶体计算公式：SRK-Ⅱ，SRK/T，BINKHOST-II，HOLLADAY，HOFFER-Q，HAIGIS等公式</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※五点标注测量：B超模式下，通过五点标注，替代A超的生物测量得出眼轴数值；A超下可通过五点标注测量特殊情况下的准确数值</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※水域测量：可在B+A模式下可以进行水域式测量，能得出准确的眼轴长度。</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※测量模式：正常眼、无晶体眼、致密白内障眼，人工晶体眼, 特殊眼（可测硅油眼，可自行测量声速）</w:t>
      </w:r>
    </w:p>
    <w:p>
      <w:pPr>
        <w:widowControl/>
        <w:adjustRightInd w:val="0"/>
        <w:snapToGrid w:val="0"/>
        <w:spacing w:line="36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※双屏显示：1.主机自带CRT专业显示屏 2.工作站配有液晶显示屏。</w:t>
      </w:r>
    </w:p>
    <w:p>
      <w:pPr>
        <w:widowControl/>
        <w:adjustRightInd w:val="0"/>
        <w:snapToGrid w:val="0"/>
        <w:spacing w:line="36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※AB超主机与工作站为分体式</w:t>
      </w:r>
    </w:p>
    <w:p>
      <w:pPr>
        <w:widowControl/>
        <w:adjustRightInd w:val="0"/>
        <w:snapToGrid w:val="0"/>
        <w:spacing w:line="36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※影像工作站：</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病历库：可存储大量完整的病历资料，病历可刻成光盘便于永久保存。</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图象处理：图象可单幅、动态存储及回放，可彩色变换、放大及全屏幕文字标注功能。</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图像测量：可任意测量长度、面积、周长及角度。</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视频脑电一拖二分析系统技术要求</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1、计算机（工作站）部分：</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1.1商用台式电脑≥3台， ≥i5 /8.0G /1T硬盘 ，≥19"液晶显示器。  </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1.2连续供墨彩色喷墨打印机≥3台。</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2、软件功能：≥3套</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*2.1多任务操作系统平台。</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2.2双重自适应定标系统。</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2.3导联方式自由编辑设定。</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2.4可调数字滤波器 ，滤波参数任意设定。</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2.5实时病例回顾功能。</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2.6压缩谱阵图分析。</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2.7具有国人正常人参照值。</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*2.8显著概率地形图。</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*2.9各频段间的比值分布分析。</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2.10俯视脑电位分布图、动态脑电位分布图。</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2.11棘波脑电地形图和棘波提示功能。</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2.12三维加权趋势分析，长数据主要特征直观显示 </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2.13功率谱分析：自动提取并显示功率谱曲线任意频率处的功率谱强度和峰值参数。</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2.14事件标记功能。</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2.15电子标尺波形测量，测量结果实时显示。</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2.16灵活的报告编辑功能，可打印连续脑电曲线。</w:t>
      </w:r>
    </w:p>
    <w:p>
      <w:pPr>
        <w:widowControl/>
        <w:adjustRightInd w:val="0"/>
        <w:snapToGrid w:val="0"/>
        <w:spacing w:line="36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3、放大器：≥2套</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 每通道独立放大器设计： ≥32通道放大器,脑电≥16导、中线电极≥4导、蝶骨电极≥2导、生理通道≥8导（可设置为肌电、眼电、心电、呼吸等）。</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*3.2闪光刺激器诱发装置（注册证载明）：通过软件可设置1Hz～30Hz闪光频率，可设置步长。闪光刺激器控制方式：手动和自动。</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 数据网络化传输，支持远程监测和组网监测 。</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3.4电压测量：误差不超过±10%</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3.5时间间隔：误差不超过±5%</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3.6时间常数：0.03～0.1s误差不超过±40%；大于0.1s误差不超过±20%</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3.7功率谱频率：误差不超过±5%</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3.8功率谱幅度：偏差不超过±10%</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*3.9幅频特性：0.5Hz～85Hz，偏差+5%～-30%。</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*3.10噪声电平：不大于2.0μV（峰-峰值）；或不大于0.3μVrms(均方根值）。</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3.11共模抑制比：不小于110dB。</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3.12耐极化电压：加±300mV 的直流极化电压，偏差不超过±5%。</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3.13输入阻抗：≥50MΩ。</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*3.14 AD采集速率：24位高速AD转换器（注册证载明）</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3.15内定标电压测量：50μV时 误差不超过±5%</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3.16 电极阻抗测试功能</w:t>
      </w:r>
    </w:p>
    <w:p>
      <w:pPr>
        <w:widowControl/>
        <w:adjustRightInd w:val="0"/>
        <w:snapToGrid w:val="0"/>
        <w:spacing w:line="36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4、视频组件：≥2套</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*4.1高清数字网络视频摄像系统。</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4.2脑电检测转接器。</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4.3脑电曲线与视频图像完全同步记录、同步储存、同步回放。</w:t>
      </w:r>
    </w:p>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*4.4具有图像局部放大，即黄金眼功能。</w:t>
      </w:r>
    </w:p>
    <w:p>
      <w:pPr>
        <w:pStyle w:val="13"/>
        <w:numPr>
          <w:ilvl w:val="0"/>
          <w:numId w:val="0"/>
        </w:numPr>
        <w:spacing w:after="0"/>
        <w:ind w:left="36" w:leftChars="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br w:type="page"/>
      </w:r>
    </w:p>
    <w:bookmarkEnd w:id="35"/>
    <w:bookmarkEnd w:id="36"/>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29"/>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40" w:name="_Toc14504"/>
      <w:r>
        <w:rPr>
          <w:rFonts w:hint="eastAsia"/>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color w:val="auto"/>
              </w:rPr>
            </w:pPr>
            <w:r>
              <w:rPr>
                <w:rFonts w:hint="eastAsia"/>
                <w:color w:val="auto"/>
                <w:highlight w:val="none"/>
              </w:rPr>
              <w:t>1.1 项目名称：</w:t>
            </w:r>
            <w:r>
              <w:rPr>
                <w:rFonts w:hint="eastAsia" w:ascii="宋体" w:hAnsi="宋体" w:eastAsia="宋体" w:cs="宋体"/>
                <w:color w:val="auto"/>
              </w:rPr>
              <w:t xml:space="preserve">驻马店市中心医院 </w:t>
            </w:r>
            <w:r>
              <w:rPr>
                <w:rFonts w:hint="eastAsia" w:ascii="宋体" w:hAnsi="宋体" w:eastAsia="宋体" w:cs="宋体"/>
                <w:color w:val="auto"/>
                <w:lang w:val="en-US" w:eastAsia="zh-CN"/>
              </w:rPr>
              <w:t>A/B超、</w:t>
            </w:r>
            <w:r>
              <w:rPr>
                <w:rFonts w:hint="eastAsia" w:ascii="宋体" w:hAnsi="宋体" w:eastAsia="宋体" w:cs="宋体"/>
                <w:color w:val="auto"/>
                <w:lang w:eastAsia="zh-CN"/>
              </w:rPr>
              <w:t>脑电图室</w:t>
            </w:r>
            <w:r>
              <w:rPr>
                <w:rFonts w:hint="eastAsia" w:ascii="宋体" w:hAnsi="宋体" w:eastAsia="宋体" w:cs="宋体"/>
                <w:color w:val="auto"/>
                <w:lang w:val="en-US" w:eastAsia="zh-CN"/>
              </w:rPr>
              <w:t>等医疗设备采购</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490000.00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490000.00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yellow"/>
        </w:rPr>
      </w:pPr>
      <w:r>
        <w:rPr>
          <w:rFonts w:hint="eastAsia" w:ascii="宋体" w:hAnsi="宋体" w:cs="宋体"/>
          <w:color w:val="auto"/>
          <w:szCs w:val="21"/>
          <w:highlight w:val="none"/>
        </w:rPr>
        <w:t xml:space="preserve">4.5 </w:t>
      </w:r>
      <w:r>
        <w:rPr>
          <w:rFonts w:hint="eastAsia"/>
          <w:color w:val="auto"/>
          <w:highlight w:val="none"/>
          <w:lang w:val="en-US" w:eastAsia="zh-CN"/>
        </w:rPr>
        <w:t>供应商是生产厂家的须具有《医疗器械生产许可证》；供应商是代理商的须具有《医疗器械经营许可证》或《医疗器械经营备案凭证》</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 xml:space="preserve">4.6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30"/>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49"/>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482"/>
      <w:bookmarkStart w:id="47" w:name="_Toc1947"/>
      <w:bookmarkStart w:id="48" w:name="_Toc326786897"/>
      <w:bookmarkStart w:id="49" w:name="_Toc256519703"/>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9"/>
        <w:rPr>
          <w:rFonts w:hAnsi="宋体"/>
          <w:b/>
          <w:bCs/>
          <w:color w:val="auto"/>
          <w:highlight w:val="none"/>
        </w:rPr>
      </w:pPr>
    </w:p>
    <w:p>
      <w:pPr>
        <w:pStyle w:val="49"/>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9"/>
        <w:spacing w:line="360" w:lineRule="auto"/>
        <w:rPr>
          <w:rFonts w:hint="eastAsia" w:ascii="宋体" w:hAnsi="宋体" w:eastAsia="宋体" w:cs="宋体"/>
          <w:color w:val="auto"/>
          <w:highlight w:val="none"/>
        </w:rPr>
      </w:pPr>
    </w:p>
    <w:p>
      <w:pPr>
        <w:pStyle w:val="49"/>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9950"/>
      <w:bookmarkStart w:id="73" w:name="_Toc133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2"/>
        <w:spacing w:before="20" w:after="20"/>
        <w:rPr>
          <w:color w:val="auto"/>
          <w:highlight w:val="none"/>
        </w:rPr>
      </w:pPr>
      <w:bookmarkStart w:id="74" w:name="_Toc22004"/>
      <w:bookmarkStart w:id="75" w:name="_Toc2498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2"/>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color w:val="auto"/>
          <w:highlight w:val="none"/>
        </w:rPr>
      </w:pPr>
      <w:r>
        <w:rPr>
          <w:rFonts w:hint="eastAsia"/>
          <w:color w:val="auto"/>
          <w:highlight w:val="none"/>
        </w:rPr>
        <w:br w:type="page"/>
      </w:r>
      <w:bookmarkStart w:id="76" w:name="_Toc226"/>
      <w:bookmarkStart w:id="77" w:name="_Toc15804"/>
      <w:r>
        <w:rPr>
          <w:rFonts w:hint="eastAsia"/>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3"/>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1"/>
        <w:rPr>
          <w:bCs/>
          <w:color w:val="auto"/>
          <w:kern w:val="0"/>
          <w:highlight w:val="none"/>
        </w:rPr>
      </w:pPr>
    </w:p>
    <w:p>
      <w:pPr>
        <w:pStyle w:val="51"/>
        <w:rPr>
          <w:bCs/>
          <w:color w:val="auto"/>
          <w:kern w:val="0"/>
          <w:highlight w:val="none"/>
        </w:rPr>
      </w:pPr>
    </w:p>
    <w:p>
      <w:pPr>
        <w:pStyle w:val="51"/>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ascii="Arial" w:hAnsi="Arial" w:eastAsia="新宋体"/>
          <w:b/>
          <w:color w:val="auto"/>
          <w:sz w:val="28"/>
          <w:highlight w:val="none"/>
        </w:rPr>
      </w:pPr>
      <w:bookmarkStart w:id="78" w:name="_Toc29960"/>
      <w:bookmarkStart w:id="79" w:name="_Toc20420"/>
      <w:r>
        <w:rPr>
          <w:rFonts w:hint="eastAsia" w:ascii="Arial" w:hAnsi="Arial" w:eastAsia="新宋体"/>
          <w:b/>
          <w:color w:val="auto"/>
          <w:sz w:val="28"/>
          <w:highlight w:val="none"/>
        </w:rPr>
        <w:t>附件6               商务响应表（格式）</w:t>
      </w:r>
      <w:bookmarkEnd w:id="78"/>
      <w:bookmarkEnd w:id="79"/>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项目</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lang w:val="en-US" w:eastAsia="zh-CN"/>
              </w:rPr>
              <w:t>采购</w:t>
            </w:r>
            <w:r>
              <w:rPr>
                <w:rFonts w:hint="eastAsia"/>
                <w:color w:val="auto"/>
                <w:sz w:val="24"/>
                <w:highlight w:val="none"/>
              </w:rPr>
              <w:t>文件要求</w:t>
            </w: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响应情况</w:t>
            </w: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质保期</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质量要求</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rFonts w:hint="default" w:eastAsia="宋体"/>
                <w:color w:val="auto"/>
                <w:sz w:val="24"/>
                <w:highlight w:val="none"/>
                <w:lang w:val="en-US" w:eastAsia="zh-CN"/>
              </w:rPr>
            </w:pPr>
            <w:r>
              <w:rPr>
                <w:rFonts w:hint="eastAsia"/>
                <w:color w:val="auto"/>
                <w:sz w:val="24"/>
                <w:highlight w:val="none"/>
                <w:lang w:val="en-US" w:eastAsia="zh-CN"/>
              </w:rPr>
              <w:t>交货地点</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合同签订</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付款方式</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bl>
    <w:p>
      <w:pPr>
        <w:widowControl/>
        <w:wordWrap w:val="0"/>
        <w:snapToGrid w:val="0"/>
        <w:spacing w:before="50" w:line="480" w:lineRule="auto"/>
        <w:jc w:val="left"/>
        <w:rPr>
          <w:rFonts w:ascii="仿宋_GB2312" w:cs="宋体"/>
          <w:color w:val="auto"/>
          <w:kern w:val="0"/>
          <w:sz w:val="24"/>
          <w:highlight w:val="none"/>
        </w:rPr>
      </w:pPr>
    </w:p>
    <w:p>
      <w:pPr>
        <w:widowControl/>
        <w:wordWrap w:val="0"/>
        <w:spacing w:line="460" w:lineRule="exact"/>
        <w:ind w:firstLine="2400" w:firstLineChars="10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pacing w:line="460" w:lineRule="exact"/>
        <w:ind w:firstLine="2280" w:firstLineChars="9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 投标人：（全称并加盖公章）</w:t>
      </w:r>
    </w:p>
    <w:p>
      <w:pPr>
        <w:widowControl/>
        <w:wordWrap w:val="0"/>
        <w:snapToGrid w:val="0"/>
        <w:spacing w:before="156" w:after="156"/>
        <w:ind w:firstLine="42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29"/>
      </w:pPr>
    </w:p>
    <w:p>
      <w:pPr>
        <w:widowControl/>
        <w:wordWrap w:val="0"/>
        <w:spacing w:line="460" w:lineRule="exact"/>
        <w:jc w:val="left"/>
        <w:outlineLvl w:val="0"/>
        <w:rPr>
          <w:rFonts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89" w:name="_Toc25094"/>
      <w:bookmarkStart w:id="90" w:name="_Toc233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宋体" w:hAnsi="宋体" w:eastAsia="宋体" w:cs="宋体"/>
        <w:color w:val="auto"/>
      </w:rPr>
      <w:t xml:space="preserve">驻马店市中心医院 </w:t>
    </w:r>
    <w:r>
      <w:rPr>
        <w:rFonts w:hint="eastAsia" w:ascii="宋体" w:hAnsi="宋体" w:eastAsia="宋体" w:cs="宋体"/>
        <w:color w:val="auto"/>
        <w:lang w:val="en-US" w:eastAsia="zh-CN"/>
      </w:rPr>
      <w:t>A/B超、</w:t>
    </w:r>
    <w:r>
      <w:rPr>
        <w:rFonts w:hint="eastAsia" w:ascii="宋体" w:hAnsi="宋体" w:eastAsia="宋体" w:cs="宋体"/>
        <w:color w:val="auto"/>
        <w:lang w:eastAsia="zh-CN"/>
      </w:rPr>
      <w:t>脑电图室</w:t>
    </w:r>
    <w:r>
      <w:rPr>
        <w:rFonts w:hint="eastAsia" w:ascii="宋体" w:hAnsi="宋体" w:eastAsia="宋体" w:cs="宋体"/>
        <w:color w:val="auto"/>
        <w:lang w:val="en-US" w:eastAsia="zh-CN"/>
      </w:rPr>
      <w:t>等医疗设备采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eastAsia="宋体"/>
        <w:lang w:val="en-US" w:eastAsia="zh-CN"/>
      </w:rPr>
    </w:pPr>
    <w:r>
      <w:rPr>
        <w:rFonts w:hint="eastAsia"/>
      </w:rPr>
      <w:t xml:space="preserve">                            </w:t>
    </w:r>
    <w:r>
      <w:rPr>
        <w:rFonts w:hint="eastAsia" w:ascii="宋体" w:hAnsi="宋体" w:eastAsia="宋体" w:cs="宋体"/>
        <w:color w:val="auto"/>
      </w:rPr>
      <w:t xml:space="preserve">驻马店市中心医院 </w:t>
    </w:r>
    <w:r>
      <w:rPr>
        <w:rFonts w:hint="eastAsia" w:ascii="宋体" w:hAnsi="宋体" w:eastAsia="宋体" w:cs="宋体"/>
        <w:color w:val="auto"/>
        <w:lang w:val="en-US" w:eastAsia="zh-CN"/>
      </w:rPr>
      <w:t>A/B超、</w:t>
    </w:r>
    <w:r>
      <w:rPr>
        <w:rFonts w:hint="eastAsia" w:ascii="宋体" w:hAnsi="宋体" w:eastAsia="宋体" w:cs="宋体"/>
        <w:color w:val="auto"/>
        <w:lang w:eastAsia="zh-CN"/>
      </w:rPr>
      <w:t>脑电图室</w:t>
    </w:r>
    <w:r>
      <w:rPr>
        <w:rFonts w:hint="eastAsia" w:ascii="宋体" w:hAnsi="宋体" w:eastAsia="宋体" w:cs="宋体"/>
        <w:color w:val="auto"/>
        <w:lang w:val="en-US" w:eastAsia="zh-CN"/>
      </w:rPr>
      <w:t>等医疗设备采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070D64"/>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D01612"/>
    <w:rsid w:val="08EF0201"/>
    <w:rsid w:val="08F41DE8"/>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1DE0FD1"/>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D06E0"/>
    <w:rsid w:val="17332185"/>
    <w:rsid w:val="17475951"/>
    <w:rsid w:val="179F2E61"/>
    <w:rsid w:val="17C227C0"/>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7971B7"/>
    <w:rsid w:val="1CD402EC"/>
    <w:rsid w:val="1CF02333"/>
    <w:rsid w:val="1D0C33A2"/>
    <w:rsid w:val="1D113E6E"/>
    <w:rsid w:val="1D114E5E"/>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0B9460A"/>
    <w:rsid w:val="210F579E"/>
    <w:rsid w:val="212550B5"/>
    <w:rsid w:val="21592B62"/>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6016AA"/>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0B7C95"/>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2A5C42"/>
    <w:rsid w:val="30BF439A"/>
    <w:rsid w:val="30CB1B61"/>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5E56C6"/>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C5ED6"/>
    <w:rsid w:val="39EB39E0"/>
    <w:rsid w:val="39EF02D4"/>
    <w:rsid w:val="3A11342A"/>
    <w:rsid w:val="3A153110"/>
    <w:rsid w:val="3A2507C0"/>
    <w:rsid w:val="3A297E52"/>
    <w:rsid w:val="3A393FA7"/>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A72347"/>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AC5DBA"/>
    <w:rsid w:val="45C647AF"/>
    <w:rsid w:val="45DD529D"/>
    <w:rsid w:val="45E57886"/>
    <w:rsid w:val="46003076"/>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A05334F"/>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CF632F0"/>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7A4EE2"/>
    <w:rsid w:val="5CBB7F6F"/>
    <w:rsid w:val="5D7C3F11"/>
    <w:rsid w:val="5D9D49E0"/>
    <w:rsid w:val="5DDF1821"/>
    <w:rsid w:val="5DEA2F91"/>
    <w:rsid w:val="5E3146A3"/>
    <w:rsid w:val="5E442F62"/>
    <w:rsid w:val="5E6C2C5B"/>
    <w:rsid w:val="5E7251A2"/>
    <w:rsid w:val="5E7C3591"/>
    <w:rsid w:val="5E9D0E18"/>
    <w:rsid w:val="5EA2144B"/>
    <w:rsid w:val="5EA341D7"/>
    <w:rsid w:val="5EA755DE"/>
    <w:rsid w:val="5ED35F0E"/>
    <w:rsid w:val="5EFC1390"/>
    <w:rsid w:val="5EFC3EB6"/>
    <w:rsid w:val="5F03335D"/>
    <w:rsid w:val="5F0368C7"/>
    <w:rsid w:val="5F1544E7"/>
    <w:rsid w:val="5F3C4923"/>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21775E2"/>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4DB63AB"/>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101CA"/>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4C1A6A"/>
    <w:rsid w:val="735C5949"/>
    <w:rsid w:val="73737DA5"/>
    <w:rsid w:val="73887B3E"/>
    <w:rsid w:val="73892412"/>
    <w:rsid w:val="73E96BCA"/>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1"/>
    <w:qFormat/>
    <w:uiPriority w:val="0"/>
    <w:pPr>
      <w:spacing w:line="360" w:lineRule="auto"/>
      <w:ind w:firstLine="420" w:firstLineChars="100"/>
    </w:pPr>
    <w:rPr>
      <w:szCs w:val="21"/>
    </w:rPr>
  </w:style>
  <w:style w:type="paragraph" w:styleId="30">
    <w:name w:val="Body Text First Indent 2"/>
    <w:basedOn w:val="13"/>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No Spacing1"/>
    <w:basedOn w:val="1"/>
    <w:qFormat/>
    <w:uiPriority w:val="0"/>
    <w:pPr>
      <w:spacing w:line="400" w:lineRule="exact"/>
    </w:pPr>
    <w:rPr>
      <w:sz w:val="24"/>
    </w:rPr>
  </w:style>
  <w:style w:type="paragraph" w:customStyle="1" w:styleId="49">
    <w:name w:val="Default"/>
    <w:next w:val="50"/>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30"/>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1"/>
    <w:qFormat/>
    <w:uiPriority w:val="0"/>
  </w:style>
  <w:style w:type="character" w:customStyle="1" w:styleId="73">
    <w:name w:val="apple-converted-space"/>
    <w:basedOn w:val="34"/>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28470</Words>
  <Characters>6031</Characters>
  <Lines>50</Lines>
  <Paragraphs>68</Paragraphs>
  <TotalTime>1</TotalTime>
  <ScaleCrop>false</ScaleCrop>
  <LinksUpToDate>false</LinksUpToDate>
  <CharactersWithSpaces>34433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小文</cp:lastModifiedBy>
  <cp:lastPrinted>2021-09-30T00:46:00Z</cp:lastPrinted>
  <dcterms:modified xsi:type="dcterms:W3CDTF">2022-03-17T03:59:10Z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562A285641654D2EA086C4325B3B203C</vt:lpwstr>
  </property>
</Properties>
</file>