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驻马店市中心医院消防器材采购供应</w:t>
      </w:r>
      <w:r>
        <w:rPr>
          <w:rFonts w:hint="eastAsia" w:ascii="宋体" w:hAnsi="宋体" w:eastAsia="宋体" w:cs="宋体"/>
          <w:b/>
          <w:bCs/>
          <w:sz w:val="48"/>
          <w:szCs w:val="48"/>
        </w:rPr>
        <w:t>项目</w:t>
      </w:r>
      <w:r>
        <w:rPr>
          <w:rFonts w:hint="eastAsia" w:cs="宋体"/>
          <w:b/>
          <w:bCs/>
          <w:sz w:val="48"/>
          <w:szCs w:val="48"/>
          <w:lang w:eastAsia="zh-CN"/>
        </w:rPr>
        <w:t>（</w:t>
      </w:r>
      <w:r>
        <w:rPr>
          <w:rFonts w:hint="eastAsia" w:cs="宋体"/>
          <w:b/>
          <w:bCs/>
          <w:sz w:val="48"/>
          <w:szCs w:val="48"/>
          <w:lang w:val="en-US" w:eastAsia="zh-CN"/>
        </w:rPr>
        <w:t>二次）</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驻马店市中心医院消防器材采购供应</w:t>
      </w:r>
      <w:r>
        <w:rPr>
          <w:rFonts w:hint="eastAsia" w:ascii="黑体" w:hAnsi="黑体" w:eastAsia="黑体" w:cs="宋体"/>
          <w:bCs/>
          <w:color w:val="auto"/>
          <w:kern w:val="0"/>
          <w:sz w:val="28"/>
          <w:szCs w:val="28"/>
          <w:u w:val="none"/>
          <w:lang w:val="en-US" w:eastAsia="zh-CN"/>
        </w:rPr>
        <w:t>项目（二次）</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消防器材采购供应</w:t>
      </w:r>
      <w:r>
        <w:rPr>
          <w:rFonts w:hint="eastAsia" w:ascii="宋体" w:hAnsi="宋体" w:eastAsia="宋体" w:cs="宋体"/>
          <w:i w:val="0"/>
          <w:iCs w:val="0"/>
          <w:color w:val="auto"/>
          <w:u w:val="single"/>
          <w:lang w:val="en-US" w:eastAsia="zh-CN"/>
        </w:rPr>
        <w:t>项目</w:t>
      </w:r>
      <w:r>
        <w:rPr>
          <w:rFonts w:hint="eastAsia" w:ascii="宋体" w:hAnsi="宋体" w:eastAsia="宋体" w:cs="宋体"/>
          <w:i w:val="0"/>
          <w:iCs w:val="0"/>
          <w:color w:val="auto"/>
          <w:u w:val="none"/>
          <w:lang w:val="en-US" w:eastAsia="zh-CN"/>
        </w:rPr>
        <w:t>（二次）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驻马店市中心医院消防器材采购供应</w:t>
      </w:r>
      <w:r>
        <w:rPr>
          <w:rFonts w:hint="eastAsia" w:ascii="宋体" w:hAnsi="宋体" w:eastAsia="宋体" w:cs="宋体"/>
          <w:color w:val="auto"/>
          <w:szCs w:val="21"/>
          <w:highlight w:val="none"/>
          <w:u w:val="none"/>
          <w:shd w:val="clear" w:color="auto" w:fill="FFFFFF"/>
        </w:rPr>
        <w:t>项目</w:t>
      </w:r>
      <w:r>
        <w:rPr>
          <w:rFonts w:hint="eastAsia" w:ascii="宋体" w:hAnsi="宋体" w:eastAsia="宋体" w:cs="宋体"/>
          <w:color w:val="auto"/>
          <w:szCs w:val="21"/>
          <w:highlight w:val="none"/>
          <w:u w:val="none"/>
          <w:shd w:val="clear" w:color="auto" w:fill="FFFFFF"/>
          <w:lang w:eastAsia="zh-CN"/>
        </w:rPr>
        <w:t>（</w:t>
      </w:r>
      <w:r>
        <w:rPr>
          <w:rFonts w:hint="eastAsia" w:ascii="宋体" w:hAnsi="宋体" w:eastAsia="宋体" w:cs="宋体"/>
          <w:color w:val="auto"/>
          <w:szCs w:val="21"/>
          <w:highlight w:val="none"/>
          <w:u w:val="none"/>
          <w:shd w:val="clear" w:color="auto" w:fill="FFFFFF"/>
          <w:lang w:val="en-US" w:eastAsia="zh-CN"/>
        </w:rPr>
        <w:t>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100000.00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1071"/>
      <w:bookmarkStart w:id="6" w:name="_Toc27913"/>
      <w:bookmarkStart w:id="7" w:name="_Toc26079"/>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8607"/>
      <w:bookmarkStart w:id="11" w:name="_Toc23626"/>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2</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5、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7823"/>
      <w:bookmarkStart w:id="14" w:name="_Toc23395"/>
      <w:bookmarkStart w:id="15" w:name="_Toc30971"/>
      <w:bookmarkStart w:id="16" w:name="_Toc30643"/>
      <w:bookmarkStart w:id="17" w:name="_Toc9562"/>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25869"/>
      <w:bookmarkStart w:id="20" w:name="_Toc15135"/>
      <w:bookmarkStart w:id="21" w:name="_Toc10738"/>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6523"/>
      <w:bookmarkStart w:id="24" w:name="_Toc20287"/>
      <w:bookmarkStart w:id="25" w:name="_Toc30918"/>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27370"/>
      <w:bookmarkStart w:id="31" w:name="_Toc24274"/>
      <w:bookmarkStart w:id="32" w:name="_Toc3604"/>
      <w:bookmarkStart w:id="33" w:name="_Toc16291"/>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23</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一、项目名称、数量：消防器材采购供应、灭火器1400具 换药、置换</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二、项目用途说明：保障医院消防器材处于良好状态      </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三</w:t>
      </w:r>
      <w:r>
        <w:rPr>
          <w:rFonts w:hint="eastAsia" w:ascii="宋体" w:hAnsi="宋体" w:eastAsia="宋体" w:cs="宋体"/>
          <w:color w:val="auto"/>
          <w:kern w:val="0"/>
          <w:sz w:val="21"/>
          <w:szCs w:val="21"/>
          <w:shd w:val="clear" w:color="auto" w:fill="FFFFFF"/>
          <w:lang w:val="en-US" w:eastAsia="zh-CN" w:bidi="ar-SA"/>
        </w:rPr>
        <w:t>、详细技术要求、参数及产品资料等：</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GB4351.1 2005《手提式灭火器》</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GA6246-2001《有衬里消防水带性能要求和实验方法》                                                        </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GA54-93《应急照明灯通用技术条件》未列入相关技术标准按照最新国家/行业标准执行                                                           </w:t>
      </w:r>
    </w:p>
    <w:p>
      <w:pPr>
        <w:widowControl/>
        <w:snapToGrid w:val="0"/>
        <w:spacing w:before="0" w:beforeAutospacing="0" w:after="0" w:afterAutospacing="0" w:line="360" w:lineRule="auto"/>
        <w:ind w:left="0" w:leftChars="0" w:firstLine="0" w:firstLineChars="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四</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采购内容</w:t>
      </w:r>
    </w:p>
    <w:tbl>
      <w:tblPr>
        <w:tblStyle w:val="32"/>
        <w:tblW w:w="852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08"/>
        <w:gridCol w:w="224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序号</w:t>
            </w:r>
          </w:p>
        </w:tc>
        <w:tc>
          <w:tcPr>
            <w:tcW w:w="2208"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项目名称</w:t>
            </w:r>
          </w:p>
        </w:tc>
        <w:tc>
          <w:tcPr>
            <w:tcW w:w="2246"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1</w:t>
            </w:r>
          </w:p>
        </w:tc>
        <w:tc>
          <w:tcPr>
            <w:tcW w:w="2208"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消防器材采购供应</w:t>
            </w:r>
          </w:p>
        </w:tc>
        <w:tc>
          <w:tcPr>
            <w:tcW w:w="2246"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全院消防器材购买、灭火器换药或置换</w:t>
            </w:r>
          </w:p>
        </w:tc>
        <w:tc>
          <w:tcPr>
            <w:tcW w:w="1473"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10万元</w:t>
            </w:r>
          </w:p>
        </w:tc>
        <w:tc>
          <w:tcPr>
            <w:tcW w:w="1554"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1" w:type="dxa"/>
            <w:tcBorders>
              <w:top w:val="single" w:color="auto" w:sz="4" w:space="0"/>
              <w:left w:val="single" w:color="auto" w:sz="4" w:space="0"/>
              <w:bottom w:val="single" w:color="auto" w:sz="4" w:space="0"/>
              <w:right w:val="single" w:color="auto" w:sz="4" w:space="0"/>
            </w:tcBorders>
          </w:tcPr>
          <w:p>
            <w:pPr>
              <w:pStyle w:val="14"/>
              <w:rPr>
                <w:rFonts w:ascii="宋体" w:hAnsi="宋体"/>
                <w:sz w:val="21"/>
                <w:szCs w:val="21"/>
              </w:rPr>
            </w:pPr>
          </w:p>
        </w:tc>
        <w:tc>
          <w:tcPr>
            <w:tcW w:w="2208"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2246"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1473"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1554"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tcPr>
          <w:p>
            <w:pPr>
              <w:pStyle w:val="14"/>
              <w:ind w:left="0" w:leftChars="0"/>
              <w:rPr>
                <w:rFonts w:ascii="宋体" w:hAnsi="宋体"/>
                <w:b/>
                <w:bCs/>
                <w:sz w:val="21"/>
                <w:szCs w:val="21"/>
              </w:rPr>
            </w:pPr>
            <w:r>
              <w:rPr>
                <w:rFonts w:hint="eastAsia" w:ascii="宋体" w:hAnsi="宋体"/>
                <w:b/>
                <w:bCs/>
                <w:sz w:val="21"/>
                <w:szCs w:val="21"/>
              </w:rPr>
              <w:t>合计</w:t>
            </w:r>
          </w:p>
        </w:tc>
        <w:tc>
          <w:tcPr>
            <w:tcW w:w="2208"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2246"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1473"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1554" w:type="dxa"/>
            <w:tcBorders>
              <w:top w:val="single" w:color="auto" w:sz="4" w:space="0"/>
              <w:left w:val="nil"/>
              <w:bottom w:val="single" w:color="auto" w:sz="4" w:space="0"/>
              <w:right w:val="single" w:color="auto" w:sz="4" w:space="0"/>
            </w:tcBorders>
          </w:tcPr>
          <w:p>
            <w:pPr>
              <w:pStyle w:val="14"/>
              <w:ind w:left="0" w:left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5"/>
            <w:tcBorders>
              <w:top w:val="single" w:color="auto" w:sz="4" w:space="0"/>
              <w:left w:val="single" w:color="auto" w:sz="4" w:space="0"/>
              <w:bottom w:val="single" w:color="auto" w:sz="4" w:space="0"/>
              <w:right w:val="single" w:color="auto" w:sz="4" w:space="0"/>
            </w:tcBorders>
          </w:tcPr>
          <w:p>
            <w:pPr>
              <w:pStyle w:val="14"/>
              <w:ind w:left="0" w:leftChars="0"/>
              <w:rPr>
                <w:rFonts w:ascii="宋体" w:hAnsi="宋体"/>
                <w:sz w:val="21"/>
                <w:szCs w:val="21"/>
              </w:rPr>
            </w:pPr>
            <w:r>
              <w:rPr>
                <w:rFonts w:hint="eastAsia" w:ascii="宋体" w:hAnsi="宋体"/>
                <w:sz w:val="21"/>
                <w:szCs w:val="21"/>
              </w:rPr>
              <w:t>备注：招一年供应商</w:t>
            </w:r>
          </w:p>
        </w:tc>
      </w:tr>
    </w:tbl>
    <w:p>
      <w:pPr>
        <w:keepNext w:val="0"/>
        <w:keepLines w:val="0"/>
        <w:pageBreakBefore w:val="0"/>
        <w:widowControl/>
        <w:kinsoku/>
        <w:wordWrap/>
        <w:overflowPunct/>
        <w:topLinePunct w:val="0"/>
        <w:autoSpaceDE/>
        <w:autoSpaceDN/>
        <w:bidi w:val="0"/>
        <w:adjustRightInd/>
        <w:snapToGrid w:val="0"/>
        <w:spacing w:before="161" w:beforeLines="50" w:beforeAutospacing="0" w:after="161" w:afterLines="50" w:afterAutospacing="0" w:line="360"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本次采购产品具体内容如下：</w:t>
      </w:r>
    </w:p>
    <w:tbl>
      <w:tblPr>
        <w:tblStyle w:val="32"/>
        <w:tblW w:w="837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1140"/>
        <w:gridCol w:w="1500"/>
        <w:gridCol w:w="127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产品名称</w:t>
            </w:r>
          </w:p>
        </w:tc>
        <w:tc>
          <w:tcPr>
            <w:tcW w:w="114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品牌</w:t>
            </w:r>
          </w:p>
        </w:tc>
        <w:tc>
          <w:tcPr>
            <w:tcW w:w="150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单位</w:t>
            </w:r>
          </w:p>
        </w:tc>
        <w:tc>
          <w:tcPr>
            <w:tcW w:w="1275" w:type="dxa"/>
            <w:vAlign w:val="center"/>
          </w:tcPr>
          <w:p>
            <w:pPr>
              <w:widowControl/>
              <w:snapToGrid w:val="0"/>
              <w:spacing w:before="0" w:beforeAutospacing="0" w:after="0" w:afterAutospacing="0" w:line="240" w:lineRule="auto"/>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单价(元)</w:t>
            </w:r>
          </w:p>
        </w:tc>
        <w:tc>
          <w:tcPr>
            <w:tcW w:w="1159" w:type="dxa"/>
            <w:vAlign w:val="center"/>
          </w:tcPr>
          <w:p>
            <w:pPr>
              <w:widowControl/>
              <w:snapToGrid w:val="0"/>
              <w:spacing w:before="0" w:beforeAutospacing="0" w:after="0" w:afterAutospacing="0" w:line="24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消防应急灯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安全出口灯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疏散指示灯明装</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疏散指示灯暗装</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消防水枪头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支</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消防接扣</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消防水带20米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盘</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消防栓箱80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消防栓箱90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消防栓箱110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灭火器箱4kg×2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灭火器箱5kg×2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灭火器箱8kg×2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消防栓门锁</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隐形消防栓门暗锁</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消火栓管牙</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对</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闭门器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闭门器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消防栓卷盘</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卷盘红管</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米</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卷盘枪头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卷盘铜阀</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消防服</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消防头盔</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安全逃生绳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根</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多功能手电</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条</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逃生应急箱</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逃生自救呼吸器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消防栓箱玻璃</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灭火器箱玻璃</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块</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消防地贴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张</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手电钻</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消防斧</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液压钳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p>
        </w:tc>
        <w:tc>
          <w:tcPr>
            <w:tcW w:w="1275"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bl>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消防产品需提供正规厂家合格证及检验报告；产品包装完整，应有清晰、明确的标志；强制认证产品必须提供认证资料；产品质保期为一年。当医院提出采购需求时，需在12小时内配送到位。 </w:t>
            </w:r>
          </w:p>
          <w:p>
            <w:pPr>
              <w:widowControl/>
              <w:snapToGrid w:val="0"/>
              <w:spacing w:before="0" w:beforeAutospacing="0" w:after="0" w:afterAutospacing="0"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shd w:val="clear" w:color="auto" w:fill="FFFFFF"/>
                <w:lang w:val="en-US" w:eastAsia="zh-CN" w:bidi="ar-SA"/>
              </w:rPr>
              <w:t>对医院现有的各类灭火器不换药的情况下，进行以旧换新置换。</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ascii="宋体" w:hAnsi="宋体" w:eastAsia="宋体" w:cs="宋体"/>
              </w:rPr>
              <w:t>驻马店市中心医院消防器材采购供应</w:t>
            </w:r>
            <w:r>
              <w:rPr>
                <w:rFonts w:hint="eastAsia" w:ascii="宋体" w:hAnsi="宋体" w:eastAsia="宋体" w:cs="宋体"/>
                <w:color w:val="auto"/>
                <w:u w:val="none"/>
                <w:lang w:eastAsia="zh-CN"/>
              </w:rPr>
              <w:t>采购项</w:t>
            </w:r>
            <w:r>
              <w:rPr>
                <w:rFonts w:hint="eastAsia" w:ascii="宋体" w:hAnsi="宋体" w:cs="宋体"/>
                <w:color w:val="auto"/>
                <w:szCs w:val="21"/>
                <w:highlight w:val="none"/>
                <w:u w:val="none"/>
                <w:lang w:val="en-US" w:eastAsia="zh-CN"/>
              </w:rPr>
              <w:t>目（二次）</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100000.00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100000.00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w:t>
      </w:r>
      <w:bookmarkStart w:id="91" w:name="_GoBack"/>
      <w:bookmarkEnd w:id="91"/>
      <w:r>
        <w:rPr>
          <w:rFonts w:hint="eastAsia" w:ascii="宋体" w:hAnsi="宋体" w:eastAsia="宋体" w:cs="宋体"/>
          <w:color w:val="auto"/>
          <w:kern w:val="2"/>
          <w:sz w:val="21"/>
          <w:szCs w:val="24"/>
          <w:lang w:val="en-US" w:eastAsia="zh-CN" w:bidi="ar-SA"/>
        </w:rPr>
        <w:t>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r>
        <w:rPr>
          <w:rFonts w:hint="eastAsia" w:ascii="宋体" w:hAnsi="宋体" w:cs="宋体"/>
          <w:b/>
          <w:snapToGrid w:val="0"/>
          <w:color w:val="auto"/>
          <w:spacing w:val="0"/>
          <w:kern w:val="0"/>
          <w:sz w:val="44"/>
          <w:szCs w:val="44"/>
          <w:highlight w:val="none"/>
          <w:u w:val="none"/>
          <w:lang w:val="en-US" w:eastAsia="zh-CN"/>
        </w:rPr>
        <w:t>（二次）</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4"/>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color w:val="auto"/>
      </w:rPr>
      <w:t>驻马店市中心医院消防器材采购供应</w:t>
    </w:r>
    <w:r>
      <w:rPr>
        <w:rFonts w:hint="eastAsia" w:ascii="宋体" w:hAnsi="宋体" w:eastAsia="宋体" w:cs="宋体"/>
        <w:color w:val="auto"/>
        <w:lang w:eastAsia="zh-CN"/>
      </w:rPr>
      <w:t>采</w:t>
    </w:r>
    <w:r>
      <w:rPr>
        <w:rFonts w:hint="eastAsia" w:ascii="宋体" w:hAnsi="宋体" w:eastAsia="宋体" w:cs="宋体"/>
        <w:color w:val="auto"/>
        <w:u w:val="none"/>
        <w:lang w:eastAsia="zh-CN"/>
      </w:rPr>
      <w:t>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二次）采购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color w:val="auto"/>
      </w:rPr>
      <w:t>驻马店市中心医院消防器材采购供应</w:t>
    </w:r>
    <w:r>
      <w:rPr>
        <w:rFonts w:hint="eastAsia" w:ascii="宋体" w:hAnsi="宋体" w:eastAsia="宋体" w:cs="宋体"/>
        <w:color w:val="auto"/>
        <w:lang w:eastAsia="zh-CN"/>
      </w:rPr>
      <w:t>采</w:t>
    </w:r>
    <w:r>
      <w:rPr>
        <w:rFonts w:hint="eastAsia" w:ascii="宋体" w:hAnsi="宋体" w:eastAsia="宋体" w:cs="宋体"/>
        <w:color w:val="auto"/>
        <w:u w:val="none"/>
        <w:lang w:eastAsia="zh-CN"/>
      </w:rPr>
      <w:t>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63F99"/>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EB7F0B"/>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AC022C"/>
    <w:rsid w:val="2CC11807"/>
    <w:rsid w:val="2CF16074"/>
    <w:rsid w:val="2CF81D1B"/>
    <w:rsid w:val="2D3F2453"/>
    <w:rsid w:val="2D835174"/>
    <w:rsid w:val="2DD90B7B"/>
    <w:rsid w:val="2DDD3FC1"/>
    <w:rsid w:val="2DF701D8"/>
    <w:rsid w:val="2DF970A1"/>
    <w:rsid w:val="2E085834"/>
    <w:rsid w:val="2E1034F8"/>
    <w:rsid w:val="2E505773"/>
    <w:rsid w:val="2E742F70"/>
    <w:rsid w:val="2E793ED9"/>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010D02"/>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1D653D1"/>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8F587D"/>
    <w:rsid w:val="55B02DF1"/>
    <w:rsid w:val="55DC290C"/>
    <w:rsid w:val="55F01FA1"/>
    <w:rsid w:val="56990B7C"/>
    <w:rsid w:val="569E1126"/>
    <w:rsid w:val="56B80DEB"/>
    <w:rsid w:val="56E06E61"/>
    <w:rsid w:val="56E174BF"/>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32A7A"/>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D56B78"/>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185E07"/>
    <w:rsid w:val="7E2822EA"/>
    <w:rsid w:val="7E355A7B"/>
    <w:rsid w:val="7E6B7623"/>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3</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2022-03-23T06:36:29Z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