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 3.0核磁共振、1.5核磁共振、640CT配备的UPS不间断电源更换电池组采购项目</w:t>
      </w: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 w:val="48"/>
          <w:szCs w:val="48"/>
        </w:rPr>
      </w:pPr>
    </w:p>
    <w:p>
      <w:pPr>
        <w:pStyle w:val="19"/>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ind w:left="1357" w:leftChars="513" w:hanging="280" w:hangingChars="100"/>
        <w:jc w:val="both"/>
        <w:rPr>
          <w:rFonts w:hint="eastAsia" w:ascii="黑体" w:hAnsi="黑体" w:eastAsia="黑体" w:cs="宋体"/>
          <w:bCs/>
          <w:color w:val="auto"/>
          <w:kern w:val="0"/>
          <w:sz w:val="28"/>
          <w:szCs w:val="28"/>
        </w:rPr>
      </w:pPr>
      <w:bookmarkStart w:id="92" w:name="_GoBack"/>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 xml:space="preserve"> 3.0核磁共振、1.5核磁共振、640CT配备的UPS不间断电源更换电池组采购项目竞争性磋商采购</w:t>
      </w:r>
      <w:r>
        <w:rPr>
          <w:rFonts w:hint="eastAsia" w:ascii="黑体" w:hAnsi="黑体" w:eastAsia="黑体" w:cs="宋体"/>
          <w:bCs/>
          <w:color w:val="auto"/>
          <w:kern w:val="0"/>
          <w:sz w:val="28"/>
          <w:szCs w:val="28"/>
        </w:rPr>
        <w:t>公告</w:t>
      </w:r>
    </w:p>
    <w:bookmarkEnd w:id="92"/>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3.0核磁共振、1.5核磁共振、640CT配备的UPS不间断电源更换电池组采购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left="2100" w:leftChars="200" w:hanging="1680" w:hangingChars="800"/>
        <w:jc w:val="left"/>
        <w:rPr>
          <w:rFonts w:hint="eastAsia" w:ascii="宋体" w:hAnsi="宋体" w:eastAsia="宋体" w:cs="宋体"/>
          <w:color w:val="auto"/>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3.0核磁共振、1.5核磁共振、640CT配备的UPS不间断电源更换电池组采购</w:t>
      </w:r>
      <w:r>
        <w:rPr>
          <w:rFonts w:hint="eastAsia" w:ascii="宋体" w:hAnsi="宋体" w:eastAsia="宋体" w:cs="宋体"/>
          <w:color w:val="auto"/>
        </w:rPr>
        <w:t>项目</w:t>
      </w:r>
      <w:r>
        <w:rPr>
          <w:rFonts w:hint="eastAsia" w:ascii="宋体" w:hAnsi="宋体" w:eastAsia="宋体" w:cs="宋体"/>
          <w:color w:val="auto"/>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485680.00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1071"/>
      <w:bookmarkStart w:id="5" w:name="_Toc27913"/>
      <w:bookmarkStart w:id="6" w:name="_Toc19521"/>
      <w:bookmarkStart w:id="7" w:name="_Toc24040"/>
      <w:bookmarkStart w:id="8" w:name="_Toc26079"/>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以</w:t>
      </w:r>
      <w:r>
        <w:rPr>
          <w:rFonts w:hint="eastAsia" w:ascii="宋体" w:hAnsi="宋体" w:eastAsia="宋体" w:cs="宋体"/>
          <w:bCs/>
          <w:color w:val="auto"/>
          <w:szCs w:val="21"/>
          <w:highlight w:val="none"/>
          <w:shd w:val="clear" w:color="auto" w:fill="FFFFFF"/>
        </w:rPr>
        <w:t>合同签订</w:t>
      </w:r>
      <w:r>
        <w:rPr>
          <w:rFonts w:hint="eastAsia" w:ascii="宋体" w:hAnsi="宋体" w:eastAsia="宋体" w:cs="宋体"/>
          <w:bCs/>
          <w:color w:val="auto"/>
          <w:szCs w:val="21"/>
          <w:highlight w:val="none"/>
          <w:shd w:val="clear" w:color="auto" w:fill="FFFFFF"/>
          <w:lang w:val="en-US" w:eastAsia="zh-CN"/>
        </w:rPr>
        <w:t>时间为准</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16639"/>
      <w:bookmarkStart w:id="11" w:name="_Toc23626"/>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3、投标人须提供所投蓄电池制造商泰尔认证证书（加盖制造商公章）；</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6、投标人须具有良好的商业信誉和完善的售后服务体系，并具有承担本项目的供货及服务能力（出具承诺书，格式自拟）；</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7、符合法律、行政法规规定的其他条件；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8</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30971"/>
      <w:bookmarkStart w:id="15" w:name="_Toc23395"/>
      <w:bookmarkStart w:id="16" w:name="_Toc9562"/>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0738"/>
      <w:bookmarkStart w:id="20" w:name="_Toc25869"/>
      <w:bookmarkStart w:id="21" w:name="_Toc15135"/>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30918"/>
      <w:bookmarkStart w:id="25" w:name="_Toc20287"/>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六、发布公告的媒介及采购公告期限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3604"/>
      <w:bookmarkStart w:id="31" w:name="_Toc31928"/>
      <w:bookmarkStart w:id="32" w:name="_Toc24274"/>
      <w:bookmarkStart w:id="33" w:name="_Toc27370"/>
      <w:r>
        <w:rPr>
          <w:rFonts w:hint="eastAsia" w:ascii="宋体" w:hAnsi="宋体" w:eastAsia="宋体" w:cs="宋体"/>
          <w:b/>
          <w:bCs/>
          <w:color w:val="auto"/>
          <w:kern w:val="2"/>
          <w:sz w:val="21"/>
          <w:szCs w:val="21"/>
          <w:shd w:val="clear" w:color="auto" w:fill="FFFFFF"/>
          <w:lang w:val="en-US" w:eastAsia="zh-CN" w:bidi="ar-SA"/>
        </w:rPr>
        <w:t>七、</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驻马店市中心医院3.0磁共振、1.5磁共振、640CT配备的UPS不间断电源更换电池组采购项目</w:t>
      </w:r>
    </w:p>
    <w:p>
      <w:pPr>
        <w:numPr>
          <w:ilvl w:val="0"/>
          <w:numId w:val="1"/>
        </w:numPr>
        <w:adjustRightInd w:val="0"/>
        <w:snapToGrid w:val="0"/>
        <w:spacing w:line="360" w:lineRule="auto"/>
        <w:jc w:val="left"/>
        <w:rPr>
          <w:rFonts w:hint="eastAsia" w:ascii="宋体" w:hAnsi="宋体" w:cs="宋体"/>
          <w:color w:val="auto"/>
          <w:szCs w:val="21"/>
          <w:highlight w:val="none"/>
          <w:lang w:val="en-US" w:eastAsia="zh-CN"/>
        </w:rPr>
      </w:pPr>
      <w:bookmarkStart w:id="40" w:name="_Toc13519"/>
      <w:r>
        <w:rPr>
          <w:rFonts w:hint="eastAsia" w:ascii="宋体" w:hAnsi="宋体" w:cs="宋体"/>
          <w:b/>
          <w:bCs/>
          <w:color w:val="auto"/>
          <w:szCs w:val="21"/>
          <w:highlight w:val="none"/>
        </w:rPr>
        <w:t>项目用途说明：</w:t>
      </w:r>
      <w:r>
        <w:rPr>
          <w:rFonts w:hint="eastAsia" w:ascii="宋体" w:hAnsi="宋体" w:cs="宋体"/>
          <w:color w:val="auto"/>
          <w:szCs w:val="21"/>
          <w:highlight w:val="none"/>
          <w:lang w:val="en-US" w:eastAsia="zh-CN"/>
        </w:rPr>
        <w:t xml:space="preserve"> 为确保3.0磁共振、1.5磁共振、640CT遇突发停电能提供“0”秒供电，并延时一定时长供电，前期配置的电池组已经使用多年，经专业技术人员检测电池组已经超过电池的使用上线，现在不能有效的保障对重要设备的安全供电要求，为满足设备使用需要，电池组需要进行更换。</w:t>
      </w:r>
    </w:p>
    <w:bookmarkEnd w:id="40"/>
    <w:p>
      <w:pPr>
        <w:pStyle w:val="3"/>
        <w:numPr>
          <w:ilvl w:val="0"/>
          <w:numId w:val="0"/>
        </w:numPr>
        <w:spacing w:after="0"/>
        <w:jc w:val="left"/>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lang w:val="en-US" w:eastAsia="zh-CN"/>
        </w:rPr>
      </w:pPr>
      <w:r>
        <w:rPr>
          <w:rFonts w:hint="eastAsia" w:ascii="宋体" w:hAnsi="宋体" w:eastAsia="宋体" w:cs="宋体"/>
          <w:color w:val="auto"/>
          <w:kern w:val="2"/>
          <w:sz w:val="21"/>
          <w:szCs w:val="21"/>
          <w:highlight w:val="none"/>
          <w:lang w:val="en-US" w:eastAsia="zh-CN" w:bidi="ar-SA"/>
        </w:rPr>
        <w:t>质量承诺（包括质保期及质保金）；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lang w:val="en-US" w:eastAsia="zh-CN"/>
        </w:rPr>
      </w:pPr>
      <w:r>
        <w:rPr>
          <w:rFonts w:hint="eastAsia" w:ascii="宋体" w:hAnsi="宋体"/>
          <w:b/>
          <w:bCs/>
          <w:sz w:val="28"/>
          <w:szCs w:val="28"/>
          <w:u w:val="none"/>
          <w:lang w:val="en-US" w:eastAsia="zh-CN"/>
        </w:rPr>
        <w:t>UPS不间断电源更换电池组采购项目清单</w:t>
      </w:r>
    </w:p>
    <w:tbl>
      <w:tblPr>
        <w:tblStyle w:val="31"/>
        <w:tblpPr w:leftFromText="180" w:rightFromText="180" w:vertAnchor="text" w:horzAnchor="page" w:tblpX="1145" w:tblpY="495"/>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2085"/>
        <w:gridCol w:w="1420"/>
        <w:gridCol w:w="770"/>
        <w:gridCol w:w="755"/>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17" w:type="dxa"/>
            <w:tcBorders>
              <w:top w:val="single" w:color="000000" w:sz="8" w:space="0"/>
              <w:left w:val="single" w:color="000000" w:sz="8" w:space="0"/>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2085"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1420"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770"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755"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3611" w:type="dxa"/>
            <w:tcBorders>
              <w:top w:val="single" w:color="000000" w:sz="8" w:space="0"/>
              <w:left w:val="nil"/>
              <w:bottom w:val="single" w:color="000000" w:sz="8" w:space="0"/>
              <w:right w:val="single" w:color="000000" w:sz="8" w:space="0"/>
            </w:tcBorders>
            <w:shd w:val="clear" w:color="auto" w:fill="BDD6E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电池</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12V/200AH</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块</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医疗专用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蓄电池组在线监控系统</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RC3680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直流馈电柜</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定制</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265mm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120</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150mm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铜排</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100mm</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移除原设备</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按国家施工标准对电池进行开关机拆除等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7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安装调试</w:t>
            </w:r>
          </w:p>
        </w:tc>
        <w:tc>
          <w:tcPr>
            <w:tcW w:w="142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6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按国家电力标准进行开关机调试，保证核磁、CT的正常运行，不能出现掉电现象，防止核磁、CT因掉电造成经济损失</w:t>
            </w:r>
          </w:p>
        </w:tc>
      </w:tr>
    </w:tbl>
    <w:p>
      <w:pPr>
        <w:pStyle w:val="21"/>
        <w:numPr>
          <w:ilvl w:val="0"/>
          <w:numId w:val="0"/>
        </w:numPr>
        <w:rPr>
          <w:rFonts w:hint="default"/>
          <w:sz w:val="28"/>
          <w:szCs w:val="32"/>
          <w:lang w:val="en-US" w:eastAsia="zh-CN"/>
        </w:rPr>
      </w:pPr>
    </w:p>
    <w:p>
      <w:pPr>
        <w:pStyle w:val="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pPr>
        <w:pStyle w:val="51"/>
        <w:snapToGrid w:val="0"/>
        <w:spacing w:line="240" w:lineRule="auto"/>
        <w:ind w:firstLine="420"/>
        <w:rPr>
          <w:color w:val="auto"/>
          <w:sz w:val="21"/>
          <w:szCs w:val="21"/>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bookmarkEnd w:id="35"/>
      <w:bookmarkEnd w:id="36"/>
    </w:p>
    <w:tbl>
      <w:tblPr>
        <w:tblStyle w:val="31"/>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FF0000"/>
                <w:kern w:val="0"/>
                <w:szCs w:val="21"/>
                <w:highlight w:val="none"/>
                <w:lang w:eastAsia="zh-CN"/>
              </w:rPr>
            </w:pPr>
            <w:r>
              <w:rPr>
                <w:rFonts w:hint="eastAsia" w:ascii="宋体" w:hAnsi="宋体" w:eastAsia="宋体" w:cs="宋体"/>
                <w:bCs/>
                <w:color w:val="auto"/>
                <w:szCs w:val="21"/>
                <w:highlight w:val="none"/>
                <w:shd w:val="clear" w:color="auto" w:fill="FFFFFF"/>
                <w:lang w:val="en-US" w:eastAsia="zh-CN"/>
              </w:rPr>
              <w:t>以</w:t>
            </w:r>
            <w:r>
              <w:rPr>
                <w:rFonts w:hint="eastAsia" w:ascii="宋体" w:hAnsi="宋体" w:eastAsia="宋体" w:cs="宋体"/>
                <w:bCs/>
                <w:color w:val="auto"/>
                <w:szCs w:val="21"/>
                <w:highlight w:val="none"/>
                <w:shd w:val="clear" w:color="auto" w:fill="FFFFFF"/>
              </w:rPr>
              <w:t>合同签订</w:t>
            </w:r>
            <w:r>
              <w:rPr>
                <w:rFonts w:hint="eastAsia" w:ascii="宋体" w:hAnsi="宋体" w:eastAsia="宋体" w:cs="宋体"/>
                <w:bCs/>
                <w:color w:val="auto"/>
                <w:szCs w:val="21"/>
                <w:highlight w:val="none"/>
                <w:shd w:val="clear" w:color="auto" w:fill="FFFFFF"/>
                <w:lang w:val="en-US" w:eastAsia="zh-CN"/>
              </w:rPr>
              <w:t>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8"/>
        <w:spacing w:before="0" w:after="0" w:line="240" w:lineRule="atLeast"/>
        <w:jc w:val="center"/>
        <w:rPr>
          <w:color w:val="auto"/>
          <w:sz w:val="32"/>
          <w:szCs w:val="32"/>
          <w:highlight w:val="none"/>
        </w:rPr>
      </w:pPr>
      <w:bookmarkStart w:id="41" w:name="_Toc14504"/>
      <w:r>
        <w:rPr>
          <w:rFonts w:hint="eastAsia"/>
          <w:color w:val="auto"/>
          <w:sz w:val="32"/>
          <w:szCs w:val="32"/>
          <w:highlight w:val="none"/>
        </w:rPr>
        <w:t>第三章  投标人须知</w:t>
      </w:r>
      <w:bookmarkEnd w:id="4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Times New Roman" w:hAnsi="Times New Roman" w:cs="Times New Roman"/>
                <w:color w:val="auto"/>
                <w:highlight w:val="none"/>
              </w:rPr>
            </w:pPr>
            <w:r>
              <w:rPr>
                <w:rFonts w:hint="eastAsia"/>
                <w:color w:val="auto"/>
                <w:highlight w:val="none"/>
              </w:rPr>
              <w:t>1.1 项目名称：</w:t>
            </w:r>
            <w:r>
              <w:rPr>
                <w:rFonts w:hint="eastAsia" w:ascii="Times New Roman" w:hAnsi="Times New Roman" w:cs="Times New Roman"/>
                <w:color w:val="auto"/>
                <w:highlight w:val="none"/>
                <w:lang w:val="en-US" w:eastAsia="zh-CN"/>
              </w:rPr>
              <w:t>3.0磁共振、1.5磁共振、640CT配备的UPS不间断电源更换电池组采购项目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485680.00</w:t>
            </w:r>
            <w:r>
              <w:rPr>
                <w:rFonts w:hint="eastAsia" w:ascii="宋体" w:hAnsi="宋体" w:cs="宋体"/>
                <w:color w:val="auto"/>
                <w:kern w:val="0"/>
                <w:szCs w:val="21"/>
                <w:highlight w:val="none"/>
              </w:rPr>
              <w:t>元</w:t>
            </w:r>
          </w:p>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485680.00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4.3、投标人须提供所投蓄电池制造商泰尔认证证书（加盖制造商公章）；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4.4、具有履行合同所必需的设备和专业技术能力（提供书面声明函）；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4.5、参加本采购活动前三年内，在经营活动中没有重大违法记录（提供书面声明函）；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4.6、投标人须具有良好的商业信誉和完善的售后服务体系，并具有承担本项目的供货及服务能力（出具承诺书，格式自拟）；</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4.7、符合法律、行政法规规定的其他条件；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lang w:val="en-US" w:eastAsia="zh-CN"/>
        </w:rPr>
        <w:t>4.8、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2"/>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2"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2"/>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3"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3"/>
    <w:p>
      <w:pPr>
        <w:rPr>
          <w:color w:val="auto"/>
          <w:highlight w:val="none"/>
        </w:rPr>
      </w:pPr>
      <w:bookmarkStart w:id="44" w:name="_Toc4700"/>
      <w:bookmarkStart w:id="45"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6" w:name="_Toc9022"/>
      <w:r>
        <w:rPr>
          <w:rFonts w:hint="eastAsia" w:ascii="黑体" w:hAnsi="宋体" w:eastAsia="黑体" w:cs="宋体"/>
          <w:b/>
          <w:bCs/>
          <w:color w:val="auto"/>
          <w:kern w:val="0"/>
          <w:sz w:val="32"/>
          <w:szCs w:val="32"/>
          <w:highlight w:val="none"/>
        </w:rPr>
        <w:t>第四章  评标办法及评分标准</w:t>
      </w:r>
      <w:bookmarkEnd w:id="44"/>
      <w:bookmarkEnd w:id="46"/>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7" w:name="_Toc1947"/>
      <w:bookmarkStart w:id="48" w:name="_Toc1482"/>
      <w:bookmarkStart w:id="49" w:name="_Toc256519703"/>
      <w:bookmarkStart w:id="50" w:name="_Toc326786897"/>
    </w:p>
    <w:p>
      <w:pPr>
        <w:pStyle w:val="8"/>
        <w:snapToGrid w:val="0"/>
        <w:spacing w:before="0" w:after="0" w:line="480" w:lineRule="auto"/>
        <w:jc w:val="center"/>
        <w:rPr>
          <w:color w:val="auto"/>
          <w:sz w:val="28"/>
          <w:szCs w:val="28"/>
          <w:highlight w:val="yellow"/>
        </w:rPr>
      </w:pPr>
      <w:bookmarkStart w:id="51" w:name="_Toc28988"/>
      <w:r>
        <w:rPr>
          <w:rFonts w:hint="eastAsia"/>
          <w:color w:val="auto"/>
          <w:sz w:val="28"/>
          <w:szCs w:val="28"/>
          <w:highlight w:val="none"/>
        </w:rPr>
        <w:t>第五章  采购合同</w:t>
      </w:r>
      <w:bookmarkEnd w:id="51"/>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8"/>
        <w:jc w:val="center"/>
        <w:rPr>
          <w:rFonts w:ascii="宋体" w:hAnsi="宋体" w:cs="宋体"/>
          <w:color w:val="auto"/>
          <w:kern w:val="0"/>
          <w:highlight w:val="none"/>
        </w:rPr>
      </w:pPr>
      <w:bookmarkStart w:id="52" w:name="_Toc2638"/>
      <w:r>
        <w:rPr>
          <w:rFonts w:hint="eastAsia"/>
          <w:color w:val="auto"/>
          <w:sz w:val="32"/>
          <w:szCs w:val="32"/>
          <w:highlight w:val="none"/>
        </w:rPr>
        <w:t>第六章  投标文件格式</w:t>
      </w:r>
      <w:bookmarkEnd w:id="47"/>
      <w:bookmarkEnd w:id="48"/>
      <w:bookmarkEnd w:id="52"/>
    </w:p>
    <w:p>
      <w:pPr>
        <w:spacing w:line="440" w:lineRule="exact"/>
        <w:rPr>
          <w:color w:val="auto"/>
          <w:sz w:val="24"/>
          <w:highlight w:val="none"/>
        </w:rPr>
      </w:pPr>
    </w:p>
    <w:p>
      <w:pPr>
        <w:jc w:val="center"/>
        <w:rPr>
          <w:b/>
          <w:bCs/>
          <w:color w:val="auto"/>
          <w:sz w:val="32"/>
          <w:szCs w:val="32"/>
          <w:highlight w:val="none"/>
        </w:rPr>
      </w:pPr>
      <w:bookmarkStart w:id="53" w:name="_Toc13604"/>
      <w:r>
        <w:rPr>
          <w:rFonts w:hint="eastAsia"/>
          <w:b/>
          <w:bCs/>
          <w:color w:val="auto"/>
          <w:sz w:val="32"/>
          <w:szCs w:val="32"/>
          <w:highlight w:val="none"/>
        </w:rPr>
        <w:t>目    录</w:t>
      </w:r>
      <w:bookmarkEnd w:id="53"/>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4" w:name="_Toc11308"/>
      <w:r>
        <w:rPr>
          <w:rFonts w:hint="eastAsia"/>
          <w:color w:val="auto"/>
          <w:sz w:val="24"/>
          <w:highlight w:val="none"/>
        </w:rPr>
        <w:t>附件1投标文件封面（格式）</w:t>
      </w:r>
      <w:bookmarkEnd w:id="54"/>
    </w:p>
    <w:p>
      <w:pPr>
        <w:snapToGrid w:val="0"/>
        <w:spacing w:line="360" w:lineRule="auto"/>
        <w:ind w:firstLine="480" w:firstLineChars="200"/>
        <w:rPr>
          <w:color w:val="auto"/>
          <w:sz w:val="24"/>
          <w:highlight w:val="none"/>
        </w:rPr>
      </w:pPr>
      <w:bookmarkStart w:id="55" w:name="_Toc25345"/>
      <w:r>
        <w:rPr>
          <w:rFonts w:hint="eastAsia"/>
          <w:color w:val="auto"/>
          <w:sz w:val="24"/>
          <w:highlight w:val="none"/>
        </w:rPr>
        <w:t>附件2 投标书（格式）</w:t>
      </w:r>
      <w:bookmarkEnd w:id="55"/>
    </w:p>
    <w:p>
      <w:pPr>
        <w:snapToGrid w:val="0"/>
        <w:spacing w:line="360" w:lineRule="auto"/>
        <w:ind w:firstLine="480" w:firstLineChars="200"/>
        <w:rPr>
          <w:color w:val="auto"/>
          <w:sz w:val="24"/>
          <w:highlight w:val="none"/>
        </w:rPr>
      </w:pPr>
      <w:bookmarkStart w:id="56" w:name="_Toc10217"/>
      <w:r>
        <w:rPr>
          <w:rFonts w:hint="eastAsia"/>
          <w:color w:val="auto"/>
          <w:sz w:val="24"/>
          <w:highlight w:val="none"/>
        </w:rPr>
        <w:t>附件3 开标一览表（格式）</w:t>
      </w:r>
      <w:bookmarkEnd w:id="56"/>
    </w:p>
    <w:p>
      <w:pPr>
        <w:snapToGrid w:val="0"/>
        <w:spacing w:line="360" w:lineRule="auto"/>
        <w:ind w:firstLine="480" w:firstLineChars="200"/>
        <w:rPr>
          <w:color w:val="auto"/>
          <w:sz w:val="24"/>
          <w:highlight w:val="none"/>
        </w:rPr>
      </w:pPr>
      <w:bookmarkStart w:id="57" w:name="_Toc9579"/>
      <w:r>
        <w:rPr>
          <w:rFonts w:hint="eastAsia"/>
          <w:color w:val="auto"/>
          <w:sz w:val="24"/>
          <w:highlight w:val="none"/>
        </w:rPr>
        <w:t>附件4 投标报价明细表（格式）</w:t>
      </w:r>
      <w:bookmarkEnd w:id="57"/>
    </w:p>
    <w:p>
      <w:pPr>
        <w:snapToGrid w:val="0"/>
        <w:spacing w:line="360" w:lineRule="auto"/>
        <w:ind w:firstLine="480" w:firstLineChars="200"/>
        <w:rPr>
          <w:color w:val="auto"/>
          <w:sz w:val="24"/>
          <w:highlight w:val="none"/>
        </w:rPr>
      </w:pPr>
      <w:bookmarkStart w:id="58" w:name="_Toc28392"/>
      <w:r>
        <w:rPr>
          <w:rFonts w:hint="eastAsia"/>
          <w:color w:val="auto"/>
          <w:sz w:val="24"/>
          <w:highlight w:val="none"/>
        </w:rPr>
        <w:t>附件5技术响应表（格式）</w:t>
      </w:r>
      <w:bookmarkEnd w:id="58"/>
    </w:p>
    <w:p>
      <w:pPr>
        <w:snapToGrid w:val="0"/>
        <w:spacing w:line="360" w:lineRule="auto"/>
        <w:ind w:firstLine="480" w:firstLineChars="200"/>
        <w:rPr>
          <w:color w:val="auto"/>
          <w:sz w:val="24"/>
          <w:highlight w:val="none"/>
        </w:rPr>
      </w:pPr>
      <w:bookmarkStart w:id="59" w:name="_Toc6234"/>
      <w:r>
        <w:rPr>
          <w:rFonts w:hint="eastAsia"/>
          <w:color w:val="auto"/>
          <w:sz w:val="24"/>
          <w:highlight w:val="none"/>
        </w:rPr>
        <w:t>附件6 商务响应表（格式）</w:t>
      </w:r>
      <w:bookmarkEnd w:id="59"/>
    </w:p>
    <w:p>
      <w:pPr>
        <w:snapToGrid w:val="0"/>
        <w:spacing w:line="360" w:lineRule="auto"/>
        <w:ind w:firstLine="480" w:firstLineChars="200"/>
        <w:rPr>
          <w:color w:val="auto"/>
          <w:sz w:val="24"/>
          <w:highlight w:val="none"/>
        </w:rPr>
      </w:pPr>
      <w:bookmarkStart w:id="60"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0"/>
    </w:p>
    <w:p>
      <w:pPr>
        <w:snapToGrid w:val="0"/>
        <w:spacing w:line="360" w:lineRule="auto"/>
        <w:ind w:firstLine="480" w:firstLineChars="200"/>
        <w:rPr>
          <w:color w:val="auto"/>
          <w:sz w:val="24"/>
          <w:highlight w:val="none"/>
        </w:rPr>
      </w:pPr>
      <w:bookmarkStart w:id="61"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1"/>
    </w:p>
    <w:p>
      <w:pPr>
        <w:snapToGrid w:val="0"/>
        <w:spacing w:line="360" w:lineRule="auto"/>
        <w:ind w:firstLine="480" w:firstLineChars="200"/>
        <w:rPr>
          <w:color w:val="auto"/>
          <w:sz w:val="24"/>
          <w:highlight w:val="none"/>
        </w:rPr>
      </w:pPr>
      <w:bookmarkStart w:id="62" w:name="_Toc31857"/>
      <w:r>
        <w:rPr>
          <w:rFonts w:hint="eastAsia"/>
          <w:color w:val="auto"/>
          <w:sz w:val="24"/>
          <w:highlight w:val="none"/>
        </w:rPr>
        <w:t>附件9 证明文件</w:t>
      </w:r>
      <w:bookmarkEnd w:id="62"/>
    </w:p>
    <w:p>
      <w:pPr>
        <w:snapToGrid w:val="0"/>
        <w:spacing w:line="360" w:lineRule="auto"/>
        <w:ind w:firstLine="480" w:firstLineChars="200"/>
        <w:rPr>
          <w:rFonts w:hint="eastAsia"/>
          <w:color w:val="auto"/>
          <w:sz w:val="24"/>
          <w:highlight w:val="none"/>
        </w:rPr>
      </w:pPr>
      <w:bookmarkStart w:id="63" w:name="_Toc23116"/>
      <w:r>
        <w:rPr>
          <w:rFonts w:hint="eastAsia"/>
          <w:color w:val="auto"/>
          <w:sz w:val="24"/>
          <w:highlight w:val="none"/>
        </w:rPr>
        <w:t>附件10 供应商承诺书（格式）</w:t>
      </w:r>
      <w:bookmarkEnd w:id="63"/>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7"/>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6"/>
        <w:rPr>
          <w:color w:val="auto"/>
          <w:highlight w:val="none"/>
        </w:rPr>
      </w:pPr>
    </w:p>
    <w:p>
      <w:pPr>
        <w:pStyle w:val="9"/>
        <w:rPr>
          <w:color w:val="auto"/>
          <w:highlight w:val="none"/>
        </w:rPr>
      </w:pPr>
      <w:bookmarkStart w:id="64" w:name="_Toc24743"/>
      <w:bookmarkStart w:id="65" w:name="_Toc31798"/>
      <w:r>
        <w:rPr>
          <w:rFonts w:hint="eastAsia"/>
          <w:color w:val="auto"/>
          <w:highlight w:val="none"/>
        </w:rPr>
        <w:t>附件1               投标文件封面（格式）</w:t>
      </w:r>
      <w:bookmarkEnd w:id="64"/>
      <w:bookmarkEnd w:id="65"/>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7"/>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9"/>
        <w:rPr>
          <w:color w:val="auto"/>
          <w:highlight w:val="none"/>
        </w:rPr>
      </w:pPr>
      <w:bookmarkStart w:id="66" w:name="_Toc8818"/>
      <w:bookmarkStart w:id="67" w:name="_Toc14560"/>
      <w:r>
        <w:rPr>
          <w:rFonts w:hint="eastAsia"/>
          <w:color w:val="auto"/>
          <w:highlight w:val="none"/>
        </w:rPr>
        <w:t>附件2               投  标  书（格式）</w:t>
      </w:r>
      <w:bookmarkEnd w:id="66"/>
      <w:bookmarkEnd w:id="67"/>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9"/>
        <w:spacing w:before="20" w:after="20"/>
        <w:rPr>
          <w:color w:val="auto"/>
          <w:highlight w:val="none"/>
        </w:rPr>
      </w:pPr>
      <w:bookmarkStart w:id="68" w:name="_Toc7838"/>
      <w:r>
        <w:rPr>
          <w:rFonts w:hint="eastAsia"/>
          <w:color w:val="auto"/>
          <w:highlight w:val="none"/>
        </w:rPr>
        <w:t>附件3               开标一览表</w:t>
      </w:r>
      <w:bookmarkEnd w:id="68"/>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交货时间</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9" w:name="_Toc20877"/>
      <w:bookmarkStart w:id="70" w:name="_Toc11620"/>
      <w:r>
        <w:rPr>
          <w:rFonts w:hint="eastAsia" w:ascii="宋体" w:hAnsi="宋体"/>
          <w:color w:val="auto"/>
          <w:szCs w:val="21"/>
          <w:highlight w:val="none"/>
        </w:rPr>
        <w:t>投标人（全称并加盖公章）：</w:t>
      </w:r>
      <w:bookmarkEnd w:id="69"/>
      <w:bookmarkEnd w:id="70"/>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1" w:name="_Toc12222"/>
      <w:bookmarkStart w:id="72" w:name="_Toc625"/>
      <w:r>
        <w:rPr>
          <w:rFonts w:hint="eastAsia" w:ascii="宋体" w:hAnsi="宋体"/>
          <w:color w:val="auto"/>
          <w:szCs w:val="21"/>
          <w:highlight w:val="none"/>
        </w:rPr>
        <w:t>法定代表人或其委托代理人（签字）：</w:t>
      </w:r>
      <w:bookmarkEnd w:id="71"/>
      <w:bookmarkEnd w:id="7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3" w:name="_Toc1330"/>
      <w:bookmarkStart w:id="74" w:name="_Toc9950"/>
      <w:r>
        <w:rPr>
          <w:rFonts w:hint="eastAsia" w:ascii="宋体" w:hAnsi="宋体"/>
          <w:color w:val="auto"/>
          <w:szCs w:val="21"/>
          <w:highlight w:val="none"/>
        </w:rPr>
        <w:t>年  月  日</w:t>
      </w:r>
      <w:bookmarkEnd w:id="73"/>
      <w:bookmarkEnd w:id="74"/>
    </w:p>
    <w:p>
      <w:pPr>
        <w:rPr>
          <w:color w:val="auto"/>
          <w:highlight w:val="none"/>
        </w:rPr>
      </w:pPr>
      <w:r>
        <w:rPr>
          <w:color w:val="auto"/>
          <w:highlight w:val="none"/>
        </w:rPr>
        <w:br w:type="page"/>
      </w:r>
    </w:p>
    <w:p>
      <w:pPr>
        <w:rPr>
          <w:color w:val="auto"/>
          <w:highlight w:val="none"/>
        </w:rPr>
      </w:pPr>
    </w:p>
    <w:bookmarkEnd w:id="49"/>
    <w:bookmarkEnd w:id="50"/>
    <w:p>
      <w:pPr>
        <w:pStyle w:val="9"/>
        <w:spacing w:before="20" w:after="20"/>
        <w:rPr>
          <w:color w:val="auto"/>
          <w:highlight w:val="none"/>
        </w:rPr>
      </w:pPr>
      <w:bookmarkStart w:id="75" w:name="_Toc24984"/>
      <w:bookmarkStart w:id="76" w:name="_Toc22004"/>
      <w:r>
        <w:rPr>
          <w:rFonts w:hint="eastAsia"/>
          <w:color w:val="auto"/>
          <w:highlight w:val="none"/>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1"/>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9"/>
        <w:rPr>
          <w:color w:val="auto"/>
          <w:highlight w:val="none"/>
        </w:rPr>
      </w:pPr>
      <w:r>
        <w:rPr>
          <w:rFonts w:hint="eastAsia"/>
          <w:color w:val="auto"/>
          <w:highlight w:val="none"/>
        </w:rPr>
        <w:br w:type="page"/>
      </w:r>
      <w:bookmarkStart w:id="77" w:name="_Toc226"/>
      <w:bookmarkStart w:id="78" w:name="_Toc15804"/>
      <w:r>
        <w:rPr>
          <w:rFonts w:hint="eastAsia"/>
          <w:color w:val="auto"/>
          <w:highlight w:val="none"/>
        </w:rPr>
        <w:t>附件5               技术响应表（格式）</w:t>
      </w:r>
      <w:bookmarkEnd w:id="77"/>
      <w:bookmarkEnd w:id="78"/>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2"/>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9" w:name="_Toc20420"/>
      <w:bookmarkStart w:id="80" w:name="_Toc29960"/>
      <w:r>
        <w:rPr>
          <w:rFonts w:hint="eastAsia" w:ascii="Arial" w:hAnsi="Arial" w:eastAsia="新宋体"/>
          <w:b/>
          <w:color w:val="auto"/>
          <w:sz w:val="28"/>
          <w:highlight w:val="none"/>
        </w:rPr>
        <w:t>附件6               商务响应表（格式）</w:t>
      </w:r>
      <w:bookmarkEnd w:id="79"/>
      <w:bookmarkEnd w:id="80"/>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交货时间</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1" w:name="_Toc31526"/>
      <w:bookmarkStart w:id="82" w:name="_Toc28621"/>
      <w:r>
        <w:rPr>
          <w:rFonts w:hint="eastAsia" w:ascii="Arial" w:hAnsi="Arial" w:eastAsia="新宋体"/>
          <w:b/>
          <w:color w:val="auto"/>
          <w:sz w:val="28"/>
          <w:highlight w:val="none"/>
        </w:rPr>
        <w:t>附件7               法定代表人身份证明（格式）</w:t>
      </w:r>
      <w:bookmarkEnd w:id="81"/>
      <w:bookmarkEnd w:id="82"/>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3" w:name="_Toc13976"/>
      <w:bookmarkStart w:id="84" w:name="_Toc30519"/>
      <w:r>
        <w:rPr>
          <w:rFonts w:hint="eastAsia" w:ascii="Arial" w:hAnsi="Arial" w:eastAsia="新宋体"/>
          <w:b/>
          <w:color w:val="auto"/>
          <w:sz w:val="28"/>
          <w:highlight w:val="none"/>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5" w:name="_Toc24693"/>
      <w:bookmarkStart w:id="86" w:name="_Toc18105"/>
      <w:r>
        <w:rPr>
          <w:rFonts w:hint="eastAsia" w:ascii="Arial" w:hAnsi="Arial" w:eastAsia="新宋体"/>
          <w:b/>
          <w:color w:val="auto"/>
          <w:sz w:val="28"/>
          <w:highlight w:val="none"/>
        </w:rPr>
        <w:t>附件9               证明文件</w:t>
      </w:r>
      <w:bookmarkEnd w:id="85"/>
      <w:bookmarkEnd w:id="86"/>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5"/>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7" w:name="_Toc17966"/>
    </w:p>
    <w:p>
      <w:pPr>
        <w:pStyle w:val="5"/>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5"/>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5"/>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8" w:name="_Toc12888"/>
      <w:bookmarkStart w:id="89" w:name="_Toc13726"/>
      <w:r>
        <w:rPr>
          <w:rFonts w:hint="eastAsia" w:ascii="宋体" w:hAnsi="宋体" w:cs="Lucida Sans Unicode"/>
          <w:b/>
          <w:color w:val="auto"/>
          <w:kern w:val="0"/>
          <w:sz w:val="28"/>
          <w:szCs w:val="28"/>
          <w:highlight w:val="none"/>
        </w:rPr>
        <w:t xml:space="preserve">附件10        </w:t>
      </w:r>
      <w:bookmarkEnd w:id="87"/>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8"/>
      <w:bookmarkEnd w:id="89"/>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47"/>
      </w:pPr>
    </w:p>
    <w:p>
      <w:pPr>
        <w:widowControl/>
        <w:snapToGrid w:val="0"/>
        <w:spacing w:line="360" w:lineRule="auto"/>
        <w:jc w:val="center"/>
        <w:outlineLvl w:val="0"/>
        <w:rPr>
          <w:rFonts w:ascii="宋体" w:hAnsi="宋体" w:cs="Lucida Sans Unicode"/>
          <w:b/>
          <w:color w:val="auto"/>
          <w:kern w:val="0"/>
          <w:sz w:val="24"/>
          <w:highlight w:val="none"/>
        </w:rPr>
      </w:pPr>
      <w:bookmarkStart w:id="90" w:name="_Toc25094"/>
      <w:bookmarkStart w:id="91" w:name="_Toc23394"/>
      <w:r>
        <w:rPr>
          <w:rFonts w:hint="eastAsia" w:ascii="宋体" w:hAnsi="宋体" w:cs="Lucida Sans Unicode"/>
          <w:b/>
          <w:color w:val="auto"/>
          <w:kern w:val="0"/>
          <w:sz w:val="24"/>
          <w:highlight w:val="none"/>
        </w:rPr>
        <w:t>投标人认为有必要的其他资料</w:t>
      </w:r>
      <w:bookmarkEnd w:id="90"/>
      <w:bookmarkEnd w:id="91"/>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center"/>
        <w:rPr>
          <w:b/>
          <w:bCs/>
          <w:color w:val="auto"/>
          <w:sz w:val="28"/>
          <w:szCs w:val="28"/>
          <w:highlight w:val="none"/>
        </w:rPr>
      </w:pPr>
    </w:p>
    <w:p>
      <w:pPr>
        <w:pStyle w:val="5"/>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rPr>
      <w:t>驻马店市中心医院</w:t>
    </w:r>
    <w:r>
      <w:rPr>
        <w:rFonts w:hint="eastAsia" w:ascii="宋体" w:hAnsi="宋体" w:eastAsia="宋体" w:cs="宋体"/>
        <w:lang w:val="en-US" w:eastAsia="zh-CN"/>
      </w:rPr>
      <w:t xml:space="preserve"> 3.0核磁共振、1.5核磁共振、640CT配备的UPS不间断电源更换电池组采购项目采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rPr>
      <w:t>驻马店市中心医院</w:t>
    </w:r>
    <w:r>
      <w:rPr>
        <w:rFonts w:hint="eastAsia" w:ascii="宋体" w:hAnsi="宋体" w:eastAsia="宋体" w:cs="宋体"/>
        <w:lang w:val="en-US" w:eastAsia="zh-CN"/>
      </w:rPr>
      <w:t xml:space="preserve"> 3.0核磁共振、1.5核磁共振、640CT配备的UPS不间断电源更换电池组采购项目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5C1F04DF"/>
    <w:multiLevelType w:val="singleLevel"/>
    <w:tmpl w:val="5C1F04D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65110A"/>
    <w:rsid w:val="078E18EB"/>
    <w:rsid w:val="07A86C94"/>
    <w:rsid w:val="07B10EA5"/>
    <w:rsid w:val="07CE3FA1"/>
    <w:rsid w:val="07EC2ECB"/>
    <w:rsid w:val="07FE66CB"/>
    <w:rsid w:val="080B4D47"/>
    <w:rsid w:val="08321601"/>
    <w:rsid w:val="083622CC"/>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03C2B"/>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C2585"/>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B31737"/>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924C5A"/>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C927E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166A26"/>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61B91"/>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A44A5A"/>
    <w:rsid w:val="41B7239D"/>
    <w:rsid w:val="41FF3845"/>
    <w:rsid w:val="42027AB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032B8B"/>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E92F27"/>
    <w:rsid w:val="4A05334F"/>
    <w:rsid w:val="4A244932"/>
    <w:rsid w:val="4A2922C8"/>
    <w:rsid w:val="4A4117B2"/>
    <w:rsid w:val="4A7A4350"/>
    <w:rsid w:val="4A7E2497"/>
    <w:rsid w:val="4A896826"/>
    <w:rsid w:val="4ABF5E17"/>
    <w:rsid w:val="4AE01A66"/>
    <w:rsid w:val="4AED707B"/>
    <w:rsid w:val="4B0B7979"/>
    <w:rsid w:val="4B4439C2"/>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D831FB"/>
    <w:rsid w:val="50F1402B"/>
    <w:rsid w:val="50FD2AD9"/>
    <w:rsid w:val="51097D9A"/>
    <w:rsid w:val="51237D2E"/>
    <w:rsid w:val="51996737"/>
    <w:rsid w:val="51B408B8"/>
    <w:rsid w:val="51CC0868"/>
    <w:rsid w:val="51D5340F"/>
    <w:rsid w:val="521F1984"/>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A236DE"/>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AD1E9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6"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next w:val="6"/>
    <w:qFormat/>
    <w:uiPriority w:val="0"/>
    <w:pPr>
      <w:widowControl/>
      <w:spacing w:beforeAutospacing="1" w:afterAutospacing="1"/>
      <w:jc w:val="left"/>
    </w:pPr>
    <w:rPr>
      <w:rFonts w:ascii="宋体" w:hAnsi="宋体" w:cs="宋体"/>
      <w:kern w:val="0"/>
      <w:sz w:val="24"/>
    </w:rPr>
  </w:style>
  <w:style w:type="paragraph" w:styleId="6">
    <w:name w:val="Body Text 2"/>
    <w:basedOn w:val="1"/>
    <w:next w:val="7"/>
    <w:qFormat/>
    <w:uiPriority w:val="0"/>
    <w:pPr>
      <w:spacing w:line="480" w:lineRule="auto"/>
    </w:pPr>
  </w:style>
  <w:style w:type="paragraph" w:styleId="7">
    <w:name w:val="Body Text"/>
    <w:basedOn w:val="1"/>
    <w:next w:val="6"/>
    <w:link w:val="72"/>
    <w:qFormat/>
    <w:uiPriority w:val="0"/>
  </w:style>
  <w:style w:type="paragraph" w:styleId="12">
    <w:name w:val="List Number"/>
    <w:basedOn w:val="1"/>
    <w:qFormat/>
    <w:uiPriority w:val="0"/>
    <w:pPr>
      <w:widowControl/>
      <w:spacing w:beforeAutospacing="1" w:afterAutospacing="1"/>
      <w:jc w:val="left"/>
    </w:pPr>
    <w:rPr>
      <w:rFonts w:ascii="宋体" w:hAnsi="宋体" w:cs="宋体"/>
      <w:kern w:val="0"/>
      <w:sz w:val="24"/>
    </w:rPr>
  </w:style>
  <w:style w:type="paragraph" w:styleId="13">
    <w:name w:val="Document Map"/>
    <w:basedOn w:val="1"/>
    <w:link w:val="74"/>
    <w:qFormat/>
    <w:uiPriority w:val="0"/>
    <w:rPr>
      <w:rFonts w:ascii="宋体" w:hAnsi="Calibri"/>
      <w:sz w:val="18"/>
      <w:szCs w:val="18"/>
    </w:rPr>
  </w:style>
  <w:style w:type="paragraph" w:styleId="14">
    <w:name w:val="annotation text"/>
    <w:basedOn w:val="1"/>
    <w:qFormat/>
    <w:uiPriority w:val="0"/>
    <w:pPr>
      <w:jc w:val="left"/>
    </w:pPr>
  </w:style>
  <w:style w:type="paragraph" w:styleId="15">
    <w:name w:val="Body Text 3"/>
    <w:basedOn w:val="1"/>
    <w:qFormat/>
    <w:uiPriority w:val="0"/>
    <w:rPr>
      <w:sz w:val="16"/>
      <w:szCs w:val="16"/>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7"/>
    <w:next w:val="1"/>
    <w:qFormat/>
    <w:uiPriority w:val="0"/>
    <w:pPr>
      <w:spacing w:line="360" w:lineRule="auto"/>
      <w:ind w:firstLine="420" w:firstLineChars="100"/>
    </w:pPr>
    <w:rPr>
      <w:szCs w:val="21"/>
    </w:r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2"/>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3"/>
    <w:link w:val="7"/>
    <w:qFormat/>
    <w:uiPriority w:val="0"/>
  </w:style>
  <w:style w:type="character" w:customStyle="1" w:styleId="73">
    <w:name w:val="apple-converted-space"/>
    <w:basedOn w:val="33"/>
    <w:qFormat/>
    <w:uiPriority w:val="0"/>
  </w:style>
  <w:style w:type="character" w:customStyle="1" w:styleId="74">
    <w:name w:val="文档结构图 Char"/>
    <w:link w:val="13"/>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7"/>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15105</Words>
  <Characters>15885</Characters>
  <Lines>50</Lines>
  <Paragraphs>68</Paragraphs>
  <TotalTime>24</TotalTime>
  <ScaleCrop>false</ScaleCrop>
  <LinksUpToDate>false</LinksUpToDate>
  <CharactersWithSpaces>16758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2022-04-06T08:34:48Z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