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7"/>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黑体" w:hAnsi="黑体" w:eastAsia="黑体" w:cs="宋体"/>
          <w:bCs/>
          <w:color w:val="auto"/>
          <w:kern w:val="0"/>
          <w:sz w:val="48"/>
          <w:szCs w:val="48"/>
        </w:rPr>
        <w:t>驻马店市中心医院</w:t>
      </w:r>
      <w:r>
        <w:rPr>
          <w:rFonts w:hint="eastAsia" w:ascii="黑体" w:hAnsi="黑体" w:eastAsia="黑体" w:cs="宋体"/>
          <w:bCs/>
          <w:color w:val="auto"/>
          <w:kern w:val="0"/>
          <w:sz w:val="48"/>
          <w:szCs w:val="48"/>
          <w:lang w:val="en-US" w:eastAsia="zh-CN"/>
        </w:rPr>
        <w:t>纯水机采购项目</w:t>
      </w:r>
    </w:p>
    <w:p>
      <w:pPr>
        <w:pStyle w:val="17"/>
        <w:bidi w:val="0"/>
        <w:jc w:val="center"/>
        <w:rPr>
          <w:rStyle w:val="43"/>
          <w:rFonts w:hint="eastAsia" w:ascii="宋体" w:hAnsi="宋体" w:eastAsia="宋体" w:cs="宋体"/>
          <w:b/>
          <w:bCs/>
          <w:color w:val="auto"/>
          <w:sz w:val="48"/>
          <w:szCs w:val="48"/>
        </w:rPr>
      </w:pPr>
    </w:p>
    <w:p>
      <w:pPr>
        <w:pStyle w:val="17"/>
        <w:bidi w:val="0"/>
        <w:jc w:val="center"/>
        <w:rPr>
          <w:rStyle w:val="43"/>
          <w:rFonts w:hint="eastAsia" w:ascii="宋体" w:hAnsi="宋体" w:eastAsia="宋体" w:cs="宋体"/>
          <w:b/>
          <w:bCs/>
          <w:color w:val="auto"/>
          <w:sz w:val="48"/>
          <w:szCs w:val="48"/>
        </w:rPr>
      </w:pPr>
    </w:p>
    <w:p>
      <w:pPr>
        <w:pStyle w:val="17"/>
        <w:bidi w:val="0"/>
        <w:jc w:val="center"/>
        <w:rPr>
          <w:rStyle w:val="43"/>
          <w:rFonts w:hint="eastAsia" w:ascii="宋体" w:hAnsi="宋体" w:eastAsia="宋体" w:cs="宋体"/>
          <w:b/>
          <w:bCs/>
          <w:color w:val="auto"/>
          <w:sz w:val="48"/>
          <w:szCs w:val="48"/>
        </w:rPr>
      </w:pPr>
    </w:p>
    <w:p>
      <w:pPr>
        <w:pStyle w:val="17"/>
        <w:bidi w:val="0"/>
        <w:jc w:val="center"/>
        <w:rPr>
          <w:rStyle w:val="43"/>
          <w:rFonts w:hint="eastAsia" w:ascii="宋体" w:hAnsi="宋体" w:eastAsia="宋体" w:cs="宋体"/>
          <w:b/>
          <w:bCs/>
          <w:color w:val="auto"/>
          <w:sz w:val="48"/>
          <w:szCs w:val="48"/>
        </w:rPr>
      </w:pPr>
    </w:p>
    <w:p>
      <w:pPr>
        <w:pStyle w:val="17"/>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07</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rPr>
        <w:t>驻马店市中心医院</w:t>
      </w:r>
      <w:r>
        <w:rPr>
          <w:rFonts w:hint="eastAsia" w:ascii="黑体" w:hAnsi="黑体" w:eastAsia="黑体" w:cs="宋体"/>
          <w:bCs/>
          <w:color w:val="auto"/>
          <w:kern w:val="0"/>
          <w:sz w:val="28"/>
          <w:szCs w:val="28"/>
          <w:lang w:val="en-US" w:eastAsia="zh-CN"/>
        </w:rPr>
        <w:t>纯水机采购项目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360" w:lineRule="auto"/>
        <w:ind w:firstLine="420" w:firstLineChars="200"/>
        <w:textAlignment w:val="auto"/>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纯水机</w:t>
      </w:r>
      <w:r>
        <w:rPr>
          <w:rFonts w:hint="eastAsia" w:ascii="宋体" w:hAnsi="宋体" w:cs="宋体"/>
          <w:color w:val="auto"/>
          <w:u w:val="single"/>
          <w:lang w:val="en-US" w:eastAsia="zh-CN"/>
        </w:rPr>
        <w:t>采购</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pageBreakBefore w:val="0"/>
        <w:widowControl/>
        <w:kinsoku/>
        <w:overflowPunct/>
        <w:topLinePunct w:val="0"/>
        <w:bidi w:val="0"/>
        <w:snapToGrid w:val="0"/>
        <w:spacing w:before="0" w:after="0" w:line="360" w:lineRule="auto"/>
        <w:jc w:val="left"/>
        <w:textAlignment w:val="auto"/>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360" w:lineRule="auto"/>
        <w:ind w:firstLine="420" w:firstLineChars="200"/>
        <w:jc w:val="left"/>
        <w:textAlignment w:val="auto"/>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w:t>
      </w:r>
      <w:r>
        <w:rPr>
          <w:rFonts w:hint="eastAsia" w:ascii="宋体" w:hAnsi="宋体" w:cs="宋体"/>
          <w:color w:val="auto"/>
          <w:lang w:val="en-US" w:eastAsia="zh-CN"/>
        </w:rPr>
        <w:t>纯水机采购项目</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240000.00</w:t>
      </w:r>
      <w:r>
        <w:rPr>
          <w:rFonts w:hint="eastAsia" w:ascii="宋体" w:hAnsi="宋体" w:cs="宋体"/>
          <w:color w:val="auto"/>
          <w:kern w:val="0"/>
          <w:szCs w:val="21"/>
          <w:highlight w:val="none"/>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keepNext w:val="0"/>
        <w:keepLines w:val="0"/>
        <w:pageBreakBefore w:val="0"/>
        <w:kinsoku/>
        <w:overflowPunct/>
        <w:topLinePunct w:val="0"/>
        <w:bidi w:val="0"/>
        <w:snapToGrid w:val="0"/>
        <w:spacing w:line="360" w:lineRule="auto"/>
        <w:ind w:firstLine="420" w:firstLineChars="200"/>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rPr>
      </w:pPr>
      <w:bookmarkStart w:id="4" w:name="_Toc19521"/>
      <w:bookmarkStart w:id="5" w:name="_Toc24040"/>
      <w:bookmarkStart w:id="6" w:name="_Toc21071"/>
      <w:bookmarkStart w:id="7" w:name="_Toc27913"/>
      <w:bookmarkStart w:id="8" w:name="_Toc26079"/>
      <w:r>
        <w:rPr>
          <w:rFonts w:hint="eastAsia" w:ascii="宋体" w:hAnsi="宋体" w:eastAsia="宋体" w:cs="宋体"/>
          <w:color w:val="auto"/>
          <w:szCs w:val="21"/>
          <w:highlight w:val="none"/>
          <w:shd w:val="clear" w:color="auto" w:fill="FFFFFF"/>
        </w:rPr>
        <w:t>5、合同履行期限：</w:t>
      </w:r>
      <w:r>
        <w:rPr>
          <w:rFonts w:hint="eastAsia" w:ascii="宋体" w:hAnsi="宋体" w:cs="宋体"/>
          <w:color w:val="auto"/>
          <w:szCs w:val="21"/>
          <w:highlight w:val="none"/>
          <w:shd w:val="clear" w:color="auto" w:fill="FFFFFF"/>
          <w:lang w:eastAsia="zh-CN"/>
        </w:rPr>
        <w:t>以合同约定为准</w:t>
      </w:r>
      <w:r>
        <w:rPr>
          <w:rFonts w:hint="eastAsia" w:ascii="宋体" w:hAnsi="宋体" w:eastAsia="宋体" w:cs="宋体"/>
          <w:color w:val="auto"/>
          <w:szCs w:val="21"/>
          <w:highlight w:val="none"/>
          <w:shd w:val="clear" w:color="auto" w:fill="FFFFFF"/>
          <w:lang w:val="en-US" w:eastAsia="zh-CN"/>
        </w:rPr>
        <w:t>；</w:t>
      </w:r>
    </w:p>
    <w:p>
      <w:pPr>
        <w:keepNext w:val="0"/>
        <w:keepLines w:val="0"/>
        <w:pageBreakBefore w:val="0"/>
        <w:widowControl/>
        <w:tabs>
          <w:tab w:val="left" w:pos="840"/>
        </w:tabs>
        <w:kinsoku/>
        <w:overflowPunct/>
        <w:topLinePunct w:val="0"/>
        <w:bidi w:val="0"/>
        <w:snapToGrid w:val="0"/>
        <w:spacing w:line="360" w:lineRule="auto"/>
        <w:ind w:firstLine="420" w:firstLineChars="200"/>
        <w:jc w:val="left"/>
        <w:textAlignment w:val="auto"/>
        <w:rPr>
          <w:rFonts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rPr>
        <w:t>、</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360" w:lineRule="auto"/>
        <w:jc w:val="left"/>
        <w:textAlignment w:val="auto"/>
        <w:outlineLvl w:val="1"/>
        <w:rPr>
          <w:rFonts w:ascii="宋体" w:hAnsi="宋体" w:eastAsia="宋体" w:cs="宋体"/>
          <w:b/>
          <w:bCs/>
          <w:color w:val="auto"/>
          <w:kern w:val="2"/>
          <w:sz w:val="21"/>
          <w:szCs w:val="21"/>
          <w:shd w:val="clear" w:color="auto" w:fill="FFFFFF"/>
          <w:lang w:val="en-US" w:eastAsia="zh-CN" w:bidi="ar-SA"/>
        </w:rPr>
      </w:pPr>
      <w:bookmarkStart w:id="9" w:name="_Toc16639"/>
      <w:bookmarkStart w:id="10" w:name="_Toc27704"/>
      <w:bookmarkStart w:id="11" w:name="_Toc23626"/>
      <w:bookmarkStart w:id="12"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r>
        <w:rPr>
          <w:rFonts w:hint="eastAsia" w:ascii="宋体" w:hAnsi="宋体" w:cs="宋体"/>
          <w:color w:val="auto"/>
          <w:kern w:val="2"/>
          <w:sz w:val="21"/>
          <w:szCs w:val="24"/>
          <w:lang w:val="en-US" w:eastAsia="zh-CN" w:bidi="ar-SA"/>
        </w:rPr>
        <w:t>。</w:t>
      </w:r>
    </w:p>
    <w:p>
      <w:pPr>
        <w:keepNext w:val="0"/>
        <w:keepLines w:val="0"/>
        <w:pageBreakBefore w:val="0"/>
        <w:widowControl w:val="0"/>
        <w:kinsoku/>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2021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kern w:val="2"/>
          <w:sz w:val="21"/>
          <w:szCs w:val="24"/>
          <w:lang w:val="en-US" w:eastAsia="zh-CN" w:bidi="ar-SA"/>
        </w:rPr>
        <w:t>。</w:t>
      </w:r>
    </w:p>
    <w:p>
      <w:pPr>
        <w:keepNext w:val="0"/>
        <w:keepLines w:val="0"/>
        <w:pageBreakBefore w:val="0"/>
        <w:widowControl w:val="0"/>
        <w:kinsoku/>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r>
        <w:rPr>
          <w:rFonts w:hint="eastAsia" w:ascii="宋体" w:hAnsi="宋体" w:cs="宋体"/>
          <w:color w:val="auto"/>
          <w:kern w:val="2"/>
          <w:sz w:val="21"/>
          <w:szCs w:val="24"/>
          <w:lang w:val="en-US" w:eastAsia="zh-CN" w:bidi="ar-SA"/>
        </w:rPr>
        <w:t>。</w:t>
      </w:r>
    </w:p>
    <w:p>
      <w:pPr>
        <w:keepNext w:val="0"/>
        <w:keepLines w:val="0"/>
        <w:pageBreakBefore w:val="0"/>
        <w:widowControl w:val="0"/>
        <w:kinsoku/>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r>
        <w:rPr>
          <w:rFonts w:hint="eastAsia" w:ascii="宋体" w:hAnsi="宋体" w:cs="宋体"/>
          <w:color w:val="auto"/>
          <w:kern w:val="2"/>
          <w:sz w:val="21"/>
          <w:szCs w:val="24"/>
          <w:lang w:val="en-US" w:eastAsia="zh-CN" w:bidi="ar-SA"/>
        </w:rPr>
        <w:t>。</w:t>
      </w:r>
    </w:p>
    <w:p>
      <w:pPr>
        <w:keepNext w:val="0"/>
        <w:keepLines w:val="0"/>
        <w:pageBreakBefore w:val="0"/>
        <w:widowControl w:val="0"/>
        <w:kinsoku/>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r>
        <w:rPr>
          <w:rFonts w:hint="eastAsia" w:ascii="宋体" w:hAnsi="宋体" w:cs="宋体"/>
          <w:color w:val="auto"/>
          <w:kern w:val="2"/>
          <w:sz w:val="21"/>
          <w:szCs w:val="24"/>
          <w:lang w:val="en-US" w:eastAsia="zh-CN" w:bidi="ar-SA"/>
        </w:rPr>
        <w:t>。</w:t>
      </w:r>
    </w:p>
    <w:p>
      <w:pPr>
        <w:keepNext w:val="0"/>
        <w:keepLines w:val="0"/>
        <w:pageBreakBefore w:val="0"/>
        <w:widowControl w:val="0"/>
        <w:kinsoku/>
        <w:overflowPunct/>
        <w:topLinePunct w:val="0"/>
        <w:autoSpaceDE w:val="0"/>
        <w:autoSpaceDN w:val="0"/>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ascii="宋体" w:hAnsi="宋体" w:eastAsia="宋体" w:cs="宋体"/>
          <w:color w:val="auto"/>
          <w:kern w:val="2"/>
          <w:sz w:val="21"/>
          <w:szCs w:val="24"/>
          <w:highlight w:val="none"/>
          <w:lang w:val="en-US" w:eastAsia="zh-CN" w:bidi="ar-SA"/>
        </w:rPr>
        <w:t>6</w:t>
      </w:r>
      <w:r>
        <w:rPr>
          <w:rFonts w:hint="eastAsia"/>
          <w:color w:val="auto"/>
          <w:highlight w:val="none"/>
          <w:lang w:val="en-US" w:eastAsia="zh-CN"/>
        </w:rPr>
        <w:t>、投标产品若属于医疗器械，则须符合《医疗器械监督管理条例》（国务院令第 739号）相关规定，取得医疗器械产品注册证或产品备案凭证；若投标若投标产品不属于医疗器械应提供相应的证明资料或情况说明。</w:t>
      </w:r>
    </w:p>
    <w:p>
      <w:pPr>
        <w:keepNext w:val="0"/>
        <w:keepLines w:val="0"/>
        <w:pageBreakBefore w:val="0"/>
        <w:widowControl w:val="0"/>
        <w:kinsoku/>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i w:val="0"/>
          <w:iCs w:val="0"/>
          <w:caps w:val="0"/>
          <w:color w:val="333333"/>
          <w:spacing w:val="0"/>
          <w:sz w:val="21"/>
          <w:szCs w:val="21"/>
          <w:u w:val="none"/>
          <w:shd w:val="clear" w:fill="FFFFFF"/>
          <w:lang w:eastAsia="zh-CN"/>
        </w:rPr>
      </w:pPr>
      <w:r>
        <w:rPr>
          <w:rFonts w:hint="eastAsia"/>
          <w:color w:val="auto"/>
          <w:highlight w:val="none"/>
          <w:lang w:val="en-US" w:eastAsia="zh-CN"/>
        </w:rPr>
        <w:t>7、供应商</w:t>
      </w:r>
      <w:r>
        <w:rPr>
          <w:rFonts w:hint="eastAsia" w:ascii="宋体" w:hAnsi="宋体" w:eastAsia="宋体" w:cs="宋体"/>
          <w:i w:val="0"/>
          <w:iCs w:val="0"/>
          <w:caps w:val="0"/>
          <w:color w:val="333333"/>
          <w:spacing w:val="0"/>
          <w:sz w:val="21"/>
          <w:szCs w:val="21"/>
          <w:u w:val="none"/>
          <w:shd w:val="clear" w:fill="FFFFFF"/>
        </w:rPr>
        <w:t>为境内生产商</w:t>
      </w:r>
      <w:r>
        <w:rPr>
          <w:rFonts w:hint="eastAsia" w:ascii="宋体" w:hAnsi="宋体" w:eastAsia="宋体" w:cs="宋体"/>
          <w:i w:val="0"/>
          <w:iCs w:val="0"/>
          <w:caps w:val="0"/>
          <w:color w:val="333333"/>
          <w:spacing w:val="0"/>
          <w:sz w:val="21"/>
          <w:szCs w:val="21"/>
          <w:u w:val="none"/>
          <w:shd w:val="clear" w:fill="FFFFFF"/>
          <w:lang w:eastAsia="zh-CN"/>
        </w:rPr>
        <w:t>的</w:t>
      </w:r>
      <w:r>
        <w:rPr>
          <w:rFonts w:hint="eastAsia" w:ascii="宋体" w:hAnsi="宋体" w:eastAsia="宋体" w:cs="宋体"/>
          <w:i w:val="0"/>
          <w:iCs w:val="0"/>
          <w:caps w:val="0"/>
          <w:color w:val="333333"/>
          <w:spacing w:val="0"/>
          <w:sz w:val="21"/>
          <w:szCs w:val="21"/>
          <w:u w:val="none"/>
          <w:shd w:val="clear" w:fill="FFFFFF"/>
        </w:rPr>
        <w:t>应具有符合《医疗器械监督管理条例》（国务院令第739 号）相适应的生产资格（投标产品属于第二类或第三类医疗器械：具有有效的医疗器械生产许可证；投标产品属于第一类医疗器械：具有有效的医疗器械生产备案凭证）</w:t>
      </w:r>
      <w:r>
        <w:rPr>
          <w:rFonts w:hint="eastAsia" w:ascii="宋体" w:hAnsi="宋体" w:eastAsia="宋体" w:cs="宋体"/>
          <w:i w:val="0"/>
          <w:iCs w:val="0"/>
          <w:caps w:val="0"/>
          <w:color w:val="333333"/>
          <w:spacing w:val="0"/>
          <w:sz w:val="21"/>
          <w:szCs w:val="21"/>
          <w:u w:val="none"/>
          <w:shd w:val="clear" w:fill="FFFFFF"/>
          <w:lang w:eastAsia="zh-CN"/>
        </w:rPr>
        <w:t>；若投标产品不属于医疗器械应提供相应的证明资料或情况说明。</w:t>
      </w:r>
    </w:p>
    <w:p>
      <w:pPr>
        <w:keepNext w:val="0"/>
        <w:keepLines w:val="0"/>
        <w:pageBreakBefore w:val="0"/>
        <w:widowControl w:val="0"/>
        <w:kinsoku/>
        <w:overflowPunct/>
        <w:topLinePunct w:val="0"/>
        <w:autoSpaceDE w:val="0"/>
        <w:autoSpaceDN w:val="0"/>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供应商为代理商的应具有符合《医疗器械监督管理条例》（国务院令第 739 号）相适应的经营资格（投标产品属于第二类医疗器械：具有有效的医疗器械经营备案凭证；投标产品属于第三类医疗器械：具有有效的医疗器械经营许可证）；若投标产品属于第一类医疗器械或投标产品不属于医疗器械应提供相应的证明资料或情况说明。</w:t>
      </w:r>
    </w:p>
    <w:p>
      <w:pPr>
        <w:keepNext w:val="0"/>
        <w:keepLines w:val="0"/>
        <w:pageBreakBefore w:val="0"/>
        <w:widowControl w:val="0"/>
        <w:kinsoku/>
        <w:overflowPunct/>
        <w:topLinePunct w:val="0"/>
        <w:autoSpaceDE w:val="0"/>
        <w:autoSpaceDN w:val="0"/>
        <w:bidi w:val="0"/>
        <w:adjustRightInd w:val="0"/>
        <w:snapToGrid w:val="0"/>
        <w:spacing w:line="36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auto"/>
          <w:lang w:val="en-US" w:eastAsia="zh-CN"/>
        </w:rPr>
        <w:t>8、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w:t>
      </w:r>
      <w:r>
        <w:rPr>
          <w:rFonts w:hint="eastAsia"/>
          <w:color w:val="000000" w:themeColor="text1"/>
          <w:lang w:val="en-US" w:eastAsia="zh-CN"/>
          <w14:textFill>
            <w14:solidFill>
              <w14:schemeClr w14:val="tx1"/>
            </w14:solidFill>
          </w14:textFill>
        </w:rPr>
        <w:t>中国政府采购网】；</w:t>
      </w:r>
    </w:p>
    <w:p>
      <w:pPr>
        <w:keepNext w:val="0"/>
        <w:keepLines w:val="0"/>
        <w:pageBreakBefore w:val="0"/>
        <w:widowControl w:val="0"/>
        <w:kinsoku/>
        <w:overflowPunct/>
        <w:topLinePunct w:val="0"/>
        <w:autoSpaceDE w:val="0"/>
        <w:autoSpaceDN w:val="0"/>
        <w:bidi w:val="0"/>
        <w:adjustRightInd w:val="0"/>
        <w:snapToGrid w:val="0"/>
        <w:spacing w:line="360" w:lineRule="auto"/>
        <w:ind w:firstLine="420" w:firstLineChars="200"/>
        <w:textAlignment w:val="auto"/>
        <w:rPr>
          <w:rFonts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9</w:t>
      </w:r>
      <w:r>
        <w:rPr>
          <w:rFonts w:hint="eastAsia" w:ascii="宋体" w:hAnsi="宋体" w:eastAsia="宋体" w:cs="宋体"/>
          <w:color w:val="000000" w:themeColor="text1"/>
          <w:kern w:val="2"/>
          <w:sz w:val="21"/>
          <w:szCs w:val="24"/>
          <w:lang w:val="en-US" w:eastAsia="zh-CN" w:bidi="ar-SA"/>
          <w14:textFill>
            <w14:solidFill>
              <w14:schemeClr w14:val="tx1"/>
            </w14:solidFill>
          </w14:textFill>
        </w:rPr>
        <w:t>、不接受联合体投标。</w:t>
      </w:r>
    </w:p>
    <w:p>
      <w:pPr>
        <w:keepNext w:val="0"/>
        <w:keepLines w:val="0"/>
        <w:pageBreakBefore w:val="0"/>
        <w:widowControl/>
        <w:kinsoku/>
        <w:overflowPunct/>
        <w:topLinePunct w:val="0"/>
        <w:bidi w:val="0"/>
        <w:snapToGrid w:val="0"/>
        <w:spacing w:before="0" w:after="0" w:line="360" w:lineRule="auto"/>
        <w:jc w:val="left"/>
        <w:textAlignment w:val="auto"/>
        <w:outlineLvl w:val="1"/>
        <w:rPr>
          <w:rFonts w:ascii="宋体" w:hAnsi="宋体" w:eastAsia="宋体" w:cs="宋体"/>
          <w:b/>
          <w:bCs/>
          <w:color w:val="000000" w:themeColor="text1"/>
          <w:kern w:val="2"/>
          <w:sz w:val="21"/>
          <w:szCs w:val="24"/>
          <w:lang w:val="en-US" w:eastAsia="zh-CN" w:bidi="ar-SA"/>
          <w14:textFill>
            <w14:solidFill>
              <w14:schemeClr w14:val="tx1"/>
            </w14:solidFill>
          </w14:textFill>
        </w:rPr>
      </w:pPr>
      <w:bookmarkStart w:id="13" w:name="_Toc30643"/>
      <w:bookmarkStart w:id="14" w:name="_Toc9562"/>
      <w:bookmarkStart w:id="15" w:name="_Toc7823"/>
      <w:bookmarkStart w:id="16" w:name="_Toc30971"/>
      <w:bookmarkStart w:id="17" w:name="_Toc23395"/>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360" w:lineRule="auto"/>
        <w:ind w:firstLine="420" w:firstLineChars="200"/>
        <w:jc w:val="left"/>
        <w:textAlignment w:val="auto"/>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1</w:t>
      </w:r>
      <w:r>
        <w:rPr>
          <w:rFonts w:hint="eastAsia" w:ascii="宋体" w:hAnsi="宋体" w:cs="宋体"/>
          <w:color w:val="000000" w:themeColor="text1"/>
          <w:szCs w:val="21"/>
          <w:shd w:val="clear" w:color="auto" w:fill="FFFFFF"/>
          <w:lang w:val="en-US" w:eastAsia="zh-CN"/>
          <w14:textFill>
            <w14:solidFill>
              <w14:schemeClr w14:val="tx1"/>
            </w14:solidFill>
          </w14:textFill>
        </w:rPr>
        <w:t>报</w:t>
      </w:r>
      <w:r>
        <w:rPr>
          <w:rFonts w:hint="eastAsia" w:ascii="宋体" w:hAnsi="宋体" w:cs="宋体"/>
          <w:color w:val="000000" w:themeColor="text1"/>
          <w:szCs w:val="21"/>
          <w:shd w:val="clear" w:color="auto" w:fill="FFFFFF"/>
          <w:lang w:val="en-US" w:eastAsia="zh-CN"/>
          <w14:textFill>
            <w14:solidFill>
              <w14:schemeClr w14:val="tx1"/>
            </w14:solidFill>
          </w14:textFill>
        </w:rPr>
        <w:t>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000000" w:themeColor="text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05</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highlight w:val="none"/>
          <w:shd w:val="clear" w:color="auto" w:fill="FFFFFF"/>
          <w14:textFill>
            <w14:solidFill>
              <w14:schemeClr w14:val="tx1"/>
            </w14:solidFill>
          </w14:textFill>
        </w:rPr>
        <w:t>，上</w:t>
      </w:r>
      <w:r>
        <w:rPr>
          <w:rFonts w:hint="eastAsia" w:ascii="宋体" w:hAnsi="宋体" w:eastAsia="宋体" w:cs="宋体"/>
          <w:color w:val="000000" w:themeColor="text1"/>
          <w:szCs w:val="21"/>
          <w:shd w:val="clear" w:color="auto" w:fill="FFFFFF"/>
          <w14:textFill>
            <w14:solidFill>
              <w14:schemeClr w14:val="tx1"/>
            </w14:solidFill>
          </w14:textFill>
        </w:rPr>
        <w:t>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：200元。</w:t>
      </w: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2.每报名任何一个项目的供应商，</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需交纳2000元投标保证金</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360" w:lineRule="auto"/>
        <w:ind w:left="0" w:leftChars="0" w:firstLine="420" w:firstLineChars="200"/>
        <w:jc w:val="left"/>
        <w:textAlignment w:val="auto"/>
        <w:rPr>
          <w:rFonts w:ascii="宋体" w:hAnsi="宋体" w:eastAsia="宋体" w:cs="宋体"/>
          <w:color w:val="000000" w:themeColor="text1"/>
          <w:kern w:val="0"/>
          <w:sz w:val="21"/>
          <w:szCs w:val="21"/>
          <w:u w:val="singl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fldChar w:fldCharType="begin"/>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instrText xml:space="preserve"> HYPERLINK "mailto:hnwxzb2@163.com并标明XX" </w:instrTex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fldChar w:fldCharType="separate"/>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934027204</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@qq.com</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并标明XX</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fldChar w:fldCharType="end"/>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项目报名资料；审核通过后按要求交纳</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报名费</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及投标保证金。</w:t>
      </w:r>
    </w:p>
    <w:p>
      <w:pPr>
        <w:keepNext w:val="0"/>
        <w:keepLines w:val="0"/>
        <w:pageBreakBefore w:val="0"/>
        <w:widowControl/>
        <w:kinsoku/>
        <w:wordWrap w:val="0"/>
        <w:overflowPunct/>
        <w:topLinePunct w:val="0"/>
        <w:bidi w:val="0"/>
        <w:snapToGrid w:val="0"/>
        <w:spacing w:before="0" w:beforeAutospacing="0" w:after="0" w:afterAutospacing="0" w:line="360" w:lineRule="auto"/>
        <w:ind w:left="420" w:leftChars="200"/>
        <w:jc w:val="left"/>
        <w:textAlignment w:val="auto"/>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4.报名登记表：请从附件中下载。</w:t>
      </w:r>
    </w:p>
    <w:p>
      <w:pPr>
        <w:keepNext w:val="0"/>
        <w:keepLines w:val="0"/>
        <w:pageBreakBefore w:val="0"/>
        <w:widowControl/>
        <w:kinsoku/>
        <w:overflowPunct/>
        <w:topLinePunct w:val="0"/>
        <w:bidi w:val="0"/>
        <w:snapToGrid w:val="0"/>
        <w:spacing w:before="0" w:after="0" w:line="360" w:lineRule="auto"/>
        <w:jc w:val="left"/>
        <w:textAlignment w:val="auto"/>
        <w:outlineLvl w:val="1"/>
        <w:rPr>
          <w:rFonts w:ascii="宋体" w:hAnsi="宋体" w:eastAsia="宋体" w:cs="宋体"/>
          <w:b/>
          <w:bCs/>
          <w:color w:val="000000" w:themeColor="text1"/>
          <w:kern w:val="2"/>
          <w:sz w:val="21"/>
          <w:szCs w:val="21"/>
          <w:lang w:val="en-US" w:eastAsia="zh-CN" w:bidi="ar-SA"/>
          <w14:textFill>
            <w14:solidFill>
              <w14:schemeClr w14:val="tx1"/>
            </w14:solidFill>
          </w14:textFill>
        </w:rPr>
      </w:pPr>
      <w:bookmarkStart w:id="18" w:name="_Toc15111"/>
      <w:bookmarkStart w:id="19" w:name="_Toc27480"/>
      <w:bookmarkStart w:id="20" w:name="_Toc15135"/>
      <w:bookmarkStart w:id="21" w:name="_Toc10738"/>
      <w:bookmarkStart w:id="22" w:name="_Toc2586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详见采购文件</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详见采购文件</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after="0" w:line="360" w:lineRule="auto"/>
        <w:jc w:val="left"/>
        <w:textAlignment w:val="auto"/>
        <w:outlineLvl w:val="1"/>
        <w:rPr>
          <w:rFonts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五、开标时间及地点</w:t>
      </w: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详见采购文件</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详见采购文件</w:t>
      </w:r>
      <w:r>
        <w:rPr>
          <w:rFonts w:hint="eastAsia" w:ascii="宋体" w:hAnsi="宋体" w:eastAsia="宋体" w:cs="宋体"/>
          <w:color w:val="000000" w:themeColor="text1"/>
          <w:kern w:val="0"/>
          <w:sz w:val="21"/>
          <w:szCs w:val="21"/>
          <w:u w:val="none"/>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after="0" w:line="360" w:lineRule="auto"/>
        <w:jc w:val="left"/>
        <w:textAlignment w:val="auto"/>
        <w:outlineLvl w:val="1"/>
        <w:rPr>
          <w:rFonts w:ascii="宋体" w:hAnsi="宋体" w:eastAsia="宋体" w:cs="宋体"/>
          <w:b/>
          <w:bCs/>
          <w:color w:val="000000" w:themeColor="text1"/>
          <w:kern w:val="2"/>
          <w:sz w:val="21"/>
          <w:szCs w:val="21"/>
          <w:lang w:val="en-US" w:eastAsia="zh-CN" w:bidi="ar-SA"/>
          <w14:textFill>
            <w14:solidFill>
              <w14:schemeClr w14:val="tx1"/>
            </w14:solidFill>
          </w14:textFill>
        </w:rPr>
      </w:pPr>
      <w:bookmarkStart w:id="23" w:name="_Toc29784"/>
      <w:bookmarkStart w:id="24" w:name="_Toc30918"/>
      <w:bookmarkStart w:id="25" w:name="_Toc20287"/>
      <w:bookmarkStart w:id="26" w:name="_Toc6523"/>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六、发布公告的媒介及</w:t>
      </w: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采购</w:t>
      </w:r>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本次</w:t>
      </w: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采购</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公告在《驻马店市中心医院》</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院内</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网</w:t>
      </w:r>
      <w:r>
        <w:rPr>
          <w:rFonts w:hint="eastAsia" w:ascii="宋体" w:hAnsi="宋体" w:eastAsia="宋体" w:cs="宋体"/>
          <w:color w:val="000000" w:themeColor="text1"/>
          <w:sz w:val="21"/>
          <w:szCs w:val="21"/>
          <w:shd w:val="clear" w:color="auto" w:fill="auto"/>
          <w14:textFill>
            <w14:solidFill>
              <w14:schemeClr w14:val="tx1"/>
            </w14:solidFill>
          </w14:textFill>
        </w:rPr>
        <w:t>上发布</w:t>
      </w:r>
      <w:r>
        <w:rPr>
          <w:rFonts w:hint="eastAsia" w:ascii="宋体" w:hAnsi="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采购</w:t>
      </w:r>
      <w:r>
        <w:rPr>
          <w:rFonts w:hint="eastAsia" w:ascii="宋体" w:hAnsi="宋体" w:cs="宋体"/>
          <w:color w:val="000000" w:themeColor="text1"/>
          <w:sz w:val="21"/>
          <w:szCs w:val="21"/>
          <w:highlight w:val="none"/>
          <w:shd w:val="clear" w:color="auto" w:fill="auto"/>
          <w:lang w:eastAsia="zh-CN"/>
          <w14:textFill>
            <w14:solidFill>
              <w14:schemeClr w14:val="tx1"/>
            </w14:solidFill>
          </w14:textFill>
        </w:rPr>
        <w:t>公告期限为</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三</w:t>
      </w:r>
      <w:r>
        <w:rPr>
          <w:rFonts w:hint="eastAsia" w:ascii="宋体" w:hAnsi="宋体" w:cs="宋体"/>
          <w:color w:val="000000" w:themeColor="text1"/>
          <w:sz w:val="21"/>
          <w:szCs w:val="21"/>
          <w:highlight w:val="none"/>
          <w:shd w:val="clear" w:color="auto" w:fill="auto"/>
          <w:lang w:eastAsia="zh-CN"/>
          <w14:textFill>
            <w14:solidFill>
              <w14:schemeClr w14:val="tx1"/>
            </w14:solidFill>
          </w14:textFill>
        </w:rPr>
        <w:t>个工作日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bookmarkStart w:id="27" w:name="_Toc35393626"/>
      <w:bookmarkStart w:id="28" w:name="_Toc35393795"/>
    </w:p>
    <w:bookmarkEnd w:id="27"/>
    <w:bookmarkEnd w:id="28"/>
    <w:p>
      <w:pPr>
        <w:keepNext w:val="0"/>
        <w:keepLines w:val="0"/>
        <w:pageBreakBefore w:val="0"/>
        <w:widowControl/>
        <w:kinsoku/>
        <w:overflowPunct/>
        <w:topLinePunct w:val="0"/>
        <w:bidi w:val="0"/>
        <w:snapToGrid w:val="0"/>
        <w:spacing w:before="0" w:after="0" w:line="360" w:lineRule="auto"/>
        <w:jc w:val="left"/>
        <w:textAlignment w:val="auto"/>
        <w:outlineLvl w:val="1"/>
        <w:rPr>
          <w:rFonts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29" w:name="_Toc16291"/>
      <w:bookmarkStart w:id="30" w:name="_Toc27370"/>
      <w:bookmarkStart w:id="31" w:name="_Toc31928"/>
      <w:bookmarkStart w:id="32" w:name="_Toc3604"/>
      <w:bookmarkStart w:id="33" w:name="_Toc24274"/>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八、</w:t>
      </w:r>
      <w:bookmarkEnd w:id="29"/>
      <w:bookmarkEnd w:id="30"/>
      <w:bookmarkEnd w:id="31"/>
      <w:bookmarkEnd w:id="32"/>
      <w:bookmarkEnd w:id="33"/>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 xml:space="preserve">报名联系人：陈先生 </w:t>
      </w: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 xml:space="preserve">联系电话：18838148020 </w:t>
      </w: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联系人：陈先生</w:t>
      </w: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联系电话：0396-2726379</w:t>
      </w: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联系邮箱：</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fldChar w:fldCharType="begin"/>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instrText xml:space="preserve"> HYPERLINK "mailto:zxyyjzcgbgs@163.com" </w:instrTex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fldChar w:fldCharType="separate"/>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zxyyjzcgbgs@163.com</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fldChar w:fldCharType="end"/>
      </w: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监督电话：0396-2725435</w:t>
      </w:r>
    </w:p>
    <w:p>
      <w:pPr>
        <w:pStyle w:val="30"/>
        <w:keepNext w:val="0"/>
        <w:keepLines w:val="0"/>
        <w:pageBreakBefore w:val="0"/>
        <w:kinsoku/>
        <w:overflowPunct/>
        <w:topLinePunct w:val="0"/>
        <w:bidi w:val="0"/>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kinsoku/>
        <w:overflowPunct/>
        <w:topLinePunct w:val="0"/>
        <w:bidi w:val="0"/>
        <w:snapToGrid w:val="0"/>
        <w:spacing w:before="0" w:beforeAutospacing="0" w:after="0" w:afterAutospacing="0" w:line="360" w:lineRule="auto"/>
        <w:ind w:firstLine="420" w:firstLineChars="200"/>
        <w:jc w:val="right"/>
        <w:textAlignment w:val="auto"/>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驻</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马店市中心医院采购科</w:t>
      </w:r>
    </w:p>
    <w:p>
      <w:pPr>
        <w:pStyle w:val="28"/>
        <w:keepNext w:val="0"/>
        <w:keepLines w:val="0"/>
        <w:pageBreakBefore w:val="0"/>
        <w:widowControl/>
        <w:kinsoku/>
        <w:overflowPunct/>
        <w:topLinePunct w:val="0"/>
        <w:bidi w:val="0"/>
        <w:snapToGrid w:val="0"/>
        <w:spacing w:before="0" w:beforeAutospacing="0" w:after="0" w:afterAutospacing="0" w:line="360" w:lineRule="auto"/>
        <w:ind w:firstLine="420" w:firstLineChars="200"/>
        <w:jc w:val="right"/>
        <w:textAlignment w:val="auto"/>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2022年</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0</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7</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04</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31536"/>
      <w:bookmarkStart w:id="38" w:name="_Toc23610"/>
      <w:bookmarkStart w:id="39" w:name="_Toc9989"/>
    </w:p>
    <w:bookmarkEnd w:id="37"/>
    <w:bookmarkEnd w:id="38"/>
    <w:bookmarkEnd w:id="39"/>
    <w:p>
      <w:pPr>
        <w:widowControl/>
        <w:adjustRightInd w:val="0"/>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一、项目名称、数量：驻马店市中心医院纯水机采购项目。</w:t>
      </w:r>
    </w:p>
    <w:p>
      <w:pPr>
        <w:widowControl/>
        <w:adjustRightInd w:val="0"/>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二、项目用途说明：纯水机采购。 </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三、配置规格、附件及零配件（包括专用工具）：</w:t>
      </w:r>
      <w:r>
        <w:rPr>
          <w:rFonts w:hint="eastAsia" w:ascii="宋体" w:hAnsi="宋体" w:eastAsia="宋体" w:cs="宋体"/>
          <w:color w:val="auto"/>
          <w:kern w:val="2"/>
          <w:sz w:val="21"/>
          <w:szCs w:val="21"/>
          <w:highlight w:val="none"/>
          <w:lang w:val="en-US" w:eastAsia="zh-CN" w:bidi="ar-SA"/>
        </w:rPr>
        <w:t xml:space="preserve">                                                      </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2"/>
              <w:ind w:left="0" w:leftChars="0"/>
              <w:jc w:val="center"/>
              <w:rPr>
                <w:rFonts w:ascii="宋体" w:hAnsi="宋体"/>
                <w:b/>
                <w:bCs/>
                <w:sz w:val="21"/>
                <w:szCs w:val="21"/>
              </w:rPr>
            </w:pPr>
            <w:r>
              <w:rPr>
                <w:rFonts w:hint="eastAsia" w:ascii="宋体" w:hAnsi="宋体"/>
                <w:b/>
                <w:bCs/>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2"/>
              <w:ind w:left="0" w:leftChars="0"/>
              <w:jc w:val="center"/>
              <w:rPr>
                <w:rFonts w:ascii="宋体" w:hAnsi="宋体"/>
                <w:b/>
                <w:bCs/>
                <w:sz w:val="21"/>
                <w:szCs w:val="21"/>
              </w:rPr>
            </w:pPr>
            <w:r>
              <w:rPr>
                <w:rFonts w:hint="eastAsia" w:ascii="宋体" w:hAnsi="宋体"/>
                <w:b/>
                <w:bCs/>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2"/>
              <w:ind w:left="0" w:leftChars="0"/>
              <w:jc w:val="center"/>
              <w:rPr>
                <w:rFonts w:ascii="宋体" w:hAnsi="宋体"/>
                <w:b/>
                <w:bCs/>
                <w:sz w:val="21"/>
                <w:szCs w:val="21"/>
              </w:rPr>
            </w:pPr>
            <w:r>
              <w:rPr>
                <w:rFonts w:hint="eastAsia" w:ascii="宋体" w:hAnsi="宋体"/>
                <w:b/>
                <w:bCs/>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2"/>
              <w:ind w:left="0" w:leftChars="0"/>
              <w:jc w:val="center"/>
              <w:rPr>
                <w:rFonts w:hint="eastAsia" w:ascii="宋体" w:hAnsi="宋体" w:eastAsia="宋体"/>
                <w:b/>
                <w:bCs/>
                <w:sz w:val="21"/>
                <w:szCs w:val="21"/>
                <w:lang w:eastAsia="zh-CN"/>
              </w:rPr>
            </w:pPr>
            <w:r>
              <w:rPr>
                <w:rFonts w:hint="eastAsia" w:ascii="宋体" w:hAnsi="宋体"/>
                <w:b/>
                <w:bCs/>
                <w:sz w:val="21"/>
                <w:szCs w:val="21"/>
              </w:rPr>
              <w:t>资金预算</w:t>
            </w:r>
            <w:r>
              <w:rPr>
                <w:rFonts w:hint="eastAsia" w:ascii="宋体" w:hAnsi="宋体"/>
                <w:b/>
                <w:bCs/>
                <w:sz w:val="21"/>
                <w:szCs w:val="21"/>
                <w:lang w:eastAsia="zh-CN"/>
              </w:rPr>
              <w:t>（万元）</w:t>
            </w:r>
          </w:p>
        </w:tc>
        <w:tc>
          <w:tcPr>
            <w:tcW w:w="1554" w:type="dxa"/>
            <w:tcBorders>
              <w:top w:val="single" w:color="auto" w:sz="4" w:space="0"/>
              <w:left w:val="nil"/>
              <w:bottom w:val="single" w:color="auto" w:sz="4" w:space="0"/>
              <w:right w:val="single" w:color="auto" w:sz="4" w:space="0"/>
            </w:tcBorders>
            <w:vAlign w:val="center"/>
          </w:tcPr>
          <w:p>
            <w:pPr>
              <w:pStyle w:val="12"/>
              <w:ind w:left="0" w:leftChars="0"/>
              <w:jc w:val="center"/>
              <w:rPr>
                <w:rFonts w:ascii="宋体" w:hAnsi="宋体"/>
                <w:b/>
                <w:bCs/>
                <w:sz w:val="21"/>
                <w:szCs w:val="21"/>
              </w:rPr>
            </w:pPr>
            <w:r>
              <w:rPr>
                <w:rFonts w:hint="eastAsia" w:ascii="宋体" w:hAnsi="宋体"/>
                <w:b/>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tcPr>
          <w:p>
            <w:pPr>
              <w:pStyle w:val="12"/>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718" w:type="dxa"/>
            <w:tcBorders>
              <w:top w:val="single" w:color="auto" w:sz="4" w:space="0"/>
              <w:left w:val="nil"/>
              <w:bottom w:val="single" w:color="auto" w:sz="4" w:space="0"/>
              <w:right w:val="single" w:color="auto" w:sz="4" w:space="0"/>
            </w:tcBorders>
          </w:tcPr>
          <w:p>
            <w:pPr>
              <w:pStyle w:val="12"/>
              <w:jc w:val="center"/>
              <w:rPr>
                <w:rFonts w:hint="eastAsia" w:ascii="宋体" w:hAnsi="宋体" w:eastAsia="宋体"/>
                <w:sz w:val="21"/>
                <w:szCs w:val="21"/>
                <w:lang w:eastAsia="zh-CN"/>
              </w:rPr>
            </w:pPr>
            <w:r>
              <w:rPr>
                <w:rFonts w:hint="eastAsia" w:ascii="宋体" w:hAnsi="宋体"/>
                <w:sz w:val="21"/>
                <w:szCs w:val="21"/>
                <w:lang w:eastAsia="zh-CN"/>
              </w:rPr>
              <w:t>纯水机</w:t>
            </w:r>
          </w:p>
        </w:tc>
        <w:tc>
          <w:tcPr>
            <w:tcW w:w="1736" w:type="dxa"/>
            <w:tcBorders>
              <w:top w:val="single" w:color="auto" w:sz="4" w:space="0"/>
              <w:left w:val="nil"/>
              <w:bottom w:val="single" w:color="auto" w:sz="4" w:space="0"/>
              <w:right w:val="single" w:color="auto" w:sz="4" w:space="0"/>
            </w:tcBorders>
          </w:tcPr>
          <w:p>
            <w:pPr>
              <w:pStyle w:val="12"/>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1473" w:type="dxa"/>
            <w:tcBorders>
              <w:top w:val="single" w:color="auto" w:sz="4" w:space="0"/>
              <w:left w:val="nil"/>
              <w:bottom w:val="single" w:color="auto" w:sz="4" w:space="0"/>
              <w:right w:val="single" w:color="auto" w:sz="4" w:space="0"/>
            </w:tcBorders>
          </w:tcPr>
          <w:p>
            <w:pPr>
              <w:pStyle w:val="12"/>
              <w:jc w:val="center"/>
              <w:rPr>
                <w:rFonts w:hint="default" w:ascii="宋体" w:hAnsi="宋体" w:eastAsia="宋体"/>
                <w:sz w:val="21"/>
                <w:szCs w:val="21"/>
                <w:lang w:val="en-US" w:eastAsia="zh-CN"/>
              </w:rPr>
            </w:pPr>
            <w:r>
              <w:rPr>
                <w:rFonts w:hint="eastAsia" w:ascii="宋体" w:hAnsi="宋体"/>
                <w:sz w:val="21"/>
                <w:szCs w:val="21"/>
                <w:lang w:val="en-US" w:eastAsia="zh-CN"/>
              </w:rPr>
              <w:t>24</w:t>
            </w:r>
          </w:p>
        </w:tc>
        <w:tc>
          <w:tcPr>
            <w:tcW w:w="1554" w:type="dxa"/>
            <w:tcBorders>
              <w:top w:val="single" w:color="auto" w:sz="4" w:space="0"/>
              <w:left w:val="nil"/>
              <w:bottom w:val="single" w:color="auto" w:sz="4" w:space="0"/>
              <w:right w:val="single" w:color="auto" w:sz="4" w:space="0"/>
            </w:tcBorders>
          </w:tcPr>
          <w:p>
            <w:pPr>
              <w:pStyle w:val="12"/>
              <w:rPr>
                <w:rFonts w:hint="eastAsia" w:ascii="宋体" w:hAnsi="宋体" w:eastAsia="宋体"/>
                <w:sz w:val="21"/>
                <w:szCs w:val="21"/>
                <w:lang w:eastAsia="zh-CN"/>
              </w:rPr>
            </w:pPr>
            <w:r>
              <w:rPr>
                <w:rFonts w:hint="eastAsia" w:ascii="宋体" w:hAnsi="宋体"/>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tcPr>
          <w:p>
            <w:pPr>
              <w:pStyle w:val="12"/>
              <w:ind w:left="0" w:leftChars="0"/>
              <w:rPr>
                <w:rFonts w:ascii="宋体" w:hAnsi="宋体"/>
                <w:b/>
                <w:bCs/>
                <w:sz w:val="21"/>
                <w:szCs w:val="21"/>
              </w:rPr>
            </w:pPr>
            <w:r>
              <w:rPr>
                <w:rFonts w:hint="eastAsia" w:ascii="宋体" w:hAnsi="宋体"/>
                <w:b/>
                <w:bCs/>
                <w:sz w:val="21"/>
                <w:szCs w:val="21"/>
              </w:rPr>
              <w:t>合计</w:t>
            </w:r>
          </w:p>
        </w:tc>
        <w:tc>
          <w:tcPr>
            <w:tcW w:w="2718" w:type="dxa"/>
            <w:tcBorders>
              <w:top w:val="single" w:color="auto" w:sz="4" w:space="0"/>
              <w:left w:val="nil"/>
              <w:bottom w:val="single" w:color="auto" w:sz="4" w:space="0"/>
              <w:right w:val="single" w:color="auto" w:sz="4" w:space="0"/>
            </w:tcBorders>
          </w:tcPr>
          <w:p>
            <w:pPr>
              <w:pStyle w:val="12"/>
              <w:jc w:val="center"/>
              <w:rPr>
                <w:rFonts w:ascii="宋体" w:hAnsi="宋体"/>
                <w:sz w:val="21"/>
                <w:szCs w:val="21"/>
              </w:rPr>
            </w:pPr>
          </w:p>
        </w:tc>
        <w:tc>
          <w:tcPr>
            <w:tcW w:w="1736" w:type="dxa"/>
            <w:tcBorders>
              <w:top w:val="single" w:color="auto" w:sz="4" w:space="0"/>
              <w:left w:val="nil"/>
              <w:bottom w:val="single" w:color="auto" w:sz="4" w:space="0"/>
              <w:right w:val="single" w:color="auto" w:sz="4" w:space="0"/>
            </w:tcBorders>
          </w:tcPr>
          <w:p>
            <w:pPr>
              <w:pStyle w:val="12"/>
              <w:jc w:val="center"/>
              <w:rPr>
                <w:rFonts w:ascii="宋体" w:hAnsi="宋体"/>
                <w:sz w:val="21"/>
                <w:szCs w:val="21"/>
              </w:rPr>
            </w:pPr>
          </w:p>
        </w:tc>
        <w:tc>
          <w:tcPr>
            <w:tcW w:w="1473" w:type="dxa"/>
            <w:tcBorders>
              <w:top w:val="single" w:color="auto" w:sz="4" w:space="0"/>
              <w:left w:val="nil"/>
              <w:bottom w:val="single" w:color="auto" w:sz="4" w:space="0"/>
              <w:right w:val="single" w:color="auto" w:sz="4" w:space="0"/>
            </w:tcBorders>
          </w:tcPr>
          <w:p>
            <w:pPr>
              <w:pStyle w:val="12"/>
              <w:jc w:val="center"/>
              <w:rPr>
                <w:rFonts w:ascii="宋体" w:hAnsi="宋体"/>
                <w:sz w:val="21"/>
                <w:szCs w:val="21"/>
              </w:rPr>
            </w:pPr>
            <w:r>
              <w:rPr>
                <w:rFonts w:hint="eastAsia" w:ascii="宋体" w:hAnsi="宋体"/>
                <w:sz w:val="21"/>
                <w:szCs w:val="21"/>
                <w:lang w:val="en-US" w:eastAsia="zh-CN"/>
              </w:rPr>
              <w:t>24</w:t>
            </w:r>
          </w:p>
        </w:tc>
        <w:tc>
          <w:tcPr>
            <w:tcW w:w="1554" w:type="dxa"/>
            <w:tcBorders>
              <w:top w:val="single" w:color="auto" w:sz="4" w:space="0"/>
              <w:left w:val="nil"/>
              <w:bottom w:val="single" w:color="auto" w:sz="4" w:space="0"/>
              <w:right w:val="single" w:color="auto" w:sz="4" w:space="0"/>
            </w:tcBorders>
          </w:tcPr>
          <w:p>
            <w:pPr>
              <w:pStyle w:val="12"/>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tcPr>
          <w:p>
            <w:pPr>
              <w:pStyle w:val="12"/>
              <w:ind w:left="0" w:leftChars="0"/>
              <w:rPr>
                <w:rFonts w:hint="eastAsia" w:ascii="宋体" w:hAnsi="宋体" w:eastAsia="宋体"/>
                <w:b/>
                <w:bCs/>
                <w:sz w:val="21"/>
                <w:szCs w:val="21"/>
                <w:lang w:val="en-US" w:eastAsia="zh-CN"/>
              </w:rPr>
            </w:pPr>
            <w:r>
              <w:rPr>
                <w:rFonts w:hint="eastAsia" w:ascii="宋体" w:hAnsi="宋体"/>
                <w:b/>
                <w:bCs/>
                <w:sz w:val="21"/>
                <w:szCs w:val="21"/>
                <w:lang w:val="en-US" w:eastAsia="zh-CN"/>
              </w:rPr>
              <w:t>备注</w:t>
            </w:r>
          </w:p>
        </w:tc>
        <w:tc>
          <w:tcPr>
            <w:tcW w:w="7481" w:type="dxa"/>
            <w:gridSpan w:val="4"/>
            <w:tcBorders>
              <w:top w:val="single" w:color="auto" w:sz="4" w:space="0"/>
              <w:left w:val="nil"/>
              <w:bottom w:val="single" w:color="auto" w:sz="4" w:space="0"/>
              <w:right w:val="single" w:color="auto" w:sz="4" w:space="0"/>
            </w:tcBorders>
          </w:tcPr>
          <w:p>
            <w:pPr>
              <w:pStyle w:val="12"/>
              <w:ind w:left="0" w:leftChars="0" w:firstLine="0" w:firstLineChars="0"/>
              <w:jc w:val="both"/>
              <w:rPr>
                <w:rFonts w:ascii="宋体" w:hAnsi="宋体"/>
                <w:sz w:val="21"/>
                <w:szCs w:val="21"/>
              </w:rPr>
            </w:pPr>
            <w:r>
              <w:rPr>
                <w:rFonts w:hint="eastAsia" w:ascii="宋体" w:hAnsi="宋体"/>
                <w:b/>
                <w:bCs/>
                <w:sz w:val="21"/>
                <w:szCs w:val="21"/>
                <w:u w:val="none"/>
                <w:lang w:val="en-US" w:eastAsia="zh-CN"/>
              </w:rPr>
              <w:t>投标供应商需对设备常用耗材进行报价。</w:t>
            </w:r>
          </w:p>
        </w:tc>
      </w:tr>
    </w:tbl>
    <w:p>
      <w:pPr>
        <w:pStyle w:val="12"/>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四</w:t>
      </w:r>
      <w:r>
        <w:rPr>
          <w:rFonts w:hint="eastAsia" w:ascii="宋体" w:hAnsi="宋体" w:eastAsia="宋体" w:cs="宋体"/>
          <w:color w:val="auto"/>
          <w:kern w:val="2"/>
          <w:sz w:val="21"/>
          <w:szCs w:val="21"/>
          <w:highlight w:val="none"/>
          <w:lang w:val="en-US" w:eastAsia="zh-CN" w:bidi="ar-SA"/>
        </w:rPr>
        <w:t>、详细技术要求、参数及产品资料等：</w:t>
      </w:r>
    </w:p>
    <w:tbl>
      <w:tblPr>
        <w:tblStyle w:val="32"/>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sz w:val="21"/>
                <w:szCs w:val="21"/>
                <w:u w:val="none"/>
              </w:rPr>
            </w:pPr>
            <w:r>
              <w:rPr>
                <w:rFonts w:hint="eastAsia" w:ascii="宋体" w:hAnsi="宋体" w:eastAsia="宋体" w:cs="宋体"/>
                <w:b/>
                <w:bCs/>
                <w:sz w:val="21"/>
                <w:szCs w:val="21"/>
                <w:u w:val="none"/>
              </w:rPr>
              <w:t>纯水机技术要求：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1.设备产水量：≥3000L/h（25℃）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2. 产水水质：满足WS310.1-2016《医院消毒供应中心管理规范》用水要求，电导率≤5μS/cm（25℃）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3水利用率：≥</w:t>
            </w:r>
            <w:r>
              <w:rPr>
                <w:rFonts w:hint="eastAsia" w:ascii="宋体" w:hAnsi="宋体" w:eastAsia="宋体" w:cs="宋体"/>
                <w:sz w:val="21"/>
                <w:szCs w:val="21"/>
                <w:u w:val="none"/>
                <w:lang w:val="en-US" w:eastAsia="zh-CN"/>
              </w:rPr>
              <w:t>7</w:t>
            </w:r>
            <w:r>
              <w:rPr>
                <w:rFonts w:hint="eastAsia" w:ascii="宋体" w:hAnsi="宋体" w:eastAsia="宋体" w:cs="宋体"/>
                <w:sz w:val="21"/>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4.设备脱盐率：≥99%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5.处理方式：预处理系统+双级反渗透系统+恒压变频输送杀菌系统</w:t>
            </w:r>
            <w:r>
              <w:rPr>
                <w:rFonts w:hint="eastAsia" w:ascii="宋体" w:hAnsi="宋体" w:eastAsia="宋体" w:cs="宋体"/>
                <w:sz w:val="21"/>
                <w:szCs w:val="21"/>
                <w:u w:val="none"/>
                <w:lang w:val="en-US" w:eastAsia="zh-CN"/>
              </w:rPr>
              <w:t>+循环供水管路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6.设备性能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w:t>
            </w:r>
            <w:r>
              <w:rPr>
                <w:rFonts w:hint="eastAsia" w:ascii="宋体" w:hAnsi="宋体" w:eastAsia="宋体" w:cs="宋体"/>
                <w:sz w:val="21"/>
                <w:szCs w:val="21"/>
                <w:u w:val="none"/>
              </w:rPr>
              <w:t>6.1 PLC+触摸屏全自动控制，通过液位联锁，设备自动开停机，实现无人值守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6.2设备具备开机自动冲洗、自动制水、低压保护、无水保护、漏水保护、过热保护等功能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6.3 具备低压、低液位、水质超标、热过载、漏水等声光报警功能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w:t>
            </w:r>
            <w:r>
              <w:rPr>
                <w:rFonts w:hint="eastAsia" w:ascii="宋体" w:hAnsi="宋体" w:eastAsia="宋体" w:cs="宋体"/>
                <w:sz w:val="21"/>
                <w:szCs w:val="21"/>
                <w:u w:val="none"/>
              </w:rPr>
              <w:t>6.4具备运行参数、声光报警、耗材更换等历史记录，储存查阅拷贝功能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6.5多功能监测实现压力、流量、电导率等参数的在线显示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6.6具备耗材寿命智能管理、更换提醒功能。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w:t>
            </w:r>
            <w:r>
              <w:rPr>
                <w:rFonts w:hint="eastAsia" w:ascii="宋体" w:hAnsi="宋体" w:eastAsia="宋体" w:cs="宋体"/>
                <w:sz w:val="21"/>
                <w:szCs w:val="21"/>
                <w:u w:val="none"/>
              </w:rPr>
              <w:t>6.7</w:t>
            </w:r>
            <w:r>
              <w:rPr>
                <w:rFonts w:hint="eastAsia" w:ascii="宋体" w:hAnsi="宋体" w:eastAsia="宋体" w:cs="宋体"/>
                <w:sz w:val="21"/>
                <w:szCs w:val="21"/>
                <w:u w:val="none"/>
                <w:lang w:val="en-US" w:eastAsia="zh-CN"/>
              </w:rPr>
              <w:t>具备故障报警时，具备故障原因分析功能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6.8供水系统采用变频恒压技术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6.9</w:t>
            </w:r>
            <w:r>
              <w:rPr>
                <w:rFonts w:hint="eastAsia" w:ascii="宋体" w:hAnsi="宋体" w:eastAsia="宋体" w:cs="宋体"/>
                <w:sz w:val="21"/>
                <w:szCs w:val="21"/>
                <w:u w:val="none"/>
              </w:rPr>
              <w:t>预处理具有自动冲洗功能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val="en-US" w:eastAsia="zh-CN"/>
              </w:rPr>
              <w:t>10</w:t>
            </w:r>
            <w:r>
              <w:rPr>
                <w:rFonts w:hint="eastAsia" w:ascii="宋体" w:hAnsi="宋体" w:eastAsia="宋体" w:cs="宋体"/>
                <w:sz w:val="21"/>
                <w:szCs w:val="21"/>
                <w:u w:val="none"/>
              </w:rPr>
              <w:t>主机管路采用卫生级不锈钢材质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6.1</w:t>
            </w: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rPr>
              <w:t>主机一体化结构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6.12</w:t>
            </w:r>
            <w:r>
              <w:rPr>
                <w:rFonts w:hint="eastAsia" w:ascii="宋体" w:hAnsi="宋体" w:eastAsia="宋体" w:cs="宋体"/>
                <w:sz w:val="21"/>
                <w:szCs w:val="21"/>
                <w:u w:val="none"/>
              </w:rPr>
              <w:t>智能平衡系统确保设备运行的稳定与安全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7主要配置要求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7.1原水箱：采用304不锈钢制作，补水水位自动控制，设置最低点排污口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7.2 原水泵</w:t>
            </w:r>
            <w:r>
              <w:rPr>
                <w:rFonts w:hint="eastAsia" w:ascii="宋体" w:hAnsi="宋体" w:eastAsia="宋体" w:cs="宋体"/>
                <w:sz w:val="21"/>
                <w:szCs w:val="21"/>
                <w:u w:val="none"/>
                <w:lang w:eastAsia="zh-CN"/>
              </w:rPr>
              <w:t>为知名</w:t>
            </w:r>
            <w:r>
              <w:rPr>
                <w:rFonts w:hint="eastAsia" w:ascii="宋体" w:hAnsi="宋体" w:eastAsia="宋体" w:cs="宋体"/>
                <w:sz w:val="21"/>
                <w:szCs w:val="21"/>
                <w:u w:val="none"/>
              </w:rPr>
              <w:t>品牌，泵体材质304不锈钢，流量和扬程满足要求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7.3</w:t>
            </w:r>
            <w:r>
              <w:rPr>
                <w:rFonts w:hint="eastAsia" w:ascii="宋体" w:hAnsi="宋体" w:eastAsia="宋体" w:cs="宋体"/>
                <w:sz w:val="21"/>
                <w:szCs w:val="21"/>
                <w:u w:val="none"/>
                <w:lang w:val="en-US" w:eastAsia="zh-CN"/>
              </w:rPr>
              <w:t>石英砂过滤器：滤料为精制石英砂；罐体材质为进口品牌；配备自动过滤阀，可以实现定期自动反冲洗。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7.4</w:t>
            </w:r>
            <w:r>
              <w:rPr>
                <w:rFonts w:hint="eastAsia" w:ascii="宋体" w:hAnsi="宋体" w:eastAsia="宋体" w:cs="宋体"/>
                <w:sz w:val="21"/>
                <w:szCs w:val="21"/>
                <w:u w:val="none"/>
                <w:lang w:val="en-US" w:eastAsia="zh-CN"/>
              </w:rPr>
              <w:t>活性炭过滤器：滤料为优质椰壳炭；罐体材质为进口品牌； 配备自动过滤阀，可以实现定期自动反冲洗。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7.5阻垢剂添加装置：计量泵采用进口品牌</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与制水联锁，实现自动加药</w:t>
            </w:r>
            <w:r>
              <w:rPr>
                <w:rFonts w:hint="eastAsia" w:ascii="宋体" w:hAnsi="宋体" w:eastAsia="宋体" w:cs="宋体"/>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7.6 精密过滤器：采用过滤精度5μm PP棉滤芯，滤筒采用304不锈钢材质。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7.7高压泵：采用</w:t>
            </w:r>
            <w:r>
              <w:rPr>
                <w:rFonts w:hint="eastAsia" w:ascii="宋体" w:hAnsi="宋体" w:eastAsia="宋体" w:cs="宋体"/>
                <w:sz w:val="21"/>
                <w:szCs w:val="21"/>
                <w:u w:val="none"/>
                <w:lang w:eastAsia="zh-CN"/>
              </w:rPr>
              <w:t>知名</w:t>
            </w:r>
            <w:r>
              <w:rPr>
                <w:rFonts w:hint="eastAsia" w:ascii="宋体" w:hAnsi="宋体" w:eastAsia="宋体" w:cs="宋体"/>
                <w:sz w:val="21"/>
                <w:szCs w:val="21"/>
                <w:u w:val="none"/>
              </w:rPr>
              <w:t>品牌，泵体材质304不锈钢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7.8反渗透膜要求：脱盐率≥99%、膜片类型为芳香族聚酰胺复合膜；数量不少于7只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7.9膜壳要求：材质304不锈钢</w:t>
            </w:r>
            <w:r>
              <w:rPr>
                <w:rFonts w:hint="eastAsia" w:ascii="宋体" w:hAnsi="宋体" w:eastAsia="宋体" w:cs="宋体"/>
                <w:sz w:val="21"/>
                <w:szCs w:val="21"/>
                <w:u w:val="none"/>
                <w:lang w:val="en-US" w:eastAsia="zh-CN"/>
              </w:rPr>
              <w:t>，</w:t>
            </w:r>
            <w:r>
              <w:rPr>
                <w:rFonts w:hint="eastAsia" w:ascii="宋体" w:hAnsi="宋体" w:eastAsia="宋体" w:cs="宋体"/>
                <w:sz w:val="21"/>
                <w:szCs w:val="21"/>
                <w:u w:val="none"/>
              </w:rPr>
              <w:t>数量不少于7只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7.1</w:t>
            </w:r>
            <w:r>
              <w:rPr>
                <w:rFonts w:hint="eastAsia" w:ascii="宋体" w:hAnsi="宋体" w:eastAsia="宋体" w:cs="宋体"/>
                <w:sz w:val="21"/>
                <w:szCs w:val="21"/>
                <w:u w:val="none"/>
                <w:lang w:val="en-US" w:eastAsia="zh-CN"/>
              </w:rPr>
              <w:t>0</w:t>
            </w:r>
            <w:r>
              <w:rPr>
                <w:rFonts w:hint="eastAsia" w:ascii="宋体" w:hAnsi="宋体" w:eastAsia="宋体" w:cs="宋体"/>
                <w:sz w:val="21"/>
                <w:szCs w:val="21"/>
                <w:u w:val="none"/>
              </w:rPr>
              <w:t>主机管道连接采用304不锈钢管件</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主机装有万向轮方便移动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7.11纯水</w:t>
            </w:r>
            <w:r>
              <w:rPr>
                <w:rFonts w:hint="eastAsia" w:ascii="宋体" w:hAnsi="宋体" w:eastAsia="宋体" w:cs="宋体"/>
                <w:sz w:val="21"/>
                <w:szCs w:val="21"/>
                <w:u w:val="none"/>
              </w:rPr>
              <w:t>水箱采用无菌水箱，304不锈钢材质，补水水位自动控制，配有呼吸器及喷淋球。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7.12</w:t>
            </w:r>
            <w:r>
              <w:rPr>
                <w:rFonts w:hint="eastAsia" w:ascii="宋体" w:hAnsi="宋体" w:eastAsia="宋体" w:cs="宋体"/>
                <w:sz w:val="21"/>
                <w:szCs w:val="21"/>
                <w:u w:val="none"/>
              </w:rPr>
              <w:t>纯水供水系统要求：纯水供水泵采用</w:t>
            </w:r>
            <w:r>
              <w:rPr>
                <w:rFonts w:hint="eastAsia" w:ascii="宋体" w:hAnsi="宋体" w:eastAsia="宋体" w:cs="宋体"/>
                <w:sz w:val="21"/>
                <w:szCs w:val="21"/>
                <w:u w:val="none"/>
                <w:lang w:eastAsia="zh-CN"/>
              </w:rPr>
              <w:t>知名</w:t>
            </w:r>
            <w:r>
              <w:rPr>
                <w:rFonts w:hint="eastAsia" w:ascii="宋体" w:hAnsi="宋体" w:eastAsia="宋体" w:cs="宋体"/>
                <w:sz w:val="21"/>
                <w:szCs w:val="21"/>
                <w:u w:val="none"/>
              </w:rPr>
              <w:t>品牌，泵体材质304 不锈钢，采用恒压变频控制，并配备杀菌装置。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48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after="120" w:line="360" w:lineRule="exact"/>
              <w:ind w:left="0" w:leftChars="0" w:firstLine="0" w:firstLineChars="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7.13纯水供水管道采用循环管路，带有杀菌系统，管道长度约 200 米，管道材质采用 304 不锈钢，管径≥DN32。</w:t>
            </w:r>
          </w:p>
        </w:tc>
      </w:tr>
    </w:tbl>
    <w:p>
      <w:pPr>
        <w:pStyle w:val="12"/>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五</w:t>
      </w:r>
      <w:r>
        <w:rPr>
          <w:rFonts w:hint="eastAsia" w:ascii="宋体" w:hAnsi="宋体" w:eastAsia="宋体" w:cs="宋体"/>
          <w:color w:val="auto"/>
          <w:kern w:val="2"/>
          <w:sz w:val="21"/>
          <w:szCs w:val="21"/>
          <w:highlight w:val="none"/>
          <w:lang w:val="en-US" w:eastAsia="zh-CN" w:bidi="ar-SA"/>
        </w:rPr>
        <w:t>、售后服务条件及交货日期（或工期）：</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1、从产品最终验收合格之日起，整机保修≥两年，出具相关服务承诺书。</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2、费用：在保修期内，由于非人为因素货物故障所产生的费用由供应商负责。</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3、响应：供应商应保证在12小时内对用户提出的问题或故障予以响应及处理。</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4、供应商应免费提供维护手册、维修手册、软件备份、故障代码表、备件清单、零部件、维修密码等维护维修必需的材料和信息。</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5、培训：免费提供操作培训和维修培训。</w:t>
      </w:r>
    </w:p>
    <w:p>
      <w:pPr>
        <w:widowControl/>
        <w:adjustRightInd w:val="0"/>
        <w:snapToGrid w:val="0"/>
        <w:spacing w:line="360" w:lineRule="auto"/>
        <w:jc w:val="left"/>
        <w:rPr>
          <w:rFonts w:ascii="宋体" w:hAnsi="宋体"/>
          <w:sz w:val="28"/>
          <w:szCs w:val="28"/>
          <w:u w:val="single"/>
        </w:rPr>
      </w:pPr>
      <w:r>
        <w:rPr>
          <w:rFonts w:hint="eastAsia" w:ascii="宋体" w:hAnsi="宋体" w:eastAsia="宋体" w:cs="宋体"/>
          <w:color w:val="auto"/>
          <w:kern w:val="2"/>
          <w:sz w:val="21"/>
          <w:szCs w:val="21"/>
          <w:highlight w:val="none"/>
          <w:lang w:val="en-US" w:eastAsia="zh-CN" w:bidi="ar-SA"/>
        </w:rPr>
        <w:t>6、免费为医院对接院内信息系统。</w:t>
      </w:r>
    </w:p>
    <w:p/>
    <w:p>
      <w:pPr>
        <w:pStyle w:val="12"/>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br w:type="page"/>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hint="eastAsia" w:ascii="宋体" w:hAnsi="宋体" w:eastAsia="宋体" w:cs="宋体"/>
                <w:color w:val="auto"/>
                <w:kern w:val="0"/>
                <w:szCs w:val="21"/>
                <w:highlight w:val="none"/>
                <w:lang w:eastAsia="zh-CN"/>
              </w:rPr>
            </w:pPr>
            <w:r>
              <w:rPr>
                <w:rFonts w:hint="eastAsia" w:ascii="宋体" w:hAnsi="宋体" w:cs="宋体"/>
                <w:b w:val="0"/>
                <w:bCs w:val="0"/>
                <w:sz w:val="21"/>
                <w:szCs w:val="21"/>
                <w:lang w:eastAsia="zh-CN"/>
              </w:rPr>
              <w:t>以合同约定为准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bl>
    <w:p>
      <w:pPr>
        <w:pStyle w:val="30"/>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hint="eastAsia" w:ascii="宋体" w:hAnsi="宋体" w:eastAsia="宋体" w:cs="宋体"/>
                <w:color w:val="auto"/>
                <w:spacing w:val="14"/>
                <w:szCs w:val="21"/>
                <w:highlight w:val="none"/>
                <w:lang w:val="en-US" w:eastAsia="zh-CN"/>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eastAsia="宋体" w:cs="宋体"/>
                <w:color w:val="auto"/>
              </w:rPr>
              <w:t>驻马店市中心医院</w:t>
            </w:r>
            <w:r>
              <w:rPr>
                <w:rFonts w:hint="eastAsia" w:ascii="宋体" w:hAnsi="宋体" w:cs="宋体"/>
                <w:color w:val="auto"/>
                <w:lang w:eastAsia="zh-CN"/>
              </w:rPr>
              <w:t>纯水机采购项目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240000.00</w:t>
            </w:r>
            <w:r>
              <w:rPr>
                <w:rFonts w:hint="eastAsia" w:ascii="宋体" w:hAnsi="宋体" w:cs="宋体"/>
                <w:color w:val="auto"/>
                <w:kern w:val="0"/>
                <w:szCs w:val="21"/>
                <w:highlight w:val="none"/>
              </w:rPr>
              <w:t>元</w:t>
            </w:r>
            <w:r>
              <w:rPr>
                <w:rFonts w:hint="eastAsia" w:ascii="宋体" w:hAnsi="宋体" w:cs="宋体"/>
                <w:color w:val="auto"/>
                <w:kern w:val="0"/>
                <w:szCs w:val="21"/>
                <w:highlight w:val="none"/>
                <w:lang w:val="en-US"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240000.00</w:t>
      </w:r>
      <w:r>
        <w:rPr>
          <w:rFonts w:hint="eastAsia" w:ascii="宋体" w:hAnsi="宋体" w:cs="宋体"/>
          <w:b/>
          <w:bCs/>
          <w:color w:val="auto"/>
          <w:kern w:val="0"/>
          <w:szCs w:val="21"/>
          <w:highlight w:val="none"/>
        </w:rPr>
        <w:t>元。</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2021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4.5 </w:t>
      </w:r>
      <w:r>
        <w:rPr>
          <w:rFonts w:hint="eastAsia" w:ascii="宋体" w:hAnsi="宋体" w:cs="宋体"/>
          <w:color w:val="auto"/>
          <w:szCs w:val="21"/>
          <w:highlight w:val="none"/>
          <w:lang w:val="en-US" w:eastAsia="zh-CN"/>
        </w:rPr>
        <w:t>投标产品若属于医疗器械，则须符合《医疗器械监督管理条例》（国务院令第 739号）相关规定，取得医疗器械产品注册证或产品备案凭证；若投标若投标产品不属于医疗器械应提供相应的证明资料或情况说明。</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为境内生产商</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应具有符合《医疗器械监督管理条例》（国务院令第739 号）相适应的生产资格（投标产品属于第二类或第三类医疗器械：具有有效的医疗器械生产许可证；投标产品属于第一类医疗器械：具有有效的医疗器械生产备案凭证）</w:t>
      </w:r>
      <w:r>
        <w:rPr>
          <w:rFonts w:hint="eastAsia" w:ascii="宋体" w:hAnsi="宋体" w:cs="宋体"/>
          <w:color w:val="auto"/>
          <w:szCs w:val="21"/>
          <w:highlight w:val="none"/>
          <w:lang w:eastAsia="zh-CN"/>
        </w:rPr>
        <w:t>；若投标产品不属于医疗器械应提供相应的证明资料或情况说明。</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供应商为代理商的应具有符合《医疗器械监督管理条例》（国务院令第 739 号）相适应的经营资格（投标产品属于第二类医疗器械：具有有效的医疗器械经营备案凭证；投标产品属于第三类医疗器械：具有有效的医疗器械经营许可证）；若投标产品属于第一类医疗器械或投标产品不属于医疗器械应提供相应的证明资料或情况说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eastAsia="zh-CN"/>
        </w:rPr>
        <w:t>交货</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bookmarkStart w:id="91" w:name="_GoBack"/>
            <w:bookmarkEnd w:id="91"/>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50"/>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rFonts w:hint="eastAsia" w:eastAsia="宋体"/>
          <w:color w:val="auto"/>
          <w:sz w:val="24"/>
          <w:highlight w:val="none"/>
          <w:lang w:eastAsia="zh-CN"/>
        </w:rPr>
      </w:pPr>
      <w:bookmarkStart w:id="58" w:name="_Toc6234"/>
      <w:r>
        <w:rPr>
          <w:rFonts w:hint="eastAsia"/>
          <w:color w:val="auto"/>
          <w:sz w:val="24"/>
          <w:highlight w:val="none"/>
        </w:rPr>
        <w:t>附件6 商务响应</w:t>
      </w:r>
      <w:bookmarkEnd w:id="58"/>
      <w:r>
        <w:rPr>
          <w:rFonts w:hint="eastAsia"/>
          <w:color w:val="auto"/>
          <w:sz w:val="24"/>
          <w:highlight w:val="none"/>
          <w:lang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snapToGrid w:val="0"/>
        <w:spacing w:line="360" w:lineRule="auto"/>
        <w:ind w:firstLine="480" w:firstLineChars="200"/>
        <w:rPr>
          <w:rFonts w:hint="eastAsia"/>
          <w:color w:val="auto"/>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50"/>
        <w:rPr>
          <w:rFonts w:hAnsi="宋体"/>
          <w:b/>
          <w:bCs/>
          <w:color w:val="auto"/>
          <w:highlight w:val="none"/>
        </w:rPr>
      </w:pPr>
    </w:p>
    <w:p>
      <w:pPr>
        <w:pStyle w:val="50"/>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cs="宋体"/>
          <w:b/>
          <w:snapToGrid w:val="0"/>
          <w:color w:val="auto"/>
          <w:spacing w:val="0"/>
          <w:kern w:val="0"/>
          <w:sz w:val="44"/>
          <w:szCs w:val="44"/>
          <w:highlight w:val="none"/>
          <w:u w:val="none"/>
          <w:lang w:val="en-US" w:eastAsia="zh-CN"/>
        </w:rPr>
        <w:t>纯水机采购项目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50"/>
        <w:spacing w:line="360" w:lineRule="auto"/>
        <w:rPr>
          <w:rFonts w:hint="eastAsia" w:ascii="宋体" w:hAnsi="宋体" w:eastAsia="宋体" w:cs="宋体"/>
          <w:color w:val="auto"/>
          <w:highlight w:val="none"/>
        </w:rPr>
      </w:pPr>
    </w:p>
    <w:p>
      <w:pPr>
        <w:pStyle w:val="50"/>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hint="eastAsia" w:ascii="宋体" w:hAnsi="宋体" w:cs="宋体"/>
                <w:color w:val="auto"/>
                <w:kern w:val="0"/>
                <w:szCs w:val="21"/>
                <w:highlight w:val="none"/>
              </w:rPr>
            </w:pPr>
            <w:r>
              <w:rPr>
                <w:rFonts w:hint="eastAsia" w:ascii="宋体" w:hAnsi="宋体"/>
                <w:szCs w:val="21"/>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8"/>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2"/>
        <w:rPr>
          <w:bCs/>
          <w:color w:val="auto"/>
          <w:kern w:val="0"/>
          <w:highlight w:val="none"/>
        </w:rPr>
      </w:pPr>
    </w:p>
    <w:p>
      <w:pPr>
        <w:pStyle w:val="52"/>
        <w:rPr>
          <w:bCs/>
          <w:color w:val="auto"/>
          <w:kern w:val="0"/>
          <w:highlight w:val="none"/>
        </w:rPr>
      </w:pPr>
    </w:p>
    <w:p>
      <w:pPr>
        <w:pStyle w:val="52"/>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9960"/>
      <w:bookmarkStart w:id="79" w:name="_Toc2042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8"/>
          <w:highlight w:val="none"/>
        </w:rPr>
        <w:t>商务响应</w:t>
      </w:r>
      <w:r>
        <w:rPr>
          <w:rFonts w:hint="eastAsia" w:ascii="Arial" w:hAnsi="Arial" w:eastAsia="新宋体"/>
          <w:b/>
          <w:color w:val="auto"/>
          <w:sz w:val="28"/>
          <w:highlight w:val="none"/>
          <w:lang w:eastAsia="zh-CN"/>
        </w:rPr>
        <w:t>部分</w:t>
      </w:r>
    </w:p>
    <w:p>
      <w:pPr>
        <w:widowControl/>
        <w:wordWrap w:val="0"/>
        <w:snapToGrid w:val="0"/>
        <w:spacing w:before="50" w:afterLines="50"/>
        <w:jc w:val="left"/>
        <w:rPr>
          <w:rFonts w:cs="宋体"/>
          <w:color w:val="auto"/>
          <w:kern w:val="0"/>
          <w:sz w:val="24"/>
          <w:highlight w:val="none"/>
        </w:rPr>
      </w:pPr>
    </w:p>
    <w:p>
      <w:pPr>
        <w:widowControl/>
        <w:wordWrap w:val="0"/>
        <w:snapToGrid w:val="0"/>
        <w:spacing w:before="156" w:after="156"/>
        <w:jc w:val="both"/>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widowControl/>
        <w:wordWrap w:val="0"/>
        <w:spacing w:line="460" w:lineRule="exact"/>
        <w:jc w:val="left"/>
        <w:rPr>
          <w:rFonts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r>
        <w:rPr>
          <w:rFonts w:hint="eastAsia" w:ascii="宋体" w:hAnsi="宋体" w:cs="宋体"/>
          <w:b/>
          <w:color w:val="auto"/>
          <w:kern w:val="0"/>
          <w:sz w:val="24"/>
          <w:highlight w:val="none"/>
        </w:rPr>
        <w:br w:type="page"/>
      </w: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widowControl/>
        <w:snapToGrid w:val="0"/>
        <w:spacing w:before="156" w:after="156" w:line="360" w:lineRule="auto"/>
        <w:jc w:val="left"/>
        <w:outlineLvl w:val="0"/>
        <w:rPr>
          <w:rFonts w:hint="eastAsia" w:ascii="Arial" w:hAnsi="Arial" w:eastAsia="新宋体" w:cs="Times New Roman"/>
          <w:b/>
          <w:color w:val="auto"/>
          <w:sz w:val="28"/>
          <w:highlight w:val="none"/>
        </w:rPr>
      </w:pPr>
      <w:r>
        <w:rPr>
          <w:rFonts w:hint="eastAsia" w:ascii="Arial" w:hAnsi="Arial" w:eastAsia="新宋体" w:cs="Times New Roman"/>
          <w:b/>
          <w:color w:val="auto"/>
          <w:sz w:val="28"/>
          <w:highlight w:val="none"/>
        </w:rPr>
        <w:t>附件11                      采购项目承诺书</w:t>
      </w:r>
    </w:p>
    <w:p>
      <w:pPr>
        <w:spacing w:line="360" w:lineRule="auto"/>
        <w:rPr>
          <w:rFonts w:ascii="宋体" w:hAnsi="宋体" w:cs="宋体"/>
        </w:rPr>
      </w:pPr>
      <w:r>
        <w:rPr>
          <w:rFonts w:hint="eastAsia" w:ascii="宋体" w:hAnsi="宋体" w:cs="宋体"/>
        </w:rPr>
        <w:t>致：（采购人）</w:t>
      </w:r>
    </w:p>
    <w:p>
      <w:pPr>
        <w:spacing w:line="360" w:lineRule="auto"/>
        <w:ind w:firstLine="210" w:firstLineChars="100"/>
        <w:rPr>
          <w:rFonts w:ascii="宋体" w:hAnsi="宋体" w:cs="宋体"/>
        </w:rPr>
      </w:pPr>
      <w:r>
        <w:rPr>
          <w:rFonts w:hint="eastAsia" w:ascii="宋体" w:hAnsi="宋体" w:cs="宋体"/>
        </w:rPr>
        <w:t>本承诺书作为我方参加本次招标采购项目投标文件不可分割的一部分。我方参加本次投标特郑重做出如下承诺：</w:t>
      </w:r>
    </w:p>
    <w:p>
      <w:pPr>
        <w:spacing w:line="360" w:lineRule="auto"/>
        <w:ind w:firstLine="210" w:firstLineChars="100"/>
        <w:rPr>
          <w:rFonts w:ascii="宋体" w:hAnsi="宋体" w:cs="宋体"/>
        </w:rPr>
      </w:pPr>
      <w:r>
        <w:rPr>
          <w:rFonts w:hint="eastAsia" w:ascii="宋体" w:hAnsi="宋体" w:cs="宋体"/>
        </w:rPr>
        <w:t>1．我方已经过详细市场调查，本次所投报产品货源充足，保证不会出现无货、断货现象。</w:t>
      </w:r>
    </w:p>
    <w:p>
      <w:pPr>
        <w:spacing w:line="360" w:lineRule="auto"/>
        <w:ind w:firstLine="210" w:firstLineChars="100"/>
        <w:rPr>
          <w:rFonts w:ascii="宋体" w:hAnsi="宋体" w:cs="宋体"/>
        </w:rPr>
      </w:pPr>
      <w:r>
        <w:rPr>
          <w:rFonts w:hint="eastAsia" w:ascii="宋体" w:hAnsi="宋体" w:cs="宋体"/>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ascii="宋体" w:hAnsi="宋体" w:cs="宋体"/>
        </w:rPr>
      </w:pPr>
      <w:r>
        <w:rPr>
          <w:rFonts w:hint="eastAsia" w:ascii="宋体" w:hAnsi="宋体" w:cs="宋体"/>
        </w:rPr>
        <w:t>3．如无法按我方承诺期限如期供货，对采购人造成损失的,我方愿承担相应赔偿责任；</w:t>
      </w:r>
    </w:p>
    <w:p>
      <w:pPr>
        <w:spacing w:line="360" w:lineRule="auto"/>
        <w:ind w:firstLine="210" w:firstLineChars="100"/>
        <w:rPr>
          <w:rFonts w:ascii="宋体" w:hAnsi="宋体" w:cs="宋体"/>
        </w:rPr>
      </w:pPr>
      <w:r>
        <w:rPr>
          <w:rFonts w:hint="eastAsia" w:ascii="宋体" w:hAnsi="宋体" w:cs="宋体"/>
        </w:rPr>
        <w:t>4．采购人验收时如发现我方所供产品与投标文件中所承诺的产品型号、规格、技术参数要求不符的，我方将立即无条件更换。如因此造成交货期超出我方承诺期限的，我方愿承担合同约定的违约责任；</w:t>
      </w:r>
    </w:p>
    <w:p>
      <w:pPr>
        <w:spacing w:line="360" w:lineRule="auto"/>
        <w:ind w:firstLine="210" w:firstLineChars="100"/>
        <w:rPr>
          <w:rFonts w:ascii="宋体" w:hAnsi="宋体" w:cs="宋体"/>
        </w:rPr>
      </w:pPr>
      <w:r>
        <w:rPr>
          <w:rFonts w:hint="eastAsia" w:ascii="宋体" w:hAnsi="宋体" w:cs="宋体"/>
        </w:rPr>
        <w:t>5．我方提供的产品如不能满足采购文件要求的，采购人有权拒绝接收；</w:t>
      </w:r>
    </w:p>
    <w:p>
      <w:pPr>
        <w:spacing w:line="360" w:lineRule="auto"/>
        <w:ind w:firstLine="210" w:firstLineChars="100"/>
        <w:rPr>
          <w:rFonts w:ascii="宋体" w:hAnsi="宋体" w:cs="宋体"/>
        </w:rPr>
      </w:pPr>
      <w:r>
        <w:rPr>
          <w:rFonts w:hint="eastAsia" w:ascii="宋体" w:hAnsi="宋体" w:cs="宋体"/>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处罚决定；</w:t>
      </w:r>
    </w:p>
    <w:p>
      <w:pPr>
        <w:spacing w:line="360" w:lineRule="auto"/>
        <w:ind w:firstLine="210" w:firstLineChars="100"/>
        <w:rPr>
          <w:rFonts w:ascii="宋体" w:hAnsi="宋体" w:cs="宋体"/>
        </w:rPr>
      </w:pPr>
      <w:r>
        <w:rPr>
          <w:rFonts w:hint="eastAsia" w:ascii="宋体" w:hAnsi="宋体" w:cs="宋体"/>
        </w:rPr>
        <w:t>7．我方已详细阅读了本采购文件，保证可以完全响应采购文件中所有商务、技术要求，并理解你方或评标委员会对我方进行资格审查的权利，如在资格审查中发现我方存在有违规行为愿承担相应法律责任。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ascii="宋体" w:hAnsi="宋体" w:cs="宋体"/>
          <w:szCs w:val="21"/>
        </w:rPr>
      </w:pPr>
    </w:p>
    <w:p>
      <w:pPr>
        <w:topLinePunct/>
        <w:snapToGrid w:val="0"/>
        <w:spacing w:line="360" w:lineRule="auto"/>
        <w:rPr>
          <w:rFonts w:ascii="宋体" w:hAnsi="宋体" w:cs="宋体"/>
          <w:szCs w:val="21"/>
        </w:rPr>
      </w:pPr>
      <w:r>
        <w:rPr>
          <w:rFonts w:hint="eastAsia" w:ascii="宋体" w:hAnsi="宋体" w:cs="宋体"/>
          <w:szCs w:val="21"/>
        </w:rPr>
        <w:t>投标人：（盖章）</w:t>
      </w:r>
    </w:p>
    <w:p>
      <w:pPr>
        <w:topLinePunct/>
        <w:snapToGrid w:val="0"/>
        <w:spacing w:line="360" w:lineRule="auto"/>
        <w:rPr>
          <w:rFonts w:ascii="宋体" w:hAnsi="宋体" w:cs="宋体"/>
          <w:szCs w:val="21"/>
        </w:rPr>
      </w:pPr>
      <w:r>
        <w:rPr>
          <w:rFonts w:hint="eastAsia" w:ascii="宋体" w:hAnsi="宋体" w:cs="宋体"/>
          <w:szCs w:val="21"/>
        </w:rPr>
        <w:t>法定代表人：（盖章）</w:t>
      </w:r>
    </w:p>
    <w:p>
      <w:pPr>
        <w:spacing w:line="360" w:lineRule="auto"/>
        <w:rPr>
          <w:rFonts w:ascii="宋体" w:hAnsi="宋体" w:cs="宋体"/>
          <w:szCs w:val="21"/>
        </w:rPr>
      </w:pPr>
      <w:r>
        <w:rPr>
          <w:rFonts w:hint="eastAsia" w:ascii="宋体" w:hAnsi="宋体" w:cs="宋体"/>
          <w:szCs w:val="21"/>
        </w:rPr>
        <w:t>日期：     年     月     日</w:t>
      </w:r>
    </w:p>
    <w:p>
      <w:pPr>
        <w:spacing w:line="360" w:lineRule="auto"/>
        <w:ind w:left="370" w:leftChars="176"/>
        <w:rPr>
          <w:rFonts w:ascii="宋体" w:hAnsi="宋体" w:cs="宋体"/>
          <w:b/>
          <w:szCs w:val="21"/>
        </w:rPr>
      </w:pPr>
    </w:p>
    <w:p>
      <w:pPr>
        <w:pStyle w:val="30"/>
        <w:rPr>
          <w:rFonts w:ascii="宋体" w:hAnsi="宋体" w:cs="宋体"/>
          <w:b/>
          <w:szCs w:val="21"/>
        </w:rPr>
      </w:pPr>
    </w:p>
    <w:p>
      <w:pPr>
        <w:pStyle w:val="31"/>
      </w:pPr>
    </w:p>
    <w:p>
      <w:pPr>
        <w:pStyle w:val="48"/>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rPr>
      <w:t xml:space="preserve"> 驻马店市中心医院</w:t>
    </w:r>
    <w:r>
      <w:rPr>
        <w:rFonts w:hint="eastAsia"/>
        <w:lang w:val="en-US" w:eastAsia="zh-CN"/>
      </w:rPr>
      <w:t>纯水机采购项目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eastAsia="宋体"/>
        <w:lang w:val="en-US" w:eastAsia="zh-CN"/>
      </w:rPr>
    </w:pPr>
    <w:r>
      <w:rPr>
        <w:rFonts w:hint="eastAsia"/>
      </w:rPr>
      <w:t xml:space="preserve">                           驻马店市中心医院</w:t>
    </w:r>
    <w:r>
      <w:rPr>
        <w:rFonts w:hint="eastAsia"/>
        <w:lang w:val="en-US" w:eastAsia="zh-CN"/>
      </w:rPr>
      <w:t>纯水机采购项目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070D64"/>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885BB9"/>
    <w:rsid w:val="06983B20"/>
    <w:rsid w:val="069A3B66"/>
    <w:rsid w:val="06B91765"/>
    <w:rsid w:val="06CA2AD2"/>
    <w:rsid w:val="06CE3071"/>
    <w:rsid w:val="06D33DBA"/>
    <w:rsid w:val="06E13F9F"/>
    <w:rsid w:val="06FB0AC5"/>
    <w:rsid w:val="070D2D5D"/>
    <w:rsid w:val="07111B8D"/>
    <w:rsid w:val="07253138"/>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D01612"/>
    <w:rsid w:val="08EF0201"/>
    <w:rsid w:val="08F41DE8"/>
    <w:rsid w:val="09737462"/>
    <w:rsid w:val="099156C3"/>
    <w:rsid w:val="09A53F39"/>
    <w:rsid w:val="09A60E13"/>
    <w:rsid w:val="09D206F0"/>
    <w:rsid w:val="0A321AC2"/>
    <w:rsid w:val="0A343D4E"/>
    <w:rsid w:val="0A3E6D2E"/>
    <w:rsid w:val="0AD13A85"/>
    <w:rsid w:val="0B091954"/>
    <w:rsid w:val="0B637D77"/>
    <w:rsid w:val="0B6E5EAC"/>
    <w:rsid w:val="0BAC324F"/>
    <w:rsid w:val="0BF72F1E"/>
    <w:rsid w:val="0C237D54"/>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53B71"/>
    <w:rsid w:val="0FFD20F0"/>
    <w:rsid w:val="103E6E57"/>
    <w:rsid w:val="1041497B"/>
    <w:rsid w:val="10425FF6"/>
    <w:rsid w:val="10694D6D"/>
    <w:rsid w:val="109010E6"/>
    <w:rsid w:val="10B271F4"/>
    <w:rsid w:val="10C8275C"/>
    <w:rsid w:val="10E03539"/>
    <w:rsid w:val="10E82D1F"/>
    <w:rsid w:val="10EE5C94"/>
    <w:rsid w:val="110272F8"/>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615B06"/>
    <w:rsid w:val="1A8C5D82"/>
    <w:rsid w:val="1A994988"/>
    <w:rsid w:val="1A9B546C"/>
    <w:rsid w:val="1AA3511F"/>
    <w:rsid w:val="1AAE3B54"/>
    <w:rsid w:val="1AC10987"/>
    <w:rsid w:val="1B0C5B32"/>
    <w:rsid w:val="1B0D3E82"/>
    <w:rsid w:val="1B1652AB"/>
    <w:rsid w:val="1B181CD5"/>
    <w:rsid w:val="1B1C4D59"/>
    <w:rsid w:val="1B265306"/>
    <w:rsid w:val="1B4F2450"/>
    <w:rsid w:val="1B8C18B7"/>
    <w:rsid w:val="1BB73AE1"/>
    <w:rsid w:val="1BD2101B"/>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9460A"/>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526108"/>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0262D"/>
    <w:rsid w:val="27517A93"/>
    <w:rsid w:val="276658E8"/>
    <w:rsid w:val="277E30D2"/>
    <w:rsid w:val="27803F2A"/>
    <w:rsid w:val="279D06C5"/>
    <w:rsid w:val="27A34941"/>
    <w:rsid w:val="283C23DF"/>
    <w:rsid w:val="284C16F5"/>
    <w:rsid w:val="284E31A4"/>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0B7C95"/>
    <w:rsid w:val="2B100BA9"/>
    <w:rsid w:val="2B1E3AFC"/>
    <w:rsid w:val="2B522706"/>
    <w:rsid w:val="2B9E4F56"/>
    <w:rsid w:val="2BDB5A88"/>
    <w:rsid w:val="2BE91C37"/>
    <w:rsid w:val="2BEC3F72"/>
    <w:rsid w:val="2C083572"/>
    <w:rsid w:val="2C185F94"/>
    <w:rsid w:val="2C1F1AC4"/>
    <w:rsid w:val="2C3F3A41"/>
    <w:rsid w:val="2C4431C4"/>
    <w:rsid w:val="2C62059F"/>
    <w:rsid w:val="2C6634FA"/>
    <w:rsid w:val="2CAC022C"/>
    <w:rsid w:val="2CC11807"/>
    <w:rsid w:val="2CF14D04"/>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B1B61"/>
    <w:rsid w:val="30CF6A37"/>
    <w:rsid w:val="30D250CF"/>
    <w:rsid w:val="31002970"/>
    <w:rsid w:val="31046251"/>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37F7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3C1548"/>
    <w:rsid w:val="369B4CF0"/>
    <w:rsid w:val="36D62629"/>
    <w:rsid w:val="36D76172"/>
    <w:rsid w:val="36E833BB"/>
    <w:rsid w:val="36EB1E1B"/>
    <w:rsid w:val="36F17F0D"/>
    <w:rsid w:val="3735197D"/>
    <w:rsid w:val="373756A2"/>
    <w:rsid w:val="374F7432"/>
    <w:rsid w:val="375E0DA6"/>
    <w:rsid w:val="376A2990"/>
    <w:rsid w:val="378B61A6"/>
    <w:rsid w:val="37CD3F98"/>
    <w:rsid w:val="37DF75BA"/>
    <w:rsid w:val="37E148E2"/>
    <w:rsid w:val="38304889"/>
    <w:rsid w:val="38382675"/>
    <w:rsid w:val="3851700B"/>
    <w:rsid w:val="385246B6"/>
    <w:rsid w:val="38635F53"/>
    <w:rsid w:val="38A53DB7"/>
    <w:rsid w:val="38BF3388"/>
    <w:rsid w:val="38CC268D"/>
    <w:rsid w:val="38EC2960"/>
    <w:rsid w:val="392536E2"/>
    <w:rsid w:val="39465F15"/>
    <w:rsid w:val="396453C5"/>
    <w:rsid w:val="39922CCF"/>
    <w:rsid w:val="39A65327"/>
    <w:rsid w:val="39A65C9B"/>
    <w:rsid w:val="39BC5ED6"/>
    <w:rsid w:val="39EB39E0"/>
    <w:rsid w:val="39EF02D4"/>
    <w:rsid w:val="3A05667B"/>
    <w:rsid w:val="3A11342A"/>
    <w:rsid w:val="3A153110"/>
    <w:rsid w:val="3A2507C0"/>
    <w:rsid w:val="3A297E52"/>
    <w:rsid w:val="3A393FA7"/>
    <w:rsid w:val="3A64203E"/>
    <w:rsid w:val="3A663D00"/>
    <w:rsid w:val="3A7428D0"/>
    <w:rsid w:val="3A923AE4"/>
    <w:rsid w:val="3AA50E25"/>
    <w:rsid w:val="3AC566E3"/>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ED25E0B"/>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E47AD6"/>
    <w:rsid w:val="41FF3845"/>
    <w:rsid w:val="421104A9"/>
    <w:rsid w:val="42143B88"/>
    <w:rsid w:val="42164586"/>
    <w:rsid w:val="425B5DD1"/>
    <w:rsid w:val="4260300C"/>
    <w:rsid w:val="42800B9B"/>
    <w:rsid w:val="42A06B6C"/>
    <w:rsid w:val="42EA5650"/>
    <w:rsid w:val="42F0313A"/>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1E3304"/>
    <w:rsid w:val="444946CA"/>
    <w:rsid w:val="444B3F54"/>
    <w:rsid w:val="4476661F"/>
    <w:rsid w:val="447E3AC5"/>
    <w:rsid w:val="44A90BAA"/>
    <w:rsid w:val="44B24A20"/>
    <w:rsid w:val="44BC0BEE"/>
    <w:rsid w:val="44FB1C9C"/>
    <w:rsid w:val="454F1836"/>
    <w:rsid w:val="45676F6B"/>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912EF"/>
    <w:rsid w:val="477F1660"/>
    <w:rsid w:val="4788232A"/>
    <w:rsid w:val="478B0398"/>
    <w:rsid w:val="478F5D0B"/>
    <w:rsid w:val="47B8724E"/>
    <w:rsid w:val="47ED7BCA"/>
    <w:rsid w:val="48016F34"/>
    <w:rsid w:val="480556DB"/>
    <w:rsid w:val="48185C56"/>
    <w:rsid w:val="4832531E"/>
    <w:rsid w:val="48450F81"/>
    <w:rsid w:val="484E729D"/>
    <w:rsid w:val="485A23C2"/>
    <w:rsid w:val="48A16B62"/>
    <w:rsid w:val="48BC6222"/>
    <w:rsid w:val="48C245E9"/>
    <w:rsid w:val="48DB312A"/>
    <w:rsid w:val="48DF49D9"/>
    <w:rsid w:val="492108CC"/>
    <w:rsid w:val="49E669E4"/>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A0716B"/>
    <w:rsid w:val="4CC84335"/>
    <w:rsid w:val="4CE9350A"/>
    <w:rsid w:val="4CF632F0"/>
    <w:rsid w:val="4D0538CD"/>
    <w:rsid w:val="4D297BF3"/>
    <w:rsid w:val="4D2D0EAF"/>
    <w:rsid w:val="4D7F0082"/>
    <w:rsid w:val="4D952FD9"/>
    <w:rsid w:val="4D970662"/>
    <w:rsid w:val="4DB33393"/>
    <w:rsid w:val="4DCF1E0D"/>
    <w:rsid w:val="4DD632D9"/>
    <w:rsid w:val="4DE05DF9"/>
    <w:rsid w:val="4DE24AA5"/>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1116BD"/>
    <w:rsid w:val="542E2BC2"/>
    <w:rsid w:val="54352A96"/>
    <w:rsid w:val="54447390"/>
    <w:rsid w:val="545E1D01"/>
    <w:rsid w:val="54935B8F"/>
    <w:rsid w:val="54CC6227"/>
    <w:rsid w:val="54D10F9B"/>
    <w:rsid w:val="551D586C"/>
    <w:rsid w:val="55200298"/>
    <w:rsid w:val="55313209"/>
    <w:rsid w:val="55335E1B"/>
    <w:rsid w:val="554B7EF0"/>
    <w:rsid w:val="556F3D99"/>
    <w:rsid w:val="55860894"/>
    <w:rsid w:val="55B02DF1"/>
    <w:rsid w:val="55DC290C"/>
    <w:rsid w:val="55F01FA1"/>
    <w:rsid w:val="56990B7C"/>
    <w:rsid w:val="569E1126"/>
    <w:rsid w:val="56B80DEB"/>
    <w:rsid w:val="56E06E61"/>
    <w:rsid w:val="56F653FE"/>
    <w:rsid w:val="575B7AFD"/>
    <w:rsid w:val="57660D3F"/>
    <w:rsid w:val="57706F91"/>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7A4EE2"/>
    <w:rsid w:val="5CBB7F6F"/>
    <w:rsid w:val="5D7C3F11"/>
    <w:rsid w:val="5D9D49E0"/>
    <w:rsid w:val="5DDF1821"/>
    <w:rsid w:val="5DE057AA"/>
    <w:rsid w:val="5DEA2F91"/>
    <w:rsid w:val="5E3146A3"/>
    <w:rsid w:val="5E442F62"/>
    <w:rsid w:val="5E6C2C5B"/>
    <w:rsid w:val="5E7251A2"/>
    <w:rsid w:val="5E7C3591"/>
    <w:rsid w:val="5E9D0E18"/>
    <w:rsid w:val="5EA2144B"/>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A3757A"/>
    <w:rsid w:val="60C2109A"/>
    <w:rsid w:val="60FF21D9"/>
    <w:rsid w:val="610671B8"/>
    <w:rsid w:val="613253FD"/>
    <w:rsid w:val="61421F29"/>
    <w:rsid w:val="61712185"/>
    <w:rsid w:val="61970898"/>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4C63491"/>
    <w:rsid w:val="64DB63AB"/>
    <w:rsid w:val="64EA6C44"/>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3E22DD"/>
    <w:rsid w:val="675608B6"/>
    <w:rsid w:val="67746F85"/>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C026E"/>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101CA"/>
    <w:rsid w:val="6C5336C7"/>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6FD92F65"/>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6F4F19"/>
    <w:rsid w:val="72A17C99"/>
    <w:rsid w:val="72AF6F7E"/>
    <w:rsid w:val="72D975AD"/>
    <w:rsid w:val="72DF5BFA"/>
    <w:rsid w:val="73047904"/>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351AE6"/>
    <w:rsid w:val="7550443E"/>
    <w:rsid w:val="755F0BCC"/>
    <w:rsid w:val="756F17F9"/>
    <w:rsid w:val="75825461"/>
    <w:rsid w:val="759926FC"/>
    <w:rsid w:val="75A24276"/>
    <w:rsid w:val="75AA231D"/>
    <w:rsid w:val="75E8633A"/>
    <w:rsid w:val="763F09AA"/>
    <w:rsid w:val="764F3FCC"/>
    <w:rsid w:val="7650339F"/>
    <w:rsid w:val="76603C9A"/>
    <w:rsid w:val="769B4A80"/>
    <w:rsid w:val="76BB1CAB"/>
    <w:rsid w:val="76C04050"/>
    <w:rsid w:val="76E65049"/>
    <w:rsid w:val="77076007"/>
    <w:rsid w:val="77413F7E"/>
    <w:rsid w:val="77835654"/>
    <w:rsid w:val="7797109C"/>
    <w:rsid w:val="779A2A38"/>
    <w:rsid w:val="77B4450A"/>
    <w:rsid w:val="77B46E73"/>
    <w:rsid w:val="77B550CB"/>
    <w:rsid w:val="77E37A12"/>
    <w:rsid w:val="77FE3468"/>
    <w:rsid w:val="78546F0C"/>
    <w:rsid w:val="78EE1C79"/>
    <w:rsid w:val="796D27FC"/>
    <w:rsid w:val="797239CC"/>
    <w:rsid w:val="79831473"/>
    <w:rsid w:val="7999527A"/>
    <w:rsid w:val="79AF76C5"/>
    <w:rsid w:val="79C25EE1"/>
    <w:rsid w:val="79CE2967"/>
    <w:rsid w:val="79EA664C"/>
    <w:rsid w:val="7A2F459A"/>
    <w:rsid w:val="7A517022"/>
    <w:rsid w:val="7A5B5615"/>
    <w:rsid w:val="7A6F5001"/>
    <w:rsid w:val="7AA2343E"/>
    <w:rsid w:val="7ADA73A4"/>
    <w:rsid w:val="7AE66B99"/>
    <w:rsid w:val="7B0A3BCA"/>
    <w:rsid w:val="7B392C93"/>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843CCE"/>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5"/>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
    <w:link w:val="73"/>
    <w:qFormat/>
    <w:uiPriority w:val="0"/>
  </w:style>
  <w:style w:type="paragraph" w:styleId="12">
    <w:name w:val="Body Text Indent"/>
    <w:basedOn w:val="1"/>
    <w:next w:val="13"/>
    <w:qFormat/>
    <w:uiPriority w:val="0"/>
    <w:pPr>
      <w:widowControl/>
      <w:spacing w:beforeAutospacing="1" w:afterAutospacing="1"/>
      <w:jc w:val="left"/>
    </w:pPr>
    <w:rPr>
      <w:rFonts w:ascii="宋体" w:hAnsi="宋体" w:cs="宋体"/>
      <w:kern w:val="0"/>
      <w:sz w:val="24"/>
    </w:rPr>
  </w:style>
  <w:style w:type="paragraph" w:customStyle="1" w:styleId="13">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14">
    <w:name w:val="List 2"/>
    <w:basedOn w:val="1"/>
    <w:qFormat/>
    <w:uiPriority w:val="0"/>
    <w:pPr>
      <w:ind w:left="100" w:leftChars="200" w:hanging="200" w:hangingChars="200"/>
    </w:pPr>
  </w:style>
  <w:style w:type="paragraph" w:styleId="15">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6">
    <w:name w:val="toc 3"/>
    <w:basedOn w:val="1"/>
    <w:next w:val="1"/>
    <w:qFormat/>
    <w:uiPriority w:val="0"/>
    <w:pPr>
      <w:tabs>
        <w:tab w:val="left" w:pos="709"/>
        <w:tab w:val="right" w:leader="dot" w:pos="8789"/>
      </w:tabs>
      <w:spacing w:line="400" w:lineRule="atLeast"/>
    </w:pPr>
    <w:rPr>
      <w:rFonts w:ascii="宋体"/>
      <w:kern w:val="0"/>
      <w:szCs w:val="20"/>
    </w:rPr>
  </w:style>
  <w:style w:type="paragraph" w:styleId="17">
    <w:name w:val="Plain Text"/>
    <w:basedOn w:val="1"/>
    <w:qFormat/>
    <w:uiPriority w:val="0"/>
    <w:pPr>
      <w:widowControl/>
      <w:spacing w:beforeAutospacing="1" w:afterAutospacing="1"/>
      <w:jc w:val="left"/>
    </w:pPr>
    <w:rPr>
      <w:rFonts w:ascii="宋体" w:hAnsi="宋体" w:cs="宋体"/>
      <w:kern w:val="0"/>
      <w:sz w:val="24"/>
    </w:rPr>
  </w:style>
  <w:style w:type="paragraph" w:styleId="18">
    <w:name w:val="Date"/>
    <w:basedOn w:val="1"/>
    <w:next w:val="1"/>
    <w:qFormat/>
    <w:uiPriority w:val="0"/>
    <w:pPr>
      <w:ind w:left="100" w:leftChars="2500"/>
    </w:pPr>
    <w:rPr>
      <w:rFonts w:ascii="宋体" w:hAnsi="宋体"/>
      <w:sz w:val="28"/>
    </w:rPr>
  </w:style>
  <w:style w:type="paragraph" w:styleId="19">
    <w:name w:val="Body Text Indent 2"/>
    <w:basedOn w:val="1"/>
    <w:qFormat/>
    <w:uiPriority w:val="0"/>
    <w:pPr>
      <w:spacing w:line="480" w:lineRule="auto"/>
      <w:ind w:left="420" w:leftChars="200"/>
    </w:p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31"/>
    <w:qFormat/>
    <w:uiPriority w:val="0"/>
    <w:pPr>
      <w:spacing w:line="360" w:lineRule="auto"/>
      <w:ind w:firstLine="420" w:firstLineChars="100"/>
    </w:pPr>
    <w:rPr>
      <w:szCs w:val="21"/>
    </w:rPr>
  </w:style>
  <w:style w:type="paragraph" w:styleId="31">
    <w:name w:val="Body Text First Indent 2"/>
    <w:basedOn w:val="12"/>
    <w:next w:val="1"/>
    <w:qFormat/>
    <w:uiPriority w:val="0"/>
    <w:pPr>
      <w:ind w:firstLine="420" w:firstLineChars="200"/>
    </w:p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9">
    <w:name w:val="No Spacing1"/>
    <w:basedOn w:val="1"/>
    <w:qFormat/>
    <w:uiPriority w:val="0"/>
    <w:pPr>
      <w:spacing w:line="400" w:lineRule="exact"/>
    </w:pPr>
    <w:rPr>
      <w:sz w:val="24"/>
    </w:rPr>
  </w:style>
  <w:style w:type="paragraph" w:customStyle="1" w:styleId="50">
    <w:name w:val="Default"/>
    <w:next w:val="5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大标题"/>
    <w:basedOn w:val="1"/>
    <w:next w:val="31"/>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4"/>
    <w:link w:val="11"/>
    <w:qFormat/>
    <w:uiPriority w:val="0"/>
  </w:style>
  <w:style w:type="character" w:customStyle="1" w:styleId="74">
    <w:name w:val="apple-converted-space"/>
    <w:basedOn w:val="34"/>
    <w:qFormat/>
    <w:uiPriority w:val="0"/>
  </w:style>
  <w:style w:type="character" w:customStyle="1" w:styleId="75">
    <w:name w:val="文档结构图 Char"/>
    <w:link w:val="8"/>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11"/>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16202</Words>
  <Characters>17008</Characters>
  <Lines>50</Lines>
  <Paragraphs>68</Paragraphs>
  <TotalTime>1</TotalTime>
  <ScaleCrop>false</ScaleCrop>
  <LinksUpToDate>false</LinksUpToDate>
  <CharactersWithSpaces>17938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2022-07-04T00:31:17Z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562A285641654D2EA086C4325B3B203C</vt:lpwstr>
  </property>
</Properties>
</file>