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lang w:val="en-US" w:eastAsia="zh-CN"/>
        </w:rPr>
      </w:pPr>
      <w:bookmarkStart w:id="0" w:name="_Toc22804073"/>
      <w:bookmarkEnd w:id="0"/>
      <w:bookmarkStart w:id="1" w:name="_Toc22953395"/>
      <w:bookmarkEnd w:id="1"/>
    </w:p>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lang w:val="en-US" w:eastAsia="zh-CN"/>
        </w:rPr>
      </w:pPr>
      <w:r>
        <w:rPr>
          <w:rFonts w:hint="eastAsia" w:ascii="黑体" w:hAnsi="黑体" w:eastAsia="黑体" w:cs="宋体"/>
          <w:bCs/>
          <w:color w:val="auto"/>
          <w:kern w:val="0"/>
          <w:sz w:val="48"/>
          <w:szCs w:val="48"/>
          <w:lang w:eastAsia="zh-CN"/>
        </w:rPr>
        <w:t>驻马店市中心医院</w:t>
      </w:r>
      <w:r>
        <w:rPr>
          <w:rFonts w:hint="eastAsia" w:ascii="黑体" w:hAnsi="黑体" w:eastAsia="黑体" w:cs="宋体"/>
          <w:bCs/>
          <w:color w:val="auto"/>
          <w:kern w:val="0"/>
          <w:sz w:val="48"/>
          <w:szCs w:val="48"/>
          <w:lang w:val="en-US" w:eastAsia="zh-CN"/>
        </w:rPr>
        <w:t>输血科和GCP药房配备UPS电源采购</w:t>
      </w:r>
      <w:r>
        <w:rPr>
          <w:rFonts w:hint="eastAsia" w:ascii="黑体" w:hAnsi="黑体" w:eastAsia="黑体" w:cs="宋体"/>
          <w:bCs/>
          <w:color w:val="auto"/>
          <w:kern w:val="0"/>
          <w:sz w:val="48"/>
          <w:szCs w:val="48"/>
          <w:lang w:eastAsia="zh-CN"/>
        </w:rPr>
        <w:t>项目</w:t>
      </w: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Cs w:val="44"/>
        </w:rPr>
      </w:pPr>
      <w:r>
        <w:rPr>
          <w:rStyle w:val="43"/>
          <w:rFonts w:hint="eastAsia" w:cs="宋体"/>
          <w:b/>
          <w:bCs/>
          <w:color w:val="auto"/>
          <w:sz w:val="72"/>
          <w:szCs w:val="72"/>
          <w:lang w:val="en-US" w:eastAsia="zh-CN"/>
        </w:rPr>
        <w:t>采购</w:t>
      </w:r>
      <w:r>
        <w:rPr>
          <w:rStyle w:val="43"/>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lang w:val="en-US" w:eastAsia="zh-CN"/>
        </w:rPr>
      </w:pPr>
    </w:p>
    <w:p>
      <w:pPr>
        <w:snapToGrid w:val="0"/>
        <w:spacing w:line="380" w:lineRule="exact"/>
        <w:jc w:val="center"/>
        <w:rPr>
          <w:rFonts w:hint="eastAsia" w:ascii="宋体" w:hAnsi="宋体" w:eastAsia="宋体" w:cs="宋体"/>
          <w:b/>
          <w:color w:val="auto"/>
          <w:sz w:val="32"/>
          <w:szCs w:val="32"/>
        </w:rPr>
      </w:pPr>
    </w:p>
    <w:p>
      <w:pPr>
        <w:pStyle w:val="2"/>
        <w:rPr>
          <w:rFonts w:hint="eastAsia"/>
          <w:color w:val="auto"/>
        </w:rPr>
      </w:pPr>
    </w:p>
    <w:p>
      <w:pPr>
        <w:pStyle w:val="58"/>
        <w:rPr>
          <w:rFonts w:hint="eastAsia" w:ascii="宋体" w:hAnsi="宋体" w:eastAsia="宋体" w:cs="宋体"/>
          <w:bCs/>
          <w:color w:val="auto"/>
          <w:sz w:val="2"/>
          <w:szCs w:val="2"/>
        </w:rPr>
      </w:pPr>
    </w:p>
    <w:p>
      <w:pPr>
        <w:rPr>
          <w:rFonts w:hint="eastAsia" w:ascii="宋体" w:hAnsi="宋体" w:eastAsia="宋体" w:cs="宋体"/>
          <w:bCs/>
          <w:color w:val="auto"/>
          <w:sz w:val="2"/>
          <w:szCs w:val="2"/>
        </w:rPr>
      </w:pPr>
    </w:p>
    <w:p>
      <w:pPr>
        <w:spacing w:line="20" w:lineRule="exact"/>
        <w:rPr>
          <w:rFonts w:hint="eastAsia" w:ascii="宋体" w:hAnsi="宋体" w:eastAsia="宋体" w:cs="宋体"/>
          <w:bCs/>
          <w:color w:val="auto"/>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80"/>
          <w:sz w:val="34"/>
          <w:szCs w:val="34"/>
        </w:rPr>
      </w:pPr>
      <w:r>
        <w:rPr>
          <w:rFonts w:hint="eastAsia" w:ascii="宋体" w:hAnsi="宋体" w:eastAsia="宋体" w:cs="宋体"/>
          <w:b/>
          <w:bCs/>
          <w:color w:val="auto"/>
          <w:spacing w:val="-10"/>
          <w:sz w:val="34"/>
          <w:szCs w:val="34"/>
          <w:lang w:val="en-US" w:eastAsia="zh-CN"/>
        </w:rPr>
        <w:t>采 购</w:t>
      </w:r>
      <w:r>
        <w:rPr>
          <w:rFonts w:hint="eastAsia" w:ascii="宋体" w:hAnsi="宋体" w:eastAsia="宋体" w:cs="宋体"/>
          <w:b/>
          <w:bCs/>
          <w:color w:val="auto"/>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color w:val="auto"/>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color w:val="auto"/>
          <w:spacing w:val="40"/>
          <w:sz w:val="34"/>
          <w:szCs w:val="34"/>
          <w:lang w:val="en-US" w:eastAsia="zh-CN"/>
        </w:rPr>
        <w:t>2022</w:t>
      </w:r>
      <w:r>
        <w:rPr>
          <w:rFonts w:hint="eastAsia" w:ascii="宋体" w:hAnsi="宋体" w:eastAsia="宋体" w:cs="宋体"/>
          <w:b/>
          <w:bCs/>
          <w:color w:val="auto"/>
          <w:spacing w:val="40"/>
          <w:sz w:val="34"/>
          <w:szCs w:val="34"/>
        </w:rPr>
        <w:t>年</w:t>
      </w:r>
      <w:r>
        <w:rPr>
          <w:rFonts w:hint="eastAsia" w:ascii="宋体" w:hAnsi="宋体" w:cs="宋体"/>
          <w:b/>
          <w:bCs/>
          <w:color w:val="auto"/>
          <w:spacing w:val="40"/>
          <w:sz w:val="34"/>
          <w:szCs w:val="34"/>
          <w:lang w:val="en-US" w:eastAsia="zh-CN"/>
        </w:rPr>
        <w:t>07</w:t>
      </w:r>
      <w:r>
        <w:rPr>
          <w:rFonts w:hint="eastAsia" w:ascii="宋体" w:hAnsi="宋体" w:eastAsia="宋体" w:cs="宋体"/>
          <w:b/>
          <w:bCs/>
          <w:color w:val="auto"/>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2"/>
        <w:rPr>
          <w:color w:val="auto"/>
          <w:highlight w:val="none"/>
        </w:rPr>
      </w:pPr>
    </w:p>
    <w:p>
      <w:pPr>
        <w:pStyle w:val="25"/>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19</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2"/>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eastAsia" w:ascii="黑体" w:hAnsi="黑体" w:eastAsia="黑体" w:cs="宋体"/>
          <w:bCs/>
          <w:color w:val="auto"/>
          <w:kern w:val="0"/>
          <w:sz w:val="28"/>
          <w:szCs w:val="28"/>
          <w:lang w:eastAsia="zh-CN"/>
        </w:rPr>
      </w:pPr>
      <w:r>
        <w:rPr>
          <w:rFonts w:hint="eastAsia" w:ascii="黑体" w:hAnsi="黑体" w:eastAsia="黑体" w:cs="宋体"/>
          <w:bCs/>
          <w:color w:val="auto"/>
          <w:kern w:val="0"/>
          <w:sz w:val="28"/>
          <w:szCs w:val="28"/>
          <w:lang w:eastAsia="zh-CN"/>
        </w:rPr>
        <w:t>驻马店市中心医院</w:t>
      </w:r>
      <w:r>
        <w:rPr>
          <w:rFonts w:hint="eastAsia" w:ascii="黑体" w:hAnsi="黑体" w:eastAsia="黑体" w:cs="宋体"/>
          <w:bCs/>
          <w:color w:val="auto"/>
          <w:kern w:val="0"/>
          <w:sz w:val="28"/>
          <w:szCs w:val="28"/>
          <w:lang w:val="en-US" w:eastAsia="zh-CN"/>
        </w:rPr>
        <w:t>输血科和GCP药房配备UPS电源采购</w:t>
      </w:r>
      <w:r>
        <w:rPr>
          <w:rFonts w:hint="eastAsia" w:ascii="黑体" w:hAnsi="黑体" w:eastAsia="黑体" w:cs="宋体"/>
          <w:bCs/>
          <w:color w:val="auto"/>
          <w:kern w:val="0"/>
          <w:sz w:val="28"/>
          <w:szCs w:val="28"/>
          <w:lang w:eastAsia="zh-CN"/>
        </w:rPr>
        <w:t>项目</w:t>
      </w:r>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竞争性磋商</w:t>
      </w:r>
      <w:r>
        <w:rPr>
          <w:rFonts w:hint="eastAsia" w:ascii="黑体" w:hAnsi="黑体" w:eastAsia="黑体" w:cs="宋体"/>
          <w:bCs/>
          <w:color w:val="auto"/>
          <w:kern w:val="0"/>
          <w:sz w:val="28"/>
          <w:szCs w:val="28"/>
        </w:rPr>
        <w:t>公告</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输血科和GCP药房配备UPS电源采购</w:t>
      </w:r>
      <w:r>
        <w:rPr>
          <w:rFonts w:hint="eastAsia" w:ascii="宋体" w:hAnsi="宋体" w:eastAsia="宋体" w:cs="宋体"/>
          <w:color w:val="auto"/>
          <w:u w:val="single"/>
          <w:lang w:eastAsia="zh-CN"/>
        </w:rPr>
        <w:t>项目</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yellow"/>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lang w:eastAsia="zh-CN"/>
        </w:rPr>
        <w:t>驻马店市中心医院</w:t>
      </w:r>
      <w:r>
        <w:rPr>
          <w:rFonts w:hint="eastAsia" w:ascii="宋体" w:hAnsi="宋体" w:cs="宋体"/>
          <w:color w:val="auto"/>
          <w:lang w:val="en-US" w:eastAsia="zh-CN"/>
        </w:rPr>
        <w:t>输血科和GCP药房配备UPS电源采购</w:t>
      </w:r>
      <w:r>
        <w:rPr>
          <w:rFonts w:hint="eastAsia" w:ascii="宋体" w:hAnsi="宋体" w:cs="宋体"/>
          <w:color w:val="auto"/>
          <w:lang w:eastAsia="zh-CN"/>
        </w:rPr>
        <w:t>项目</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kern w:val="0"/>
          <w:szCs w:val="21"/>
          <w:highlight w:val="none"/>
          <w:u w:val="none"/>
          <w:lang w:val="en-US" w:eastAsia="zh-CN"/>
        </w:rPr>
        <w:t>8.3万</w:t>
      </w:r>
      <w:r>
        <w:rPr>
          <w:rFonts w:hint="eastAsia" w:ascii="宋体" w:hAnsi="宋体" w:eastAsia="宋体" w:cs="宋体"/>
          <w:color w:val="auto"/>
          <w:szCs w:val="21"/>
          <w:highlight w:val="none"/>
          <w:shd w:val="clear" w:color="auto" w:fill="FFFFFF"/>
        </w:rPr>
        <w:t>元</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自筹资金；</w:t>
      </w:r>
    </w:p>
    <w:p>
      <w:pPr>
        <w:snapToGrid w:val="0"/>
        <w:spacing w:line="360" w:lineRule="auto"/>
        <w:ind w:firstLine="420" w:firstLineChars="200"/>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eastAsia="宋体" w:cs="宋体"/>
          <w:color w:val="auto"/>
          <w:szCs w:val="21"/>
          <w:highlight w:val="none"/>
          <w:shd w:val="clear" w:color="auto" w:fill="FFFFFF"/>
          <w:lang w:val="en-US" w:eastAsia="zh-CN"/>
        </w:rPr>
        <w:t>交货地点：采购人指定地点；</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bookmarkStart w:id="4" w:name="_Toc19521"/>
      <w:bookmarkStart w:id="5" w:name="_Toc21071"/>
      <w:bookmarkStart w:id="6" w:name="_Toc24040"/>
      <w:bookmarkStart w:id="7" w:name="_Toc26079"/>
      <w:bookmarkStart w:id="8" w:name="_Toc27913"/>
      <w:r>
        <w:rPr>
          <w:rFonts w:hint="eastAsia" w:ascii="宋体" w:hAnsi="宋体" w:eastAsia="宋体" w:cs="宋体"/>
          <w:color w:val="auto"/>
          <w:szCs w:val="21"/>
          <w:highlight w:val="none"/>
          <w:shd w:val="clear" w:color="auto" w:fill="FFFFFF"/>
        </w:rPr>
        <w:t>5、</w:t>
      </w:r>
      <w:bookmarkEnd w:id="4"/>
      <w:bookmarkEnd w:id="5"/>
      <w:bookmarkEnd w:id="6"/>
      <w:bookmarkEnd w:id="7"/>
      <w:bookmarkEnd w:id="8"/>
      <w:r>
        <w:rPr>
          <w:rFonts w:hint="eastAsia" w:ascii="宋体" w:hAnsi="宋体" w:eastAsia="宋体" w:cs="宋体"/>
          <w:color w:val="auto"/>
          <w:szCs w:val="21"/>
          <w:highlight w:val="none"/>
          <w:shd w:val="clear" w:color="auto" w:fill="FFFFFF"/>
        </w:rPr>
        <w:t>质量要求：</w:t>
      </w:r>
      <w:r>
        <w:rPr>
          <w:rFonts w:hint="eastAsia" w:ascii="宋体" w:hAnsi="宋体" w:cs="宋体"/>
          <w:color w:val="000000"/>
          <w:kern w:val="0"/>
          <w:sz w:val="22"/>
          <w:szCs w:val="22"/>
        </w:rPr>
        <w:t>符合现行国家质量要求和行业有关标准</w:t>
      </w:r>
      <w:r>
        <w:rPr>
          <w:rFonts w:hint="eastAsia" w:ascii="宋体" w:hAnsi="宋体" w:eastAsia="宋体" w:cs="宋体"/>
          <w:color w:val="auto"/>
          <w:szCs w:val="21"/>
          <w:highlight w:val="none"/>
          <w:shd w:val="clear" w:color="auto" w:fill="FFFFFF"/>
          <w:lang w:eastAsia="zh-CN"/>
        </w:rPr>
        <w:t>。</w:t>
      </w:r>
    </w:p>
    <w:p>
      <w:pPr>
        <w:pStyle w:val="2"/>
        <w:ind w:firstLine="420" w:firstLineChars="200"/>
        <w:rPr>
          <w:rFonts w:hint="default"/>
          <w:lang w:val="en-US"/>
        </w:rPr>
      </w:pPr>
      <w:r>
        <w:rPr>
          <w:rFonts w:hint="eastAsia" w:ascii="宋体" w:hAnsi="宋体" w:cs="宋体"/>
          <w:color w:val="auto"/>
          <w:szCs w:val="21"/>
          <w:highlight w:val="none"/>
          <w:shd w:val="clear" w:color="auto" w:fill="FFFFFF"/>
          <w:lang w:val="en-US" w:eastAsia="zh-CN"/>
        </w:rPr>
        <w:t>6、交货日期：合同签订后20日内。</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bookmarkStart w:id="9" w:name="_Toc27704"/>
      <w:bookmarkStart w:id="10" w:name="_Toc18607"/>
      <w:bookmarkStart w:id="11" w:name="_Toc23626"/>
      <w:bookmarkStart w:id="12" w:name="_Toc16639"/>
      <w:r>
        <w:rPr>
          <w:rFonts w:hint="eastAsia" w:ascii="宋体" w:hAnsi="宋体" w:eastAsia="宋体" w:cs="宋体"/>
          <w:b/>
          <w:bCs/>
          <w:color w:val="auto"/>
          <w:kern w:val="2"/>
          <w:sz w:val="21"/>
          <w:szCs w:val="21"/>
          <w:shd w:val="clear" w:color="auto" w:fill="FFFFFF"/>
          <w:lang w:val="en-US" w:eastAsia="zh-CN" w:bidi="ar-SA"/>
        </w:rPr>
        <w:t>二、</w:t>
      </w:r>
      <w:bookmarkEnd w:id="3"/>
      <w:bookmarkEnd w:id="9"/>
      <w:bookmarkEnd w:id="10"/>
      <w:bookmarkEnd w:id="11"/>
      <w:bookmarkEnd w:id="12"/>
      <w:r>
        <w:rPr>
          <w:rFonts w:hint="eastAsia" w:ascii="宋体" w:hAnsi="宋体" w:eastAsia="宋体" w:cs="宋体"/>
          <w:b/>
          <w:bCs/>
          <w:color w:val="auto"/>
          <w:kern w:val="2"/>
          <w:sz w:val="21"/>
          <w:szCs w:val="21"/>
          <w:shd w:val="clear" w:color="auto" w:fill="FFFFFF"/>
          <w:lang w:val="en-US" w:eastAsia="zh-CN" w:bidi="ar-SA"/>
        </w:rPr>
        <w:t>供应商资格要求：</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2、供应商应提供</w:t>
      </w:r>
      <w:r>
        <w:rPr>
          <w:rFonts w:hint="eastAsia" w:ascii="宋体" w:hAnsi="宋体" w:cs="宋体"/>
          <w:color w:val="auto"/>
          <w:kern w:val="2"/>
          <w:sz w:val="21"/>
          <w:szCs w:val="24"/>
          <w:lang w:val="en-US" w:eastAsia="zh-CN" w:bidi="ar-SA"/>
        </w:rPr>
        <w:t>2021年度</w:t>
      </w:r>
      <w:r>
        <w:rPr>
          <w:rFonts w:hint="eastAsia" w:ascii="宋体" w:hAnsi="宋体" w:eastAsia="宋体" w:cs="宋体"/>
          <w:color w:val="auto"/>
          <w:kern w:val="2"/>
          <w:sz w:val="21"/>
          <w:szCs w:val="24"/>
          <w:lang w:val="en-US" w:eastAsia="zh-CN" w:bidi="ar-SA"/>
        </w:rPr>
        <w:t>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3、具有履行合同所必需的设备和专业技术能力（提供书面声明函）；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4、参加本采购活动前三年内，在经营活动中没有重大违法记录（提供书面声明函）；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5、符合法律、行政法规规定的其他条件；</w:t>
      </w:r>
    </w:p>
    <w:p>
      <w:pPr>
        <w:widowControl w:val="0"/>
        <w:autoSpaceDE w:val="0"/>
        <w:autoSpaceDN w:val="0"/>
        <w:adjustRightInd w:val="0"/>
        <w:snapToGrid w:val="0"/>
        <w:spacing w:line="360" w:lineRule="auto"/>
        <w:ind w:firstLine="420" w:firstLineChars="200"/>
        <w:rPr>
          <w:rFonts w:hint="eastAsia"/>
          <w:color w:val="auto"/>
          <w:highlight w:val="none"/>
          <w:lang w:val="en-US" w:eastAsia="zh-CN"/>
        </w:rPr>
      </w:pPr>
      <w:r>
        <w:rPr>
          <w:rFonts w:hint="eastAsia" w:ascii="宋体" w:hAnsi="宋体" w:eastAsia="宋体" w:cs="宋体"/>
          <w:color w:val="auto"/>
          <w:kern w:val="2"/>
          <w:sz w:val="21"/>
          <w:szCs w:val="24"/>
          <w:highlight w:val="none"/>
          <w:lang w:val="en-US" w:eastAsia="zh-CN" w:bidi="ar-SA"/>
        </w:rPr>
        <w:t>6</w:t>
      </w:r>
      <w:r>
        <w:rPr>
          <w:rFonts w:hint="eastAsia"/>
          <w:color w:val="auto"/>
          <w:highlight w:val="none"/>
          <w:lang w:val="en-US" w:eastAsia="zh-CN"/>
        </w:rPr>
        <w:t>、投标人须具有良好的商业信誉和完善的售后服务体系，并具有承担本项目的供货及服务能力（出具承诺书，格式自拟）；</w:t>
      </w:r>
    </w:p>
    <w:p>
      <w:pPr>
        <w:widowControl w:val="0"/>
        <w:autoSpaceDE w:val="0"/>
        <w:autoSpaceDN w:val="0"/>
        <w:adjustRightInd w:val="0"/>
        <w:snapToGrid w:val="0"/>
        <w:spacing w:line="360" w:lineRule="auto"/>
        <w:ind w:firstLine="420" w:firstLineChars="200"/>
        <w:rPr>
          <w:rFonts w:hint="eastAsia"/>
          <w:color w:val="auto"/>
          <w:lang w:val="en-US" w:eastAsia="zh-CN"/>
        </w:rPr>
      </w:pPr>
      <w:r>
        <w:rPr>
          <w:rFonts w:hint="eastAsia"/>
          <w:color w:val="auto"/>
          <w:lang w:val="en-US" w:eastAsia="zh-CN"/>
        </w:rPr>
        <w:t>7、根据《关于在政府采购活动中查询及使用信用记录有关问题的通知》（财库【2016】125号）的规定，对列入失信被执行人、税收违法黑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widowControl w:val="0"/>
        <w:autoSpaceDE w:val="0"/>
        <w:autoSpaceDN w:val="0"/>
        <w:adjustRightInd w:val="0"/>
        <w:snapToGrid w:val="0"/>
        <w:spacing w:line="360" w:lineRule="auto"/>
        <w:ind w:firstLine="420" w:firstLineChars="200"/>
        <w:rPr>
          <w:rFonts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8、不接受联合体投标。</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bookmarkStart w:id="13" w:name="_Toc30643"/>
      <w:bookmarkStart w:id="14" w:name="_Toc7823"/>
      <w:bookmarkStart w:id="15" w:name="_Toc30971"/>
      <w:bookmarkStart w:id="16" w:name="_Toc9562"/>
      <w:bookmarkStart w:id="17" w:name="_Toc23395"/>
      <w:r>
        <w:rPr>
          <w:rFonts w:hint="eastAsia" w:ascii="宋体" w:hAnsi="宋体" w:eastAsia="宋体" w:cs="宋体"/>
          <w:b/>
          <w:bCs/>
          <w:color w:val="auto"/>
          <w:kern w:val="2"/>
          <w:sz w:val="21"/>
          <w:szCs w:val="24"/>
          <w:lang w:val="en-US" w:eastAsia="zh-CN" w:bidi="ar-SA"/>
        </w:rPr>
        <w:t>三、获取采购文件</w:t>
      </w:r>
      <w:bookmarkEnd w:id="13"/>
      <w:bookmarkEnd w:id="14"/>
      <w:bookmarkEnd w:id="15"/>
      <w:bookmarkEnd w:id="16"/>
      <w:bookmarkEnd w:id="17"/>
    </w:p>
    <w:p>
      <w:pPr>
        <w:widowControl/>
        <w:adjustRightInd w:val="0"/>
        <w:snapToGrid w:val="0"/>
        <w:spacing w:line="360" w:lineRule="auto"/>
        <w:ind w:firstLine="420" w:firstLineChars="200"/>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w:t>
      </w:r>
      <w:r>
        <w:rPr>
          <w:rFonts w:hint="eastAsia" w:ascii="宋体" w:hAnsi="宋体" w:cs="宋体"/>
          <w:color w:val="auto"/>
          <w:szCs w:val="21"/>
          <w:shd w:val="clear" w:color="auto" w:fill="FFFFFF"/>
          <w:lang w:val="en-US" w:eastAsia="zh-CN"/>
        </w:rPr>
        <w:t>报名</w:t>
      </w:r>
      <w:r>
        <w:rPr>
          <w:rFonts w:hint="eastAsia" w:ascii="宋体" w:hAnsi="宋体" w:eastAsia="宋体" w:cs="宋体"/>
          <w:color w:val="auto"/>
          <w:szCs w:val="21"/>
          <w:shd w:val="clear" w:color="auto" w:fill="FFFFFF"/>
        </w:rPr>
        <w:t>时间：2</w:t>
      </w:r>
      <w:r>
        <w:rPr>
          <w:rFonts w:hint="eastAsia" w:ascii="宋体" w:hAnsi="宋体" w:eastAsia="宋体" w:cs="宋体"/>
          <w:color w:val="auto"/>
          <w:szCs w:val="21"/>
          <w:highlight w:val="none"/>
          <w:shd w:val="clear" w:color="auto" w:fill="FFFFFF"/>
        </w:rPr>
        <w:t>02</w:t>
      </w:r>
      <w:r>
        <w:rPr>
          <w:rFonts w:hint="eastAsia" w:ascii="宋体" w:hAnsi="宋体" w:eastAsia="宋体" w:cs="宋体"/>
          <w:color w:val="auto"/>
          <w:szCs w:val="21"/>
          <w:highlight w:val="none"/>
          <w:shd w:val="clear" w:color="auto" w:fill="FFFFFF"/>
          <w:lang w:val="en-US" w:eastAsia="zh-CN"/>
        </w:rPr>
        <w:t>2</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07</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13</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2</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07</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15</w:t>
      </w:r>
      <w:r>
        <w:rPr>
          <w:rFonts w:hint="eastAsia" w:ascii="宋体" w:hAnsi="宋体" w:eastAsia="宋体" w:cs="宋体"/>
          <w:color w:val="auto"/>
          <w:szCs w:val="21"/>
          <w:highlight w:val="none"/>
          <w:shd w:val="clear" w:color="auto" w:fill="FFFFFF"/>
        </w:rPr>
        <w:t>日</w:t>
      </w:r>
      <w:r>
        <w:rPr>
          <w:rFonts w:hint="eastAsia" w:ascii="宋体" w:hAnsi="宋体" w:eastAsia="宋体" w:cs="宋体"/>
          <w:color w:val="auto"/>
          <w:szCs w:val="21"/>
          <w:shd w:val="clear" w:color="auto" w:fill="FFFFFF"/>
        </w:rPr>
        <w:t>，上午8：30-11:30，下午14:30-17:30（北京时间，法定节假日除外）</w:t>
      </w:r>
      <w:r>
        <w:rPr>
          <w:rFonts w:hint="eastAsia" w:ascii="宋体" w:hAnsi="宋体" w:eastAsia="宋体" w:cs="宋体"/>
          <w:color w:val="auto"/>
          <w:szCs w:val="21"/>
          <w:shd w:val="clear" w:color="auto" w:fill="FFFFFF"/>
          <w:lang w:eastAsia="zh-CN"/>
        </w:rPr>
        <w:t>，</w:t>
      </w:r>
      <w:r>
        <w:rPr>
          <w:rFonts w:hint="eastAsia" w:ascii="宋体" w:hAnsi="宋体" w:cs="宋体"/>
          <w:color w:val="auto"/>
          <w:szCs w:val="21"/>
          <w:shd w:val="clear" w:color="auto" w:fill="FFFFFF"/>
          <w:lang w:val="en-US" w:eastAsia="zh-CN"/>
        </w:rPr>
        <w:t>报名费用</w:t>
      </w:r>
      <w:r>
        <w:rPr>
          <w:rFonts w:hint="eastAsia" w:ascii="宋体" w:hAnsi="宋体" w:eastAsia="宋体" w:cs="宋体"/>
          <w:color w:val="auto"/>
          <w:szCs w:val="21"/>
          <w:shd w:val="clear" w:color="auto" w:fill="FFFFFF"/>
          <w:lang w:val="en-US" w:eastAsia="zh-CN"/>
        </w:rPr>
        <w:t>：</w:t>
      </w:r>
      <w:r>
        <w:rPr>
          <w:rFonts w:hint="eastAsia" w:ascii="宋体" w:hAnsi="宋体" w:cs="宋体"/>
          <w:color w:val="auto"/>
          <w:szCs w:val="21"/>
          <w:shd w:val="clear" w:color="auto" w:fill="FFFFFF"/>
          <w:lang w:val="en-US" w:eastAsia="zh-CN"/>
        </w:rPr>
        <w:t>1</w:t>
      </w:r>
      <w:r>
        <w:rPr>
          <w:rFonts w:hint="eastAsia" w:ascii="宋体" w:hAnsi="宋体" w:eastAsia="宋体" w:cs="宋体"/>
          <w:color w:val="auto"/>
          <w:szCs w:val="21"/>
          <w:shd w:val="clear" w:color="auto" w:fill="FFFFFF"/>
          <w:lang w:val="en-US" w:eastAsia="zh-CN"/>
        </w:rPr>
        <w:t>00元。</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2.每报名任何一个项目的供应商，</w:t>
      </w:r>
      <w:r>
        <w:rPr>
          <w:rFonts w:hint="eastAsia" w:ascii="宋体" w:hAnsi="宋体" w:eastAsia="宋体" w:cs="宋体"/>
          <w:color w:val="auto"/>
          <w:kern w:val="0"/>
          <w:sz w:val="21"/>
          <w:szCs w:val="21"/>
          <w:highlight w:val="none"/>
          <w:shd w:val="clear" w:color="auto" w:fill="FFFFFF"/>
          <w:lang w:val="en-US" w:eastAsia="zh-CN" w:bidi="ar-SA"/>
        </w:rPr>
        <w:t>需交纳2000元投标保证金</w:t>
      </w:r>
      <w:r>
        <w:rPr>
          <w:rFonts w:hint="eastAsia" w:ascii="宋体" w:hAnsi="宋体" w:eastAsia="宋体" w:cs="宋体"/>
          <w:color w:val="auto"/>
          <w:kern w:val="0"/>
          <w:sz w:val="21"/>
          <w:szCs w:val="21"/>
          <w:shd w:val="clear" w:color="auto" w:fill="FFFFFF"/>
          <w:lang w:val="en-US" w:eastAsia="zh-CN" w:bidi="ar-SA"/>
        </w:rPr>
        <w:t xml:space="preserve">。凡报名成功的供应商无故不来参与投标的，拒不退还投标保证金，并列入我院黑名单，一年内不得参与我院任何采购活动。凡未中标者，评审结束后三个工作日内凭收据无息退还。中标供应商缴纳相应服务费。 </w:t>
      </w:r>
    </w:p>
    <w:p>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2131538583@qq.com并标明XX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w:t>
      </w:r>
      <w:r>
        <w:rPr>
          <w:rFonts w:hint="eastAsia" w:ascii="宋体" w:hAnsi="宋体" w:cs="宋体"/>
          <w:color w:val="auto"/>
          <w:kern w:val="0"/>
          <w:sz w:val="21"/>
          <w:szCs w:val="21"/>
          <w:shd w:val="clear" w:color="auto" w:fill="FFFFFF"/>
          <w:lang w:val="en-US" w:eastAsia="zh-CN" w:bidi="ar-SA"/>
        </w:rPr>
        <w:t>报名费</w:t>
      </w:r>
      <w:r>
        <w:rPr>
          <w:rFonts w:hint="eastAsia" w:ascii="宋体" w:hAnsi="宋体" w:eastAsia="宋体" w:cs="宋体"/>
          <w:color w:val="auto"/>
          <w:kern w:val="0"/>
          <w:sz w:val="21"/>
          <w:szCs w:val="21"/>
          <w:shd w:val="clear" w:color="auto" w:fill="FFFFFF"/>
          <w:lang w:val="en-US" w:eastAsia="zh-CN" w:bidi="ar-SA"/>
        </w:rPr>
        <w:t>及投标保证金。</w:t>
      </w:r>
    </w:p>
    <w:p>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8" w:name="_Toc27480"/>
      <w:bookmarkStart w:id="19" w:name="_Toc10738"/>
      <w:bookmarkStart w:id="20" w:name="_Toc15111"/>
      <w:bookmarkStart w:id="21" w:name="_Toc25869"/>
      <w:bookmarkStart w:id="22" w:name="_Toc15135"/>
      <w:r>
        <w:rPr>
          <w:rFonts w:hint="eastAsia" w:ascii="宋体" w:hAnsi="宋体" w:eastAsia="宋体" w:cs="宋体"/>
          <w:b/>
          <w:bCs/>
          <w:color w:val="auto"/>
          <w:kern w:val="2"/>
          <w:sz w:val="21"/>
          <w:szCs w:val="21"/>
          <w:shd w:val="clear" w:color="auto" w:fill="FFFFFF"/>
          <w:lang w:val="en-US" w:eastAsia="zh-CN" w:bidi="ar-SA"/>
        </w:rPr>
        <w:t>四、投标截止时间及地点</w:t>
      </w:r>
      <w:bookmarkEnd w:id="18"/>
      <w:bookmarkEnd w:id="19"/>
      <w:bookmarkEnd w:id="20"/>
      <w:bookmarkEnd w:id="21"/>
      <w:bookmarkEnd w:id="22"/>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u w:val="none"/>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23" w:name="_Toc29784"/>
      <w:bookmarkStart w:id="24" w:name="_Toc30918"/>
      <w:bookmarkStart w:id="25" w:name="_Toc20287"/>
      <w:bookmarkStart w:id="26" w:name="_Toc6523"/>
      <w:r>
        <w:rPr>
          <w:rFonts w:hint="eastAsia" w:ascii="宋体" w:hAnsi="宋体" w:eastAsia="宋体" w:cs="宋体"/>
          <w:b/>
          <w:bCs/>
          <w:color w:val="auto"/>
          <w:kern w:val="2"/>
          <w:sz w:val="21"/>
          <w:szCs w:val="21"/>
          <w:shd w:val="clear" w:color="auto" w:fill="FFFFFF"/>
          <w:lang w:val="en-US" w:eastAsia="zh-CN" w:bidi="ar-SA"/>
        </w:rPr>
        <w:t>六、发布公告的媒介及</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23"/>
      <w:bookmarkEnd w:id="24"/>
      <w:bookmarkEnd w:id="25"/>
      <w:bookmarkEnd w:id="26"/>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7" w:name="_Toc35393795"/>
      <w:bookmarkStart w:id="28" w:name="_Toc35393626"/>
    </w:p>
    <w:bookmarkEnd w:id="27"/>
    <w:bookmarkEnd w:id="28"/>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9" w:name="_Toc27370"/>
      <w:bookmarkStart w:id="30" w:name="_Toc24274"/>
      <w:bookmarkStart w:id="31" w:name="_Toc31928"/>
      <w:bookmarkStart w:id="32" w:name="_Toc3604"/>
      <w:bookmarkStart w:id="33" w:name="_Toc16291"/>
      <w:r>
        <w:rPr>
          <w:rFonts w:hint="eastAsia" w:ascii="宋体" w:hAnsi="宋体" w:eastAsia="宋体" w:cs="宋体"/>
          <w:b/>
          <w:bCs/>
          <w:color w:val="auto"/>
          <w:kern w:val="2"/>
          <w:sz w:val="21"/>
          <w:szCs w:val="21"/>
          <w:shd w:val="clear" w:color="auto" w:fill="FFFFFF"/>
          <w:lang w:val="en-US" w:eastAsia="zh-CN" w:bidi="ar-SA"/>
        </w:rPr>
        <w:t>八、</w:t>
      </w:r>
      <w:bookmarkEnd w:id="29"/>
      <w:bookmarkEnd w:id="30"/>
      <w:bookmarkEnd w:id="31"/>
      <w:bookmarkEnd w:id="32"/>
      <w:bookmarkEnd w:id="33"/>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报名联系人：李先生</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联系电话：18595618752</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监督电话：0396-2725435</w:t>
      </w:r>
    </w:p>
    <w:p>
      <w:pPr>
        <w:pStyle w:val="2"/>
        <w:rPr>
          <w:rFonts w:hint="eastAsia"/>
          <w:color w:val="auto"/>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驻马店市中心医院采购科</w:t>
      </w:r>
    </w:p>
    <w:p>
      <w:pPr>
        <w:pStyle w:val="30"/>
        <w:widowControl/>
        <w:snapToGrid w:val="0"/>
        <w:spacing w:before="0" w:beforeAutospacing="0" w:after="0" w:afterAutospacing="0" w:line="360" w:lineRule="auto"/>
        <w:ind w:firstLine="420" w:firstLineChars="200"/>
        <w:jc w:val="right"/>
        <w:rPr>
          <w:rFonts w:ascii="宋体" w:hAnsi="宋体" w:cs="宋体"/>
          <w:color w:val="auto"/>
          <w:sz w:val="21"/>
          <w:szCs w:val="21"/>
          <w:highlight w:val="none"/>
          <w:shd w:val="clear" w:color="auto" w:fill="FFFFFF"/>
        </w:rPr>
      </w:pPr>
      <w:r>
        <w:rPr>
          <w:rFonts w:hint="eastAsia" w:ascii="宋体" w:hAnsi="宋体" w:eastAsia="宋体" w:cs="宋体"/>
          <w:color w:val="auto"/>
          <w:kern w:val="0"/>
          <w:sz w:val="21"/>
          <w:szCs w:val="21"/>
          <w:shd w:val="clear" w:color="auto" w:fill="FFFFFF"/>
          <w:lang w:val="en-US" w:eastAsia="zh-CN" w:bidi="ar-SA"/>
        </w:rPr>
        <w:t>202</w:t>
      </w:r>
      <w:bookmarkStart w:id="91" w:name="_GoBack"/>
      <w:r>
        <w:rPr>
          <w:rFonts w:hint="eastAsia" w:ascii="宋体" w:hAnsi="宋体" w:eastAsia="宋体" w:cs="宋体"/>
          <w:color w:val="auto"/>
          <w:kern w:val="0"/>
          <w:sz w:val="21"/>
          <w:szCs w:val="21"/>
          <w:highlight w:val="none"/>
          <w:shd w:val="clear" w:color="auto" w:fill="FFFFFF"/>
          <w:lang w:val="en-US" w:eastAsia="zh-CN" w:bidi="ar-SA"/>
        </w:rPr>
        <w:t>2年0</w:t>
      </w:r>
      <w:r>
        <w:rPr>
          <w:rFonts w:hint="eastAsia" w:ascii="宋体" w:hAnsi="宋体" w:cs="宋体"/>
          <w:color w:val="auto"/>
          <w:kern w:val="0"/>
          <w:sz w:val="21"/>
          <w:szCs w:val="21"/>
          <w:highlight w:val="none"/>
          <w:shd w:val="clear" w:color="auto" w:fill="FFFFFF"/>
          <w:lang w:val="en-US" w:eastAsia="zh-CN" w:bidi="ar-SA"/>
        </w:rPr>
        <w:t>7</w:t>
      </w:r>
      <w:r>
        <w:rPr>
          <w:rFonts w:hint="eastAsia" w:ascii="宋体" w:hAnsi="宋体" w:eastAsia="宋体" w:cs="宋体"/>
          <w:color w:val="auto"/>
          <w:kern w:val="0"/>
          <w:sz w:val="21"/>
          <w:szCs w:val="21"/>
          <w:highlight w:val="none"/>
          <w:shd w:val="clear" w:color="auto" w:fill="FFFFFF"/>
          <w:lang w:val="en-US" w:eastAsia="zh-CN" w:bidi="ar-SA"/>
        </w:rPr>
        <w:t>月</w:t>
      </w:r>
      <w:r>
        <w:rPr>
          <w:rFonts w:hint="eastAsia" w:ascii="宋体" w:hAnsi="宋体" w:cs="宋体"/>
          <w:color w:val="auto"/>
          <w:kern w:val="0"/>
          <w:sz w:val="21"/>
          <w:szCs w:val="21"/>
          <w:highlight w:val="none"/>
          <w:shd w:val="clear" w:color="auto" w:fill="FFFFFF"/>
          <w:lang w:val="en-US" w:eastAsia="zh-CN" w:bidi="ar-SA"/>
        </w:rPr>
        <w:t>12</w:t>
      </w:r>
      <w:r>
        <w:rPr>
          <w:rFonts w:hint="eastAsia" w:ascii="宋体" w:hAnsi="宋体" w:eastAsia="宋体" w:cs="宋体"/>
          <w:color w:val="auto"/>
          <w:kern w:val="0"/>
          <w:sz w:val="21"/>
          <w:szCs w:val="21"/>
          <w:highlight w:val="none"/>
          <w:shd w:val="clear" w:color="auto" w:fill="FFFFFF"/>
          <w:lang w:val="en-US" w:eastAsia="zh-CN" w:bidi="ar-SA"/>
        </w:rPr>
        <w:t>日</w:t>
      </w:r>
    </w:p>
    <w:bookmarkEnd w:id="91"/>
    <w:p>
      <w:pPr>
        <w:pStyle w:val="30"/>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widowControl/>
        <w:spacing w:line="360" w:lineRule="auto"/>
        <w:ind w:firstLine="480" w:firstLineChars="200"/>
        <w:jc w:val="left"/>
        <w:rPr>
          <w:rFonts w:ascii="宋体" w:hAnsi="宋体" w:cs="宋体"/>
          <w:b/>
          <w:color w:val="auto"/>
          <w:sz w:val="24"/>
          <w:highlight w:val="none"/>
        </w:rPr>
      </w:pPr>
      <w:r>
        <w:rPr>
          <w:rFonts w:hint="eastAsia" w:ascii="宋体" w:hAnsi="宋体" w:cs="宋体"/>
          <w:color w:val="auto"/>
          <w:kern w:val="0"/>
          <w:sz w:val="24"/>
          <w:highlight w:val="none"/>
        </w:rPr>
        <w:t>  </w:t>
      </w:r>
    </w:p>
    <w:p>
      <w:pPr>
        <w:rPr>
          <w:b/>
          <w:bCs/>
          <w:color w:val="auto"/>
          <w:sz w:val="24"/>
          <w:highlight w:val="none"/>
        </w:rPr>
      </w:pPr>
      <w:r>
        <w:rPr>
          <w:rFonts w:hint="eastAsia"/>
          <w:b/>
          <w:bCs/>
          <w:color w:val="auto"/>
          <w:sz w:val="24"/>
          <w:highlight w:val="none"/>
        </w:rPr>
        <w:br w:type="page"/>
      </w:r>
    </w:p>
    <w:p>
      <w:pPr>
        <w:keepNext w:val="0"/>
        <w:keepLines w:val="0"/>
        <w:pageBreakBefore w:val="0"/>
        <w:widowControl w:val="0"/>
        <w:kinsoku/>
        <w:wordWrap/>
        <w:overflowPunct/>
        <w:topLinePunct w:val="0"/>
        <w:autoSpaceDE/>
        <w:autoSpaceDN/>
        <w:bidi w:val="0"/>
        <w:adjustRightInd/>
        <w:snapToGrid w:val="0"/>
        <w:spacing w:after="161" w:afterLines="50" w:line="240" w:lineRule="auto"/>
        <w:jc w:val="center"/>
        <w:textAlignment w:val="auto"/>
        <w:outlineLvl w:val="0"/>
        <w:rPr>
          <w:rFonts w:ascii="宋体" w:hAnsi="宋体"/>
          <w:b/>
          <w:color w:val="auto"/>
          <w:sz w:val="32"/>
          <w:szCs w:val="32"/>
          <w:highlight w:val="none"/>
        </w:rPr>
      </w:pPr>
      <w:bookmarkStart w:id="34" w:name="_Toc25063"/>
      <w:bookmarkStart w:id="35" w:name="_Toc29890"/>
      <w:bookmarkStart w:id="36" w:name="_Toc23793"/>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34"/>
      <w:bookmarkStart w:id="37" w:name="_Toc23610"/>
      <w:bookmarkStart w:id="38" w:name="_Toc31536"/>
      <w:bookmarkStart w:id="39" w:name="_Toc9989"/>
    </w:p>
    <w:bookmarkEnd w:id="37"/>
    <w:bookmarkEnd w:id="38"/>
    <w:bookmarkEnd w:id="39"/>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项目名称：</w:t>
      </w:r>
      <w:r>
        <w:rPr>
          <w:rFonts w:hint="eastAsia" w:ascii="宋体" w:hAnsi="宋体" w:cs="宋体"/>
          <w:color w:val="auto"/>
          <w:lang w:eastAsia="zh-CN"/>
        </w:rPr>
        <w:t>驻马店市中心医院</w:t>
      </w:r>
      <w:r>
        <w:rPr>
          <w:rFonts w:hint="eastAsia" w:ascii="宋体" w:hAnsi="宋体" w:cs="宋体"/>
          <w:color w:val="auto"/>
          <w:lang w:val="en-US" w:eastAsia="zh-CN"/>
        </w:rPr>
        <w:t>输血科和GCP药房配备UPS电源采购</w:t>
      </w:r>
      <w:r>
        <w:rPr>
          <w:rFonts w:hint="eastAsia" w:ascii="宋体" w:hAnsi="宋体" w:cs="宋体"/>
          <w:color w:val="auto"/>
          <w:lang w:eastAsia="zh-CN"/>
        </w:rPr>
        <w:t>项目</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kern w:val="2"/>
          <w:sz w:val="21"/>
          <w:szCs w:val="21"/>
          <w:highlight w:val="none"/>
          <w:lang w:val="en-US" w:eastAsia="zh-CN" w:bidi="ar-SA"/>
        </w:rPr>
        <w:t xml:space="preserve"> </w:t>
      </w:r>
    </w:p>
    <w:p>
      <w:pPr>
        <w:pStyle w:val="2"/>
        <w:ind w:left="0" w:leftChars="0" w:firstLine="0" w:firstLineChars="0"/>
        <w:rPr>
          <w:rFonts w:hint="eastAsia"/>
          <w:lang w:val="en-US" w:eastAsia="zh-CN"/>
        </w:rPr>
      </w:pPr>
      <w:r>
        <w:rPr>
          <w:rFonts w:hint="eastAsia"/>
          <w:lang w:val="en-US" w:eastAsia="zh-CN"/>
        </w:rPr>
        <w:t>项目用途说明：输血科冰箱和电脑按要求需配备UPS电源一台，GCP药房冷链冰箱按要求需配备UPS电源一台。</w:t>
      </w:r>
    </w:p>
    <w:tbl>
      <w:tblPr>
        <w:tblStyle w:val="33"/>
        <w:tblpPr w:leftFromText="180" w:rightFromText="180" w:vertAnchor="text" w:horzAnchor="page" w:tblpX="1334" w:tblpY="402"/>
        <w:tblOverlap w:val="never"/>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2250"/>
        <w:gridCol w:w="1920"/>
        <w:gridCol w:w="1155"/>
        <w:gridCol w:w="1260"/>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pStyle w:val="6"/>
              <w:widowControl w:val="0"/>
              <w:spacing w:line="360" w:lineRule="auto"/>
              <w:ind w:left="0" w:leftChars="0" w:firstLine="0" w:firstLineChars="0"/>
              <w:jc w:val="center"/>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序号</w:t>
            </w:r>
          </w:p>
        </w:tc>
        <w:tc>
          <w:tcPr>
            <w:tcW w:w="2250" w:type="dxa"/>
            <w:vAlign w:val="center"/>
          </w:tcPr>
          <w:p>
            <w:pPr>
              <w:pStyle w:val="6"/>
              <w:widowControl w:val="0"/>
              <w:spacing w:line="360" w:lineRule="auto"/>
              <w:ind w:left="0" w:leftChars="0" w:firstLine="0" w:firstLineChars="0"/>
              <w:jc w:val="center"/>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产品名称</w:t>
            </w:r>
          </w:p>
        </w:tc>
        <w:tc>
          <w:tcPr>
            <w:tcW w:w="1920" w:type="dxa"/>
            <w:vAlign w:val="center"/>
          </w:tcPr>
          <w:p>
            <w:pPr>
              <w:pStyle w:val="6"/>
              <w:widowControl w:val="0"/>
              <w:spacing w:line="360" w:lineRule="auto"/>
              <w:ind w:left="0" w:leftChars="0" w:firstLine="0" w:firstLineChars="0"/>
              <w:jc w:val="center"/>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型号</w:t>
            </w:r>
          </w:p>
        </w:tc>
        <w:tc>
          <w:tcPr>
            <w:tcW w:w="1155" w:type="dxa"/>
            <w:vAlign w:val="center"/>
          </w:tcPr>
          <w:p>
            <w:pPr>
              <w:pStyle w:val="6"/>
              <w:widowControl w:val="0"/>
              <w:spacing w:line="360" w:lineRule="auto"/>
              <w:ind w:left="0" w:leftChars="0" w:firstLine="0" w:firstLineChars="0"/>
              <w:jc w:val="center"/>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单位</w:t>
            </w:r>
          </w:p>
        </w:tc>
        <w:tc>
          <w:tcPr>
            <w:tcW w:w="1260" w:type="dxa"/>
            <w:vAlign w:val="center"/>
          </w:tcPr>
          <w:p>
            <w:pPr>
              <w:pStyle w:val="6"/>
              <w:widowControl w:val="0"/>
              <w:spacing w:line="360" w:lineRule="auto"/>
              <w:ind w:left="0" w:leftChars="0" w:firstLine="0" w:firstLineChars="0"/>
              <w:jc w:val="center"/>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数量</w:t>
            </w:r>
          </w:p>
        </w:tc>
        <w:tc>
          <w:tcPr>
            <w:tcW w:w="1965" w:type="dxa"/>
            <w:vAlign w:val="center"/>
          </w:tcPr>
          <w:p>
            <w:pPr>
              <w:pStyle w:val="6"/>
              <w:widowControl w:val="0"/>
              <w:spacing w:line="360" w:lineRule="auto"/>
              <w:ind w:left="0" w:leftChars="0" w:firstLine="0" w:firstLineChars="0"/>
              <w:jc w:val="center"/>
              <w:rPr>
                <w:rFonts w:hint="default" w:ascii="Times New Roman" w:hAnsi="Times New Roman" w:cs="Times New Roman"/>
                <w:sz w:val="24"/>
                <w:szCs w:val="24"/>
                <w:vertAlign w:val="baseline"/>
                <w:lang w:val="en-US" w:eastAsia="zh-CN"/>
              </w:rPr>
            </w:pPr>
            <w:r>
              <w:rPr>
                <w:rFonts w:hint="eastAsia" w:ascii="Times New Roman" w:hAnsi="Times New Roman" w:cs="Times New Roman"/>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0" w:type="dxa"/>
            <w:gridSpan w:val="6"/>
            <w:vAlign w:val="center"/>
          </w:tcPr>
          <w:p>
            <w:pPr>
              <w:pStyle w:val="6"/>
              <w:widowControl w:val="0"/>
              <w:spacing w:line="360" w:lineRule="auto"/>
              <w:ind w:left="0" w:leftChars="0" w:firstLine="0" w:firstLineChars="0"/>
              <w:jc w:val="center"/>
              <w:rPr>
                <w:rFonts w:hint="default" w:ascii="Times New Roman" w:hAnsi="Times New Roman" w:cs="Times New Roman"/>
                <w:sz w:val="24"/>
                <w:szCs w:val="24"/>
                <w:vertAlign w:val="baseline"/>
                <w:lang w:val="en-US" w:eastAsia="zh-CN"/>
              </w:rPr>
            </w:pPr>
            <w:r>
              <w:rPr>
                <w:rFonts w:hint="eastAsia" w:cs="Times New Roman"/>
                <w:sz w:val="24"/>
                <w:szCs w:val="24"/>
                <w:vertAlign w:val="baseline"/>
                <w:lang w:val="en-US" w:eastAsia="zh-CN"/>
              </w:rPr>
              <w:t>一、输血科配备UPS电源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1</w:t>
            </w:r>
          </w:p>
        </w:tc>
        <w:tc>
          <w:tcPr>
            <w:tcW w:w="2250" w:type="dxa"/>
            <w:vAlign w:val="center"/>
          </w:tcPr>
          <w:p>
            <w:pPr>
              <w:keepNext w:val="0"/>
              <w:keepLines w:val="0"/>
              <w:widowControl/>
              <w:suppressLineNumbers w:val="0"/>
              <w:spacing w:line="360" w:lineRule="auto"/>
              <w:jc w:val="center"/>
              <w:textAlignment w:val="center"/>
              <w:rPr>
                <w:rFonts w:hint="default" w:asciiTheme="minorHAnsi" w:hAnsiTheme="minorHAnsi" w:eastAsiaTheme="minorEastAsia" w:cstheme="minorBidi"/>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主机</w:t>
            </w:r>
          </w:p>
        </w:tc>
        <w:tc>
          <w:tcPr>
            <w:tcW w:w="1920" w:type="dxa"/>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r>
              <w:rPr>
                <w:rFonts w:hint="default" w:ascii="宋体" w:hAnsi="宋体" w:eastAsia="宋体" w:cs="宋体"/>
                <w:i w:val="0"/>
                <w:iCs w:val="0"/>
                <w:color w:val="000000"/>
                <w:kern w:val="0"/>
                <w:sz w:val="24"/>
                <w:szCs w:val="24"/>
                <w:u w:val="none"/>
                <w:lang w:val="en-US" w:eastAsia="zh-CN" w:bidi="ar"/>
              </w:rPr>
              <w:t>K</w:t>
            </w:r>
          </w:p>
        </w:tc>
        <w:tc>
          <w:tcPr>
            <w:tcW w:w="1155" w:type="dxa"/>
            <w:vAlign w:val="center"/>
          </w:tcPr>
          <w:p>
            <w:pPr>
              <w:keepNext w:val="0"/>
              <w:keepLines w:val="0"/>
              <w:widowControl/>
              <w:suppressLineNumbers w:val="0"/>
              <w:spacing w:line="360" w:lineRule="auto"/>
              <w:jc w:val="center"/>
              <w:textAlignment w:val="center"/>
              <w:rPr>
                <w:rFonts w:hint="default" w:asciiTheme="minorHAnsi" w:hAnsiTheme="minorHAnsi" w:eastAsiaTheme="minorEastAsia" w:cstheme="minorBidi"/>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1260" w:type="dxa"/>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1</w:t>
            </w:r>
          </w:p>
        </w:tc>
        <w:tc>
          <w:tcPr>
            <w:tcW w:w="1965" w:type="dxa"/>
            <w:vAlign w:val="center"/>
          </w:tcPr>
          <w:p>
            <w:pPr>
              <w:keepNext w:val="0"/>
              <w:keepLines w:val="0"/>
              <w:widowControl/>
              <w:suppressLineNumbers w:val="0"/>
              <w:spacing w:line="360" w:lineRule="auto"/>
              <w:jc w:val="center"/>
              <w:textAlignment w:val="center"/>
              <w:rPr>
                <w:rFonts w:hint="default" w:asciiTheme="minorHAnsi" w:hAnsiTheme="minorHAnsi" w:eastAsiaTheme="minorEastAsia" w:cstheme="minorBidi"/>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医疗专用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2</w:t>
            </w:r>
          </w:p>
        </w:tc>
        <w:tc>
          <w:tcPr>
            <w:tcW w:w="2250" w:type="dxa"/>
            <w:vAlign w:val="center"/>
          </w:tcPr>
          <w:p>
            <w:pPr>
              <w:keepNext w:val="0"/>
              <w:keepLines w:val="0"/>
              <w:widowControl/>
              <w:suppressLineNumbers w:val="0"/>
              <w:spacing w:line="360" w:lineRule="auto"/>
              <w:jc w:val="center"/>
              <w:textAlignment w:val="center"/>
              <w:rPr>
                <w:rFonts w:hint="default" w:asciiTheme="minorHAnsi" w:hAnsiTheme="minorHAnsi" w:eastAsiaTheme="minorEastAsia" w:cstheme="minorBidi"/>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蓄电池</w:t>
            </w:r>
          </w:p>
        </w:tc>
        <w:tc>
          <w:tcPr>
            <w:tcW w:w="1920" w:type="dxa"/>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12V</w:t>
            </w:r>
            <w:r>
              <w:rPr>
                <w:rFonts w:hint="eastAsia" w:ascii="宋体" w:hAnsi="宋体" w:eastAsia="宋体" w:cs="宋体"/>
                <w:i w:val="0"/>
                <w:iCs w:val="0"/>
                <w:color w:val="000000"/>
                <w:kern w:val="0"/>
                <w:sz w:val="24"/>
                <w:szCs w:val="24"/>
                <w:u w:val="none"/>
                <w:lang w:val="en-US" w:eastAsia="zh-CN" w:bidi="ar"/>
              </w:rPr>
              <w:t>8</w:t>
            </w:r>
            <w:r>
              <w:rPr>
                <w:rFonts w:hint="default" w:ascii="宋体" w:hAnsi="宋体" w:eastAsia="宋体" w:cs="宋体"/>
                <w:i w:val="0"/>
                <w:iCs w:val="0"/>
                <w:color w:val="000000"/>
                <w:kern w:val="0"/>
                <w:sz w:val="24"/>
                <w:szCs w:val="24"/>
                <w:u w:val="none"/>
                <w:lang w:val="en-US" w:eastAsia="zh-CN" w:bidi="ar"/>
              </w:rPr>
              <w:t>0AH</w:t>
            </w:r>
          </w:p>
        </w:tc>
        <w:tc>
          <w:tcPr>
            <w:tcW w:w="1155" w:type="dxa"/>
            <w:vAlign w:val="center"/>
          </w:tcPr>
          <w:p>
            <w:pPr>
              <w:keepNext w:val="0"/>
              <w:keepLines w:val="0"/>
              <w:widowControl/>
              <w:suppressLineNumbers w:val="0"/>
              <w:spacing w:line="360" w:lineRule="auto"/>
              <w:jc w:val="center"/>
              <w:textAlignment w:val="center"/>
              <w:rPr>
                <w:rFonts w:hint="default" w:asciiTheme="minorHAnsi" w:hAnsiTheme="minorHAnsi" w:eastAsiaTheme="minorEastAsia" w:cstheme="minorBidi"/>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块</w:t>
            </w:r>
          </w:p>
        </w:tc>
        <w:tc>
          <w:tcPr>
            <w:tcW w:w="1260" w:type="dxa"/>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16</w:t>
            </w:r>
          </w:p>
        </w:tc>
        <w:tc>
          <w:tcPr>
            <w:tcW w:w="1965" w:type="dxa"/>
            <w:vAlign w:val="center"/>
          </w:tcPr>
          <w:p>
            <w:pPr>
              <w:keepNext w:val="0"/>
              <w:keepLines w:val="0"/>
              <w:widowControl/>
              <w:suppressLineNumbers w:val="0"/>
              <w:spacing w:line="360" w:lineRule="auto"/>
              <w:jc w:val="center"/>
              <w:textAlignment w:val="center"/>
              <w:rPr>
                <w:rFonts w:hint="default" w:asciiTheme="minorHAnsi" w:hAnsiTheme="minorHAnsi" w:eastAsiaTheme="minorEastAsia" w:cstheme="minorBidi"/>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医疗专用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3</w:t>
            </w:r>
          </w:p>
        </w:tc>
        <w:tc>
          <w:tcPr>
            <w:tcW w:w="2250" w:type="dxa"/>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电气安全监控系统</w:t>
            </w:r>
          </w:p>
        </w:tc>
        <w:tc>
          <w:tcPr>
            <w:tcW w:w="1920" w:type="dxa"/>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GD-02</w:t>
            </w:r>
          </w:p>
        </w:tc>
        <w:tc>
          <w:tcPr>
            <w:tcW w:w="1155" w:type="dxa"/>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260" w:type="dxa"/>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1</w:t>
            </w:r>
          </w:p>
        </w:tc>
        <w:tc>
          <w:tcPr>
            <w:tcW w:w="1965" w:type="dxa"/>
            <w:vAlign w:val="center"/>
          </w:tcPr>
          <w:p>
            <w:pPr>
              <w:pStyle w:val="6"/>
              <w:widowControl w:val="0"/>
              <w:spacing w:line="360" w:lineRule="auto"/>
              <w:ind w:left="0" w:leftChars="0" w:firstLine="0" w:firstLineChars="0"/>
              <w:jc w:val="center"/>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4</w:t>
            </w:r>
          </w:p>
        </w:tc>
        <w:tc>
          <w:tcPr>
            <w:tcW w:w="2250" w:type="dxa"/>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电池架</w:t>
            </w:r>
          </w:p>
        </w:tc>
        <w:tc>
          <w:tcPr>
            <w:tcW w:w="1920" w:type="dxa"/>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C-16</w:t>
            </w:r>
          </w:p>
        </w:tc>
        <w:tc>
          <w:tcPr>
            <w:tcW w:w="1155" w:type="dxa"/>
            <w:vAlign w:val="center"/>
          </w:tcPr>
          <w:p>
            <w:pPr>
              <w:keepNext w:val="0"/>
              <w:keepLines w:val="0"/>
              <w:widowControl/>
              <w:suppressLineNumbers w:val="0"/>
              <w:spacing w:line="360" w:lineRule="auto"/>
              <w:jc w:val="center"/>
              <w:textAlignment w:val="center"/>
              <w:rPr>
                <w:rFonts w:hint="default" w:asciiTheme="minorHAnsi" w:hAnsiTheme="minorHAnsi" w:eastAsiaTheme="minorEastAsia" w:cstheme="minorBidi"/>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1260" w:type="dxa"/>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1</w:t>
            </w:r>
          </w:p>
        </w:tc>
        <w:tc>
          <w:tcPr>
            <w:tcW w:w="1965" w:type="dxa"/>
            <w:vAlign w:val="center"/>
          </w:tcPr>
          <w:p>
            <w:pPr>
              <w:pStyle w:val="6"/>
              <w:widowControl w:val="0"/>
              <w:spacing w:line="360" w:lineRule="auto"/>
              <w:ind w:left="0" w:leftChars="0" w:firstLine="0" w:firstLineChars="0"/>
              <w:jc w:val="center"/>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5</w:t>
            </w:r>
          </w:p>
        </w:tc>
        <w:tc>
          <w:tcPr>
            <w:tcW w:w="2250" w:type="dxa"/>
            <w:vAlign w:val="center"/>
          </w:tcPr>
          <w:p>
            <w:pPr>
              <w:keepNext w:val="0"/>
              <w:keepLines w:val="0"/>
              <w:widowControl/>
              <w:suppressLineNumbers w:val="0"/>
              <w:spacing w:line="360" w:lineRule="auto"/>
              <w:jc w:val="center"/>
              <w:textAlignment w:val="center"/>
              <w:rPr>
                <w:rFonts w:hint="default" w:ascii="Calibri" w:hAnsi="Calibri" w:eastAsia="宋体" w:cs="Calibri"/>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电池连接线</w:t>
            </w:r>
          </w:p>
        </w:tc>
        <w:tc>
          <w:tcPr>
            <w:tcW w:w="1920" w:type="dxa"/>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10mm²</w:t>
            </w:r>
          </w:p>
        </w:tc>
        <w:tc>
          <w:tcPr>
            <w:tcW w:w="1155" w:type="dxa"/>
            <w:vAlign w:val="center"/>
          </w:tcPr>
          <w:p>
            <w:pPr>
              <w:keepNext w:val="0"/>
              <w:keepLines w:val="0"/>
              <w:widowControl/>
              <w:suppressLineNumbers w:val="0"/>
              <w:spacing w:line="360" w:lineRule="auto"/>
              <w:jc w:val="center"/>
              <w:textAlignment w:val="center"/>
              <w:rPr>
                <w:rFonts w:hint="default" w:asciiTheme="minorHAnsi" w:hAnsiTheme="minorHAnsi" w:eastAsiaTheme="minorEastAsia" w:cstheme="minorBidi"/>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1260" w:type="dxa"/>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1</w:t>
            </w:r>
          </w:p>
        </w:tc>
        <w:tc>
          <w:tcPr>
            <w:tcW w:w="1965" w:type="dxa"/>
            <w:vAlign w:val="center"/>
          </w:tcPr>
          <w:p>
            <w:pPr>
              <w:pStyle w:val="6"/>
              <w:widowControl w:val="0"/>
              <w:spacing w:line="360" w:lineRule="auto"/>
              <w:ind w:left="0" w:leftChars="0" w:firstLine="0" w:firstLineChars="0"/>
              <w:jc w:val="center"/>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6</w:t>
            </w:r>
          </w:p>
        </w:tc>
        <w:tc>
          <w:tcPr>
            <w:tcW w:w="2250" w:type="dxa"/>
            <w:vAlign w:val="center"/>
          </w:tcPr>
          <w:p>
            <w:pPr>
              <w:keepNext w:val="0"/>
              <w:keepLines w:val="0"/>
              <w:widowControl/>
              <w:suppressLineNumbers w:val="0"/>
              <w:spacing w:line="360" w:lineRule="auto"/>
              <w:jc w:val="center"/>
              <w:textAlignment w:val="center"/>
              <w:rPr>
                <w:rFonts w:hint="default" w:asciiTheme="minorHAnsi" w:hAnsiTheme="minorHAnsi" w:eastAsiaTheme="minorEastAsia" w:cstheme="minorBidi"/>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输入输出线缆</w:t>
            </w:r>
          </w:p>
        </w:tc>
        <w:tc>
          <w:tcPr>
            <w:tcW w:w="1920" w:type="dxa"/>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10mm²</w:t>
            </w:r>
          </w:p>
        </w:tc>
        <w:tc>
          <w:tcPr>
            <w:tcW w:w="1155" w:type="dxa"/>
            <w:vAlign w:val="center"/>
          </w:tcPr>
          <w:p>
            <w:pPr>
              <w:keepNext w:val="0"/>
              <w:keepLines w:val="0"/>
              <w:widowControl/>
              <w:suppressLineNumbers w:val="0"/>
              <w:spacing w:line="360" w:lineRule="auto"/>
              <w:jc w:val="center"/>
              <w:textAlignment w:val="center"/>
              <w:rPr>
                <w:rFonts w:hint="default" w:asciiTheme="minorHAnsi" w:hAnsiTheme="minorHAnsi" w:eastAsiaTheme="minorEastAsia" w:cstheme="minorBidi"/>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1260" w:type="dxa"/>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1</w:t>
            </w:r>
          </w:p>
        </w:tc>
        <w:tc>
          <w:tcPr>
            <w:tcW w:w="1965" w:type="dxa"/>
            <w:vAlign w:val="center"/>
          </w:tcPr>
          <w:p>
            <w:pPr>
              <w:pStyle w:val="6"/>
              <w:widowControl w:val="0"/>
              <w:spacing w:line="360" w:lineRule="auto"/>
              <w:ind w:left="0" w:leftChars="0" w:firstLine="0" w:firstLineChars="0"/>
              <w:jc w:val="center"/>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7</w:t>
            </w:r>
          </w:p>
        </w:tc>
        <w:tc>
          <w:tcPr>
            <w:tcW w:w="2250" w:type="dxa"/>
            <w:vAlign w:val="center"/>
          </w:tcPr>
          <w:p>
            <w:pPr>
              <w:keepNext w:val="0"/>
              <w:keepLines w:val="0"/>
              <w:widowControl/>
              <w:suppressLineNumbers w:val="0"/>
              <w:spacing w:line="360" w:lineRule="auto"/>
              <w:jc w:val="center"/>
              <w:textAlignment w:val="center"/>
              <w:rPr>
                <w:rFonts w:hint="default" w:asciiTheme="minorHAnsi" w:hAnsiTheme="minorHAnsi" w:eastAsiaTheme="minorEastAsia" w:cstheme="minorBidi"/>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安装调试</w:t>
            </w:r>
          </w:p>
        </w:tc>
        <w:tc>
          <w:tcPr>
            <w:tcW w:w="1920" w:type="dxa"/>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w:t>
            </w:r>
          </w:p>
        </w:tc>
        <w:tc>
          <w:tcPr>
            <w:tcW w:w="1155" w:type="dxa"/>
            <w:vAlign w:val="center"/>
          </w:tcPr>
          <w:p>
            <w:pPr>
              <w:keepNext w:val="0"/>
              <w:keepLines w:val="0"/>
              <w:widowControl/>
              <w:suppressLineNumbers w:val="0"/>
              <w:spacing w:line="360" w:lineRule="auto"/>
              <w:jc w:val="center"/>
              <w:textAlignment w:val="center"/>
              <w:rPr>
                <w:rFonts w:hint="default" w:asciiTheme="minorHAnsi" w:hAnsiTheme="minorHAnsi" w:eastAsiaTheme="minorEastAsia" w:cstheme="minorBidi"/>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次</w:t>
            </w:r>
          </w:p>
        </w:tc>
        <w:tc>
          <w:tcPr>
            <w:tcW w:w="1260" w:type="dxa"/>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1</w:t>
            </w:r>
          </w:p>
        </w:tc>
        <w:tc>
          <w:tcPr>
            <w:tcW w:w="1965" w:type="dxa"/>
            <w:vAlign w:val="center"/>
          </w:tcPr>
          <w:p>
            <w:pPr>
              <w:pStyle w:val="6"/>
              <w:widowControl w:val="0"/>
              <w:spacing w:line="360" w:lineRule="auto"/>
              <w:ind w:left="0" w:leftChars="0" w:firstLine="0" w:firstLineChars="0"/>
              <w:jc w:val="center"/>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0" w:type="dxa"/>
            <w:gridSpan w:val="6"/>
            <w:vAlign w:val="center"/>
          </w:tcPr>
          <w:p>
            <w:pPr>
              <w:pStyle w:val="6"/>
              <w:widowControl w:val="0"/>
              <w:spacing w:line="360" w:lineRule="auto"/>
              <w:ind w:left="0" w:leftChars="0" w:firstLine="0" w:firstLineChars="0"/>
              <w:jc w:val="center"/>
              <w:rPr>
                <w:rFonts w:hint="default" w:ascii="Times New Roman" w:hAnsi="Times New Roman" w:cs="Times New Roman"/>
                <w:sz w:val="24"/>
                <w:szCs w:val="24"/>
                <w:vertAlign w:val="baseline"/>
                <w:lang w:val="en-US" w:eastAsia="zh-CN"/>
              </w:rPr>
            </w:pPr>
            <w:r>
              <w:rPr>
                <w:rFonts w:hint="eastAsia" w:cs="Times New Roman"/>
                <w:sz w:val="24"/>
                <w:szCs w:val="24"/>
                <w:vertAlign w:val="baseline"/>
                <w:lang w:val="en-US" w:eastAsia="zh-CN"/>
              </w:rPr>
              <w:t>二、GCP药房配备UPS电源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1</w:t>
            </w:r>
          </w:p>
        </w:tc>
        <w:tc>
          <w:tcPr>
            <w:tcW w:w="2250" w:type="dxa"/>
            <w:vAlign w:val="center"/>
          </w:tcPr>
          <w:p>
            <w:pPr>
              <w:keepNext w:val="0"/>
              <w:keepLines w:val="0"/>
              <w:widowControl/>
              <w:suppressLineNumbers w:val="0"/>
              <w:spacing w:line="360" w:lineRule="auto"/>
              <w:jc w:val="center"/>
              <w:textAlignment w:val="center"/>
              <w:rPr>
                <w:rFonts w:hint="eastAsia" w:asciiTheme="minorHAnsi" w:hAnsiTheme="minorHAnsi" w:eastAsiaTheme="minorEastAsia" w:cstheme="minorBidi"/>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主机</w:t>
            </w:r>
          </w:p>
        </w:tc>
        <w:tc>
          <w:tcPr>
            <w:tcW w:w="1920"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10K</w:t>
            </w:r>
          </w:p>
        </w:tc>
        <w:tc>
          <w:tcPr>
            <w:tcW w:w="1155" w:type="dxa"/>
            <w:vAlign w:val="center"/>
          </w:tcPr>
          <w:p>
            <w:pPr>
              <w:keepNext w:val="0"/>
              <w:keepLines w:val="0"/>
              <w:widowControl/>
              <w:suppressLineNumbers w:val="0"/>
              <w:spacing w:line="360" w:lineRule="auto"/>
              <w:jc w:val="center"/>
              <w:textAlignment w:val="center"/>
              <w:rPr>
                <w:rFonts w:hint="eastAsia" w:asciiTheme="minorHAnsi" w:hAnsiTheme="minorHAnsi" w:eastAsiaTheme="minorEastAsia" w:cstheme="minorBidi"/>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1260"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1</w:t>
            </w:r>
          </w:p>
        </w:tc>
        <w:tc>
          <w:tcPr>
            <w:tcW w:w="1965" w:type="dxa"/>
            <w:vAlign w:val="center"/>
          </w:tcPr>
          <w:p>
            <w:pPr>
              <w:keepNext w:val="0"/>
              <w:keepLines w:val="0"/>
              <w:widowControl/>
              <w:suppressLineNumbers w:val="0"/>
              <w:spacing w:line="360" w:lineRule="auto"/>
              <w:jc w:val="center"/>
              <w:textAlignment w:val="center"/>
              <w:rPr>
                <w:rFonts w:hint="default" w:asciiTheme="minorHAnsi" w:hAnsiTheme="minorHAnsi" w:eastAsiaTheme="minorEastAsia" w:cstheme="minorBidi"/>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医疗专用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2</w:t>
            </w:r>
          </w:p>
        </w:tc>
        <w:tc>
          <w:tcPr>
            <w:tcW w:w="2250" w:type="dxa"/>
            <w:vAlign w:val="center"/>
          </w:tcPr>
          <w:p>
            <w:pPr>
              <w:keepNext w:val="0"/>
              <w:keepLines w:val="0"/>
              <w:widowControl/>
              <w:suppressLineNumbers w:val="0"/>
              <w:spacing w:line="360" w:lineRule="auto"/>
              <w:jc w:val="center"/>
              <w:textAlignment w:val="center"/>
              <w:rPr>
                <w:rFonts w:hint="eastAsia" w:asciiTheme="minorHAnsi" w:hAnsiTheme="minorHAnsi" w:eastAsiaTheme="minorEastAsia" w:cstheme="minorBidi"/>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蓄电池</w:t>
            </w:r>
          </w:p>
        </w:tc>
        <w:tc>
          <w:tcPr>
            <w:tcW w:w="1920"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12V150AH</w:t>
            </w:r>
          </w:p>
        </w:tc>
        <w:tc>
          <w:tcPr>
            <w:tcW w:w="1155" w:type="dxa"/>
            <w:vAlign w:val="center"/>
          </w:tcPr>
          <w:p>
            <w:pPr>
              <w:keepNext w:val="0"/>
              <w:keepLines w:val="0"/>
              <w:widowControl/>
              <w:suppressLineNumbers w:val="0"/>
              <w:spacing w:line="360" w:lineRule="auto"/>
              <w:jc w:val="center"/>
              <w:textAlignment w:val="center"/>
              <w:rPr>
                <w:rFonts w:hint="eastAsia" w:asciiTheme="minorHAnsi" w:hAnsiTheme="minorHAnsi" w:eastAsiaTheme="minorEastAsia" w:cstheme="minorBidi"/>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块</w:t>
            </w:r>
          </w:p>
        </w:tc>
        <w:tc>
          <w:tcPr>
            <w:tcW w:w="1260"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16</w:t>
            </w:r>
          </w:p>
        </w:tc>
        <w:tc>
          <w:tcPr>
            <w:tcW w:w="1965" w:type="dxa"/>
            <w:vAlign w:val="center"/>
          </w:tcPr>
          <w:p>
            <w:pPr>
              <w:keepNext w:val="0"/>
              <w:keepLines w:val="0"/>
              <w:widowControl/>
              <w:suppressLineNumbers w:val="0"/>
              <w:spacing w:line="360" w:lineRule="auto"/>
              <w:jc w:val="center"/>
              <w:textAlignment w:val="center"/>
              <w:rPr>
                <w:rFonts w:hint="default" w:asciiTheme="minorHAnsi" w:hAnsiTheme="minorHAnsi" w:eastAsiaTheme="minorEastAsia" w:cstheme="minorBidi"/>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医疗专用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3</w:t>
            </w:r>
          </w:p>
        </w:tc>
        <w:tc>
          <w:tcPr>
            <w:tcW w:w="2250"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电气安全监控系统</w:t>
            </w:r>
          </w:p>
        </w:tc>
        <w:tc>
          <w:tcPr>
            <w:tcW w:w="1920"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GD-02</w:t>
            </w:r>
          </w:p>
        </w:tc>
        <w:tc>
          <w:tcPr>
            <w:tcW w:w="115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260"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1</w:t>
            </w:r>
          </w:p>
        </w:tc>
        <w:tc>
          <w:tcPr>
            <w:tcW w:w="1965" w:type="dxa"/>
            <w:vAlign w:val="center"/>
          </w:tcPr>
          <w:p>
            <w:pPr>
              <w:pStyle w:val="6"/>
              <w:widowControl w:val="0"/>
              <w:spacing w:line="360" w:lineRule="auto"/>
              <w:ind w:left="0" w:leftChars="0" w:firstLine="0" w:firstLineChars="0"/>
              <w:jc w:val="center"/>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4</w:t>
            </w:r>
          </w:p>
        </w:tc>
        <w:tc>
          <w:tcPr>
            <w:tcW w:w="2250"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电池架</w:t>
            </w:r>
          </w:p>
        </w:tc>
        <w:tc>
          <w:tcPr>
            <w:tcW w:w="1920"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C-16</w:t>
            </w:r>
          </w:p>
        </w:tc>
        <w:tc>
          <w:tcPr>
            <w:tcW w:w="1155" w:type="dxa"/>
            <w:vAlign w:val="center"/>
          </w:tcPr>
          <w:p>
            <w:pPr>
              <w:keepNext w:val="0"/>
              <w:keepLines w:val="0"/>
              <w:widowControl/>
              <w:suppressLineNumbers w:val="0"/>
              <w:spacing w:line="360" w:lineRule="auto"/>
              <w:jc w:val="center"/>
              <w:textAlignment w:val="center"/>
              <w:rPr>
                <w:rFonts w:hint="eastAsia" w:asciiTheme="minorHAnsi" w:hAnsiTheme="minorHAnsi" w:eastAsiaTheme="minorEastAsia" w:cstheme="minorBidi"/>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1260"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1</w:t>
            </w:r>
          </w:p>
        </w:tc>
        <w:tc>
          <w:tcPr>
            <w:tcW w:w="1965" w:type="dxa"/>
            <w:vAlign w:val="center"/>
          </w:tcPr>
          <w:p>
            <w:pPr>
              <w:pStyle w:val="6"/>
              <w:widowControl w:val="0"/>
              <w:spacing w:line="360" w:lineRule="auto"/>
              <w:ind w:left="0" w:leftChars="0" w:firstLine="0" w:firstLineChars="0"/>
              <w:jc w:val="center"/>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5</w:t>
            </w:r>
          </w:p>
        </w:tc>
        <w:tc>
          <w:tcPr>
            <w:tcW w:w="2250" w:type="dxa"/>
            <w:vAlign w:val="center"/>
          </w:tcPr>
          <w:p>
            <w:pPr>
              <w:keepNext w:val="0"/>
              <w:keepLines w:val="0"/>
              <w:widowControl/>
              <w:suppressLineNumbers w:val="0"/>
              <w:spacing w:line="360" w:lineRule="auto"/>
              <w:jc w:val="center"/>
              <w:textAlignment w:val="center"/>
              <w:rPr>
                <w:rFonts w:hint="eastAsia" w:ascii="Calibri" w:hAnsi="Calibri" w:eastAsia="宋体" w:cs="Calibri"/>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电池连接线</w:t>
            </w:r>
          </w:p>
        </w:tc>
        <w:tc>
          <w:tcPr>
            <w:tcW w:w="1920"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25mm²</w:t>
            </w:r>
          </w:p>
        </w:tc>
        <w:tc>
          <w:tcPr>
            <w:tcW w:w="1155" w:type="dxa"/>
            <w:vAlign w:val="center"/>
          </w:tcPr>
          <w:p>
            <w:pPr>
              <w:keepNext w:val="0"/>
              <w:keepLines w:val="0"/>
              <w:widowControl/>
              <w:suppressLineNumbers w:val="0"/>
              <w:spacing w:line="360" w:lineRule="auto"/>
              <w:jc w:val="center"/>
              <w:textAlignment w:val="center"/>
              <w:rPr>
                <w:rFonts w:hint="eastAsia" w:asciiTheme="minorHAnsi" w:hAnsiTheme="minorHAnsi" w:eastAsiaTheme="minorEastAsia" w:cstheme="minorBidi"/>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1260"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1</w:t>
            </w:r>
          </w:p>
        </w:tc>
        <w:tc>
          <w:tcPr>
            <w:tcW w:w="1965" w:type="dxa"/>
            <w:vAlign w:val="center"/>
          </w:tcPr>
          <w:p>
            <w:pPr>
              <w:pStyle w:val="6"/>
              <w:widowControl w:val="0"/>
              <w:spacing w:line="360" w:lineRule="auto"/>
              <w:ind w:left="0" w:leftChars="0" w:firstLine="0" w:firstLineChars="0"/>
              <w:jc w:val="center"/>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6</w:t>
            </w:r>
          </w:p>
        </w:tc>
        <w:tc>
          <w:tcPr>
            <w:tcW w:w="2250" w:type="dxa"/>
            <w:vAlign w:val="center"/>
          </w:tcPr>
          <w:p>
            <w:pPr>
              <w:keepNext w:val="0"/>
              <w:keepLines w:val="0"/>
              <w:widowControl/>
              <w:suppressLineNumbers w:val="0"/>
              <w:spacing w:line="360" w:lineRule="auto"/>
              <w:jc w:val="center"/>
              <w:textAlignment w:val="center"/>
              <w:rPr>
                <w:rFonts w:hint="eastAsia" w:asciiTheme="minorHAnsi" w:hAnsiTheme="minorHAnsi" w:eastAsiaTheme="minorEastAsia" w:cstheme="minorBidi"/>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输入输出线缆</w:t>
            </w:r>
          </w:p>
        </w:tc>
        <w:tc>
          <w:tcPr>
            <w:tcW w:w="1920"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25mm²</w:t>
            </w:r>
          </w:p>
        </w:tc>
        <w:tc>
          <w:tcPr>
            <w:tcW w:w="1155" w:type="dxa"/>
            <w:vAlign w:val="center"/>
          </w:tcPr>
          <w:p>
            <w:pPr>
              <w:keepNext w:val="0"/>
              <w:keepLines w:val="0"/>
              <w:widowControl/>
              <w:suppressLineNumbers w:val="0"/>
              <w:spacing w:line="360" w:lineRule="auto"/>
              <w:jc w:val="center"/>
              <w:textAlignment w:val="center"/>
              <w:rPr>
                <w:rFonts w:hint="eastAsia" w:asciiTheme="minorHAnsi" w:hAnsiTheme="minorHAnsi" w:eastAsiaTheme="minorEastAsia" w:cstheme="minorBidi"/>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套</w:t>
            </w:r>
          </w:p>
        </w:tc>
        <w:tc>
          <w:tcPr>
            <w:tcW w:w="1260"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1</w:t>
            </w:r>
          </w:p>
        </w:tc>
        <w:tc>
          <w:tcPr>
            <w:tcW w:w="1965" w:type="dxa"/>
            <w:vAlign w:val="center"/>
          </w:tcPr>
          <w:p>
            <w:pPr>
              <w:pStyle w:val="6"/>
              <w:widowControl w:val="0"/>
              <w:spacing w:line="360" w:lineRule="auto"/>
              <w:ind w:left="0" w:leftChars="0" w:firstLine="0" w:firstLineChars="0"/>
              <w:jc w:val="center"/>
              <w:rPr>
                <w:rFonts w:hint="default" w:ascii="Times New Roman" w:hAnsi="Times New Roman"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7</w:t>
            </w:r>
          </w:p>
        </w:tc>
        <w:tc>
          <w:tcPr>
            <w:tcW w:w="2250" w:type="dxa"/>
            <w:vAlign w:val="center"/>
          </w:tcPr>
          <w:p>
            <w:pPr>
              <w:keepNext w:val="0"/>
              <w:keepLines w:val="0"/>
              <w:widowControl/>
              <w:suppressLineNumbers w:val="0"/>
              <w:spacing w:line="360" w:lineRule="auto"/>
              <w:jc w:val="center"/>
              <w:textAlignment w:val="center"/>
              <w:rPr>
                <w:rFonts w:hint="eastAsia" w:asciiTheme="minorHAnsi" w:hAnsiTheme="minorHAnsi" w:eastAsiaTheme="minorEastAsia" w:cstheme="minorBidi"/>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安装调试</w:t>
            </w:r>
          </w:p>
        </w:tc>
        <w:tc>
          <w:tcPr>
            <w:tcW w:w="1920"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w:t>
            </w:r>
          </w:p>
        </w:tc>
        <w:tc>
          <w:tcPr>
            <w:tcW w:w="1155" w:type="dxa"/>
            <w:vAlign w:val="center"/>
          </w:tcPr>
          <w:p>
            <w:pPr>
              <w:keepNext w:val="0"/>
              <w:keepLines w:val="0"/>
              <w:widowControl/>
              <w:suppressLineNumbers w:val="0"/>
              <w:spacing w:line="360" w:lineRule="auto"/>
              <w:jc w:val="center"/>
              <w:textAlignment w:val="center"/>
              <w:rPr>
                <w:rFonts w:hint="eastAsia" w:asciiTheme="minorHAnsi" w:hAnsiTheme="minorHAnsi" w:eastAsiaTheme="minorEastAsia" w:cstheme="minorBidi"/>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次</w:t>
            </w:r>
          </w:p>
        </w:tc>
        <w:tc>
          <w:tcPr>
            <w:tcW w:w="1260" w:type="dxa"/>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1</w:t>
            </w:r>
          </w:p>
        </w:tc>
        <w:tc>
          <w:tcPr>
            <w:tcW w:w="1965" w:type="dxa"/>
            <w:vAlign w:val="center"/>
          </w:tcPr>
          <w:p>
            <w:pPr>
              <w:pStyle w:val="6"/>
              <w:widowControl w:val="0"/>
              <w:spacing w:line="360" w:lineRule="auto"/>
              <w:ind w:left="0" w:leftChars="0" w:firstLine="0" w:firstLineChars="0"/>
              <w:jc w:val="center"/>
              <w:rPr>
                <w:rFonts w:hint="default" w:ascii="Times New Roman" w:hAnsi="Times New Roman" w:cs="Times New Roman"/>
                <w:sz w:val="24"/>
                <w:szCs w:val="24"/>
                <w:vertAlign w:val="baseline"/>
                <w:lang w:val="en-US" w:eastAsia="zh-CN"/>
              </w:rPr>
            </w:pPr>
          </w:p>
        </w:tc>
      </w:tr>
    </w:tbl>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p>
    <w:p>
      <w:pPr>
        <w:pStyle w:val="5"/>
        <w:numPr>
          <w:ilvl w:val="0"/>
          <w:numId w:val="0"/>
        </w:numPr>
        <w:spacing w:after="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二、详细技术要求、参数及产品资料等：</w:t>
      </w:r>
    </w:p>
    <w:p>
      <w:pPr>
        <w:pStyle w:val="5"/>
        <w:jc w:val="left"/>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 xml:space="preserve">、附技术偏离表、评分标准、产品彩页、相关证明文件                                                       </w:t>
      </w:r>
    </w:p>
    <w:p>
      <w:pPr>
        <w:pStyle w:val="5"/>
        <w:numPr>
          <w:ilvl w:val="0"/>
          <w:numId w:val="0"/>
        </w:numPr>
        <w:spacing w:after="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三、售后服务条件及交货日期（或工期）：</w:t>
      </w:r>
    </w:p>
    <w:p>
      <w:pPr>
        <w:widowControl/>
        <w:adjustRightInd w:val="0"/>
        <w:snapToGrid w:val="0"/>
        <w:spacing w:line="360" w:lineRule="auto"/>
        <w:jc w:val="left"/>
        <w:rPr>
          <w:rFonts w:ascii="宋体" w:hAnsi="宋体"/>
          <w:color w:val="auto"/>
          <w:sz w:val="28"/>
          <w:szCs w:val="28"/>
          <w:u w:val="single"/>
        </w:rPr>
      </w:pPr>
      <w:r>
        <w:rPr>
          <w:rFonts w:hint="eastAsia" w:ascii="宋体" w:hAnsi="宋体" w:eastAsia="宋体" w:cs="宋体"/>
          <w:color w:val="auto"/>
          <w:kern w:val="2"/>
          <w:sz w:val="21"/>
          <w:szCs w:val="21"/>
          <w:highlight w:val="none"/>
          <w:lang w:val="en-US" w:eastAsia="zh-CN" w:bidi="ar-SA"/>
        </w:rPr>
        <w:t xml:space="preserve"> 1、质保期36个月；2、交货日期：合同签订后20日内。  </w:t>
      </w:r>
      <w:r>
        <w:rPr>
          <w:rFonts w:hint="eastAsia" w:ascii="宋体" w:hAnsi="宋体" w:eastAsia="宋体" w:cs="宋体"/>
          <w:color w:val="auto"/>
          <w:szCs w:val="21"/>
          <w:highlight w:val="none"/>
        </w:rPr>
        <w:t xml:space="preserve"> </w:t>
      </w:r>
    </w:p>
    <w:p>
      <w:pPr>
        <w:rPr>
          <w:color w:val="auto"/>
        </w:rPr>
      </w:pPr>
    </w:p>
    <w:p>
      <w:pPr>
        <w:jc w:val="center"/>
        <w:rPr>
          <w:rFonts w:hint="eastAsia"/>
          <w:sz w:val="36"/>
          <w:szCs w:val="44"/>
          <w:lang w:val="en-US" w:eastAsia="zh-CN"/>
        </w:rPr>
      </w:pPr>
      <w:r>
        <w:rPr>
          <w:rFonts w:hint="eastAsia" w:ascii="宋体" w:hAnsi="宋体" w:eastAsia="宋体" w:cs="宋体"/>
          <w:color w:val="auto"/>
          <w:kern w:val="2"/>
          <w:sz w:val="21"/>
          <w:szCs w:val="24"/>
          <w:lang w:val="en-US" w:eastAsia="zh-CN" w:bidi="ar-SA"/>
        </w:rPr>
        <w:br w:type="page"/>
      </w:r>
      <w:r>
        <w:rPr>
          <w:rFonts w:hint="eastAsia"/>
          <w:sz w:val="36"/>
          <w:szCs w:val="44"/>
          <w:lang w:val="en-US" w:eastAsia="zh-CN"/>
        </w:rPr>
        <w:t>产品技术参数</w:t>
      </w:r>
    </w:p>
    <w:tbl>
      <w:tblPr>
        <w:tblStyle w:val="32"/>
        <w:tblW w:w="9846" w:type="dxa"/>
        <w:jc w:val="center"/>
        <w:tblLayout w:type="fixed"/>
        <w:tblCellMar>
          <w:top w:w="0" w:type="dxa"/>
          <w:left w:w="0" w:type="dxa"/>
          <w:bottom w:w="0" w:type="dxa"/>
          <w:right w:w="0" w:type="dxa"/>
        </w:tblCellMar>
      </w:tblPr>
      <w:tblGrid>
        <w:gridCol w:w="551"/>
        <w:gridCol w:w="938"/>
        <w:gridCol w:w="8357"/>
      </w:tblGrid>
      <w:tr>
        <w:tblPrEx>
          <w:tblCellMar>
            <w:top w:w="0" w:type="dxa"/>
            <w:left w:w="0" w:type="dxa"/>
            <w:bottom w:w="0" w:type="dxa"/>
            <w:right w:w="0" w:type="dxa"/>
          </w:tblCellMar>
        </w:tblPrEx>
        <w:trPr>
          <w:trHeight w:val="634" w:hRule="atLeast"/>
          <w:jc w:val="center"/>
        </w:trPr>
        <w:tc>
          <w:tcPr>
            <w:tcW w:w="551" w:type="dxa"/>
            <w:tcBorders>
              <w:top w:val="single" w:color="000000" w:sz="8" w:space="0"/>
              <w:left w:val="single" w:color="000000" w:sz="8" w:space="0"/>
              <w:bottom w:val="single" w:color="000000" w:sz="8" w:space="0"/>
              <w:right w:val="single" w:color="000000" w:sz="8" w:space="0"/>
            </w:tcBorders>
            <w:shd w:val="clear" w:color="auto" w:fill="FFFFFF" w:themeFill="background1"/>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b w:val="0"/>
                <w:bCs/>
                <w:color w:val="000000"/>
                <w:kern w:val="0"/>
                <w:szCs w:val="21"/>
                <w:lang w:val="en-US" w:eastAsia="zh-CN"/>
              </w:rPr>
            </w:pPr>
            <w:r>
              <w:rPr>
                <w:rFonts w:hint="eastAsia" w:ascii="宋体" w:hAnsi="宋体" w:cs="宋体"/>
                <w:b w:val="0"/>
                <w:bCs/>
                <w:color w:val="000000"/>
                <w:kern w:val="0"/>
                <w:szCs w:val="21"/>
                <w:lang w:val="en-US" w:eastAsia="zh-CN"/>
              </w:rPr>
              <w:t>序号</w:t>
            </w:r>
          </w:p>
        </w:tc>
        <w:tc>
          <w:tcPr>
            <w:tcW w:w="938" w:type="dxa"/>
            <w:tcBorders>
              <w:top w:val="single" w:color="000000" w:sz="8" w:space="0"/>
              <w:left w:val="nil"/>
              <w:bottom w:val="single" w:color="000000" w:sz="8" w:space="0"/>
              <w:right w:val="single" w:color="000000" w:sz="8" w:space="0"/>
            </w:tcBorders>
            <w:shd w:val="clear" w:color="auto" w:fill="FFFFFF" w:themeFill="background1"/>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b w:val="0"/>
                <w:bCs/>
                <w:color w:val="000000"/>
                <w:kern w:val="0"/>
                <w:szCs w:val="21"/>
                <w:lang w:val="en-US" w:eastAsia="zh-CN"/>
              </w:rPr>
            </w:pPr>
            <w:r>
              <w:rPr>
                <w:rFonts w:hint="eastAsia" w:ascii="宋体" w:hAnsi="宋体" w:cs="宋体"/>
                <w:b w:val="0"/>
                <w:bCs/>
                <w:color w:val="000000"/>
                <w:kern w:val="0"/>
                <w:szCs w:val="21"/>
                <w:lang w:val="en-US" w:eastAsia="zh-CN"/>
              </w:rPr>
              <w:t>产品</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b w:val="0"/>
                <w:bCs/>
                <w:color w:val="000000"/>
                <w:kern w:val="0"/>
                <w:szCs w:val="21"/>
                <w:lang w:val="en-US" w:eastAsia="zh-CN"/>
              </w:rPr>
            </w:pPr>
            <w:r>
              <w:rPr>
                <w:rFonts w:hint="eastAsia" w:ascii="宋体" w:hAnsi="宋体" w:cs="宋体"/>
                <w:b w:val="0"/>
                <w:bCs/>
                <w:color w:val="000000"/>
                <w:kern w:val="0"/>
                <w:szCs w:val="21"/>
                <w:lang w:val="en-US" w:eastAsia="zh-CN"/>
              </w:rPr>
              <w:t>名称</w:t>
            </w:r>
          </w:p>
        </w:tc>
        <w:tc>
          <w:tcPr>
            <w:tcW w:w="8357" w:type="dxa"/>
            <w:tcBorders>
              <w:top w:val="single" w:color="000000" w:sz="8" w:space="0"/>
              <w:left w:val="nil"/>
              <w:bottom w:val="single" w:color="000000" w:sz="8" w:space="0"/>
              <w:right w:val="single" w:color="000000" w:sz="8" w:space="0"/>
            </w:tcBorders>
            <w:shd w:val="clear" w:color="auto" w:fill="FFFFFF" w:themeFill="background1"/>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cs="宋体"/>
                <w:b w:val="0"/>
                <w:bCs/>
                <w:color w:val="000000"/>
                <w:kern w:val="0"/>
                <w:szCs w:val="21"/>
                <w:lang w:val="en-US" w:eastAsia="zh-CN"/>
              </w:rPr>
            </w:pPr>
            <w:r>
              <w:rPr>
                <w:rFonts w:hint="eastAsia" w:ascii="宋体" w:hAnsi="宋体" w:cs="宋体"/>
                <w:b w:val="0"/>
                <w:bCs/>
                <w:color w:val="000000"/>
                <w:kern w:val="0"/>
                <w:szCs w:val="21"/>
                <w:lang w:val="en-US" w:eastAsia="zh-CN"/>
              </w:rPr>
              <w:t>技术参数要求</w:t>
            </w:r>
          </w:p>
        </w:tc>
      </w:tr>
      <w:tr>
        <w:tblPrEx>
          <w:tblCellMar>
            <w:top w:w="0" w:type="dxa"/>
            <w:left w:w="0" w:type="dxa"/>
            <w:bottom w:w="0" w:type="dxa"/>
            <w:right w:w="0" w:type="dxa"/>
          </w:tblCellMar>
        </w:tblPrEx>
        <w:trPr>
          <w:trHeight w:val="464" w:hRule="atLeast"/>
          <w:jc w:val="center"/>
        </w:trPr>
        <w:tc>
          <w:tcPr>
            <w:tcW w:w="9846"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cs="宋体"/>
                <w:b w:val="0"/>
                <w:bCs/>
                <w:color w:val="000000"/>
                <w:kern w:val="0"/>
                <w:szCs w:val="21"/>
                <w:lang w:val="en-US" w:eastAsia="zh-CN"/>
              </w:rPr>
            </w:pPr>
            <w:r>
              <w:rPr>
                <w:rFonts w:hint="eastAsia" w:ascii="宋体" w:hAnsi="宋体" w:cs="宋体"/>
                <w:b w:val="0"/>
                <w:bCs/>
                <w:color w:val="000000"/>
                <w:kern w:val="0"/>
                <w:szCs w:val="21"/>
                <w:lang w:val="en-US" w:eastAsia="zh-CN"/>
              </w:rPr>
              <w:t>一、输血科配备UPS电源</w:t>
            </w:r>
          </w:p>
        </w:tc>
      </w:tr>
      <w:tr>
        <w:tblPrEx>
          <w:tblCellMar>
            <w:top w:w="0" w:type="dxa"/>
            <w:left w:w="0" w:type="dxa"/>
            <w:bottom w:w="0" w:type="dxa"/>
            <w:right w:w="0" w:type="dxa"/>
          </w:tblCellMar>
        </w:tblPrEx>
        <w:trPr>
          <w:trHeight w:val="90" w:hRule="atLeast"/>
          <w:jc w:val="center"/>
        </w:trPr>
        <w:tc>
          <w:tcPr>
            <w:tcW w:w="551"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b w:val="0"/>
                <w:bCs/>
                <w:color w:val="000000"/>
                <w:kern w:val="0"/>
                <w:szCs w:val="21"/>
                <w:lang w:val="en-US" w:eastAsia="zh-CN"/>
              </w:rPr>
            </w:pPr>
            <w:r>
              <w:rPr>
                <w:rFonts w:hint="eastAsia" w:ascii="宋体" w:hAnsi="宋体" w:cs="宋体"/>
                <w:b w:val="0"/>
                <w:bCs/>
                <w:color w:val="000000"/>
                <w:kern w:val="0"/>
                <w:szCs w:val="21"/>
                <w:lang w:val="en-US" w:eastAsia="zh-CN"/>
              </w:rPr>
              <w:t>1</w:t>
            </w:r>
          </w:p>
        </w:tc>
        <w:tc>
          <w:tcPr>
            <w:tcW w:w="938"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UPS</w:t>
            </w:r>
          </w:p>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b w:val="0"/>
                <w:bCs/>
                <w:i w:val="0"/>
                <w:iCs w:val="0"/>
                <w:color w:val="00336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主机</w:t>
            </w:r>
          </w:p>
        </w:tc>
        <w:tc>
          <w:tcPr>
            <w:tcW w:w="8357"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Style w:val="89"/>
                <w:rFonts w:hint="eastAsia" w:eastAsia="宋体"/>
                <w:lang w:eastAsia="zh-CN"/>
              </w:rPr>
            </w:pPr>
            <w:r>
              <w:rPr>
                <w:rFonts w:hint="eastAsia" w:eastAsia="宋体" w:cs="Times New Roman"/>
                <w:lang w:val="en-US" w:eastAsia="zh-CN"/>
              </w:rPr>
              <w:t>1</w:t>
            </w:r>
            <w:r>
              <w:rPr>
                <w:rFonts w:hint="default" w:eastAsia="宋体" w:cs="Times New Roman"/>
                <w:lang w:val="en-US" w:eastAsia="zh-CN"/>
              </w:rPr>
              <w:t>、</w:t>
            </w:r>
            <w:r>
              <w:rPr>
                <w:rStyle w:val="89"/>
                <w:rFonts w:hint="default"/>
              </w:rPr>
              <w:t>UPS额定容量</w:t>
            </w:r>
            <w:r>
              <w:rPr>
                <w:rStyle w:val="89"/>
                <w:rFonts w:hint="eastAsia" w:eastAsia="宋体"/>
                <w:lang w:val="en-US" w:eastAsia="zh-CN"/>
              </w:rPr>
              <w:t>6</w:t>
            </w:r>
            <w:r>
              <w:rPr>
                <w:rStyle w:val="89"/>
                <w:rFonts w:hint="default"/>
              </w:rPr>
              <w:t>KVA</w:t>
            </w:r>
            <w:r>
              <w:rPr>
                <w:rStyle w:val="89"/>
                <w:rFonts w:hint="eastAsia" w:eastAsia="宋体"/>
                <w:lang w:eastAsia="zh-CN"/>
              </w:rPr>
              <w:t>。</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lang w:val="en-US" w:eastAsia="zh-CN"/>
              </w:rPr>
            </w:pPr>
            <w:r>
              <w:rPr>
                <w:rFonts w:hint="eastAsia"/>
                <w:lang w:val="en-US" w:eastAsia="zh-CN"/>
              </w:rPr>
              <w:t xml:space="preserve">2、UPS符合IEC 62040-3标准的双变换电路结构；UPS相关功能组件和相应开关，必须使用断路器或负荷开关。 </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lang w:val="en-US" w:eastAsia="zh-CN"/>
              </w:rPr>
            </w:pPr>
            <w:r>
              <w:rPr>
                <w:rFonts w:hint="eastAsia"/>
                <w:lang w:val="en-US" w:eastAsia="zh-CN"/>
              </w:rPr>
              <w:t>3、UPS至少包含1个整流器和1个逆变器，1个静态旁路、1个主输入开关，1个静态旁路输入开关，1个输出开关和1个维修旁路开关。</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lang w:val="en-US" w:eastAsia="zh-CN"/>
              </w:rPr>
            </w:pPr>
            <w:r>
              <w:rPr>
                <w:rFonts w:hint="eastAsia"/>
                <w:lang w:val="en-US" w:eastAsia="zh-CN"/>
              </w:rPr>
              <w:t>4、设备需实现全数化控制，输出电压和电流应用复合控制策略，实现动态调节，减小输出电压失真，输出波形质量高，负载特性好。</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lang w:val="en-US" w:eastAsia="zh-CN"/>
              </w:rPr>
            </w:pPr>
            <w:r>
              <w:rPr>
                <w:rFonts w:hint="eastAsia"/>
                <w:lang w:val="en-US" w:eastAsia="zh-CN"/>
              </w:rPr>
              <w:t>5、</w:t>
            </w:r>
            <w:r>
              <w:rPr>
                <w:rFonts w:hint="eastAsia"/>
                <w:sz w:val="21"/>
                <w:szCs w:val="21"/>
                <w:lang w:val="en-US" w:eastAsia="zh-CN"/>
              </w:rPr>
              <w:t>采用工业级强力高速离心风机散热，智能化调速</w:t>
            </w:r>
            <w:r>
              <w:rPr>
                <w:rFonts w:hint="eastAsia"/>
                <w:lang w:val="en-US" w:eastAsia="zh-CN"/>
              </w:rPr>
              <w:t>。</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lang w:val="en-US" w:eastAsia="zh-CN"/>
              </w:rPr>
            </w:pPr>
            <w:r>
              <w:rPr>
                <w:rFonts w:hint="eastAsia"/>
                <w:lang w:val="en-US" w:eastAsia="zh-CN"/>
              </w:rPr>
              <w:t>6、具有输入、输出的过压和欠压保护、相序检测、电池过充过放保护、输出过载短路保护和温度过高保护等保护和报警功能，并设有EPO紧急关断按钮。</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lang w:val="en-US" w:eastAsia="zh-CN"/>
              </w:rPr>
            </w:pPr>
            <w:r>
              <w:rPr>
                <w:rFonts w:hint="eastAsia"/>
                <w:lang w:val="en-US" w:eastAsia="zh-CN"/>
              </w:rPr>
              <w:t>7、具备Wi-Fi功能，使用手机或平板电脑进行操控，可调整整流和逆变等相关参数，操作与控制范围在距本机≤100m。</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lang w:val="en-US" w:eastAsia="zh-CN"/>
              </w:rPr>
            </w:pPr>
            <w:r>
              <w:rPr>
                <w:rFonts w:hint="eastAsia"/>
                <w:lang w:val="en-US" w:eastAsia="zh-CN"/>
              </w:rPr>
              <w:t>8、ECO节能模式下效率≥97%。</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lang w:val="en-US" w:eastAsia="zh-CN"/>
              </w:rPr>
            </w:pPr>
            <w:r>
              <w:rPr>
                <w:rFonts w:hint="eastAsia"/>
                <w:lang w:val="en-US" w:eastAsia="zh-CN"/>
              </w:rPr>
              <w:t>9、6脉冲整流若加配功率因数校正模块，输入功率因数≥0.95。</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lang w:val="en-US" w:eastAsia="zh-CN"/>
              </w:rPr>
            </w:pPr>
            <w:r>
              <w:rPr>
                <w:rFonts w:hint="eastAsia"/>
                <w:lang w:val="en-US" w:eastAsia="zh-CN"/>
              </w:rPr>
              <w:t>10、</w:t>
            </w:r>
            <w:r>
              <w:rPr>
                <w:rFonts w:hint="eastAsia" w:ascii="宋体" w:hAnsi="宋体" w:cs="宋体"/>
                <w:color w:val="000000"/>
                <w:kern w:val="0"/>
                <w:szCs w:val="21"/>
              </w:rPr>
              <w:t>配备智能化电池管理功能，可对电池组进行无风险标准和深度放电检测，具有充电电压温度补偿，电池放电终止电压智能调节，电池极性反接保护和告警，电池定期自动放电激活，自动设定充电电流等功能</w:t>
            </w:r>
            <w:r>
              <w:rPr>
                <w:rFonts w:hint="eastAsia"/>
                <w:lang w:val="en-US" w:eastAsia="zh-CN"/>
              </w:rPr>
              <w:t>。</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lang w:val="en-US" w:eastAsia="zh-CN"/>
              </w:rPr>
            </w:pPr>
            <w:r>
              <w:rPr>
                <w:rFonts w:hint="eastAsia"/>
                <w:lang w:val="en-US" w:eastAsia="zh-CN"/>
              </w:rPr>
              <w:t>11、具备GCI并网运行功能，设计与电网并联的PWM逆变器(Grid connected inverter)控制系统。</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lang w:val="en-US" w:eastAsia="zh-CN"/>
              </w:rPr>
            </w:pPr>
            <w:r>
              <w:rPr>
                <w:rFonts w:hint="eastAsia"/>
                <w:lang w:val="en-US" w:eastAsia="zh-CN"/>
              </w:rPr>
              <w:t>12、人机界面采用液晶触摸屏。</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lang w:val="en-US" w:eastAsia="zh-CN"/>
              </w:rPr>
            </w:pPr>
            <w:r>
              <w:rPr>
                <w:rFonts w:hint="eastAsia"/>
                <w:lang w:val="en-US" w:eastAsia="zh-CN"/>
              </w:rPr>
              <w:t>13、平均无故障工作时间≥45万小时。</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lang w:val="en-US" w:eastAsia="zh-CN"/>
              </w:rPr>
            </w:pPr>
            <w:r>
              <w:rPr>
                <w:rFonts w:hint="eastAsia"/>
                <w:lang w:val="en-US" w:eastAsia="zh-CN"/>
              </w:rPr>
              <w:t>14、落地式，底部含360度方向轮（可以拆装）。</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lang w:val="en-US" w:eastAsia="zh-CN"/>
              </w:rPr>
            </w:pPr>
            <w:r>
              <w:rPr>
                <w:rFonts w:hint="eastAsia"/>
                <w:lang w:val="en-US" w:eastAsia="zh-CN"/>
              </w:rPr>
              <w:t>15、操作开关：整流开关、电池开关、旁路开关、输出开关维修开关均采用断路器。</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lang w:val="en-US" w:eastAsia="zh-CN"/>
              </w:rPr>
            </w:pPr>
            <w:r>
              <w:rPr>
                <w:rFonts w:hint="eastAsia"/>
                <w:lang w:val="en-US" w:eastAsia="zh-CN"/>
              </w:rPr>
              <w:t>16、输入特性：</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lang w:val="en-US" w:eastAsia="zh-CN"/>
              </w:rPr>
            </w:pPr>
            <w:r>
              <w:rPr>
                <w:rFonts w:hint="eastAsia"/>
                <w:lang w:val="en-US" w:eastAsia="zh-CN"/>
              </w:rPr>
              <w:t>（1）电压范围，不低于(-15%~+20%)；</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lang w:val="en-US" w:eastAsia="zh-CN"/>
              </w:rPr>
            </w:pPr>
            <w:r>
              <w:rPr>
                <w:rFonts w:hint="eastAsia"/>
                <w:lang w:val="en-US" w:eastAsia="zh-CN"/>
              </w:rPr>
              <w:t>（2）宽频率输入范围(50Hz±10%)；</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lang w:val="en-US" w:eastAsia="zh-CN"/>
              </w:rPr>
            </w:pPr>
            <w:r>
              <w:rPr>
                <w:rFonts w:hint="eastAsia"/>
                <w:lang w:val="en-US" w:eastAsia="zh-CN"/>
              </w:rPr>
              <w:t>（3）PFC技术，无须附加外接设备，输入功率因数≥0.98；</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lang w:val="en-US" w:eastAsia="zh-CN"/>
              </w:rPr>
            </w:pPr>
            <w:r>
              <w:rPr>
                <w:rFonts w:hint="eastAsia"/>
                <w:lang w:val="en-US" w:eastAsia="zh-CN"/>
              </w:rPr>
              <w:t>（4）PFC技术，无须附加外接设备，输入电流谐波(THDI&lt;5%)，功率100KVA以上时，为&lt;3%。</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lang w:val="en-US" w:eastAsia="zh-CN"/>
              </w:rPr>
            </w:pPr>
            <w:r>
              <w:rPr>
                <w:rFonts w:hint="eastAsia"/>
                <w:lang w:val="en-US" w:eastAsia="zh-CN"/>
              </w:rPr>
              <w:t>17、输出特性：</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lang w:val="en-US" w:eastAsia="zh-CN"/>
              </w:rPr>
            </w:pPr>
            <w:r>
              <w:rPr>
                <w:rFonts w:hint="eastAsia"/>
                <w:lang w:val="en-US" w:eastAsia="zh-CN"/>
              </w:rPr>
              <w:t>（1）输出功率因数≥0.8；</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lang w:val="en-US" w:eastAsia="zh-CN"/>
              </w:rPr>
            </w:pPr>
            <w:r>
              <w:rPr>
                <w:rFonts w:hint="eastAsia"/>
                <w:lang w:val="en-US" w:eastAsia="zh-CN"/>
              </w:rPr>
              <w:t>（2）输出电压，输出THDU≥2%，≤5%；</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lang w:val="en-US" w:eastAsia="zh-CN"/>
              </w:rPr>
            </w:pPr>
            <w:r>
              <w:rPr>
                <w:rFonts w:hint="eastAsia"/>
                <w:lang w:val="en-US" w:eastAsia="zh-CN"/>
              </w:rPr>
              <w:t>（3）具有带三相100%不平衡负载的能力；</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lang w:val="en-US" w:eastAsia="zh-CN"/>
              </w:rPr>
            </w:pPr>
            <w:r>
              <w:rPr>
                <w:rFonts w:hint="eastAsia"/>
                <w:lang w:val="en-US" w:eastAsia="zh-CN"/>
              </w:rPr>
              <w:t>（4）过载能力及抗冲击能力；150%时</w:t>
            </w:r>
            <w:r>
              <w:rPr>
                <w:rFonts w:hint="default" w:ascii="Arial" w:hAnsi="Arial" w:cs="Arial"/>
                <w:lang w:val="en-US" w:eastAsia="zh-CN"/>
              </w:rPr>
              <w:t>≥</w:t>
            </w:r>
            <w:r>
              <w:rPr>
                <w:rFonts w:hint="eastAsia"/>
                <w:lang w:val="en-US" w:eastAsia="zh-CN"/>
              </w:rPr>
              <w:t>10秒钟，125%时</w:t>
            </w:r>
            <w:r>
              <w:rPr>
                <w:rFonts w:hint="default" w:ascii="Arial" w:hAnsi="Arial" w:cs="Arial"/>
                <w:lang w:val="en-US" w:eastAsia="zh-CN"/>
              </w:rPr>
              <w:t>≥</w:t>
            </w:r>
            <w:r>
              <w:rPr>
                <w:rFonts w:hint="eastAsia"/>
                <w:lang w:val="en-US" w:eastAsia="zh-CN"/>
              </w:rPr>
              <w:t>2分钟。</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lang w:val="en-US" w:eastAsia="zh-CN"/>
              </w:rPr>
            </w:pPr>
            <w:r>
              <w:rPr>
                <w:rFonts w:hint="eastAsia"/>
                <w:lang w:val="en-US" w:eastAsia="zh-CN"/>
              </w:rPr>
              <w:t>18、监控管理：</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lang w:val="en-US" w:eastAsia="zh-CN"/>
              </w:rPr>
            </w:pPr>
            <w:r>
              <w:rPr>
                <w:rFonts w:hint="eastAsia"/>
                <w:lang w:val="en-US" w:eastAsia="zh-CN"/>
              </w:rPr>
              <w:t>（1）支持无线监控功能RS232、RS485、R244、MODEM多种后台通讯方式；</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lang w:val="en-US" w:eastAsia="zh-CN"/>
              </w:rPr>
            </w:pPr>
            <w:r>
              <w:rPr>
                <w:rFonts w:hint="eastAsia"/>
                <w:lang w:val="en-US" w:eastAsia="zh-CN"/>
              </w:rPr>
              <w:t>（2）UPS标配SNMP网络管理卡；</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lang w:val="en-US" w:eastAsia="zh-CN"/>
              </w:rPr>
            </w:pPr>
            <w:r>
              <w:rPr>
                <w:rFonts w:hint="eastAsia"/>
                <w:lang w:val="en-US" w:eastAsia="zh-CN"/>
              </w:rPr>
              <w:t>（3）系统具有电池放电终止预告警和自动安全关机功能；</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lang w:val="en-US" w:eastAsia="zh-CN"/>
              </w:rPr>
            </w:pPr>
            <w:r>
              <w:rPr>
                <w:rFonts w:hint="eastAsia"/>
                <w:lang w:val="en-US" w:eastAsia="zh-CN"/>
              </w:rPr>
              <w:t>（4）兼容10M/100M以太网，支持SNMP、HTTP等协议，监控软件具备电源事件记录和分析功能，组网方案，可实现在Internet/Intranet上的远程监控。</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lang w:val="en-US" w:eastAsia="zh-CN"/>
              </w:rPr>
            </w:pPr>
            <w:r>
              <w:rPr>
                <w:rFonts w:hint="eastAsia"/>
                <w:lang w:val="en-US" w:eastAsia="zh-CN"/>
              </w:rPr>
              <w:t>19、</w:t>
            </w:r>
            <w:r>
              <w:rPr>
                <w:rStyle w:val="89"/>
                <w:rFonts w:hint="default"/>
              </w:rPr>
              <w:t>面板显示为触控液晶显示屏，可显示UPS的运行参数、历史记录和整机工作状态；并具有修改显示界面</w:t>
            </w:r>
            <w:r>
              <w:rPr>
                <w:rStyle w:val="89"/>
                <w:rFonts w:hint="eastAsia" w:eastAsia="宋体"/>
                <w:lang w:eastAsia="zh-CN"/>
              </w:rPr>
              <w:t>，</w:t>
            </w:r>
            <w:r>
              <w:rPr>
                <w:rStyle w:val="89"/>
                <w:rFonts w:hint="default"/>
              </w:rPr>
              <w:t>可根据要求现场更改显示语言种类</w:t>
            </w:r>
            <w:r>
              <w:rPr>
                <w:rStyle w:val="89"/>
                <w:rFonts w:hint="eastAsia" w:eastAsia="宋体"/>
                <w:lang w:eastAsia="zh-CN"/>
              </w:rPr>
              <w:t>，</w:t>
            </w:r>
            <w:r>
              <w:rPr>
                <w:rStyle w:val="89"/>
                <w:rFonts w:hint="default"/>
              </w:rPr>
              <w:t>能够记录</w:t>
            </w:r>
            <w:r>
              <w:rPr>
                <w:rStyle w:val="89"/>
                <w:rFonts w:hint="default" w:ascii="Arial" w:hAnsi="Arial" w:cs="Arial"/>
              </w:rPr>
              <w:t>≥</w:t>
            </w:r>
            <w:r>
              <w:rPr>
                <w:rStyle w:val="89"/>
                <w:rFonts w:hint="default"/>
              </w:rPr>
              <w:t>10000条的历史记录，故障信息需有：市电停电、电池低压、整流器异常、逆变器异常等。</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210" w:firstLineChars="100"/>
              <w:jc w:val="left"/>
              <w:textAlignment w:val="auto"/>
              <w:rPr>
                <w:rFonts w:hint="eastAsia" w:ascii="宋体" w:hAnsi="宋体" w:eastAsia="宋体" w:cs="宋体"/>
                <w:b w:val="0"/>
                <w:bCs w:val="0"/>
                <w:color w:val="auto"/>
                <w:kern w:val="0"/>
                <w:lang w:eastAsia="zh-CN"/>
              </w:rPr>
            </w:pPr>
            <w:r>
              <w:rPr>
                <w:rFonts w:hint="eastAsia" w:ascii="宋体" w:hAnsi="宋体" w:cs="宋体"/>
                <w:b w:val="0"/>
                <w:bCs w:val="0"/>
                <w:color w:val="auto"/>
                <w:kern w:val="0"/>
              </w:rPr>
              <w:t>投标人须提供所投主机设备制造商如下证书：</w:t>
            </w:r>
            <w:r>
              <w:rPr>
                <w:rFonts w:hint="eastAsia" w:ascii="宋体" w:hAnsi="宋体" w:cs="宋体"/>
                <w:b w:val="0"/>
                <w:bCs w:val="0"/>
                <w:color w:val="auto"/>
                <w:kern w:val="0"/>
                <w:lang w:eastAsia="zh-CN"/>
              </w:rPr>
              <w:t>（</w:t>
            </w:r>
            <w:r>
              <w:rPr>
                <w:rFonts w:hint="eastAsia" w:ascii="宋体" w:hAnsi="宋体" w:cs="宋体"/>
                <w:b w:val="0"/>
                <w:bCs w:val="0"/>
                <w:color w:val="auto"/>
                <w:kern w:val="0"/>
              </w:rPr>
              <w:t>提供复印件并加盖制造商公章</w:t>
            </w:r>
            <w:r>
              <w:rPr>
                <w:rFonts w:hint="eastAsia" w:ascii="宋体" w:hAnsi="宋体" w:cs="宋体"/>
                <w:b w:val="0"/>
                <w:bCs w:val="0"/>
                <w:color w:val="auto"/>
                <w:kern w:val="0"/>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lang w:val="en-US" w:eastAsia="zh-CN"/>
              </w:rPr>
            </w:pPr>
            <w:r>
              <w:rPr>
                <w:rFonts w:hint="eastAsia" w:ascii="宋体" w:hAnsi="宋体" w:cs="宋体"/>
                <w:b w:val="0"/>
                <w:bCs w:val="0"/>
                <w:color w:val="auto"/>
                <w:kern w:val="0"/>
              </w:rPr>
              <w:t>①节能认证证书</w:t>
            </w:r>
            <w:r>
              <w:rPr>
                <w:rFonts w:hint="eastAsia" w:ascii="宋体" w:hAnsi="宋体" w:cs="宋体"/>
                <w:b w:val="0"/>
                <w:bCs w:val="0"/>
                <w:color w:val="auto"/>
                <w:kern w:val="0"/>
                <w:lang w:val="en-US" w:eastAsia="zh-CN"/>
              </w:rPr>
              <w:t xml:space="preserve"> </w:t>
            </w:r>
            <w:r>
              <w:rPr>
                <w:rFonts w:hint="eastAsia" w:ascii="宋体" w:hAnsi="宋体" w:cs="宋体"/>
                <w:b w:val="0"/>
                <w:bCs w:val="0"/>
                <w:color w:val="auto"/>
                <w:kern w:val="0"/>
              </w:rPr>
              <w:t>②</w:t>
            </w:r>
            <w:r>
              <w:rPr>
                <w:rFonts w:ascii="宋体" w:hAnsi="宋体" w:cs="宋体"/>
                <w:b w:val="0"/>
                <w:bCs w:val="0"/>
                <w:color w:val="auto"/>
                <w:kern w:val="0"/>
              </w:rPr>
              <w:t>ROHS</w:t>
            </w:r>
            <w:r>
              <w:rPr>
                <w:rFonts w:hint="eastAsia" w:ascii="宋体" w:hAnsi="宋体" w:cs="宋体"/>
                <w:b w:val="0"/>
                <w:bCs w:val="0"/>
                <w:color w:val="auto"/>
                <w:kern w:val="0"/>
              </w:rPr>
              <w:t>环保测试报告</w:t>
            </w:r>
            <w:r>
              <w:rPr>
                <w:rFonts w:hint="eastAsia" w:ascii="宋体" w:hAnsi="宋体" w:cs="宋体"/>
                <w:b w:val="0"/>
                <w:bCs w:val="0"/>
                <w:color w:val="auto"/>
                <w:kern w:val="0"/>
                <w:lang w:val="en-US" w:eastAsia="zh-CN"/>
              </w:rPr>
              <w:t xml:space="preserve"> </w:t>
            </w:r>
            <w:r>
              <w:rPr>
                <w:rFonts w:hint="eastAsia" w:ascii="宋体" w:hAnsi="宋体" w:cs="宋体"/>
                <w:b w:val="0"/>
                <w:bCs w:val="0"/>
                <w:color w:val="auto"/>
                <w:kern w:val="0"/>
              </w:rPr>
              <w:t>③</w:t>
            </w:r>
            <w:r>
              <w:rPr>
                <w:rFonts w:hint="eastAsia" w:ascii="宋体" w:hAnsi="宋体"/>
                <w:b w:val="0"/>
                <w:bCs w:val="0"/>
                <w:color w:val="auto"/>
              </w:rPr>
              <w:t>产品检测报告</w:t>
            </w:r>
          </w:p>
        </w:tc>
      </w:tr>
      <w:tr>
        <w:tblPrEx>
          <w:tblCellMar>
            <w:top w:w="0" w:type="dxa"/>
            <w:left w:w="0" w:type="dxa"/>
            <w:bottom w:w="0" w:type="dxa"/>
            <w:right w:w="0" w:type="dxa"/>
          </w:tblCellMar>
        </w:tblPrEx>
        <w:trPr>
          <w:trHeight w:val="484" w:hRule="atLeast"/>
          <w:jc w:val="center"/>
        </w:trPr>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w:t>
            </w:r>
          </w:p>
        </w:tc>
        <w:tc>
          <w:tcPr>
            <w:tcW w:w="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center"/>
              <w:rPr>
                <w:rFonts w:ascii="宋体" w:hAnsi="宋体" w:cs="宋体"/>
                <w:color w:val="000000"/>
                <w:szCs w:val="21"/>
              </w:rPr>
            </w:pPr>
            <w:r>
              <w:rPr>
                <w:rFonts w:hint="eastAsia" w:ascii="宋体" w:hAnsi="宋体" w:cs="宋体"/>
                <w:color w:val="000000"/>
                <w:kern w:val="0"/>
                <w:szCs w:val="21"/>
              </w:rPr>
              <w:t>蓄电池</w:t>
            </w:r>
          </w:p>
        </w:tc>
        <w:tc>
          <w:tcPr>
            <w:tcW w:w="835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eastAsia="宋体"/>
                <w:lang w:eastAsia="zh-CN"/>
              </w:rPr>
            </w:pPr>
            <w:r>
              <w:rPr>
                <w:rFonts w:hint="eastAsia"/>
                <w:lang w:val="en-US" w:eastAsia="zh-CN"/>
              </w:rPr>
              <w:t>1</w:t>
            </w:r>
            <w:r>
              <w:rPr>
                <w:rFonts w:hint="eastAsia"/>
              </w:rPr>
              <w:t>、</w:t>
            </w:r>
            <w:r>
              <w:rPr>
                <w:rFonts w:hint="default"/>
              </w:rPr>
              <w:t>设计浮充使用寿命：</w:t>
            </w:r>
            <w:r>
              <w:rPr>
                <w:rFonts w:hint="eastAsia"/>
                <w:lang w:val="en-US" w:eastAsia="zh-CN"/>
              </w:rPr>
              <w:t>≥</w:t>
            </w:r>
            <w:r>
              <w:rPr>
                <w:rFonts w:hint="default"/>
              </w:rPr>
              <w:t>12年（25℃）</w:t>
            </w:r>
            <w:r>
              <w:rPr>
                <w:rFonts w:hint="eastAsia"/>
                <w:lang w:eastAsia="zh-CN"/>
              </w:rPr>
              <w:t>。</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eastAsia="宋体"/>
                <w:lang w:eastAsia="zh-CN"/>
              </w:rPr>
            </w:pPr>
            <w:r>
              <w:rPr>
                <w:rFonts w:hint="eastAsia"/>
                <w:lang w:val="en-US" w:eastAsia="zh-CN"/>
              </w:rPr>
              <w:t>2</w:t>
            </w:r>
            <w:r>
              <w:rPr>
                <w:rFonts w:hint="default"/>
              </w:rPr>
              <w:t>、额定电压：12V</w:t>
            </w:r>
            <w:r>
              <w:rPr>
                <w:rFonts w:hint="eastAsia"/>
                <w:lang w:eastAsia="zh-CN"/>
              </w:rPr>
              <w:t>。</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eastAsia="宋体"/>
                <w:lang w:eastAsia="zh-CN"/>
              </w:rPr>
            </w:pPr>
            <w:r>
              <w:rPr>
                <w:rFonts w:hint="eastAsia"/>
                <w:lang w:val="en-US" w:eastAsia="zh-CN"/>
              </w:rPr>
              <w:t>3</w:t>
            </w:r>
            <w:r>
              <w:rPr>
                <w:rFonts w:hint="default"/>
              </w:rPr>
              <w:t>、额定容量 (10 小时率)：</w:t>
            </w:r>
            <w:r>
              <w:rPr>
                <w:rFonts w:hint="eastAsia"/>
                <w:lang w:val="en-US" w:eastAsia="zh-CN"/>
              </w:rPr>
              <w:t>≥8</w:t>
            </w:r>
            <w:r>
              <w:rPr>
                <w:rFonts w:hint="default"/>
              </w:rPr>
              <w:t>0A</w:t>
            </w:r>
            <w:r>
              <w:rPr>
                <w:rFonts w:hint="eastAsia"/>
                <w:lang w:eastAsia="zh-CN"/>
              </w:rPr>
              <w:t>。</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eastAsia="宋体"/>
                <w:lang w:eastAsia="zh-CN"/>
              </w:rPr>
            </w:pPr>
            <w:r>
              <w:rPr>
                <w:rFonts w:hint="eastAsia"/>
                <w:lang w:val="en-US" w:eastAsia="zh-CN"/>
              </w:rPr>
              <w:t>4</w:t>
            </w:r>
            <w:r>
              <w:rPr>
                <w:rFonts w:hint="eastAsia"/>
              </w:rPr>
              <w:t>、</w:t>
            </w:r>
            <w:r>
              <w:rPr>
                <w:rFonts w:hint="default"/>
              </w:rPr>
              <w:t>比重为1.280d 的低密度电解液</w:t>
            </w:r>
            <w:r>
              <w:rPr>
                <w:rFonts w:hint="eastAsia"/>
                <w:lang w:eastAsia="zh-CN"/>
              </w:rPr>
              <w:t>。</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pPr>
            <w:r>
              <w:rPr>
                <w:rFonts w:hint="eastAsia"/>
                <w:lang w:val="en-US" w:eastAsia="zh-CN"/>
              </w:rPr>
              <w:t>5</w:t>
            </w:r>
            <w:r>
              <w:rPr>
                <w:rFonts w:hint="default"/>
              </w:rPr>
              <w:t>、</w:t>
            </w:r>
            <w:r>
              <w:rPr>
                <w:rStyle w:val="89"/>
                <w:rFonts w:hint="default"/>
              </w:rPr>
              <w:t>采用达到UL94 V-0 阻燃等级的ABS 阻燃壳体</w:t>
            </w:r>
            <w:r>
              <w:rPr>
                <w:rFonts w:hint="default"/>
              </w:rPr>
              <w:t>；</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eastAsia="宋体"/>
                <w:lang w:eastAsia="zh-CN"/>
              </w:rPr>
            </w:pPr>
            <w:r>
              <w:rPr>
                <w:rFonts w:hint="eastAsia"/>
                <w:lang w:val="en-US" w:eastAsia="zh-CN"/>
              </w:rPr>
              <w:t>6</w:t>
            </w:r>
            <w:r>
              <w:rPr>
                <w:rFonts w:hint="default"/>
              </w:rPr>
              <w:t>、</w:t>
            </w:r>
            <w:r>
              <w:rPr>
                <w:rStyle w:val="89"/>
                <w:rFonts w:hint="default"/>
              </w:rPr>
              <w:t>电池密封反应效率≥98%</w:t>
            </w:r>
            <w:r>
              <w:rPr>
                <w:rFonts w:hint="eastAsia" w:eastAsia="宋体"/>
                <w:lang w:eastAsia="zh-CN"/>
              </w:rPr>
              <w:t>。</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eastAsia="宋体"/>
                <w:lang w:val="en-US" w:eastAsia="zh-CN"/>
              </w:rPr>
            </w:pPr>
            <w:r>
              <w:rPr>
                <w:rFonts w:hint="eastAsia"/>
                <w:lang w:val="en-US" w:eastAsia="zh-CN"/>
              </w:rPr>
              <w:t>7</w:t>
            </w:r>
            <w:r>
              <w:rPr>
                <w:rFonts w:hint="default"/>
              </w:rPr>
              <w:t>、在25℃环境下，电池自放电＜3%/月；电池循环寿命较普通电池提升15%以上，25%DOD 循环1200 次以上</w:t>
            </w:r>
            <w:r>
              <w:rPr>
                <w:rFonts w:hint="eastAsia"/>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210" w:firstLineChars="100"/>
              <w:textAlignment w:val="auto"/>
              <w:rPr>
                <w:rFonts w:ascii="宋体" w:hAnsi="宋体" w:cs="宋体"/>
                <w:b w:val="0"/>
                <w:bCs w:val="0"/>
                <w:color w:val="auto"/>
                <w:kern w:val="0"/>
              </w:rPr>
            </w:pPr>
            <w:r>
              <w:rPr>
                <w:rFonts w:hint="eastAsia" w:ascii="宋体" w:hAnsi="宋体" w:cs="宋体"/>
                <w:b w:val="0"/>
                <w:bCs w:val="0"/>
                <w:color w:val="auto"/>
                <w:kern w:val="0"/>
              </w:rPr>
              <w:t>投标人须提供</w:t>
            </w:r>
            <w:r>
              <w:rPr>
                <w:rFonts w:hint="eastAsia" w:ascii="宋体" w:hAnsi="宋体" w:cs="宋体"/>
                <w:b w:val="0"/>
                <w:bCs w:val="0"/>
                <w:color w:val="auto"/>
                <w:kern w:val="0"/>
                <w:lang w:eastAsia="zh-CN"/>
              </w:rPr>
              <w:t>所投</w:t>
            </w:r>
            <w:r>
              <w:rPr>
                <w:rFonts w:hint="eastAsia" w:ascii="宋体" w:hAnsi="宋体" w:cs="宋体"/>
                <w:b w:val="0"/>
                <w:bCs w:val="0"/>
                <w:color w:val="auto"/>
                <w:kern w:val="0"/>
              </w:rPr>
              <w:t>蓄电池制造商如下证书：</w:t>
            </w:r>
            <w:r>
              <w:rPr>
                <w:rFonts w:hint="eastAsia" w:ascii="宋体" w:hAnsi="宋体" w:cs="宋体"/>
                <w:b w:val="0"/>
                <w:bCs w:val="0"/>
                <w:color w:val="auto"/>
                <w:kern w:val="0"/>
                <w:lang w:eastAsia="zh-CN"/>
              </w:rPr>
              <w:t>（</w:t>
            </w:r>
            <w:r>
              <w:rPr>
                <w:rFonts w:hint="eastAsia" w:ascii="宋体" w:hAnsi="宋体" w:cs="宋体"/>
                <w:b w:val="0"/>
                <w:bCs w:val="0"/>
                <w:color w:val="auto"/>
                <w:kern w:val="0"/>
              </w:rPr>
              <w:t>提供复印件并加盖制造商公章</w:t>
            </w:r>
            <w:r>
              <w:rPr>
                <w:rFonts w:hint="eastAsia" w:ascii="宋体" w:hAnsi="宋体" w:cs="宋体"/>
                <w:b w:val="0"/>
                <w:bCs w:val="0"/>
                <w:color w:val="auto"/>
                <w:kern w:val="0"/>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default"/>
                <w:lang w:val="en-US" w:eastAsia="zh-CN"/>
              </w:rPr>
            </w:pPr>
            <w:r>
              <w:rPr>
                <w:rFonts w:hint="eastAsia" w:ascii="宋体" w:hAnsi="宋体" w:cs="宋体"/>
                <w:b w:val="0"/>
                <w:bCs w:val="0"/>
                <w:color w:val="auto"/>
                <w:kern w:val="0"/>
              </w:rPr>
              <w:t>①泰尔认证证书</w:t>
            </w:r>
            <w:r>
              <w:rPr>
                <w:rFonts w:hint="eastAsia" w:ascii="宋体" w:hAnsi="宋体" w:cs="宋体"/>
                <w:b w:val="0"/>
                <w:bCs w:val="0"/>
                <w:color w:val="auto"/>
                <w:kern w:val="0"/>
                <w:lang w:val="en-US" w:eastAsia="zh-CN"/>
              </w:rPr>
              <w:t xml:space="preserve"> </w:t>
            </w:r>
            <w:r>
              <w:rPr>
                <w:rFonts w:hint="eastAsia" w:ascii="宋体" w:hAnsi="宋体" w:cs="宋体"/>
                <w:b w:val="0"/>
                <w:bCs w:val="0"/>
                <w:color w:val="auto"/>
                <w:kern w:val="0"/>
              </w:rPr>
              <w:t>②工业生产许可证</w:t>
            </w:r>
          </w:p>
        </w:tc>
      </w:tr>
      <w:tr>
        <w:tblPrEx>
          <w:tblCellMar>
            <w:top w:w="0" w:type="dxa"/>
            <w:left w:w="0" w:type="dxa"/>
            <w:bottom w:w="0" w:type="dxa"/>
            <w:right w:w="0" w:type="dxa"/>
          </w:tblCellMar>
        </w:tblPrEx>
        <w:trPr>
          <w:trHeight w:val="484" w:hRule="atLeast"/>
          <w:jc w:val="center"/>
        </w:trPr>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center"/>
              <w:rPr>
                <w:rFonts w:hint="eastAsia" w:ascii="宋体" w:hAnsi="宋体" w:cs="宋体"/>
                <w:color w:val="000000"/>
                <w:szCs w:val="21"/>
                <w:lang w:val="en-US" w:eastAsia="zh-CN"/>
              </w:rPr>
            </w:pPr>
            <w:r>
              <w:rPr>
                <w:rFonts w:hint="eastAsia" w:ascii="宋体" w:hAnsi="宋体" w:cs="宋体"/>
                <w:kern w:val="0"/>
                <w:szCs w:val="21"/>
                <w:lang w:val="en-US" w:eastAsia="zh-CN"/>
              </w:rPr>
              <w:t>3</w:t>
            </w:r>
          </w:p>
        </w:tc>
        <w:tc>
          <w:tcPr>
            <w:tcW w:w="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电气安全监控系统</w:t>
            </w:r>
          </w:p>
        </w:tc>
        <w:tc>
          <w:tcPr>
            <w:tcW w:w="835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210" w:firstLineChars="100"/>
              <w:jc w:val="left"/>
              <w:textAlignment w:val="center"/>
              <w:rPr>
                <w:rFonts w:hint="eastAsia"/>
                <w:lang w:val="en-US" w:eastAsia="zh-CN"/>
              </w:rPr>
            </w:pPr>
            <w:r>
              <w:rPr>
                <w:rFonts w:hint="eastAsia" w:ascii="宋体" w:hAnsi="宋体" w:eastAsia="宋体" w:cs="宋体"/>
                <w:lang w:val="en-US" w:eastAsia="zh-CN"/>
              </w:rPr>
              <w:t>1、</w:t>
            </w:r>
            <w:r>
              <w:rPr>
                <w:rFonts w:hint="eastAsia"/>
                <w:lang w:val="en-US" w:eastAsia="zh-CN"/>
              </w:rPr>
              <w:t>一体化设计，多功能主机，应同时具备剩余电流（漏电）、电流、温度、短路、故障电弧、功率、电量等多种功能，并支持自动断电。</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210" w:firstLineChars="100"/>
              <w:jc w:val="both"/>
              <w:textAlignment w:val="center"/>
              <w:rPr>
                <w:rFonts w:hint="eastAsia"/>
                <w:lang w:val="en-US" w:eastAsia="zh-CN"/>
              </w:rPr>
            </w:pPr>
            <w:r>
              <w:rPr>
                <w:rFonts w:hint="eastAsia" w:ascii="宋体" w:hAnsi="宋体" w:eastAsia="宋体" w:cs="宋体"/>
                <w:lang w:val="en-US" w:eastAsia="zh-CN"/>
              </w:rPr>
              <w:t>2、</w:t>
            </w:r>
            <w:r>
              <w:rPr>
                <w:rFonts w:hint="eastAsia"/>
                <w:lang w:val="en-US" w:eastAsia="zh-CN"/>
              </w:rPr>
              <w:t>设备采用非入侵式智能识别技术，可实现线路内全部用电器的类型识别及运行状态监测。</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210" w:firstLineChars="10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3、信息转发，支持APP、短信、电话、邮件等多种转发方式；APP和WEB可查看通知记录信息（通知人员，通知方式、监测点名称、报警类型、报警时间</w:t>
            </w:r>
            <w:r>
              <w:rPr>
                <w:rStyle w:val="89"/>
                <w:rFonts w:hint="eastAsia" w:ascii="宋体" w:hAnsi="宋体" w:eastAsia="宋体" w:cs="宋体"/>
                <w:sz w:val="21"/>
                <w:szCs w:val="21"/>
                <w:lang w:val="en-US" w:eastAsia="zh-CN" w:bidi="ar"/>
              </w:rPr>
              <w:t>），可筛选开始时间至结束时间、通知人、监测点名称、报警类型、报警时间。</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210" w:firstLineChars="100"/>
              <w:jc w:val="left"/>
              <w:textAlignment w:val="center"/>
              <w:rPr>
                <w:rFonts w:hint="default"/>
                <w:b/>
                <w:bCs/>
              </w:rPr>
            </w:pPr>
            <w:r>
              <w:rPr>
                <w:rFonts w:hint="eastAsia" w:ascii="宋体" w:hAnsi="宋体" w:eastAsia="宋体" w:cs="宋体"/>
                <w:i w:val="0"/>
                <w:color w:val="000000"/>
                <w:kern w:val="0"/>
                <w:sz w:val="21"/>
                <w:szCs w:val="21"/>
                <w:u w:val="none"/>
                <w:lang w:val="en-US" w:eastAsia="zh-CN" w:bidi="ar"/>
              </w:rPr>
              <w:t>4、</w:t>
            </w:r>
            <w:r>
              <w:rPr>
                <w:rStyle w:val="90"/>
                <w:rFonts w:hint="default"/>
                <w:bCs/>
              </w:rPr>
              <w:t>电气安全监控软件平台须与</w:t>
            </w:r>
            <w:r>
              <w:rPr>
                <w:rStyle w:val="90"/>
                <w:rFonts w:hint="eastAsia" w:eastAsia="宋体"/>
                <w:bCs/>
                <w:lang w:val="en-US" w:eastAsia="zh-CN"/>
              </w:rPr>
              <w:t>医</w:t>
            </w:r>
            <w:r>
              <w:rPr>
                <w:rStyle w:val="90"/>
                <w:rFonts w:hint="default"/>
                <w:bCs/>
              </w:rPr>
              <w:t>院现有的电力安全系统平台统一到一个平台上，实现统一管理，方面监管维护</w:t>
            </w:r>
            <w:r>
              <w:rPr>
                <w:rFonts w:hint="default"/>
                <w:b/>
                <w:bCs/>
              </w:rPr>
              <w:t>。</w:t>
            </w:r>
          </w:p>
          <w:p>
            <w:pPr>
              <w:pStyle w:val="4"/>
              <w:tabs>
                <w:tab w:val="left" w:pos="945"/>
                <w:tab w:val="left" w:pos="1155"/>
              </w:tabs>
              <w:spacing w:line="240" w:lineRule="auto"/>
              <w:ind w:left="0" w:leftChars="0" w:firstLine="240" w:firstLineChars="100"/>
              <w:rPr>
                <w:rFonts w:hint="eastAsia" w:ascii="宋体" w:hAnsi="宋体" w:eastAsia="宋体" w:cs="宋体"/>
                <w:b w:val="0"/>
                <w:bCs w:val="0"/>
                <w:color w:val="auto"/>
                <w:kern w:val="0"/>
                <w:sz w:val="21"/>
                <w:szCs w:val="24"/>
                <w:lang w:val="en-US" w:eastAsia="zh-CN" w:bidi="ar-SA"/>
              </w:rPr>
            </w:pPr>
            <w:r>
              <w:rPr>
                <w:rFonts w:hint="eastAsia" w:ascii="宋体" w:hAnsi="宋体" w:cs="宋体"/>
                <w:b w:val="0"/>
                <w:bCs w:val="0"/>
                <w:color w:val="auto"/>
                <w:kern w:val="0"/>
              </w:rPr>
              <w:t>投标人</w:t>
            </w:r>
            <w:r>
              <w:rPr>
                <w:rFonts w:hint="eastAsia" w:ascii="宋体" w:hAnsi="宋体" w:eastAsia="宋体" w:cs="宋体"/>
                <w:b w:val="0"/>
                <w:bCs w:val="0"/>
                <w:color w:val="auto"/>
                <w:kern w:val="0"/>
                <w:sz w:val="21"/>
                <w:szCs w:val="24"/>
                <w:lang w:val="en-US" w:eastAsia="zh-CN" w:bidi="ar-SA"/>
              </w:rPr>
              <w:t>须提供电气安全监控设备</w:t>
            </w:r>
            <w:r>
              <w:rPr>
                <w:rFonts w:hint="eastAsia" w:ascii="宋体" w:hAnsi="宋体" w:cs="宋体"/>
                <w:b w:val="0"/>
                <w:bCs w:val="0"/>
                <w:color w:val="auto"/>
                <w:kern w:val="0"/>
                <w:sz w:val="21"/>
                <w:szCs w:val="24"/>
                <w:lang w:val="en-US" w:eastAsia="zh-CN" w:bidi="ar-SA"/>
              </w:rPr>
              <w:t>制造商</w:t>
            </w:r>
            <w:r>
              <w:rPr>
                <w:rFonts w:hint="eastAsia" w:ascii="宋体" w:hAnsi="宋体" w:eastAsia="宋体" w:cs="宋体"/>
                <w:b w:val="0"/>
                <w:bCs w:val="0"/>
                <w:color w:val="auto"/>
                <w:kern w:val="0"/>
                <w:sz w:val="21"/>
                <w:szCs w:val="24"/>
                <w:lang w:val="en-US" w:eastAsia="zh-CN" w:bidi="ar-SA"/>
              </w:rPr>
              <w:t>如下证书：（提供复印件并加盖</w:t>
            </w:r>
            <w:r>
              <w:rPr>
                <w:rFonts w:hint="eastAsia" w:ascii="宋体" w:hAnsi="宋体" w:cs="宋体"/>
                <w:b w:val="0"/>
                <w:bCs w:val="0"/>
                <w:color w:val="auto"/>
                <w:kern w:val="0"/>
              </w:rPr>
              <w:t>制造商</w:t>
            </w:r>
            <w:r>
              <w:rPr>
                <w:rFonts w:hint="eastAsia" w:ascii="宋体" w:hAnsi="宋体" w:eastAsia="宋体" w:cs="宋体"/>
                <w:b w:val="0"/>
                <w:bCs w:val="0"/>
                <w:color w:val="auto"/>
                <w:kern w:val="0"/>
                <w:sz w:val="21"/>
                <w:szCs w:val="24"/>
                <w:lang w:val="en-US" w:eastAsia="zh-CN" w:bidi="ar-SA"/>
              </w:rPr>
              <w:t>公章）</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210" w:firstLineChars="100"/>
              <w:jc w:val="left"/>
              <w:textAlignment w:val="center"/>
              <w:rPr>
                <w:rFonts w:hint="eastAsia" w:ascii="宋体" w:hAnsi="宋体" w:cs="宋体"/>
                <w:b w:val="0"/>
                <w:bCs w:val="0"/>
                <w:color w:val="auto"/>
                <w:kern w:val="0"/>
              </w:rPr>
            </w:pPr>
            <w:r>
              <w:rPr>
                <w:rFonts w:hint="eastAsia" w:ascii="宋体" w:hAnsi="宋体" w:eastAsia="宋体" w:cs="宋体"/>
                <w:b w:val="0"/>
                <w:bCs w:val="0"/>
                <w:color w:val="auto"/>
                <w:kern w:val="0"/>
                <w:sz w:val="21"/>
                <w:szCs w:val="24"/>
                <w:lang w:val="en-US" w:eastAsia="zh-CN" w:bidi="ar-SA"/>
              </w:rPr>
              <w:t>①消防部门检测报告</w:t>
            </w:r>
            <w:r>
              <w:rPr>
                <w:rFonts w:hint="eastAsia" w:ascii="宋体" w:hAnsi="宋体" w:cs="宋体"/>
                <w:b w:val="0"/>
                <w:bCs w:val="0"/>
                <w:color w:val="auto"/>
                <w:kern w:val="0"/>
                <w:sz w:val="21"/>
                <w:szCs w:val="24"/>
                <w:lang w:val="en-US" w:eastAsia="zh-CN" w:bidi="ar-SA"/>
              </w:rPr>
              <w:t xml:space="preserve"> </w:t>
            </w:r>
            <w:r>
              <w:rPr>
                <w:rFonts w:hint="eastAsia" w:ascii="宋体" w:hAnsi="宋体" w:eastAsia="宋体" w:cs="宋体"/>
                <w:b w:val="0"/>
                <w:bCs w:val="0"/>
                <w:color w:val="auto"/>
                <w:kern w:val="0"/>
                <w:sz w:val="21"/>
                <w:szCs w:val="24"/>
                <w:lang w:val="en-US" w:eastAsia="zh-CN" w:bidi="ar-SA"/>
              </w:rPr>
              <w:t>②3C认证</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43" w:hRule="atLeast"/>
          <w:jc w:val="center"/>
        </w:trPr>
        <w:tc>
          <w:tcPr>
            <w:tcW w:w="551" w:type="dxa"/>
            <w:tcBorders>
              <w:top w:val="single" w:color="auto" w:sz="4" w:space="0"/>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center"/>
              <w:rPr>
                <w:rFonts w:hint="default" w:ascii="宋体" w:hAnsi="宋体" w:cs="宋体"/>
                <w:kern w:val="0"/>
                <w:szCs w:val="21"/>
                <w:lang w:val="en-US" w:eastAsia="zh-CN"/>
              </w:rPr>
            </w:pPr>
            <w:r>
              <w:rPr>
                <w:rFonts w:hint="eastAsia" w:ascii="宋体" w:hAnsi="宋体" w:cs="宋体"/>
                <w:kern w:val="0"/>
                <w:szCs w:val="21"/>
                <w:lang w:val="en-US" w:eastAsia="zh-CN"/>
              </w:rPr>
              <w:t>4</w:t>
            </w:r>
          </w:p>
        </w:tc>
        <w:tc>
          <w:tcPr>
            <w:tcW w:w="938" w:type="dxa"/>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电池架</w:t>
            </w:r>
          </w:p>
        </w:tc>
        <w:tc>
          <w:tcPr>
            <w:tcW w:w="8357" w:type="dxa"/>
            <w:tcBorders>
              <w:top w:val="single" w:color="auto" w:sz="4" w:space="0"/>
              <w:left w:val="nil"/>
              <w:bottom w:val="single" w:color="auto" w:sz="4" w:space="0"/>
            </w:tcBorders>
            <w:noWrap w:val="0"/>
            <w:tcMar>
              <w:top w:w="15" w:type="dxa"/>
              <w:left w:w="15" w:type="dxa"/>
              <w:right w:w="15" w:type="dxa"/>
            </w:tcMar>
            <w:vAlign w:val="center"/>
          </w:tcPr>
          <w:p>
            <w:pPr>
              <w:pStyle w:val="4"/>
              <w:keepNext w:val="0"/>
              <w:keepLines w:val="0"/>
              <w:pageBreakBefore w:val="0"/>
              <w:widowControl/>
              <w:tabs>
                <w:tab w:val="left" w:pos="945"/>
                <w:tab w:val="left" w:pos="1155"/>
              </w:tabs>
              <w:kinsoku/>
              <w:wordWrap/>
              <w:overflowPunct/>
              <w:topLinePunct w:val="0"/>
              <w:autoSpaceDE/>
              <w:autoSpaceDN/>
              <w:bidi w:val="0"/>
              <w:adjustRightInd/>
              <w:snapToGrid/>
              <w:spacing w:line="288" w:lineRule="auto"/>
              <w:ind w:left="0" w:leftChars="0" w:firstLine="0" w:firstLineChars="0"/>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国标</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43" w:hRule="atLeast"/>
          <w:jc w:val="center"/>
        </w:trPr>
        <w:tc>
          <w:tcPr>
            <w:tcW w:w="551" w:type="dxa"/>
            <w:tcBorders>
              <w:top w:val="single" w:color="auto" w:sz="4" w:space="0"/>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center"/>
              <w:rPr>
                <w:rFonts w:hint="default" w:ascii="宋体" w:hAnsi="宋体" w:cs="宋体"/>
                <w:kern w:val="0"/>
                <w:szCs w:val="21"/>
                <w:lang w:val="en-US" w:eastAsia="zh-CN"/>
              </w:rPr>
            </w:pPr>
            <w:r>
              <w:rPr>
                <w:rFonts w:hint="eastAsia" w:ascii="宋体" w:hAnsi="宋体" w:cs="宋体"/>
                <w:kern w:val="0"/>
                <w:szCs w:val="21"/>
                <w:lang w:val="en-US" w:eastAsia="zh-CN"/>
              </w:rPr>
              <w:t>5</w:t>
            </w:r>
          </w:p>
        </w:tc>
        <w:tc>
          <w:tcPr>
            <w:tcW w:w="938" w:type="dxa"/>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电池</w:t>
            </w:r>
          </w:p>
          <w:p>
            <w:pPr>
              <w:keepNext w:val="0"/>
              <w:keepLines w:val="0"/>
              <w:pageBreakBefore w:val="0"/>
              <w:widowControl/>
              <w:kinsoku/>
              <w:wordWrap/>
              <w:overflowPunct/>
              <w:topLinePunct w:val="0"/>
              <w:autoSpaceDE/>
              <w:autoSpaceDN/>
              <w:bidi w:val="0"/>
              <w:adjustRightInd/>
              <w:snapToGrid/>
              <w:spacing w:line="24" w:lineRule="atLeas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连接线</w:t>
            </w:r>
          </w:p>
        </w:tc>
        <w:tc>
          <w:tcPr>
            <w:tcW w:w="8357" w:type="dxa"/>
            <w:tcBorders>
              <w:top w:val="single" w:color="auto" w:sz="4" w:space="0"/>
              <w:left w:val="nil"/>
              <w:bottom w:val="single" w:color="auto" w:sz="4" w:space="0"/>
            </w:tcBorders>
            <w:noWrap w:val="0"/>
            <w:tcMar>
              <w:top w:w="15" w:type="dxa"/>
              <w:left w:w="15" w:type="dxa"/>
              <w:right w:w="15" w:type="dxa"/>
            </w:tcMar>
            <w:vAlign w:val="center"/>
          </w:tcPr>
          <w:p>
            <w:pPr>
              <w:pStyle w:val="4"/>
              <w:keepNext w:val="0"/>
              <w:keepLines w:val="0"/>
              <w:pageBreakBefore w:val="0"/>
              <w:widowControl/>
              <w:tabs>
                <w:tab w:val="left" w:pos="945"/>
                <w:tab w:val="left" w:pos="1155"/>
              </w:tabs>
              <w:kinsoku/>
              <w:wordWrap/>
              <w:overflowPunct/>
              <w:topLinePunct w:val="0"/>
              <w:autoSpaceDE/>
              <w:autoSpaceDN/>
              <w:bidi w:val="0"/>
              <w:adjustRightInd/>
              <w:snapToGrid/>
              <w:spacing w:line="288" w:lineRule="auto"/>
              <w:ind w:left="0" w:leftChars="0" w:firstLine="0" w:firstLineChars="0"/>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10</w:t>
            </w:r>
            <w:r>
              <w:rPr>
                <w:rStyle w:val="89"/>
                <w:rFonts w:hint="eastAsia" w:ascii="宋体" w:hAnsi="宋体" w:eastAsia="宋体" w:cs="宋体"/>
                <w:color w:val="auto"/>
                <w:sz w:val="21"/>
                <w:szCs w:val="21"/>
                <w:lang w:val="en-US" w:eastAsia="zh-CN" w:bidi="ar"/>
              </w:rPr>
              <w:t>mm²</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43" w:hRule="atLeast"/>
          <w:jc w:val="center"/>
        </w:trPr>
        <w:tc>
          <w:tcPr>
            <w:tcW w:w="551" w:type="dxa"/>
            <w:tcBorders>
              <w:top w:val="single" w:color="auto" w:sz="4" w:space="0"/>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center"/>
              <w:rPr>
                <w:rFonts w:hint="default" w:ascii="宋体" w:hAnsi="宋体" w:cs="宋体"/>
                <w:kern w:val="0"/>
                <w:szCs w:val="21"/>
                <w:lang w:val="en-US" w:eastAsia="zh-CN"/>
              </w:rPr>
            </w:pPr>
            <w:r>
              <w:rPr>
                <w:rFonts w:hint="eastAsia" w:ascii="宋体" w:hAnsi="宋体" w:cs="宋体"/>
                <w:kern w:val="0"/>
                <w:szCs w:val="21"/>
                <w:lang w:val="en-US" w:eastAsia="zh-CN"/>
              </w:rPr>
              <w:t>6</w:t>
            </w:r>
          </w:p>
        </w:tc>
        <w:tc>
          <w:tcPr>
            <w:tcW w:w="938" w:type="dxa"/>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输入</w:t>
            </w:r>
          </w:p>
          <w:p>
            <w:pPr>
              <w:keepNext w:val="0"/>
              <w:keepLines w:val="0"/>
              <w:pageBreakBefore w:val="0"/>
              <w:widowControl/>
              <w:kinsoku/>
              <w:wordWrap/>
              <w:overflowPunct/>
              <w:topLinePunct w:val="0"/>
              <w:autoSpaceDE/>
              <w:autoSpaceDN/>
              <w:bidi w:val="0"/>
              <w:adjustRightInd/>
              <w:snapToGrid/>
              <w:spacing w:line="24" w:lineRule="atLeast"/>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输出线缆</w:t>
            </w:r>
          </w:p>
        </w:tc>
        <w:tc>
          <w:tcPr>
            <w:tcW w:w="8357" w:type="dxa"/>
            <w:tcBorders>
              <w:top w:val="single" w:color="auto" w:sz="4" w:space="0"/>
              <w:left w:val="nil"/>
              <w:bottom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b/>
                <w:bCs/>
                <w:lang w:val="en-US" w:eastAsia="zh-CN"/>
              </w:rPr>
            </w:pPr>
            <w:r>
              <w:rPr>
                <w:rFonts w:hint="eastAsia" w:ascii="宋体" w:hAnsi="宋体" w:cs="宋体"/>
                <w:color w:val="000000"/>
                <w:kern w:val="0"/>
                <w:szCs w:val="21"/>
                <w:lang w:val="en-US" w:eastAsia="zh-CN"/>
              </w:rPr>
              <w:t>10</w:t>
            </w:r>
            <w:r>
              <w:rPr>
                <w:rStyle w:val="89"/>
                <w:rFonts w:hint="eastAsia" w:ascii="宋体" w:hAnsi="宋体" w:eastAsia="宋体" w:cs="宋体"/>
                <w:color w:val="auto"/>
                <w:sz w:val="21"/>
                <w:szCs w:val="21"/>
                <w:lang w:val="en-US" w:eastAsia="zh-CN" w:bidi="ar"/>
              </w:rPr>
              <w:t>mm²</w:t>
            </w:r>
          </w:p>
        </w:tc>
      </w:tr>
      <w:tr>
        <w:tblPrEx>
          <w:tblCellMar>
            <w:top w:w="0" w:type="dxa"/>
            <w:left w:w="0" w:type="dxa"/>
            <w:bottom w:w="0" w:type="dxa"/>
            <w:right w:w="0" w:type="dxa"/>
          </w:tblCellMar>
        </w:tblPrEx>
        <w:trPr>
          <w:trHeight w:val="439" w:hRule="atLeast"/>
          <w:jc w:val="center"/>
        </w:trPr>
        <w:tc>
          <w:tcPr>
            <w:tcW w:w="551" w:type="dxa"/>
            <w:tcBorders>
              <w:top w:val="nil"/>
              <w:left w:val="single" w:color="000000" w:sz="8" w:space="0"/>
              <w:bottom w:val="single" w:color="auto" w:sz="4" w:space="0"/>
              <w:right w:val="single" w:color="000000" w:sz="8" w:space="0"/>
            </w:tcBorders>
            <w:noWrap w:val="0"/>
            <w:tcMar>
              <w:top w:w="15" w:type="dxa"/>
              <w:left w:w="15" w:type="dxa"/>
              <w:right w:w="15" w:type="dxa"/>
            </w:tcMar>
            <w:vAlign w:val="center"/>
          </w:tcPr>
          <w:p>
            <w:pPr>
              <w:widowControl/>
              <w:spacing w:line="240" w:lineRule="auto"/>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7</w:t>
            </w:r>
          </w:p>
        </w:tc>
        <w:tc>
          <w:tcPr>
            <w:tcW w:w="938" w:type="dxa"/>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both"/>
              <w:textAlignment w:val="center"/>
              <w:rPr>
                <w:rFonts w:ascii="宋体" w:hAnsi="宋体" w:cs="宋体"/>
                <w:szCs w:val="21"/>
              </w:rPr>
            </w:pPr>
            <w:r>
              <w:rPr>
                <w:rFonts w:hint="eastAsia" w:ascii="宋体" w:hAnsi="宋体" w:eastAsia="宋体" w:cs="宋体"/>
                <w:i w:val="0"/>
                <w:iCs w:val="0"/>
                <w:color w:val="000000"/>
                <w:kern w:val="0"/>
                <w:sz w:val="22"/>
                <w:szCs w:val="22"/>
                <w:u w:val="none"/>
                <w:lang w:val="en-US" w:eastAsia="zh-CN" w:bidi="ar"/>
              </w:rPr>
              <w:t>安装调试</w:t>
            </w:r>
          </w:p>
        </w:tc>
        <w:tc>
          <w:tcPr>
            <w:tcW w:w="8357" w:type="dxa"/>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cs="宋体"/>
                <w:szCs w:val="21"/>
              </w:rPr>
            </w:pPr>
            <w:r>
              <w:rPr>
                <w:rFonts w:hint="eastAsia" w:ascii="宋体" w:hAnsi="宋体" w:eastAsia="宋体" w:cs="宋体"/>
                <w:i w:val="0"/>
                <w:iCs w:val="0"/>
                <w:color w:val="000000"/>
                <w:kern w:val="0"/>
                <w:sz w:val="22"/>
                <w:szCs w:val="22"/>
                <w:highlight w:val="none"/>
                <w:u w:val="none"/>
                <w:shd w:val="clear" w:color="auto" w:fill="auto"/>
                <w:lang w:val="en-US" w:eastAsia="zh-CN" w:bidi="ar"/>
              </w:rPr>
              <w:t>按国家电力标准</w:t>
            </w:r>
            <w:r>
              <w:rPr>
                <w:rFonts w:hint="eastAsia" w:ascii="宋体" w:hAnsi="宋体" w:eastAsia="宋体" w:cs="宋体"/>
                <w:i w:val="0"/>
                <w:iCs w:val="0"/>
                <w:color w:val="000000"/>
                <w:kern w:val="0"/>
                <w:sz w:val="22"/>
                <w:szCs w:val="22"/>
                <w:highlight w:val="none"/>
                <w:u w:val="none"/>
                <w:lang w:val="en-US" w:eastAsia="zh-CN" w:bidi="ar"/>
              </w:rPr>
              <w:t>进行安装调试。</w:t>
            </w:r>
          </w:p>
        </w:tc>
      </w:tr>
      <w:tr>
        <w:tblPrEx>
          <w:tblCellMar>
            <w:top w:w="0" w:type="dxa"/>
            <w:left w:w="0" w:type="dxa"/>
            <w:bottom w:w="0" w:type="dxa"/>
            <w:right w:w="0" w:type="dxa"/>
          </w:tblCellMar>
        </w:tblPrEx>
        <w:trPr>
          <w:trHeight w:val="256" w:hRule="atLeast"/>
          <w:jc w:val="center"/>
        </w:trPr>
        <w:tc>
          <w:tcPr>
            <w:tcW w:w="1489" w:type="dxa"/>
            <w:gridSpan w:val="2"/>
            <w:tcBorders>
              <w:top w:val="single" w:color="auto" w:sz="4" w:space="0"/>
              <w:left w:val="single" w:color="000000" w:sz="8" w:space="0"/>
              <w:bottom w:val="single" w:color="auto" w:sz="4" w:space="0"/>
              <w:right w:val="single" w:color="000000" w:sz="8"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质量标准</w:t>
            </w:r>
          </w:p>
        </w:tc>
        <w:tc>
          <w:tcPr>
            <w:tcW w:w="8357" w:type="dxa"/>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center"/>
              <w:rPr>
                <w:rFonts w:ascii="宋体" w:hAnsi="宋体" w:cs="宋体"/>
                <w:color w:val="000000"/>
                <w:sz w:val="24"/>
              </w:rPr>
            </w:pPr>
            <w:r>
              <w:rPr>
                <w:rFonts w:hint="eastAsia" w:ascii="宋体" w:hAnsi="宋体" w:cs="宋体"/>
                <w:color w:val="000000"/>
                <w:kern w:val="0"/>
                <w:sz w:val="22"/>
                <w:szCs w:val="22"/>
              </w:rPr>
              <w:t>符合现行国家质量要求和行业有关标准。</w:t>
            </w:r>
          </w:p>
        </w:tc>
      </w:tr>
      <w:tr>
        <w:tblPrEx>
          <w:tblCellMar>
            <w:top w:w="0" w:type="dxa"/>
            <w:left w:w="0" w:type="dxa"/>
            <w:bottom w:w="0" w:type="dxa"/>
            <w:right w:w="0" w:type="dxa"/>
          </w:tblCellMar>
        </w:tblPrEx>
        <w:trPr>
          <w:trHeight w:val="464" w:hRule="atLeast"/>
          <w:jc w:val="center"/>
        </w:trPr>
        <w:tc>
          <w:tcPr>
            <w:tcW w:w="9846"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noWrap w:val="0"/>
            <w:tcMar>
              <w:top w:w="15" w:type="dxa"/>
              <w:left w:w="15" w:type="dxa"/>
              <w:right w:w="15" w:type="dxa"/>
            </w:tcMar>
            <w:vAlign w:val="center"/>
          </w:tcPr>
          <w:p>
            <w:pPr>
              <w:widowControl/>
              <w:jc w:val="center"/>
              <w:textAlignment w:val="center"/>
              <w:rPr>
                <w:rFonts w:hint="default" w:ascii="宋体" w:hAnsi="宋体" w:cs="宋体"/>
                <w:b/>
                <w:color w:val="000000"/>
                <w:kern w:val="0"/>
                <w:szCs w:val="21"/>
                <w:lang w:val="en-US"/>
              </w:rPr>
            </w:pPr>
            <w:r>
              <w:rPr>
                <w:rFonts w:hint="eastAsia" w:ascii="宋体" w:hAnsi="宋体" w:eastAsia="宋体" w:cs="宋体"/>
                <w:b/>
                <w:i w:val="0"/>
                <w:color w:val="000000"/>
                <w:kern w:val="0"/>
                <w:sz w:val="21"/>
                <w:szCs w:val="21"/>
                <w:u w:val="none"/>
                <w:lang w:val="en-US" w:eastAsia="zh-CN" w:bidi="ar"/>
              </w:rPr>
              <w:t>二、GCP药房配备UPS电源</w:t>
            </w:r>
          </w:p>
        </w:tc>
      </w:tr>
      <w:tr>
        <w:tblPrEx>
          <w:tblCellMar>
            <w:top w:w="0" w:type="dxa"/>
            <w:left w:w="0" w:type="dxa"/>
            <w:bottom w:w="0" w:type="dxa"/>
            <w:right w:w="0" w:type="dxa"/>
          </w:tblCellMar>
        </w:tblPrEx>
        <w:trPr>
          <w:trHeight w:val="90" w:hRule="atLeast"/>
          <w:jc w:val="center"/>
        </w:trPr>
        <w:tc>
          <w:tcPr>
            <w:tcW w:w="551"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b w:val="0"/>
                <w:bCs/>
                <w:color w:val="000000"/>
                <w:kern w:val="0"/>
                <w:szCs w:val="21"/>
                <w:lang w:val="en-US" w:eastAsia="zh-CN"/>
              </w:rPr>
            </w:pPr>
            <w:r>
              <w:rPr>
                <w:rFonts w:hint="eastAsia" w:ascii="宋体" w:hAnsi="宋体" w:cs="宋体"/>
                <w:b w:val="0"/>
                <w:bCs/>
                <w:color w:val="000000"/>
                <w:kern w:val="0"/>
                <w:szCs w:val="21"/>
                <w:lang w:val="en-US" w:eastAsia="zh-CN"/>
              </w:rPr>
              <w:t>1</w:t>
            </w:r>
          </w:p>
        </w:tc>
        <w:tc>
          <w:tcPr>
            <w:tcW w:w="938"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UPS</w:t>
            </w:r>
          </w:p>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b w:val="0"/>
                <w:bCs/>
                <w:i w:val="0"/>
                <w:iCs w:val="0"/>
                <w:color w:val="003366"/>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主机</w:t>
            </w:r>
          </w:p>
        </w:tc>
        <w:tc>
          <w:tcPr>
            <w:tcW w:w="8357"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Style w:val="89"/>
                <w:rFonts w:hint="eastAsia" w:eastAsia="宋体"/>
                <w:lang w:eastAsia="zh-CN"/>
              </w:rPr>
            </w:pPr>
            <w:r>
              <w:rPr>
                <w:rFonts w:hint="eastAsia" w:eastAsia="宋体" w:cs="Times New Roman"/>
                <w:lang w:val="en-US" w:eastAsia="zh-CN"/>
              </w:rPr>
              <w:t>1</w:t>
            </w:r>
            <w:r>
              <w:rPr>
                <w:rFonts w:hint="default" w:eastAsia="宋体" w:cs="Times New Roman"/>
                <w:lang w:val="en-US" w:eastAsia="zh-CN"/>
              </w:rPr>
              <w:t>、</w:t>
            </w:r>
            <w:r>
              <w:rPr>
                <w:rStyle w:val="89"/>
                <w:rFonts w:hint="default"/>
              </w:rPr>
              <w:t>UPS额定容量</w:t>
            </w:r>
            <w:r>
              <w:rPr>
                <w:rStyle w:val="89"/>
                <w:rFonts w:hint="eastAsia" w:eastAsia="宋体"/>
                <w:lang w:val="en-US" w:eastAsia="zh-CN"/>
              </w:rPr>
              <w:t>10</w:t>
            </w:r>
            <w:r>
              <w:rPr>
                <w:rStyle w:val="89"/>
                <w:rFonts w:hint="default"/>
              </w:rPr>
              <w:t>KVA</w:t>
            </w:r>
            <w:r>
              <w:rPr>
                <w:rStyle w:val="89"/>
                <w:rFonts w:hint="eastAsia" w:eastAsia="宋体"/>
                <w:lang w:eastAsia="zh-CN"/>
              </w:rPr>
              <w:t>。</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lang w:val="en-US" w:eastAsia="zh-CN"/>
              </w:rPr>
            </w:pPr>
            <w:r>
              <w:rPr>
                <w:rFonts w:hint="eastAsia"/>
                <w:lang w:val="en-US" w:eastAsia="zh-CN"/>
              </w:rPr>
              <w:t xml:space="preserve">2、UPS符合IEC 62040-3标准的双变换电路结构；UPS相关功能组件和相应开关，必须使用断路器或负荷开关。 </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lang w:val="en-US" w:eastAsia="zh-CN"/>
              </w:rPr>
            </w:pPr>
            <w:r>
              <w:rPr>
                <w:rFonts w:hint="eastAsia"/>
                <w:lang w:val="en-US" w:eastAsia="zh-CN"/>
              </w:rPr>
              <w:t>3、UPS至少包含1个整流器和1个逆变器，1个静态旁路、1个主输入开关，1个静态旁路输入开关，1个输出开关和1个维修旁路开关。</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lang w:val="en-US" w:eastAsia="zh-CN"/>
              </w:rPr>
            </w:pPr>
            <w:r>
              <w:rPr>
                <w:rFonts w:hint="eastAsia"/>
                <w:lang w:val="en-US" w:eastAsia="zh-CN"/>
              </w:rPr>
              <w:t>4、设备需实现全数化控制，输出电压和电流应用复合控制策略，实现动态调节，减小输出电压失真，输出波形质量高，负载特性好。</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lang w:val="en-US" w:eastAsia="zh-CN"/>
              </w:rPr>
            </w:pPr>
            <w:r>
              <w:rPr>
                <w:rFonts w:hint="eastAsia"/>
                <w:lang w:val="en-US" w:eastAsia="zh-CN"/>
              </w:rPr>
              <w:t>5、</w:t>
            </w:r>
            <w:r>
              <w:rPr>
                <w:rFonts w:hint="eastAsia"/>
                <w:sz w:val="21"/>
                <w:szCs w:val="21"/>
                <w:lang w:val="en-US" w:eastAsia="zh-CN"/>
              </w:rPr>
              <w:t>采用工业级强力高速离心风机散热，智能化调速</w:t>
            </w:r>
            <w:r>
              <w:rPr>
                <w:rFonts w:hint="eastAsia"/>
                <w:lang w:val="en-US" w:eastAsia="zh-CN"/>
              </w:rPr>
              <w:t>。</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lang w:val="en-US" w:eastAsia="zh-CN"/>
              </w:rPr>
            </w:pPr>
            <w:r>
              <w:rPr>
                <w:rFonts w:hint="eastAsia"/>
                <w:lang w:val="en-US" w:eastAsia="zh-CN"/>
              </w:rPr>
              <w:t>6、具有输入、输出的过压和欠压保护、相序检测、电池过充过放保护、输出过载短路保护和温度过高保护等保护和报警功能，并设有EPO紧急关断按钮。</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lang w:val="en-US" w:eastAsia="zh-CN"/>
              </w:rPr>
            </w:pPr>
            <w:r>
              <w:rPr>
                <w:rFonts w:hint="eastAsia"/>
                <w:lang w:val="en-US" w:eastAsia="zh-CN"/>
              </w:rPr>
              <w:t>7、具备Wi-Fi功能，使用手机或平板电脑进行操控，可调整整流和逆变等相关参数，操作与控制范围在距本机≤100m。</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lang w:val="en-US" w:eastAsia="zh-CN"/>
              </w:rPr>
            </w:pPr>
            <w:r>
              <w:rPr>
                <w:rFonts w:hint="eastAsia"/>
                <w:lang w:val="en-US" w:eastAsia="zh-CN"/>
              </w:rPr>
              <w:t>8、ECO节能模式下效率≥97%。</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lang w:val="en-US" w:eastAsia="zh-CN"/>
              </w:rPr>
            </w:pPr>
            <w:r>
              <w:rPr>
                <w:rFonts w:hint="eastAsia"/>
                <w:lang w:val="en-US" w:eastAsia="zh-CN"/>
              </w:rPr>
              <w:t>9、6脉冲整流若加配功率因数校正模块，输入功率因数≥0.95。</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lang w:val="en-US" w:eastAsia="zh-CN"/>
              </w:rPr>
            </w:pPr>
            <w:r>
              <w:rPr>
                <w:rFonts w:hint="eastAsia"/>
                <w:lang w:val="en-US" w:eastAsia="zh-CN"/>
              </w:rPr>
              <w:t>10、</w:t>
            </w:r>
            <w:r>
              <w:rPr>
                <w:rFonts w:hint="eastAsia" w:ascii="宋体" w:hAnsi="宋体" w:cs="宋体"/>
                <w:color w:val="000000"/>
                <w:kern w:val="0"/>
                <w:szCs w:val="21"/>
              </w:rPr>
              <w:t>配备智能化电池管理功能，可对电池组进行无风险标准和深度放电检测，具有充电电压温度补偿，电池放电终止电压智能调节，电池极性反接保护和告警，电池定期自动放电激活，自动设定充电电流等功能</w:t>
            </w:r>
            <w:r>
              <w:rPr>
                <w:rFonts w:hint="eastAsia"/>
                <w:lang w:val="en-US" w:eastAsia="zh-CN"/>
              </w:rPr>
              <w:t>。</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lang w:val="en-US" w:eastAsia="zh-CN"/>
              </w:rPr>
            </w:pPr>
            <w:r>
              <w:rPr>
                <w:rFonts w:hint="eastAsia"/>
                <w:lang w:val="en-US" w:eastAsia="zh-CN"/>
              </w:rPr>
              <w:t>11、具备GCI并网运行功能，设计与电网并联的PWM逆变器(Grid connected inverter)控制系统。</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lang w:val="en-US" w:eastAsia="zh-CN"/>
              </w:rPr>
            </w:pPr>
            <w:r>
              <w:rPr>
                <w:rFonts w:hint="eastAsia"/>
                <w:lang w:val="en-US" w:eastAsia="zh-CN"/>
              </w:rPr>
              <w:t>12、人机界面采用液晶触摸屏。</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lang w:val="en-US" w:eastAsia="zh-CN"/>
              </w:rPr>
            </w:pPr>
            <w:r>
              <w:rPr>
                <w:rFonts w:hint="eastAsia"/>
                <w:lang w:val="en-US" w:eastAsia="zh-CN"/>
              </w:rPr>
              <w:t>13、平均无故障工作时间≥45万小时。</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lang w:val="en-US" w:eastAsia="zh-CN"/>
              </w:rPr>
            </w:pPr>
            <w:r>
              <w:rPr>
                <w:rFonts w:hint="eastAsia"/>
                <w:lang w:val="en-US" w:eastAsia="zh-CN"/>
              </w:rPr>
              <w:t>14、落地式，底部含360度方向轮（可以拆装）。</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lang w:val="en-US" w:eastAsia="zh-CN"/>
              </w:rPr>
            </w:pPr>
            <w:r>
              <w:rPr>
                <w:rFonts w:hint="eastAsia"/>
                <w:lang w:val="en-US" w:eastAsia="zh-CN"/>
              </w:rPr>
              <w:t>15、操作开关：整流开关、电池开关、旁路开关、输出开关维修开关均采用断路器。</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lang w:val="en-US" w:eastAsia="zh-CN"/>
              </w:rPr>
            </w:pPr>
            <w:r>
              <w:rPr>
                <w:rFonts w:hint="eastAsia"/>
                <w:lang w:val="en-US" w:eastAsia="zh-CN"/>
              </w:rPr>
              <w:t>16、输入特性：</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lang w:val="en-US" w:eastAsia="zh-CN"/>
              </w:rPr>
            </w:pPr>
            <w:r>
              <w:rPr>
                <w:rFonts w:hint="eastAsia"/>
                <w:lang w:val="en-US" w:eastAsia="zh-CN"/>
              </w:rPr>
              <w:t>（1）电压范围，不低于(-15%~+20%)；</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lang w:val="en-US" w:eastAsia="zh-CN"/>
              </w:rPr>
            </w:pPr>
            <w:r>
              <w:rPr>
                <w:rFonts w:hint="eastAsia"/>
                <w:lang w:val="en-US" w:eastAsia="zh-CN"/>
              </w:rPr>
              <w:t>（2）宽频率输入范围(50Hz±10%)；</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lang w:val="en-US" w:eastAsia="zh-CN"/>
              </w:rPr>
            </w:pPr>
            <w:r>
              <w:rPr>
                <w:rFonts w:hint="eastAsia"/>
                <w:lang w:val="en-US" w:eastAsia="zh-CN"/>
              </w:rPr>
              <w:t>（3）PFC技术，无须附加外接设备，输入功率因数≥0.98；</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lang w:val="en-US" w:eastAsia="zh-CN"/>
              </w:rPr>
            </w:pPr>
            <w:r>
              <w:rPr>
                <w:rFonts w:hint="eastAsia"/>
                <w:lang w:val="en-US" w:eastAsia="zh-CN"/>
              </w:rPr>
              <w:t>（4）PFC技术，无须附加外接设备，输入电流谐波(THDI&lt;5%)，功率100KVA以上时，为&lt;3%。</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lang w:val="en-US" w:eastAsia="zh-CN"/>
              </w:rPr>
            </w:pPr>
            <w:r>
              <w:rPr>
                <w:rFonts w:hint="eastAsia"/>
                <w:lang w:val="en-US" w:eastAsia="zh-CN"/>
              </w:rPr>
              <w:t>17、输出特性：</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lang w:val="en-US" w:eastAsia="zh-CN"/>
              </w:rPr>
            </w:pPr>
            <w:r>
              <w:rPr>
                <w:rFonts w:hint="eastAsia"/>
                <w:lang w:val="en-US" w:eastAsia="zh-CN"/>
              </w:rPr>
              <w:t>（1）输出功率因数≥0.8；</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lang w:val="en-US" w:eastAsia="zh-CN"/>
              </w:rPr>
            </w:pPr>
            <w:r>
              <w:rPr>
                <w:rFonts w:hint="eastAsia"/>
                <w:lang w:val="en-US" w:eastAsia="zh-CN"/>
              </w:rPr>
              <w:t>（2）输出电压，输出THDU≥2%，≤5%；</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lang w:val="en-US" w:eastAsia="zh-CN"/>
              </w:rPr>
            </w:pPr>
            <w:r>
              <w:rPr>
                <w:rFonts w:hint="eastAsia"/>
                <w:lang w:val="en-US" w:eastAsia="zh-CN"/>
              </w:rPr>
              <w:t>（3）具有带三相100%不平衡负载的能力；</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lang w:val="en-US" w:eastAsia="zh-CN"/>
              </w:rPr>
            </w:pPr>
            <w:r>
              <w:rPr>
                <w:rFonts w:hint="eastAsia"/>
                <w:lang w:val="en-US" w:eastAsia="zh-CN"/>
              </w:rPr>
              <w:t>（4）过载能力及抗冲击能力；150%时</w:t>
            </w:r>
            <w:r>
              <w:rPr>
                <w:rFonts w:hint="default" w:ascii="Arial" w:hAnsi="Arial" w:cs="Arial"/>
                <w:lang w:val="en-US" w:eastAsia="zh-CN"/>
              </w:rPr>
              <w:t>≥</w:t>
            </w:r>
            <w:r>
              <w:rPr>
                <w:rFonts w:hint="eastAsia"/>
                <w:lang w:val="en-US" w:eastAsia="zh-CN"/>
              </w:rPr>
              <w:t>10秒钟，125%时</w:t>
            </w:r>
            <w:r>
              <w:rPr>
                <w:rFonts w:hint="default" w:ascii="Arial" w:hAnsi="Arial" w:cs="Arial"/>
                <w:lang w:val="en-US" w:eastAsia="zh-CN"/>
              </w:rPr>
              <w:t>≥</w:t>
            </w:r>
            <w:r>
              <w:rPr>
                <w:rFonts w:hint="eastAsia"/>
                <w:lang w:val="en-US" w:eastAsia="zh-CN"/>
              </w:rPr>
              <w:t>2分钟。</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lang w:val="en-US" w:eastAsia="zh-CN"/>
              </w:rPr>
            </w:pPr>
            <w:r>
              <w:rPr>
                <w:rFonts w:hint="eastAsia"/>
                <w:lang w:val="en-US" w:eastAsia="zh-CN"/>
              </w:rPr>
              <w:t>18、监控管理：</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lang w:val="en-US" w:eastAsia="zh-CN"/>
              </w:rPr>
            </w:pPr>
            <w:r>
              <w:rPr>
                <w:rFonts w:hint="eastAsia"/>
                <w:lang w:val="en-US" w:eastAsia="zh-CN"/>
              </w:rPr>
              <w:t>（1）支持无线监控功能RS232、RS485、R244、MODEM多种后台通讯方式；</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lang w:val="en-US" w:eastAsia="zh-CN"/>
              </w:rPr>
            </w:pPr>
            <w:r>
              <w:rPr>
                <w:rFonts w:hint="eastAsia"/>
                <w:lang w:val="en-US" w:eastAsia="zh-CN"/>
              </w:rPr>
              <w:t>（2）UPS标配SNMP网络管理卡；</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lang w:val="en-US" w:eastAsia="zh-CN"/>
              </w:rPr>
            </w:pPr>
            <w:r>
              <w:rPr>
                <w:rFonts w:hint="eastAsia"/>
                <w:lang w:val="en-US" w:eastAsia="zh-CN"/>
              </w:rPr>
              <w:t>（3）系统具有电池放电终止预告警和自动安全关机功能；</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lang w:val="en-US" w:eastAsia="zh-CN"/>
              </w:rPr>
            </w:pPr>
            <w:r>
              <w:rPr>
                <w:rFonts w:hint="eastAsia"/>
                <w:lang w:val="en-US" w:eastAsia="zh-CN"/>
              </w:rPr>
              <w:t>（4）兼容10M/100M以太网，支持SNMP、HTTP等协议，监控软件具备电源事件记录和分析功能，组网方案，可实现在Internet/Intranet上的远程监控。</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lang w:val="en-US" w:eastAsia="zh-CN"/>
              </w:rPr>
            </w:pPr>
            <w:r>
              <w:rPr>
                <w:rFonts w:hint="eastAsia"/>
                <w:lang w:val="en-US" w:eastAsia="zh-CN"/>
              </w:rPr>
              <w:t>19、</w:t>
            </w:r>
            <w:r>
              <w:rPr>
                <w:rStyle w:val="89"/>
                <w:rFonts w:hint="default"/>
              </w:rPr>
              <w:t>面板显示为触控液晶显示屏，可显示UPS的运行参数、历史记录和整机工作状态；并具有修改显示界面</w:t>
            </w:r>
            <w:r>
              <w:rPr>
                <w:rStyle w:val="89"/>
                <w:rFonts w:hint="eastAsia" w:eastAsia="宋体"/>
                <w:lang w:eastAsia="zh-CN"/>
              </w:rPr>
              <w:t>，</w:t>
            </w:r>
            <w:r>
              <w:rPr>
                <w:rStyle w:val="89"/>
                <w:rFonts w:hint="default"/>
              </w:rPr>
              <w:t>可根据要求现场更改显示语言种类</w:t>
            </w:r>
            <w:r>
              <w:rPr>
                <w:rStyle w:val="89"/>
                <w:rFonts w:hint="eastAsia" w:eastAsia="宋体"/>
                <w:lang w:eastAsia="zh-CN"/>
              </w:rPr>
              <w:t>，</w:t>
            </w:r>
            <w:r>
              <w:rPr>
                <w:rStyle w:val="89"/>
                <w:rFonts w:hint="default"/>
              </w:rPr>
              <w:t>能够记录</w:t>
            </w:r>
            <w:r>
              <w:rPr>
                <w:rStyle w:val="89"/>
                <w:rFonts w:hint="default" w:ascii="Arial" w:hAnsi="Arial" w:cs="Arial"/>
              </w:rPr>
              <w:t>≥</w:t>
            </w:r>
            <w:r>
              <w:rPr>
                <w:rStyle w:val="89"/>
                <w:rFonts w:hint="default"/>
              </w:rPr>
              <w:t>10000条的历史记录，故障信息需有：市电停电、电池低压、整流器异常、逆变器异常等。</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210" w:firstLineChars="100"/>
              <w:jc w:val="left"/>
              <w:textAlignment w:val="auto"/>
              <w:rPr>
                <w:rFonts w:hint="eastAsia" w:ascii="宋体" w:hAnsi="宋体" w:eastAsia="宋体" w:cs="宋体"/>
                <w:b w:val="0"/>
                <w:bCs w:val="0"/>
                <w:color w:val="auto"/>
                <w:kern w:val="0"/>
                <w:lang w:eastAsia="zh-CN"/>
              </w:rPr>
            </w:pPr>
            <w:r>
              <w:rPr>
                <w:rFonts w:hint="eastAsia" w:ascii="宋体" w:hAnsi="宋体" w:cs="宋体"/>
                <w:b w:val="0"/>
                <w:bCs w:val="0"/>
                <w:color w:val="auto"/>
                <w:kern w:val="0"/>
              </w:rPr>
              <w:t>投标人须提供所投主机设备制造商如下证书：</w:t>
            </w:r>
            <w:r>
              <w:rPr>
                <w:rFonts w:hint="eastAsia" w:ascii="宋体" w:hAnsi="宋体" w:cs="宋体"/>
                <w:b w:val="0"/>
                <w:bCs w:val="0"/>
                <w:color w:val="auto"/>
                <w:kern w:val="0"/>
                <w:lang w:eastAsia="zh-CN"/>
              </w:rPr>
              <w:t>（</w:t>
            </w:r>
            <w:r>
              <w:rPr>
                <w:rFonts w:hint="eastAsia" w:ascii="宋体" w:hAnsi="宋体" w:cs="宋体"/>
                <w:b w:val="0"/>
                <w:bCs w:val="0"/>
                <w:color w:val="auto"/>
                <w:kern w:val="0"/>
              </w:rPr>
              <w:t>提供复印件并加盖制造商公章</w:t>
            </w:r>
            <w:r>
              <w:rPr>
                <w:rFonts w:hint="eastAsia" w:ascii="宋体" w:hAnsi="宋体" w:cs="宋体"/>
                <w:b w:val="0"/>
                <w:bCs w:val="0"/>
                <w:color w:val="auto"/>
                <w:kern w:val="0"/>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lang w:val="en-US" w:eastAsia="zh-CN"/>
              </w:rPr>
            </w:pPr>
            <w:r>
              <w:rPr>
                <w:rFonts w:hint="eastAsia" w:ascii="宋体" w:hAnsi="宋体" w:cs="宋体"/>
                <w:b w:val="0"/>
                <w:bCs w:val="0"/>
                <w:color w:val="auto"/>
                <w:kern w:val="0"/>
              </w:rPr>
              <w:t>①节能认证证书</w:t>
            </w:r>
            <w:r>
              <w:rPr>
                <w:rFonts w:hint="eastAsia" w:ascii="宋体" w:hAnsi="宋体" w:cs="宋体"/>
                <w:b w:val="0"/>
                <w:bCs w:val="0"/>
                <w:color w:val="auto"/>
                <w:kern w:val="0"/>
                <w:lang w:val="en-US" w:eastAsia="zh-CN"/>
              </w:rPr>
              <w:t xml:space="preserve"> </w:t>
            </w:r>
            <w:r>
              <w:rPr>
                <w:rFonts w:hint="eastAsia" w:ascii="宋体" w:hAnsi="宋体" w:cs="宋体"/>
                <w:b w:val="0"/>
                <w:bCs w:val="0"/>
                <w:color w:val="auto"/>
                <w:kern w:val="0"/>
              </w:rPr>
              <w:t>②</w:t>
            </w:r>
            <w:r>
              <w:rPr>
                <w:rFonts w:ascii="宋体" w:hAnsi="宋体" w:cs="宋体"/>
                <w:b w:val="0"/>
                <w:bCs w:val="0"/>
                <w:color w:val="auto"/>
                <w:kern w:val="0"/>
              </w:rPr>
              <w:t>ROHS</w:t>
            </w:r>
            <w:r>
              <w:rPr>
                <w:rFonts w:hint="eastAsia" w:ascii="宋体" w:hAnsi="宋体" w:cs="宋体"/>
                <w:b w:val="0"/>
                <w:bCs w:val="0"/>
                <w:color w:val="auto"/>
                <w:kern w:val="0"/>
              </w:rPr>
              <w:t>环保测试报告</w:t>
            </w:r>
            <w:r>
              <w:rPr>
                <w:rFonts w:hint="eastAsia" w:ascii="宋体" w:hAnsi="宋体" w:cs="宋体"/>
                <w:b w:val="0"/>
                <w:bCs w:val="0"/>
                <w:color w:val="auto"/>
                <w:kern w:val="0"/>
                <w:lang w:val="en-US" w:eastAsia="zh-CN"/>
              </w:rPr>
              <w:t xml:space="preserve"> </w:t>
            </w:r>
            <w:r>
              <w:rPr>
                <w:rFonts w:hint="eastAsia" w:ascii="宋体" w:hAnsi="宋体" w:cs="宋体"/>
                <w:b w:val="0"/>
                <w:bCs w:val="0"/>
                <w:color w:val="auto"/>
                <w:kern w:val="0"/>
              </w:rPr>
              <w:t>③</w:t>
            </w:r>
            <w:r>
              <w:rPr>
                <w:rFonts w:hint="eastAsia" w:ascii="宋体" w:hAnsi="宋体"/>
                <w:b w:val="0"/>
                <w:bCs w:val="0"/>
                <w:color w:val="auto"/>
              </w:rPr>
              <w:t>产品检测报告</w:t>
            </w:r>
          </w:p>
        </w:tc>
      </w:tr>
      <w:tr>
        <w:tblPrEx>
          <w:tblCellMar>
            <w:top w:w="0" w:type="dxa"/>
            <w:left w:w="0" w:type="dxa"/>
            <w:bottom w:w="0" w:type="dxa"/>
            <w:right w:w="0" w:type="dxa"/>
          </w:tblCellMar>
        </w:tblPrEx>
        <w:trPr>
          <w:trHeight w:val="484" w:hRule="atLeast"/>
          <w:jc w:val="center"/>
        </w:trPr>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w:t>
            </w:r>
          </w:p>
        </w:tc>
        <w:tc>
          <w:tcPr>
            <w:tcW w:w="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center"/>
              <w:rPr>
                <w:rFonts w:ascii="宋体" w:hAnsi="宋体" w:cs="宋体"/>
                <w:color w:val="000000"/>
                <w:szCs w:val="21"/>
              </w:rPr>
            </w:pPr>
            <w:r>
              <w:rPr>
                <w:rFonts w:hint="eastAsia" w:ascii="宋体" w:hAnsi="宋体" w:cs="宋体"/>
                <w:color w:val="000000"/>
                <w:kern w:val="0"/>
                <w:szCs w:val="21"/>
              </w:rPr>
              <w:t>蓄电池</w:t>
            </w:r>
          </w:p>
        </w:tc>
        <w:tc>
          <w:tcPr>
            <w:tcW w:w="835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eastAsia="宋体"/>
                <w:lang w:eastAsia="zh-CN"/>
              </w:rPr>
            </w:pPr>
            <w:r>
              <w:rPr>
                <w:rFonts w:hint="eastAsia"/>
                <w:lang w:val="en-US" w:eastAsia="zh-CN"/>
              </w:rPr>
              <w:t>1</w:t>
            </w:r>
            <w:r>
              <w:rPr>
                <w:rFonts w:hint="eastAsia"/>
              </w:rPr>
              <w:t>、</w:t>
            </w:r>
            <w:r>
              <w:rPr>
                <w:rFonts w:hint="default"/>
              </w:rPr>
              <w:t>设计浮充使用寿命：</w:t>
            </w:r>
            <w:r>
              <w:rPr>
                <w:rFonts w:hint="eastAsia"/>
                <w:lang w:val="en-US" w:eastAsia="zh-CN"/>
              </w:rPr>
              <w:t>≥</w:t>
            </w:r>
            <w:r>
              <w:rPr>
                <w:rFonts w:hint="default"/>
              </w:rPr>
              <w:t>12年（25℃）</w:t>
            </w:r>
            <w:r>
              <w:rPr>
                <w:rFonts w:hint="eastAsia"/>
                <w:lang w:eastAsia="zh-CN"/>
              </w:rPr>
              <w:t>。</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eastAsia="宋体"/>
                <w:lang w:eastAsia="zh-CN"/>
              </w:rPr>
            </w:pPr>
            <w:r>
              <w:rPr>
                <w:rFonts w:hint="eastAsia"/>
                <w:lang w:val="en-US" w:eastAsia="zh-CN"/>
              </w:rPr>
              <w:t>2</w:t>
            </w:r>
            <w:r>
              <w:rPr>
                <w:rFonts w:hint="default"/>
              </w:rPr>
              <w:t>、额定电压：12V</w:t>
            </w:r>
            <w:r>
              <w:rPr>
                <w:rFonts w:hint="eastAsia"/>
                <w:lang w:eastAsia="zh-CN"/>
              </w:rPr>
              <w:t>。</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eastAsia="宋体"/>
                <w:lang w:eastAsia="zh-CN"/>
              </w:rPr>
            </w:pPr>
            <w:r>
              <w:rPr>
                <w:rFonts w:hint="eastAsia"/>
                <w:lang w:val="en-US" w:eastAsia="zh-CN"/>
              </w:rPr>
              <w:t>3</w:t>
            </w:r>
            <w:r>
              <w:rPr>
                <w:rFonts w:hint="default"/>
              </w:rPr>
              <w:t>、额定容量 (10 小时率)：</w:t>
            </w:r>
            <w:r>
              <w:rPr>
                <w:rFonts w:hint="eastAsia"/>
                <w:lang w:val="en-US" w:eastAsia="zh-CN"/>
              </w:rPr>
              <w:t>≥15</w:t>
            </w:r>
            <w:r>
              <w:rPr>
                <w:rFonts w:hint="default"/>
              </w:rPr>
              <w:t>0A</w:t>
            </w:r>
            <w:r>
              <w:rPr>
                <w:rFonts w:hint="eastAsia"/>
                <w:lang w:eastAsia="zh-CN"/>
              </w:rPr>
              <w:t>。</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eastAsia="宋体"/>
                <w:lang w:eastAsia="zh-CN"/>
              </w:rPr>
            </w:pPr>
            <w:r>
              <w:rPr>
                <w:rFonts w:hint="eastAsia"/>
                <w:lang w:val="en-US" w:eastAsia="zh-CN"/>
              </w:rPr>
              <w:t>4</w:t>
            </w:r>
            <w:r>
              <w:rPr>
                <w:rFonts w:hint="eastAsia"/>
              </w:rPr>
              <w:t>、</w:t>
            </w:r>
            <w:r>
              <w:rPr>
                <w:rFonts w:hint="default"/>
              </w:rPr>
              <w:t>比重为1.280d 的低密度电解液</w:t>
            </w:r>
            <w:r>
              <w:rPr>
                <w:rFonts w:hint="eastAsia"/>
                <w:lang w:eastAsia="zh-CN"/>
              </w:rPr>
              <w:t>。</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eastAsia="宋体"/>
                <w:lang w:eastAsia="zh-CN"/>
              </w:rPr>
            </w:pPr>
            <w:r>
              <w:rPr>
                <w:rFonts w:hint="eastAsia"/>
                <w:lang w:val="en-US" w:eastAsia="zh-CN"/>
              </w:rPr>
              <w:t>5</w:t>
            </w:r>
            <w:r>
              <w:rPr>
                <w:rFonts w:hint="default"/>
              </w:rPr>
              <w:t>、</w:t>
            </w:r>
            <w:r>
              <w:rPr>
                <w:rStyle w:val="89"/>
                <w:rFonts w:hint="default"/>
              </w:rPr>
              <w:t>采用达到UL94 V-0 阻燃等级的ABS 阻燃壳体</w:t>
            </w:r>
            <w:r>
              <w:rPr>
                <w:rFonts w:hint="eastAsia" w:eastAsia="宋体"/>
                <w:lang w:eastAsia="zh-CN"/>
              </w:rPr>
              <w:t>。</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eastAsia="宋体"/>
                <w:lang w:eastAsia="zh-CN"/>
              </w:rPr>
            </w:pPr>
            <w:r>
              <w:rPr>
                <w:rFonts w:hint="eastAsia"/>
                <w:lang w:val="en-US" w:eastAsia="zh-CN"/>
              </w:rPr>
              <w:t>6</w:t>
            </w:r>
            <w:r>
              <w:rPr>
                <w:rFonts w:hint="default"/>
              </w:rPr>
              <w:t>、</w:t>
            </w:r>
            <w:r>
              <w:rPr>
                <w:rStyle w:val="89"/>
                <w:rFonts w:hint="default"/>
              </w:rPr>
              <w:t>电池密封反应效率≥98%</w:t>
            </w:r>
            <w:r>
              <w:rPr>
                <w:rFonts w:hint="eastAsia" w:eastAsia="宋体"/>
                <w:lang w:eastAsia="zh-CN"/>
              </w:rPr>
              <w:t>。</w:t>
            </w:r>
          </w:p>
          <w:p>
            <w:pPr>
              <w:keepNext w:val="0"/>
              <w:keepLines w:val="0"/>
              <w:pageBreakBefore w:val="0"/>
              <w:widowControl/>
              <w:kinsoku/>
              <w:wordWrap/>
              <w:overflowPunct/>
              <w:topLinePunct w:val="0"/>
              <w:autoSpaceDE/>
              <w:autoSpaceDN/>
              <w:bidi w:val="0"/>
              <w:adjustRightInd/>
              <w:snapToGrid/>
              <w:spacing w:line="288" w:lineRule="auto"/>
              <w:ind w:firstLine="210" w:firstLineChars="100"/>
              <w:jc w:val="left"/>
              <w:textAlignment w:val="center"/>
              <w:rPr>
                <w:rFonts w:hint="eastAsia" w:eastAsia="宋体"/>
                <w:lang w:val="en-US" w:eastAsia="zh-CN"/>
              </w:rPr>
            </w:pPr>
            <w:r>
              <w:rPr>
                <w:rFonts w:hint="eastAsia"/>
                <w:lang w:val="en-US" w:eastAsia="zh-CN"/>
              </w:rPr>
              <w:t>7</w:t>
            </w:r>
            <w:r>
              <w:rPr>
                <w:rFonts w:hint="default"/>
              </w:rPr>
              <w:t>、在25℃环境下，电池自放电＜3%/月；电池循环寿命较普通电池提升15%以上，25%DOD 循环1200 次以上</w:t>
            </w:r>
            <w:r>
              <w:rPr>
                <w:rFonts w:hint="eastAsia"/>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210" w:firstLineChars="100"/>
              <w:textAlignment w:val="auto"/>
              <w:rPr>
                <w:rFonts w:ascii="宋体" w:hAnsi="宋体" w:cs="宋体"/>
                <w:b w:val="0"/>
                <w:bCs w:val="0"/>
                <w:color w:val="auto"/>
                <w:kern w:val="0"/>
              </w:rPr>
            </w:pPr>
            <w:r>
              <w:rPr>
                <w:rFonts w:hint="eastAsia" w:ascii="宋体" w:hAnsi="宋体" w:cs="宋体"/>
                <w:b w:val="0"/>
                <w:bCs w:val="0"/>
                <w:color w:val="auto"/>
                <w:kern w:val="0"/>
              </w:rPr>
              <w:t>投标人须提供</w:t>
            </w:r>
            <w:r>
              <w:rPr>
                <w:rFonts w:hint="eastAsia" w:ascii="宋体" w:hAnsi="宋体" w:cs="宋体"/>
                <w:b w:val="0"/>
                <w:bCs w:val="0"/>
                <w:color w:val="auto"/>
                <w:kern w:val="0"/>
                <w:lang w:eastAsia="zh-CN"/>
              </w:rPr>
              <w:t>所投</w:t>
            </w:r>
            <w:r>
              <w:rPr>
                <w:rFonts w:hint="eastAsia" w:ascii="宋体" w:hAnsi="宋体" w:cs="宋体"/>
                <w:b w:val="0"/>
                <w:bCs w:val="0"/>
                <w:color w:val="auto"/>
                <w:kern w:val="0"/>
              </w:rPr>
              <w:t>蓄电池制造商如下证书：</w:t>
            </w:r>
            <w:r>
              <w:rPr>
                <w:rFonts w:hint="eastAsia" w:ascii="宋体" w:hAnsi="宋体" w:cs="宋体"/>
                <w:b w:val="0"/>
                <w:bCs w:val="0"/>
                <w:color w:val="auto"/>
                <w:kern w:val="0"/>
                <w:lang w:eastAsia="zh-CN"/>
              </w:rPr>
              <w:t>（</w:t>
            </w:r>
            <w:r>
              <w:rPr>
                <w:rFonts w:hint="eastAsia" w:ascii="宋体" w:hAnsi="宋体" w:cs="宋体"/>
                <w:b w:val="0"/>
                <w:bCs w:val="0"/>
                <w:color w:val="auto"/>
                <w:kern w:val="0"/>
              </w:rPr>
              <w:t>提供复印件并加盖制造商公章</w:t>
            </w:r>
            <w:r>
              <w:rPr>
                <w:rFonts w:hint="eastAsia" w:ascii="宋体" w:hAnsi="宋体" w:cs="宋体"/>
                <w:b w:val="0"/>
                <w:bCs w:val="0"/>
                <w:color w:val="auto"/>
                <w:kern w:val="0"/>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default"/>
                <w:lang w:val="en-US" w:eastAsia="zh-CN"/>
              </w:rPr>
            </w:pPr>
            <w:r>
              <w:rPr>
                <w:rFonts w:hint="eastAsia" w:ascii="宋体" w:hAnsi="宋体" w:cs="宋体"/>
                <w:b w:val="0"/>
                <w:bCs w:val="0"/>
                <w:color w:val="auto"/>
                <w:kern w:val="0"/>
              </w:rPr>
              <w:t>①泰尔认证证书</w:t>
            </w:r>
            <w:r>
              <w:rPr>
                <w:rFonts w:hint="eastAsia" w:ascii="宋体" w:hAnsi="宋体" w:cs="宋体"/>
                <w:b w:val="0"/>
                <w:bCs w:val="0"/>
                <w:color w:val="auto"/>
                <w:kern w:val="0"/>
                <w:lang w:val="en-US" w:eastAsia="zh-CN"/>
              </w:rPr>
              <w:t xml:space="preserve"> </w:t>
            </w:r>
            <w:r>
              <w:rPr>
                <w:rFonts w:hint="eastAsia" w:ascii="宋体" w:hAnsi="宋体" w:cs="宋体"/>
                <w:b w:val="0"/>
                <w:bCs w:val="0"/>
                <w:color w:val="auto"/>
                <w:kern w:val="0"/>
              </w:rPr>
              <w:t>②工业生产许可证</w:t>
            </w:r>
          </w:p>
        </w:tc>
      </w:tr>
      <w:tr>
        <w:tblPrEx>
          <w:tblCellMar>
            <w:top w:w="0" w:type="dxa"/>
            <w:left w:w="0" w:type="dxa"/>
            <w:bottom w:w="0" w:type="dxa"/>
            <w:right w:w="0" w:type="dxa"/>
          </w:tblCellMar>
        </w:tblPrEx>
        <w:trPr>
          <w:trHeight w:val="484" w:hRule="atLeast"/>
          <w:jc w:val="center"/>
        </w:trPr>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center"/>
              <w:rPr>
                <w:rFonts w:hint="eastAsia" w:ascii="宋体" w:hAnsi="宋体" w:cs="宋体"/>
                <w:color w:val="000000"/>
                <w:szCs w:val="21"/>
                <w:lang w:val="en-US" w:eastAsia="zh-CN"/>
              </w:rPr>
            </w:pPr>
            <w:r>
              <w:rPr>
                <w:rFonts w:hint="eastAsia" w:ascii="宋体" w:hAnsi="宋体" w:cs="宋体"/>
                <w:kern w:val="0"/>
                <w:szCs w:val="21"/>
                <w:lang w:val="en-US" w:eastAsia="zh-CN"/>
              </w:rPr>
              <w:t>3</w:t>
            </w:r>
          </w:p>
        </w:tc>
        <w:tc>
          <w:tcPr>
            <w:tcW w:w="93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center"/>
              <w:rPr>
                <w:rFonts w:hint="eastAsia"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电气安全监控系统</w:t>
            </w:r>
          </w:p>
        </w:tc>
        <w:tc>
          <w:tcPr>
            <w:tcW w:w="835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210" w:firstLineChars="100"/>
              <w:jc w:val="left"/>
              <w:textAlignment w:val="center"/>
              <w:rPr>
                <w:rFonts w:hint="eastAsia"/>
                <w:lang w:val="en-US" w:eastAsia="zh-CN"/>
              </w:rPr>
            </w:pPr>
            <w:r>
              <w:rPr>
                <w:rFonts w:hint="eastAsia" w:ascii="宋体" w:hAnsi="宋体" w:eastAsia="宋体" w:cs="宋体"/>
                <w:lang w:val="en-US" w:eastAsia="zh-CN"/>
              </w:rPr>
              <w:t>1、</w:t>
            </w:r>
            <w:r>
              <w:rPr>
                <w:rFonts w:hint="eastAsia"/>
                <w:lang w:val="en-US" w:eastAsia="zh-CN"/>
              </w:rPr>
              <w:t>一体化设计，多功能主机，应同时具备剩余电流（漏电）、电流、温度、短路、故障电弧、功率、电量等多种功能，并支持自动断电。</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210" w:firstLineChars="100"/>
              <w:jc w:val="both"/>
              <w:textAlignment w:val="center"/>
              <w:rPr>
                <w:rFonts w:hint="eastAsia"/>
                <w:lang w:val="en-US" w:eastAsia="zh-CN"/>
              </w:rPr>
            </w:pPr>
            <w:r>
              <w:rPr>
                <w:rFonts w:hint="eastAsia" w:ascii="宋体" w:hAnsi="宋体" w:eastAsia="宋体" w:cs="宋体"/>
                <w:lang w:val="en-US" w:eastAsia="zh-CN"/>
              </w:rPr>
              <w:t>2、</w:t>
            </w:r>
            <w:r>
              <w:rPr>
                <w:rFonts w:hint="eastAsia"/>
                <w:lang w:val="en-US" w:eastAsia="zh-CN"/>
              </w:rPr>
              <w:t>设备采用非入侵式智能识别技术，可实现线路内全部用电器的类型识别及运行状态监测。</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210" w:firstLineChars="10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3、信息转发，支持APP、短信、电话、邮件等多种转发方式；APP和WEB可查看通知记录信息（通知人员，通知方式、监测点名称、报警类型、报警时间</w:t>
            </w:r>
            <w:r>
              <w:rPr>
                <w:rStyle w:val="89"/>
                <w:rFonts w:hint="eastAsia" w:ascii="宋体" w:hAnsi="宋体" w:eastAsia="宋体" w:cs="宋体"/>
                <w:sz w:val="21"/>
                <w:szCs w:val="21"/>
                <w:lang w:val="en-US" w:eastAsia="zh-CN" w:bidi="ar"/>
              </w:rPr>
              <w:t>），可筛选开始时间至结束时间、通知人、监测点名称、报警类型、报警时间。</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210" w:firstLineChars="100"/>
              <w:jc w:val="left"/>
              <w:textAlignment w:val="center"/>
              <w:rPr>
                <w:rFonts w:hint="default"/>
                <w:b/>
                <w:bCs/>
              </w:rPr>
            </w:pPr>
            <w:r>
              <w:rPr>
                <w:rFonts w:hint="eastAsia" w:ascii="宋体" w:hAnsi="宋体" w:eastAsia="宋体" w:cs="宋体"/>
                <w:i w:val="0"/>
                <w:color w:val="000000"/>
                <w:kern w:val="0"/>
                <w:sz w:val="21"/>
                <w:szCs w:val="21"/>
                <w:u w:val="none"/>
                <w:lang w:val="en-US" w:eastAsia="zh-CN" w:bidi="ar"/>
              </w:rPr>
              <w:t>4、</w:t>
            </w:r>
            <w:r>
              <w:rPr>
                <w:rStyle w:val="90"/>
                <w:rFonts w:hint="default"/>
                <w:bCs/>
              </w:rPr>
              <w:t>电气安全监控软件平台须与</w:t>
            </w:r>
            <w:r>
              <w:rPr>
                <w:rStyle w:val="90"/>
                <w:rFonts w:hint="eastAsia" w:eastAsia="宋体"/>
                <w:bCs/>
                <w:lang w:val="en-US" w:eastAsia="zh-CN"/>
              </w:rPr>
              <w:t>医院</w:t>
            </w:r>
            <w:r>
              <w:rPr>
                <w:rStyle w:val="90"/>
                <w:rFonts w:hint="default"/>
                <w:bCs/>
              </w:rPr>
              <w:t>现有的电力安全系统平台统一到一个平台上，实现统一管理，方面监管维护</w:t>
            </w:r>
            <w:r>
              <w:rPr>
                <w:rFonts w:hint="default"/>
                <w:b/>
                <w:bCs/>
              </w:rPr>
              <w:t>。</w:t>
            </w:r>
          </w:p>
          <w:p>
            <w:pPr>
              <w:pStyle w:val="4"/>
              <w:tabs>
                <w:tab w:val="left" w:pos="945"/>
                <w:tab w:val="left" w:pos="1155"/>
              </w:tabs>
              <w:spacing w:line="240" w:lineRule="auto"/>
              <w:ind w:left="0" w:leftChars="0" w:firstLine="240" w:firstLineChars="100"/>
              <w:rPr>
                <w:rFonts w:hint="eastAsia" w:ascii="宋体" w:hAnsi="宋体" w:eastAsia="宋体" w:cs="宋体"/>
                <w:b w:val="0"/>
                <w:bCs w:val="0"/>
                <w:color w:val="auto"/>
                <w:kern w:val="0"/>
                <w:sz w:val="21"/>
                <w:szCs w:val="24"/>
                <w:lang w:val="en-US" w:eastAsia="zh-CN" w:bidi="ar-SA"/>
              </w:rPr>
            </w:pPr>
            <w:r>
              <w:rPr>
                <w:rFonts w:hint="eastAsia" w:ascii="宋体" w:hAnsi="宋体" w:cs="宋体"/>
                <w:b w:val="0"/>
                <w:bCs w:val="0"/>
                <w:color w:val="auto"/>
                <w:kern w:val="0"/>
              </w:rPr>
              <w:t>投标人</w:t>
            </w:r>
            <w:r>
              <w:rPr>
                <w:rFonts w:hint="eastAsia" w:ascii="宋体" w:hAnsi="宋体" w:eastAsia="宋体" w:cs="宋体"/>
                <w:b w:val="0"/>
                <w:bCs w:val="0"/>
                <w:color w:val="auto"/>
                <w:kern w:val="0"/>
                <w:sz w:val="21"/>
                <w:szCs w:val="24"/>
                <w:lang w:val="en-US" w:eastAsia="zh-CN" w:bidi="ar-SA"/>
              </w:rPr>
              <w:t>须提供电气安全监控设备</w:t>
            </w:r>
            <w:r>
              <w:rPr>
                <w:rFonts w:hint="eastAsia" w:ascii="宋体" w:hAnsi="宋体" w:cs="宋体"/>
                <w:b w:val="0"/>
                <w:bCs w:val="0"/>
                <w:color w:val="auto"/>
                <w:kern w:val="0"/>
                <w:sz w:val="21"/>
                <w:szCs w:val="24"/>
                <w:lang w:val="en-US" w:eastAsia="zh-CN" w:bidi="ar-SA"/>
              </w:rPr>
              <w:t>制造商</w:t>
            </w:r>
            <w:r>
              <w:rPr>
                <w:rFonts w:hint="eastAsia" w:ascii="宋体" w:hAnsi="宋体" w:eastAsia="宋体" w:cs="宋体"/>
                <w:b w:val="0"/>
                <w:bCs w:val="0"/>
                <w:color w:val="auto"/>
                <w:kern w:val="0"/>
                <w:sz w:val="21"/>
                <w:szCs w:val="24"/>
                <w:lang w:val="en-US" w:eastAsia="zh-CN" w:bidi="ar-SA"/>
              </w:rPr>
              <w:t>如下证书：（提供复印件并加盖</w:t>
            </w:r>
            <w:r>
              <w:rPr>
                <w:rFonts w:hint="eastAsia" w:ascii="宋体" w:hAnsi="宋体" w:cs="宋体"/>
                <w:b w:val="0"/>
                <w:bCs w:val="0"/>
                <w:color w:val="auto"/>
                <w:kern w:val="0"/>
              </w:rPr>
              <w:t>制造商</w:t>
            </w:r>
            <w:r>
              <w:rPr>
                <w:rFonts w:hint="eastAsia" w:ascii="宋体" w:hAnsi="宋体" w:eastAsia="宋体" w:cs="宋体"/>
                <w:b w:val="0"/>
                <w:bCs w:val="0"/>
                <w:color w:val="auto"/>
                <w:kern w:val="0"/>
                <w:sz w:val="21"/>
                <w:szCs w:val="24"/>
                <w:lang w:val="en-US" w:eastAsia="zh-CN" w:bidi="ar-SA"/>
              </w:rPr>
              <w:t>公章）</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210" w:firstLineChars="100"/>
              <w:jc w:val="left"/>
              <w:textAlignment w:val="center"/>
              <w:rPr>
                <w:rFonts w:hint="eastAsia" w:ascii="宋体" w:hAnsi="宋体" w:cs="宋体"/>
                <w:b w:val="0"/>
                <w:bCs w:val="0"/>
                <w:color w:val="auto"/>
                <w:kern w:val="0"/>
              </w:rPr>
            </w:pPr>
            <w:r>
              <w:rPr>
                <w:rFonts w:hint="eastAsia" w:ascii="宋体" w:hAnsi="宋体" w:eastAsia="宋体" w:cs="宋体"/>
                <w:b w:val="0"/>
                <w:bCs w:val="0"/>
                <w:color w:val="auto"/>
                <w:kern w:val="0"/>
                <w:sz w:val="21"/>
                <w:szCs w:val="24"/>
                <w:lang w:val="en-US" w:eastAsia="zh-CN" w:bidi="ar-SA"/>
              </w:rPr>
              <w:t>①消防部门检测报告</w:t>
            </w:r>
            <w:r>
              <w:rPr>
                <w:rFonts w:hint="eastAsia" w:ascii="宋体" w:hAnsi="宋体" w:cs="宋体"/>
                <w:b w:val="0"/>
                <w:bCs w:val="0"/>
                <w:color w:val="auto"/>
                <w:kern w:val="0"/>
                <w:sz w:val="21"/>
                <w:szCs w:val="24"/>
                <w:lang w:val="en-US" w:eastAsia="zh-CN" w:bidi="ar-SA"/>
              </w:rPr>
              <w:t xml:space="preserve"> </w:t>
            </w:r>
            <w:r>
              <w:rPr>
                <w:rFonts w:hint="eastAsia" w:ascii="宋体" w:hAnsi="宋体" w:eastAsia="宋体" w:cs="宋体"/>
                <w:b w:val="0"/>
                <w:bCs w:val="0"/>
                <w:color w:val="auto"/>
                <w:kern w:val="0"/>
                <w:sz w:val="21"/>
                <w:szCs w:val="24"/>
                <w:lang w:val="en-US" w:eastAsia="zh-CN" w:bidi="ar-SA"/>
              </w:rPr>
              <w:t>②3C认证</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43" w:hRule="atLeast"/>
          <w:jc w:val="center"/>
        </w:trPr>
        <w:tc>
          <w:tcPr>
            <w:tcW w:w="551" w:type="dxa"/>
            <w:tcBorders>
              <w:top w:val="single" w:color="auto" w:sz="4" w:space="0"/>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center"/>
              <w:rPr>
                <w:rFonts w:hint="default" w:ascii="宋体" w:hAnsi="宋体" w:cs="宋体"/>
                <w:kern w:val="0"/>
                <w:szCs w:val="21"/>
                <w:lang w:val="en-US" w:eastAsia="zh-CN"/>
              </w:rPr>
            </w:pPr>
            <w:r>
              <w:rPr>
                <w:rFonts w:hint="eastAsia" w:ascii="宋体" w:hAnsi="宋体" w:cs="宋体"/>
                <w:kern w:val="0"/>
                <w:szCs w:val="21"/>
                <w:lang w:val="en-US" w:eastAsia="zh-CN"/>
              </w:rPr>
              <w:t>4</w:t>
            </w:r>
          </w:p>
        </w:tc>
        <w:tc>
          <w:tcPr>
            <w:tcW w:w="938" w:type="dxa"/>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电池架</w:t>
            </w:r>
          </w:p>
        </w:tc>
        <w:tc>
          <w:tcPr>
            <w:tcW w:w="8357" w:type="dxa"/>
            <w:tcBorders>
              <w:top w:val="single" w:color="auto" w:sz="4" w:space="0"/>
              <w:left w:val="nil"/>
              <w:bottom w:val="single" w:color="auto" w:sz="4" w:space="0"/>
            </w:tcBorders>
            <w:noWrap w:val="0"/>
            <w:tcMar>
              <w:top w:w="15" w:type="dxa"/>
              <w:left w:w="15" w:type="dxa"/>
              <w:right w:w="15" w:type="dxa"/>
            </w:tcMar>
            <w:vAlign w:val="center"/>
          </w:tcPr>
          <w:p>
            <w:pPr>
              <w:pStyle w:val="4"/>
              <w:keepNext w:val="0"/>
              <w:keepLines w:val="0"/>
              <w:pageBreakBefore w:val="0"/>
              <w:widowControl/>
              <w:tabs>
                <w:tab w:val="left" w:pos="945"/>
                <w:tab w:val="left" w:pos="1155"/>
              </w:tabs>
              <w:kinsoku/>
              <w:wordWrap/>
              <w:overflowPunct/>
              <w:topLinePunct w:val="0"/>
              <w:autoSpaceDE/>
              <w:autoSpaceDN/>
              <w:bidi w:val="0"/>
              <w:adjustRightInd/>
              <w:snapToGrid/>
              <w:spacing w:line="288" w:lineRule="auto"/>
              <w:ind w:left="0" w:leftChars="0" w:firstLine="0" w:firstLineChars="0"/>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国标</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43" w:hRule="atLeast"/>
          <w:jc w:val="center"/>
        </w:trPr>
        <w:tc>
          <w:tcPr>
            <w:tcW w:w="551" w:type="dxa"/>
            <w:tcBorders>
              <w:top w:val="single" w:color="auto" w:sz="4" w:space="0"/>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center"/>
              <w:rPr>
                <w:rFonts w:hint="default" w:ascii="宋体" w:hAnsi="宋体" w:cs="宋体"/>
                <w:kern w:val="0"/>
                <w:szCs w:val="21"/>
                <w:lang w:val="en-US" w:eastAsia="zh-CN"/>
              </w:rPr>
            </w:pPr>
            <w:r>
              <w:rPr>
                <w:rFonts w:hint="eastAsia" w:ascii="宋体" w:hAnsi="宋体" w:cs="宋体"/>
                <w:kern w:val="0"/>
                <w:szCs w:val="21"/>
                <w:lang w:val="en-US" w:eastAsia="zh-CN"/>
              </w:rPr>
              <w:t>5</w:t>
            </w:r>
          </w:p>
        </w:tc>
        <w:tc>
          <w:tcPr>
            <w:tcW w:w="938" w:type="dxa"/>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电池</w:t>
            </w:r>
          </w:p>
          <w:p>
            <w:pPr>
              <w:keepNext w:val="0"/>
              <w:keepLines w:val="0"/>
              <w:pageBreakBefore w:val="0"/>
              <w:widowControl/>
              <w:kinsoku/>
              <w:wordWrap/>
              <w:overflowPunct/>
              <w:topLinePunct w:val="0"/>
              <w:autoSpaceDE/>
              <w:autoSpaceDN/>
              <w:bidi w:val="0"/>
              <w:adjustRightInd/>
              <w:snapToGrid/>
              <w:spacing w:line="24" w:lineRule="atLeas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连接线</w:t>
            </w:r>
          </w:p>
        </w:tc>
        <w:tc>
          <w:tcPr>
            <w:tcW w:w="8357" w:type="dxa"/>
            <w:tcBorders>
              <w:top w:val="single" w:color="auto" w:sz="4" w:space="0"/>
              <w:left w:val="nil"/>
              <w:bottom w:val="single" w:color="auto" w:sz="4" w:space="0"/>
            </w:tcBorders>
            <w:noWrap w:val="0"/>
            <w:tcMar>
              <w:top w:w="15" w:type="dxa"/>
              <w:left w:w="15" w:type="dxa"/>
              <w:right w:w="15" w:type="dxa"/>
            </w:tcMar>
            <w:vAlign w:val="center"/>
          </w:tcPr>
          <w:p>
            <w:pPr>
              <w:pStyle w:val="4"/>
              <w:keepNext w:val="0"/>
              <w:keepLines w:val="0"/>
              <w:pageBreakBefore w:val="0"/>
              <w:widowControl/>
              <w:tabs>
                <w:tab w:val="left" w:pos="945"/>
                <w:tab w:val="left" w:pos="1155"/>
              </w:tabs>
              <w:kinsoku/>
              <w:wordWrap/>
              <w:overflowPunct/>
              <w:topLinePunct w:val="0"/>
              <w:autoSpaceDE/>
              <w:autoSpaceDN/>
              <w:bidi w:val="0"/>
              <w:adjustRightInd/>
              <w:snapToGrid/>
              <w:spacing w:line="288" w:lineRule="auto"/>
              <w:ind w:left="0" w:leftChars="0" w:firstLine="0" w:firstLineChars="0"/>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25</w:t>
            </w:r>
            <w:r>
              <w:rPr>
                <w:rStyle w:val="89"/>
                <w:rFonts w:hint="eastAsia" w:ascii="宋体" w:hAnsi="宋体" w:eastAsia="宋体" w:cs="宋体"/>
                <w:color w:val="auto"/>
                <w:sz w:val="21"/>
                <w:szCs w:val="21"/>
                <w:lang w:val="en-US" w:eastAsia="zh-CN" w:bidi="ar"/>
              </w:rPr>
              <w:t>mm²</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43" w:hRule="atLeast"/>
          <w:jc w:val="center"/>
        </w:trPr>
        <w:tc>
          <w:tcPr>
            <w:tcW w:w="551" w:type="dxa"/>
            <w:tcBorders>
              <w:top w:val="single" w:color="auto" w:sz="4" w:space="0"/>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center"/>
              <w:rPr>
                <w:rFonts w:hint="default" w:ascii="宋体" w:hAnsi="宋体" w:cs="宋体"/>
                <w:kern w:val="0"/>
                <w:szCs w:val="21"/>
                <w:lang w:val="en-US" w:eastAsia="zh-CN"/>
              </w:rPr>
            </w:pPr>
            <w:r>
              <w:rPr>
                <w:rFonts w:hint="eastAsia" w:ascii="宋体" w:hAnsi="宋体" w:cs="宋体"/>
                <w:kern w:val="0"/>
                <w:szCs w:val="21"/>
                <w:lang w:val="en-US" w:eastAsia="zh-CN"/>
              </w:rPr>
              <w:t>6</w:t>
            </w:r>
          </w:p>
        </w:tc>
        <w:tc>
          <w:tcPr>
            <w:tcW w:w="938" w:type="dxa"/>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 w:lineRule="atLeast"/>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输入</w:t>
            </w:r>
          </w:p>
          <w:p>
            <w:pPr>
              <w:keepNext w:val="0"/>
              <w:keepLines w:val="0"/>
              <w:pageBreakBefore w:val="0"/>
              <w:widowControl/>
              <w:kinsoku/>
              <w:wordWrap/>
              <w:overflowPunct/>
              <w:topLinePunct w:val="0"/>
              <w:autoSpaceDE/>
              <w:autoSpaceDN/>
              <w:bidi w:val="0"/>
              <w:adjustRightInd/>
              <w:snapToGrid/>
              <w:spacing w:line="24" w:lineRule="atLeast"/>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输出线缆</w:t>
            </w:r>
          </w:p>
        </w:tc>
        <w:tc>
          <w:tcPr>
            <w:tcW w:w="8357" w:type="dxa"/>
            <w:tcBorders>
              <w:top w:val="single" w:color="auto" w:sz="4" w:space="0"/>
              <w:left w:val="nil"/>
              <w:bottom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b/>
                <w:bCs/>
                <w:lang w:val="en-US" w:eastAsia="zh-CN"/>
              </w:rPr>
            </w:pPr>
            <w:r>
              <w:rPr>
                <w:rFonts w:hint="eastAsia" w:ascii="宋体" w:hAnsi="宋体" w:cs="宋体"/>
                <w:color w:val="000000"/>
                <w:kern w:val="0"/>
                <w:szCs w:val="21"/>
                <w:lang w:val="en-US" w:eastAsia="zh-CN"/>
              </w:rPr>
              <w:t>25</w:t>
            </w:r>
            <w:r>
              <w:rPr>
                <w:rStyle w:val="89"/>
                <w:rFonts w:hint="eastAsia" w:ascii="宋体" w:hAnsi="宋体" w:eastAsia="宋体" w:cs="宋体"/>
                <w:color w:val="auto"/>
                <w:sz w:val="21"/>
                <w:szCs w:val="21"/>
                <w:lang w:val="en-US" w:eastAsia="zh-CN" w:bidi="ar"/>
              </w:rPr>
              <w:t>mm²</w:t>
            </w:r>
          </w:p>
        </w:tc>
      </w:tr>
      <w:tr>
        <w:tblPrEx>
          <w:tblCellMar>
            <w:top w:w="0" w:type="dxa"/>
            <w:left w:w="0" w:type="dxa"/>
            <w:bottom w:w="0" w:type="dxa"/>
            <w:right w:w="0" w:type="dxa"/>
          </w:tblCellMar>
        </w:tblPrEx>
        <w:trPr>
          <w:trHeight w:val="439" w:hRule="atLeast"/>
          <w:jc w:val="center"/>
        </w:trPr>
        <w:tc>
          <w:tcPr>
            <w:tcW w:w="551" w:type="dxa"/>
            <w:tcBorders>
              <w:top w:val="nil"/>
              <w:left w:val="single" w:color="000000" w:sz="8" w:space="0"/>
              <w:bottom w:val="single" w:color="auto" w:sz="4" w:space="0"/>
              <w:right w:val="single" w:color="000000" w:sz="8" w:space="0"/>
            </w:tcBorders>
            <w:noWrap w:val="0"/>
            <w:tcMar>
              <w:top w:w="15" w:type="dxa"/>
              <w:left w:w="15" w:type="dxa"/>
              <w:right w:w="15" w:type="dxa"/>
            </w:tcMar>
            <w:vAlign w:val="center"/>
          </w:tcPr>
          <w:p>
            <w:pPr>
              <w:widowControl/>
              <w:spacing w:line="240" w:lineRule="auto"/>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7</w:t>
            </w:r>
          </w:p>
        </w:tc>
        <w:tc>
          <w:tcPr>
            <w:tcW w:w="938" w:type="dxa"/>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both"/>
              <w:textAlignment w:val="center"/>
              <w:rPr>
                <w:rFonts w:ascii="宋体" w:hAnsi="宋体" w:cs="宋体"/>
                <w:szCs w:val="21"/>
              </w:rPr>
            </w:pPr>
            <w:r>
              <w:rPr>
                <w:rFonts w:hint="eastAsia" w:ascii="宋体" w:hAnsi="宋体" w:eastAsia="宋体" w:cs="宋体"/>
                <w:i w:val="0"/>
                <w:iCs w:val="0"/>
                <w:color w:val="000000"/>
                <w:kern w:val="0"/>
                <w:sz w:val="22"/>
                <w:szCs w:val="22"/>
                <w:u w:val="none"/>
                <w:lang w:val="en-US" w:eastAsia="zh-CN" w:bidi="ar"/>
              </w:rPr>
              <w:t>安装调试</w:t>
            </w:r>
          </w:p>
        </w:tc>
        <w:tc>
          <w:tcPr>
            <w:tcW w:w="8357" w:type="dxa"/>
            <w:tcBorders>
              <w:top w:val="nil"/>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cs="宋体"/>
                <w:szCs w:val="21"/>
              </w:rPr>
            </w:pPr>
            <w:r>
              <w:rPr>
                <w:rFonts w:hint="eastAsia" w:ascii="宋体" w:hAnsi="宋体" w:eastAsia="宋体" w:cs="宋体"/>
                <w:i w:val="0"/>
                <w:iCs w:val="0"/>
                <w:color w:val="000000"/>
                <w:kern w:val="0"/>
                <w:sz w:val="22"/>
                <w:szCs w:val="22"/>
                <w:highlight w:val="none"/>
                <w:u w:val="none"/>
                <w:shd w:val="clear" w:color="auto" w:fill="auto"/>
                <w:lang w:val="en-US" w:eastAsia="zh-CN" w:bidi="ar"/>
              </w:rPr>
              <w:t>按国家电力标准</w:t>
            </w:r>
            <w:r>
              <w:rPr>
                <w:rFonts w:hint="eastAsia" w:ascii="宋体" w:hAnsi="宋体" w:eastAsia="宋体" w:cs="宋体"/>
                <w:i w:val="0"/>
                <w:iCs w:val="0"/>
                <w:color w:val="000000"/>
                <w:kern w:val="0"/>
                <w:sz w:val="22"/>
                <w:szCs w:val="22"/>
                <w:highlight w:val="none"/>
                <w:u w:val="none"/>
                <w:lang w:val="en-US" w:eastAsia="zh-CN" w:bidi="ar"/>
              </w:rPr>
              <w:t>进行安装调试。</w:t>
            </w:r>
          </w:p>
        </w:tc>
      </w:tr>
      <w:tr>
        <w:tblPrEx>
          <w:tblCellMar>
            <w:top w:w="0" w:type="dxa"/>
            <w:left w:w="0" w:type="dxa"/>
            <w:bottom w:w="0" w:type="dxa"/>
            <w:right w:w="0" w:type="dxa"/>
          </w:tblCellMar>
        </w:tblPrEx>
        <w:trPr>
          <w:trHeight w:val="256" w:hRule="atLeast"/>
          <w:jc w:val="center"/>
        </w:trPr>
        <w:tc>
          <w:tcPr>
            <w:tcW w:w="1489" w:type="dxa"/>
            <w:gridSpan w:val="2"/>
            <w:tcBorders>
              <w:top w:val="single" w:color="auto" w:sz="4" w:space="0"/>
              <w:left w:val="single" w:color="000000" w:sz="8" w:space="0"/>
              <w:bottom w:val="single" w:color="auto" w:sz="4" w:space="0"/>
              <w:right w:val="single" w:color="000000" w:sz="8"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质量标准</w:t>
            </w:r>
          </w:p>
        </w:tc>
        <w:tc>
          <w:tcPr>
            <w:tcW w:w="8357" w:type="dxa"/>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center"/>
              <w:rPr>
                <w:rFonts w:ascii="宋体" w:hAnsi="宋体" w:cs="宋体"/>
                <w:color w:val="000000"/>
                <w:sz w:val="24"/>
              </w:rPr>
            </w:pPr>
            <w:r>
              <w:rPr>
                <w:rFonts w:hint="eastAsia" w:ascii="宋体" w:hAnsi="宋体" w:cs="宋体"/>
                <w:color w:val="000000"/>
                <w:kern w:val="0"/>
                <w:sz w:val="22"/>
                <w:szCs w:val="22"/>
              </w:rPr>
              <w:t>符合现行国家质量要求和行业有关标准。</w:t>
            </w:r>
          </w:p>
        </w:tc>
      </w:tr>
    </w:tbl>
    <w:p>
      <w:pPr>
        <w:pStyle w:val="87"/>
        <w:spacing w:line="360" w:lineRule="auto"/>
        <w:ind w:left="630" w:leftChars="300" w:firstLine="210" w:firstLineChars="100"/>
        <w:jc w:val="left"/>
        <w:rPr>
          <w:rFonts w:hint="eastAsia" w:asciiTheme="minorEastAsia" w:hAnsiTheme="minorEastAsia" w:eastAsiaTheme="minorEastAsia" w:cstheme="minorEastAsia"/>
          <w:color w:val="auto"/>
          <w:sz w:val="21"/>
          <w:szCs w:val="21"/>
          <w:lang w:val="en-US" w:eastAsia="zh-CN"/>
        </w:rPr>
      </w:pPr>
    </w:p>
    <w:p>
      <w:pPr>
        <w:pStyle w:val="5"/>
        <w:numPr>
          <w:ilvl w:val="0"/>
          <w:numId w:val="0"/>
        </w:numPr>
        <w:spacing w:after="0"/>
        <w:ind w:left="36" w:leftChars="0"/>
        <w:jc w:val="left"/>
        <w:rPr>
          <w:rFonts w:hint="eastAsia" w:ascii="宋体" w:hAnsi="宋体" w:eastAsia="宋体" w:cs="宋体"/>
          <w:color w:val="auto"/>
          <w:kern w:val="2"/>
          <w:sz w:val="21"/>
          <w:szCs w:val="24"/>
          <w:lang w:val="en-US" w:eastAsia="zh-CN" w:bidi="ar-SA"/>
        </w:rPr>
      </w:pPr>
    </w:p>
    <w:bookmarkEnd w:id="35"/>
    <w:bookmarkEnd w:id="36"/>
    <w:p>
      <w:pPr>
        <w:snapToGrid w:val="0"/>
        <w:spacing w:line="360" w:lineRule="auto"/>
        <w:jc w:val="center"/>
        <w:rPr>
          <w:b/>
          <w:bCs/>
          <w:color w:val="auto"/>
          <w:sz w:val="30"/>
          <w:szCs w:val="30"/>
          <w:highlight w:val="none"/>
        </w:rPr>
      </w:pPr>
      <w:r>
        <w:rPr>
          <w:rFonts w:hint="eastAsia"/>
          <w:b/>
          <w:bCs/>
          <w:color w:val="auto"/>
          <w:sz w:val="30"/>
          <w:szCs w:val="30"/>
          <w:highlight w:val="none"/>
        </w:rPr>
        <w:t>商务要求</w:t>
      </w:r>
    </w:p>
    <w:tbl>
      <w:tblPr>
        <w:tblStyle w:val="32"/>
        <w:tblpPr w:leftFromText="180" w:rightFromText="180" w:vertAnchor="text" w:tblpXSpec="center" w:tblpY="1"/>
        <w:tblOverlap w:val="never"/>
        <w:tblW w:w="96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6"/>
        <w:gridCol w:w="73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合同签订时间</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日历日</w:t>
            </w:r>
            <w:r>
              <w:rPr>
                <w:rFonts w:hint="eastAsia" w:ascii="宋体" w:hAnsi="宋体" w:cs="宋体"/>
                <w:color w:val="auto"/>
                <w:kern w:val="0"/>
                <w:szCs w:val="21"/>
                <w:highlight w:val="none"/>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交货地点</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lang w:val="en-US" w:eastAsia="zh-CN"/>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验   收</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由采购人按照有关规定组织验收。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000000"/>
                <w:kern w:val="0"/>
                <w:sz w:val="22"/>
                <w:szCs w:val="22"/>
              </w:rPr>
              <w:t>符合现行国家质量要求和行业有关标准</w:t>
            </w:r>
            <w:r>
              <w:rPr>
                <w:rFonts w:hint="eastAsia" w:ascii="宋体" w:hAnsi="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付款方式</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以供货合同签订为准。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Ansi="宋体" w:cs="宋体"/>
                <w:color w:val="auto"/>
                <w:kern w:val="0"/>
                <w:szCs w:val="21"/>
                <w:highlight w:val="none"/>
              </w:rPr>
            </w:pPr>
            <w:r>
              <w:rPr>
                <w:rFonts w:hint="eastAsia" w:ascii="宋体" w:hAnsi="宋体"/>
                <w:color w:val="auto"/>
                <w:kern w:val="0"/>
                <w:szCs w:val="21"/>
                <w:highlight w:val="none"/>
              </w:rPr>
              <w:t>售后技术服务要求、售后服务保障要求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中标人须提供后期服务保障和技术支持。</w:t>
            </w:r>
          </w:p>
        </w:tc>
      </w:tr>
    </w:tbl>
    <w:p>
      <w:pPr>
        <w:pStyle w:val="2"/>
        <w:ind w:firstLine="0" w:firstLineChars="0"/>
        <w:rPr>
          <w:color w:val="auto"/>
          <w:highlight w:val="none"/>
        </w:rPr>
      </w:pPr>
    </w:p>
    <w:p>
      <w:pPr>
        <w:snapToGrid w:val="0"/>
        <w:spacing w:line="480" w:lineRule="auto"/>
        <w:jc w:val="center"/>
        <w:rPr>
          <w:b/>
          <w:bCs/>
          <w:color w:val="auto"/>
          <w:sz w:val="30"/>
          <w:szCs w:val="30"/>
          <w:highlight w:val="none"/>
        </w:rPr>
      </w:pPr>
      <w:r>
        <w:rPr>
          <w:rFonts w:hint="eastAsia"/>
          <w:b/>
          <w:bCs/>
          <w:color w:val="auto"/>
          <w:sz w:val="30"/>
          <w:szCs w:val="30"/>
          <w:highlight w:val="none"/>
        </w:rPr>
        <w:t xml:space="preserve"> 采购人对项目的特殊要求及说明</w:t>
      </w:r>
    </w:p>
    <w:tbl>
      <w:tblPr>
        <w:tblStyle w:val="32"/>
        <w:tblW w:w="93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80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1" w:hRule="atLeast"/>
        </w:trPr>
        <w:tc>
          <w:tcPr>
            <w:tcW w:w="13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8001"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不接受联合体投标，不允许转包和分包。</w:t>
            </w:r>
          </w:p>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、授权评标委员会确定一名中标人并推荐两名中标候选人。</w:t>
            </w:r>
          </w:p>
          <w:p>
            <w:pPr>
              <w:widowControl/>
              <w:snapToGrid w:val="0"/>
              <w:spacing w:line="360" w:lineRule="auto"/>
              <w:rPr>
                <w:rFonts w:ascii="宋体" w:hAnsi="宋体" w:cs="宋体"/>
                <w:color w:val="auto"/>
                <w:spacing w:val="14"/>
                <w:szCs w:val="21"/>
                <w:highlight w:val="none"/>
              </w:rPr>
            </w:pPr>
            <w:r>
              <w:rPr>
                <w:rFonts w:hint="eastAsia"/>
                <w:color w:val="auto"/>
                <w:sz w:val="21"/>
                <w:szCs w:val="21"/>
                <w:highlight w:val="none"/>
                <w:lang w:val="en-US" w:eastAsia="zh-CN"/>
              </w:rPr>
              <w:t>3</w:t>
            </w:r>
            <w:r>
              <w:rPr>
                <w:rFonts w:hint="eastAsia"/>
                <w:color w:val="auto"/>
                <w:sz w:val="21"/>
                <w:szCs w:val="21"/>
                <w:highlight w:val="none"/>
              </w:rPr>
              <w:t>、</w:t>
            </w:r>
            <w:r>
              <w:rPr>
                <w:rFonts w:hint="eastAsia" w:ascii="宋体" w:hAnsi="宋体" w:cs="宋体"/>
                <w:color w:val="auto"/>
                <w:spacing w:val="14"/>
                <w:szCs w:val="21"/>
                <w:highlight w:val="none"/>
              </w:rPr>
              <w:t>供应商应根据</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文件的要求提供技术响应表、商务响应表等内容以对</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文件作出响应。</w:t>
            </w:r>
          </w:p>
        </w:tc>
      </w:tr>
    </w:tbl>
    <w:p>
      <w:pPr>
        <w:rPr>
          <w:color w:val="auto"/>
          <w:highlight w:val="none"/>
        </w:rPr>
      </w:pPr>
    </w:p>
    <w:p>
      <w:pPr>
        <w:rPr>
          <w:color w:val="auto"/>
          <w:highlight w:val="none"/>
        </w:rPr>
      </w:pPr>
    </w:p>
    <w:p>
      <w:pPr>
        <w:rPr>
          <w:color w:val="auto"/>
          <w:sz w:val="32"/>
          <w:szCs w:val="32"/>
          <w:highlight w:val="none"/>
        </w:rPr>
      </w:pPr>
      <w:r>
        <w:rPr>
          <w:color w:val="auto"/>
          <w:sz w:val="32"/>
          <w:szCs w:val="32"/>
          <w:highlight w:val="none"/>
        </w:rPr>
        <w:br w:type="page"/>
      </w:r>
    </w:p>
    <w:p>
      <w:pPr>
        <w:rPr>
          <w:color w:val="auto"/>
          <w:highlight w:val="none"/>
        </w:rPr>
      </w:pPr>
    </w:p>
    <w:p>
      <w:pPr>
        <w:pStyle w:val="7"/>
        <w:spacing w:before="0" w:after="0" w:line="240" w:lineRule="atLeast"/>
        <w:jc w:val="center"/>
        <w:rPr>
          <w:color w:val="auto"/>
          <w:sz w:val="32"/>
          <w:szCs w:val="32"/>
          <w:highlight w:val="none"/>
        </w:rPr>
      </w:pPr>
      <w:bookmarkStart w:id="40" w:name="_Toc14504"/>
      <w:r>
        <w:rPr>
          <w:rFonts w:hint="eastAsia"/>
          <w:color w:val="auto"/>
          <w:sz w:val="32"/>
          <w:szCs w:val="32"/>
          <w:highlight w:val="none"/>
        </w:rPr>
        <w:t>第三章  投标人须知</w:t>
      </w:r>
      <w:bookmarkEnd w:id="40"/>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2"/>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ascii="宋体" w:hAnsi="宋体" w:eastAsia="宋体" w:cs="宋体"/>
                <w:color w:val="auto"/>
              </w:rPr>
            </w:pPr>
            <w:r>
              <w:rPr>
                <w:rFonts w:hint="eastAsia"/>
                <w:color w:val="auto"/>
                <w:highlight w:val="none"/>
              </w:rPr>
              <w:t>1.1 项目名称：</w:t>
            </w:r>
            <w:r>
              <w:rPr>
                <w:rFonts w:hint="eastAsia" w:ascii="宋体" w:hAnsi="宋体" w:cs="宋体"/>
                <w:color w:val="auto"/>
                <w:lang w:eastAsia="zh-CN"/>
              </w:rPr>
              <w:t>驻马店市中心医院</w:t>
            </w:r>
            <w:r>
              <w:rPr>
                <w:rFonts w:hint="eastAsia" w:ascii="宋体" w:hAnsi="宋体" w:cs="宋体"/>
                <w:color w:val="auto"/>
                <w:lang w:val="en-US" w:eastAsia="zh-CN"/>
              </w:rPr>
              <w:t>输血科和GCP药房配备UPS电源采购项目</w:t>
            </w:r>
          </w:p>
          <w:p>
            <w:pPr>
              <w:widowControl/>
              <w:snapToGrid w:val="0"/>
              <w:spacing w:line="440" w:lineRule="exact"/>
              <w:jc w:val="left"/>
              <w:outlineLvl w:val="0"/>
              <w:rPr>
                <w:color w:val="auto"/>
                <w:highlight w:val="none"/>
              </w:rPr>
            </w:pPr>
            <w:r>
              <w:rPr>
                <w:rFonts w:hint="eastAsia"/>
                <w:color w:val="auto"/>
                <w:highlight w:val="none"/>
              </w:rPr>
              <w:t>1.2 采购人名称：</w:t>
            </w:r>
            <w:r>
              <w:rPr>
                <w:rFonts w:hint="eastAsia" w:ascii="宋体" w:hAnsi="宋体" w:eastAsia="宋体" w:cs="宋体"/>
                <w:color w:val="auto"/>
              </w:rPr>
              <w:t>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8.3万</w:t>
            </w:r>
            <w:r>
              <w:rPr>
                <w:rFonts w:hint="eastAsia" w:ascii="宋体" w:hAnsi="宋体" w:eastAsia="宋体" w:cs="宋体"/>
                <w:color w:val="auto"/>
                <w:kern w:val="0"/>
                <w:szCs w:val="21"/>
                <w:highlight w:val="none"/>
              </w:rPr>
              <w:t>元</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color w:val="auto"/>
              </w:rPr>
            </w:pPr>
            <w:r>
              <w:rPr>
                <w:rFonts w:hint="eastAsia"/>
                <w:color w:val="auto"/>
              </w:rPr>
              <w:t>投标文件组成：纸质投标文件正本1份</w:t>
            </w:r>
            <w:r>
              <w:rPr>
                <w:rFonts w:hint="eastAsia"/>
                <w:color w:val="auto"/>
                <w:lang w:eastAsia="zh-CN"/>
              </w:rPr>
              <w:t>、</w:t>
            </w:r>
            <w:r>
              <w:rPr>
                <w:rFonts w:hint="eastAsia"/>
                <w:color w:val="auto"/>
                <w:lang w:val="en-US" w:eastAsia="zh-CN"/>
              </w:rPr>
              <w:t>副本2份</w:t>
            </w:r>
            <w:r>
              <w:rPr>
                <w:rFonts w:hint="eastAsia"/>
                <w:color w:val="auto"/>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auto"/>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auto"/>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公告中所叙述项目的货物采购。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2.4 “货物”系指投标人按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文件规定向采购人提供的一切设备、机械、仪器仪表、备品备件、工具、手册及其它有关技术资料和材料。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2.5 “相关服务”系指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文件规定投标人须承担的与本次采购货物相关的安装、调试、技术协助、校准、培训以及其他类似的义务。。</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8.3万</w:t>
      </w:r>
      <w:r>
        <w:rPr>
          <w:rFonts w:hint="eastAsia" w:ascii="宋体" w:hAnsi="宋体" w:cs="宋体"/>
          <w:b/>
          <w:bCs/>
          <w:color w:val="auto"/>
          <w:kern w:val="0"/>
          <w:szCs w:val="21"/>
          <w:highlight w:val="none"/>
        </w:rPr>
        <w:t>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4.1 </w:t>
      </w:r>
      <w:r>
        <w:rPr>
          <w:rFonts w:hint="eastAsia" w:ascii="宋体" w:hAnsi="宋体" w:cs="宋体"/>
          <w:color w:val="auto"/>
          <w:szCs w:val="21"/>
          <w:highlight w:val="none"/>
          <w:lang w:eastAsia="zh-CN"/>
        </w:rPr>
        <w:t>供应商应为注册在中华人民共和国境内的，且具有独立承担民事责任能力，</w:t>
      </w:r>
      <w:r>
        <w:rPr>
          <w:rFonts w:hint="eastAsia" w:ascii="宋体" w:hAnsi="宋体" w:cs="宋体"/>
          <w:color w:val="auto"/>
          <w:szCs w:val="21"/>
          <w:highlight w:val="none"/>
        </w:rPr>
        <w:t>提供法人或者其他组织的营业执照等证明文件</w:t>
      </w:r>
      <w:r>
        <w:rPr>
          <w:rFonts w:hint="eastAsia" w:ascii="宋体" w:hAnsi="宋体" w:cs="宋体"/>
          <w:color w:val="auto"/>
          <w:szCs w:val="21"/>
          <w:highlight w:val="none"/>
          <w:lang w:eastAsia="zh-CN"/>
        </w:rPr>
        <w:t>。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4.2 </w:t>
      </w:r>
      <w:r>
        <w:rPr>
          <w:rFonts w:hint="eastAsia" w:ascii="宋体" w:hAnsi="宋体" w:eastAsia="宋体" w:cs="宋体"/>
          <w:color w:val="auto"/>
          <w:kern w:val="2"/>
          <w:sz w:val="21"/>
          <w:szCs w:val="24"/>
          <w:lang w:val="en-US" w:eastAsia="zh-CN" w:bidi="ar-SA"/>
        </w:rPr>
        <w:t>供应商应提供202</w:t>
      </w:r>
      <w:r>
        <w:rPr>
          <w:rFonts w:hint="eastAsia" w:ascii="宋体" w:hAnsi="宋体" w:cs="宋体"/>
          <w:color w:val="auto"/>
          <w:kern w:val="2"/>
          <w:sz w:val="21"/>
          <w:szCs w:val="24"/>
          <w:lang w:val="en-US" w:eastAsia="zh-CN" w:bidi="ar-SA"/>
        </w:rPr>
        <w:t>1</w:t>
      </w:r>
      <w:r>
        <w:rPr>
          <w:rFonts w:hint="eastAsia" w:ascii="宋体" w:hAnsi="宋体" w:eastAsia="宋体" w:cs="宋体"/>
          <w:color w:val="auto"/>
          <w:kern w:val="2"/>
          <w:sz w:val="21"/>
          <w:szCs w:val="24"/>
          <w:lang w:val="en-US" w:eastAsia="zh-CN" w:bidi="ar-SA"/>
        </w:rPr>
        <w:t>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4.3 </w:t>
      </w:r>
      <w:r>
        <w:rPr>
          <w:rFonts w:hint="eastAsia" w:ascii="宋体" w:hAnsi="宋体" w:eastAsia="宋体" w:cs="宋体"/>
          <w:color w:val="auto"/>
          <w:kern w:val="2"/>
          <w:sz w:val="21"/>
          <w:szCs w:val="24"/>
          <w:lang w:val="en-US" w:eastAsia="zh-CN" w:bidi="ar-SA"/>
        </w:rPr>
        <w:t>参加本采购活动前三年内，在经营活动中没有重大违法记录</w:t>
      </w:r>
      <w:r>
        <w:rPr>
          <w:rFonts w:hint="eastAsia" w:ascii="宋体" w:hAnsi="宋体" w:cs="宋体"/>
          <w:color w:val="auto"/>
          <w:szCs w:val="21"/>
          <w:highlight w:val="none"/>
        </w:rPr>
        <w:t>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4.4 具备履行合同所必需的设备和专业技术能力的书面声明函；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yellow"/>
        </w:rPr>
      </w:pPr>
      <w:r>
        <w:rPr>
          <w:rFonts w:hint="eastAsia" w:ascii="宋体" w:hAnsi="宋体" w:cs="宋体"/>
          <w:color w:val="auto"/>
          <w:szCs w:val="21"/>
          <w:highlight w:val="none"/>
        </w:rPr>
        <w:t xml:space="preserve">4.5 </w:t>
      </w:r>
      <w:r>
        <w:rPr>
          <w:rFonts w:hint="eastAsia" w:ascii="宋体" w:hAnsi="宋体" w:cs="宋体"/>
          <w:color w:val="auto"/>
          <w:szCs w:val="21"/>
          <w:highlight w:val="none"/>
          <w:lang w:val="en-US" w:eastAsia="zh-CN"/>
        </w:rPr>
        <w:t>投标人须具有良好的商业信誉和完善的售后服务体系，并具有承担本项目的供货及服务能力（出具承诺书，格式自拟）；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
          <w:bCs/>
          <w:color w:val="auto"/>
          <w:kern w:val="0"/>
          <w:szCs w:val="21"/>
          <w:highlight w:val="none"/>
        </w:rPr>
      </w:pPr>
      <w:r>
        <w:rPr>
          <w:rFonts w:hint="eastAsia" w:ascii="宋体" w:hAnsi="宋体" w:cs="宋体"/>
          <w:color w:val="auto"/>
          <w:szCs w:val="21"/>
          <w:highlight w:val="none"/>
        </w:rPr>
        <w:t xml:space="preserve">4.6 </w:t>
      </w:r>
      <w:r>
        <w:rPr>
          <w:rFonts w:hint="eastAsia"/>
          <w:color w:val="auto"/>
          <w:lang w:val="en-US" w:eastAsia="zh-CN"/>
        </w:rPr>
        <w:t>根据《关于在政府采购活动中查询及使用信用记录有关问题的通知》（财库【2016】125号）的规定，对列入失信被执行人、税收违法黑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16.2、</w:t>
      </w:r>
      <w:r>
        <w:rPr>
          <w:rFonts w:hint="eastAsia" w:ascii="宋体" w:hAnsi="宋体" w:cs="宋体"/>
          <w:color w:val="auto"/>
          <w:kern w:val="0"/>
          <w:szCs w:val="21"/>
          <w:highlight w:val="none"/>
        </w:rPr>
        <w:t>投标报价明细表（格式）</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、技术响应表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、商务响应表</w:t>
      </w:r>
    </w:p>
    <w:p>
      <w:pPr>
        <w:keepNext w:val="0"/>
        <w:keepLines w:val="0"/>
        <w:pageBreakBefore w:val="0"/>
        <w:widowControl/>
        <w:kinsoku/>
        <w:wordWrap/>
        <w:overflowPunct/>
        <w:topLinePunct w:val="0"/>
        <w:bidi w:val="0"/>
        <w:snapToGrid w:val="0"/>
        <w:spacing w:line="360" w:lineRule="auto"/>
        <w:ind w:left="208" w:leftChars="99"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、法定代表人身份证明</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、法定代表人授权书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、证明文件</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、抵制商业贿赂承诺</w:t>
      </w:r>
    </w:p>
    <w:p>
      <w:pPr>
        <w:pStyle w:val="4"/>
        <w:keepNext w:val="0"/>
        <w:keepLines w:val="0"/>
        <w:pageBreakBefore w:val="0"/>
        <w:kinsoku/>
        <w:wordWrap/>
        <w:overflowPunct/>
        <w:topLinePunct w:val="0"/>
        <w:bidi w:val="0"/>
        <w:snapToGrid w:val="0"/>
        <w:spacing w:beforeAutospacing="0" w:afterAutospacing="0" w:line="360" w:lineRule="auto"/>
        <w:rPr>
          <w:color w:val="auto"/>
          <w:sz w:val="21"/>
          <w:szCs w:val="21"/>
          <w:highlight w:val="none"/>
        </w:rPr>
      </w:pPr>
      <w:r>
        <w:rPr>
          <w:rFonts w:hint="eastAsia"/>
          <w:color w:val="auto"/>
          <w:sz w:val="21"/>
          <w:szCs w:val="21"/>
          <w:highlight w:val="none"/>
        </w:rPr>
        <w:t>16.</w:t>
      </w:r>
      <w:r>
        <w:rPr>
          <w:rFonts w:hint="eastAsia"/>
          <w:color w:val="auto"/>
          <w:sz w:val="21"/>
          <w:szCs w:val="21"/>
          <w:highlight w:val="none"/>
          <w:lang w:val="en-US" w:eastAsia="zh-CN"/>
        </w:rPr>
        <w:t>9</w:t>
      </w:r>
      <w:r>
        <w:rPr>
          <w:rFonts w:hint="eastAsia"/>
          <w:color w:val="auto"/>
          <w:sz w:val="21"/>
          <w:szCs w:val="21"/>
          <w:highlight w:val="none"/>
        </w:rPr>
        <w:t>、投标人认为有必要的其他资料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投标人的投标报价为交货地点交货价格，包括货物、随配附件、备品备件、工具、厂家赠品、运抵指定交货地点费用、保险费、安装调试费、服务费、售后服务、税金及其他所有费用的总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18.2 投标人要按开标一览表的内容填写。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开标一览表中标明的价格在政府采购合同执行过程中是固定不变的，投标人不得以任何理由予以变更。以可调整的价格提交的投标将被作为无效投标处理。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文件有关服务期、投标有效期、质量要求、技术标准和要求、</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color w:val="auto"/>
          <w:lang w:eastAsia="zh-CN"/>
        </w:rPr>
      </w:pPr>
      <w:r>
        <w:rPr>
          <w:rFonts w:hint="eastAsia"/>
          <w:color w:val="auto"/>
          <w:lang w:eastAsia="zh-CN"/>
        </w:rPr>
        <w:t>2</w:t>
      </w:r>
      <w:r>
        <w:rPr>
          <w:rFonts w:hint="eastAsia"/>
          <w:color w:val="auto"/>
          <w:lang w:val="en-US" w:eastAsia="zh-CN"/>
        </w:rPr>
        <w:t>1</w:t>
      </w:r>
      <w:r>
        <w:rPr>
          <w:rFonts w:hint="eastAsia"/>
          <w:color w:val="auto"/>
          <w:lang w:eastAsia="zh-CN"/>
        </w:rPr>
        <w:t>.3 未按本章第2</w:t>
      </w:r>
      <w:r>
        <w:rPr>
          <w:rFonts w:hint="eastAsia"/>
          <w:color w:val="auto"/>
          <w:lang w:val="en-US" w:eastAsia="zh-CN"/>
        </w:rPr>
        <w:t>1</w:t>
      </w:r>
      <w:r>
        <w:rPr>
          <w:rFonts w:hint="eastAsia"/>
          <w:color w:val="auto"/>
          <w:lang w:eastAsia="zh-CN"/>
        </w:rPr>
        <w:t>.1项或第2</w:t>
      </w:r>
      <w:r>
        <w:rPr>
          <w:rFonts w:hint="eastAsia"/>
          <w:color w:val="auto"/>
          <w:lang w:val="en-US" w:eastAsia="zh-CN"/>
        </w:rPr>
        <w:t>1</w:t>
      </w:r>
      <w:r>
        <w:rPr>
          <w:rFonts w:hint="eastAsia"/>
          <w:color w:val="auto"/>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30"/>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30"/>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30"/>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30"/>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（4）投标有效期、交货时间、质保期等不满足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41"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41"/>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2"/>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42"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42"/>
    <w:p>
      <w:pPr>
        <w:rPr>
          <w:color w:val="auto"/>
          <w:highlight w:val="none"/>
        </w:rPr>
      </w:pPr>
      <w:bookmarkStart w:id="43" w:name="_Toc4700"/>
      <w:bookmarkStart w:id="44"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5" w:name="_Toc9022"/>
      <w:r>
        <w:rPr>
          <w:rFonts w:hint="eastAsia" w:ascii="黑体" w:hAnsi="宋体" w:eastAsia="黑体" w:cs="宋体"/>
          <w:b/>
          <w:bCs/>
          <w:color w:val="auto"/>
          <w:kern w:val="0"/>
          <w:sz w:val="32"/>
          <w:szCs w:val="32"/>
          <w:highlight w:val="none"/>
        </w:rPr>
        <w:t>第四章  评标办法及评分标准</w:t>
      </w:r>
      <w:bookmarkEnd w:id="43"/>
      <w:bookmarkEnd w:id="45"/>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3"/>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2"/>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50"/>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50"/>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50"/>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产品质量（30分）</w:t>
            </w:r>
          </w:p>
        </w:tc>
        <w:tc>
          <w:tcPr>
            <w:tcW w:w="214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1</w:t>
            </w:r>
            <w:r>
              <w:rPr>
                <w:rFonts w:hint="eastAsia" w:ascii="宋体" w:hAnsi="宋体" w:eastAsia="宋体" w:cs="宋体"/>
                <w:b w:val="0"/>
                <w:bCs w:val="0"/>
                <w:color w:val="auto"/>
                <w:kern w:val="0"/>
                <w:sz w:val="21"/>
                <w:szCs w:val="21"/>
                <w:highlight w:val="none"/>
                <w:lang w:eastAsia="zh-CN"/>
              </w:rPr>
              <w:t>、技术参数、性能及产品功能等</w:t>
            </w:r>
          </w:p>
        </w:tc>
        <w:tc>
          <w:tcPr>
            <w:tcW w:w="6103" w:type="dxa"/>
            <w:noWrap w:val="0"/>
            <w:vAlign w:val="center"/>
          </w:tcPr>
          <w:p>
            <w:pPr>
              <w:keepNext w:val="0"/>
              <w:keepLines w:val="0"/>
              <w:pageBreakBefore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.所投</w:t>
            </w:r>
            <w:r>
              <w:rPr>
                <w:rFonts w:hint="eastAsia" w:ascii="宋体" w:hAnsi="宋体" w:cs="宋体"/>
                <w:b w:val="0"/>
                <w:bCs w:val="0"/>
                <w:color w:val="auto"/>
                <w:sz w:val="21"/>
                <w:szCs w:val="21"/>
                <w:highlight w:val="none"/>
                <w:lang w:val="en-US" w:eastAsia="zh-CN"/>
              </w:rPr>
              <w:t>产品或设备</w:t>
            </w:r>
            <w:r>
              <w:rPr>
                <w:rFonts w:hint="eastAsia" w:ascii="宋体" w:hAnsi="宋体" w:eastAsia="宋体" w:cs="宋体"/>
                <w:b w:val="0"/>
                <w:bCs w:val="0"/>
                <w:color w:val="auto"/>
                <w:sz w:val="21"/>
                <w:szCs w:val="21"/>
                <w:highlight w:val="none"/>
              </w:rPr>
              <w:t>均应提供</w:t>
            </w:r>
            <w:r>
              <w:rPr>
                <w:rFonts w:hint="eastAsia" w:ascii="宋体" w:hAnsi="宋体" w:cs="宋体"/>
                <w:b w:val="0"/>
                <w:bCs w:val="0"/>
                <w:color w:val="auto"/>
                <w:sz w:val="21"/>
                <w:szCs w:val="21"/>
                <w:highlight w:val="none"/>
                <w:lang w:val="en-US" w:eastAsia="zh-CN"/>
              </w:rPr>
              <w:t>相关证明文件资料</w:t>
            </w:r>
            <w:r>
              <w:rPr>
                <w:rFonts w:hint="eastAsia" w:ascii="宋体" w:hAnsi="宋体" w:eastAsia="宋体" w:cs="宋体"/>
                <w:b w:val="0"/>
                <w:bCs w:val="0"/>
                <w:color w:val="auto"/>
                <w:sz w:val="21"/>
                <w:szCs w:val="21"/>
                <w:highlight w:val="none"/>
              </w:rPr>
              <w:t>，所</w:t>
            </w:r>
            <w:r>
              <w:rPr>
                <w:rFonts w:hint="eastAsia" w:ascii="宋体" w:hAnsi="宋体" w:cs="宋体"/>
                <w:b w:val="0"/>
                <w:bCs w:val="0"/>
                <w:color w:val="auto"/>
                <w:sz w:val="21"/>
                <w:szCs w:val="21"/>
                <w:highlight w:val="none"/>
                <w:lang w:val="en-US" w:eastAsia="zh-CN"/>
              </w:rPr>
              <w:t>投产品</w:t>
            </w:r>
            <w:r>
              <w:rPr>
                <w:rFonts w:hint="eastAsia" w:ascii="宋体" w:hAnsi="宋体" w:eastAsia="宋体" w:cs="宋体"/>
                <w:b w:val="0"/>
                <w:bCs w:val="0"/>
                <w:color w:val="auto"/>
                <w:sz w:val="21"/>
                <w:szCs w:val="21"/>
                <w:highlight w:val="none"/>
              </w:rPr>
              <w:t>必须是正规厂家生产的原装正品；</w:t>
            </w:r>
          </w:p>
          <w:p>
            <w:pPr>
              <w:keepNext w:val="0"/>
              <w:keepLines w:val="0"/>
              <w:pageBreakBefore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.产品需有注册证</w:t>
            </w:r>
            <w:r>
              <w:rPr>
                <w:rFonts w:hint="eastAsia" w:ascii="宋体" w:hAnsi="宋体" w:eastAsia="宋体" w:cs="宋体"/>
                <w:b w:val="0"/>
                <w:bCs w:val="0"/>
                <w:color w:val="auto"/>
                <w:sz w:val="21"/>
                <w:szCs w:val="21"/>
                <w:highlight w:val="none"/>
                <w:lang w:val="en-US" w:eastAsia="zh-CN"/>
              </w:rPr>
              <w:t>或备案凭</w:t>
            </w:r>
            <w:r>
              <w:rPr>
                <w:rFonts w:hint="eastAsia" w:ascii="宋体" w:hAnsi="宋体" w:eastAsia="宋体" w:cs="宋体"/>
                <w:b w:val="0"/>
                <w:bCs w:val="0"/>
                <w:color w:val="auto"/>
                <w:sz w:val="21"/>
                <w:szCs w:val="21"/>
                <w:highlight w:val="none"/>
              </w:rPr>
              <w:t>证；</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.提供有关投标货物符合</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文件要求的相关证明文件。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商务</w:t>
            </w:r>
            <w:r>
              <w:rPr>
                <w:rFonts w:hint="eastAsia" w:ascii="宋体" w:hAnsi="宋体" w:eastAsia="宋体" w:cs="宋体"/>
                <w:b w:val="0"/>
                <w:bCs w:val="0"/>
                <w:color w:val="auto"/>
                <w:sz w:val="21"/>
                <w:szCs w:val="21"/>
                <w:highlight w:val="none"/>
              </w:rPr>
              <w:t>部分（</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0分）</w:t>
            </w:r>
          </w:p>
        </w:tc>
        <w:tc>
          <w:tcPr>
            <w:tcW w:w="2140"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证书、资信等级、类似业绩、质保期、配件及其他优惠承诺等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提供相关有效证件等资料的复印件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(20分)</w:t>
            </w:r>
          </w:p>
        </w:tc>
        <w:tc>
          <w:tcPr>
            <w:tcW w:w="2140" w:type="dxa"/>
            <w:noWrap w:val="0"/>
            <w:vAlign w:val="center"/>
          </w:tcPr>
          <w:p>
            <w:pPr>
              <w:pStyle w:val="50"/>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培训方案、服务站点、服务响应及时性、售后服务方案等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color w:val="auto"/>
                <w:kern w:val="2"/>
                <w:sz w:val="21"/>
                <w:szCs w:val="21"/>
                <w:highlight w:val="none"/>
              </w:rPr>
            </w:pPr>
            <w:r>
              <w:rPr>
                <w:rFonts w:hint="eastAsia" w:ascii="宋体" w:hAnsi="宋体" w:cs="宋体"/>
                <w:b w:val="0"/>
                <w:bCs w:val="0"/>
                <w:color w:val="auto"/>
                <w:kern w:val="0"/>
                <w:sz w:val="21"/>
                <w:szCs w:val="21"/>
                <w:highlight w:val="none"/>
                <w:lang w:val="en-US" w:eastAsia="zh-CN"/>
              </w:rPr>
              <w:t>根据</w:t>
            </w:r>
            <w:r>
              <w:rPr>
                <w:rFonts w:hint="eastAsia" w:ascii="宋体" w:hAnsi="宋体" w:eastAsia="宋体" w:cs="宋体"/>
                <w:b w:val="0"/>
                <w:bCs w:val="0"/>
                <w:color w:val="auto"/>
                <w:kern w:val="0"/>
                <w:sz w:val="21"/>
                <w:szCs w:val="21"/>
                <w:highlight w:val="none"/>
                <w:lang w:val="en-US" w:eastAsia="zh-CN"/>
              </w:rPr>
              <w:t>投标人在投标文件中所投产品的售后服务站设立情况（配备有专业售后服务技术人员，提供售后服务人员名单和售后服务地址、电话）</w:t>
            </w:r>
            <w:r>
              <w:rPr>
                <w:rFonts w:hint="eastAsia" w:ascii="宋体" w:hAnsi="宋体" w:cs="宋体"/>
                <w:b w:val="0"/>
                <w:bCs w:val="0"/>
                <w:color w:val="auto"/>
                <w:kern w:val="0"/>
                <w:sz w:val="21"/>
                <w:szCs w:val="21"/>
                <w:highlight w:val="none"/>
                <w:lang w:val="en-US" w:eastAsia="zh-CN"/>
              </w:rPr>
              <w:t>、培训方案、</w:t>
            </w:r>
            <w:r>
              <w:rPr>
                <w:rFonts w:hint="eastAsia" w:ascii="宋体" w:hAnsi="宋体" w:eastAsia="宋体" w:cs="宋体"/>
                <w:b w:val="0"/>
                <w:bCs w:val="0"/>
                <w:color w:val="auto"/>
                <w:kern w:val="2"/>
                <w:sz w:val="21"/>
                <w:szCs w:val="21"/>
                <w:highlight w:val="none"/>
              </w:rPr>
              <w:t>售后服务及时率、服务到位程度、详细的维修时间和处理办法及针对本项目的售后服务方案及相应的安全质量保障措施等内容</w:t>
            </w:r>
            <w:r>
              <w:rPr>
                <w:rFonts w:hint="eastAsia" w:ascii="宋体" w:hAnsi="宋体" w:cs="宋体"/>
                <w:b w:val="0"/>
                <w:b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44"/>
    <w:p>
      <w:pPr>
        <w:rPr>
          <w:color w:val="auto"/>
          <w:highlight w:val="none"/>
        </w:rPr>
      </w:pPr>
      <w:bookmarkStart w:id="46" w:name="_Toc1482"/>
      <w:bookmarkStart w:id="47" w:name="_Toc1947"/>
      <w:bookmarkStart w:id="48" w:name="_Toc256519703"/>
      <w:bookmarkStart w:id="49" w:name="_Toc326786897"/>
    </w:p>
    <w:p>
      <w:pPr>
        <w:pStyle w:val="7"/>
        <w:snapToGrid w:val="0"/>
        <w:spacing w:before="0" w:after="0" w:line="480" w:lineRule="auto"/>
        <w:jc w:val="center"/>
        <w:rPr>
          <w:color w:val="auto"/>
          <w:sz w:val="28"/>
          <w:szCs w:val="28"/>
          <w:highlight w:val="yellow"/>
        </w:rPr>
      </w:pPr>
      <w:bookmarkStart w:id="50" w:name="_Toc28988"/>
      <w:r>
        <w:rPr>
          <w:rFonts w:hint="eastAsia"/>
          <w:color w:val="auto"/>
          <w:sz w:val="28"/>
          <w:szCs w:val="28"/>
          <w:highlight w:val="none"/>
        </w:rPr>
        <w:t>第五章  采购合同</w:t>
      </w:r>
      <w:bookmarkEnd w:id="5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olor w:val="auto"/>
          <w:sz w:val="21"/>
          <w:szCs w:val="21"/>
          <w:lang w:eastAsia="zh-CN"/>
        </w:rPr>
      </w:pPr>
      <w:r>
        <w:rPr>
          <w:rFonts w:hint="eastAsia" w:ascii="宋体" w:hAnsi="宋体"/>
          <w:color w:val="auto"/>
          <w:sz w:val="21"/>
          <w:szCs w:val="21"/>
          <w:lang w:eastAsia="zh-CN"/>
        </w:rPr>
        <w:t>（</w:t>
      </w:r>
      <w:r>
        <w:rPr>
          <w:rFonts w:hint="eastAsia" w:ascii="宋体" w:hAnsi="宋体"/>
          <w:color w:val="auto"/>
          <w:sz w:val="21"/>
          <w:szCs w:val="21"/>
          <w:lang w:val="en-US" w:eastAsia="zh-CN"/>
        </w:rPr>
        <w:t>以实际合同为准</w:t>
      </w:r>
      <w:r>
        <w:rPr>
          <w:rFonts w:hint="eastAsia" w:ascii="宋体" w:hAnsi="宋体"/>
          <w:color w:val="auto"/>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2"/>
        <w:rPr>
          <w:color w:val="auto"/>
        </w:rPr>
      </w:pPr>
    </w:p>
    <w:p>
      <w:pPr>
        <w:pStyle w:val="7"/>
        <w:jc w:val="center"/>
        <w:rPr>
          <w:rFonts w:ascii="宋体" w:hAnsi="宋体" w:cs="宋体"/>
          <w:color w:val="auto"/>
          <w:kern w:val="0"/>
          <w:highlight w:val="none"/>
        </w:rPr>
      </w:pPr>
      <w:bookmarkStart w:id="51" w:name="_Toc2638"/>
      <w:r>
        <w:rPr>
          <w:rFonts w:hint="eastAsia"/>
          <w:color w:val="auto"/>
          <w:sz w:val="32"/>
          <w:szCs w:val="32"/>
          <w:highlight w:val="none"/>
        </w:rPr>
        <w:t>第六章  投标文件格式</w:t>
      </w:r>
      <w:bookmarkEnd w:id="46"/>
      <w:bookmarkEnd w:id="47"/>
      <w:bookmarkEnd w:id="51"/>
    </w:p>
    <w:p>
      <w:pPr>
        <w:spacing w:line="440" w:lineRule="exact"/>
        <w:rPr>
          <w:color w:val="auto"/>
          <w:sz w:val="24"/>
          <w:highlight w:val="none"/>
        </w:rPr>
      </w:pPr>
    </w:p>
    <w:p>
      <w:pPr>
        <w:jc w:val="center"/>
        <w:rPr>
          <w:b/>
          <w:bCs/>
          <w:color w:val="auto"/>
          <w:sz w:val="32"/>
          <w:szCs w:val="32"/>
          <w:highlight w:val="none"/>
        </w:rPr>
      </w:pPr>
      <w:bookmarkStart w:id="52" w:name="_Toc13604"/>
      <w:r>
        <w:rPr>
          <w:rFonts w:hint="eastAsia"/>
          <w:b/>
          <w:bCs/>
          <w:color w:val="auto"/>
          <w:sz w:val="32"/>
          <w:szCs w:val="32"/>
          <w:highlight w:val="none"/>
        </w:rPr>
        <w:t>目    录</w:t>
      </w:r>
      <w:bookmarkEnd w:id="52"/>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53" w:name="_Toc11308"/>
      <w:r>
        <w:rPr>
          <w:rFonts w:hint="eastAsia"/>
          <w:color w:val="auto"/>
          <w:sz w:val="24"/>
          <w:highlight w:val="none"/>
        </w:rPr>
        <w:t>附件1投标文件封面（格式）</w:t>
      </w:r>
      <w:bookmarkEnd w:id="53"/>
    </w:p>
    <w:p>
      <w:pPr>
        <w:snapToGrid w:val="0"/>
        <w:spacing w:line="360" w:lineRule="auto"/>
        <w:ind w:firstLine="480" w:firstLineChars="200"/>
        <w:rPr>
          <w:color w:val="auto"/>
          <w:sz w:val="24"/>
          <w:highlight w:val="none"/>
        </w:rPr>
      </w:pPr>
      <w:bookmarkStart w:id="54" w:name="_Toc25345"/>
      <w:r>
        <w:rPr>
          <w:rFonts w:hint="eastAsia"/>
          <w:color w:val="auto"/>
          <w:sz w:val="24"/>
          <w:highlight w:val="none"/>
        </w:rPr>
        <w:t>附件2 投标书（格式）</w:t>
      </w:r>
      <w:bookmarkEnd w:id="54"/>
    </w:p>
    <w:p>
      <w:pPr>
        <w:snapToGrid w:val="0"/>
        <w:spacing w:line="360" w:lineRule="auto"/>
        <w:ind w:firstLine="480" w:firstLineChars="200"/>
        <w:rPr>
          <w:color w:val="auto"/>
          <w:sz w:val="24"/>
          <w:highlight w:val="none"/>
        </w:rPr>
      </w:pPr>
      <w:bookmarkStart w:id="55" w:name="_Toc10217"/>
      <w:r>
        <w:rPr>
          <w:rFonts w:hint="eastAsia"/>
          <w:color w:val="auto"/>
          <w:sz w:val="24"/>
          <w:highlight w:val="none"/>
        </w:rPr>
        <w:t>附件3 开标一览表（格式）</w:t>
      </w:r>
      <w:bookmarkEnd w:id="55"/>
    </w:p>
    <w:p>
      <w:pPr>
        <w:snapToGrid w:val="0"/>
        <w:spacing w:line="360" w:lineRule="auto"/>
        <w:ind w:firstLine="480" w:firstLineChars="200"/>
        <w:rPr>
          <w:color w:val="auto"/>
          <w:sz w:val="24"/>
          <w:highlight w:val="none"/>
        </w:rPr>
      </w:pPr>
      <w:bookmarkStart w:id="56" w:name="_Toc9579"/>
      <w:r>
        <w:rPr>
          <w:rFonts w:hint="eastAsia"/>
          <w:color w:val="auto"/>
          <w:sz w:val="24"/>
          <w:highlight w:val="none"/>
        </w:rPr>
        <w:t>附件4 投标报价明细表（格式）</w:t>
      </w:r>
      <w:bookmarkEnd w:id="56"/>
    </w:p>
    <w:p>
      <w:pPr>
        <w:snapToGrid w:val="0"/>
        <w:spacing w:line="360" w:lineRule="auto"/>
        <w:ind w:firstLine="480" w:firstLineChars="200"/>
        <w:rPr>
          <w:color w:val="auto"/>
          <w:sz w:val="24"/>
          <w:highlight w:val="none"/>
        </w:rPr>
      </w:pPr>
      <w:bookmarkStart w:id="57" w:name="_Toc28392"/>
      <w:r>
        <w:rPr>
          <w:rFonts w:hint="eastAsia"/>
          <w:color w:val="auto"/>
          <w:sz w:val="24"/>
          <w:highlight w:val="none"/>
        </w:rPr>
        <w:t>附件5技术响应表（格式）</w:t>
      </w:r>
      <w:bookmarkEnd w:id="57"/>
    </w:p>
    <w:p>
      <w:pPr>
        <w:snapToGrid w:val="0"/>
        <w:spacing w:line="360" w:lineRule="auto"/>
        <w:ind w:firstLine="480" w:firstLineChars="200"/>
        <w:rPr>
          <w:color w:val="auto"/>
          <w:sz w:val="24"/>
          <w:highlight w:val="none"/>
        </w:rPr>
      </w:pPr>
      <w:bookmarkStart w:id="58" w:name="_Toc6234"/>
      <w:r>
        <w:rPr>
          <w:rFonts w:hint="eastAsia"/>
          <w:color w:val="auto"/>
          <w:sz w:val="24"/>
          <w:highlight w:val="none"/>
        </w:rPr>
        <w:t>附件6 商务响应表（格式）</w:t>
      </w:r>
      <w:bookmarkEnd w:id="58"/>
    </w:p>
    <w:p>
      <w:pPr>
        <w:snapToGrid w:val="0"/>
        <w:spacing w:line="360" w:lineRule="auto"/>
        <w:ind w:firstLine="480" w:firstLineChars="200"/>
        <w:rPr>
          <w:color w:val="auto"/>
          <w:sz w:val="24"/>
          <w:highlight w:val="none"/>
        </w:rPr>
      </w:pPr>
      <w:bookmarkStart w:id="59" w:name="_Toc26231"/>
      <w:r>
        <w:rPr>
          <w:rFonts w:hint="eastAsia"/>
          <w:color w:val="auto"/>
          <w:sz w:val="24"/>
          <w:highlight w:val="none"/>
        </w:rPr>
        <w:t>附件7</w:t>
      </w:r>
      <w:r>
        <w:rPr>
          <w:rFonts w:hint="eastAsia"/>
          <w:color w:val="auto"/>
          <w:sz w:val="24"/>
          <w:highlight w:val="none"/>
          <w:lang w:val="en-US" w:eastAsia="zh-CN"/>
        </w:rPr>
        <w:t xml:space="preserve"> </w:t>
      </w:r>
      <w:r>
        <w:rPr>
          <w:rFonts w:hint="eastAsia"/>
          <w:color w:val="auto"/>
          <w:sz w:val="24"/>
          <w:highlight w:val="none"/>
        </w:rPr>
        <w:t>法定代表人身份证明（格式）</w:t>
      </w:r>
      <w:bookmarkEnd w:id="59"/>
    </w:p>
    <w:p>
      <w:pPr>
        <w:snapToGrid w:val="0"/>
        <w:spacing w:line="360" w:lineRule="auto"/>
        <w:ind w:firstLine="480" w:firstLineChars="200"/>
        <w:rPr>
          <w:color w:val="auto"/>
          <w:sz w:val="24"/>
          <w:highlight w:val="none"/>
        </w:rPr>
      </w:pPr>
      <w:bookmarkStart w:id="60" w:name="_Toc18484"/>
      <w:r>
        <w:rPr>
          <w:rFonts w:hint="eastAsia"/>
          <w:color w:val="auto"/>
          <w:sz w:val="24"/>
          <w:highlight w:val="none"/>
        </w:rPr>
        <w:t>附件8</w:t>
      </w:r>
      <w:r>
        <w:rPr>
          <w:rFonts w:hint="eastAsia"/>
          <w:color w:val="auto"/>
          <w:sz w:val="24"/>
          <w:highlight w:val="none"/>
          <w:lang w:val="en-US" w:eastAsia="zh-CN"/>
        </w:rPr>
        <w:t xml:space="preserve"> </w:t>
      </w:r>
      <w:r>
        <w:rPr>
          <w:rFonts w:hint="eastAsia"/>
          <w:color w:val="auto"/>
          <w:sz w:val="24"/>
          <w:highlight w:val="none"/>
        </w:rPr>
        <w:t>法定代表人授权书（格式）</w:t>
      </w:r>
      <w:bookmarkEnd w:id="60"/>
    </w:p>
    <w:p>
      <w:pPr>
        <w:snapToGrid w:val="0"/>
        <w:spacing w:line="360" w:lineRule="auto"/>
        <w:ind w:firstLine="480" w:firstLineChars="200"/>
        <w:rPr>
          <w:color w:val="auto"/>
          <w:sz w:val="24"/>
          <w:highlight w:val="none"/>
        </w:rPr>
      </w:pPr>
      <w:bookmarkStart w:id="61" w:name="_Toc31857"/>
      <w:r>
        <w:rPr>
          <w:rFonts w:hint="eastAsia"/>
          <w:color w:val="auto"/>
          <w:sz w:val="24"/>
          <w:highlight w:val="none"/>
        </w:rPr>
        <w:t>附件9 证明文件</w:t>
      </w:r>
      <w:bookmarkEnd w:id="61"/>
    </w:p>
    <w:p>
      <w:pPr>
        <w:snapToGrid w:val="0"/>
        <w:spacing w:line="360" w:lineRule="auto"/>
        <w:ind w:firstLine="480" w:firstLineChars="200"/>
        <w:rPr>
          <w:rFonts w:hint="eastAsia"/>
          <w:color w:val="auto"/>
          <w:sz w:val="24"/>
          <w:highlight w:val="none"/>
        </w:rPr>
      </w:pPr>
      <w:bookmarkStart w:id="62" w:name="_Toc23116"/>
      <w:r>
        <w:rPr>
          <w:rFonts w:hint="eastAsia"/>
          <w:color w:val="auto"/>
          <w:sz w:val="24"/>
          <w:highlight w:val="none"/>
        </w:rPr>
        <w:t>附件10 供应商承诺书（格式）</w:t>
      </w:r>
      <w:bookmarkEnd w:id="62"/>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3"/>
        <w:rPr>
          <w:rFonts w:ascii="宋体" w:hAnsi="宋体" w:cs="宋体"/>
          <w:b/>
          <w:bCs/>
          <w:color w:val="auto"/>
          <w:kern w:val="0"/>
          <w:sz w:val="24"/>
          <w:highlight w:val="none"/>
        </w:rPr>
      </w:pPr>
    </w:p>
    <w:p>
      <w:pPr>
        <w:pStyle w:val="50"/>
        <w:rPr>
          <w:rFonts w:hAnsi="宋体"/>
          <w:b/>
          <w:bCs/>
          <w:color w:val="auto"/>
          <w:highlight w:val="none"/>
        </w:rPr>
      </w:pPr>
    </w:p>
    <w:p>
      <w:pPr>
        <w:pStyle w:val="50"/>
        <w:rPr>
          <w:rFonts w:hAnsi="宋体"/>
          <w:b/>
          <w:bCs/>
          <w:color w:val="auto"/>
          <w:highlight w:val="none"/>
        </w:rPr>
      </w:pPr>
    </w:p>
    <w:p>
      <w:pPr>
        <w:rPr>
          <w:color w:val="auto"/>
          <w:highlight w:val="none"/>
        </w:rPr>
      </w:pPr>
      <w:r>
        <w:rPr>
          <w:rFonts w:hint="eastAsia"/>
          <w:color w:val="auto"/>
          <w:highlight w:val="none"/>
        </w:rPr>
        <w:br w:type="page"/>
      </w:r>
    </w:p>
    <w:p>
      <w:pPr>
        <w:pStyle w:val="27"/>
        <w:rPr>
          <w:color w:val="auto"/>
          <w:highlight w:val="none"/>
        </w:rPr>
      </w:pPr>
    </w:p>
    <w:p>
      <w:pPr>
        <w:pStyle w:val="8"/>
        <w:rPr>
          <w:color w:val="auto"/>
          <w:highlight w:val="none"/>
        </w:rPr>
      </w:pPr>
      <w:bookmarkStart w:id="63" w:name="_Toc31798"/>
      <w:bookmarkStart w:id="64" w:name="_Toc24743"/>
      <w:r>
        <w:rPr>
          <w:rFonts w:hint="eastAsia"/>
          <w:color w:val="auto"/>
          <w:highlight w:val="none"/>
        </w:rPr>
        <w:t>附件1               投标文件封面（格式）</w:t>
      </w:r>
      <w:bookmarkEnd w:id="63"/>
      <w:bookmarkEnd w:id="64"/>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color w:val="auto"/>
          <w:spacing w:val="90"/>
          <w:sz w:val="52"/>
          <w:szCs w:val="52"/>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50"/>
        <w:spacing w:line="360" w:lineRule="auto"/>
        <w:rPr>
          <w:rFonts w:hint="eastAsia" w:ascii="宋体" w:hAnsi="宋体" w:eastAsia="宋体" w:cs="宋体"/>
          <w:color w:val="auto"/>
          <w:highlight w:val="none"/>
        </w:rPr>
      </w:pPr>
    </w:p>
    <w:p>
      <w:pPr>
        <w:pStyle w:val="50"/>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3"/>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8"/>
        <w:rPr>
          <w:color w:val="auto"/>
          <w:highlight w:val="none"/>
        </w:rPr>
      </w:pPr>
      <w:bookmarkStart w:id="65" w:name="_Toc14560"/>
      <w:bookmarkStart w:id="66" w:name="_Toc8818"/>
      <w:r>
        <w:rPr>
          <w:rFonts w:hint="eastAsia"/>
          <w:color w:val="auto"/>
          <w:highlight w:val="none"/>
        </w:rPr>
        <w:t>附件2               投  标  书（格式）</w:t>
      </w:r>
      <w:bookmarkEnd w:id="65"/>
      <w:bookmarkEnd w:id="66"/>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8"/>
        <w:spacing w:before="20" w:after="20"/>
        <w:rPr>
          <w:color w:val="auto"/>
          <w:highlight w:val="none"/>
        </w:rPr>
      </w:pPr>
      <w:bookmarkStart w:id="67" w:name="_Toc7838"/>
      <w:r>
        <w:rPr>
          <w:rFonts w:hint="eastAsia"/>
          <w:color w:val="auto"/>
          <w:highlight w:val="none"/>
        </w:rPr>
        <w:t>附件3               开标一览表</w:t>
      </w:r>
      <w:bookmarkEnd w:id="67"/>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2"/>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大写：        元</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小写：        元（详见报价明细表）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交货地点</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质量标准</w:t>
            </w:r>
          </w:p>
        </w:tc>
        <w:tc>
          <w:tcPr>
            <w:tcW w:w="7708"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20"/>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8" w:name="_Toc11620"/>
      <w:bookmarkStart w:id="69" w:name="_Toc20877"/>
      <w:r>
        <w:rPr>
          <w:rFonts w:hint="eastAsia" w:ascii="宋体" w:hAnsi="宋体"/>
          <w:color w:val="auto"/>
          <w:szCs w:val="21"/>
          <w:highlight w:val="none"/>
        </w:rPr>
        <w:t>投标人（全称并加盖公章）：</w:t>
      </w:r>
      <w:bookmarkEnd w:id="68"/>
      <w:bookmarkEnd w:id="69"/>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70" w:name="_Toc625"/>
      <w:bookmarkStart w:id="71" w:name="_Toc12222"/>
      <w:r>
        <w:rPr>
          <w:rFonts w:hint="eastAsia" w:ascii="宋体" w:hAnsi="宋体"/>
          <w:color w:val="auto"/>
          <w:szCs w:val="21"/>
          <w:highlight w:val="none"/>
        </w:rPr>
        <w:t>法定代表人或其委托代理人（签字）：</w:t>
      </w:r>
      <w:bookmarkEnd w:id="70"/>
      <w:bookmarkEnd w:id="71"/>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72" w:name="_Toc9950"/>
      <w:bookmarkStart w:id="73" w:name="_Toc1330"/>
      <w:r>
        <w:rPr>
          <w:rFonts w:hint="eastAsia" w:ascii="宋体" w:hAnsi="宋体"/>
          <w:color w:val="auto"/>
          <w:szCs w:val="21"/>
          <w:highlight w:val="none"/>
        </w:rPr>
        <w:t>年  月  日</w:t>
      </w:r>
      <w:bookmarkEnd w:id="72"/>
      <w:bookmarkEnd w:id="73"/>
    </w:p>
    <w:p>
      <w:pPr>
        <w:rPr>
          <w:color w:val="auto"/>
          <w:highlight w:val="none"/>
        </w:rPr>
      </w:pPr>
      <w:r>
        <w:rPr>
          <w:color w:val="auto"/>
          <w:highlight w:val="none"/>
        </w:rPr>
        <w:br w:type="page"/>
      </w:r>
    </w:p>
    <w:p>
      <w:pPr>
        <w:rPr>
          <w:color w:val="auto"/>
          <w:highlight w:val="none"/>
        </w:rPr>
      </w:pPr>
    </w:p>
    <w:bookmarkEnd w:id="48"/>
    <w:bookmarkEnd w:id="49"/>
    <w:p>
      <w:pPr>
        <w:pStyle w:val="8"/>
        <w:spacing w:before="20" w:after="20"/>
        <w:rPr>
          <w:color w:val="auto"/>
          <w:highlight w:val="none"/>
        </w:rPr>
      </w:pPr>
      <w:bookmarkStart w:id="74" w:name="_Toc24984"/>
      <w:bookmarkStart w:id="75" w:name="_Toc22004"/>
      <w:r>
        <w:rPr>
          <w:rFonts w:hint="eastAsia"/>
          <w:color w:val="auto"/>
          <w:highlight w:val="none"/>
        </w:rPr>
        <w:t>附件4               报价明细表</w:t>
      </w:r>
      <w:bookmarkEnd w:id="74"/>
      <w:bookmarkEnd w:id="75"/>
    </w:p>
    <w:p>
      <w:pPr>
        <w:widowControl/>
        <w:wordWrap w:val="0"/>
        <w:snapToGrid w:val="0"/>
        <w:spacing w:before="50" w:after="50"/>
        <w:ind w:left="-3" w:leftChars="-72" w:right="-817" w:rightChars="-389" w:hanging="148" w:hangingChars="62"/>
        <w:jc w:val="left"/>
        <w:rPr>
          <w:rFonts w:ascii="宋体" w:hAnsi="宋体" w:cs="宋体"/>
          <w:color w:val="auto"/>
          <w:kern w:val="0"/>
          <w:sz w:val="24"/>
          <w:highlight w:val="none"/>
        </w:rPr>
      </w:pPr>
      <w:r>
        <w:rPr>
          <w:rFonts w:hint="eastAsia"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金额单位：人民币（元）</w:t>
      </w:r>
    </w:p>
    <w:tbl>
      <w:tblPr>
        <w:tblStyle w:val="32"/>
        <w:tblW w:w="8301"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012"/>
        <w:gridCol w:w="1172"/>
        <w:gridCol w:w="1494"/>
        <w:gridCol w:w="1026"/>
        <w:gridCol w:w="1127"/>
        <w:gridCol w:w="9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54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2012" w:type="dxa"/>
            <w:tcBorders>
              <w:top w:val="single" w:color="auto" w:sz="4" w:space="0"/>
              <w:left w:val="single" w:color="auto" w:sz="4" w:space="0"/>
              <w:bottom w:val="nil"/>
              <w:right w:val="single" w:color="auto" w:sz="4" w:space="0"/>
            </w:tcBorders>
            <w:vAlign w:val="center"/>
          </w:tcPr>
          <w:p>
            <w:pPr>
              <w:widowControl/>
              <w:snapToGrid w:val="0"/>
              <w:spacing w:before="50" w:after="50"/>
              <w:jc w:val="center"/>
              <w:rPr>
                <w:rFonts w:ascii="宋体" w:hAnsi="宋体" w:cs="宋体"/>
                <w:color w:val="auto"/>
                <w:kern w:val="0"/>
                <w:sz w:val="24"/>
                <w:highlight w:val="none"/>
              </w:rPr>
            </w:pPr>
            <w:r>
              <w:rPr>
                <w:rFonts w:hint="eastAsia" w:ascii="宋体" w:hAnsi="宋体" w:cs="宋体"/>
                <w:color w:val="auto"/>
                <w:kern w:val="0"/>
                <w:sz w:val="24"/>
                <w:highlight w:val="none"/>
              </w:rPr>
              <w:t>货物名称</w:t>
            </w:r>
          </w:p>
        </w:tc>
        <w:tc>
          <w:tcPr>
            <w:tcW w:w="1172"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品牌</w:t>
            </w:r>
          </w:p>
        </w:tc>
        <w:tc>
          <w:tcPr>
            <w:tcW w:w="1494"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spacing w:val="20"/>
                <w:kern w:val="0"/>
                <w:sz w:val="24"/>
                <w:highlight w:val="none"/>
                <w:lang w:val="en-US" w:eastAsia="zh-CN"/>
              </w:rPr>
            </w:pPr>
            <w:r>
              <w:rPr>
                <w:rFonts w:hint="eastAsia" w:ascii="宋体" w:hAnsi="宋体" w:cs="宋体"/>
                <w:color w:val="auto"/>
                <w:kern w:val="0"/>
                <w:sz w:val="24"/>
                <w:highlight w:val="none"/>
              </w:rPr>
              <w:t>规格/</w:t>
            </w:r>
            <w:r>
              <w:rPr>
                <w:rFonts w:hint="eastAsia" w:ascii="宋体" w:hAnsi="宋体" w:cs="宋体"/>
                <w:color w:val="auto"/>
                <w:kern w:val="0"/>
                <w:sz w:val="24"/>
                <w:highlight w:val="none"/>
                <w:lang w:val="en-US" w:eastAsia="zh-CN"/>
              </w:rPr>
              <w:t>型号</w:t>
            </w:r>
          </w:p>
        </w:tc>
        <w:tc>
          <w:tcPr>
            <w:tcW w:w="102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单位</w:t>
            </w:r>
          </w:p>
        </w:tc>
        <w:tc>
          <w:tcPr>
            <w:tcW w:w="112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数量</w:t>
            </w:r>
          </w:p>
        </w:tc>
        <w:tc>
          <w:tcPr>
            <w:tcW w:w="93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spacing w:val="20"/>
                <w:kern w:val="0"/>
                <w:sz w:val="24"/>
                <w:highlight w:val="none"/>
              </w:rPr>
              <w:t xml:space="preserve">…… </w:t>
            </w: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1" w:type="dxa"/>
            <w:gridSpan w:val="6"/>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rPr>
              <w:t>投标总价(</w:t>
            </w:r>
            <w:r>
              <w:rPr>
                <w:rFonts w:hint="eastAsia" w:ascii="宋体" w:hAnsi="宋体" w:cs="宋体"/>
                <w:color w:val="auto"/>
                <w:kern w:val="0"/>
                <w:sz w:val="24"/>
                <w:szCs w:val="21"/>
                <w:highlight w:val="none"/>
              </w:rPr>
              <w:t>大写)：</w:t>
            </w:r>
          </w:p>
        </w:tc>
        <w:tc>
          <w:tcPr>
            <w:tcW w:w="930"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auto"/>
                <w:spacing w:val="20"/>
                <w:kern w:val="0"/>
                <w:sz w:val="24"/>
                <w:highlight w:val="none"/>
                <w:lang w:val="en-US" w:eastAsia="zh-CN"/>
              </w:rPr>
            </w:pPr>
            <w:r>
              <w:rPr>
                <w:rFonts w:hint="eastAsia" w:ascii="宋体" w:hAnsi="宋体" w:cs="宋体"/>
                <w:color w:val="auto"/>
                <w:kern w:val="0"/>
                <w:sz w:val="24"/>
                <w:szCs w:val="21"/>
                <w:highlight w:val="none"/>
              </w:rPr>
              <w:t>￥</w:t>
            </w: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color w:val="auto"/>
          <w:highlight w:val="none"/>
        </w:rPr>
      </w:pPr>
      <w:r>
        <w:rPr>
          <w:rFonts w:hint="eastAsia" w:ascii="宋体" w:hAnsi="宋体" w:cs="宋体"/>
          <w:color w:val="auto"/>
          <w:kern w:val="0"/>
          <w:sz w:val="24"/>
          <w:highlight w:val="none"/>
        </w:rPr>
        <w:t>年    月    日</w:t>
      </w:r>
    </w:p>
    <w:p>
      <w:pPr>
        <w:pStyle w:val="8"/>
        <w:rPr>
          <w:color w:val="auto"/>
          <w:highlight w:val="none"/>
        </w:rPr>
      </w:pPr>
      <w:r>
        <w:rPr>
          <w:rFonts w:hint="eastAsia"/>
          <w:color w:val="auto"/>
          <w:highlight w:val="none"/>
        </w:rPr>
        <w:br w:type="page"/>
      </w:r>
      <w:bookmarkStart w:id="76" w:name="_Toc15804"/>
      <w:bookmarkStart w:id="77" w:name="_Toc226"/>
      <w:r>
        <w:rPr>
          <w:rFonts w:hint="eastAsia"/>
          <w:color w:val="auto"/>
          <w:highlight w:val="none"/>
        </w:rPr>
        <w:t>附件5               技术响应表（格式）</w:t>
      </w:r>
      <w:bookmarkEnd w:id="76"/>
      <w:bookmarkEnd w:id="77"/>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val="en-US" w:eastAsia="zh-CN"/>
        </w:rPr>
        <w:t xml:space="preserve"> </w:t>
      </w:r>
    </w:p>
    <w:tbl>
      <w:tblPr>
        <w:tblStyle w:val="33"/>
        <w:tblpPr w:leftFromText="180" w:rightFromText="180" w:vertAnchor="text" w:horzAnchor="page" w:tblpX="1410" w:tblpY="53"/>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712"/>
        <w:gridCol w:w="2114"/>
        <w:gridCol w:w="2273"/>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69" w:type="dxa"/>
            <w:vAlign w:val="center"/>
          </w:tcPr>
          <w:p>
            <w:pPr>
              <w:jc w:val="center"/>
              <w:rPr>
                <w:color w:val="auto"/>
                <w:sz w:val="24"/>
                <w:highlight w:val="none"/>
              </w:rPr>
            </w:pPr>
            <w:r>
              <w:rPr>
                <w:rFonts w:hint="eastAsia"/>
                <w:color w:val="auto"/>
                <w:sz w:val="24"/>
                <w:highlight w:val="none"/>
              </w:rPr>
              <w:t>序号</w:t>
            </w:r>
          </w:p>
        </w:tc>
        <w:tc>
          <w:tcPr>
            <w:tcW w:w="1712" w:type="dxa"/>
            <w:vAlign w:val="center"/>
          </w:tcPr>
          <w:p>
            <w:pPr>
              <w:jc w:val="center"/>
              <w:rPr>
                <w:color w:val="auto"/>
                <w:sz w:val="24"/>
                <w:highlight w:val="none"/>
              </w:rPr>
            </w:pPr>
            <w:r>
              <w:rPr>
                <w:rFonts w:hint="eastAsia"/>
                <w:color w:val="auto"/>
                <w:sz w:val="24"/>
                <w:highlight w:val="none"/>
              </w:rPr>
              <w:t>货物名称</w:t>
            </w:r>
          </w:p>
        </w:tc>
        <w:tc>
          <w:tcPr>
            <w:tcW w:w="2114" w:type="dxa"/>
            <w:vAlign w:val="center"/>
          </w:tcPr>
          <w:p>
            <w:pPr>
              <w:spacing w:line="360" w:lineRule="auto"/>
              <w:jc w:val="center"/>
              <w:rPr>
                <w:color w:val="auto"/>
                <w:sz w:val="24"/>
                <w:highlight w:val="none"/>
              </w:rPr>
            </w:pP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rPr>
              <w:t>文件要求</w:t>
            </w:r>
          </w:p>
        </w:tc>
        <w:tc>
          <w:tcPr>
            <w:tcW w:w="2273"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投标文件响应</w:t>
            </w:r>
          </w:p>
        </w:tc>
        <w:tc>
          <w:tcPr>
            <w:tcW w:w="195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1</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color w:val="auto"/>
                <w:sz w:val="24"/>
                <w:highlight w:val="none"/>
              </w:rPr>
            </w:pPr>
          </w:p>
        </w:tc>
        <w:tc>
          <w:tcPr>
            <w:tcW w:w="1952" w:type="dxa"/>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2</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3</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4</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w:t>
            </w:r>
          </w:p>
        </w:tc>
        <w:tc>
          <w:tcPr>
            <w:tcW w:w="1712" w:type="dxa"/>
            <w:vAlign w:val="center"/>
          </w:tcPr>
          <w:p>
            <w:pPr>
              <w:jc w:val="center"/>
              <w:rPr>
                <w:color w:val="auto"/>
                <w:sz w:val="24"/>
                <w:highlight w:val="none"/>
              </w:rPr>
            </w:pPr>
          </w:p>
        </w:tc>
        <w:tc>
          <w:tcPr>
            <w:tcW w:w="2114" w:type="dxa"/>
            <w:vAlign w:val="center"/>
          </w:tcPr>
          <w:p>
            <w:pPr>
              <w:jc w:val="center"/>
              <w:rPr>
                <w:bCs/>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bl>
    <w:p>
      <w:pPr>
        <w:rPr>
          <w:b/>
          <w:color w:val="auto"/>
          <w:kern w:val="0"/>
          <w:sz w:val="24"/>
          <w:highlight w:val="none"/>
        </w:rPr>
      </w:pPr>
    </w:p>
    <w:p>
      <w:pPr>
        <w:widowControl/>
        <w:wordWrap w:val="0"/>
        <w:spacing w:before="50" w:after="50" w:line="480" w:lineRule="auto"/>
        <w:jc w:val="left"/>
        <w:rPr>
          <w:rFonts w:ascii="宋体" w:hAnsi="宋体" w:cs="宋体"/>
          <w:bCs/>
          <w:color w:val="auto"/>
          <w:kern w:val="0"/>
          <w:sz w:val="24"/>
          <w:highlight w:val="none"/>
        </w:rPr>
      </w:pPr>
      <w:r>
        <w:rPr>
          <w:rFonts w:hint="eastAsia" w:ascii="宋体" w:hAnsi="宋体" w:cs="宋体"/>
          <w:bCs/>
          <w:color w:val="auto"/>
          <w:kern w:val="0"/>
          <w:sz w:val="24"/>
          <w:highlight w:val="none"/>
        </w:rPr>
        <w:t>注：投标人必须如实完整填写表格， “偏离情况”是指“正偏离”、“负偏离”或“无偏离”。</w:t>
      </w:r>
    </w:p>
    <w:p>
      <w:pPr>
        <w:pStyle w:val="52"/>
        <w:rPr>
          <w:bCs/>
          <w:color w:val="auto"/>
          <w:kern w:val="0"/>
          <w:highlight w:val="none"/>
        </w:rPr>
      </w:pPr>
    </w:p>
    <w:p>
      <w:pPr>
        <w:pStyle w:val="52"/>
        <w:rPr>
          <w:bCs/>
          <w:color w:val="auto"/>
          <w:kern w:val="0"/>
          <w:highlight w:val="none"/>
        </w:rPr>
      </w:pPr>
    </w:p>
    <w:p>
      <w:pPr>
        <w:pStyle w:val="52"/>
        <w:rPr>
          <w:bCs/>
          <w:color w:val="auto"/>
          <w:kern w:val="0"/>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hint="eastAsia" w:ascii="Arial" w:hAnsi="Arial" w:eastAsia="新宋体"/>
          <w:b/>
          <w:color w:val="auto"/>
          <w:sz w:val="28"/>
          <w:highlight w:val="none"/>
          <w:lang w:eastAsia="zh-CN"/>
        </w:rPr>
      </w:pPr>
      <w:bookmarkStart w:id="78" w:name="_Toc29960"/>
      <w:bookmarkStart w:id="79" w:name="_Toc20420"/>
      <w:r>
        <w:rPr>
          <w:rFonts w:hint="eastAsia" w:ascii="Arial" w:hAnsi="Arial" w:eastAsia="新宋体"/>
          <w:b/>
          <w:color w:val="auto"/>
          <w:sz w:val="28"/>
          <w:highlight w:val="none"/>
        </w:rPr>
        <w:t>附件6               商务响应</w:t>
      </w:r>
      <w:bookmarkEnd w:id="78"/>
      <w:bookmarkEnd w:id="79"/>
      <w:r>
        <w:rPr>
          <w:rFonts w:hint="eastAsia" w:ascii="Arial" w:hAnsi="Arial" w:eastAsia="新宋体"/>
          <w:b/>
          <w:color w:val="auto"/>
          <w:sz w:val="28"/>
          <w:highlight w:val="none"/>
          <w:lang w:val="en-US" w:eastAsia="zh-CN"/>
        </w:rPr>
        <w:t>部分</w:t>
      </w:r>
    </w:p>
    <w:p>
      <w:pPr>
        <w:widowControl/>
        <w:wordWrap w:val="0"/>
        <w:snapToGrid w:val="0"/>
        <w:spacing w:before="50" w:afterLines="50"/>
        <w:jc w:val="left"/>
        <w:rPr>
          <w:rFonts w:cs="宋体"/>
          <w:color w:val="auto"/>
          <w:kern w:val="0"/>
          <w:sz w:val="24"/>
          <w:highlight w:val="none"/>
        </w:rPr>
      </w:pPr>
    </w:p>
    <w:p>
      <w:pPr>
        <w:widowControl/>
        <w:wordWrap w:val="0"/>
        <w:spacing w:line="460" w:lineRule="exact"/>
        <w:ind w:firstLine="480" w:firstLineChars="200"/>
        <w:jc w:val="left"/>
        <w:rPr>
          <w:rFonts w:hint="default" w:ascii="宋体" w:hAnsi="宋体" w:eastAsia="宋体" w:cs="宋体"/>
          <w:b/>
          <w:color w:val="auto"/>
          <w:kern w:val="0"/>
          <w:sz w:val="32"/>
          <w:szCs w:val="32"/>
          <w:highlight w:val="none"/>
          <w:lang w:val="en-US" w:eastAsia="zh-CN"/>
        </w:rPr>
      </w:pPr>
      <w:r>
        <w:rPr>
          <w:rFonts w:hint="eastAsia" w:cs="宋体"/>
          <w:color w:val="auto"/>
          <w:kern w:val="0"/>
          <w:sz w:val="24"/>
          <w:highlight w:val="none"/>
          <w:lang w:eastAsia="zh-CN"/>
        </w:rPr>
        <w:t xml:space="preserve"> </w:t>
      </w:r>
      <w:r>
        <w:rPr>
          <w:rFonts w:hint="eastAsia" w:ascii="宋体" w:hAnsi="宋体" w:cs="宋体"/>
          <w:b/>
          <w:color w:val="auto"/>
          <w:kern w:val="0"/>
          <w:sz w:val="32"/>
          <w:szCs w:val="32"/>
          <w:highlight w:val="none"/>
          <w:lang w:val="en-US" w:eastAsia="zh-CN"/>
        </w:rPr>
        <w:t>商务部分相关证明文件</w:t>
      </w:r>
    </w:p>
    <w:p>
      <w:pPr>
        <w:widowControl/>
        <w:wordWrap w:val="0"/>
        <w:snapToGrid w:val="0"/>
        <w:spacing w:before="156" w:after="156"/>
        <w:ind w:firstLine="420"/>
        <w:jc w:val="center"/>
        <w:rPr>
          <w:rFonts w:ascii="宋体" w:hAnsi="宋体" w:cs="宋体"/>
          <w:b/>
          <w:color w:val="auto"/>
          <w:kern w:val="0"/>
          <w:sz w:val="32"/>
          <w:szCs w:val="32"/>
          <w:highlight w:val="none"/>
        </w:rPr>
      </w:pPr>
    </w:p>
    <w:p>
      <w:pPr>
        <w:widowControl/>
        <w:wordWrap w:val="0"/>
        <w:spacing w:line="460" w:lineRule="exact"/>
        <w:jc w:val="left"/>
        <w:rPr>
          <w:rFonts w:cs="宋体"/>
          <w:b/>
          <w:color w:val="auto"/>
          <w:kern w:val="0"/>
          <w:sz w:val="24"/>
          <w:highlight w:val="none"/>
        </w:rPr>
      </w:pPr>
    </w:p>
    <w:p>
      <w:pPr>
        <w:widowControl/>
        <w:wordWrap w:val="0"/>
        <w:spacing w:line="460" w:lineRule="exact"/>
        <w:jc w:val="left"/>
        <w:rPr>
          <w:rFonts w:cs="宋体"/>
          <w:b/>
          <w:color w:val="auto"/>
          <w:kern w:val="0"/>
          <w:sz w:val="24"/>
          <w:highlight w:val="none"/>
        </w:rPr>
      </w:pPr>
    </w:p>
    <w:p>
      <w:pPr>
        <w:pStyle w:val="8"/>
        <w:rPr>
          <w:rFonts w:cs="宋体"/>
          <w:b/>
          <w:color w:val="auto"/>
          <w:kern w:val="0"/>
          <w:sz w:val="24"/>
          <w:highlight w:val="none"/>
        </w:rPr>
      </w:pPr>
    </w:p>
    <w:p>
      <w:pPr>
        <w:rPr>
          <w:rFonts w:cs="宋体"/>
          <w:b/>
          <w:color w:val="auto"/>
          <w:kern w:val="0"/>
          <w:sz w:val="24"/>
          <w:highlight w:val="none"/>
        </w:rPr>
      </w:pPr>
    </w:p>
    <w:p>
      <w:pPr>
        <w:pStyle w:val="8"/>
        <w:rPr>
          <w:rFonts w:cs="宋体"/>
          <w:b/>
          <w:color w:val="auto"/>
          <w:kern w:val="0"/>
          <w:sz w:val="24"/>
          <w:highlight w:val="none"/>
        </w:rPr>
      </w:pPr>
    </w:p>
    <w:p>
      <w:pPr>
        <w:rPr>
          <w:rFonts w:cs="宋体"/>
          <w:b/>
          <w:color w:val="auto"/>
          <w:kern w:val="0"/>
          <w:sz w:val="24"/>
          <w:highlight w:val="none"/>
        </w:rPr>
      </w:pPr>
    </w:p>
    <w:p>
      <w:pPr>
        <w:pStyle w:val="8"/>
        <w:rPr>
          <w:rFonts w:cs="宋体"/>
          <w:b/>
          <w:color w:val="auto"/>
          <w:kern w:val="0"/>
          <w:sz w:val="24"/>
          <w:highlight w:val="none"/>
        </w:rPr>
      </w:pPr>
    </w:p>
    <w:p>
      <w:pPr>
        <w:rPr>
          <w:rFonts w:cs="宋体"/>
          <w:b/>
          <w:color w:val="auto"/>
          <w:kern w:val="0"/>
          <w:sz w:val="24"/>
          <w:highlight w:val="none"/>
        </w:rPr>
      </w:pPr>
    </w:p>
    <w:p>
      <w:pPr>
        <w:pStyle w:val="8"/>
        <w:rPr>
          <w:rFonts w:cs="宋体"/>
          <w:b/>
          <w:color w:val="auto"/>
          <w:kern w:val="0"/>
          <w:sz w:val="24"/>
          <w:highlight w:val="none"/>
        </w:rPr>
      </w:pPr>
    </w:p>
    <w:p>
      <w:pPr>
        <w:rPr>
          <w:rFonts w:cs="宋体"/>
          <w:b/>
          <w:color w:val="auto"/>
          <w:kern w:val="0"/>
          <w:sz w:val="24"/>
          <w:highlight w:val="none"/>
        </w:rPr>
      </w:pPr>
    </w:p>
    <w:p>
      <w:pPr>
        <w:pStyle w:val="8"/>
        <w:rPr>
          <w:rFonts w:cs="宋体"/>
          <w:b/>
          <w:color w:val="auto"/>
          <w:kern w:val="0"/>
          <w:sz w:val="24"/>
          <w:highlight w:val="none"/>
        </w:rPr>
      </w:pPr>
    </w:p>
    <w:p>
      <w:pPr>
        <w:rPr>
          <w:rFonts w:cs="宋体"/>
          <w:b/>
          <w:color w:val="auto"/>
          <w:kern w:val="0"/>
          <w:sz w:val="24"/>
          <w:highlight w:val="none"/>
        </w:rPr>
      </w:pPr>
    </w:p>
    <w:p>
      <w:pPr>
        <w:pStyle w:val="8"/>
        <w:rPr>
          <w:rFonts w:cs="宋体"/>
          <w:b/>
          <w:color w:val="auto"/>
          <w:kern w:val="0"/>
          <w:sz w:val="24"/>
          <w:highlight w:val="none"/>
        </w:rPr>
      </w:pPr>
    </w:p>
    <w:p>
      <w:pPr>
        <w:rPr>
          <w:rFonts w:cs="宋体"/>
          <w:b/>
          <w:color w:val="auto"/>
          <w:kern w:val="0"/>
          <w:sz w:val="24"/>
          <w:highlight w:val="none"/>
        </w:rPr>
      </w:pPr>
    </w:p>
    <w:p>
      <w:pPr>
        <w:pStyle w:val="8"/>
        <w:rPr>
          <w:color w:val="auto"/>
        </w:rPr>
      </w:pPr>
    </w:p>
    <w:p>
      <w:pPr>
        <w:rPr>
          <w:rFonts w:cs="宋体"/>
          <w:b/>
          <w:color w:val="auto"/>
          <w:kern w:val="0"/>
          <w:sz w:val="24"/>
          <w:highlight w:val="none"/>
        </w:rPr>
      </w:pPr>
      <w:r>
        <w:rPr>
          <w:rFonts w:cs="宋体"/>
          <w:b/>
          <w:color w:val="auto"/>
          <w:kern w:val="0"/>
          <w:sz w:val="24"/>
          <w:highlight w:val="none"/>
        </w:rPr>
        <w:br w:type="page"/>
      </w:r>
    </w:p>
    <w:p>
      <w:pPr>
        <w:pStyle w:val="2"/>
        <w:rPr>
          <w:color w:val="auto"/>
        </w:rPr>
      </w:pPr>
    </w:p>
    <w:p>
      <w:pPr>
        <w:widowControl/>
        <w:wordWrap w:val="0"/>
        <w:spacing w:line="460" w:lineRule="exact"/>
        <w:jc w:val="left"/>
        <w:outlineLvl w:val="0"/>
        <w:rPr>
          <w:rFonts w:ascii="Arial" w:hAnsi="Arial" w:eastAsia="新宋体"/>
          <w:b/>
          <w:color w:val="auto"/>
          <w:sz w:val="28"/>
          <w:highlight w:val="none"/>
        </w:rPr>
      </w:pPr>
      <w:bookmarkStart w:id="80" w:name="_Toc28621"/>
      <w:bookmarkStart w:id="81" w:name="_Toc31526"/>
      <w:r>
        <w:rPr>
          <w:rFonts w:hint="eastAsia" w:ascii="Arial" w:hAnsi="Arial" w:eastAsia="新宋体"/>
          <w:b/>
          <w:color w:val="auto"/>
          <w:sz w:val="28"/>
          <w:highlight w:val="none"/>
        </w:rPr>
        <w:t>附件7               法定代表人身份证明（格式）</w:t>
      </w:r>
      <w:bookmarkEnd w:id="80"/>
      <w:bookmarkEnd w:id="81"/>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2"/>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2"/>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82" w:name="_Toc13976"/>
      <w:bookmarkStart w:id="83" w:name="_Toc30519"/>
      <w:r>
        <w:rPr>
          <w:rFonts w:hint="eastAsia" w:ascii="Arial" w:hAnsi="Arial" w:eastAsia="新宋体"/>
          <w:b/>
          <w:color w:val="auto"/>
          <w:sz w:val="28"/>
          <w:highlight w:val="none"/>
        </w:rPr>
        <w:t>附件8               法定代表人授权书（格式）</w:t>
      </w:r>
      <w:bookmarkEnd w:id="82"/>
      <w:bookmarkEnd w:id="83"/>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2"/>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84" w:name="_Toc18105"/>
      <w:bookmarkStart w:id="85" w:name="_Toc24693"/>
      <w:r>
        <w:rPr>
          <w:rFonts w:hint="eastAsia" w:ascii="Arial" w:hAnsi="Arial" w:eastAsia="新宋体"/>
          <w:b/>
          <w:color w:val="auto"/>
          <w:sz w:val="28"/>
          <w:highlight w:val="none"/>
        </w:rPr>
        <w:t>附件9               证明文件</w:t>
      </w:r>
      <w:bookmarkEnd w:id="84"/>
      <w:bookmarkEnd w:id="85"/>
    </w:p>
    <w:p>
      <w:pPr>
        <w:pStyle w:val="12"/>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12"/>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12"/>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6" w:name="_Toc17966"/>
    </w:p>
    <w:p>
      <w:pPr>
        <w:pStyle w:val="12"/>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12"/>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12"/>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7" w:name="_Toc12888"/>
      <w:bookmarkStart w:id="88" w:name="_Toc13726"/>
      <w:r>
        <w:rPr>
          <w:rFonts w:hint="eastAsia" w:ascii="宋体" w:hAnsi="宋体" w:cs="Lucida Sans Unicode"/>
          <w:b/>
          <w:color w:val="auto"/>
          <w:kern w:val="0"/>
          <w:sz w:val="28"/>
          <w:szCs w:val="28"/>
          <w:highlight w:val="none"/>
        </w:rPr>
        <w:t xml:space="preserve">附件10        </w:t>
      </w:r>
      <w:bookmarkEnd w:id="86"/>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7"/>
      <w:bookmarkEnd w:id="88"/>
    </w:p>
    <w:p>
      <w:pPr>
        <w:bidi w:val="0"/>
        <w:rPr>
          <w:color w:val="auto"/>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lang w:val="en-US" w:eastAsia="zh-CN"/>
        </w:rPr>
        <w:t>公司名称</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color w:val="auto"/>
          <w:sz w:val="28"/>
          <w:szCs w:val="28"/>
        </w:rPr>
      </w:pPr>
      <w:r>
        <w:rPr>
          <w:rFonts w:hint="eastAsia" w:ascii="宋体" w:hAnsi="宋体" w:eastAsia="宋体" w:cs="宋体"/>
          <w:color w:val="auto"/>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pStyle w:val="48"/>
        <w:rPr>
          <w:color w:val="auto"/>
        </w:rPr>
      </w:pPr>
    </w:p>
    <w:p>
      <w:pPr>
        <w:widowControl/>
        <w:snapToGrid w:val="0"/>
        <w:spacing w:line="360" w:lineRule="auto"/>
        <w:jc w:val="center"/>
        <w:outlineLvl w:val="0"/>
        <w:rPr>
          <w:rFonts w:ascii="宋体" w:hAnsi="宋体" w:cs="Lucida Sans Unicode"/>
          <w:b/>
          <w:color w:val="auto"/>
          <w:kern w:val="0"/>
          <w:sz w:val="24"/>
          <w:highlight w:val="none"/>
        </w:rPr>
      </w:pPr>
      <w:bookmarkStart w:id="89" w:name="_Toc23394"/>
      <w:bookmarkStart w:id="90" w:name="_Toc25094"/>
      <w:r>
        <w:rPr>
          <w:rFonts w:hint="eastAsia" w:ascii="宋体" w:hAnsi="宋体" w:cs="Lucida Sans Unicode"/>
          <w:b/>
          <w:color w:val="auto"/>
          <w:kern w:val="0"/>
          <w:sz w:val="24"/>
          <w:highlight w:val="none"/>
        </w:rPr>
        <w:t>投标人认为有必要的其他资料</w:t>
      </w:r>
      <w:bookmarkEnd w:id="89"/>
      <w:bookmarkEnd w:id="90"/>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12"/>
        <w:spacing w:beforeAutospacing="0" w:afterAutospacing="0" w:line="460" w:lineRule="atLeast"/>
        <w:jc w:val="center"/>
        <w:rPr>
          <w:b/>
          <w:bCs/>
          <w:color w:val="auto"/>
          <w:sz w:val="28"/>
          <w:szCs w:val="28"/>
          <w:highlight w:val="none"/>
        </w:rPr>
      </w:pPr>
    </w:p>
    <w:p>
      <w:pPr>
        <w:pStyle w:val="12"/>
        <w:spacing w:beforeAutospacing="0" w:afterAutospacing="0" w:line="460" w:lineRule="atLeast"/>
        <w:jc w:val="center"/>
        <w:rPr>
          <w:b/>
          <w:bCs/>
          <w:color w:val="auto"/>
          <w:sz w:val="28"/>
          <w:szCs w:val="28"/>
          <w:highlight w:val="none"/>
        </w:rPr>
      </w:pPr>
    </w:p>
    <w:p>
      <w:pPr>
        <w:pStyle w:val="12"/>
        <w:spacing w:beforeAutospacing="0" w:afterAutospacing="0" w:line="460" w:lineRule="atLeast"/>
        <w:jc w:val="center"/>
        <w:rPr>
          <w:b/>
          <w:bCs/>
          <w:color w:val="auto"/>
          <w:sz w:val="28"/>
          <w:szCs w:val="28"/>
          <w:highlight w:val="none"/>
        </w:rPr>
      </w:pPr>
    </w:p>
    <w:p>
      <w:pPr>
        <w:pStyle w:val="12"/>
        <w:spacing w:beforeAutospacing="0" w:afterAutospacing="0" w:line="460" w:lineRule="atLeast"/>
        <w:jc w:val="center"/>
        <w:rPr>
          <w:b/>
          <w:bCs/>
          <w:color w:val="auto"/>
          <w:sz w:val="28"/>
          <w:szCs w:val="28"/>
          <w:highlight w:val="none"/>
        </w:rPr>
      </w:pPr>
    </w:p>
    <w:p>
      <w:pPr>
        <w:pStyle w:val="12"/>
        <w:spacing w:beforeAutospacing="0" w:afterAutospacing="0" w:line="460" w:lineRule="atLeast"/>
        <w:jc w:val="center"/>
        <w:rPr>
          <w:b/>
          <w:bCs/>
          <w:color w:val="auto"/>
          <w:sz w:val="28"/>
          <w:szCs w:val="28"/>
          <w:highlight w:val="none"/>
        </w:rPr>
      </w:pPr>
    </w:p>
    <w:p>
      <w:pPr>
        <w:pStyle w:val="12"/>
        <w:spacing w:beforeAutospacing="0" w:afterAutospacing="0" w:line="460" w:lineRule="atLeast"/>
        <w:jc w:val="center"/>
        <w:rPr>
          <w:b/>
          <w:bCs/>
          <w:color w:val="auto"/>
          <w:sz w:val="28"/>
          <w:szCs w:val="28"/>
          <w:highlight w:val="none"/>
        </w:rPr>
      </w:pPr>
    </w:p>
    <w:p>
      <w:pPr>
        <w:pStyle w:val="12"/>
        <w:spacing w:beforeAutospacing="0" w:afterAutospacing="0" w:line="460" w:lineRule="atLeast"/>
        <w:jc w:val="center"/>
        <w:rPr>
          <w:b/>
          <w:bCs/>
          <w:color w:val="auto"/>
          <w:sz w:val="28"/>
          <w:szCs w:val="28"/>
          <w:highlight w:val="none"/>
        </w:rPr>
      </w:pPr>
    </w:p>
    <w:p>
      <w:pPr>
        <w:pStyle w:val="12"/>
        <w:spacing w:beforeAutospacing="0" w:afterAutospacing="0" w:line="460" w:lineRule="atLeast"/>
        <w:jc w:val="center"/>
        <w:rPr>
          <w:b/>
          <w:bCs/>
          <w:color w:val="auto"/>
          <w:sz w:val="28"/>
          <w:szCs w:val="28"/>
          <w:highlight w:val="none"/>
        </w:rPr>
      </w:pPr>
    </w:p>
    <w:p>
      <w:pPr>
        <w:pStyle w:val="12"/>
        <w:spacing w:beforeAutospacing="0" w:afterAutospacing="0" w:line="460" w:lineRule="atLeast"/>
        <w:jc w:val="center"/>
        <w:rPr>
          <w:b/>
          <w:bCs/>
          <w:color w:val="auto"/>
          <w:sz w:val="28"/>
          <w:szCs w:val="28"/>
          <w:highlight w:val="none"/>
        </w:rPr>
      </w:pPr>
    </w:p>
    <w:p>
      <w:pPr>
        <w:pStyle w:val="12"/>
        <w:spacing w:beforeAutospacing="0" w:afterAutospacing="0" w:line="460" w:lineRule="atLeast"/>
        <w:jc w:val="center"/>
        <w:rPr>
          <w:b/>
          <w:bCs/>
          <w:color w:val="auto"/>
          <w:sz w:val="28"/>
          <w:szCs w:val="28"/>
          <w:highlight w:val="none"/>
        </w:rPr>
      </w:pPr>
    </w:p>
    <w:p>
      <w:pPr>
        <w:pStyle w:val="12"/>
        <w:spacing w:beforeAutospacing="0" w:afterAutospacing="0" w:line="460" w:lineRule="atLeast"/>
        <w:jc w:val="center"/>
        <w:rPr>
          <w:b/>
          <w:bCs/>
          <w:color w:val="auto"/>
          <w:sz w:val="28"/>
          <w:szCs w:val="28"/>
          <w:highlight w:val="none"/>
        </w:rPr>
      </w:pPr>
    </w:p>
    <w:p>
      <w:pPr>
        <w:pStyle w:val="12"/>
        <w:spacing w:beforeAutospacing="0" w:afterAutospacing="0" w:line="460" w:lineRule="atLeast"/>
        <w:jc w:val="center"/>
        <w:rPr>
          <w:b/>
          <w:bCs/>
          <w:color w:val="auto"/>
          <w:sz w:val="28"/>
          <w:szCs w:val="28"/>
          <w:highlight w:val="none"/>
        </w:rPr>
      </w:pPr>
    </w:p>
    <w:p>
      <w:pPr>
        <w:pStyle w:val="12"/>
        <w:spacing w:beforeAutospacing="0" w:afterAutospacing="0" w:line="460" w:lineRule="atLeast"/>
        <w:jc w:val="center"/>
        <w:rPr>
          <w:b/>
          <w:bCs/>
          <w:color w:val="auto"/>
          <w:sz w:val="28"/>
          <w:szCs w:val="28"/>
          <w:highlight w:val="none"/>
        </w:rPr>
      </w:pPr>
    </w:p>
    <w:p>
      <w:pPr>
        <w:pStyle w:val="12"/>
        <w:spacing w:beforeAutospacing="0" w:afterAutospacing="0" w:line="460" w:lineRule="atLeast"/>
        <w:jc w:val="center"/>
        <w:rPr>
          <w:b/>
          <w:bCs/>
          <w:color w:val="auto"/>
          <w:sz w:val="28"/>
          <w:szCs w:val="28"/>
          <w:highlight w:val="none"/>
        </w:rPr>
      </w:pPr>
    </w:p>
    <w:p>
      <w:pPr>
        <w:pStyle w:val="12"/>
        <w:spacing w:beforeAutospacing="0" w:afterAutospacing="0" w:line="460" w:lineRule="atLeast"/>
        <w:jc w:val="center"/>
        <w:rPr>
          <w:b/>
          <w:bCs/>
          <w:color w:val="auto"/>
          <w:sz w:val="28"/>
          <w:szCs w:val="28"/>
          <w:highlight w:val="none"/>
        </w:rPr>
      </w:pPr>
    </w:p>
    <w:p>
      <w:pPr>
        <w:pStyle w:val="12"/>
        <w:spacing w:beforeAutospacing="0" w:afterAutospacing="0" w:line="460" w:lineRule="atLeast"/>
        <w:jc w:val="center"/>
        <w:rPr>
          <w:b/>
          <w:bCs/>
          <w:color w:val="auto"/>
          <w:sz w:val="28"/>
          <w:szCs w:val="28"/>
          <w:highlight w:val="none"/>
        </w:rPr>
      </w:pPr>
    </w:p>
    <w:p>
      <w:pPr>
        <w:pStyle w:val="12"/>
        <w:spacing w:beforeAutospacing="0" w:afterAutospacing="0" w:line="460" w:lineRule="atLeast"/>
        <w:jc w:val="both"/>
        <w:rPr>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right"/>
    </w:pPr>
    <w:r>
      <w:rPr>
        <w:rFonts w:hint="eastAsia" w:ascii="宋体" w:hAnsi="宋体" w:cs="宋体"/>
        <w:color w:val="auto"/>
        <w:lang w:eastAsia="zh-CN"/>
      </w:rPr>
      <w:t>驻马店市中心医院</w:t>
    </w:r>
    <w:r>
      <w:rPr>
        <w:rFonts w:hint="eastAsia" w:ascii="宋体" w:hAnsi="宋体" w:cs="宋体"/>
        <w:color w:val="auto"/>
        <w:lang w:val="en-US" w:eastAsia="zh-CN"/>
      </w:rPr>
      <w:t>输血科和GCP药房配备UPS电源采购</w:t>
    </w:r>
    <w:r>
      <w:rPr>
        <w:rFonts w:hint="eastAsia" w:ascii="宋体" w:hAnsi="宋体" w:cs="宋体"/>
        <w:color w:val="auto"/>
        <w:lang w:eastAsia="zh-CN"/>
      </w:rPr>
      <w:t>项目</w:t>
    </w:r>
    <w:r>
      <w:rPr>
        <w:rFonts w:hint="eastAsia" w:ascii="宋体" w:hAnsi="宋体" w:eastAsia="宋体" w:cs="宋体"/>
        <w:color w:val="auto"/>
        <w:lang w:val="en-US" w:eastAsia="zh-CN"/>
      </w:rPr>
      <w:t>采</w:t>
    </w:r>
    <w:r>
      <w:rPr>
        <w:rFonts w:hint="eastAsia" w:ascii="宋体" w:hAnsi="宋体" w:cs="宋体"/>
        <w:color w:val="auto"/>
        <w:szCs w:val="21"/>
        <w:highlight w:val="none"/>
        <w:u w:val="none"/>
        <w:shd w:val="clear" w:color="auto" w:fill="FFFFFF"/>
        <w:lang w:val="en-US" w:eastAsia="zh-CN"/>
      </w:rPr>
      <w:t>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right"/>
      <w:rPr>
        <w:rFonts w:hint="eastAsia" w:eastAsia="宋体"/>
        <w:lang w:val="en-US" w:eastAsia="zh-CN"/>
      </w:rPr>
    </w:pPr>
    <w:r>
      <w:rPr>
        <w:rFonts w:hint="eastAsia"/>
      </w:rPr>
      <w:t xml:space="preserve">                            </w:t>
    </w:r>
    <w:r>
      <w:rPr>
        <w:rFonts w:hint="eastAsia" w:ascii="宋体" w:hAnsi="宋体" w:cs="宋体"/>
        <w:color w:val="auto"/>
        <w:lang w:eastAsia="zh-CN"/>
      </w:rPr>
      <w:t>驻马店市中心医院</w:t>
    </w:r>
    <w:r>
      <w:rPr>
        <w:rFonts w:hint="eastAsia" w:ascii="宋体" w:hAnsi="宋体" w:cs="宋体"/>
        <w:color w:val="auto"/>
        <w:lang w:val="en-US" w:eastAsia="zh-CN"/>
      </w:rPr>
      <w:t>输血科和GCP药房配备UPS电源采购</w:t>
    </w:r>
    <w:r>
      <w:rPr>
        <w:rFonts w:hint="eastAsia" w:ascii="宋体" w:hAnsi="宋体" w:cs="宋体"/>
        <w:color w:val="auto"/>
        <w:lang w:eastAsia="zh-CN"/>
      </w:rPr>
      <w:t>项目</w:t>
    </w:r>
    <w:r>
      <w:rPr>
        <w:rFonts w:hint="eastAsia" w:ascii="宋体" w:hAnsi="宋体" w:eastAsia="宋体" w:cs="宋体"/>
        <w:color w:val="auto"/>
        <w:lang w:val="en-US" w:eastAsia="zh-CN"/>
      </w:rPr>
      <w:t>采</w:t>
    </w:r>
    <w:r>
      <w:rPr>
        <w:rFonts w:hint="eastAsia" w:ascii="宋体" w:hAnsi="宋体" w:cs="宋体"/>
        <w:color w:val="auto"/>
        <w:szCs w:val="21"/>
        <w:highlight w:val="none"/>
        <w:u w:val="none"/>
        <w:shd w:val="clear" w:color="auto" w:fill="FFFFFF"/>
        <w:lang w:val="en-US" w:eastAsia="zh-CN"/>
      </w:rPr>
      <w:t>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MTZjMjFkMjFjOGMwYTIzNWEzZDljNjYxZWI0MmY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76050"/>
    <w:rsid w:val="010C3DC8"/>
    <w:rsid w:val="01525212"/>
    <w:rsid w:val="01564054"/>
    <w:rsid w:val="017E6D95"/>
    <w:rsid w:val="01D715BE"/>
    <w:rsid w:val="01EB45BC"/>
    <w:rsid w:val="01FA63A5"/>
    <w:rsid w:val="02011C7D"/>
    <w:rsid w:val="02035523"/>
    <w:rsid w:val="021C6E40"/>
    <w:rsid w:val="02222FF2"/>
    <w:rsid w:val="02384FF4"/>
    <w:rsid w:val="023F67A9"/>
    <w:rsid w:val="025235B1"/>
    <w:rsid w:val="0262674D"/>
    <w:rsid w:val="02747B01"/>
    <w:rsid w:val="02890D36"/>
    <w:rsid w:val="02B349AE"/>
    <w:rsid w:val="02D92EF7"/>
    <w:rsid w:val="02DA4665"/>
    <w:rsid w:val="02F40325"/>
    <w:rsid w:val="031126C4"/>
    <w:rsid w:val="036A009A"/>
    <w:rsid w:val="03844805"/>
    <w:rsid w:val="03845791"/>
    <w:rsid w:val="03A011E9"/>
    <w:rsid w:val="03AE7F27"/>
    <w:rsid w:val="03BD2BCD"/>
    <w:rsid w:val="04070D64"/>
    <w:rsid w:val="04310280"/>
    <w:rsid w:val="0438160E"/>
    <w:rsid w:val="04416C20"/>
    <w:rsid w:val="047968B1"/>
    <w:rsid w:val="04870542"/>
    <w:rsid w:val="04CE3D21"/>
    <w:rsid w:val="05545DD3"/>
    <w:rsid w:val="056E2AD6"/>
    <w:rsid w:val="05806815"/>
    <w:rsid w:val="058251D3"/>
    <w:rsid w:val="05945CCE"/>
    <w:rsid w:val="059D05A4"/>
    <w:rsid w:val="059D5E17"/>
    <w:rsid w:val="05AB0A28"/>
    <w:rsid w:val="05AB0F81"/>
    <w:rsid w:val="05B93D6B"/>
    <w:rsid w:val="05D53002"/>
    <w:rsid w:val="05D75738"/>
    <w:rsid w:val="061E7D14"/>
    <w:rsid w:val="06560AED"/>
    <w:rsid w:val="066469C9"/>
    <w:rsid w:val="066646A1"/>
    <w:rsid w:val="06983B20"/>
    <w:rsid w:val="069A3B66"/>
    <w:rsid w:val="06B91765"/>
    <w:rsid w:val="06CA2AD2"/>
    <w:rsid w:val="06CE3071"/>
    <w:rsid w:val="06D33DBA"/>
    <w:rsid w:val="06E13F9F"/>
    <w:rsid w:val="06FB0AC5"/>
    <w:rsid w:val="070D2D5D"/>
    <w:rsid w:val="07111B8D"/>
    <w:rsid w:val="074A5B92"/>
    <w:rsid w:val="075E3193"/>
    <w:rsid w:val="078E18EB"/>
    <w:rsid w:val="07B10EA5"/>
    <w:rsid w:val="07CE3FA1"/>
    <w:rsid w:val="07EC2ECB"/>
    <w:rsid w:val="07FE66CB"/>
    <w:rsid w:val="080B4D47"/>
    <w:rsid w:val="08321601"/>
    <w:rsid w:val="083D5C91"/>
    <w:rsid w:val="0847191F"/>
    <w:rsid w:val="08591DC3"/>
    <w:rsid w:val="087C4541"/>
    <w:rsid w:val="087E5595"/>
    <w:rsid w:val="08C52D6F"/>
    <w:rsid w:val="08D01612"/>
    <w:rsid w:val="08EF0201"/>
    <w:rsid w:val="08F41DE8"/>
    <w:rsid w:val="09737462"/>
    <w:rsid w:val="099156C3"/>
    <w:rsid w:val="09A53F39"/>
    <w:rsid w:val="09A60E13"/>
    <w:rsid w:val="09D206F0"/>
    <w:rsid w:val="0A321AC2"/>
    <w:rsid w:val="0A343D4E"/>
    <w:rsid w:val="0A3E6D2E"/>
    <w:rsid w:val="0A6C3DC0"/>
    <w:rsid w:val="0AD13A85"/>
    <w:rsid w:val="0B091954"/>
    <w:rsid w:val="0B29141D"/>
    <w:rsid w:val="0B637D77"/>
    <w:rsid w:val="0BAC324F"/>
    <w:rsid w:val="0BF72F1E"/>
    <w:rsid w:val="0C3957A5"/>
    <w:rsid w:val="0C626DA7"/>
    <w:rsid w:val="0C6876AE"/>
    <w:rsid w:val="0C720EC8"/>
    <w:rsid w:val="0C942042"/>
    <w:rsid w:val="0C9D50DC"/>
    <w:rsid w:val="0CA5271D"/>
    <w:rsid w:val="0CAC4D10"/>
    <w:rsid w:val="0CC72121"/>
    <w:rsid w:val="0CEE5A21"/>
    <w:rsid w:val="0D0646E7"/>
    <w:rsid w:val="0D0C38CA"/>
    <w:rsid w:val="0DC577E0"/>
    <w:rsid w:val="0DDC6319"/>
    <w:rsid w:val="0E0C0D4C"/>
    <w:rsid w:val="0E115DA1"/>
    <w:rsid w:val="0E162D6D"/>
    <w:rsid w:val="0E541CA2"/>
    <w:rsid w:val="0E594756"/>
    <w:rsid w:val="0E884F40"/>
    <w:rsid w:val="0E95596D"/>
    <w:rsid w:val="0EAE6205"/>
    <w:rsid w:val="0EAE6579"/>
    <w:rsid w:val="0EAF71BF"/>
    <w:rsid w:val="0ECE6257"/>
    <w:rsid w:val="0EE4129D"/>
    <w:rsid w:val="0F171032"/>
    <w:rsid w:val="0F335E69"/>
    <w:rsid w:val="0F3D59C9"/>
    <w:rsid w:val="0F516D5A"/>
    <w:rsid w:val="0F565B36"/>
    <w:rsid w:val="0F821E7D"/>
    <w:rsid w:val="0FE7592C"/>
    <w:rsid w:val="0FFD20F0"/>
    <w:rsid w:val="103E6E57"/>
    <w:rsid w:val="1041497B"/>
    <w:rsid w:val="10425FF6"/>
    <w:rsid w:val="109010E6"/>
    <w:rsid w:val="10B271F4"/>
    <w:rsid w:val="10C8275C"/>
    <w:rsid w:val="10E03539"/>
    <w:rsid w:val="10E82D1F"/>
    <w:rsid w:val="10EE5C94"/>
    <w:rsid w:val="113329E7"/>
    <w:rsid w:val="113F294C"/>
    <w:rsid w:val="11437C85"/>
    <w:rsid w:val="1166372C"/>
    <w:rsid w:val="11700D10"/>
    <w:rsid w:val="1178125A"/>
    <w:rsid w:val="1196056D"/>
    <w:rsid w:val="11D34654"/>
    <w:rsid w:val="11DE0FD1"/>
    <w:rsid w:val="12010480"/>
    <w:rsid w:val="120E707F"/>
    <w:rsid w:val="127A7D1C"/>
    <w:rsid w:val="12836D8B"/>
    <w:rsid w:val="12AB0349"/>
    <w:rsid w:val="12CD57F1"/>
    <w:rsid w:val="12CE7AFA"/>
    <w:rsid w:val="12D67466"/>
    <w:rsid w:val="13272A5D"/>
    <w:rsid w:val="13493108"/>
    <w:rsid w:val="13733928"/>
    <w:rsid w:val="139C16C9"/>
    <w:rsid w:val="13B63CE1"/>
    <w:rsid w:val="13BC6684"/>
    <w:rsid w:val="13C72B3A"/>
    <w:rsid w:val="13DF575E"/>
    <w:rsid w:val="13EE3A98"/>
    <w:rsid w:val="142123F7"/>
    <w:rsid w:val="142A11D8"/>
    <w:rsid w:val="144B544C"/>
    <w:rsid w:val="145B7B45"/>
    <w:rsid w:val="14717443"/>
    <w:rsid w:val="148D52E3"/>
    <w:rsid w:val="14992B90"/>
    <w:rsid w:val="14AF1856"/>
    <w:rsid w:val="14AF19A3"/>
    <w:rsid w:val="14B53957"/>
    <w:rsid w:val="14C53ECE"/>
    <w:rsid w:val="14E002E6"/>
    <w:rsid w:val="14FC36BD"/>
    <w:rsid w:val="151E3A0F"/>
    <w:rsid w:val="1557566D"/>
    <w:rsid w:val="15811F1B"/>
    <w:rsid w:val="15A30135"/>
    <w:rsid w:val="15A34015"/>
    <w:rsid w:val="15E2236F"/>
    <w:rsid w:val="161D09ED"/>
    <w:rsid w:val="162323A3"/>
    <w:rsid w:val="162F30B1"/>
    <w:rsid w:val="16510F12"/>
    <w:rsid w:val="166448F9"/>
    <w:rsid w:val="1677211D"/>
    <w:rsid w:val="167954F9"/>
    <w:rsid w:val="16A060BA"/>
    <w:rsid w:val="16A57EAF"/>
    <w:rsid w:val="16AC6E3F"/>
    <w:rsid w:val="16C872D5"/>
    <w:rsid w:val="16D54FA3"/>
    <w:rsid w:val="16D84D9F"/>
    <w:rsid w:val="16E94D3E"/>
    <w:rsid w:val="170D06E0"/>
    <w:rsid w:val="17332185"/>
    <w:rsid w:val="17475951"/>
    <w:rsid w:val="179F2E61"/>
    <w:rsid w:val="17C227C0"/>
    <w:rsid w:val="18097740"/>
    <w:rsid w:val="185D3C42"/>
    <w:rsid w:val="185F38AF"/>
    <w:rsid w:val="18AD1BEB"/>
    <w:rsid w:val="18B3004A"/>
    <w:rsid w:val="18B96080"/>
    <w:rsid w:val="18F67868"/>
    <w:rsid w:val="190B2D88"/>
    <w:rsid w:val="190E6B63"/>
    <w:rsid w:val="19123928"/>
    <w:rsid w:val="19194264"/>
    <w:rsid w:val="19420786"/>
    <w:rsid w:val="19427EC0"/>
    <w:rsid w:val="195711D7"/>
    <w:rsid w:val="195D2A3F"/>
    <w:rsid w:val="198310E9"/>
    <w:rsid w:val="198D747A"/>
    <w:rsid w:val="19A15638"/>
    <w:rsid w:val="1A125525"/>
    <w:rsid w:val="1A5F4342"/>
    <w:rsid w:val="1A8C5D82"/>
    <w:rsid w:val="1A8E4C85"/>
    <w:rsid w:val="1A994988"/>
    <w:rsid w:val="1A9B546C"/>
    <w:rsid w:val="1AA3511F"/>
    <w:rsid w:val="1AAE3B54"/>
    <w:rsid w:val="1AC10987"/>
    <w:rsid w:val="1B0C5B32"/>
    <w:rsid w:val="1B0D3E82"/>
    <w:rsid w:val="1B1652AB"/>
    <w:rsid w:val="1B181CD5"/>
    <w:rsid w:val="1B265306"/>
    <w:rsid w:val="1B4F2450"/>
    <w:rsid w:val="1B8C18B7"/>
    <w:rsid w:val="1BB73AE1"/>
    <w:rsid w:val="1BDA6D68"/>
    <w:rsid w:val="1C555978"/>
    <w:rsid w:val="1C6554A1"/>
    <w:rsid w:val="1C7971B7"/>
    <w:rsid w:val="1CD402EC"/>
    <w:rsid w:val="1CD6156D"/>
    <w:rsid w:val="1CF02333"/>
    <w:rsid w:val="1D0C33A2"/>
    <w:rsid w:val="1D113E6E"/>
    <w:rsid w:val="1D114E5E"/>
    <w:rsid w:val="1D1F0050"/>
    <w:rsid w:val="1D2222DC"/>
    <w:rsid w:val="1D5B3CDE"/>
    <w:rsid w:val="1D6E2950"/>
    <w:rsid w:val="1D98209B"/>
    <w:rsid w:val="1DA23746"/>
    <w:rsid w:val="1DAA14B9"/>
    <w:rsid w:val="1DD04513"/>
    <w:rsid w:val="1E656063"/>
    <w:rsid w:val="1E6B06A5"/>
    <w:rsid w:val="1E7F7D9E"/>
    <w:rsid w:val="1E840DA4"/>
    <w:rsid w:val="1EA5444C"/>
    <w:rsid w:val="1EB350EF"/>
    <w:rsid w:val="1EC21749"/>
    <w:rsid w:val="1EEB7C4E"/>
    <w:rsid w:val="1F171B83"/>
    <w:rsid w:val="1F2D491A"/>
    <w:rsid w:val="1F7369C7"/>
    <w:rsid w:val="1F94547B"/>
    <w:rsid w:val="1FAF308C"/>
    <w:rsid w:val="1FC11109"/>
    <w:rsid w:val="1FEF08C8"/>
    <w:rsid w:val="1FF72E6A"/>
    <w:rsid w:val="201B3ED4"/>
    <w:rsid w:val="20310B02"/>
    <w:rsid w:val="206F0406"/>
    <w:rsid w:val="20784063"/>
    <w:rsid w:val="207E346A"/>
    <w:rsid w:val="208E12C3"/>
    <w:rsid w:val="209502A3"/>
    <w:rsid w:val="20B9460A"/>
    <w:rsid w:val="210F579E"/>
    <w:rsid w:val="212550B5"/>
    <w:rsid w:val="21484F14"/>
    <w:rsid w:val="21592B62"/>
    <w:rsid w:val="21747CD2"/>
    <w:rsid w:val="219E5782"/>
    <w:rsid w:val="21E72B0B"/>
    <w:rsid w:val="221F2D96"/>
    <w:rsid w:val="22246DB1"/>
    <w:rsid w:val="22440067"/>
    <w:rsid w:val="225A6017"/>
    <w:rsid w:val="227A5532"/>
    <w:rsid w:val="22843A03"/>
    <w:rsid w:val="22A338AB"/>
    <w:rsid w:val="22AD37A2"/>
    <w:rsid w:val="22B31E8A"/>
    <w:rsid w:val="22C735BD"/>
    <w:rsid w:val="23122833"/>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5301D"/>
    <w:rsid w:val="243D6E1A"/>
    <w:rsid w:val="24607F91"/>
    <w:rsid w:val="246C581B"/>
    <w:rsid w:val="247C52A2"/>
    <w:rsid w:val="248A785E"/>
    <w:rsid w:val="24B46637"/>
    <w:rsid w:val="24C04FDC"/>
    <w:rsid w:val="24CC106B"/>
    <w:rsid w:val="24D00598"/>
    <w:rsid w:val="24D725E9"/>
    <w:rsid w:val="25045F70"/>
    <w:rsid w:val="25056E93"/>
    <w:rsid w:val="25092EBA"/>
    <w:rsid w:val="25241020"/>
    <w:rsid w:val="256016AA"/>
    <w:rsid w:val="257572C3"/>
    <w:rsid w:val="25790E85"/>
    <w:rsid w:val="25972C60"/>
    <w:rsid w:val="259D1676"/>
    <w:rsid w:val="25A353EB"/>
    <w:rsid w:val="25B87B65"/>
    <w:rsid w:val="25CB78C3"/>
    <w:rsid w:val="25D54390"/>
    <w:rsid w:val="261879A7"/>
    <w:rsid w:val="264B0BA4"/>
    <w:rsid w:val="268C5256"/>
    <w:rsid w:val="268E455B"/>
    <w:rsid w:val="26912B30"/>
    <w:rsid w:val="269772F0"/>
    <w:rsid w:val="26A30712"/>
    <w:rsid w:val="26AC0C27"/>
    <w:rsid w:val="26C807A6"/>
    <w:rsid w:val="26DB67BA"/>
    <w:rsid w:val="26E311CD"/>
    <w:rsid w:val="26EF24ED"/>
    <w:rsid w:val="26F1408A"/>
    <w:rsid w:val="27015370"/>
    <w:rsid w:val="270B421F"/>
    <w:rsid w:val="274E2228"/>
    <w:rsid w:val="27517A93"/>
    <w:rsid w:val="276658E8"/>
    <w:rsid w:val="277E30D2"/>
    <w:rsid w:val="27803F2A"/>
    <w:rsid w:val="27A34941"/>
    <w:rsid w:val="283C23DF"/>
    <w:rsid w:val="284C16F5"/>
    <w:rsid w:val="28570AB5"/>
    <w:rsid w:val="28C2534B"/>
    <w:rsid w:val="28C5525A"/>
    <w:rsid w:val="28D14B96"/>
    <w:rsid w:val="29020C46"/>
    <w:rsid w:val="290240C7"/>
    <w:rsid w:val="29274EE0"/>
    <w:rsid w:val="2969197F"/>
    <w:rsid w:val="29746E87"/>
    <w:rsid w:val="297C03C2"/>
    <w:rsid w:val="299573AB"/>
    <w:rsid w:val="29BE5BD0"/>
    <w:rsid w:val="29C01572"/>
    <w:rsid w:val="29E74CE2"/>
    <w:rsid w:val="2A306A36"/>
    <w:rsid w:val="2A5372C6"/>
    <w:rsid w:val="2A5B03D8"/>
    <w:rsid w:val="2A6F6D07"/>
    <w:rsid w:val="2A882500"/>
    <w:rsid w:val="2AB63ABC"/>
    <w:rsid w:val="2B003D00"/>
    <w:rsid w:val="2B074D5E"/>
    <w:rsid w:val="2B0B7C95"/>
    <w:rsid w:val="2B100BA9"/>
    <w:rsid w:val="2B1E3AFC"/>
    <w:rsid w:val="2B9E4F56"/>
    <w:rsid w:val="2BDB5A88"/>
    <w:rsid w:val="2BE91C37"/>
    <w:rsid w:val="2BEC3F72"/>
    <w:rsid w:val="2C083572"/>
    <w:rsid w:val="2C185F94"/>
    <w:rsid w:val="2C1F1AC4"/>
    <w:rsid w:val="2C3F3A41"/>
    <w:rsid w:val="2C4431C4"/>
    <w:rsid w:val="2C62059F"/>
    <w:rsid w:val="2C6634FA"/>
    <w:rsid w:val="2CAC022C"/>
    <w:rsid w:val="2CC11807"/>
    <w:rsid w:val="2CF16074"/>
    <w:rsid w:val="2CF81D1B"/>
    <w:rsid w:val="2D3F2453"/>
    <w:rsid w:val="2D835174"/>
    <w:rsid w:val="2DD90B7B"/>
    <w:rsid w:val="2DDD3FC1"/>
    <w:rsid w:val="2DF701D8"/>
    <w:rsid w:val="2DF970A1"/>
    <w:rsid w:val="2E085834"/>
    <w:rsid w:val="2E1034F8"/>
    <w:rsid w:val="2E1D690B"/>
    <w:rsid w:val="2E505773"/>
    <w:rsid w:val="2E742F70"/>
    <w:rsid w:val="2EDC2A13"/>
    <w:rsid w:val="2EFD7DB9"/>
    <w:rsid w:val="2F1A081D"/>
    <w:rsid w:val="2F1E3DC0"/>
    <w:rsid w:val="2F3112DE"/>
    <w:rsid w:val="2F3B6922"/>
    <w:rsid w:val="2F3C7955"/>
    <w:rsid w:val="2F506C6D"/>
    <w:rsid w:val="2F51291F"/>
    <w:rsid w:val="2F55758A"/>
    <w:rsid w:val="2F7F15AE"/>
    <w:rsid w:val="2FA54796"/>
    <w:rsid w:val="2FA674E2"/>
    <w:rsid w:val="2FFE7D49"/>
    <w:rsid w:val="302A5C42"/>
    <w:rsid w:val="30BF439A"/>
    <w:rsid w:val="30CB1B61"/>
    <w:rsid w:val="30CF6A37"/>
    <w:rsid w:val="30D250CF"/>
    <w:rsid w:val="31002970"/>
    <w:rsid w:val="311016AD"/>
    <w:rsid w:val="3136622A"/>
    <w:rsid w:val="3139422E"/>
    <w:rsid w:val="31700E4B"/>
    <w:rsid w:val="3172683C"/>
    <w:rsid w:val="31A359FC"/>
    <w:rsid w:val="31AD0D61"/>
    <w:rsid w:val="31CD73BD"/>
    <w:rsid w:val="31D66571"/>
    <w:rsid w:val="31DB4220"/>
    <w:rsid w:val="31E63B94"/>
    <w:rsid w:val="32176602"/>
    <w:rsid w:val="322A7699"/>
    <w:rsid w:val="322B25C6"/>
    <w:rsid w:val="32422E70"/>
    <w:rsid w:val="325E56C6"/>
    <w:rsid w:val="3275698A"/>
    <w:rsid w:val="32B943EC"/>
    <w:rsid w:val="32DC63A0"/>
    <w:rsid w:val="32E429C1"/>
    <w:rsid w:val="334A3B2A"/>
    <w:rsid w:val="3365592E"/>
    <w:rsid w:val="336F6533"/>
    <w:rsid w:val="337E5E2F"/>
    <w:rsid w:val="3384610D"/>
    <w:rsid w:val="33AA5979"/>
    <w:rsid w:val="33C03E90"/>
    <w:rsid w:val="33C96649"/>
    <w:rsid w:val="33CC3D88"/>
    <w:rsid w:val="33FD722F"/>
    <w:rsid w:val="3400362D"/>
    <w:rsid w:val="340B09C5"/>
    <w:rsid w:val="341E4CAB"/>
    <w:rsid w:val="34584EE2"/>
    <w:rsid w:val="347D373F"/>
    <w:rsid w:val="34956481"/>
    <w:rsid w:val="34A35871"/>
    <w:rsid w:val="34C06C9D"/>
    <w:rsid w:val="34DF24AE"/>
    <w:rsid w:val="351C4931"/>
    <w:rsid w:val="351D4C26"/>
    <w:rsid w:val="35361A77"/>
    <w:rsid w:val="35461A22"/>
    <w:rsid w:val="35483CC9"/>
    <w:rsid w:val="35A815CB"/>
    <w:rsid w:val="35AA1B9C"/>
    <w:rsid w:val="35DB09A6"/>
    <w:rsid w:val="369B4CF0"/>
    <w:rsid w:val="36C24BE4"/>
    <w:rsid w:val="36D62629"/>
    <w:rsid w:val="36D76172"/>
    <w:rsid w:val="36E833BB"/>
    <w:rsid w:val="36EB1E1B"/>
    <w:rsid w:val="36F17F0D"/>
    <w:rsid w:val="3735197D"/>
    <w:rsid w:val="373756A2"/>
    <w:rsid w:val="375E0DA6"/>
    <w:rsid w:val="378B61A6"/>
    <w:rsid w:val="37CD3F98"/>
    <w:rsid w:val="37DF75BA"/>
    <w:rsid w:val="37E148E2"/>
    <w:rsid w:val="38304889"/>
    <w:rsid w:val="38382675"/>
    <w:rsid w:val="3851700B"/>
    <w:rsid w:val="385246B6"/>
    <w:rsid w:val="38A53DB7"/>
    <w:rsid w:val="38BF3388"/>
    <w:rsid w:val="38CC268D"/>
    <w:rsid w:val="38EC2960"/>
    <w:rsid w:val="392536E2"/>
    <w:rsid w:val="39465F15"/>
    <w:rsid w:val="396453C5"/>
    <w:rsid w:val="39922CCF"/>
    <w:rsid w:val="39A65327"/>
    <w:rsid w:val="39A65C9B"/>
    <w:rsid w:val="39BC5ED6"/>
    <w:rsid w:val="39EB39E0"/>
    <w:rsid w:val="39EF02D4"/>
    <w:rsid w:val="3A11342A"/>
    <w:rsid w:val="3A153110"/>
    <w:rsid w:val="3A2507C0"/>
    <w:rsid w:val="3A297E52"/>
    <w:rsid w:val="3A393FA7"/>
    <w:rsid w:val="3A64203E"/>
    <w:rsid w:val="3A663D00"/>
    <w:rsid w:val="3A7428D0"/>
    <w:rsid w:val="3A923AE4"/>
    <w:rsid w:val="3AA50E25"/>
    <w:rsid w:val="3AC566E3"/>
    <w:rsid w:val="3AD6747A"/>
    <w:rsid w:val="3B3D0FF2"/>
    <w:rsid w:val="3B521A18"/>
    <w:rsid w:val="3B923660"/>
    <w:rsid w:val="3BCA44BE"/>
    <w:rsid w:val="3C061F3A"/>
    <w:rsid w:val="3C244FFA"/>
    <w:rsid w:val="3C495480"/>
    <w:rsid w:val="3C6F0167"/>
    <w:rsid w:val="3C71667B"/>
    <w:rsid w:val="3C914F3B"/>
    <w:rsid w:val="3CA72347"/>
    <w:rsid w:val="3CC17F13"/>
    <w:rsid w:val="3CE320A3"/>
    <w:rsid w:val="3CE9196C"/>
    <w:rsid w:val="3CF15105"/>
    <w:rsid w:val="3D0C04B9"/>
    <w:rsid w:val="3D1414C5"/>
    <w:rsid w:val="3D1C763E"/>
    <w:rsid w:val="3D201AA5"/>
    <w:rsid w:val="3D2B37EA"/>
    <w:rsid w:val="3D2F7FF3"/>
    <w:rsid w:val="3D3D1507"/>
    <w:rsid w:val="3D62085B"/>
    <w:rsid w:val="3D7B4622"/>
    <w:rsid w:val="3D942E29"/>
    <w:rsid w:val="3DB54E0C"/>
    <w:rsid w:val="3DB900C1"/>
    <w:rsid w:val="3DE91725"/>
    <w:rsid w:val="3DF159B1"/>
    <w:rsid w:val="3E1A106E"/>
    <w:rsid w:val="3E36303B"/>
    <w:rsid w:val="3E526044"/>
    <w:rsid w:val="3E8C5311"/>
    <w:rsid w:val="3E8E7E55"/>
    <w:rsid w:val="3EB61473"/>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765D15"/>
    <w:rsid w:val="407F2DE9"/>
    <w:rsid w:val="408C5A03"/>
    <w:rsid w:val="40991379"/>
    <w:rsid w:val="409B3C3D"/>
    <w:rsid w:val="40F701DF"/>
    <w:rsid w:val="40FD480A"/>
    <w:rsid w:val="412A32F8"/>
    <w:rsid w:val="417F433E"/>
    <w:rsid w:val="41B7239D"/>
    <w:rsid w:val="41E47AD6"/>
    <w:rsid w:val="41FF3845"/>
    <w:rsid w:val="42075BA1"/>
    <w:rsid w:val="421104A9"/>
    <w:rsid w:val="42143B88"/>
    <w:rsid w:val="42164586"/>
    <w:rsid w:val="425B5DD1"/>
    <w:rsid w:val="4260300C"/>
    <w:rsid w:val="42800B9B"/>
    <w:rsid w:val="42A06B6C"/>
    <w:rsid w:val="42EA5650"/>
    <w:rsid w:val="431408DA"/>
    <w:rsid w:val="4331401E"/>
    <w:rsid w:val="435A0DF2"/>
    <w:rsid w:val="436C42E1"/>
    <w:rsid w:val="437C210F"/>
    <w:rsid w:val="43847F02"/>
    <w:rsid w:val="438F113C"/>
    <w:rsid w:val="439E7EFB"/>
    <w:rsid w:val="43B1568A"/>
    <w:rsid w:val="43D43ECA"/>
    <w:rsid w:val="43DD452F"/>
    <w:rsid w:val="43DE6CD4"/>
    <w:rsid w:val="43E51150"/>
    <w:rsid w:val="43EF28BB"/>
    <w:rsid w:val="43EF56D3"/>
    <w:rsid w:val="440A6FD2"/>
    <w:rsid w:val="444946CA"/>
    <w:rsid w:val="444B3F54"/>
    <w:rsid w:val="4476661F"/>
    <w:rsid w:val="447E3AC5"/>
    <w:rsid w:val="44A90BAA"/>
    <w:rsid w:val="44B24A20"/>
    <w:rsid w:val="44BC0BEE"/>
    <w:rsid w:val="44FB1C9C"/>
    <w:rsid w:val="454F1836"/>
    <w:rsid w:val="45887B45"/>
    <w:rsid w:val="458B66DF"/>
    <w:rsid w:val="45940F0E"/>
    <w:rsid w:val="459B4F7E"/>
    <w:rsid w:val="45AC5DBA"/>
    <w:rsid w:val="45C647AF"/>
    <w:rsid w:val="45DD529D"/>
    <w:rsid w:val="45E57886"/>
    <w:rsid w:val="46003076"/>
    <w:rsid w:val="46177E29"/>
    <w:rsid w:val="46205B7F"/>
    <w:rsid w:val="465D501C"/>
    <w:rsid w:val="466367DB"/>
    <w:rsid w:val="46686D18"/>
    <w:rsid w:val="46C3037C"/>
    <w:rsid w:val="46FF15E0"/>
    <w:rsid w:val="4700581C"/>
    <w:rsid w:val="4702516A"/>
    <w:rsid w:val="474A4B33"/>
    <w:rsid w:val="47665A15"/>
    <w:rsid w:val="47677941"/>
    <w:rsid w:val="477F1660"/>
    <w:rsid w:val="4788232A"/>
    <w:rsid w:val="478B0398"/>
    <w:rsid w:val="478F5D0B"/>
    <w:rsid w:val="47B8724E"/>
    <w:rsid w:val="47ED7BCA"/>
    <w:rsid w:val="48016F34"/>
    <w:rsid w:val="480556DB"/>
    <w:rsid w:val="48185C56"/>
    <w:rsid w:val="4832531E"/>
    <w:rsid w:val="48450F81"/>
    <w:rsid w:val="484E729D"/>
    <w:rsid w:val="485A23C2"/>
    <w:rsid w:val="48A16B62"/>
    <w:rsid w:val="48BC6222"/>
    <w:rsid w:val="48C245E9"/>
    <w:rsid w:val="48DB312A"/>
    <w:rsid w:val="48DF49D9"/>
    <w:rsid w:val="492108CC"/>
    <w:rsid w:val="49E669E4"/>
    <w:rsid w:val="4A05334F"/>
    <w:rsid w:val="4A082FF4"/>
    <w:rsid w:val="4A244932"/>
    <w:rsid w:val="4A2922C8"/>
    <w:rsid w:val="4A4117B2"/>
    <w:rsid w:val="4A7A4350"/>
    <w:rsid w:val="4A7E2497"/>
    <w:rsid w:val="4A896826"/>
    <w:rsid w:val="4ABF5E17"/>
    <w:rsid w:val="4AE01A66"/>
    <w:rsid w:val="4AED707B"/>
    <w:rsid w:val="4B0B7979"/>
    <w:rsid w:val="4B520DF4"/>
    <w:rsid w:val="4B603107"/>
    <w:rsid w:val="4B9802B0"/>
    <w:rsid w:val="4B9E65BE"/>
    <w:rsid w:val="4B9F33A8"/>
    <w:rsid w:val="4BA80AFD"/>
    <w:rsid w:val="4BB033BA"/>
    <w:rsid w:val="4BB469AD"/>
    <w:rsid w:val="4BC06040"/>
    <w:rsid w:val="4BF441D2"/>
    <w:rsid w:val="4C1C2A09"/>
    <w:rsid w:val="4C694192"/>
    <w:rsid w:val="4C7964D9"/>
    <w:rsid w:val="4C9269F6"/>
    <w:rsid w:val="4CC84335"/>
    <w:rsid w:val="4CE9350A"/>
    <w:rsid w:val="4CF632F0"/>
    <w:rsid w:val="4D297BF3"/>
    <w:rsid w:val="4D2D0EAF"/>
    <w:rsid w:val="4D7F0082"/>
    <w:rsid w:val="4D952FD9"/>
    <w:rsid w:val="4D970662"/>
    <w:rsid w:val="4DB33393"/>
    <w:rsid w:val="4DCF1E0D"/>
    <w:rsid w:val="4DD632D9"/>
    <w:rsid w:val="4DE05DF9"/>
    <w:rsid w:val="4DE44800"/>
    <w:rsid w:val="4DEE0709"/>
    <w:rsid w:val="4DFC14EA"/>
    <w:rsid w:val="4DFF6815"/>
    <w:rsid w:val="4E0A3427"/>
    <w:rsid w:val="4E304B5D"/>
    <w:rsid w:val="4E682F8C"/>
    <w:rsid w:val="4E6A7BB7"/>
    <w:rsid w:val="4F0773B4"/>
    <w:rsid w:val="4F307BB1"/>
    <w:rsid w:val="4F351F9F"/>
    <w:rsid w:val="4F3D562D"/>
    <w:rsid w:val="4F5C4EE0"/>
    <w:rsid w:val="4F6E1972"/>
    <w:rsid w:val="4F943166"/>
    <w:rsid w:val="4FBA02A1"/>
    <w:rsid w:val="4FE7106E"/>
    <w:rsid w:val="50053943"/>
    <w:rsid w:val="50550E55"/>
    <w:rsid w:val="509F43E4"/>
    <w:rsid w:val="50A54D3E"/>
    <w:rsid w:val="50F1402B"/>
    <w:rsid w:val="50FD2AD9"/>
    <w:rsid w:val="51097D9A"/>
    <w:rsid w:val="51237D2E"/>
    <w:rsid w:val="51996737"/>
    <w:rsid w:val="51B408B8"/>
    <w:rsid w:val="51CC0868"/>
    <w:rsid w:val="51D5340F"/>
    <w:rsid w:val="52382F2A"/>
    <w:rsid w:val="52386E3D"/>
    <w:rsid w:val="523A7DD1"/>
    <w:rsid w:val="5271774C"/>
    <w:rsid w:val="52DE008D"/>
    <w:rsid w:val="52EE341E"/>
    <w:rsid w:val="52F37FE6"/>
    <w:rsid w:val="52FC1CA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42E2BC2"/>
    <w:rsid w:val="54352A96"/>
    <w:rsid w:val="54447390"/>
    <w:rsid w:val="545E1D01"/>
    <w:rsid w:val="54935B8F"/>
    <w:rsid w:val="54CC6227"/>
    <w:rsid w:val="54D10F9B"/>
    <w:rsid w:val="551D586C"/>
    <w:rsid w:val="55200298"/>
    <w:rsid w:val="55335E1B"/>
    <w:rsid w:val="554B7EF0"/>
    <w:rsid w:val="556F3D99"/>
    <w:rsid w:val="55860894"/>
    <w:rsid w:val="55B02DF1"/>
    <w:rsid w:val="55DC290C"/>
    <w:rsid w:val="55F01FA1"/>
    <w:rsid w:val="56990B7C"/>
    <w:rsid w:val="569E1126"/>
    <w:rsid w:val="56B80DEB"/>
    <w:rsid w:val="56E06E61"/>
    <w:rsid w:val="56F653FE"/>
    <w:rsid w:val="575B7AFD"/>
    <w:rsid w:val="57660D3F"/>
    <w:rsid w:val="57706F91"/>
    <w:rsid w:val="57D1153D"/>
    <w:rsid w:val="57FA3774"/>
    <w:rsid w:val="58084A3C"/>
    <w:rsid w:val="585D2975"/>
    <w:rsid w:val="587E3341"/>
    <w:rsid w:val="58CF56D8"/>
    <w:rsid w:val="58D31010"/>
    <w:rsid w:val="58D6741E"/>
    <w:rsid w:val="58EA3D0E"/>
    <w:rsid w:val="58F71269"/>
    <w:rsid w:val="58FE045E"/>
    <w:rsid w:val="59561946"/>
    <w:rsid w:val="59670F51"/>
    <w:rsid w:val="596A44F9"/>
    <w:rsid w:val="596C19BB"/>
    <w:rsid w:val="59790BDB"/>
    <w:rsid w:val="598653AC"/>
    <w:rsid w:val="59AC3C86"/>
    <w:rsid w:val="59C3464B"/>
    <w:rsid w:val="59D42FDA"/>
    <w:rsid w:val="59DA4E01"/>
    <w:rsid w:val="59F64E82"/>
    <w:rsid w:val="5A10435C"/>
    <w:rsid w:val="5A2654CC"/>
    <w:rsid w:val="5A323A44"/>
    <w:rsid w:val="5A395E66"/>
    <w:rsid w:val="5A484352"/>
    <w:rsid w:val="5A5321A5"/>
    <w:rsid w:val="5A745221"/>
    <w:rsid w:val="5A8734AF"/>
    <w:rsid w:val="5A9D3E45"/>
    <w:rsid w:val="5AA4101D"/>
    <w:rsid w:val="5AB17576"/>
    <w:rsid w:val="5ABD68E6"/>
    <w:rsid w:val="5ABF73D2"/>
    <w:rsid w:val="5ACB3D8A"/>
    <w:rsid w:val="5AE1508F"/>
    <w:rsid w:val="5AF80256"/>
    <w:rsid w:val="5B110CC9"/>
    <w:rsid w:val="5B1F7B5D"/>
    <w:rsid w:val="5B585171"/>
    <w:rsid w:val="5B585B78"/>
    <w:rsid w:val="5B9A2B59"/>
    <w:rsid w:val="5BC0085A"/>
    <w:rsid w:val="5BF03D58"/>
    <w:rsid w:val="5C1A6BB2"/>
    <w:rsid w:val="5C5355FE"/>
    <w:rsid w:val="5C6F4105"/>
    <w:rsid w:val="5C7A4EE2"/>
    <w:rsid w:val="5CBB7F6F"/>
    <w:rsid w:val="5D7C3F11"/>
    <w:rsid w:val="5D9D49E0"/>
    <w:rsid w:val="5DC80482"/>
    <w:rsid w:val="5DDF1821"/>
    <w:rsid w:val="5DEA2F91"/>
    <w:rsid w:val="5E3146A3"/>
    <w:rsid w:val="5E442F62"/>
    <w:rsid w:val="5E6C2C5B"/>
    <w:rsid w:val="5E7128C8"/>
    <w:rsid w:val="5E7251A2"/>
    <w:rsid w:val="5E7C3591"/>
    <w:rsid w:val="5E9D0E18"/>
    <w:rsid w:val="5EA2144B"/>
    <w:rsid w:val="5EA341D7"/>
    <w:rsid w:val="5EA755DE"/>
    <w:rsid w:val="5ED35F0E"/>
    <w:rsid w:val="5EFC1390"/>
    <w:rsid w:val="5EFC3EB6"/>
    <w:rsid w:val="5F03335D"/>
    <w:rsid w:val="5F0368C7"/>
    <w:rsid w:val="5F1544E7"/>
    <w:rsid w:val="5F3C4923"/>
    <w:rsid w:val="5F661D01"/>
    <w:rsid w:val="5F9A65E6"/>
    <w:rsid w:val="5F9B2627"/>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7B3C50"/>
    <w:rsid w:val="608B6567"/>
    <w:rsid w:val="60FF21D9"/>
    <w:rsid w:val="613253FD"/>
    <w:rsid w:val="61421F29"/>
    <w:rsid w:val="61712185"/>
    <w:rsid w:val="61970898"/>
    <w:rsid w:val="61A90D68"/>
    <w:rsid w:val="61AD1E69"/>
    <w:rsid w:val="61C80F53"/>
    <w:rsid w:val="621775E2"/>
    <w:rsid w:val="622F7552"/>
    <w:rsid w:val="6250406E"/>
    <w:rsid w:val="627D6831"/>
    <w:rsid w:val="62811B1C"/>
    <w:rsid w:val="62A20409"/>
    <w:rsid w:val="62B54B44"/>
    <w:rsid w:val="62E045DA"/>
    <w:rsid w:val="62E454A1"/>
    <w:rsid w:val="62F36E4C"/>
    <w:rsid w:val="62F47F8F"/>
    <w:rsid w:val="62F7233F"/>
    <w:rsid w:val="6340438B"/>
    <w:rsid w:val="6353238E"/>
    <w:rsid w:val="63612AB8"/>
    <w:rsid w:val="637D0978"/>
    <w:rsid w:val="638968B0"/>
    <w:rsid w:val="638A282C"/>
    <w:rsid w:val="63A85E90"/>
    <w:rsid w:val="63A962DB"/>
    <w:rsid w:val="63AB1A91"/>
    <w:rsid w:val="63EE4692"/>
    <w:rsid w:val="63FD622D"/>
    <w:rsid w:val="643F32F9"/>
    <w:rsid w:val="64582686"/>
    <w:rsid w:val="64673C87"/>
    <w:rsid w:val="64A251DD"/>
    <w:rsid w:val="64DB63AB"/>
    <w:rsid w:val="650242F0"/>
    <w:rsid w:val="65542778"/>
    <w:rsid w:val="655829AF"/>
    <w:rsid w:val="656B70C3"/>
    <w:rsid w:val="658F4798"/>
    <w:rsid w:val="659B1EBA"/>
    <w:rsid w:val="65B461E9"/>
    <w:rsid w:val="65BE39A8"/>
    <w:rsid w:val="65FB3FBE"/>
    <w:rsid w:val="66103F56"/>
    <w:rsid w:val="66247D11"/>
    <w:rsid w:val="66736112"/>
    <w:rsid w:val="667F5B5B"/>
    <w:rsid w:val="66897C79"/>
    <w:rsid w:val="6694262A"/>
    <w:rsid w:val="66990381"/>
    <w:rsid w:val="66B31B01"/>
    <w:rsid w:val="66CE1E80"/>
    <w:rsid w:val="66E362F9"/>
    <w:rsid w:val="66E47FD9"/>
    <w:rsid w:val="67071922"/>
    <w:rsid w:val="672A7AB8"/>
    <w:rsid w:val="673B73C0"/>
    <w:rsid w:val="675608B6"/>
    <w:rsid w:val="67754402"/>
    <w:rsid w:val="677D54ED"/>
    <w:rsid w:val="67B25E27"/>
    <w:rsid w:val="67C4383B"/>
    <w:rsid w:val="67D35E1A"/>
    <w:rsid w:val="67F35317"/>
    <w:rsid w:val="680201B7"/>
    <w:rsid w:val="68362BFB"/>
    <w:rsid w:val="683F1130"/>
    <w:rsid w:val="684456A1"/>
    <w:rsid w:val="685E1363"/>
    <w:rsid w:val="688E1089"/>
    <w:rsid w:val="68A026F3"/>
    <w:rsid w:val="68AF6C13"/>
    <w:rsid w:val="690E07C7"/>
    <w:rsid w:val="69236A65"/>
    <w:rsid w:val="692E469B"/>
    <w:rsid w:val="69315C48"/>
    <w:rsid w:val="694019EC"/>
    <w:rsid w:val="69584DB4"/>
    <w:rsid w:val="696C3D80"/>
    <w:rsid w:val="698A5EE4"/>
    <w:rsid w:val="69C811ED"/>
    <w:rsid w:val="69D33070"/>
    <w:rsid w:val="69E97E75"/>
    <w:rsid w:val="69FB5D9E"/>
    <w:rsid w:val="6A1A3007"/>
    <w:rsid w:val="6A1E645E"/>
    <w:rsid w:val="6A417049"/>
    <w:rsid w:val="6A4C5F97"/>
    <w:rsid w:val="6A4D41E9"/>
    <w:rsid w:val="6A7903E5"/>
    <w:rsid w:val="6AA03032"/>
    <w:rsid w:val="6AA86FEC"/>
    <w:rsid w:val="6ADA6AC4"/>
    <w:rsid w:val="6ADB11D6"/>
    <w:rsid w:val="6B1A2C3C"/>
    <w:rsid w:val="6B31644D"/>
    <w:rsid w:val="6B486C86"/>
    <w:rsid w:val="6B554C72"/>
    <w:rsid w:val="6B80239C"/>
    <w:rsid w:val="6B847AD7"/>
    <w:rsid w:val="6B9A2DF9"/>
    <w:rsid w:val="6BAC4619"/>
    <w:rsid w:val="6BCD2823"/>
    <w:rsid w:val="6BDD15DD"/>
    <w:rsid w:val="6BDF2966"/>
    <w:rsid w:val="6BE86A5F"/>
    <w:rsid w:val="6C234DED"/>
    <w:rsid w:val="6C29198B"/>
    <w:rsid w:val="6C3A67D1"/>
    <w:rsid w:val="6C3D2D5C"/>
    <w:rsid w:val="6C4800AA"/>
    <w:rsid w:val="6C4D28F8"/>
    <w:rsid w:val="6C5101CA"/>
    <w:rsid w:val="6C573E9C"/>
    <w:rsid w:val="6C6D1126"/>
    <w:rsid w:val="6CA35B3A"/>
    <w:rsid w:val="6CA41A5D"/>
    <w:rsid w:val="6CAF588C"/>
    <w:rsid w:val="6CB4638E"/>
    <w:rsid w:val="6CBF3C6A"/>
    <w:rsid w:val="6CBF5306"/>
    <w:rsid w:val="6CE70FA1"/>
    <w:rsid w:val="6CFA6351"/>
    <w:rsid w:val="6CFC3C40"/>
    <w:rsid w:val="6D480984"/>
    <w:rsid w:val="6D596B3F"/>
    <w:rsid w:val="6DB13E57"/>
    <w:rsid w:val="6DC71662"/>
    <w:rsid w:val="6DCD5126"/>
    <w:rsid w:val="6DDB6CB0"/>
    <w:rsid w:val="6DE52ACD"/>
    <w:rsid w:val="6DFC0B44"/>
    <w:rsid w:val="6E0458E7"/>
    <w:rsid w:val="6E212037"/>
    <w:rsid w:val="6E3B221B"/>
    <w:rsid w:val="6E475779"/>
    <w:rsid w:val="6E7764EF"/>
    <w:rsid w:val="6EAD447C"/>
    <w:rsid w:val="6ECD7F59"/>
    <w:rsid w:val="6EED7C80"/>
    <w:rsid w:val="6EF773A4"/>
    <w:rsid w:val="6F2F2D9E"/>
    <w:rsid w:val="6F4147D9"/>
    <w:rsid w:val="6F947E4B"/>
    <w:rsid w:val="6FA30BDA"/>
    <w:rsid w:val="6FB80698"/>
    <w:rsid w:val="6FEF189F"/>
    <w:rsid w:val="7024611F"/>
    <w:rsid w:val="70637B96"/>
    <w:rsid w:val="70797317"/>
    <w:rsid w:val="7099044B"/>
    <w:rsid w:val="709D518F"/>
    <w:rsid w:val="70C759D3"/>
    <w:rsid w:val="70CF2B23"/>
    <w:rsid w:val="710952C1"/>
    <w:rsid w:val="71452CD8"/>
    <w:rsid w:val="7158683A"/>
    <w:rsid w:val="715B2F52"/>
    <w:rsid w:val="71764F23"/>
    <w:rsid w:val="71946576"/>
    <w:rsid w:val="71967E84"/>
    <w:rsid w:val="71A61873"/>
    <w:rsid w:val="71AF4936"/>
    <w:rsid w:val="71D75D0F"/>
    <w:rsid w:val="721919B3"/>
    <w:rsid w:val="721A6098"/>
    <w:rsid w:val="72310D1A"/>
    <w:rsid w:val="725D6B54"/>
    <w:rsid w:val="72A17C99"/>
    <w:rsid w:val="72AF6F7E"/>
    <w:rsid w:val="73047904"/>
    <w:rsid w:val="733E6DC5"/>
    <w:rsid w:val="734C1A6A"/>
    <w:rsid w:val="735C5949"/>
    <w:rsid w:val="73737DA5"/>
    <w:rsid w:val="73887B3E"/>
    <w:rsid w:val="73892412"/>
    <w:rsid w:val="73E96BCA"/>
    <w:rsid w:val="73EE4A6E"/>
    <w:rsid w:val="741048BC"/>
    <w:rsid w:val="742E78D4"/>
    <w:rsid w:val="74676A28"/>
    <w:rsid w:val="747E40B6"/>
    <w:rsid w:val="74AC3224"/>
    <w:rsid w:val="74BB2C83"/>
    <w:rsid w:val="74DE4E5F"/>
    <w:rsid w:val="74EB54AB"/>
    <w:rsid w:val="74FF6D43"/>
    <w:rsid w:val="750201A2"/>
    <w:rsid w:val="751A76AF"/>
    <w:rsid w:val="75250574"/>
    <w:rsid w:val="7550443E"/>
    <w:rsid w:val="755F0BCC"/>
    <w:rsid w:val="756F17F9"/>
    <w:rsid w:val="75825461"/>
    <w:rsid w:val="759926FC"/>
    <w:rsid w:val="75A24276"/>
    <w:rsid w:val="75AA231D"/>
    <w:rsid w:val="75E8633A"/>
    <w:rsid w:val="763F09AA"/>
    <w:rsid w:val="764F3FCC"/>
    <w:rsid w:val="7650339F"/>
    <w:rsid w:val="76603C9A"/>
    <w:rsid w:val="76BB1CAB"/>
    <w:rsid w:val="76C04050"/>
    <w:rsid w:val="76E65049"/>
    <w:rsid w:val="77076007"/>
    <w:rsid w:val="77413F7E"/>
    <w:rsid w:val="77835654"/>
    <w:rsid w:val="7797109C"/>
    <w:rsid w:val="779A2A38"/>
    <w:rsid w:val="77B4450A"/>
    <w:rsid w:val="77B46E73"/>
    <w:rsid w:val="77E37A12"/>
    <w:rsid w:val="77FE3468"/>
    <w:rsid w:val="78546F0C"/>
    <w:rsid w:val="78EE1C79"/>
    <w:rsid w:val="797239CC"/>
    <w:rsid w:val="79831473"/>
    <w:rsid w:val="7999527A"/>
    <w:rsid w:val="79AF76C5"/>
    <w:rsid w:val="79C25EE1"/>
    <w:rsid w:val="79CE2967"/>
    <w:rsid w:val="79EA664C"/>
    <w:rsid w:val="7A2D36EF"/>
    <w:rsid w:val="7A2F459A"/>
    <w:rsid w:val="7A517022"/>
    <w:rsid w:val="7A6F5001"/>
    <w:rsid w:val="7AA2343E"/>
    <w:rsid w:val="7ADA73A4"/>
    <w:rsid w:val="7AE66B99"/>
    <w:rsid w:val="7B0A3BCA"/>
    <w:rsid w:val="7B4048C1"/>
    <w:rsid w:val="7B73082F"/>
    <w:rsid w:val="7BC62E00"/>
    <w:rsid w:val="7BE35E2A"/>
    <w:rsid w:val="7BFA1CC7"/>
    <w:rsid w:val="7BFB70B3"/>
    <w:rsid w:val="7C0251DA"/>
    <w:rsid w:val="7C1052F2"/>
    <w:rsid w:val="7C2668D9"/>
    <w:rsid w:val="7C32497F"/>
    <w:rsid w:val="7C3C69AE"/>
    <w:rsid w:val="7C691974"/>
    <w:rsid w:val="7C8A6570"/>
    <w:rsid w:val="7C8B7390"/>
    <w:rsid w:val="7C9B0D0E"/>
    <w:rsid w:val="7CA42B03"/>
    <w:rsid w:val="7CD2318A"/>
    <w:rsid w:val="7CD2702A"/>
    <w:rsid w:val="7CD34C42"/>
    <w:rsid w:val="7CDE3FF9"/>
    <w:rsid w:val="7CE26EBF"/>
    <w:rsid w:val="7CEE3130"/>
    <w:rsid w:val="7D1F6674"/>
    <w:rsid w:val="7D480B34"/>
    <w:rsid w:val="7D9005BC"/>
    <w:rsid w:val="7D9F0AD0"/>
    <w:rsid w:val="7DD12BB7"/>
    <w:rsid w:val="7DFF0955"/>
    <w:rsid w:val="7E0B750E"/>
    <w:rsid w:val="7E2822EA"/>
    <w:rsid w:val="7E355A7B"/>
    <w:rsid w:val="7E6E3E85"/>
    <w:rsid w:val="7E9C184B"/>
    <w:rsid w:val="7EA72948"/>
    <w:rsid w:val="7EB31EDB"/>
    <w:rsid w:val="7EE70CC0"/>
    <w:rsid w:val="7EEB48DB"/>
    <w:rsid w:val="7EF27444"/>
    <w:rsid w:val="7F265C58"/>
    <w:rsid w:val="7F582CF2"/>
    <w:rsid w:val="7F951B4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qFormat/>
    <w:uiPriority w:val="0"/>
    <w:pPr>
      <w:keepNext/>
      <w:keepLines/>
      <w:spacing w:before="340" w:after="330" w:line="576" w:lineRule="auto"/>
      <w:outlineLvl w:val="0"/>
    </w:pPr>
    <w:rPr>
      <w:b/>
      <w:bCs/>
      <w:kern w:val="44"/>
      <w:sz w:val="44"/>
      <w:szCs w:val="44"/>
    </w:rPr>
  </w:style>
  <w:style w:type="paragraph" w:styleId="8">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qFormat/>
    <w:uiPriority w:val="0"/>
    <w:pPr>
      <w:keepNext/>
      <w:keepLines/>
      <w:spacing w:before="260" w:after="260" w:line="416" w:lineRule="auto"/>
      <w:outlineLvl w:val="2"/>
    </w:pPr>
    <w:rPr>
      <w:b/>
      <w:bCs/>
      <w:sz w:val="32"/>
      <w:szCs w:val="32"/>
    </w:rPr>
  </w:style>
  <w:style w:type="paragraph" w:styleId="10">
    <w:name w:val="heading 4"/>
    <w:basedOn w:val="1"/>
    <w:next w:val="1"/>
    <w:qFormat/>
    <w:uiPriority w:val="0"/>
    <w:pPr>
      <w:keepNext/>
      <w:keepLines/>
      <w:spacing w:line="360" w:lineRule="auto"/>
      <w:outlineLvl w:val="3"/>
    </w:pPr>
    <w:rPr>
      <w:rFonts w:ascii="Arial" w:hAnsi="Arial"/>
      <w:b/>
      <w:bCs/>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spacing w:line="360" w:lineRule="auto"/>
      <w:ind w:firstLine="420" w:firstLineChars="100"/>
    </w:pPr>
    <w:rPr>
      <w:szCs w:val="21"/>
    </w:rPr>
  </w:style>
  <w:style w:type="paragraph" w:styleId="3">
    <w:name w:val="Body Text"/>
    <w:basedOn w:val="1"/>
    <w:next w:val="1"/>
    <w:link w:val="73"/>
    <w:qFormat/>
    <w:uiPriority w:val="0"/>
  </w:style>
  <w:style w:type="paragraph" w:styleId="4">
    <w:name w:val="Body Text First Indent 2"/>
    <w:basedOn w:val="5"/>
    <w:next w:val="1"/>
    <w:qFormat/>
    <w:uiPriority w:val="0"/>
    <w:pPr>
      <w:ind w:firstLine="420" w:firstLineChars="200"/>
    </w:pPr>
  </w:style>
  <w:style w:type="paragraph" w:styleId="5">
    <w:name w:val="Body Text Indent"/>
    <w:basedOn w:val="1"/>
    <w:next w:val="6"/>
    <w:qFormat/>
    <w:uiPriority w:val="0"/>
    <w:pPr>
      <w:widowControl/>
      <w:spacing w:beforeAutospacing="1" w:afterAutospacing="1"/>
      <w:jc w:val="left"/>
    </w:pPr>
    <w:rPr>
      <w:rFonts w:ascii="宋体" w:hAnsi="宋体" w:cs="宋体"/>
      <w:kern w:val="0"/>
      <w:sz w:val="24"/>
    </w:rPr>
  </w:style>
  <w:style w:type="paragraph" w:customStyle="1" w:styleId="6">
    <w:name w:val="目录 51"/>
    <w:next w:val="1"/>
    <w:qFormat/>
    <w:uiPriority w:val="0"/>
    <w:pPr>
      <w:wordWrap w:val="0"/>
      <w:ind w:left="1700"/>
      <w:jc w:val="both"/>
    </w:pPr>
    <w:rPr>
      <w:rFonts w:ascii="Times New Roman" w:hAnsi="Times New Roman" w:eastAsia="Calibri" w:cs="Times New Roman"/>
      <w:sz w:val="21"/>
      <w:lang w:val="en-US" w:eastAsia="zh-CN" w:bidi="ar-SA"/>
    </w:rPr>
  </w:style>
  <w:style w:type="paragraph" w:styleId="11">
    <w:name w:val="List Number"/>
    <w:basedOn w:val="1"/>
    <w:qFormat/>
    <w:uiPriority w:val="0"/>
    <w:pPr>
      <w:widowControl/>
      <w:spacing w:beforeAutospacing="1" w:afterAutospacing="1"/>
      <w:jc w:val="left"/>
    </w:pPr>
    <w:rPr>
      <w:rFonts w:ascii="宋体" w:hAnsi="宋体" w:cs="宋体"/>
      <w:kern w:val="0"/>
      <w:sz w:val="24"/>
    </w:rPr>
  </w:style>
  <w:style w:type="paragraph" w:styleId="12">
    <w:name w:val="Normal Indent"/>
    <w:basedOn w:val="1"/>
    <w:qFormat/>
    <w:uiPriority w:val="0"/>
    <w:pPr>
      <w:widowControl/>
      <w:spacing w:beforeAutospacing="1" w:afterAutospacing="1"/>
      <w:jc w:val="left"/>
    </w:pPr>
    <w:rPr>
      <w:rFonts w:ascii="宋体" w:hAnsi="宋体" w:cs="宋体"/>
      <w:kern w:val="0"/>
      <w:sz w:val="24"/>
    </w:rPr>
  </w:style>
  <w:style w:type="paragraph" w:styleId="13">
    <w:name w:val="Document Map"/>
    <w:basedOn w:val="1"/>
    <w:link w:val="75"/>
    <w:qFormat/>
    <w:uiPriority w:val="0"/>
    <w:rPr>
      <w:rFonts w:ascii="宋体" w:hAnsi="Calibri"/>
      <w:sz w:val="18"/>
      <w:szCs w:val="18"/>
    </w:rPr>
  </w:style>
  <w:style w:type="paragraph" w:styleId="14">
    <w:name w:val="annotation text"/>
    <w:basedOn w:val="1"/>
    <w:qFormat/>
    <w:uiPriority w:val="0"/>
    <w:pPr>
      <w:jc w:val="left"/>
    </w:pPr>
  </w:style>
  <w:style w:type="paragraph" w:styleId="15">
    <w:name w:val="Body Text 3"/>
    <w:basedOn w:val="1"/>
    <w:qFormat/>
    <w:uiPriority w:val="0"/>
    <w:rPr>
      <w:sz w:val="16"/>
      <w:szCs w:val="16"/>
    </w:rPr>
  </w:style>
  <w:style w:type="paragraph" w:styleId="16">
    <w:name w:val="List 2"/>
    <w:basedOn w:val="1"/>
    <w:qFormat/>
    <w:uiPriority w:val="0"/>
    <w:pPr>
      <w:ind w:left="100" w:leftChars="200" w:hanging="200" w:hangingChars="200"/>
    </w:pPr>
  </w:style>
  <w:style w:type="paragraph" w:styleId="17">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8">
    <w:name w:val="toc 3"/>
    <w:basedOn w:val="1"/>
    <w:next w:val="1"/>
    <w:qFormat/>
    <w:uiPriority w:val="0"/>
    <w:pPr>
      <w:tabs>
        <w:tab w:val="left" w:pos="709"/>
        <w:tab w:val="right" w:leader="dot" w:pos="8789"/>
      </w:tabs>
      <w:spacing w:line="400" w:lineRule="atLeast"/>
    </w:pPr>
    <w:rPr>
      <w:rFonts w:ascii="宋体"/>
      <w:kern w:val="0"/>
      <w:szCs w:val="20"/>
    </w:rPr>
  </w:style>
  <w:style w:type="paragraph" w:styleId="19">
    <w:name w:val="Plain Text"/>
    <w:basedOn w:val="1"/>
    <w:qFormat/>
    <w:uiPriority w:val="0"/>
    <w:pPr>
      <w:widowControl/>
      <w:spacing w:beforeAutospacing="1" w:afterAutospacing="1"/>
      <w:jc w:val="left"/>
    </w:pPr>
    <w:rPr>
      <w:rFonts w:ascii="宋体" w:hAnsi="宋体" w:cs="宋体"/>
      <w:kern w:val="0"/>
      <w:sz w:val="24"/>
    </w:rPr>
  </w:style>
  <w:style w:type="paragraph" w:styleId="20">
    <w:name w:val="Date"/>
    <w:basedOn w:val="1"/>
    <w:next w:val="1"/>
    <w:qFormat/>
    <w:uiPriority w:val="0"/>
    <w:pPr>
      <w:ind w:left="100" w:leftChars="2500"/>
    </w:pPr>
    <w:rPr>
      <w:rFonts w:ascii="宋体" w:hAnsi="宋体"/>
      <w:sz w:val="28"/>
    </w:rPr>
  </w:style>
  <w:style w:type="paragraph" w:styleId="21">
    <w:name w:val="Body Text Indent 2"/>
    <w:basedOn w:val="1"/>
    <w:qFormat/>
    <w:uiPriority w:val="0"/>
    <w:pPr>
      <w:spacing w:line="480" w:lineRule="auto"/>
      <w:ind w:left="420" w:leftChars="200"/>
    </w:pPr>
  </w:style>
  <w:style w:type="paragraph" w:styleId="22">
    <w:name w:val="footer"/>
    <w:basedOn w:val="1"/>
    <w:qFormat/>
    <w:uiPriority w:val="0"/>
    <w:pPr>
      <w:tabs>
        <w:tab w:val="center" w:pos="4153"/>
        <w:tab w:val="right" w:pos="8306"/>
      </w:tabs>
      <w:snapToGrid w:val="0"/>
      <w:jc w:val="left"/>
    </w:pPr>
    <w:rPr>
      <w:sz w:val="18"/>
      <w:szCs w:val="18"/>
    </w:rPr>
  </w:style>
  <w:style w:type="paragraph" w:styleId="23">
    <w:name w:val="envelope return"/>
    <w:basedOn w:val="1"/>
    <w:unhideWhenUsed/>
    <w:qFormat/>
    <w:uiPriority w:val="99"/>
    <w:pPr>
      <w:snapToGrid w:val="0"/>
    </w:pPr>
    <w:rPr>
      <w:rFonts w:ascii="Arial" w:hAnsi="Arial"/>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style>
  <w:style w:type="paragraph" w:styleId="26">
    <w:name w:val="List"/>
    <w:basedOn w:val="1"/>
    <w:qFormat/>
    <w:uiPriority w:val="0"/>
    <w:pPr>
      <w:ind w:left="200" w:hanging="200" w:hangingChars="200"/>
    </w:pPr>
  </w:style>
  <w:style w:type="paragraph" w:styleId="27">
    <w:name w:val="Body Text 2"/>
    <w:basedOn w:val="1"/>
    <w:next w:val="3"/>
    <w:qFormat/>
    <w:uiPriority w:val="0"/>
    <w:pPr>
      <w:spacing w:line="480" w:lineRule="auto"/>
    </w:pPr>
  </w:style>
  <w:style w:type="paragraph" w:styleId="28">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qFormat/>
    <w:uiPriority w:val="99"/>
    <w:pPr>
      <w:spacing w:before="100" w:beforeAutospacing="1" w:after="100" w:afterAutospacing="1"/>
      <w:jc w:val="left"/>
    </w:pPr>
    <w:rPr>
      <w:kern w:val="0"/>
      <w:sz w:val="24"/>
    </w:rPr>
  </w:style>
  <w:style w:type="paragraph" w:styleId="31">
    <w:name w:val="Title"/>
    <w:basedOn w:val="1"/>
    <w:qFormat/>
    <w:uiPriority w:val="0"/>
    <w:pPr>
      <w:jc w:val="center"/>
      <w:outlineLvl w:val="0"/>
    </w:pPr>
    <w:rPr>
      <w:rFonts w:ascii="Arial" w:hAnsi="Arial" w:cs="Arial"/>
      <w:b/>
      <w:bCs/>
      <w:sz w:val="32"/>
      <w:szCs w:val="32"/>
    </w:rPr>
  </w:style>
  <w:style w:type="table" w:styleId="33">
    <w:name w:val="Table Grid"/>
    <w:basedOn w:val="3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b/>
      <w:bCs/>
      <w:szCs w:val="24"/>
    </w:rPr>
  </w:style>
  <w:style w:type="character" w:styleId="36">
    <w:name w:val="page number"/>
    <w:basedOn w:val="34"/>
    <w:qFormat/>
    <w:uiPriority w:val="0"/>
  </w:style>
  <w:style w:type="character" w:styleId="37">
    <w:name w:val="FollowedHyperlink"/>
    <w:qFormat/>
    <w:uiPriority w:val="0"/>
    <w:rPr>
      <w:color w:val="333333"/>
      <w:szCs w:val="24"/>
      <w:u w:val="none"/>
    </w:rPr>
  </w:style>
  <w:style w:type="character" w:styleId="38">
    <w:name w:val="Emphasis"/>
    <w:basedOn w:val="34"/>
    <w:qFormat/>
    <w:uiPriority w:val="0"/>
  </w:style>
  <w:style w:type="character" w:styleId="39">
    <w:name w:val="HTML Definition"/>
    <w:basedOn w:val="34"/>
    <w:qFormat/>
    <w:uiPriority w:val="0"/>
  </w:style>
  <w:style w:type="character" w:styleId="40">
    <w:name w:val="HTML Typewriter"/>
    <w:basedOn w:val="34"/>
    <w:qFormat/>
    <w:uiPriority w:val="0"/>
    <w:rPr>
      <w:rFonts w:hint="default" w:ascii="monospace" w:hAnsi="monospace" w:eastAsia="monospace" w:cs="monospace"/>
      <w:sz w:val="20"/>
    </w:rPr>
  </w:style>
  <w:style w:type="character" w:styleId="41">
    <w:name w:val="HTML Acronym"/>
    <w:basedOn w:val="34"/>
    <w:qFormat/>
    <w:uiPriority w:val="0"/>
  </w:style>
  <w:style w:type="character" w:styleId="42">
    <w:name w:val="HTML Variable"/>
    <w:basedOn w:val="34"/>
    <w:qFormat/>
    <w:uiPriority w:val="0"/>
  </w:style>
  <w:style w:type="character" w:styleId="43">
    <w:name w:val="Hyperlink"/>
    <w:basedOn w:val="34"/>
    <w:qFormat/>
    <w:uiPriority w:val="0"/>
    <w:rPr>
      <w:color w:val="333333"/>
      <w:szCs w:val="24"/>
      <w:u w:val="none"/>
    </w:rPr>
  </w:style>
  <w:style w:type="character" w:styleId="44">
    <w:name w:val="HTML Code"/>
    <w:basedOn w:val="34"/>
    <w:qFormat/>
    <w:uiPriority w:val="0"/>
    <w:rPr>
      <w:rFonts w:ascii="monospace" w:hAnsi="monospace" w:eastAsia="monospace" w:cs="monospace"/>
      <w:sz w:val="20"/>
    </w:rPr>
  </w:style>
  <w:style w:type="character" w:styleId="45">
    <w:name w:val="HTML Cite"/>
    <w:basedOn w:val="34"/>
    <w:qFormat/>
    <w:uiPriority w:val="0"/>
  </w:style>
  <w:style w:type="character" w:styleId="46">
    <w:name w:val="HTML Keyboard"/>
    <w:basedOn w:val="34"/>
    <w:qFormat/>
    <w:uiPriority w:val="0"/>
    <w:rPr>
      <w:rFonts w:hint="default" w:ascii="monospace" w:hAnsi="monospace" w:eastAsia="monospace" w:cs="monospace"/>
      <w:sz w:val="20"/>
    </w:rPr>
  </w:style>
  <w:style w:type="character" w:styleId="47">
    <w:name w:val="HTML Sample"/>
    <w:basedOn w:val="34"/>
    <w:qFormat/>
    <w:uiPriority w:val="0"/>
    <w:rPr>
      <w:rFonts w:hint="default" w:ascii="monospace" w:hAnsi="monospace" w:eastAsia="monospace" w:cs="monospace"/>
    </w:rPr>
  </w:style>
  <w:style w:type="paragraph" w:customStyle="1" w:styleId="48">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49">
    <w:name w:val="No Spacing1"/>
    <w:basedOn w:val="1"/>
    <w:qFormat/>
    <w:uiPriority w:val="0"/>
    <w:pPr>
      <w:spacing w:line="400" w:lineRule="exact"/>
    </w:pPr>
    <w:rPr>
      <w:sz w:val="24"/>
    </w:rPr>
  </w:style>
  <w:style w:type="paragraph" w:customStyle="1" w:styleId="50">
    <w:name w:val="Default"/>
    <w:next w:val="51"/>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1">
    <w:name w:val="大标题"/>
    <w:basedOn w:val="1"/>
    <w:next w:val="4"/>
    <w:qFormat/>
    <w:uiPriority w:val="0"/>
    <w:pPr>
      <w:jc w:val="center"/>
    </w:pPr>
    <w:rPr>
      <w:rFonts w:ascii="Arial" w:hAnsi="Arial"/>
      <w:b/>
      <w:sz w:val="28"/>
    </w:rPr>
  </w:style>
  <w:style w:type="paragraph" w:customStyle="1" w:styleId="52">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3">
    <w:name w:val="Char"/>
    <w:basedOn w:val="1"/>
    <w:qFormat/>
    <w:uiPriority w:val="0"/>
  </w:style>
  <w:style w:type="paragraph" w:customStyle="1" w:styleId="54">
    <w:name w:val="正文缩进1"/>
    <w:basedOn w:val="1"/>
    <w:qFormat/>
    <w:uiPriority w:val="0"/>
    <w:pPr>
      <w:widowControl/>
      <w:ind w:firstLine="420"/>
      <w:jc w:val="left"/>
    </w:pPr>
    <w:rPr>
      <w:kern w:val="0"/>
      <w:szCs w:val="20"/>
    </w:rPr>
  </w:style>
  <w:style w:type="paragraph" w:customStyle="1" w:styleId="55">
    <w:name w:val="列出段落2"/>
    <w:basedOn w:val="1"/>
    <w:qFormat/>
    <w:uiPriority w:val="34"/>
    <w:pPr>
      <w:ind w:firstLine="420" w:firstLineChars="200"/>
    </w:pPr>
  </w:style>
  <w:style w:type="paragraph" w:customStyle="1" w:styleId="56">
    <w:name w:val="plaintext"/>
    <w:basedOn w:val="1"/>
    <w:qFormat/>
    <w:uiPriority w:val="0"/>
    <w:pPr>
      <w:widowControl/>
      <w:spacing w:beforeAutospacing="1" w:afterAutospacing="1"/>
      <w:jc w:val="left"/>
    </w:pPr>
    <w:rPr>
      <w:rFonts w:ascii="宋体" w:hAnsi="宋体" w:cs="宋体"/>
      <w:kern w:val="0"/>
      <w:sz w:val="24"/>
    </w:rPr>
  </w:style>
  <w:style w:type="paragraph" w:customStyle="1" w:styleId="57">
    <w:name w:val="1"/>
    <w:basedOn w:val="1"/>
    <w:qFormat/>
    <w:uiPriority w:val="0"/>
    <w:pPr>
      <w:widowControl/>
      <w:spacing w:beforeAutospacing="1" w:afterAutospacing="1"/>
      <w:jc w:val="left"/>
    </w:pPr>
    <w:rPr>
      <w:rFonts w:ascii="宋体" w:hAnsi="宋体" w:cs="宋体"/>
      <w:kern w:val="0"/>
      <w:sz w:val="24"/>
    </w:rPr>
  </w:style>
  <w:style w:type="paragraph" w:styleId="58">
    <w:name w:val="No Spacing"/>
    <w:qFormat/>
    <w:uiPriority w:val="1"/>
    <w:rPr>
      <w:rFonts w:ascii="Calibri" w:hAnsi="Calibri" w:eastAsia="宋体" w:cs="Times New Roman"/>
      <w:sz w:val="22"/>
      <w:szCs w:val="22"/>
      <w:lang w:val="en-US" w:eastAsia="zh-CN" w:bidi="ar-SA"/>
    </w:rPr>
  </w:style>
  <w:style w:type="paragraph" w:customStyle="1" w:styleId="59">
    <w:name w:val="_Style 2"/>
    <w:basedOn w:val="1"/>
    <w:qFormat/>
    <w:uiPriority w:val="34"/>
    <w:pPr>
      <w:ind w:firstLine="420" w:firstLineChars="200"/>
    </w:pPr>
    <w:rPr>
      <w:rFonts w:ascii="Calibri" w:hAnsi="Calibri"/>
    </w:rPr>
  </w:style>
  <w:style w:type="paragraph" w:customStyle="1" w:styleId="60">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1">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2">
    <w:name w:val="Char1"/>
    <w:basedOn w:val="1"/>
    <w:qFormat/>
    <w:uiPriority w:val="0"/>
  </w:style>
  <w:style w:type="paragraph" w:customStyle="1" w:styleId="63">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4">
    <w:name w:val="Table Paragraph"/>
    <w:basedOn w:val="1"/>
    <w:qFormat/>
    <w:uiPriority w:val="1"/>
    <w:pPr>
      <w:jc w:val="left"/>
    </w:pPr>
    <w:rPr>
      <w:rFonts w:ascii="宋体" w:hAnsi="宋体" w:cs="宋体"/>
      <w:kern w:val="0"/>
      <w:sz w:val="22"/>
      <w:szCs w:val="22"/>
      <w:lang w:eastAsia="en-US"/>
    </w:rPr>
  </w:style>
  <w:style w:type="paragraph" w:customStyle="1" w:styleId="65">
    <w:name w:val="无间隔1"/>
    <w:basedOn w:val="1"/>
    <w:qFormat/>
    <w:uiPriority w:val="1"/>
    <w:pPr>
      <w:spacing w:line="400" w:lineRule="exact"/>
    </w:pPr>
    <w:rPr>
      <w:sz w:val="24"/>
    </w:rPr>
  </w:style>
  <w:style w:type="paragraph" w:customStyle="1" w:styleId="66">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7">
    <w:name w:val="3"/>
    <w:basedOn w:val="1"/>
    <w:qFormat/>
    <w:uiPriority w:val="0"/>
    <w:pPr>
      <w:widowControl/>
      <w:spacing w:beforeAutospacing="1" w:afterAutospacing="1"/>
      <w:jc w:val="left"/>
    </w:pPr>
    <w:rPr>
      <w:rFonts w:ascii="宋体" w:hAnsi="宋体" w:cs="宋体"/>
      <w:kern w:val="0"/>
      <w:sz w:val="24"/>
    </w:rPr>
  </w:style>
  <w:style w:type="paragraph" w:customStyle="1" w:styleId="68">
    <w:name w:val="列出段落1"/>
    <w:basedOn w:val="1"/>
    <w:qFormat/>
    <w:uiPriority w:val="34"/>
    <w:pPr>
      <w:ind w:firstLine="420" w:firstLineChars="200"/>
    </w:pPr>
  </w:style>
  <w:style w:type="paragraph" w:customStyle="1" w:styleId="69">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70">
    <w:name w:val="a0"/>
    <w:basedOn w:val="1"/>
    <w:qFormat/>
    <w:uiPriority w:val="0"/>
    <w:pPr>
      <w:widowControl/>
      <w:spacing w:beforeAutospacing="1" w:afterAutospacing="1"/>
      <w:jc w:val="left"/>
    </w:pPr>
    <w:rPr>
      <w:rFonts w:ascii="宋体" w:hAnsi="宋体" w:cs="宋体"/>
      <w:kern w:val="0"/>
      <w:sz w:val="24"/>
    </w:rPr>
  </w:style>
  <w:style w:type="paragraph" w:customStyle="1" w:styleId="71">
    <w:name w:val="default"/>
    <w:basedOn w:val="1"/>
    <w:qFormat/>
    <w:uiPriority w:val="0"/>
    <w:pPr>
      <w:widowControl/>
      <w:spacing w:beforeAutospacing="1" w:afterAutospacing="1"/>
      <w:jc w:val="left"/>
    </w:pPr>
    <w:rPr>
      <w:rFonts w:ascii="宋体" w:hAnsi="宋体" w:cs="宋体"/>
      <w:kern w:val="0"/>
      <w:sz w:val="24"/>
    </w:rPr>
  </w:style>
  <w:style w:type="paragraph" w:customStyle="1" w:styleId="72">
    <w:name w:val="列出段落11"/>
    <w:basedOn w:val="1"/>
    <w:qFormat/>
    <w:uiPriority w:val="0"/>
    <w:pPr>
      <w:ind w:firstLine="420" w:firstLineChars="200"/>
    </w:pPr>
    <w:rPr>
      <w:rFonts w:ascii="Calibri" w:hAnsi="Calibri"/>
      <w:szCs w:val="22"/>
    </w:rPr>
  </w:style>
  <w:style w:type="character" w:customStyle="1" w:styleId="73">
    <w:name w:val="正文文本 Char"/>
    <w:basedOn w:val="34"/>
    <w:link w:val="3"/>
    <w:qFormat/>
    <w:uiPriority w:val="0"/>
  </w:style>
  <w:style w:type="character" w:customStyle="1" w:styleId="74">
    <w:name w:val="apple-converted-space"/>
    <w:basedOn w:val="34"/>
    <w:qFormat/>
    <w:uiPriority w:val="0"/>
  </w:style>
  <w:style w:type="character" w:customStyle="1" w:styleId="75">
    <w:name w:val="文档结构图 Char"/>
    <w:link w:val="13"/>
    <w:qFormat/>
    <w:uiPriority w:val="0"/>
    <w:rPr>
      <w:rFonts w:ascii="宋体"/>
      <w:kern w:val="2"/>
      <w:sz w:val="18"/>
      <w:szCs w:val="18"/>
    </w:rPr>
  </w:style>
  <w:style w:type="character" w:customStyle="1" w:styleId="76">
    <w:name w:val="不明显强调1"/>
    <w:qFormat/>
    <w:uiPriority w:val="19"/>
    <w:rPr>
      <w:i/>
      <w:iCs/>
      <w:color w:val="7F7F7F"/>
      <w:szCs w:val="24"/>
    </w:rPr>
  </w:style>
  <w:style w:type="character" w:customStyle="1" w:styleId="77">
    <w:name w:val="font71"/>
    <w:qFormat/>
    <w:uiPriority w:val="0"/>
    <w:rPr>
      <w:rFonts w:hint="eastAsia" w:ascii="宋体" w:hAnsi="宋体" w:eastAsia="宋体" w:cs="宋体"/>
      <w:color w:val="000000"/>
      <w:sz w:val="28"/>
      <w:szCs w:val="28"/>
      <w:u w:val="none"/>
    </w:rPr>
  </w:style>
  <w:style w:type="character" w:customStyle="1" w:styleId="78">
    <w:name w:val="font21"/>
    <w:qFormat/>
    <w:uiPriority w:val="0"/>
    <w:rPr>
      <w:rFonts w:hint="default" w:ascii="Calibri" w:hAnsi="Calibri" w:cs="Calibri"/>
      <w:color w:val="000000"/>
      <w:sz w:val="28"/>
      <w:szCs w:val="28"/>
      <w:u w:val="none"/>
    </w:rPr>
  </w:style>
  <w:style w:type="character" w:customStyle="1" w:styleId="79">
    <w:name w:val="17"/>
    <w:qFormat/>
    <w:uiPriority w:val="0"/>
    <w:rPr>
      <w:rFonts w:hint="eastAsia" w:ascii="宋体" w:hAnsi="宋体" w:eastAsia="宋体"/>
      <w:color w:val="000000"/>
    </w:rPr>
  </w:style>
  <w:style w:type="character" w:customStyle="1" w:styleId="80">
    <w:name w:val="font91"/>
    <w:qFormat/>
    <w:uiPriority w:val="0"/>
    <w:rPr>
      <w:rFonts w:hint="eastAsia" w:ascii="宋体" w:hAnsi="宋体" w:eastAsia="宋体" w:cs="宋体"/>
      <w:color w:val="FF0000"/>
      <w:sz w:val="28"/>
      <w:szCs w:val="28"/>
      <w:u w:val="none"/>
    </w:rPr>
  </w:style>
  <w:style w:type="paragraph" w:customStyle="1" w:styleId="81">
    <w:name w:val="p"/>
    <w:basedOn w:val="1"/>
    <w:qFormat/>
    <w:uiPriority w:val="0"/>
    <w:pPr>
      <w:widowControl/>
      <w:spacing w:line="432" w:lineRule="auto"/>
      <w:jc w:val="left"/>
    </w:pPr>
    <w:rPr>
      <w:rFonts w:ascii="宋体" w:hAnsi="宋体" w:cs="宋体"/>
      <w:kern w:val="0"/>
      <w:sz w:val="24"/>
    </w:rPr>
  </w:style>
  <w:style w:type="paragraph" w:customStyle="1" w:styleId="82">
    <w:name w:val="WPSOffice手动目录 1"/>
    <w:qFormat/>
    <w:uiPriority w:val="0"/>
    <w:rPr>
      <w:rFonts w:ascii="Times New Roman" w:hAnsi="Times New Roman" w:eastAsia="宋体" w:cs="Times New Roman"/>
      <w:lang w:val="en-US" w:eastAsia="zh-CN" w:bidi="ar-SA"/>
    </w:rPr>
  </w:style>
  <w:style w:type="paragraph" w:customStyle="1" w:styleId="83">
    <w:name w:val="*正文_1"/>
    <w:basedOn w:val="1"/>
    <w:next w:val="1"/>
    <w:qFormat/>
    <w:uiPriority w:val="0"/>
    <w:pPr>
      <w:widowControl/>
      <w:ind w:firstLine="482"/>
    </w:pPr>
    <w:rPr>
      <w:rFonts w:ascii="微软雅黑" w:hAnsi="微软雅黑" w:eastAsia="微软雅黑"/>
      <w:kern w:val="0"/>
      <w:szCs w:val="20"/>
    </w:rPr>
  </w:style>
  <w:style w:type="paragraph" w:customStyle="1" w:styleId="84">
    <w:name w:val="表格文字"/>
    <w:basedOn w:val="1"/>
    <w:next w:val="3"/>
    <w:qFormat/>
    <w:uiPriority w:val="0"/>
    <w:pPr>
      <w:adjustRightInd w:val="0"/>
      <w:spacing w:line="420" w:lineRule="atLeast"/>
      <w:jc w:val="left"/>
      <w:textAlignment w:val="baseline"/>
    </w:pPr>
    <w:rPr>
      <w:kern w:val="0"/>
      <w:szCs w:val="20"/>
    </w:rPr>
  </w:style>
  <w:style w:type="character" w:customStyle="1" w:styleId="85">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6">
    <w:name w:val="列表段落1"/>
    <w:basedOn w:val="1"/>
    <w:qFormat/>
    <w:uiPriority w:val="34"/>
    <w:pPr>
      <w:widowControl/>
      <w:ind w:firstLine="420"/>
      <w:jc w:val="left"/>
    </w:pPr>
    <w:rPr>
      <w:kern w:val="0"/>
    </w:rPr>
  </w:style>
  <w:style w:type="paragraph" w:styleId="87">
    <w:name w:val="List Paragraph"/>
    <w:basedOn w:val="1"/>
    <w:qFormat/>
    <w:uiPriority w:val="34"/>
    <w:pPr>
      <w:ind w:firstLine="420" w:firstLineChars="200"/>
    </w:pPr>
  </w:style>
  <w:style w:type="character" w:customStyle="1" w:styleId="88">
    <w:name w:val="hover18"/>
    <w:basedOn w:val="34"/>
    <w:qFormat/>
    <w:uiPriority w:val="0"/>
  </w:style>
  <w:style w:type="character" w:customStyle="1" w:styleId="89">
    <w:name w:val="font41"/>
    <w:basedOn w:val="34"/>
    <w:qFormat/>
    <w:uiPriority w:val="0"/>
    <w:rPr>
      <w:rFonts w:hint="eastAsia" w:ascii="宋体" w:hAnsi="宋体" w:eastAsia="宋体" w:cs="宋体"/>
      <w:color w:val="000000"/>
      <w:sz w:val="21"/>
      <w:szCs w:val="21"/>
      <w:u w:val="none"/>
    </w:rPr>
  </w:style>
  <w:style w:type="character" w:customStyle="1" w:styleId="90">
    <w:name w:val="font51"/>
    <w:basedOn w:val="34"/>
    <w:qFormat/>
    <w:uiPriority w:val="0"/>
    <w:rPr>
      <w:rFonts w:hint="eastAsia" w:ascii="宋体" w:hAnsi="宋体" w:eastAsia="宋体" w:cs="宋体"/>
      <w:b/>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36</Pages>
  <Words>17359</Words>
  <Characters>18588</Characters>
  <Lines>50</Lines>
  <Paragraphs>68</Paragraphs>
  <TotalTime>0</TotalTime>
  <ScaleCrop>false</ScaleCrop>
  <LinksUpToDate>false</LinksUpToDate>
  <CharactersWithSpaces>19506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admin</cp:lastModifiedBy>
  <cp:lastPrinted>2021-09-30T00:46:00Z</cp:lastPrinted>
  <dcterms:modified xsi:type="dcterms:W3CDTF">2022-07-12T01:01:51Z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562A285641654D2EA086C4325B3B203C</vt:lpwstr>
  </property>
</Properties>
</file>