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r>
        <w:rPr>
          <w:rFonts w:hint="eastAsia" w:ascii="黑体" w:hAnsi="黑体" w:eastAsia="黑体" w:cs="宋体"/>
          <w:bCs/>
          <w:color w:val="auto"/>
          <w:kern w:val="0"/>
          <w:sz w:val="48"/>
          <w:szCs w:val="48"/>
          <w:lang w:eastAsia="zh-CN"/>
        </w:rPr>
        <w:t>驻马店市中心医院微量注射泵、输液泵等医疗设备采购项目</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lang w:val="en-US" w:eastAsia="zh-CN"/>
        </w:rPr>
      </w:pPr>
    </w:p>
    <w:p>
      <w:pPr>
        <w:snapToGrid w:val="0"/>
        <w:spacing w:line="380" w:lineRule="exact"/>
        <w:jc w:val="center"/>
        <w:rPr>
          <w:rFonts w:hint="eastAsia" w:ascii="宋体" w:hAnsi="宋体" w:eastAsia="宋体" w:cs="宋体"/>
          <w:b/>
          <w:color w:val="auto"/>
          <w:sz w:val="32"/>
          <w:szCs w:val="32"/>
        </w:rPr>
      </w:pPr>
    </w:p>
    <w:p>
      <w:pPr>
        <w:pStyle w:val="29"/>
        <w:rPr>
          <w:rFonts w:hint="eastAsia"/>
          <w:color w:val="auto"/>
        </w:rPr>
      </w:pPr>
    </w:p>
    <w:p>
      <w:pPr>
        <w:pStyle w:val="57"/>
        <w:rPr>
          <w:rFonts w:hint="eastAsia" w:ascii="宋体" w:hAnsi="宋体" w:eastAsia="宋体" w:cs="宋体"/>
          <w:bCs/>
          <w:color w:val="auto"/>
          <w:sz w:val="2"/>
          <w:szCs w:val="2"/>
        </w:rPr>
      </w:pPr>
    </w:p>
    <w:p>
      <w:pPr>
        <w:rPr>
          <w:rFonts w:hint="eastAsia" w:ascii="宋体" w:hAnsi="宋体" w:eastAsia="宋体" w:cs="宋体"/>
          <w:bCs/>
          <w:color w:val="auto"/>
          <w:sz w:val="2"/>
          <w:szCs w:val="2"/>
        </w:rPr>
      </w:pPr>
    </w:p>
    <w:p>
      <w:pPr>
        <w:spacing w:line="20" w:lineRule="exact"/>
        <w:rPr>
          <w:rFonts w:hint="eastAsia" w:ascii="宋体" w:hAnsi="宋体" w:eastAsia="宋体" w:cs="宋体"/>
          <w:bCs/>
          <w:color w:val="auto"/>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rPr>
      </w:pPr>
      <w:r>
        <w:rPr>
          <w:rFonts w:hint="eastAsia" w:ascii="宋体" w:hAnsi="宋体" w:eastAsia="宋体" w:cs="宋体"/>
          <w:b/>
          <w:bCs/>
          <w:color w:val="auto"/>
          <w:spacing w:val="-10"/>
          <w:sz w:val="34"/>
          <w:szCs w:val="34"/>
          <w:lang w:val="en-US" w:eastAsia="zh-CN"/>
        </w:rPr>
        <w:t>采 购</w:t>
      </w:r>
      <w:r>
        <w:rPr>
          <w:rFonts w:hint="eastAsia" w:ascii="宋体" w:hAnsi="宋体" w:eastAsia="宋体" w:cs="宋体"/>
          <w:b/>
          <w:bCs/>
          <w:color w:val="auto"/>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color w:val="auto"/>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lang w:val="en-US" w:eastAsia="zh-CN"/>
        </w:rPr>
        <w:t>2022</w:t>
      </w:r>
      <w:r>
        <w:rPr>
          <w:rFonts w:hint="eastAsia" w:ascii="宋体" w:hAnsi="宋体" w:eastAsia="宋体" w:cs="宋体"/>
          <w:b/>
          <w:bCs/>
          <w:color w:val="auto"/>
          <w:spacing w:val="40"/>
          <w:sz w:val="34"/>
          <w:szCs w:val="34"/>
        </w:rPr>
        <w:t>年</w:t>
      </w:r>
      <w:r>
        <w:rPr>
          <w:rFonts w:hint="eastAsia" w:ascii="宋体" w:hAnsi="宋体" w:cs="宋体"/>
          <w:b/>
          <w:bCs/>
          <w:color w:val="auto"/>
          <w:spacing w:val="40"/>
          <w:sz w:val="34"/>
          <w:szCs w:val="34"/>
          <w:lang w:val="en-US" w:eastAsia="zh-CN"/>
        </w:rPr>
        <w:t>07</w:t>
      </w:r>
      <w:r>
        <w:rPr>
          <w:rFonts w:hint="eastAsia" w:ascii="宋体" w:hAnsi="宋体" w:eastAsia="宋体" w:cs="宋体"/>
          <w:b/>
          <w:bCs/>
          <w:color w:val="auto"/>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lang w:eastAsia="zh-CN"/>
        </w:rPr>
        <w:t>驻马店市中心医院微量注射泵、输液泵等医疗设备采购项目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微量注射泵、输液泵等医疗设备采购项目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eastAsia="zh-CN"/>
        </w:rPr>
        <w:t>驻马店市中心医院微量注射泵、输液泵等医疗设备采购项目；</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490000.00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bookmarkStart w:id="4" w:name="_Toc26079"/>
      <w:bookmarkStart w:id="5" w:name="_Toc27913"/>
      <w:bookmarkStart w:id="6" w:name="_Toc24040"/>
      <w:bookmarkStart w:id="7" w:name="_Toc21071"/>
      <w:bookmarkStart w:id="8" w:name="_Toc19521"/>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widowControl/>
        <w:tabs>
          <w:tab w:val="left" w:pos="840"/>
        </w:tabs>
        <w:snapToGrid w:val="0"/>
        <w:spacing w:line="360" w:lineRule="auto"/>
        <w:ind w:firstLine="420" w:firstLineChars="200"/>
        <w:jc w:val="left"/>
        <w:rPr>
          <w:rFonts w:hint="default"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lang w:val="en-US" w:eastAsia="zh-CN"/>
        </w:rPr>
        <w:t>6、标段：共三个标段</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3626"/>
      <w:bookmarkStart w:id="10" w:name="_Toc27704"/>
      <w:bookmarkStart w:id="11" w:name="_Toc18607"/>
      <w:bookmarkStart w:id="12"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w:t>
      </w:r>
      <w:r>
        <w:rPr>
          <w:rFonts w:hint="eastAsia" w:ascii="宋体" w:hAnsi="宋体" w:cs="宋体"/>
          <w:color w:val="auto"/>
          <w:kern w:val="2"/>
          <w:sz w:val="21"/>
          <w:szCs w:val="24"/>
          <w:lang w:val="en-US" w:eastAsia="zh-CN" w:bidi="ar-SA"/>
        </w:rPr>
        <w:t>2021年度</w:t>
      </w:r>
      <w:r>
        <w:rPr>
          <w:rFonts w:hint="eastAsia" w:ascii="宋体" w:hAnsi="宋体" w:eastAsia="宋体" w:cs="宋体"/>
          <w:color w:val="auto"/>
          <w:kern w:val="2"/>
          <w:sz w:val="21"/>
          <w:szCs w:val="24"/>
          <w:lang w:val="en-US" w:eastAsia="zh-CN" w:bidi="ar-SA"/>
        </w:rPr>
        <w:t>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highlight w:val="none"/>
          <w:lang w:val="en-US" w:eastAsia="zh-CN"/>
        </w:rPr>
      </w:pPr>
      <w:r>
        <w:rPr>
          <w:rFonts w:hint="eastAsia" w:ascii="宋体" w:hAnsi="宋体" w:eastAsia="宋体" w:cs="宋体"/>
          <w:color w:val="auto"/>
          <w:kern w:val="2"/>
          <w:sz w:val="21"/>
          <w:szCs w:val="24"/>
          <w:highlight w:val="none"/>
          <w:lang w:val="en-US" w:eastAsia="zh-CN" w:bidi="ar-SA"/>
        </w:rPr>
        <w:t>6</w:t>
      </w:r>
      <w:r>
        <w:rPr>
          <w:rFonts w:hint="eastAsia"/>
          <w:color w:val="auto"/>
          <w:highlight w:val="none"/>
          <w:lang w:val="en-US" w:eastAsia="zh-CN"/>
        </w:rPr>
        <w:t>、供应商是生产厂家的须具有《医疗器械生产许可证》；供应商是代理商的须具有《医疗器械经营许可证》或《医疗器械经营备案凭证》。</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9562"/>
      <w:bookmarkStart w:id="14" w:name="_Toc23395"/>
      <w:bookmarkStart w:id="15" w:name="_Toc7823"/>
      <w:bookmarkStart w:id="16" w:name="_Toc30643"/>
      <w:bookmarkStart w:id="17" w:name="_Toc30971"/>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w:t>
      </w:r>
      <w:r>
        <w:rPr>
          <w:rFonts w:hint="eastAsia" w:ascii="宋体" w:hAnsi="宋体" w:eastAsia="宋体" w:cs="宋体"/>
          <w:color w:val="auto"/>
          <w:szCs w:val="21"/>
          <w:highlight w:val="none"/>
          <w:shd w:val="clear" w:color="auto" w:fill="FFFFFF"/>
        </w:rPr>
        <w:t>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07</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13</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07</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15</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5111"/>
      <w:bookmarkStart w:id="19" w:name="_Toc15135"/>
      <w:bookmarkStart w:id="20" w:name="_Toc27480"/>
      <w:bookmarkStart w:id="21" w:name="_Toc10738"/>
      <w:bookmarkStart w:id="22" w:name="_Toc25869"/>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30918"/>
      <w:bookmarkStart w:id="24" w:name="_Toc29784"/>
      <w:bookmarkStart w:id="25" w:name="_Toc6523"/>
      <w:bookmarkStart w:id="26" w:name="_Toc20287"/>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16291"/>
      <w:bookmarkStart w:id="30" w:name="_Toc31928"/>
      <w:bookmarkStart w:id="31" w:name="_Toc27370"/>
      <w:bookmarkStart w:id="32" w:name="_Toc3604"/>
      <w:bookmarkStart w:id="33" w:name="_Toc2427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联系电话：18595618752</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29"/>
        <w:rPr>
          <w:rFonts w:hint="eastAsia"/>
          <w:color w:val="auto"/>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驻马店市</w:t>
      </w:r>
      <w:r>
        <w:rPr>
          <w:rFonts w:hint="eastAsia" w:ascii="宋体" w:hAnsi="宋体" w:eastAsia="宋体" w:cs="宋体"/>
          <w:color w:val="auto"/>
          <w:kern w:val="0"/>
          <w:sz w:val="21"/>
          <w:szCs w:val="21"/>
          <w:highlight w:val="none"/>
          <w:shd w:val="clear" w:color="auto" w:fill="FFFFFF"/>
          <w:lang w:val="en-US" w:eastAsia="zh-CN" w:bidi="ar-SA"/>
        </w:rPr>
        <w:t>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2022年0</w:t>
      </w:r>
      <w:r>
        <w:rPr>
          <w:rFonts w:hint="eastAsia" w:ascii="宋体" w:hAnsi="宋体" w:cs="宋体"/>
          <w:color w:val="auto"/>
          <w:kern w:val="0"/>
          <w:sz w:val="21"/>
          <w:szCs w:val="21"/>
          <w:highlight w:val="none"/>
          <w:shd w:val="clear" w:color="auto" w:fill="FFFFFF"/>
          <w:lang w:val="en-US" w:eastAsia="zh-CN" w:bidi="ar-SA"/>
        </w:rPr>
        <w:t>7</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12</w:t>
      </w:r>
      <w:r>
        <w:rPr>
          <w:rFonts w:hint="eastAsia" w:ascii="宋体" w:hAnsi="宋体" w:eastAsia="宋体" w:cs="宋体"/>
          <w:color w:val="auto"/>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31536"/>
      <w:bookmarkStart w:id="38" w:name="_Toc9989"/>
      <w:bookmarkStart w:id="39" w:name="_Toc23610"/>
    </w:p>
    <w:bookmarkEnd w:id="37"/>
    <w:bookmarkEnd w:id="38"/>
    <w:bookmarkEnd w:id="39"/>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项目名称：</w:t>
      </w:r>
      <w:r>
        <w:rPr>
          <w:rFonts w:hint="eastAsia" w:ascii="宋体" w:hAnsi="宋体" w:eastAsia="宋体" w:cs="宋体"/>
          <w:color w:val="auto"/>
          <w:szCs w:val="21"/>
          <w:highlight w:val="none"/>
        </w:rPr>
        <w:t xml:space="preserve"> </w:t>
      </w:r>
      <w:r>
        <w:rPr>
          <w:rFonts w:hint="eastAsia" w:ascii="宋体" w:hAnsi="宋体" w:cs="宋体"/>
          <w:color w:val="auto"/>
          <w:lang w:eastAsia="zh-CN"/>
        </w:rPr>
        <w:t>驻马店市中心医院微量注射泵、输液泵等医疗设备采购项目</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kern w:val="2"/>
          <w:sz w:val="21"/>
          <w:szCs w:val="21"/>
          <w:highlight w:val="none"/>
          <w:lang w:val="en-US" w:eastAsia="zh-CN" w:bidi="ar-SA"/>
        </w:rPr>
        <w:t xml:space="preserve">                                                         </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default" w:ascii="宋体" w:hAnsi="宋体" w:eastAsia="宋体" w:cs="宋体"/>
                <w:b/>
                <w:bCs/>
                <w:color w:val="auto"/>
                <w:sz w:val="21"/>
                <w:szCs w:val="21"/>
                <w:lang w:val="en-US" w:eastAsia="zh-CN"/>
              </w:rPr>
            </w:pPr>
            <w:r>
              <w:rPr>
                <w:rFonts w:hint="eastAsia" w:cs="宋体"/>
                <w:b/>
                <w:bCs/>
                <w:color w:val="auto"/>
                <w:sz w:val="21"/>
                <w:szCs w:val="21"/>
                <w:lang w:val="en-US" w:eastAsia="zh-CN"/>
              </w:rPr>
              <w:t>标段</w:t>
            </w:r>
          </w:p>
        </w:tc>
        <w:tc>
          <w:tcPr>
            <w:tcW w:w="2718"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资金预算</w:t>
            </w:r>
            <w:r>
              <w:rPr>
                <w:rFonts w:hint="eastAsia" w:ascii="宋体" w:hAnsi="宋体" w:eastAsia="宋体" w:cs="宋体"/>
                <w:b/>
                <w:bCs/>
                <w:color w:val="auto"/>
                <w:sz w:val="21"/>
                <w:szCs w:val="21"/>
                <w:lang w:eastAsia="zh-CN"/>
              </w:rPr>
              <w:t>（元）</w:t>
            </w:r>
          </w:p>
        </w:tc>
        <w:tc>
          <w:tcPr>
            <w:tcW w:w="1554"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tcPr>
          <w:p>
            <w:pPr>
              <w:pStyle w:val="13"/>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一标段</w:t>
            </w:r>
          </w:p>
        </w:tc>
        <w:tc>
          <w:tcPr>
            <w:tcW w:w="2718" w:type="dxa"/>
            <w:tcBorders>
              <w:top w:val="single" w:color="auto" w:sz="4" w:space="0"/>
              <w:left w:val="nil"/>
              <w:bottom w:val="single" w:color="auto" w:sz="4" w:space="0"/>
              <w:right w:val="single" w:color="auto" w:sz="4" w:space="0"/>
            </w:tcBorders>
          </w:tcPr>
          <w:p>
            <w:pPr>
              <w:pStyle w:val="13"/>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单道微量注射泵</w:t>
            </w:r>
          </w:p>
        </w:tc>
        <w:tc>
          <w:tcPr>
            <w:tcW w:w="1736" w:type="dxa"/>
            <w:tcBorders>
              <w:top w:val="single" w:color="auto" w:sz="4" w:space="0"/>
              <w:left w:val="nil"/>
              <w:bottom w:val="single" w:color="auto" w:sz="4" w:space="0"/>
              <w:right w:val="single" w:color="auto" w:sz="4" w:space="0"/>
            </w:tcBorders>
          </w:tcPr>
          <w:p>
            <w:pPr>
              <w:pStyle w:val="13"/>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473" w:type="dxa"/>
            <w:tcBorders>
              <w:top w:val="single" w:color="auto" w:sz="4" w:space="0"/>
              <w:left w:val="nil"/>
              <w:bottom w:val="single" w:color="auto" w:sz="4" w:space="0"/>
              <w:right w:val="single" w:color="auto" w:sz="4" w:space="0"/>
            </w:tcBorders>
          </w:tcPr>
          <w:p>
            <w:pPr>
              <w:pStyle w:val="13"/>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2600</w:t>
            </w:r>
          </w:p>
        </w:tc>
        <w:tc>
          <w:tcPr>
            <w:tcW w:w="1554" w:type="dxa"/>
            <w:tcBorders>
              <w:top w:val="single" w:color="auto" w:sz="4" w:space="0"/>
              <w:left w:val="nil"/>
              <w:bottom w:val="single" w:color="auto" w:sz="4" w:space="0"/>
              <w:right w:val="single" w:color="auto" w:sz="4" w:space="0"/>
            </w:tcBorders>
          </w:tcPr>
          <w:p>
            <w:pPr>
              <w:pStyle w:val="13"/>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41" w:type="dxa"/>
            <w:tcBorders>
              <w:top w:val="single" w:color="auto" w:sz="4" w:space="0"/>
              <w:left w:val="single" w:color="auto" w:sz="4" w:space="0"/>
              <w:bottom w:val="single" w:color="auto" w:sz="4" w:space="0"/>
              <w:right w:val="single" w:color="auto" w:sz="4" w:space="0"/>
            </w:tcBorders>
          </w:tcPr>
          <w:p>
            <w:pPr>
              <w:pStyle w:val="13"/>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二标段</w:t>
            </w:r>
          </w:p>
        </w:tc>
        <w:tc>
          <w:tcPr>
            <w:tcW w:w="2718" w:type="dxa"/>
            <w:tcBorders>
              <w:top w:val="single" w:color="auto" w:sz="4" w:space="0"/>
              <w:left w:val="nil"/>
              <w:bottom w:val="single" w:color="auto" w:sz="4" w:space="0"/>
              <w:right w:val="single" w:color="auto" w:sz="4" w:space="0"/>
            </w:tcBorders>
            <w:vAlign w:val="top"/>
          </w:tcPr>
          <w:p>
            <w:pPr>
              <w:pStyle w:val="13"/>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双道微量注射泵</w:t>
            </w:r>
          </w:p>
        </w:tc>
        <w:tc>
          <w:tcPr>
            <w:tcW w:w="1736" w:type="dxa"/>
            <w:tcBorders>
              <w:top w:val="single" w:color="auto" w:sz="4" w:space="0"/>
              <w:left w:val="nil"/>
              <w:bottom w:val="single" w:color="auto" w:sz="4" w:space="0"/>
              <w:right w:val="single" w:color="auto" w:sz="4" w:space="0"/>
            </w:tcBorders>
            <w:vAlign w:val="top"/>
          </w:tcPr>
          <w:p>
            <w:pPr>
              <w:pStyle w:val="13"/>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473" w:type="dxa"/>
            <w:tcBorders>
              <w:top w:val="single" w:color="auto" w:sz="4" w:space="0"/>
              <w:left w:val="nil"/>
              <w:bottom w:val="single" w:color="auto" w:sz="4" w:space="0"/>
              <w:right w:val="single" w:color="auto" w:sz="4" w:space="0"/>
            </w:tcBorders>
            <w:vAlign w:val="top"/>
          </w:tcPr>
          <w:p>
            <w:pPr>
              <w:pStyle w:val="13"/>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4600</w:t>
            </w:r>
          </w:p>
        </w:tc>
        <w:tc>
          <w:tcPr>
            <w:tcW w:w="1554" w:type="dxa"/>
            <w:tcBorders>
              <w:top w:val="single" w:color="auto" w:sz="4" w:space="0"/>
              <w:left w:val="nil"/>
              <w:bottom w:val="single" w:color="auto" w:sz="4" w:space="0"/>
              <w:right w:val="single" w:color="auto" w:sz="4" w:space="0"/>
            </w:tcBorders>
          </w:tcPr>
          <w:p>
            <w:pPr>
              <w:pStyle w:val="13"/>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41" w:type="dxa"/>
            <w:tcBorders>
              <w:top w:val="single" w:color="auto" w:sz="4" w:space="0"/>
              <w:left w:val="single" w:color="auto" w:sz="4" w:space="0"/>
              <w:bottom w:val="single" w:color="auto" w:sz="4" w:space="0"/>
              <w:right w:val="single" w:color="auto" w:sz="4" w:space="0"/>
            </w:tcBorders>
          </w:tcPr>
          <w:p>
            <w:pPr>
              <w:pStyle w:val="13"/>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三标段</w:t>
            </w:r>
          </w:p>
        </w:tc>
        <w:tc>
          <w:tcPr>
            <w:tcW w:w="2718" w:type="dxa"/>
            <w:tcBorders>
              <w:top w:val="single" w:color="auto" w:sz="4" w:space="0"/>
              <w:left w:val="nil"/>
              <w:bottom w:val="single" w:color="auto" w:sz="4" w:space="0"/>
              <w:right w:val="single" w:color="auto" w:sz="4" w:space="0"/>
            </w:tcBorders>
          </w:tcPr>
          <w:p>
            <w:pPr>
              <w:pStyle w:val="13"/>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输液泵</w:t>
            </w:r>
          </w:p>
        </w:tc>
        <w:tc>
          <w:tcPr>
            <w:tcW w:w="1736" w:type="dxa"/>
            <w:tcBorders>
              <w:top w:val="single" w:color="auto" w:sz="4" w:space="0"/>
              <w:left w:val="nil"/>
              <w:bottom w:val="single" w:color="auto" w:sz="4" w:space="0"/>
              <w:right w:val="single" w:color="auto" w:sz="4" w:space="0"/>
            </w:tcBorders>
          </w:tcPr>
          <w:p>
            <w:pPr>
              <w:pStyle w:val="13"/>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473" w:type="dxa"/>
            <w:tcBorders>
              <w:top w:val="single" w:color="auto" w:sz="4" w:space="0"/>
              <w:left w:val="nil"/>
              <w:bottom w:val="single" w:color="auto" w:sz="4" w:space="0"/>
              <w:right w:val="single" w:color="auto" w:sz="4" w:space="0"/>
            </w:tcBorders>
          </w:tcPr>
          <w:p>
            <w:pPr>
              <w:pStyle w:val="13"/>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4200</w:t>
            </w:r>
          </w:p>
        </w:tc>
        <w:tc>
          <w:tcPr>
            <w:tcW w:w="1554" w:type="dxa"/>
            <w:tcBorders>
              <w:top w:val="single" w:color="auto" w:sz="4" w:space="0"/>
              <w:left w:val="nil"/>
              <w:bottom w:val="single" w:color="auto" w:sz="4" w:space="0"/>
              <w:right w:val="single" w:color="auto" w:sz="4" w:space="0"/>
            </w:tcBorders>
          </w:tcPr>
          <w:p>
            <w:pPr>
              <w:pStyle w:val="13"/>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自筹</w:t>
            </w:r>
          </w:p>
        </w:tc>
      </w:tr>
    </w:tbl>
    <w:p>
      <w:pPr>
        <w:pStyle w:val="13"/>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备注：</w:t>
      </w:r>
      <w:r>
        <w:rPr>
          <w:rFonts w:hint="eastAsia" w:cs="宋体"/>
          <w:b/>
          <w:bCs/>
          <w:color w:val="auto"/>
          <w:kern w:val="2"/>
          <w:sz w:val="21"/>
          <w:szCs w:val="21"/>
          <w:highlight w:val="none"/>
          <w:lang w:val="en-US" w:eastAsia="zh-CN" w:bidi="ar-SA"/>
        </w:rPr>
        <w:t>每个</w:t>
      </w:r>
      <w:r>
        <w:rPr>
          <w:rFonts w:hint="eastAsia" w:ascii="宋体" w:hAnsi="宋体" w:eastAsia="宋体" w:cs="宋体"/>
          <w:b/>
          <w:bCs/>
          <w:color w:val="auto"/>
          <w:kern w:val="2"/>
          <w:sz w:val="21"/>
          <w:szCs w:val="21"/>
          <w:highlight w:val="none"/>
          <w:lang w:val="en-US" w:eastAsia="zh-CN" w:bidi="ar-SA"/>
        </w:rPr>
        <w:t>标</w:t>
      </w:r>
      <w:r>
        <w:rPr>
          <w:rFonts w:hint="eastAsia" w:cs="宋体"/>
          <w:b/>
          <w:bCs/>
          <w:color w:val="auto"/>
          <w:kern w:val="2"/>
          <w:sz w:val="21"/>
          <w:szCs w:val="21"/>
          <w:highlight w:val="none"/>
          <w:lang w:val="en-US" w:eastAsia="zh-CN" w:bidi="ar-SA"/>
        </w:rPr>
        <w:t>段</w:t>
      </w:r>
      <w:r>
        <w:rPr>
          <w:rFonts w:hint="eastAsia" w:ascii="宋体" w:hAnsi="宋体" w:eastAsia="宋体" w:cs="宋体"/>
          <w:b/>
          <w:bCs/>
          <w:color w:val="auto"/>
          <w:kern w:val="2"/>
          <w:sz w:val="21"/>
          <w:szCs w:val="21"/>
          <w:highlight w:val="none"/>
          <w:lang w:val="en-US" w:eastAsia="zh-CN" w:bidi="ar-SA"/>
        </w:rPr>
        <w:t>招一年供货商，遴选两个品牌</w:t>
      </w:r>
    </w:p>
    <w:p>
      <w:pPr>
        <w:pStyle w:val="13"/>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二、详细技术要求、参数及产品资料等：</w:t>
      </w:r>
    </w:p>
    <w:p>
      <w:pPr>
        <w:pStyle w:val="13"/>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1、带样机</w:t>
      </w:r>
      <w:r>
        <w:rPr>
          <w:rFonts w:hint="eastAsia" w:ascii="宋体" w:hAnsi="宋体" w:eastAsia="宋体" w:cs="宋体"/>
          <w:color w:val="auto"/>
          <w:kern w:val="2"/>
          <w:sz w:val="21"/>
          <w:szCs w:val="21"/>
          <w:highlight w:val="none"/>
          <w:lang w:val="en-US" w:eastAsia="zh-CN" w:bidi="ar-SA"/>
        </w:rPr>
        <w:t xml:space="preserve"> </w:t>
      </w:r>
    </w:p>
    <w:p>
      <w:pPr>
        <w:pStyle w:val="13"/>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2、附技术偏离表、评分标准、产品彩页（重要技术参数需在产品彩页上体现）、相关证明文件（完整版的检验报告、注册证中附件有产品技术要求的</w:t>
      </w:r>
      <w:bookmarkStart w:id="91" w:name="_GoBack"/>
      <w:bookmarkEnd w:id="91"/>
      <w:r>
        <w:rPr>
          <w:rFonts w:hint="eastAsia" w:ascii="宋体" w:hAnsi="宋体" w:eastAsia="宋体" w:cs="宋体"/>
          <w:color w:val="auto"/>
          <w:kern w:val="2"/>
          <w:sz w:val="21"/>
          <w:szCs w:val="21"/>
          <w:highlight w:val="none"/>
          <w:lang w:val="en-US" w:eastAsia="zh-CN" w:bidi="ar-SA"/>
        </w:rPr>
        <w:t xml:space="preserve">提供产品技术要求）                                                          </w:t>
      </w:r>
    </w:p>
    <w:p>
      <w:pPr>
        <w:pStyle w:val="13"/>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三、售后服务条件及交货日期（或工期）：</w:t>
      </w:r>
    </w:p>
    <w:p>
      <w:pPr>
        <w:widowControl/>
        <w:adjustRightInd w:val="0"/>
        <w:snapToGrid w:val="0"/>
        <w:spacing w:line="360" w:lineRule="auto"/>
        <w:jc w:val="left"/>
        <w:rPr>
          <w:rFonts w:ascii="宋体" w:hAnsi="宋体"/>
          <w:color w:val="auto"/>
          <w:sz w:val="28"/>
          <w:szCs w:val="28"/>
          <w:u w:val="single"/>
        </w:rPr>
      </w:pPr>
      <w:r>
        <w:rPr>
          <w:rFonts w:hint="eastAsia" w:ascii="宋体" w:hAnsi="宋体" w:eastAsia="宋体" w:cs="宋体"/>
          <w:color w:val="auto"/>
          <w:kern w:val="2"/>
          <w:sz w:val="21"/>
          <w:szCs w:val="21"/>
          <w:highlight w:val="none"/>
          <w:lang w:val="en-US" w:eastAsia="zh-CN" w:bidi="ar-SA"/>
        </w:rPr>
        <w:t xml:space="preserve"> 1、从产品最终验收合格之日起，整机保修≥两年，出具相关服务承诺书。2、费用：在保修期内，由于非人为因素货物故障所产生的费用由供应商负责。3、响应：供应商应保证在12小时内对用户提出的问题或故障予以响应及处理。4、供应商应免费提供维护手册、维修手册、软件备份、故障代码表、备件清单、零部件、维修密码等维护维修必需的材料和信息。5、培训：免费提供操作培训和维修培训。    </w:t>
      </w:r>
      <w:r>
        <w:rPr>
          <w:rFonts w:hint="eastAsia" w:ascii="宋体" w:hAnsi="宋体" w:eastAsia="宋体" w:cs="宋体"/>
          <w:color w:val="auto"/>
          <w:szCs w:val="21"/>
          <w:highlight w:val="none"/>
        </w:rPr>
        <w:t xml:space="preserve"> </w:t>
      </w:r>
    </w:p>
    <w:p>
      <w:pPr>
        <w:rPr>
          <w:color w:val="auto"/>
        </w:rPr>
      </w:pPr>
    </w:p>
    <w:p>
      <w:pPr>
        <w:pStyle w:val="2"/>
        <w:jc w:val="center"/>
        <w:rPr>
          <w:rFonts w:hint="eastAsia"/>
          <w:color w:val="auto"/>
          <w:lang w:eastAsia="zh-CN"/>
        </w:rPr>
      </w:pPr>
      <w:r>
        <w:rPr>
          <w:rFonts w:hint="eastAsia" w:ascii="宋体" w:hAnsi="宋体" w:eastAsia="宋体" w:cs="宋体"/>
          <w:color w:val="auto"/>
          <w:kern w:val="2"/>
          <w:sz w:val="21"/>
          <w:szCs w:val="24"/>
          <w:lang w:val="en-US" w:eastAsia="zh-CN" w:bidi="ar-SA"/>
        </w:rPr>
        <w:br w:type="page"/>
      </w:r>
      <w:r>
        <w:rPr>
          <w:rFonts w:hint="eastAsia" w:ascii="宋体" w:hAnsi="宋体" w:eastAsia="宋体" w:cs="Times New Roman"/>
          <w:color w:val="auto"/>
          <w:sz w:val="28"/>
          <w:szCs w:val="28"/>
          <w:lang w:val="en-US" w:eastAsia="zh-CN"/>
        </w:rPr>
        <w:t>一标段：</w:t>
      </w:r>
      <w:r>
        <w:rPr>
          <w:rFonts w:hint="eastAsia" w:ascii="宋体" w:hAnsi="宋体" w:eastAsia="宋体" w:cs="Times New Roman"/>
          <w:color w:val="auto"/>
          <w:sz w:val="28"/>
          <w:szCs w:val="28"/>
          <w:lang w:eastAsia="zh-CN"/>
        </w:rPr>
        <w:t>单道微量注射泵技术参数</w:t>
      </w:r>
    </w:p>
    <w:p>
      <w:pPr>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自动识别符合国际标准的10mL、20mL、30mL、50mL注射器</w:t>
      </w:r>
    </w:p>
    <w:p>
      <w:pPr>
        <w:pStyle w:val="2"/>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报警方式：阻塞、电池低电压、注射即将结束、注射完毕、注射器脱落、无交流等</w:t>
      </w:r>
    </w:p>
    <w:p>
      <w:pPr>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可充电电池、电池可连续使用4小时以上</w:t>
      </w:r>
    </w:p>
    <w:p>
      <w:pPr>
        <w:pStyle w:val="2"/>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功能：自动检测注射器型号、输液控制、快速输液量控制、总输液量指示、电源指示、开机自检、交直流电自动转换、声光显示报警、静音功能、残留药物提示等</w:t>
      </w:r>
    </w:p>
    <w:p>
      <w:pPr>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注射精度：≤±2%</w:t>
      </w:r>
    </w:p>
    <w:p>
      <w:pPr>
        <w:pStyle w:val="2"/>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注射模式：速度模式、时间模式、体重模式等</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7、具备KVO功能</w:t>
      </w:r>
    </w:p>
    <w:p>
      <w:pPr>
        <w:pStyle w:val="2"/>
        <w:jc w:val="center"/>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val="en-US" w:eastAsia="zh-CN"/>
        </w:rPr>
        <w:t>二标段：</w:t>
      </w:r>
      <w:r>
        <w:rPr>
          <w:rFonts w:hint="eastAsia" w:ascii="宋体" w:hAnsi="宋体" w:eastAsia="宋体" w:cs="Times New Roman"/>
          <w:color w:val="auto"/>
          <w:sz w:val="28"/>
          <w:szCs w:val="28"/>
          <w:lang w:eastAsia="zh-CN"/>
        </w:rPr>
        <w:t>双道微量注射泵技术参数</w:t>
      </w:r>
    </w:p>
    <w:p>
      <w:pPr>
        <w:numPr>
          <w:ilvl w:val="0"/>
          <w:numId w:val="2"/>
        </w:num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自动识别符合国际标准的10mL、20mL、30mL、50mL注射器</w:t>
      </w:r>
    </w:p>
    <w:p>
      <w:pPr>
        <w:numPr>
          <w:ilvl w:val="0"/>
          <w:numId w:val="2"/>
        </w:numPr>
        <w:spacing w:line="360" w:lineRule="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报警方式：阻塞、电池低电压、注射即将结束、注射完毕、注射器脱落、无交流等</w:t>
      </w:r>
    </w:p>
    <w:p>
      <w:pPr>
        <w:numPr>
          <w:ilvl w:val="0"/>
          <w:numId w:val="2"/>
        </w:numPr>
        <w:spacing w:line="360" w:lineRule="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可充电电池、电池可连续使用4小时以上</w:t>
      </w:r>
    </w:p>
    <w:p>
      <w:pPr>
        <w:numPr>
          <w:ilvl w:val="0"/>
          <w:numId w:val="2"/>
        </w:numPr>
        <w:spacing w:line="360" w:lineRule="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功能：自动检测注射器型号、输液控制、快速输液量控制、总输液量指示、电源指示、开机自检、交直流电自动转换、声光显示报警、静音功能、残留药物提示等</w:t>
      </w:r>
    </w:p>
    <w:p>
      <w:pPr>
        <w:numPr>
          <w:ilvl w:val="0"/>
          <w:numId w:val="2"/>
        </w:numPr>
        <w:spacing w:line="360" w:lineRule="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注射精度：≤±2%</w:t>
      </w:r>
    </w:p>
    <w:p>
      <w:pPr>
        <w:numPr>
          <w:ilvl w:val="0"/>
          <w:numId w:val="2"/>
        </w:num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注射模式：速度模式、时间模式、体重模式等</w:t>
      </w:r>
    </w:p>
    <w:p>
      <w:pPr>
        <w:numPr>
          <w:ilvl w:val="0"/>
          <w:numId w:val="2"/>
        </w:num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具备KVO功能</w:t>
      </w:r>
    </w:p>
    <w:p>
      <w:pPr>
        <w:numPr>
          <w:ilvl w:val="0"/>
          <w:numId w:val="2"/>
        </w:num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双通道，双液晶显示屏，可单独关闭任意通道</w:t>
      </w:r>
    </w:p>
    <w:p>
      <w:pPr>
        <w:pStyle w:val="2"/>
        <w:jc w:val="center"/>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三标段：输液泵技术参数</w:t>
      </w:r>
    </w:p>
    <w:p>
      <w:pPr>
        <w:pStyle w:val="86"/>
        <w:spacing w:line="360" w:lineRule="auto"/>
        <w:ind w:left="630" w:leftChars="300" w:firstLine="210" w:firstLineChars="1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.防重力自由流功能：泵门打开时，防自由流夹自动关闭，防止液体任意流出；</w:t>
      </w:r>
    </w:p>
    <w:p>
      <w:pPr>
        <w:pStyle w:val="86"/>
        <w:spacing w:line="360" w:lineRule="auto"/>
        <w:ind w:left="630" w:leftChars="300" w:firstLine="210" w:firstLineChars="1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2、全中文软件显示，液晶显示屏，可以同时显示流速、滴速、预置、累积量，完成时间、电池电量等</w:t>
      </w:r>
    </w:p>
    <w:p>
      <w:pPr>
        <w:pStyle w:val="86"/>
        <w:spacing w:line="360" w:lineRule="auto"/>
        <w:ind w:left="630" w:leftChars="300" w:firstLine="210" w:firstLineChars="1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3.分低级、中级、高级等三级以上报警，并分别以声光提示，同时显示具体报警信息；</w:t>
      </w:r>
    </w:p>
    <w:p>
      <w:pPr>
        <w:pStyle w:val="86"/>
        <w:spacing w:line="360" w:lineRule="auto"/>
        <w:ind w:left="630" w:leftChars="300" w:firstLine="210" w:firstLineChars="1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4.具有≥2种输液模式可选：速度模式、滴速模式；</w:t>
      </w:r>
    </w:p>
    <w:p>
      <w:pPr>
        <w:pStyle w:val="86"/>
        <w:spacing w:line="360" w:lineRule="auto"/>
        <w:ind w:left="630" w:leftChars="300" w:firstLine="210" w:firstLineChars="1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5.电池工作时间≥4小时@25ml/h；</w:t>
      </w:r>
    </w:p>
    <w:p>
      <w:pPr>
        <w:pStyle w:val="86"/>
        <w:spacing w:line="360" w:lineRule="auto"/>
        <w:ind w:left="630" w:leftChars="300" w:firstLine="210" w:firstLineChars="1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6、适用的输液器：符合标准的所有一次性使用输液器</w:t>
      </w:r>
    </w:p>
    <w:p>
      <w:pPr>
        <w:pStyle w:val="86"/>
        <w:spacing w:line="360" w:lineRule="auto"/>
        <w:ind w:left="630" w:leftChars="300" w:firstLine="210" w:firstLineChars="1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7、输液精度：≤±5%，</w:t>
      </w:r>
    </w:p>
    <w:p>
      <w:pPr>
        <w:pStyle w:val="86"/>
        <w:spacing w:line="360" w:lineRule="auto"/>
        <w:ind w:left="630" w:leftChars="300" w:firstLine="210" w:firstLineChars="1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8、报警信息：气泡报警、管路堵塞、门开报警、输液完毕、空瓶、输液将近、超时报警、交流断开、电池欠压、电池电量耗尽等</w:t>
      </w:r>
    </w:p>
    <w:p>
      <w:pPr>
        <w:pStyle w:val="13"/>
        <w:numPr>
          <w:ilvl w:val="0"/>
          <w:numId w:val="0"/>
        </w:numPr>
        <w:spacing w:after="0"/>
        <w:ind w:left="36" w:leftChars="0"/>
        <w:jc w:val="left"/>
        <w:rPr>
          <w:rFonts w:hint="eastAsia" w:ascii="宋体" w:hAnsi="宋体" w:eastAsia="宋体" w:cs="宋体"/>
          <w:color w:val="auto"/>
          <w:kern w:val="2"/>
          <w:sz w:val="21"/>
          <w:szCs w:val="24"/>
          <w:lang w:val="en-US" w:eastAsia="zh-CN" w:bidi="ar-SA"/>
        </w:rPr>
      </w:pP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29"/>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napToGrid w:val="0"/>
              <w:spacing w:line="360" w:lineRule="auto"/>
              <w:rPr>
                <w:color w:val="auto"/>
              </w:rPr>
            </w:pPr>
            <w:r>
              <w:rPr>
                <w:rFonts w:hint="eastAsia"/>
                <w:color w:val="auto"/>
              </w:rPr>
              <w:t>不接受联合体投标，不允许转包和分包。</w:t>
            </w:r>
          </w:p>
          <w:p>
            <w:pPr>
              <w:widowControl/>
              <w:snapToGrid w:val="0"/>
              <w:spacing w:line="360" w:lineRule="auto"/>
              <w:rPr>
                <w:color w:val="auto"/>
              </w:rPr>
            </w:pPr>
            <w:r>
              <w:rPr>
                <w:rFonts w:hint="eastAsia"/>
                <w:color w:val="auto"/>
                <w:lang w:val="en-US" w:eastAsia="zh-CN"/>
              </w:rPr>
              <w:t>2</w:t>
            </w:r>
            <w:r>
              <w:rPr>
                <w:rFonts w:hint="eastAsia"/>
                <w:color w:val="auto"/>
              </w:rPr>
              <w:t>、授权评标委员会确定</w:t>
            </w:r>
            <w:r>
              <w:rPr>
                <w:rFonts w:hint="eastAsia"/>
                <w:color w:val="auto"/>
                <w:lang w:val="en-US" w:eastAsia="zh-CN"/>
              </w:rPr>
              <w:t>二</w:t>
            </w:r>
            <w:r>
              <w:rPr>
                <w:rFonts w:hint="eastAsia"/>
                <w:color w:val="auto"/>
              </w:rPr>
              <w:t>名中标人并推荐</w:t>
            </w:r>
            <w:r>
              <w:rPr>
                <w:rFonts w:hint="eastAsia"/>
                <w:color w:val="auto"/>
                <w:lang w:val="en-US" w:eastAsia="zh-CN"/>
              </w:rPr>
              <w:t>一</w:t>
            </w:r>
            <w:r>
              <w:rPr>
                <w:rFonts w:hint="eastAsia"/>
                <w:color w:val="auto"/>
              </w:rPr>
              <w:t>名中标候选人。</w:t>
            </w:r>
          </w:p>
          <w:p>
            <w:pPr>
              <w:widowControl/>
              <w:snapToGrid w:val="0"/>
              <w:spacing w:line="360" w:lineRule="auto"/>
              <w:rPr>
                <w:rFonts w:hint="eastAsia"/>
                <w:color w:val="auto"/>
              </w:rPr>
            </w:pPr>
            <w:r>
              <w:rPr>
                <w:rFonts w:hint="eastAsia"/>
                <w:color w:val="auto"/>
                <w:lang w:val="en-US" w:eastAsia="zh-CN"/>
              </w:rPr>
              <w:t>3</w:t>
            </w:r>
            <w:r>
              <w:rPr>
                <w:rFonts w:hint="eastAsia"/>
                <w:color w:val="auto"/>
              </w:rPr>
              <w:t>、供应商应根据</w:t>
            </w:r>
            <w:r>
              <w:rPr>
                <w:rFonts w:hint="eastAsia"/>
                <w:color w:val="auto"/>
                <w:lang w:eastAsia="zh-CN"/>
              </w:rPr>
              <w:t>采购</w:t>
            </w:r>
            <w:r>
              <w:rPr>
                <w:rFonts w:hint="eastAsia"/>
                <w:color w:val="auto"/>
              </w:rPr>
              <w:t>文件的要求提供技术响应表、商务响应表等内容以对</w:t>
            </w:r>
            <w:r>
              <w:rPr>
                <w:rFonts w:hint="eastAsia"/>
                <w:color w:val="auto"/>
                <w:lang w:eastAsia="zh-CN"/>
              </w:rPr>
              <w:t>采购</w:t>
            </w:r>
            <w:r>
              <w:rPr>
                <w:rFonts w:hint="eastAsia"/>
                <w:color w:val="auto"/>
              </w:rPr>
              <w:t>文件作出响应。</w:t>
            </w:r>
          </w:p>
          <w:p>
            <w:pPr>
              <w:widowControl/>
              <w:snapToGrid w:val="0"/>
              <w:spacing w:line="360" w:lineRule="auto"/>
              <w:rPr>
                <w:color w:val="auto"/>
              </w:rPr>
            </w:pPr>
            <w:r>
              <w:rPr>
                <w:rFonts w:hint="eastAsia" w:eastAsia="宋体"/>
                <w:b/>
                <w:bCs/>
                <w:color w:val="auto"/>
                <w:lang w:val="en-US" w:eastAsia="zh-CN"/>
              </w:rPr>
              <w:t>4、若投标人同时投报多个标段，应对每标段分别制作响应文件。</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color w:val="auto"/>
              </w:rPr>
            </w:pPr>
            <w:r>
              <w:rPr>
                <w:rFonts w:hint="eastAsia"/>
                <w:color w:val="auto"/>
                <w:highlight w:val="none"/>
              </w:rPr>
              <w:t>1.1 项目名称：</w:t>
            </w:r>
            <w:r>
              <w:rPr>
                <w:rFonts w:hint="eastAsia" w:ascii="宋体" w:hAnsi="宋体" w:cs="宋体"/>
                <w:color w:val="auto"/>
                <w:lang w:eastAsia="zh-CN"/>
              </w:rPr>
              <w:t>驻马店市中心医院微量注射泵、输液泵等医疗设备采购项目</w:t>
            </w:r>
            <w:r>
              <w:rPr>
                <w:rFonts w:hint="eastAsia" w:ascii="宋体" w:hAnsi="宋体" w:eastAsia="宋体" w:cs="宋体"/>
                <w:color w:val="auto"/>
                <w:lang w:val="en-US" w:eastAsia="zh-CN"/>
              </w:rPr>
              <w:t>采购</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color w:val="auto"/>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eastAsia="宋体" w:cs="宋体"/>
                <w:color w:val="auto"/>
                <w:kern w:val="0"/>
                <w:szCs w:val="21"/>
                <w:highlight w:val="none"/>
                <w:lang w:val="en-US" w:eastAsia="zh-CN"/>
              </w:rPr>
              <w:t>490000.00</w:t>
            </w:r>
            <w:r>
              <w:rPr>
                <w:rFonts w:hint="eastAsia" w:ascii="宋体" w:hAnsi="宋体" w:eastAsia="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color w:val="auto"/>
              </w:rPr>
            </w:pPr>
            <w:r>
              <w:rPr>
                <w:rFonts w:hint="eastAsia"/>
                <w:color w:val="auto"/>
              </w:rPr>
              <w:t>投标文件组成：纸质投标文件正本1份</w:t>
            </w:r>
            <w:r>
              <w:rPr>
                <w:rFonts w:hint="eastAsia"/>
                <w:color w:val="auto"/>
                <w:lang w:eastAsia="zh-CN"/>
              </w:rPr>
              <w:t>、</w:t>
            </w:r>
            <w:r>
              <w:rPr>
                <w:rFonts w:hint="eastAsia"/>
                <w:color w:val="auto"/>
                <w:lang w:val="en-US" w:eastAsia="zh-CN"/>
              </w:rPr>
              <w:t>副本2份</w:t>
            </w:r>
            <w:r>
              <w:rPr>
                <w:rFonts w:hint="eastAsia"/>
                <w:color w:val="auto"/>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w:t>
            </w:r>
            <w:r>
              <w:rPr>
                <w:rFonts w:hint="eastAsia" w:ascii="宋体" w:hAnsi="宋体" w:cs="宋体"/>
                <w:color w:val="auto"/>
                <w:kern w:val="0"/>
                <w:szCs w:val="21"/>
                <w:highlight w:val="none"/>
                <w:lang w:val="en-US" w:eastAsia="zh-CN"/>
              </w:rPr>
              <w:t>二</w:t>
            </w:r>
            <w:r>
              <w:rPr>
                <w:rFonts w:hint="eastAsia" w:ascii="宋体" w:hAnsi="宋体" w:cs="宋体"/>
                <w:color w:val="auto"/>
                <w:kern w:val="0"/>
                <w:szCs w:val="21"/>
                <w:highlight w:val="none"/>
              </w:rPr>
              <w:t>名中标人并推荐</w:t>
            </w:r>
            <w:r>
              <w:rPr>
                <w:rFonts w:hint="eastAsia" w:ascii="宋体" w:hAnsi="宋体" w:cs="宋体"/>
                <w:color w:val="auto"/>
                <w:kern w:val="0"/>
                <w:szCs w:val="21"/>
                <w:highlight w:val="none"/>
                <w:lang w:val="en-US" w:eastAsia="zh-CN"/>
              </w:rPr>
              <w:t>一</w:t>
            </w:r>
            <w:r>
              <w:rPr>
                <w:rFonts w:hint="eastAsia" w:ascii="宋体" w:hAnsi="宋体" w:cs="宋体"/>
                <w:color w:val="auto"/>
                <w:kern w:val="0"/>
                <w:szCs w:val="21"/>
                <w:highlight w:val="none"/>
              </w:rPr>
              <w:t>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490000.00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w:t>
      </w:r>
      <w:r>
        <w:rPr>
          <w:rFonts w:hint="eastAsia" w:ascii="宋体" w:hAnsi="宋体" w:cs="宋体"/>
          <w:color w:val="auto"/>
          <w:kern w:val="2"/>
          <w:sz w:val="21"/>
          <w:szCs w:val="24"/>
          <w:lang w:val="en-US" w:eastAsia="zh-CN" w:bidi="ar-SA"/>
        </w:rPr>
        <w:t>1</w:t>
      </w:r>
      <w:r>
        <w:rPr>
          <w:rFonts w:hint="eastAsia" w:ascii="宋体" w:hAnsi="宋体" w:eastAsia="宋体" w:cs="宋体"/>
          <w:color w:val="auto"/>
          <w:kern w:val="2"/>
          <w:sz w:val="21"/>
          <w:szCs w:val="24"/>
          <w:lang w:val="en-US" w:eastAsia="zh-CN" w:bidi="ar-SA"/>
        </w:rPr>
        <w:t>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yellow"/>
        </w:rPr>
      </w:pPr>
      <w:r>
        <w:rPr>
          <w:rFonts w:hint="eastAsia" w:ascii="宋体" w:hAnsi="宋体" w:cs="宋体"/>
          <w:color w:val="auto"/>
          <w:szCs w:val="21"/>
          <w:highlight w:val="none"/>
        </w:rPr>
        <w:t xml:space="preserve">4.5 </w:t>
      </w:r>
      <w:r>
        <w:rPr>
          <w:rFonts w:hint="eastAsia"/>
          <w:color w:val="auto"/>
          <w:highlight w:val="none"/>
          <w:lang w:val="en-US" w:eastAsia="zh-CN"/>
        </w:rPr>
        <w:t>供应商是生产厂家的须具有《医疗器械生产许可证》；供应商是代理商的须具有《医疗器械经营许可证》或《医疗器械经营备案凭证》</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 xml:space="preserve">4.6 </w:t>
      </w:r>
      <w:r>
        <w:rPr>
          <w:rFonts w:hint="eastAsia"/>
          <w:color w:val="auto"/>
          <w:lang w:val="en-US" w:eastAsia="zh-CN"/>
        </w:rPr>
        <w:t>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投标报价明细表（格式）</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color w:val="auto"/>
          <w:lang w:eastAsia="zh-CN"/>
        </w:rPr>
      </w:pPr>
      <w:r>
        <w:rPr>
          <w:rFonts w:hint="eastAsia"/>
          <w:color w:val="auto"/>
          <w:lang w:eastAsia="zh-CN"/>
        </w:rPr>
        <w:t>2</w:t>
      </w:r>
      <w:r>
        <w:rPr>
          <w:rFonts w:hint="eastAsia"/>
          <w:color w:val="auto"/>
          <w:lang w:val="en-US" w:eastAsia="zh-CN"/>
        </w:rPr>
        <w:t>1</w:t>
      </w:r>
      <w:r>
        <w:rPr>
          <w:rFonts w:hint="eastAsia"/>
          <w:color w:val="auto"/>
          <w:lang w:eastAsia="zh-CN"/>
        </w:rPr>
        <w:t>.3 未按本章第2</w:t>
      </w:r>
      <w:r>
        <w:rPr>
          <w:rFonts w:hint="eastAsia"/>
          <w:color w:val="auto"/>
          <w:lang w:val="en-US" w:eastAsia="zh-CN"/>
        </w:rPr>
        <w:t>1</w:t>
      </w:r>
      <w:r>
        <w:rPr>
          <w:rFonts w:hint="eastAsia"/>
          <w:color w:val="auto"/>
          <w:lang w:eastAsia="zh-CN"/>
        </w:rPr>
        <w:t>.1项或第2</w:t>
      </w:r>
      <w:r>
        <w:rPr>
          <w:rFonts w:hint="eastAsia"/>
          <w:color w:val="auto"/>
          <w:lang w:val="en-US" w:eastAsia="zh-CN"/>
        </w:rPr>
        <w:t>1</w:t>
      </w:r>
      <w:r>
        <w:rPr>
          <w:rFonts w:hint="eastAsia"/>
          <w:color w:val="auto"/>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w:t>
      </w:r>
      <w:r>
        <w:rPr>
          <w:rFonts w:hint="eastAsia" w:ascii="宋体" w:hAnsi="宋体" w:cs="宋体"/>
          <w:color w:val="auto"/>
          <w:kern w:val="0"/>
          <w:szCs w:val="21"/>
          <w:highlight w:val="none"/>
          <w:lang w:val="en-US" w:eastAsia="zh-CN"/>
        </w:rPr>
        <w:t>二</w:t>
      </w:r>
      <w:r>
        <w:rPr>
          <w:rFonts w:hint="eastAsia" w:ascii="宋体" w:hAnsi="宋体" w:cs="宋体"/>
          <w:color w:val="auto"/>
          <w:kern w:val="0"/>
          <w:szCs w:val="21"/>
          <w:highlight w:val="none"/>
        </w:rPr>
        <w:t>名中标人并推荐</w:t>
      </w:r>
      <w:r>
        <w:rPr>
          <w:rFonts w:hint="eastAsia" w:ascii="宋体" w:hAnsi="宋体" w:cs="宋体"/>
          <w:color w:val="auto"/>
          <w:kern w:val="0"/>
          <w:szCs w:val="21"/>
          <w:highlight w:val="none"/>
          <w:lang w:val="en-US" w:eastAsia="zh-CN"/>
        </w:rPr>
        <w:t>一</w:t>
      </w:r>
      <w:r>
        <w:rPr>
          <w:rFonts w:hint="eastAsia" w:ascii="宋体" w:hAnsi="宋体" w:cs="宋体"/>
          <w:color w:val="auto"/>
          <w:kern w:val="0"/>
          <w:szCs w:val="21"/>
          <w:highlight w:val="none"/>
        </w:rPr>
        <w:t>名中标候选人。</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4"/>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cs="宋体"/>
          <w:b w:val="0"/>
          <w:bCs w:val="0"/>
          <w:color w:val="auto"/>
          <w:sz w:val="21"/>
          <w:szCs w:val="21"/>
          <w:highlight w:val="none"/>
          <w:lang w:val="en-US" w:eastAsia="zh-CN"/>
        </w:rPr>
        <w:t>前两名</w:t>
      </w:r>
      <w:r>
        <w:rPr>
          <w:rFonts w:hint="eastAsia" w:ascii="宋体" w:hAnsi="宋体" w:eastAsia="宋体" w:cs="宋体"/>
          <w:b w:val="0"/>
          <w:bCs w:val="0"/>
          <w:color w:val="auto"/>
          <w:sz w:val="21"/>
          <w:szCs w:val="21"/>
          <w:highlight w:val="none"/>
        </w:rPr>
        <w:t>投标人为中标人</w:t>
      </w:r>
      <w:r>
        <w:rPr>
          <w:rFonts w:hint="eastAsia" w:ascii="宋体" w:hAnsi="宋体" w:cs="宋体"/>
          <w:b w:val="0"/>
          <w:bCs w:val="0"/>
          <w:color w:val="auto"/>
          <w:sz w:val="21"/>
          <w:szCs w:val="21"/>
          <w:highlight w:val="none"/>
          <w:lang w:eastAsia="zh-CN"/>
        </w:rPr>
        <w:t>，排名第</w:t>
      </w:r>
      <w:r>
        <w:rPr>
          <w:rFonts w:hint="eastAsia" w:ascii="宋体" w:hAnsi="宋体" w:cs="宋体"/>
          <w:b w:val="0"/>
          <w:bCs w:val="0"/>
          <w:color w:val="auto"/>
          <w:sz w:val="21"/>
          <w:szCs w:val="21"/>
          <w:highlight w:val="none"/>
          <w:lang w:val="en-US" w:eastAsia="zh-CN"/>
        </w:rPr>
        <w:t>三</w:t>
      </w:r>
      <w:r>
        <w:rPr>
          <w:rFonts w:hint="eastAsia" w:ascii="宋体" w:hAnsi="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rPr>
        <w:t>投标人</w:t>
      </w:r>
      <w:r>
        <w:rPr>
          <w:rFonts w:hint="eastAsia" w:ascii="宋体" w:hAnsi="宋体" w:cs="宋体"/>
          <w:b w:val="0"/>
          <w:bCs w:val="0"/>
          <w:color w:val="auto"/>
          <w:sz w:val="21"/>
          <w:szCs w:val="21"/>
          <w:highlight w:val="none"/>
          <w:lang w:eastAsia="zh-CN"/>
        </w:rPr>
        <w:t>为</w:t>
      </w:r>
      <w:r>
        <w:rPr>
          <w:rFonts w:hint="eastAsia" w:ascii="宋体" w:hAnsi="宋体" w:cs="宋体"/>
          <w:b w:val="0"/>
          <w:bCs w:val="0"/>
          <w:color w:val="auto"/>
          <w:sz w:val="21"/>
          <w:szCs w:val="21"/>
          <w:highlight w:val="none"/>
          <w:lang w:val="en-US" w:eastAsia="zh-CN"/>
        </w:rPr>
        <w:t>中标候选人</w:t>
      </w:r>
      <w:r>
        <w:rPr>
          <w:rFonts w:hint="eastAsia" w:ascii="宋体" w:hAnsi="宋体" w:eastAsia="宋体" w:cs="宋体"/>
          <w:b w:val="0"/>
          <w:bCs w:val="0"/>
          <w:color w:val="auto"/>
          <w:sz w:val="21"/>
          <w:szCs w:val="21"/>
          <w:highlight w:val="none"/>
        </w:rPr>
        <w:t>。</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5"/>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以实际合同为准</w:t>
      </w:r>
      <w:r>
        <w:rPr>
          <w:rFonts w:hint="eastAsia" w:ascii="宋体" w:hAnsi="宋体"/>
          <w:color w:val="auto"/>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rPr>
          <w:color w:val="auto"/>
        </w:rPr>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default" w:ascii="宋体" w:hAnsi="宋体" w:eastAsia="宋体" w:cs="宋体"/>
          <w:b/>
          <w:color w:val="auto"/>
          <w:spacing w:val="90"/>
          <w:sz w:val="52"/>
          <w:szCs w:val="52"/>
          <w:highlight w:val="none"/>
          <w:u w:val="singl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r>
        <w:rPr>
          <w:rFonts w:hint="eastAsia" w:ascii="宋体" w:hAnsi="宋体" w:cs="宋体"/>
          <w:b/>
          <w:snapToGrid w:val="0"/>
          <w:color w:val="auto"/>
          <w:spacing w:val="0"/>
          <w:kern w:val="0"/>
          <w:sz w:val="44"/>
          <w:szCs w:val="44"/>
          <w:highlight w:val="none"/>
          <w:u w:val="single"/>
          <w:lang w:val="en-US" w:eastAsia="zh-CN"/>
        </w:rPr>
        <w:t xml:space="preserve">   </w:t>
      </w:r>
      <w:r>
        <w:rPr>
          <w:rFonts w:hint="eastAsia" w:ascii="宋体" w:hAnsi="宋体" w:cs="宋体"/>
          <w:b/>
          <w:snapToGrid w:val="0"/>
          <w:color w:val="auto"/>
          <w:spacing w:val="0"/>
          <w:kern w:val="0"/>
          <w:sz w:val="44"/>
          <w:szCs w:val="44"/>
          <w:highlight w:val="none"/>
          <w:u w:val="none"/>
          <w:lang w:val="en-US" w:eastAsia="zh-CN"/>
        </w:rPr>
        <w:t>标段</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2004"/>
      <w:bookmarkStart w:id="75" w:name="_Toc2498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color w:val="auto"/>
          <w:highlight w:val="none"/>
        </w:rPr>
      </w:pPr>
      <w:r>
        <w:rPr>
          <w:rFonts w:hint="eastAsia"/>
          <w:color w:val="auto"/>
          <w:highlight w:val="none"/>
        </w:rPr>
        <w:br w:type="page"/>
      </w:r>
      <w:bookmarkStart w:id="76" w:name="_Toc226"/>
      <w:bookmarkStart w:id="77" w:name="_Toc15804"/>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eastAsia="zh-CN"/>
        </w:rPr>
      </w:pPr>
      <w:bookmarkStart w:id="78" w:name="_Toc29960"/>
      <w:bookmarkStart w:id="79" w:name="_Toc2042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napToGrid w:val="0"/>
        <w:spacing w:before="50" w:afterLines="50"/>
        <w:jc w:val="left"/>
        <w:rPr>
          <w:rFonts w:cs="宋体"/>
          <w:color w:val="auto"/>
          <w:kern w:val="0"/>
          <w:sz w:val="24"/>
          <w:highlight w:val="none"/>
        </w:rPr>
      </w:pPr>
    </w:p>
    <w:p>
      <w:pPr>
        <w:widowControl/>
        <w:wordWrap w:val="0"/>
        <w:spacing w:line="460" w:lineRule="exact"/>
        <w:ind w:firstLine="480" w:firstLineChars="200"/>
        <w:jc w:val="left"/>
        <w:rPr>
          <w:rFonts w:hint="default" w:ascii="宋体" w:hAnsi="宋体" w:eastAsia="宋体" w:cs="宋体"/>
          <w:b/>
          <w:color w:val="auto"/>
          <w:kern w:val="0"/>
          <w:sz w:val="32"/>
          <w:szCs w:val="32"/>
          <w:highlight w:val="none"/>
          <w:lang w:val="en-US" w:eastAsia="zh-CN"/>
        </w:rPr>
      </w:pPr>
      <w:r>
        <w:rPr>
          <w:rFonts w:hint="eastAsia" w:cs="宋体"/>
          <w:color w:val="auto"/>
          <w:kern w:val="0"/>
          <w:sz w:val="24"/>
          <w:highlight w:val="none"/>
          <w:lang w:eastAsia="zh-CN"/>
        </w:rPr>
        <w:t xml:space="preserve"> </w:t>
      </w:r>
      <w:r>
        <w:rPr>
          <w:rFonts w:hint="eastAsia" w:ascii="宋体" w:hAnsi="宋体" w:cs="宋体"/>
          <w:b/>
          <w:color w:val="auto"/>
          <w:kern w:val="0"/>
          <w:sz w:val="32"/>
          <w:szCs w:val="32"/>
          <w:highlight w:val="none"/>
          <w:lang w:val="en-US" w:eastAsia="zh-CN"/>
        </w:rPr>
        <w:t>商务部分相关证明文件</w:t>
      </w:r>
    </w:p>
    <w:p>
      <w:pPr>
        <w:widowControl/>
        <w:wordWrap w:val="0"/>
        <w:snapToGrid w:val="0"/>
        <w:spacing w:before="156" w:after="156"/>
        <w:ind w:firstLine="420"/>
        <w:jc w:val="center"/>
        <w:rPr>
          <w:rFonts w:ascii="宋体" w:hAnsi="宋体" w:cs="宋体"/>
          <w:b/>
          <w:color w:val="auto"/>
          <w:kern w:val="0"/>
          <w:sz w:val="32"/>
          <w:szCs w:val="32"/>
          <w:highlight w:val="none"/>
        </w:rPr>
      </w:pP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color w:val="auto"/>
        </w:rPr>
      </w:pPr>
    </w:p>
    <w:p>
      <w:pPr>
        <w:rPr>
          <w:rFonts w:cs="宋体"/>
          <w:b/>
          <w:color w:val="auto"/>
          <w:kern w:val="0"/>
          <w:sz w:val="24"/>
          <w:highlight w:val="none"/>
        </w:rPr>
      </w:pPr>
      <w:r>
        <w:rPr>
          <w:rFonts w:cs="宋体"/>
          <w:b/>
          <w:color w:val="auto"/>
          <w:kern w:val="0"/>
          <w:sz w:val="24"/>
          <w:highlight w:val="none"/>
        </w:rPr>
        <w:br w:type="page"/>
      </w:r>
    </w:p>
    <w:p>
      <w:pPr>
        <w:pStyle w:val="29"/>
        <w:rPr>
          <w:color w:val="auto"/>
        </w:rPr>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rPr>
          <w:color w:val="auto"/>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公司名称</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color w:val="auto"/>
          <w:sz w:val="28"/>
          <w:szCs w:val="28"/>
        </w:rPr>
      </w:pPr>
      <w:r>
        <w:rPr>
          <w:rFonts w:hint="eastAsia" w:ascii="宋体" w:hAnsi="宋体" w:eastAsia="宋体" w:cs="宋体"/>
          <w:color w:val="auto"/>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pStyle w:val="31"/>
        <w:rPr>
          <w:color w:val="auto"/>
        </w:rPr>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cs="宋体"/>
        <w:color w:val="auto"/>
        <w:lang w:eastAsia="zh-CN"/>
      </w:rPr>
      <w:t>驻马店市中心医院微量注射泵、输液泵等医疗设备采购项目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eastAsia="宋体"/>
        <w:lang w:val="en-US" w:eastAsia="zh-CN"/>
      </w:rPr>
    </w:pPr>
    <w:r>
      <w:rPr>
        <w:rFonts w:hint="eastAsia"/>
      </w:rPr>
      <w:t xml:space="preserve">                            </w:t>
    </w:r>
    <w:r>
      <w:rPr>
        <w:rFonts w:hint="eastAsia" w:ascii="宋体" w:hAnsi="宋体" w:cs="宋体"/>
        <w:color w:val="auto"/>
        <w:lang w:eastAsia="zh-CN"/>
      </w:rPr>
      <w:t>驻马店市中心医院微量注射泵、输液泵等医疗设备采购项目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B46F3A88"/>
    <w:multiLevelType w:val="singleLevel"/>
    <w:tmpl w:val="B46F3A88"/>
    <w:lvl w:ilvl="0" w:tentative="0">
      <w:start w:val="1"/>
      <w:numFmt w:val="decimal"/>
      <w:suff w:val="nothing"/>
      <w:lvlText w:val="%1、"/>
      <w:lvlJc w:val="left"/>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1B8CD22E"/>
    <w:multiLevelType w:val="singleLevel"/>
    <w:tmpl w:val="1B8CD22E"/>
    <w:lvl w:ilvl="0" w:tentative="0">
      <w:start w:val="1"/>
      <w:numFmt w:val="decimal"/>
      <w:suff w:val="nothing"/>
      <w:lvlText w:val="%1、"/>
      <w:lvlJc w:val="left"/>
    </w:lvl>
  </w:abstractNum>
  <w:abstractNum w:abstractNumId="4">
    <w:nsid w:val="59B6410A"/>
    <w:multiLevelType w:val="singleLevel"/>
    <w:tmpl w:val="59B6410A"/>
    <w:lvl w:ilvl="0" w:tentative="0">
      <w:start w:val="1"/>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070D64"/>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6FD4E39"/>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D01612"/>
    <w:rsid w:val="08EF0201"/>
    <w:rsid w:val="08F41DE8"/>
    <w:rsid w:val="09737462"/>
    <w:rsid w:val="099156C3"/>
    <w:rsid w:val="09A53F39"/>
    <w:rsid w:val="09A60E13"/>
    <w:rsid w:val="09D206F0"/>
    <w:rsid w:val="0A321AC2"/>
    <w:rsid w:val="0A343D4E"/>
    <w:rsid w:val="0A3E6D2E"/>
    <w:rsid w:val="0A6C3DC0"/>
    <w:rsid w:val="0AD13A85"/>
    <w:rsid w:val="0B091954"/>
    <w:rsid w:val="0B1A1257"/>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3F3A0E"/>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1DE0FD1"/>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0B9460A"/>
    <w:rsid w:val="210F579E"/>
    <w:rsid w:val="212550B5"/>
    <w:rsid w:val="21484F14"/>
    <w:rsid w:val="21592B62"/>
    <w:rsid w:val="21747CD2"/>
    <w:rsid w:val="219E5782"/>
    <w:rsid w:val="21E72B0B"/>
    <w:rsid w:val="220A23CA"/>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6016AA"/>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0B7C95"/>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C5FA4"/>
    <w:rsid w:val="2F7F15AE"/>
    <w:rsid w:val="2FA54796"/>
    <w:rsid w:val="2FA674E2"/>
    <w:rsid w:val="2FFE7D49"/>
    <w:rsid w:val="302A5C42"/>
    <w:rsid w:val="30BF439A"/>
    <w:rsid w:val="30CB1B61"/>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297E52"/>
    <w:rsid w:val="3A393FA7"/>
    <w:rsid w:val="3A64203E"/>
    <w:rsid w:val="3A663D00"/>
    <w:rsid w:val="3A7428D0"/>
    <w:rsid w:val="3A923AE4"/>
    <w:rsid w:val="3AA50E25"/>
    <w:rsid w:val="3AC566E3"/>
    <w:rsid w:val="3AD6747A"/>
    <w:rsid w:val="3B3D0FF2"/>
    <w:rsid w:val="3B521A18"/>
    <w:rsid w:val="3B923660"/>
    <w:rsid w:val="3BCA44BE"/>
    <w:rsid w:val="3C061F3A"/>
    <w:rsid w:val="3C244FFA"/>
    <w:rsid w:val="3C495480"/>
    <w:rsid w:val="3C6F0167"/>
    <w:rsid w:val="3C71667B"/>
    <w:rsid w:val="3C914F3B"/>
    <w:rsid w:val="3CA72347"/>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8C5A03"/>
    <w:rsid w:val="40991379"/>
    <w:rsid w:val="409B3C3D"/>
    <w:rsid w:val="40F701DF"/>
    <w:rsid w:val="40FD480A"/>
    <w:rsid w:val="412A32F8"/>
    <w:rsid w:val="417F433E"/>
    <w:rsid w:val="41B7239D"/>
    <w:rsid w:val="41E47AD6"/>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32531E"/>
    <w:rsid w:val="48450F81"/>
    <w:rsid w:val="484E729D"/>
    <w:rsid w:val="485A23C2"/>
    <w:rsid w:val="48A16B62"/>
    <w:rsid w:val="48BC6222"/>
    <w:rsid w:val="48C245E9"/>
    <w:rsid w:val="48DB312A"/>
    <w:rsid w:val="48DF49D9"/>
    <w:rsid w:val="492108CC"/>
    <w:rsid w:val="49E669E4"/>
    <w:rsid w:val="4A05334F"/>
    <w:rsid w:val="4A082FF4"/>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CF632F0"/>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540D9"/>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706F91"/>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B52AC"/>
    <w:rsid w:val="59AC3C86"/>
    <w:rsid w:val="59D42FDA"/>
    <w:rsid w:val="59DA4E01"/>
    <w:rsid w:val="59F64E82"/>
    <w:rsid w:val="5A10435C"/>
    <w:rsid w:val="5A2654CC"/>
    <w:rsid w:val="5A323A44"/>
    <w:rsid w:val="5A395E66"/>
    <w:rsid w:val="5A484352"/>
    <w:rsid w:val="5A5321A5"/>
    <w:rsid w:val="5A745221"/>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C349B4"/>
    <w:rsid w:val="5BF03D58"/>
    <w:rsid w:val="5C1A6BB2"/>
    <w:rsid w:val="5C5355FE"/>
    <w:rsid w:val="5C6F4105"/>
    <w:rsid w:val="5C7A4EE2"/>
    <w:rsid w:val="5CBB7F6F"/>
    <w:rsid w:val="5D7C3F11"/>
    <w:rsid w:val="5D9D49E0"/>
    <w:rsid w:val="5DDF1821"/>
    <w:rsid w:val="5DEA2F91"/>
    <w:rsid w:val="5E3146A3"/>
    <w:rsid w:val="5E442F62"/>
    <w:rsid w:val="5E6C2C5B"/>
    <w:rsid w:val="5E7251A2"/>
    <w:rsid w:val="5E7C3591"/>
    <w:rsid w:val="5E9D0E18"/>
    <w:rsid w:val="5EA2144B"/>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970898"/>
    <w:rsid w:val="61A90D68"/>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4DB63AB"/>
    <w:rsid w:val="650242F0"/>
    <w:rsid w:val="65542778"/>
    <w:rsid w:val="655829AF"/>
    <w:rsid w:val="656B70C3"/>
    <w:rsid w:val="658F4798"/>
    <w:rsid w:val="659B1EBA"/>
    <w:rsid w:val="65B461E9"/>
    <w:rsid w:val="65BE39A8"/>
    <w:rsid w:val="65FB3FBE"/>
    <w:rsid w:val="66247D11"/>
    <w:rsid w:val="66736112"/>
    <w:rsid w:val="667F5B5B"/>
    <w:rsid w:val="66897C79"/>
    <w:rsid w:val="6694262A"/>
    <w:rsid w:val="669609C2"/>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101CA"/>
    <w:rsid w:val="6C573E9C"/>
    <w:rsid w:val="6C6D1126"/>
    <w:rsid w:val="6CA35B3A"/>
    <w:rsid w:val="6CA41A5D"/>
    <w:rsid w:val="6CAF588C"/>
    <w:rsid w:val="6CB4638E"/>
    <w:rsid w:val="6CBF3C6A"/>
    <w:rsid w:val="6CBF5306"/>
    <w:rsid w:val="6CE70FA1"/>
    <w:rsid w:val="6CFA6351"/>
    <w:rsid w:val="6CFC3C40"/>
    <w:rsid w:val="6D480984"/>
    <w:rsid w:val="6D7509E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C1A6A"/>
    <w:rsid w:val="735C5949"/>
    <w:rsid w:val="73737DA5"/>
    <w:rsid w:val="73887B3E"/>
    <w:rsid w:val="73892412"/>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30"/>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14918</Words>
  <Characters>15636</Characters>
  <Lines>50</Lines>
  <Paragraphs>68</Paragraphs>
  <TotalTime>1</TotalTime>
  <ScaleCrop>false</ScaleCrop>
  <LinksUpToDate>false</LinksUpToDate>
  <CharactersWithSpaces>16586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2022-07-12T02:42:24Z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562A285641654D2EA086C4325B3B203C</vt:lpwstr>
  </property>
</Properties>
</file>