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cs="宋体"/>
          <w:b/>
          <w:bCs/>
          <w:sz w:val="48"/>
          <w:szCs w:val="48"/>
          <w:lang w:val="en-US" w:eastAsia="zh-CN"/>
        </w:rPr>
        <w:t>驻马店市中心医院信息发布平台采购项目（二次）</w:t>
      </w:r>
    </w:p>
    <w:p>
      <w:pPr>
        <w:pStyle w:val="21"/>
        <w:bidi w:val="0"/>
        <w:jc w:val="center"/>
        <w:rPr>
          <w:rStyle w:val="45"/>
          <w:rFonts w:hint="eastAsia" w:ascii="宋体" w:hAnsi="宋体" w:eastAsia="宋体" w:cs="宋体"/>
          <w:b/>
          <w:bCs/>
          <w:color w:val="auto"/>
          <w:sz w:val="48"/>
          <w:szCs w:val="48"/>
        </w:rPr>
      </w:pPr>
    </w:p>
    <w:p>
      <w:pPr>
        <w:pStyle w:val="21"/>
        <w:bidi w:val="0"/>
        <w:jc w:val="center"/>
        <w:rPr>
          <w:rStyle w:val="45"/>
          <w:rFonts w:hint="eastAsia" w:ascii="宋体" w:hAnsi="宋体" w:eastAsia="宋体" w:cs="宋体"/>
          <w:b/>
          <w:bCs/>
          <w:color w:val="auto"/>
          <w:sz w:val="48"/>
          <w:szCs w:val="48"/>
        </w:rPr>
      </w:pPr>
    </w:p>
    <w:p>
      <w:pPr>
        <w:pStyle w:val="21"/>
        <w:bidi w:val="0"/>
        <w:jc w:val="center"/>
        <w:rPr>
          <w:rStyle w:val="45"/>
          <w:rFonts w:hint="eastAsia" w:ascii="宋体" w:hAnsi="宋体" w:eastAsia="宋体" w:cs="宋体"/>
          <w:b/>
          <w:bCs/>
          <w:color w:val="auto"/>
          <w:sz w:val="48"/>
          <w:szCs w:val="48"/>
        </w:rPr>
      </w:pPr>
    </w:p>
    <w:p>
      <w:pPr>
        <w:pStyle w:val="21"/>
        <w:bidi w:val="0"/>
        <w:jc w:val="center"/>
        <w:rPr>
          <w:rStyle w:val="45"/>
          <w:rFonts w:hint="eastAsia" w:ascii="宋体" w:hAnsi="宋体" w:eastAsia="宋体" w:cs="宋体"/>
          <w:b/>
          <w:bCs/>
          <w:color w:val="auto"/>
          <w:sz w:val="48"/>
          <w:szCs w:val="48"/>
        </w:rPr>
      </w:pPr>
    </w:p>
    <w:p>
      <w:pPr>
        <w:pStyle w:val="21"/>
        <w:bidi w:val="0"/>
        <w:jc w:val="center"/>
        <w:rPr>
          <w:rStyle w:val="45"/>
          <w:rFonts w:hint="eastAsia" w:ascii="宋体" w:hAnsi="宋体" w:eastAsia="宋体" w:cs="宋体"/>
          <w:b/>
          <w:bCs/>
          <w:color w:val="auto"/>
          <w:szCs w:val="44"/>
        </w:rPr>
      </w:pPr>
      <w:r>
        <w:rPr>
          <w:rStyle w:val="45"/>
          <w:rFonts w:hint="eastAsia" w:cs="宋体"/>
          <w:b/>
          <w:bCs/>
          <w:color w:val="auto"/>
          <w:sz w:val="72"/>
          <w:szCs w:val="72"/>
          <w:lang w:val="en-US" w:eastAsia="zh-CN"/>
        </w:rPr>
        <w:t>采购</w:t>
      </w:r>
      <w:r>
        <w:rPr>
          <w:rStyle w:val="45"/>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3"/>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w:t>
      </w:r>
      <w:r>
        <w:rPr>
          <w:rFonts w:hint="eastAsia" w:ascii="宋体" w:hAnsi="宋体" w:cs="宋体"/>
          <w:b/>
          <w:bCs/>
          <w:color w:val="auto"/>
          <w:spacing w:val="40"/>
          <w:sz w:val="34"/>
          <w:szCs w:val="34"/>
          <w:lang w:val="en-US" w:eastAsia="zh-CN"/>
        </w:rPr>
        <w:t>3</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1</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6"/>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驻马店市中心医院信息发布平台采购项目（二次）</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bookmarkStart w:id="91" w:name="_GoBack"/>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驻马店市中心医院信息发布平台采购项目（二次）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驻马店市中心医院信息发布平台采购项目（二次）</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300000.00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lang w:val="en-US" w:eastAsia="zh-CN"/>
        </w:rPr>
        <w:t>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6079"/>
      <w:bookmarkStart w:id="5" w:name="_Toc21071"/>
      <w:bookmarkStart w:id="6" w:name="_Toc19521"/>
      <w:bookmarkStart w:id="7" w:name="_Toc27913"/>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w:t>
      </w:r>
      <w:r>
        <w:rPr>
          <w:rFonts w:hint="eastAsia" w:ascii="宋体" w:hAnsi="宋体" w:eastAsia="宋体" w:cs="宋体"/>
          <w:bCs/>
          <w:color w:val="auto"/>
          <w:szCs w:val="21"/>
          <w:highlight w:val="none"/>
          <w:shd w:val="clear" w:color="auto" w:fill="FFFFFF"/>
          <w:lang w:val="en-US" w:eastAsia="zh-CN"/>
        </w:rPr>
        <w:t>一年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cs="宋体"/>
          <w:bCs/>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rPr>
        <w:t>要求：</w:t>
      </w:r>
      <w:r>
        <w:rPr>
          <w:rFonts w:hint="eastAsia" w:ascii="宋体" w:hAnsi="宋体" w:eastAsia="宋体" w:cs="宋体"/>
          <w:color w:val="auto"/>
          <w:szCs w:val="21"/>
          <w:highlight w:val="none"/>
          <w:shd w:val="clear" w:color="auto" w:fill="FFFFFF"/>
          <w:lang w:eastAsia="zh-CN"/>
        </w:rPr>
        <w:t>合格。</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以采购人要求为准</w:t>
      </w:r>
      <w:r>
        <w:rPr>
          <w:rFonts w:hint="eastAsia" w:ascii="宋体" w:hAnsi="宋体" w:cs="宋体"/>
          <w:color w:val="auto"/>
          <w:szCs w:val="21"/>
          <w:highlight w:val="none"/>
          <w:shd w:val="clear" w:color="auto" w:fill="FFFFFF"/>
          <w:lang w:eastAsia="zh-CN"/>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8607"/>
      <w:bookmarkStart w:id="10" w:name="_Toc16639"/>
      <w:bookmarkStart w:id="11" w:name="_Toc23626"/>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bookmarkStart w:id="13" w:name="_Toc23395"/>
      <w:bookmarkStart w:id="14" w:name="_Toc30971"/>
      <w:bookmarkStart w:id="15" w:name="_Toc9562"/>
      <w:bookmarkStart w:id="16" w:name="_Toc7823"/>
      <w:bookmarkStart w:id="17" w:name="_Toc30643"/>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sz w:val="21"/>
          <w:lang w:val="en-US" w:eastAsia="zh-CN"/>
        </w:rPr>
        <w:t>3、</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6</w:t>
      </w:r>
      <w:r>
        <w:rPr>
          <w:rFonts w:hint="eastAsia" w:ascii="宋体" w:hAnsi="宋体" w:eastAsia="宋体" w:cs="宋体"/>
          <w:color w:val="auto"/>
          <w:lang w:val="en-US" w:eastAsia="zh-CN"/>
        </w:rPr>
        <w:t>、根据《关于在政府采购活动中查询及使用信用记录有关问题的通知》（财库【2016】125号）的规定，对列入失信被</w:t>
      </w:r>
      <w:r>
        <w:rPr>
          <w:rFonts w:hint="eastAsia" w:ascii="宋体" w:hAnsi="宋体" w:eastAsia="宋体" w:cs="宋体"/>
          <w:color w:val="000000" w:themeColor="text1"/>
          <w:lang w:val="en-US" w:eastAsia="zh-CN"/>
          <w14:textFill>
            <w14:solidFill>
              <w14:schemeClr w14:val="tx1"/>
            </w14:solidFill>
          </w14:textFill>
        </w:rPr>
        <w:t>执行</w:t>
      </w:r>
      <w:r>
        <w:rPr>
          <w:rFonts w:hint="eastAsia" w:ascii="宋体" w:hAnsi="宋体" w:eastAsia="宋体" w:cs="宋体"/>
          <w:color w:val="auto"/>
          <w:lang w:val="en-US" w:eastAsia="zh-CN"/>
        </w:rPr>
        <w:t>人、</w:t>
      </w:r>
      <w:r>
        <w:rPr>
          <w:rFonts w:hint="eastAsia" w:ascii="宋体" w:hAnsi="宋体" w:cs="宋体"/>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w:t>
      </w:r>
      <w:r>
        <w:rPr>
          <w:rFonts w:hint="eastAsia" w:ascii="宋体" w:hAnsi="宋体" w:eastAsia="宋体" w:cs="宋体"/>
          <w:color w:val="FF0000"/>
          <w:szCs w:val="21"/>
          <w:shd w:val="clear" w:color="auto" w:fill="FFFFFF"/>
        </w:rPr>
        <w:t>202</w:t>
      </w:r>
      <w:r>
        <w:rPr>
          <w:rFonts w:hint="eastAsia" w:ascii="宋体" w:hAnsi="宋体" w:cs="宋体"/>
          <w:color w:val="FF0000"/>
          <w:szCs w:val="21"/>
          <w:shd w:val="clear" w:color="auto" w:fill="FFFFFF"/>
          <w:lang w:val="en-US" w:eastAsia="zh-CN"/>
        </w:rPr>
        <w:t>3</w:t>
      </w:r>
      <w:r>
        <w:rPr>
          <w:rFonts w:hint="eastAsia" w:ascii="宋体" w:hAnsi="宋体" w:eastAsia="宋体" w:cs="宋体"/>
          <w:color w:val="FF0000"/>
          <w:szCs w:val="21"/>
          <w:shd w:val="clear" w:color="auto" w:fill="FFFFFF"/>
        </w:rPr>
        <w:t>年</w:t>
      </w:r>
      <w:r>
        <w:rPr>
          <w:rFonts w:hint="eastAsia" w:ascii="宋体" w:hAnsi="宋体" w:cs="宋体"/>
          <w:color w:val="FF0000"/>
          <w:szCs w:val="21"/>
          <w:shd w:val="clear" w:color="auto" w:fill="FFFFFF"/>
          <w:lang w:val="en-US" w:eastAsia="zh-CN"/>
        </w:rPr>
        <w:t>1</w:t>
      </w:r>
      <w:r>
        <w:rPr>
          <w:rFonts w:hint="eastAsia" w:ascii="宋体" w:hAnsi="宋体" w:eastAsia="宋体" w:cs="宋体"/>
          <w:color w:val="FF0000"/>
          <w:szCs w:val="21"/>
          <w:highlight w:val="none"/>
          <w:shd w:val="clear" w:color="auto" w:fill="FFFFFF"/>
        </w:rPr>
        <w:t>月</w:t>
      </w:r>
      <w:r>
        <w:rPr>
          <w:rFonts w:hint="eastAsia" w:ascii="宋体" w:hAnsi="宋体" w:cs="宋体"/>
          <w:color w:val="FF0000"/>
          <w:szCs w:val="21"/>
          <w:highlight w:val="none"/>
          <w:shd w:val="clear" w:color="auto" w:fill="FFFFFF"/>
          <w:lang w:val="en-US" w:eastAsia="zh-CN"/>
        </w:rPr>
        <w:t>9</w:t>
      </w:r>
      <w:r>
        <w:rPr>
          <w:rFonts w:hint="eastAsia" w:ascii="宋体" w:hAnsi="宋体" w:eastAsia="宋体" w:cs="宋体"/>
          <w:color w:val="FF0000"/>
          <w:szCs w:val="21"/>
          <w:highlight w:val="none"/>
          <w:shd w:val="clear" w:color="auto" w:fill="FFFFFF"/>
        </w:rPr>
        <w:t>日-202</w:t>
      </w:r>
      <w:r>
        <w:rPr>
          <w:rFonts w:hint="eastAsia" w:ascii="宋体" w:hAnsi="宋体" w:cs="宋体"/>
          <w:color w:val="FF0000"/>
          <w:szCs w:val="21"/>
          <w:highlight w:val="none"/>
          <w:shd w:val="clear" w:color="auto" w:fill="FFFFFF"/>
          <w:lang w:val="en-US" w:eastAsia="zh-CN"/>
        </w:rPr>
        <w:t>3</w:t>
      </w:r>
      <w:r>
        <w:rPr>
          <w:rFonts w:hint="eastAsia" w:ascii="宋体" w:hAnsi="宋体" w:eastAsia="宋体" w:cs="宋体"/>
          <w:color w:val="FF0000"/>
          <w:szCs w:val="21"/>
          <w:highlight w:val="none"/>
          <w:shd w:val="clear" w:color="auto" w:fill="FFFFFF"/>
        </w:rPr>
        <w:t>年</w:t>
      </w:r>
      <w:r>
        <w:rPr>
          <w:rFonts w:hint="eastAsia" w:ascii="宋体" w:hAnsi="宋体" w:cs="宋体"/>
          <w:color w:val="FF0000"/>
          <w:szCs w:val="21"/>
          <w:highlight w:val="none"/>
          <w:shd w:val="clear" w:color="auto" w:fill="FFFFFF"/>
          <w:lang w:val="en-US" w:eastAsia="zh-CN"/>
        </w:rPr>
        <w:t>1</w:t>
      </w:r>
      <w:r>
        <w:rPr>
          <w:rFonts w:hint="eastAsia" w:ascii="宋体" w:hAnsi="宋体" w:eastAsia="宋体" w:cs="宋体"/>
          <w:color w:val="FF0000"/>
          <w:szCs w:val="21"/>
          <w:highlight w:val="none"/>
          <w:shd w:val="clear" w:color="auto" w:fill="FFFFFF"/>
        </w:rPr>
        <w:t>月</w:t>
      </w:r>
      <w:r>
        <w:rPr>
          <w:rFonts w:hint="eastAsia" w:ascii="宋体" w:hAnsi="宋体" w:cs="宋体"/>
          <w:color w:val="FF0000"/>
          <w:szCs w:val="21"/>
          <w:highlight w:val="none"/>
          <w:shd w:val="clear" w:color="auto" w:fill="FFFFFF"/>
          <w:lang w:val="en-US" w:eastAsia="zh-CN"/>
        </w:rPr>
        <w:t>11</w:t>
      </w:r>
      <w:r>
        <w:rPr>
          <w:rFonts w:hint="eastAsia" w:ascii="宋体" w:hAnsi="宋体" w:eastAsia="宋体" w:cs="宋体"/>
          <w:color w:val="FF0000"/>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2.凡报名成功的供应商无故不来参与投标的列入我院黑名单，一年内不得参与我院任何采购活动。中标供应商缴纳相应服务费。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shd w:val="clear" w:color="auto" w:fill="FFFFFF"/>
          <w:lang w:val="en-US" w:eastAsia="zh-CN" w:bidi="ar-SA"/>
        </w:rPr>
        <w:t>zxcxmglyxgs@163.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11"/>
      <w:bookmarkStart w:id="19" w:name="_Toc27480"/>
      <w:bookmarkStart w:id="20" w:name="_Toc15135"/>
      <w:bookmarkStart w:id="21" w:name="_Toc25869"/>
      <w:bookmarkStart w:id="22" w:name="_Toc10738"/>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6523"/>
      <w:bookmarkStart w:id="25" w:name="_Toc20287"/>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16291"/>
      <w:bookmarkStart w:id="31" w:name="_Toc24274"/>
      <w:bookmarkStart w:id="32" w:name="_Toc31928"/>
      <w:bookmarkStart w:id="33" w:name="_Toc27370"/>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报名联系人1：李女士</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eastAsia="宋体" w:cs="宋体"/>
          <w:color w:val="auto"/>
          <w:kern w:val="0"/>
          <w:sz w:val="21"/>
          <w:szCs w:val="21"/>
          <w:highlight w:val="none"/>
          <w:shd w:val="clear" w:color="auto" w:fill="FFFFFF"/>
          <w:lang w:val="en-US" w:eastAsia="zh-CN" w:bidi="ar-SA"/>
        </w:rPr>
        <w:t>18137647844</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报名联系人2：杨</w:t>
      </w:r>
      <w:r>
        <w:rPr>
          <w:rFonts w:hint="eastAsia" w:ascii="宋体" w:hAnsi="宋体" w:eastAsia="宋体" w:cs="宋体"/>
          <w:color w:val="auto"/>
          <w:kern w:val="0"/>
          <w:sz w:val="21"/>
          <w:szCs w:val="21"/>
          <w:highlight w:val="none"/>
          <w:shd w:val="clear" w:color="auto" w:fill="FFFFFF"/>
          <w:lang w:val="en-US" w:eastAsia="zh-CN" w:bidi="ar-SA"/>
        </w:rPr>
        <w:t>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联系电话：0396-3676106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33"/>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31"/>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cs="宋体"/>
          <w:color w:val="FF0000"/>
          <w:kern w:val="0"/>
          <w:sz w:val="21"/>
          <w:szCs w:val="21"/>
          <w:shd w:val="clear" w:color="auto" w:fill="FFFFFF"/>
          <w:lang w:val="en-US" w:eastAsia="zh-CN" w:bidi="ar-SA"/>
        </w:rPr>
        <w:t xml:space="preserve"> </w:t>
      </w:r>
      <w:r>
        <w:rPr>
          <w:rFonts w:hint="eastAsia" w:ascii="宋体" w:hAnsi="宋体" w:eastAsia="宋体" w:cs="宋体"/>
          <w:color w:val="FF0000"/>
          <w:kern w:val="0"/>
          <w:sz w:val="21"/>
          <w:szCs w:val="21"/>
          <w:shd w:val="clear" w:color="auto" w:fill="FFFFFF"/>
          <w:lang w:val="en-US" w:eastAsia="zh-CN" w:bidi="ar-SA"/>
        </w:rPr>
        <w:t>202</w:t>
      </w:r>
      <w:r>
        <w:rPr>
          <w:rFonts w:hint="eastAsia" w:ascii="宋体" w:hAnsi="宋体" w:cs="宋体"/>
          <w:color w:val="FF0000"/>
          <w:kern w:val="0"/>
          <w:sz w:val="21"/>
          <w:szCs w:val="21"/>
          <w:shd w:val="clear" w:color="auto" w:fill="FFFFFF"/>
          <w:lang w:val="en-US" w:eastAsia="zh-CN" w:bidi="ar-SA"/>
        </w:rPr>
        <w:t>3</w:t>
      </w:r>
      <w:r>
        <w:rPr>
          <w:rFonts w:hint="eastAsia" w:ascii="宋体" w:hAnsi="宋体" w:eastAsia="宋体" w:cs="宋体"/>
          <w:color w:val="FF0000"/>
          <w:kern w:val="0"/>
          <w:sz w:val="21"/>
          <w:szCs w:val="21"/>
          <w:shd w:val="clear" w:color="auto" w:fill="FFFFFF"/>
          <w:lang w:val="en-US" w:eastAsia="zh-CN" w:bidi="ar-SA"/>
        </w:rPr>
        <w:t>年</w:t>
      </w:r>
      <w:r>
        <w:rPr>
          <w:rFonts w:hint="eastAsia" w:ascii="宋体" w:hAnsi="宋体" w:cs="宋体"/>
          <w:color w:val="FF0000"/>
          <w:kern w:val="0"/>
          <w:sz w:val="21"/>
          <w:szCs w:val="21"/>
          <w:shd w:val="clear" w:color="auto" w:fill="FFFFFF"/>
          <w:lang w:val="en-US" w:eastAsia="zh-CN" w:bidi="ar-SA"/>
        </w:rPr>
        <w:t>1</w:t>
      </w:r>
      <w:r>
        <w:rPr>
          <w:rFonts w:hint="eastAsia" w:ascii="宋体" w:hAnsi="宋体" w:eastAsia="宋体" w:cs="宋体"/>
          <w:color w:val="FF0000"/>
          <w:kern w:val="0"/>
          <w:sz w:val="21"/>
          <w:szCs w:val="21"/>
          <w:shd w:val="clear" w:color="auto" w:fill="FFFFFF"/>
          <w:lang w:val="en-US" w:eastAsia="zh-CN" w:bidi="ar-SA"/>
        </w:rPr>
        <w:t>月</w:t>
      </w:r>
      <w:r>
        <w:rPr>
          <w:rFonts w:hint="eastAsia" w:ascii="宋体" w:hAnsi="宋体" w:cs="宋体"/>
          <w:color w:val="FF0000"/>
          <w:kern w:val="0"/>
          <w:sz w:val="21"/>
          <w:szCs w:val="21"/>
          <w:shd w:val="clear" w:color="auto" w:fill="FFFFFF"/>
          <w:lang w:val="en-US" w:eastAsia="zh-CN" w:bidi="ar-SA"/>
        </w:rPr>
        <w:t>6</w:t>
      </w:r>
      <w:r>
        <w:rPr>
          <w:rFonts w:hint="eastAsia" w:ascii="宋体" w:hAnsi="宋体" w:eastAsia="宋体" w:cs="宋体"/>
          <w:color w:val="FF0000"/>
          <w:kern w:val="0"/>
          <w:sz w:val="21"/>
          <w:szCs w:val="21"/>
          <w:highlight w:val="none"/>
          <w:shd w:val="clear" w:color="auto" w:fill="FFFFFF"/>
          <w:lang w:val="en-US" w:eastAsia="zh-CN" w:bidi="ar-SA"/>
        </w:rPr>
        <w:t>日</w:t>
      </w:r>
    </w:p>
    <w:p>
      <w:pPr>
        <w:pStyle w:val="31"/>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bookmarkEnd w:id="91"/>
    <w:p>
      <w:pPr>
        <w:rPr>
          <w:rFonts w:hint="eastAsia"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br w:type="page"/>
      </w:r>
    </w:p>
    <w:p>
      <w:pPr>
        <w:widowControl/>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pStyle w:val="7"/>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w:t>
      </w:r>
      <w:r>
        <w:rPr>
          <w:rFonts w:hint="eastAsia" w:cs="宋体"/>
          <w:kern w:val="2"/>
          <w:sz w:val="21"/>
          <w:szCs w:val="24"/>
          <w:lang w:val="en-US" w:eastAsia="zh-CN" w:bidi="ar-SA"/>
        </w:rPr>
        <w:t>驻马店市中心医院信息发布平台采购项目（二次）</w:t>
      </w:r>
    </w:p>
    <w:p>
      <w:pPr>
        <w:pStyle w:val="7"/>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 xml:space="preserve">二、项目用途说明：中心医院院内通知、随访、预约挂号、咨询等日常信息发布    </w:t>
      </w:r>
    </w:p>
    <w:p>
      <w:pPr>
        <w:pStyle w:val="7"/>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873"/>
        <w:gridCol w:w="1226"/>
        <w:gridCol w:w="1828"/>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序号</w:t>
            </w:r>
          </w:p>
        </w:tc>
        <w:tc>
          <w:tcPr>
            <w:tcW w:w="2873"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项目名称</w:t>
            </w:r>
          </w:p>
        </w:tc>
        <w:tc>
          <w:tcPr>
            <w:tcW w:w="1226"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数量或规模</w:t>
            </w:r>
          </w:p>
        </w:tc>
        <w:tc>
          <w:tcPr>
            <w:tcW w:w="1828"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873"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驻马店市中心医院信息发布平台采购项目（二次）</w:t>
            </w:r>
          </w:p>
        </w:tc>
        <w:tc>
          <w:tcPr>
            <w:tcW w:w="1226" w:type="dxa"/>
            <w:tcBorders>
              <w:top w:val="single" w:color="auto" w:sz="4" w:space="0"/>
              <w:left w:val="nil"/>
              <w:bottom w:val="single" w:color="auto" w:sz="4" w:space="0"/>
              <w:right w:val="single" w:color="auto" w:sz="4" w:space="0"/>
            </w:tcBorders>
            <w:vAlign w:val="center"/>
          </w:tcPr>
          <w:p>
            <w:pPr>
              <w:pStyle w:val="7"/>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828" w:type="dxa"/>
            <w:tcBorders>
              <w:top w:val="single" w:color="auto" w:sz="4" w:space="0"/>
              <w:left w:val="nil"/>
              <w:bottom w:val="single" w:color="auto" w:sz="4" w:space="0"/>
              <w:right w:val="single" w:color="auto" w:sz="4" w:space="0"/>
            </w:tcBorders>
            <w:vAlign w:val="center"/>
          </w:tcPr>
          <w:p>
            <w:pPr>
              <w:pStyle w:val="7"/>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30万元/年</w:t>
            </w:r>
          </w:p>
        </w:tc>
        <w:tc>
          <w:tcPr>
            <w:tcW w:w="1554"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合计</w:t>
            </w:r>
          </w:p>
        </w:tc>
        <w:tc>
          <w:tcPr>
            <w:tcW w:w="2873"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sz w:val="21"/>
                <w:szCs w:val="21"/>
                <w:lang w:val="en-US" w:eastAsia="zh-CN"/>
              </w:rPr>
            </w:pPr>
          </w:p>
        </w:tc>
        <w:tc>
          <w:tcPr>
            <w:tcW w:w="1226"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sz w:val="21"/>
                <w:szCs w:val="21"/>
                <w:lang w:val="en-US" w:eastAsia="zh-CN"/>
              </w:rPr>
            </w:pPr>
          </w:p>
        </w:tc>
        <w:tc>
          <w:tcPr>
            <w:tcW w:w="1828" w:type="dxa"/>
            <w:tcBorders>
              <w:top w:val="single" w:color="auto" w:sz="4" w:space="0"/>
              <w:left w:val="nil"/>
              <w:bottom w:val="single" w:color="auto" w:sz="4" w:space="0"/>
              <w:right w:val="single" w:color="auto" w:sz="4" w:space="0"/>
            </w:tcBorders>
            <w:vAlign w:val="center"/>
          </w:tcPr>
          <w:p>
            <w:pPr>
              <w:pStyle w:val="7"/>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30万元/年</w:t>
            </w:r>
          </w:p>
        </w:tc>
        <w:tc>
          <w:tcPr>
            <w:tcW w:w="1554"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sz w:val="21"/>
                <w:szCs w:val="21"/>
                <w:lang w:val="en-US" w:eastAsia="zh-CN"/>
              </w:rPr>
            </w:pPr>
          </w:p>
        </w:tc>
      </w:tr>
    </w:tbl>
    <w:p>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支持包年或单条短信发送，提供包年或单条资费，包年及单条价格须控制在0.06元/条以内。</w:t>
      </w:r>
    </w:p>
    <w:p>
      <w:pPr>
        <w:pStyle w:val="7"/>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四、详细技术要求、参数及产品资料等：</w:t>
      </w:r>
    </w:p>
    <w:p>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20" w:firstLineChars="200"/>
        <w:jc w:val="both"/>
        <w:rPr>
          <w:rFonts w:hint="eastAsia" w:cs="宋体"/>
          <w:kern w:val="2"/>
          <w:sz w:val="21"/>
          <w:szCs w:val="24"/>
          <w:lang w:val="en-US" w:eastAsia="zh-CN" w:bidi="ar-SA"/>
        </w:rPr>
      </w:pPr>
      <w:r>
        <w:rPr>
          <w:rFonts w:hint="eastAsia" w:cs="宋体"/>
          <w:kern w:val="2"/>
          <w:sz w:val="21"/>
          <w:szCs w:val="24"/>
          <w:lang w:val="en-US" w:eastAsia="zh-CN" w:bidi="ar-SA"/>
        </w:rPr>
        <w:t>（一）平台功能要求：1、可在医院独立部署系统，具备异地灾备能力；2、短信并发量：≥1000条/秒，平台通过页面提交单批次支持五十万个手机号码进行发送；3、可同时接入总部网关及省网关，实现通道备份，总部网关并发量近50000条/秒；4、账户安全：支持手机验证码、手机APP统一认证登录功能；5、传输安全：HTTPS加密传输，且支持专线接入；6、内容安全：平台会对短信进行关键字过滤，对包含敏感词的短信进行拦截；7、发送方式：支持浏览器、接口等多种发送方式；8、具备普通短信、模板短信、彩信、视频短信发送能力；9、全网发送：支持面向移动、电信、联通三大运营商号码短信发送，且用户收的短信来源号码为统一标识；10、发送范围：可根据不同需求发送全国短信、省内短信；11、上下行功能：平台通过页面提交单批次支持六十万个手机号码进行发送，收到短信的客户可根据内容直接进行回复上行短信；12、鉴权功能：支持证书加密、IP鉴权等多种方式；13、后台管理功能：可以进行EC管理、黑名单管理、企业通讯录、权限管理和SMS接口管理等；</w:t>
      </w:r>
    </w:p>
    <w:p>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20" w:firstLineChars="200"/>
        <w:jc w:val="both"/>
        <w:rPr>
          <w:rFonts w:hint="eastAsia" w:cs="宋体"/>
          <w:kern w:val="2"/>
          <w:sz w:val="21"/>
          <w:szCs w:val="24"/>
          <w:lang w:val="en-US" w:eastAsia="zh-CN" w:bidi="ar-SA"/>
        </w:rPr>
      </w:pPr>
      <w:r>
        <w:rPr>
          <w:rFonts w:hint="eastAsia" w:cs="宋体"/>
          <w:kern w:val="2"/>
          <w:sz w:val="21"/>
          <w:szCs w:val="24"/>
          <w:lang w:val="en-US" w:eastAsia="zh-CN" w:bidi="ar-SA"/>
        </w:rPr>
        <w:t>（二）资质要求：1、该平台须提供短信平台的计算机软件著作权登记证书；2、须提供短信平台部署的云平台的三级等保证明、国家ISO27001，ISO20000认证；3、平台稳定性承诺函：须提供平台系统平均无故障率不低于 99.99%；排除其他网元故障，行业短信网关平均无故障时间不少于 20000 小时的承诺函；4、参与投标的供应商需提前沟通端口对接要求并出具端口对接承诺书，未提前沟通并出具承诺的视为无效应标。</w:t>
      </w:r>
    </w:p>
    <w:p>
      <w:pPr>
        <w:pStyle w:val="7"/>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五、售后服务条件及交货日期（或工期）：</w:t>
      </w:r>
    </w:p>
    <w:bookmarkEnd w:id="35"/>
    <w:bookmarkEnd w:id="36"/>
    <w:p>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供应商须提供现场安装部署及平台对接，要求5个工作日内部署对接完毕。其中售后服务包括平台的建设、维护及客服及相关得运维工作，提供</w:t>
      </w:r>
      <w:r>
        <w:rPr>
          <w:rFonts w:hint="default" w:ascii="宋体" w:hAnsi="宋体" w:eastAsia="宋体" w:cs="宋体"/>
          <w:kern w:val="2"/>
          <w:sz w:val="21"/>
          <w:szCs w:val="24"/>
          <w:lang w:val="en-US" w:eastAsia="zh-CN" w:bidi="ar-SA"/>
        </w:rPr>
        <w:t>7*24</w:t>
      </w:r>
      <w:r>
        <w:rPr>
          <w:rFonts w:hint="eastAsia" w:ascii="宋体" w:hAnsi="宋体" w:eastAsia="宋体" w:cs="宋体"/>
          <w:kern w:val="2"/>
          <w:sz w:val="21"/>
          <w:szCs w:val="24"/>
          <w:lang w:val="en-US" w:eastAsia="zh-CN" w:bidi="ar-SA"/>
        </w:rPr>
        <w:t>小时不间断服务，售后响应时间不得超过</w:t>
      </w:r>
      <w:r>
        <w:rPr>
          <w:rFonts w:hint="default" w:ascii="宋体" w:hAnsi="宋体" w:eastAsia="宋体" w:cs="宋体"/>
          <w:kern w:val="2"/>
          <w:sz w:val="21"/>
          <w:szCs w:val="24"/>
          <w:lang w:val="en-US" w:eastAsia="zh-CN" w:bidi="ar-SA"/>
        </w:rPr>
        <w:t>2</w:t>
      </w:r>
      <w:r>
        <w:rPr>
          <w:rFonts w:hint="eastAsia" w:ascii="宋体" w:hAnsi="宋体" w:eastAsia="宋体" w:cs="宋体"/>
          <w:kern w:val="2"/>
          <w:sz w:val="21"/>
          <w:szCs w:val="24"/>
          <w:lang w:val="en-US" w:eastAsia="zh-CN" w:bidi="ar-SA"/>
        </w:rPr>
        <w:t xml:space="preserve">小时。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rFonts w:hint="eastAsia"/>
          <w:b/>
          <w:bCs/>
          <w:color w:val="auto"/>
          <w:sz w:val="32"/>
          <w:szCs w:val="32"/>
          <w:highlight w:val="none"/>
        </w:rPr>
      </w:pPr>
      <w:bookmarkStart w:id="40" w:name="_Toc14504"/>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4"/>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驻马店市中心医院信息发布平台采购项目（二次）</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300000.00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“投标人”系指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“投标人代表”系指代表投标人参加本次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300000.00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w:t>
      </w:r>
      <w:r>
        <w:rPr>
          <w:rFonts w:hint="eastAsia" w:ascii="宋体" w:hAnsi="宋体" w:cs="宋体"/>
          <w:color w:val="auto"/>
          <w:kern w:val="2"/>
          <w:sz w:val="21"/>
          <w:szCs w:val="24"/>
          <w:lang w:val="en-US" w:eastAsia="zh-CN" w:bidi="ar-SA"/>
        </w:rPr>
        <w:t>2021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3"/>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sz w:val="21"/>
          <w:lang w:val="en-US" w:eastAsia="zh-CN"/>
        </w:rPr>
        <w:t>4.3</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4.5</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ascii="宋体" w:hAnsi="宋体" w:cs="宋体"/>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6"/>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w:t>
      </w:r>
      <w:r>
        <w:rPr>
          <w:rFonts w:hint="eastAsia" w:ascii="宋体" w:hAnsi="宋体" w:cs="宋体"/>
          <w:b/>
          <w:color w:val="auto"/>
          <w:kern w:val="0"/>
          <w:szCs w:val="21"/>
          <w:highlight w:val="none"/>
          <w:lang w:val="en-US" w:eastAsia="zh-CN"/>
        </w:rPr>
        <w:t>保证金</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时间、质保期等不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专业技术水平、人员配备、人员专业素质等</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企业综合实力</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根据投标人在投标文件中所附</w:t>
            </w:r>
            <w:r>
              <w:rPr>
                <w:rFonts w:hint="eastAsia" w:ascii="宋体" w:hAnsi="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w:t>
            </w:r>
            <w:r>
              <w:rPr>
                <w:rFonts w:hint="eastAsia" w:ascii="宋体" w:hAnsi="宋体" w:cs="宋体"/>
                <w:b w:val="0"/>
                <w:bCs w:val="0"/>
                <w:color w:val="auto"/>
                <w:sz w:val="21"/>
                <w:szCs w:val="21"/>
                <w:highlight w:val="none"/>
                <w:lang w:val="en-US" w:eastAsia="zh-CN"/>
              </w:rPr>
              <w:t>、服务承诺及增值服务</w:t>
            </w:r>
            <w:r>
              <w:rPr>
                <w:rFonts w:hint="eastAsia" w:ascii="宋体" w:hAnsi="宋体" w:eastAsia="宋体" w:cs="宋体"/>
                <w:b w:val="0"/>
                <w:bCs w:val="0"/>
                <w:color w:val="auto"/>
                <w:sz w:val="21"/>
                <w:szCs w:val="21"/>
                <w:highlight w:val="none"/>
                <w:lang w:val="en-US" w:eastAsia="zh-CN"/>
              </w:rPr>
              <w:t>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2"/>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3"/>
      </w:pPr>
    </w:p>
    <w:p>
      <w:pPr>
        <w:pStyle w:val="2"/>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8"/>
        <w:rPr>
          <w:color w:val="auto"/>
          <w:highlight w:val="none"/>
        </w:rPr>
      </w:pPr>
    </w:p>
    <w:p>
      <w:pPr>
        <w:pStyle w:val="10"/>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10"/>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10"/>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2"/>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10"/>
        <w:spacing w:before="20" w:after="20"/>
        <w:rPr>
          <w:color w:val="000000" w:themeColor="text1"/>
          <w:highlight w:val="none"/>
          <w14:textFill>
            <w14:solidFill>
              <w14:schemeClr w14:val="tx1"/>
            </w14:solidFill>
          </w14:textFill>
        </w:rPr>
      </w:pPr>
      <w:bookmarkStart w:id="74" w:name="_Toc22004"/>
      <w:bookmarkStart w:id="75" w:name="_Toc24984"/>
      <w:r>
        <w:rPr>
          <w:rFonts w:hint="eastAsia"/>
          <w:color w:val="000000" w:themeColor="text1"/>
          <w:highlight w:val="none"/>
          <w14:textFill>
            <w14:solidFill>
              <w14:schemeClr w14:val="tx1"/>
            </w14:solidFill>
          </w14:textFill>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4"/>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10"/>
        <w:rPr>
          <w:rFonts w:hint="eastAsia" w:eastAsia="黑体"/>
          <w:color w:val="auto"/>
          <w:highlight w:val="none"/>
          <w:lang w:val="en-US" w:eastAsia="zh-CN"/>
        </w:rPr>
      </w:pPr>
      <w:r>
        <w:rPr>
          <w:rFonts w:hint="eastAsia"/>
          <w:color w:val="auto"/>
          <w:highlight w:val="none"/>
        </w:rPr>
        <w:br w:type="page"/>
      </w:r>
      <w:bookmarkStart w:id="76" w:name="_Toc226"/>
      <w:bookmarkStart w:id="77" w:name="_Toc15804"/>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3"/>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14"/>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4"/>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4"/>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14"/>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4"/>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4"/>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pStyle w:val="9"/>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ascii="宋体" w:hAnsi="宋体" w:cs="宋体"/>
        <w:color w:val="auto"/>
        <w:szCs w:val="21"/>
        <w:highlight w:val="none"/>
        <w:shd w:val="clear" w:color="auto" w:fill="FFFFFF"/>
        <w:lang w:val="en-US" w:eastAsia="zh-CN"/>
      </w:rPr>
      <w:t>驻马店市中心医院信息发布平台采购项目（二次）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r>
      <w:rPr>
        <w:rFonts w:hint="eastAsia" w:ascii="宋体" w:hAnsi="宋体" w:cs="宋体"/>
        <w:color w:val="auto"/>
        <w:szCs w:val="21"/>
        <w:highlight w:val="none"/>
        <w:shd w:val="clear" w:color="auto" w:fill="FFFFFF"/>
        <w:lang w:val="en-US" w:eastAsia="zh-CN"/>
      </w:rPr>
      <w:t>驻马店市中心医院信息发布平台采购项目（二次）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A249C3"/>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3E017D2"/>
    <w:rsid w:val="04416C20"/>
    <w:rsid w:val="047968B1"/>
    <w:rsid w:val="04870542"/>
    <w:rsid w:val="054C0111"/>
    <w:rsid w:val="05545DD3"/>
    <w:rsid w:val="056E2AD6"/>
    <w:rsid w:val="05806815"/>
    <w:rsid w:val="058251D3"/>
    <w:rsid w:val="05945CCE"/>
    <w:rsid w:val="059D05A4"/>
    <w:rsid w:val="059D5E17"/>
    <w:rsid w:val="05AB0A28"/>
    <w:rsid w:val="05AB0F81"/>
    <w:rsid w:val="05B93D6B"/>
    <w:rsid w:val="05BC61A5"/>
    <w:rsid w:val="05D53002"/>
    <w:rsid w:val="05D75738"/>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D13A85"/>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413D84"/>
    <w:rsid w:val="127A7D1C"/>
    <w:rsid w:val="12836D8B"/>
    <w:rsid w:val="12AB0349"/>
    <w:rsid w:val="12CD57F1"/>
    <w:rsid w:val="12CE7AFA"/>
    <w:rsid w:val="12D67466"/>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616E2C"/>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1A071C"/>
    <w:rsid w:val="264B0BA4"/>
    <w:rsid w:val="268C5256"/>
    <w:rsid w:val="268E455B"/>
    <w:rsid w:val="26912B30"/>
    <w:rsid w:val="269772F0"/>
    <w:rsid w:val="26A30712"/>
    <w:rsid w:val="26AC0C27"/>
    <w:rsid w:val="26C807A6"/>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322B15"/>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443652"/>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02294D"/>
    <w:rsid w:val="3011153D"/>
    <w:rsid w:val="30142680"/>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C42472"/>
    <w:rsid w:val="32DC63A0"/>
    <w:rsid w:val="32E429C1"/>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9472F"/>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3B7B0D"/>
    <w:rsid w:val="3851700B"/>
    <w:rsid w:val="385246B6"/>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2736FD"/>
    <w:rsid w:val="50374A3C"/>
    <w:rsid w:val="50550E55"/>
    <w:rsid w:val="509F43E4"/>
    <w:rsid w:val="50A54D3E"/>
    <w:rsid w:val="50F1402B"/>
    <w:rsid w:val="50FD2AD9"/>
    <w:rsid w:val="51097D9A"/>
    <w:rsid w:val="51237D2E"/>
    <w:rsid w:val="515B06D0"/>
    <w:rsid w:val="51996737"/>
    <w:rsid w:val="51B408B8"/>
    <w:rsid w:val="51CC0868"/>
    <w:rsid w:val="51D5340F"/>
    <w:rsid w:val="52382F2A"/>
    <w:rsid w:val="52386E3D"/>
    <w:rsid w:val="523A7DD1"/>
    <w:rsid w:val="523B771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860894"/>
    <w:rsid w:val="558F6181"/>
    <w:rsid w:val="55B02DF1"/>
    <w:rsid w:val="55DC290C"/>
    <w:rsid w:val="55F01FA1"/>
    <w:rsid w:val="56130B60"/>
    <w:rsid w:val="561F2AF0"/>
    <w:rsid w:val="56990B7C"/>
    <w:rsid w:val="569E1126"/>
    <w:rsid w:val="56B80DEB"/>
    <w:rsid w:val="56E0560F"/>
    <w:rsid w:val="56E06E61"/>
    <w:rsid w:val="56F653FE"/>
    <w:rsid w:val="575B7AFD"/>
    <w:rsid w:val="57660D3F"/>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BF20AFB"/>
    <w:rsid w:val="5C1A6BB2"/>
    <w:rsid w:val="5C5355FE"/>
    <w:rsid w:val="5C6F4105"/>
    <w:rsid w:val="5CBB7F6F"/>
    <w:rsid w:val="5D442CB4"/>
    <w:rsid w:val="5D7C3F11"/>
    <w:rsid w:val="5D9D49E0"/>
    <w:rsid w:val="5DDF1821"/>
    <w:rsid w:val="5DE2656A"/>
    <w:rsid w:val="5DEA2F91"/>
    <w:rsid w:val="5DF94AE0"/>
    <w:rsid w:val="5DFA5883"/>
    <w:rsid w:val="5E3146A3"/>
    <w:rsid w:val="5E3E3AD1"/>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EE4692"/>
    <w:rsid w:val="63FD622D"/>
    <w:rsid w:val="643F32F9"/>
    <w:rsid w:val="64582686"/>
    <w:rsid w:val="64673C87"/>
    <w:rsid w:val="64A251DD"/>
    <w:rsid w:val="650242F0"/>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4E2AC6"/>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3F77C3"/>
    <w:rsid w:val="77413F7E"/>
    <w:rsid w:val="7758241F"/>
    <w:rsid w:val="777A7D22"/>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9F9627A"/>
    <w:rsid w:val="7A2F3BBF"/>
    <w:rsid w:val="7A2F459A"/>
    <w:rsid w:val="7A517022"/>
    <w:rsid w:val="7A6F5001"/>
    <w:rsid w:val="7AA2343E"/>
    <w:rsid w:val="7ADA73A4"/>
    <w:rsid w:val="7AE66B99"/>
    <w:rsid w:val="7B0A3BCA"/>
    <w:rsid w:val="7B345AA9"/>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1939E8"/>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before="340" w:after="330" w:line="576" w:lineRule="auto"/>
      <w:outlineLvl w:val="0"/>
    </w:pPr>
    <w:rPr>
      <w:b/>
      <w:bCs/>
      <w:kern w:val="44"/>
      <w:sz w:val="44"/>
      <w:szCs w:val="44"/>
    </w:rPr>
  </w:style>
  <w:style w:type="paragraph" w:styleId="10">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1">
    <w:name w:val="heading 3"/>
    <w:basedOn w:val="1"/>
    <w:next w:val="1"/>
    <w:qFormat/>
    <w:uiPriority w:val="0"/>
    <w:pPr>
      <w:keepNext/>
      <w:keepLines/>
      <w:spacing w:before="260" w:after="260" w:line="416" w:lineRule="auto"/>
      <w:outlineLvl w:val="2"/>
    </w:pPr>
    <w:rPr>
      <w:b/>
      <w:bCs/>
      <w:sz w:val="32"/>
      <w:szCs w:val="32"/>
    </w:rPr>
  </w:style>
  <w:style w:type="paragraph" w:styleId="12">
    <w:name w:val="heading 4"/>
    <w:basedOn w:val="1"/>
    <w:next w:val="1"/>
    <w:qFormat/>
    <w:uiPriority w:val="0"/>
    <w:pPr>
      <w:keepNext/>
      <w:keepLines/>
      <w:spacing w:line="360" w:lineRule="auto"/>
      <w:outlineLvl w:val="3"/>
    </w:pPr>
    <w:rPr>
      <w:rFonts w:ascii="Arial" w:hAnsi="Arial"/>
      <w:b/>
      <w:bCs/>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72"/>
    <w:qFormat/>
    <w:uiPriority w:val="0"/>
  </w:style>
  <w:style w:type="paragraph" w:customStyle="1" w:styleId="4">
    <w:name w:val="Default"/>
    <w:next w:val="5"/>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qFormat/>
    <w:uiPriority w:val="0"/>
    <w:pPr>
      <w:jc w:val="center"/>
    </w:pPr>
    <w:rPr>
      <w:rFonts w:ascii="Arial" w:hAnsi="Arial"/>
      <w:b/>
      <w:sz w:val="28"/>
    </w:rPr>
  </w:style>
  <w:style w:type="paragraph" w:styleId="6">
    <w:name w:val="Body Text First Indent 2"/>
    <w:basedOn w:val="7"/>
    <w:next w:val="9"/>
    <w:qFormat/>
    <w:uiPriority w:val="0"/>
    <w:pPr>
      <w:ind w:firstLine="420" w:firstLineChars="200"/>
    </w:pPr>
  </w:style>
  <w:style w:type="paragraph" w:styleId="7">
    <w:name w:val="Body Text Indent"/>
    <w:basedOn w:val="1"/>
    <w:next w:val="8"/>
    <w:qFormat/>
    <w:uiPriority w:val="0"/>
    <w:pPr>
      <w:widowControl/>
      <w:spacing w:beforeAutospacing="1" w:afterAutospacing="1"/>
      <w:jc w:val="left"/>
    </w:pPr>
    <w:rPr>
      <w:rFonts w:ascii="宋体" w:hAnsi="宋体" w:cs="宋体"/>
      <w:kern w:val="0"/>
      <w:sz w:val="24"/>
    </w:rPr>
  </w:style>
  <w:style w:type="paragraph" w:styleId="8">
    <w:name w:val="envelope return"/>
    <w:basedOn w:val="1"/>
    <w:unhideWhenUsed/>
    <w:qFormat/>
    <w:uiPriority w:val="99"/>
    <w:pPr>
      <w:snapToGrid w:val="0"/>
    </w:pPr>
    <w:rPr>
      <w:rFonts w:ascii="Arial" w:hAnsi="Arial"/>
    </w:rPr>
  </w:style>
  <w:style w:type="paragraph" w:customStyle="1" w:styleId="9">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13">
    <w:name w:val="List Number"/>
    <w:basedOn w:val="1"/>
    <w:qFormat/>
    <w:uiPriority w:val="0"/>
    <w:pPr>
      <w:widowControl/>
      <w:spacing w:beforeAutospacing="1" w:afterAutospacing="1"/>
      <w:jc w:val="left"/>
    </w:pPr>
    <w:rPr>
      <w:rFonts w:ascii="宋体" w:hAnsi="宋体" w:cs="宋体"/>
      <w:kern w:val="0"/>
      <w:sz w:val="24"/>
    </w:rPr>
  </w:style>
  <w:style w:type="paragraph" w:styleId="14">
    <w:name w:val="Normal Indent"/>
    <w:basedOn w:val="1"/>
    <w:qFormat/>
    <w:uiPriority w:val="0"/>
    <w:pPr>
      <w:widowControl/>
      <w:spacing w:beforeAutospacing="1" w:afterAutospacing="1"/>
      <w:jc w:val="left"/>
    </w:pPr>
    <w:rPr>
      <w:rFonts w:ascii="宋体" w:hAnsi="宋体" w:cs="宋体"/>
      <w:kern w:val="0"/>
      <w:sz w:val="24"/>
    </w:rPr>
  </w:style>
  <w:style w:type="paragraph" w:styleId="15">
    <w:name w:val="Document Map"/>
    <w:basedOn w:val="1"/>
    <w:link w:val="74"/>
    <w:qFormat/>
    <w:uiPriority w:val="0"/>
    <w:rPr>
      <w:rFonts w:ascii="宋体" w:hAnsi="Calibri"/>
      <w:sz w:val="18"/>
      <w:szCs w:val="18"/>
    </w:rPr>
  </w:style>
  <w:style w:type="paragraph" w:styleId="16">
    <w:name w:val="annotation text"/>
    <w:basedOn w:val="1"/>
    <w:qFormat/>
    <w:uiPriority w:val="0"/>
    <w:pPr>
      <w:jc w:val="left"/>
    </w:pPr>
  </w:style>
  <w:style w:type="paragraph" w:styleId="17">
    <w:name w:val="Body Text 3"/>
    <w:basedOn w:val="1"/>
    <w:qFormat/>
    <w:uiPriority w:val="0"/>
    <w:rPr>
      <w:sz w:val="16"/>
      <w:szCs w:val="16"/>
    </w:rPr>
  </w:style>
  <w:style w:type="paragraph" w:styleId="18">
    <w:name w:val="List 2"/>
    <w:basedOn w:val="1"/>
    <w:qFormat/>
    <w:uiPriority w:val="0"/>
    <w:pPr>
      <w:ind w:left="100" w:leftChars="200" w:hanging="200" w:hangingChars="200"/>
    </w:pPr>
  </w:style>
  <w:style w:type="paragraph" w:styleId="19">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qFormat/>
    <w:uiPriority w:val="0"/>
    <w:pPr>
      <w:tabs>
        <w:tab w:val="left" w:pos="709"/>
        <w:tab w:val="right" w:leader="dot" w:pos="8789"/>
      </w:tabs>
      <w:spacing w:line="400" w:lineRule="atLeast"/>
    </w:pPr>
    <w:rPr>
      <w:rFonts w:ascii="宋体"/>
      <w:kern w:val="0"/>
      <w:szCs w:val="20"/>
    </w:rPr>
  </w:style>
  <w:style w:type="paragraph" w:styleId="21">
    <w:name w:val="Plain Text"/>
    <w:basedOn w:val="1"/>
    <w:qFormat/>
    <w:uiPriority w:val="0"/>
    <w:pPr>
      <w:widowControl/>
      <w:spacing w:beforeAutospacing="1" w:afterAutospacing="1"/>
      <w:jc w:val="left"/>
    </w:pPr>
    <w:rPr>
      <w:rFonts w:ascii="宋体" w:hAnsi="宋体" w:cs="宋体"/>
      <w:kern w:val="0"/>
      <w:sz w:val="24"/>
    </w:rPr>
  </w:style>
  <w:style w:type="paragraph" w:styleId="22">
    <w:name w:val="Date"/>
    <w:basedOn w:val="1"/>
    <w:next w:val="1"/>
    <w:qFormat/>
    <w:uiPriority w:val="0"/>
    <w:pPr>
      <w:ind w:left="100" w:leftChars="2500"/>
    </w:pPr>
    <w:rPr>
      <w:rFonts w:ascii="宋体" w:hAnsi="宋体"/>
      <w:sz w:val="28"/>
    </w:rPr>
  </w:style>
  <w:style w:type="paragraph" w:styleId="23">
    <w:name w:val="Body Text Indent 2"/>
    <w:basedOn w:val="1"/>
    <w:qFormat/>
    <w:uiPriority w:val="0"/>
    <w:pPr>
      <w:spacing w:line="480" w:lineRule="auto"/>
      <w:ind w:left="420" w:leftChars="200"/>
    </w:p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0"/>
    <w:pPr>
      <w:ind w:left="200" w:hanging="200" w:hangingChars="200"/>
    </w:pPr>
  </w:style>
  <w:style w:type="paragraph" w:styleId="28">
    <w:name w:val="Body Text 2"/>
    <w:basedOn w:val="1"/>
    <w:next w:val="3"/>
    <w:qFormat/>
    <w:uiPriority w:val="0"/>
    <w:pPr>
      <w:spacing w:line="480" w:lineRule="auto"/>
    </w:pPr>
  </w:style>
  <w:style w:type="paragraph" w:styleId="29">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Title"/>
    <w:basedOn w:val="1"/>
    <w:qFormat/>
    <w:uiPriority w:val="0"/>
    <w:pPr>
      <w:jc w:val="center"/>
      <w:outlineLvl w:val="0"/>
    </w:pPr>
    <w:rPr>
      <w:rFonts w:ascii="Arial" w:hAnsi="Arial" w:cs="Arial"/>
      <w:b/>
      <w:bCs/>
      <w:sz w:val="32"/>
      <w:szCs w:val="32"/>
    </w:rPr>
  </w:style>
  <w:style w:type="paragraph" w:styleId="33">
    <w:name w:val="Body Text First Indent"/>
    <w:basedOn w:val="3"/>
    <w:next w:val="1"/>
    <w:qFormat/>
    <w:uiPriority w:val="0"/>
    <w:pPr>
      <w:spacing w:line="360" w:lineRule="auto"/>
      <w:ind w:firstLine="420" w:firstLineChars="100"/>
    </w:pPr>
    <w:rPr>
      <w:szCs w:val="21"/>
    </w:rPr>
  </w:style>
  <w:style w:type="table" w:styleId="35">
    <w:name w:val="Table Grid"/>
    <w:basedOn w:val="3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szCs w:val="24"/>
    </w:rPr>
  </w:style>
  <w:style w:type="character" w:styleId="38">
    <w:name w:val="page number"/>
    <w:basedOn w:val="36"/>
    <w:qFormat/>
    <w:uiPriority w:val="0"/>
  </w:style>
  <w:style w:type="character" w:styleId="39">
    <w:name w:val="FollowedHyperlink"/>
    <w:qFormat/>
    <w:uiPriority w:val="0"/>
    <w:rPr>
      <w:color w:val="333333"/>
      <w:szCs w:val="24"/>
      <w:u w:val="none"/>
    </w:rPr>
  </w:style>
  <w:style w:type="character" w:styleId="40">
    <w:name w:val="Emphasis"/>
    <w:basedOn w:val="36"/>
    <w:qFormat/>
    <w:uiPriority w:val="0"/>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333333"/>
      <w:szCs w:val="24"/>
      <w:u w:val="none"/>
    </w:rPr>
  </w:style>
  <w:style w:type="character" w:styleId="46">
    <w:name w:val="HTML Code"/>
    <w:basedOn w:val="36"/>
    <w:qFormat/>
    <w:uiPriority w:val="0"/>
    <w:rPr>
      <w:rFonts w:ascii="monospace" w:hAnsi="monospace" w:eastAsia="monospace" w:cs="monospace"/>
      <w:sz w:val="20"/>
    </w:rPr>
  </w:style>
  <w:style w:type="character" w:styleId="47">
    <w:name w:val="HTML Cite"/>
    <w:basedOn w:val="36"/>
    <w:qFormat/>
    <w:uiPriority w:val="0"/>
  </w:style>
  <w:style w:type="character" w:styleId="48">
    <w:name w:val="HTML Keyboard"/>
    <w:basedOn w:val="36"/>
    <w:qFormat/>
    <w:uiPriority w:val="0"/>
    <w:rPr>
      <w:rFonts w:hint="default" w:ascii="monospace" w:hAnsi="monospace" w:eastAsia="monospace" w:cs="monospace"/>
      <w:sz w:val="20"/>
    </w:rPr>
  </w:style>
  <w:style w:type="character" w:styleId="49">
    <w:name w:val="HTML Sample"/>
    <w:basedOn w:val="36"/>
    <w:qFormat/>
    <w:uiPriority w:val="0"/>
    <w:rPr>
      <w:rFonts w:hint="default" w:ascii="monospace" w:hAnsi="monospace" w:eastAsia="monospace" w:cs="monospace"/>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6"/>
    <w:link w:val="3"/>
    <w:qFormat/>
    <w:uiPriority w:val="0"/>
  </w:style>
  <w:style w:type="character" w:customStyle="1" w:styleId="73">
    <w:name w:val="apple-converted-space"/>
    <w:basedOn w:val="36"/>
    <w:qFormat/>
    <w:uiPriority w:val="0"/>
  </w:style>
  <w:style w:type="character" w:customStyle="1" w:styleId="74">
    <w:name w:val="文档结构图 Char"/>
    <w:link w:val="15"/>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3"/>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14195</Words>
  <Characters>14910</Characters>
  <Lines>50</Lines>
  <Paragraphs>68</Paragraphs>
  <TotalTime>0</TotalTime>
  <ScaleCrop>false</ScaleCrop>
  <LinksUpToDate>false</LinksUpToDate>
  <CharactersWithSpaces>15843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2023-01-06T03:50:13Z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956AF4FB426E4C8CBD64517CC8DF2E0E</vt:lpwstr>
  </property>
</Properties>
</file>