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驻马店市中心医院危险废物处置服务项目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竞争性谈判采购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驻马店市中心医危险废物处置服务项目</w:t>
      </w:r>
      <w:r>
        <w:rPr>
          <w:rFonts w:hint="eastAsia" w:ascii="宋体" w:hAnsi="宋体" w:eastAsia="宋体" w:cs="宋体"/>
          <w:b/>
          <w:bCs w:val="0"/>
          <w:color w:val="auto"/>
          <w:kern w:val="0"/>
          <w:sz w:val="28"/>
          <w:szCs w:val="28"/>
          <w:u w:val="none"/>
          <w:lang w:val="en-US" w:eastAsia="zh-CN"/>
        </w:rPr>
        <w:t>竞争性</w:t>
      </w:r>
      <w:r>
        <w:rPr>
          <w:rFonts w:hint="eastAsia" w:ascii="宋体" w:hAnsi="宋体" w:cs="宋体"/>
          <w:b/>
          <w:bCs w:val="0"/>
          <w:color w:val="auto"/>
          <w:kern w:val="0"/>
          <w:sz w:val="28"/>
          <w:szCs w:val="28"/>
          <w:u w:val="none"/>
          <w:lang w:val="en-US" w:eastAsia="zh-CN"/>
        </w:rPr>
        <w:t>谈判</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危险废物处置服务 </w:t>
      </w:r>
      <w:r>
        <w:rPr>
          <w:rFonts w:hint="eastAsia" w:ascii="宋体" w:hAnsi="宋体" w:eastAsia="宋体" w:cs="宋体"/>
          <w:color w:val="auto"/>
        </w:rPr>
        <w:t>进行院内</w:t>
      </w:r>
      <w:r>
        <w:rPr>
          <w:rFonts w:hint="eastAsia" w:ascii="宋体" w:hAnsi="宋体" w:eastAsia="宋体" w:cs="宋体"/>
          <w:color w:val="auto"/>
          <w:lang w:val="en-US" w:eastAsia="zh-CN"/>
        </w:rPr>
        <w:t>竞争性</w:t>
      </w:r>
      <w:r>
        <w:rPr>
          <w:rFonts w:hint="eastAsia" w:ascii="宋体" w:hAnsi="宋体" w:cs="宋体"/>
          <w:color w:val="auto"/>
          <w:lang w:val="en-US" w:eastAsia="zh-CN"/>
        </w:rPr>
        <w:t>谈判</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驻马店市中心医院危险废物处置服务项目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27万元（9万元/年）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3年，合同一年一签，经考核合格后续签一年，最多续签二年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16639"/>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30643"/>
      <w:bookmarkStart w:id="10" w:name="_Toc9562"/>
      <w:bookmarkStart w:id="11" w:name="_Toc30971"/>
      <w:bookmarkStart w:id="12"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、具有《危险废物经营许可证》，核准经营危险废物类别具备国家危险废物名录中危险废物类别代码HW49（900-047-49、900-046-49、900-039-49）的资质。</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 xml:space="preserve">、不接受联合体投标。  </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25869"/>
      <w:bookmarkStart w:id="15" w:name="_Toc15111"/>
      <w:bookmarkStart w:id="16" w:name="_Toc10738"/>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0287"/>
      <w:bookmarkStart w:id="20" w:name="_Toc30918"/>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27370"/>
      <w:bookmarkStart w:id="27" w:name="_Toc3604"/>
      <w:bookmarkStart w:id="28" w:name="_Toc31928"/>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bookmarkStart w:id="85" w:name="_GoBack"/>
      <w:bookmarkEnd w:id="85"/>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一、项目名称、数量：驻马店市中心医院危险废物处置服务项目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服务范围：对</w:t>
      </w:r>
      <w:r>
        <w:rPr>
          <w:rFonts w:hint="eastAsia" w:ascii="宋体" w:hAnsi="宋体" w:cs="宋体"/>
          <w:b w:val="0"/>
          <w:bCs w:val="0"/>
          <w:kern w:val="2"/>
          <w:sz w:val="21"/>
          <w:szCs w:val="21"/>
          <w:highlight w:val="none"/>
          <w:u w:val="none"/>
          <w:lang w:val="en-US" w:eastAsia="zh-CN" w:bidi="ar-SA"/>
        </w:rPr>
        <w:t>中心院区、妇儿院区进行危险废物处置</w:t>
      </w:r>
      <w:r>
        <w:rPr>
          <w:rFonts w:hint="eastAsia" w:ascii="宋体" w:hAnsi="宋体" w:eastAsia="宋体" w:cs="宋体"/>
          <w:b w:val="0"/>
          <w:bCs w:val="0"/>
          <w:kern w:val="2"/>
          <w:sz w:val="21"/>
          <w:szCs w:val="21"/>
          <w:highlight w:val="none"/>
          <w:u w:val="none"/>
          <w:lang w:val="en-US" w:eastAsia="zh-CN" w:bidi="ar-SA"/>
        </w:rPr>
        <w:t>。</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二、采购标的清单：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2"/>
        <w:gridCol w:w="5"/>
        <w:gridCol w:w="2244"/>
        <w:gridCol w:w="5"/>
        <w:gridCol w:w="857"/>
        <w:gridCol w:w="826"/>
        <w:gridCol w:w="1494"/>
        <w:gridCol w:w="878"/>
        <w:gridCol w:w="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包号</w:t>
            </w:r>
          </w:p>
        </w:tc>
        <w:tc>
          <w:tcPr>
            <w:tcW w:w="972"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序号</w:t>
            </w:r>
          </w:p>
        </w:tc>
        <w:tc>
          <w:tcPr>
            <w:tcW w:w="2249" w:type="dxa"/>
            <w:gridSpan w:val="2"/>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62" w:type="dxa"/>
            <w:gridSpan w:val="2"/>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826"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494"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p>
        </w:tc>
        <w:tc>
          <w:tcPr>
            <w:tcW w:w="878"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218" w:type="dxa"/>
            <w:gridSpan w:val="2"/>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9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224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危险废物处置服务</w:t>
            </w:r>
          </w:p>
        </w:tc>
        <w:tc>
          <w:tcPr>
            <w:tcW w:w="86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9万元</w:t>
            </w: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自筹</w:t>
            </w:r>
          </w:p>
        </w:tc>
        <w:tc>
          <w:tcPr>
            <w:tcW w:w="121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224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27万元</w:t>
            </w:r>
          </w:p>
        </w:tc>
        <w:tc>
          <w:tcPr>
            <w:tcW w:w="88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2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527"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pPr>
        <w:pStyle w:val="13"/>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kern w:val="2"/>
          <w:sz w:val="21"/>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三</w:t>
      </w: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技术商务要求</w:t>
      </w:r>
      <w:r>
        <w:rPr>
          <w:rFonts w:hint="eastAsia" w:ascii="宋体" w:hAnsi="宋体" w:eastAsia="宋体" w:cs="宋体"/>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（1）服务内容及控制价见附件1。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（2）供应商须提供固体废物物联网系统上传所需要的各种资质、合同、运输许可证等。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（3）危险废物一年至少转运两次，如遇特殊情况，随时增加转运次数，运费由供应商承担。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（4）接到甲方通知后，供应商须7日内完成危险废物转运。如果延误转运，由乙方协调生态环境部门重新审核通过。                        </w:t>
      </w:r>
    </w:p>
    <w:p>
      <w:pPr>
        <w:pStyle w:val="13"/>
        <w:keepNext w:val="0"/>
        <w:keepLines w:val="0"/>
        <w:pageBreakBefore w:val="0"/>
        <w:widowControl/>
        <w:kinsoku/>
        <w:wordWrap/>
        <w:overflowPunct/>
        <w:topLinePunct w:val="0"/>
        <w:autoSpaceDE/>
        <w:autoSpaceDN/>
        <w:bidi w:val="0"/>
        <w:adjustRightInd/>
        <w:snapToGrid w:val="0"/>
        <w:spacing w:beforeAutospacing="0" w:afterAutospacing="0"/>
        <w:ind w:left="0" w:leftChars="0" w:firstLine="0" w:firstLineChars="0"/>
        <w:textAlignment w:val="auto"/>
        <w:rPr>
          <w:rFonts w:hint="eastAsia" w:ascii="仿宋" w:hAnsi="仿宋" w:eastAsia="仿宋" w:cs="仿宋"/>
          <w:b/>
          <w:bCs/>
          <w:color w:val="auto"/>
          <w:sz w:val="28"/>
          <w:szCs w:val="28"/>
          <w:u w:val="none"/>
          <w:lang w:val="en-US" w:eastAsia="zh-CN"/>
        </w:rPr>
      </w:pPr>
    </w:p>
    <w:p>
      <w:pPr>
        <w:pStyle w:val="13"/>
        <w:keepNext w:val="0"/>
        <w:keepLines w:val="0"/>
        <w:pageBreakBefore w:val="0"/>
        <w:widowControl/>
        <w:kinsoku/>
        <w:wordWrap/>
        <w:overflowPunct/>
        <w:topLinePunct w:val="0"/>
        <w:autoSpaceDE/>
        <w:autoSpaceDN/>
        <w:bidi w:val="0"/>
        <w:adjustRightInd/>
        <w:snapToGrid w:val="0"/>
        <w:spacing w:beforeAutospacing="0" w:afterAutospacing="0"/>
        <w:ind w:left="0" w:leftChars="0" w:firstLine="0" w:firstLineChars="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附件1</w:t>
      </w:r>
    </w:p>
    <w:p>
      <w:pPr>
        <w:pStyle w:val="14"/>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危险废物处置服务清单</w:t>
      </w:r>
    </w:p>
    <w:p>
      <w:pPr>
        <w:pStyle w:val="14"/>
        <w:jc w:val="center"/>
        <w:rPr>
          <w:rFonts w:hint="eastAsia" w:ascii="仿宋" w:hAnsi="仿宋" w:eastAsia="仿宋" w:cs="仿宋"/>
          <w:color w:val="auto"/>
          <w:sz w:val="32"/>
          <w:szCs w:val="32"/>
          <w:u w:val="none"/>
          <w:lang w:val="en-US" w:eastAsia="zh-CN"/>
        </w:rPr>
      </w:pPr>
    </w:p>
    <w:tbl>
      <w:tblPr>
        <w:tblStyle w:val="3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995"/>
        <w:gridCol w:w="1260"/>
        <w:gridCol w:w="1905"/>
        <w:gridCol w:w="111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序号</w:t>
            </w:r>
          </w:p>
        </w:tc>
        <w:tc>
          <w:tcPr>
            <w:tcW w:w="199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危险废物名称</w:t>
            </w:r>
          </w:p>
        </w:tc>
        <w:tc>
          <w:tcPr>
            <w:tcW w:w="1260"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危废类别</w:t>
            </w:r>
          </w:p>
        </w:tc>
        <w:tc>
          <w:tcPr>
            <w:tcW w:w="190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代码</w:t>
            </w:r>
          </w:p>
        </w:tc>
        <w:tc>
          <w:tcPr>
            <w:tcW w:w="111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单位</w:t>
            </w:r>
          </w:p>
        </w:tc>
        <w:tc>
          <w:tcPr>
            <w:tcW w:w="182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1</w:t>
            </w:r>
          </w:p>
        </w:tc>
        <w:tc>
          <w:tcPr>
            <w:tcW w:w="199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实验室废液</w:t>
            </w:r>
          </w:p>
        </w:tc>
        <w:tc>
          <w:tcPr>
            <w:tcW w:w="1260"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HW49</w:t>
            </w:r>
          </w:p>
        </w:tc>
        <w:tc>
          <w:tcPr>
            <w:tcW w:w="190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900-047-49</w:t>
            </w:r>
          </w:p>
        </w:tc>
        <w:tc>
          <w:tcPr>
            <w:tcW w:w="111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公斤</w:t>
            </w:r>
          </w:p>
        </w:tc>
        <w:tc>
          <w:tcPr>
            <w:tcW w:w="182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2</w:t>
            </w:r>
          </w:p>
        </w:tc>
        <w:tc>
          <w:tcPr>
            <w:tcW w:w="199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污泥</w:t>
            </w:r>
          </w:p>
        </w:tc>
        <w:tc>
          <w:tcPr>
            <w:tcW w:w="1260"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HW49</w:t>
            </w:r>
          </w:p>
        </w:tc>
        <w:tc>
          <w:tcPr>
            <w:tcW w:w="190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900-046-49</w:t>
            </w:r>
          </w:p>
        </w:tc>
        <w:tc>
          <w:tcPr>
            <w:tcW w:w="111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公斤</w:t>
            </w:r>
          </w:p>
        </w:tc>
        <w:tc>
          <w:tcPr>
            <w:tcW w:w="182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3</w:t>
            </w:r>
          </w:p>
        </w:tc>
        <w:tc>
          <w:tcPr>
            <w:tcW w:w="199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废活性炭</w:t>
            </w:r>
          </w:p>
        </w:tc>
        <w:tc>
          <w:tcPr>
            <w:tcW w:w="1260"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HW49</w:t>
            </w:r>
          </w:p>
        </w:tc>
        <w:tc>
          <w:tcPr>
            <w:tcW w:w="190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900-039-49</w:t>
            </w:r>
          </w:p>
        </w:tc>
        <w:tc>
          <w:tcPr>
            <w:tcW w:w="111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公斤</w:t>
            </w:r>
          </w:p>
        </w:tc>
        <w:tc>
          <w:tcPr>
            <w:tcW w:w="1825" w:type="dxa"/>
            <w:vAlign w:val="center"/>
          </w:tcPr>
          <w:p>
            <w:pPr>
              <w:pStyle w:val="14"/>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vertAlign w:val="baseline"/>
                <w:lang w:val="en-US" w:eastAsia="zh-CN"/>
              </w:rPr>
              <w:t>4</w:t>
            </w:r>
          </w:p>
        </w:tc>
      </w:tr>
    </w:tbl>
    <w:p>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w:t>
      </w:r>
    </w:p>
    <w:p>
      <w:pPr>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br w:type="page"/>
      </w:r>
    </w:p>
    <w:p>
      <w:pPr>
        <w:pStyle w:val="2"/>
        <w:rPr>
          <w:rFonts w:hint="default"/>
          <w:lang w:val="en-US" w:eastAsia="zh-CN"/>
        </w:rPr>
      </w:pPr>
    </w:p>
    <w:p>
      <w:pPr>
        <w:ind w:firstLine="4216" w:firstLineChars="1400"/>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3年。合同一年一签，经考核合格后可续签一年，最多续签二年。。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每次完成转移、处置后，根据实际重量，凭电子联单据实结算费用。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r>
        <w:rPr>
          <w:rFonts w:hint="eastAsia"/>
          <w:b/>
          <w:bCs/>
          <w:color w:val="auto"/>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驻马店市中心医院危险废物处置服务项目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27万元/3年</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27万元（9万元/年）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：27万元（9万元/年）</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4.5 </w:t>
      </w:r>
      <w:r>
        <w:rPr>
          <w:rFonts w:hint="eastAsia" w:ascii="宋体" w:hAnsi="宋体" w:eastAsia="宋体" w:cs="宋体"/>
          <w:color w:val="auto"/>
          <w:lang w:val="en-US" w:eastAsia="zh-CN"/>
        </w:rPr>
        <w:t>具有《危险废物经营许可证》，核准经营危险废物类别具备国家危险废物名录中危险废物类别代码HW49（900-047-49、900-046-49、900-039-49）的资质；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4.6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谈判</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文件规定的评标方法与标准，对资格性检查和符合性检查合格的供应商，进入本次谈判程序。</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.3本次谈判进行2 轮次（不</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2轮次）报价，并给予每个供应商相同的机会。响应文件报价为第一轮报价，以后轮次报价不得高于上一轮次报价（除谈判文件有实质性变动外），否则将被视为未实质性响应竞争性谈判文件。谈判二次报价时限由谈判小组根据项目实际情况设定，供应商应在规定的时限内将二次报价递交给谈判小组，逾期系统判定供应商放弃二轮报价,视为无效响应。</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6"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6"/>
    <w:p>
      <w:pPr>
        <w:rPr>
          <w:color w:val="auto"/>
          <w:highlight w:val="none"/>
        </w:rPr>
      </w:pPr>
      <w:bookmarkStart w:id="37" w:name="_Toc16669"/>
      <w:bookmarkStart w:id="38" w:name="_Toc4700"/>
      <w:r>
        <w:rPr>
          <w:color w:val="auto"/>
          <w:highlight w:val="none"/>
        </w:rPr>
        <w:br w:type="page"/>
      </w:r>
    </w:p>
    <w:p>
      <w:pPr>
        <w:pStyle w:val="2"/>
        <w:snapToGrid w:val="0"/>
        <w:spacing w:before="0" w:after="0" w:line="480" w:lineRule="auto"/>
        <w:jc w:val="center"/>
        <w:rPr>
          <w:color w:val="auto"/>
          <w:sz w:val="28"/>
          <w:szCs w:val="28"/>
          <w:highlight w:val="yellow"/>
        </w:rPr>
      </w:pPr>
      <w:bookmarkStart w:id="39" w:name="_Toc9022"/>
      <w:r>
        <w:rPr>
          <w:rFonts w:hint="eastAsia" w:ascii="黑体" w:hAnsi="宋体" w:eastAsia="黑体" w:cs="宋体"/>
          <w:b/>
          <w:bCs/>
          <w:color w:val="auto"/>
          <w:kern w:val="0"/>
          <w:sz w:val="32"/>
          <w:szCs w:val="32"/>
          <w:highlight w:val="none"/>
        </w:rPr>
        <w:t xml:space="preserve">第四章  </w:t>
      </w:r>
      <w:bookmarkEnd w:id="37"/>
      <w:bookmarkEnd w:id="38"/>
      <w:bookmarkEnd w:id="39"/>
      <w:bookmarkStart w:id="40" w:name="_Toc28988"/>
      <w:bookmarkStart w:id="41" w:name="_Toc1947"/>
      <w:bookmarkStart w:id="42" w:name="_Toc1482"/>
      <w:bookmarkStart w:id="43" w:name="_Toc326786897"/>
      <w:bookmarkStart w:id="44" w:name="_Toc256519703"/>
      <w:r>
        <w:rPr>
          <w:rFonts w:hint="eastAsia"/>
          <w:color w:val="auto"/>
          <w:sz w:val="28"/>
          <w:szCs w:val="28"/>
          <w:highlight w:val="none"/>
        </w:rPr>
        <w:t>采购合同</w:t>
      </w:r>
      <w:bookmarkEnd w:id="4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5" w:name="_Toc2638"/>
      <w:r>
        <w:rPr>
          <w:rFonts w:hint="eastAsia"/>
          <w:color w:val="auto"/>
          <w:sz w:val="32"/>
          <w:szCs w:val="32"/>
          <w:highlight w:val="none"/>
        </w:rPr>
        <w:t>第</w:t>
      </w:r>
      <w:r>
        <w:rPr>
          <w:rFonts w:hint="eastAsia"/>
          <w:color w:val="auto"/>
          <w:sz w:val="32"/>
          <w:szCs w:val="32"/>
          <w:highlight w:val="none"/>
          <w:lang w:val="en-US" w:eastAsia="zh-CN"/>
        </w:rPr>
        <w:t>五</w:t>
      </w:r>
      <w:r>
        <w:rPr>
          <w:rFonts w:hint="eastAsia"/>
          <w:color w:val="auto"/>
          <w:sz w:val="32"/>
          <w:szCs w:val="32"/>
          <w:highlight w:val="none"/>
        </w:rPr>
        <w:t>章  投标文件格式</w:t>
      </w:r>
      <w:bookmarkEnd w:id="41"/>
      <w:bookmarkEnd w:id="42"/>
      <w:bookmarkEnd w:id="45"/>
    </w:p>
    <w:p>
      <w:pPr>
        <w:spacing w:line="440" w:lineRule="exact"/>
        <w:rPr>
          <w:color w:val="auto"/>
          <w:sz w:val="24"/>
          <w:highlight w:val="none"/>
        </w:rPr>
      </w:pPr>
    </w:p>
    <w:p>
      <w:pPr>
        <w:jc w:val="center"/>
        <w:rPr>
          <w:b/>
          <w:bCs/>
          <w:color w:val="auto"/>
          <w:sz w:val="32"/>
          <w:szCs w:val="32"/>
          <w:highlight w:val="none"/>
        </w:rPr>
      </w:pPr>
      <w:bookmarkStart w:id="46" w:name="_Toc13604"/>
      <w:r>
        <w:rPr>
          <w:rFonts w:hint="eastAsia"/>
          <w:b/>
          <w:bCs/>
          <w:color w:val="auto"/>
          <w:sz w:val="32"/>
          <w:szCs w:val="32"/>
          <w:highlight w:val="none"/>
        </w:rPr>
        <w:t>目    录</w:t>
      </w:r>
      <w:bookmarkEnd w:id="46"/>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7" w:name="_Toc11308"/>
      <w:r>
        <w:rPr>
          <w:rFonts w:hint="eastAsia"/>
          <w:color w:val="auto"/>
          <w:sz w:val="24"/>
          <w:highlight w:val="none"/>
        </w:rPr>
        <w:t>附件1投标文件封面（格式）</w:t>
      </w:r>
      <w:bookmarkEnd w:id="47"/>
    </w:p>
    <w:p>
      <w:pPr>
        <w:snapToGrid w:val="0"/>
        <w:spacing w:line="360" w:lineRule="auto"/>
        <w:ind w:firstLine="480" w:firstLineChars="200"/>
        <w:rPr>
          <w:color w:val="auto"/>
          <w:sz w:val="24"/>
          <w:highlight w:val="none"/>
        </w:rPr>
      </w:pPr>
      <w:bookmarkStart w:id="48" w:name="_Toc25345"/>
      <w:r>
        <w:rPr>
          <w:rFonts w:hint="eastAsia"/>
          <w:color w:val="auto"/>
          <w:sz w:val="24"/>
          <w:highlight w:val="none"/>
        </w:rPr>
        <w:t>附件2 投标书（格式）</w:t>
      </w:r>
      <w:bookmarkEnd w:id="48"/>
    </w:p>
    <w:p>
      <w:pPr>
        <w:snapToGrid w:val="0"/>
        <w:spacing w:line="360" w:lineRule="auto"/>
        <w:ind w:firstLine="480" w:firstLineChars="200"/>
        <w:rPr>
          <w:color w:val="auto"/>
          <w:sz w:val="24"/>
          <w:highlight w:val="none"/>
        </w:rPr>
      </w:pPr>
      <w:bookmarkStart w:id="49" w:name="_Toc10217"/>
      <w:r>
        <w:rPr>
          <w:rFonts w:hint="eastAsia"/>
          <w:color w:val="auto"/>
          <w:sz w:val="24"/>
          <w:highlight w:val="none"/>
        </w:rPr>
        <w:t>附件3 开标一览表（格式）</w:t>
      </w:r>
      <w:bookmarkEnd w:id="49"/>
    </w:p>
    <w:p>
      <w:pPr>
        <w:snapToGrid w:val="0"/>
        <w:spacing w:line="360" w:lineRule="auto"/>
        <w:ind w:firstLine="480" w:firstLineChars="200"/>
        <w:rPr>
          <w:rFonts w:hint="default"/>
          <w:color w:val="auto"/>
          <w:sz w:val="24"/>
          <w:highlight w:val="none"/>
          <w:lang w:val="en-US"/>
        </w:rPr>
      </w:pPr>
      <w:bookmarkStart w:id="50" w:name="_Toc9579"/>
      <w:r>
        <w:rPr>
          <w:rFonts w:hint="eastAsia"/>
          <w:color w:val="auto"/>
          <w:sz w:val="24"/>
          <w:highlight w:val="none"/>
        </w:rPr>
        <w:t xml:space="preserve">附件4 </w:t>
      </w:r>
      <w:bookmarkEnd w:id="50"/>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1"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1"/>
    </w:p>
    <w:p>
      <w:pPr>
        <w:snapToGrid w:val="0"/>
        <w:spacing w:line="360" w:lineRule="auto"/>
        <w:ind w:firstLine="480" w:firstLineChars="200"/>
        <w:rPr>
          <w:rFonts w:hint="eastAsia" w:eastAsia="宋体"/>
          <w:color w:val="auto"/>
          <w:sz w:val="24"/>
          <w:highlight w:val="none"/>
          <w:lang w:val="en-US" w:eastAsia="zh-CN"/>
        </w:rPr>
      </w:pPr>
      <w:bookmarkStart w:id="52" w:name="_Toc6234"/>
      <w:r>
        <w:rPr>
          <w:rFonts w:hint="eastAsia"/>
          <w:color w:val="auto"/>
          <w:sz w:val="24"/>
          <w:highlight w:val="none"/>
        </w:rPr>
        <w:t>附件6 商务</w:t>
      </w:r>
      <w:bookmarkEnd w:id="52"/>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3"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3"/>
    </w:p>
    <w:p>
      <w:pPr>
        <w:snapToGrid w:val="0"/>
        <w:spacing w:line="360" w:lineRule="auto"/>
        <w:ind w:firstLine="480" w:firstLineChars="200"/>
        <w:rPr>
          <w:color w:val="auto"/>
          <w:sz w:val="24"/>
          <w:highlight w:val="none"/>
        </w:rPr>
      </w:pPr>
      <w:bookmarkStart w:id="54"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4"/>
    </w:p>
    <w:p>
      <w:pPr>
        <w:snapToGrid w:val="0"/>
        <w:spacing w:line="360" w:lineRule="auto"/>
        <w:ind w:firstLine="480" w:firstLineChars="200"/>
        <w:rPr>
          <w:color w:val="auto"/>
          <w:sz w:val="24"/>
          <w:highlight w:val="none"/>
        </w:rPr>
      </w:pPr>
      <w:bookmarkStart w:id="55" w:name="_Toc31857"/>
      <w:r>
        <w:rPr>
          <w:rFonts w:hint="eastAsia"/>
          <w:color w:val="auto"/>
          <w:sz w:val="24"/>
          <w:highlight w:val="none"/>
        </w:rPr>
        <w:t>附件9 证明文件</w:t>
      </w:r>
      <w:bookmarkEnd w:id="55"/>
    </w:p>
    <w:p>
      <w:pPr>
        <w:snapToGrid w:val="0"/>
        <w:spacing w:line="360" w:lineRule="auto"/>
        <w:ind w:firstLine="480" w:firstLineChars="200"/>
        <w:rPr>
          <w:rFonts w:hint="eastAsia"/>
          <w:color w:val="auto"/>
          <w:sz w:val="24"/>
          <w:highlight w:val="none"/>
        </w:rPr>
      </w:pPr>
      <w:bookmarkStart w:id="56" w:name="_Toc23116"/>
      <w:r>
        <w:rPr>
          <w:rFonts w:hint="eastAsia"/>
          <w:color w:val="auto"/>
          <w:sz w:val="24"/>
          <w:highlight w:val="none"/>
        </w:rPr>
        <w:t>附件10 供应商承诺书（格式）</w:t>
      </w:r>
      <w:bookmarkEnd w:id="56"/>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57" w:name="_Toc24743"/>
      <w:bookmarkStart w:id="58" w:name="_Toc31798"/>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59" w:name="_Toc14560"/>
      <w:bookmarkStart w:id="60" w:name="_Toc8818"/>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单价之和</w:t>
            </w:r>
            <w:r>
              <w:rPr>
                <w:rFonts w:hint="eastAsia" w:ascii="宋体" w:hAnsi="宋体"/>
                <w:color w:val="auto"/>
                <w:szCs w:val="21"/>
                <w:highlight w:val="none"/>
                <w:lang w:eastAsia="zh-CN"/>
              </w:rPr>
              <w:t>）</w:t>
            </w:r>
          </w:p>
        </w:tc>
        <w:tc>
          <w:tcPr>
            <w:tcW w:w="7708" w:type="dxa"/>
            <w:noWrap/>
            <w:vAlign w:val="center"/>
          </w:tcPr>
          <w:p>
            <w:pPr>
              <w:rPr>
                <w:rFonts w:hint="eastAsia" w:ascii="宋体"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2" w:name="_Toc20877"/>
      <w:bookmarkStart w:id="63"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2"/>
      <w:bookmarkEnd w:id="63"/>
    </w:p>
    <w:p>
      <w:pPr>
        <w:spacing w:line="360" w:lineRule="auto"/>
        <w:ind w:firstLine="420" w:firstLineChars="200"/>
        <w:jc w:val="center"/>
        <w:rPr>
          <w:rFonts w:ascii="宋体" w:hAnsi="宋体"/>
          <w:color w:val="auto"/>
          <w:szCs w:val="21"/>
          <w:highlight w:val="none"/>
          <w:u w:val="single"/>
        </w:rPr>
      </w:pPr>
      <w:bookmarkStart w:id="64" w:name="_Toc12222"/>
      <w:bookmarkStart w:id="65"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4"/>
      <w:bookmarkEnd w:id="65"/>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6" w:name="_Toc9950"/>
      <w:bookmarkStart w:id="67" w:name="_Toc1330"/>
      <w:r>
        <w:rPr>
          <w:rFonts w:hint="eastAsia" w:ascii="宋体" w:hAnsi="宋体"/>
          <w:color w:val="auto"/>
          <w:szCs w:val="21"/>
          <w:highlight w:val="none"/>
        </w:rPr>
        <w:t>年  月  日</w:t>
      </w:r>
      <w:bookmarkEnd w:id="66"/>
      <w:bookmarkEnd w:id="67"/>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8" w:name="_Toc24984"/>
      <w:bookmarkStart w:id="69"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8"/>
      <w:bookmarkEnd w:id="69"/>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3"/>
        <w:rPr>
          <w:rFonts w:hint="eastAsia" w:eastAsia="黑体"/>
          <w:color w:val="auto"/>
          <w:highlight w:val="none"/>
          <w:lang w:val="en-US" w:eastAsia="zh-CN"/>
        </w:rPr>
      </w:pPr>
      <w:r>
        <w:rPr>
          <w:rFonts w:hint="eastAsia"/>
          <w:color w:val="auto"/>
          <w:highlight w:val="none"/>
        </w:rPr>
        <w:br w:type="page"/>
      </w:r>
      <w:bookmarkStart w:id="70" w:name="_Toc15804"/>
      <w:bookmarkStart w:id="71" w:name="_Toc226"/>
      <w:r>
        <w:rPr>
          <w:rFonts w:hint="eastAsia"/>
          <w:color w:val="auto"/>
          <w:highlight w:val="none"/>
        </w:rPr>
        <w:t xml:space="preserve">附件5         </w:t>
      </w:r>
      <w:bookmarkEnd w:id="70"/>
      <w:bookmarkEnd w:id="71"/>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2" w:name="_Toc29960"/>
      <w:bookmarkStart w:id="73" w:name="_Toc20420"/>
      <w:r>
        <w:rPr>
          <w:rFonts w:hint="eastAsia" w:ascii="Arial" w:hAnsi="Arial" w:eastAsia="新宋体"/>
          <w:b/>
          <w:color w:val="auto"/>
          <w:sz w:val="28"/>
          <w:highlight w:val="none"/>
        </w:rPr>
        <w:t>附件6               商务响应</w:t>
      </w:r>
      <w:bookmarkEnd w:id="72"/>
      <w:bookmarkEnd w:id="73"/>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4" w:name="_Toc31526"/>
      <w:bookmarkStart w:id="75"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4"/>
      <w:bookmarkEnd w:id="75"/>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6" w:name="_Toc30519"/>
      <w:bookmarkStart w:id="77" w:name="_Toc13976"/>
      <w:r>
        <w:rPr>
          <w:rFonts w:hint="eastAsia" w:ascii="Arial" w:hAnsi="Arial" w:eastAsia="新宋体"/>
          <w:b/>
          <w:color w:val="auto"/>
          <w:sz w:val="28"/>
          <w:highlight w:val="none"/>
        </w:rPr>
        <w:t>附件8               法定代表人授权书（格式）</w:t>
      </w:r>
      <w:bookmarkEnd w:id="76"/>
      <w:bookmarkEnd w:id="77"/>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8" w:name="_Toc18105"/>
      <w:bookmarkStart w:id="79" w:name="_Toc24693"/>
      <w:r>
        <w:rPr>
          <w:rFonts w:hint="eastAsia" w:ascii="Arial" w:hAnsi="Arial" w:eastAsia="新宋体"/>
          <w:b/>
          <w:color w:val="auto"/>
          <w:sz w:val="28"/>
          <w:highlight w:val="none"/>
        </w:rPr>
        <w:t>附件9               证明文件</w:t>
      </w:r>
      <w:bookmarkEnd w:id="78"/>
      <w:bookmarkEnd w:id="79"/>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0"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1" w:name="_Toc12888"/>
      <w:bookmarkStart w:id="82" w:name="_Toc13726"/>
      <w:r>
        <w:rPr>
          <w:rFonts w:hint="eastAsia" w:ascii="宋体" w:hAnsi="宋体" w:cs="Lucida Sans Unicode"/>
          <w:b/>
          <w:color w:val="auto"/>
          <w:kern w:val="0"/>
          <w:sz w:val="28"/>
          <w:szCs w:val="28"/>
          <w:highlight w:val="none"/>
        </w:rPr>
        <w:t xml:space="preserve">附件10        </w:t>
      </w:r>
      <w:bookmarkEnd w:id="80"/>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1"/>
      <w:bookmarkEnd w:id="82"/>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3" w:name="_Toc25094"/>
      <w:bookmarkStart w:id="84"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3"/>
      <w:bookmarkEnd w:id="8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驻马店市中心医院危险废物处置服务项目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驻马店市中心医院危险废物处置服务项目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163A15"/>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21C65"/>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56386"/>
    <w:rsid w:val="1E6B06A5"/>
    <w:rsid w:val="1E6C03DB"/>
    <w:rsid w:val="1E7D358A"/>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3B3DA5"/>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064BE"/>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84765"/>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D372B"/>
    <w:rsid w:val="34DF24AE"/>
    <w:rsid w:val="351C4931"/>
    <w:rsid w:val="351C4EAC"/>
    <w:rsid w:val="351D4C26"/>
    <w:rsid w:val="352E7D40"/>
    <w:rsid w:val="35361A77"/>
    <w:rsid w:val="35461A22"/>
    <w:rsid w:val="35483CC9"/>
    <w:rsid w:val="35677675"/>
    <w:rsid w:val="3579545F"/>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067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433C79"/>
    <w:rsid w:val="4C694192"/>
    <w:rsid w:val="4C7964D9"/>
    <w:rsid w:val="4C9269F6"/>
    <w:rsid w:val="4CC84335"/>
    <w:rsid w:val="4CE27936"/>
    <w:rsid w:val="4CE9350A"/>
    <w:rsid w:val="4D225F85"/>
    <w:rsid w:val="4D297BF3"/>
    <w:rsid w:val="4D2D0EAF"/>
    <w:rsid w:val="4D7F0082"/>
    <w:rsid w:val="4D952FD9"/>
    <w:rsid w:val="4D970662"/>
    <w:rsid w:val="4DAE67D8"/>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3D51"/>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E14F6"/>
    <w:rsid w:val="56990B7C"/>
    <w:rsid w:val="569E1126"/>
    <w:rsid w:val="56A8690E"/>
    <w:rsid w:val="56B80DEB"/>
    <w:rsid w:val="56E0560F"/>
    <w:rsid w:val="56E06E61"/>
    <w:rsid w:val="56F653FE"/>
    <w:rsid w:val="574448FC"/>
    <w:rsid w:val="57504BBD"/>
    <w:rsid w:val="57561D39"/>
    <w:rsid w:val="575B7AFD"/>
    <w:rsid w:val="57660D3F"/>
    <w:rsid w:val="5785783C"/>
    <w:rsid w:val="57A51C8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04D6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AE050B"/>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5F767F"/>
    <w:rsid w:val="60616CDC"/>
    <w:rsid w:val="60624E53"/>
    <w:rsid w:val="606319E5"/>
    <w:rsid w:val="607A77D8"/>
    <w:rsid w:val="607B3C50"/>
    <w:rsid w:val="608B6567"/>
    <w:rsid w:val="60AA3E6F"/>
    <w:rsid w:val="60FF21D9"/>
    <w:rsid w:val="613021B3"/>
    <w:rsid w:val="613253FD"/>
    <w:rsid w:val="61421F29"/>
    <w:rsid w:val="61712185"/>
    <w:rsid w:val="61716452"/>
    <w:rsid w:val="618B7207"/>
    <w:rsid w:val="61A90D68"/>
    <w:rsid w:val="62065A1D"/>
    <w:rsid w:val="621775E2"/>
    <w:rsid w:val="621B126D"/>
    <w:rsid w:val="622F7552"/>
    <w:rsid w:val="6250406E"/>
    <w:rsid w:val="627D6831"/>
    <w:rsid w:val="62811B1C"/>
    <w:rsid w:val="62A20409"/>
    <w:rsid w:val="62B54B44"/>
    <w:rsid w:val="62B7672F"/>
    <w:rsid w:val="62E045DA"/>
    <w:rsid w:val="62E454A1"/>
    <w:rsid w:val="62F36E4C"/>
    <w:rsid w:val="62F47F8F"/>
    <w:rsid w:val="62F7233F"/>
    <w:rsid w:val="631F3FB4"/>
    <w:rsid w:val="633075FF"/>
    <w:rsid w:val="63327258"/>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7D45E2"/>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3A2708"/>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13D6C"/>
    <w:rsid w:val="6C3A67D1"/>
    <w:rsid w:val="6C3D2D5C"/>
    <w:rsid w:val="6C4800AA"/>
    <w:rsid w:val="6C4D28F8"/>
    <w:rsid w:val="6C573E9C"/>
    <w:rsid w:val="6C5C23DC"/>
    <w:rsid w:val="6C6D1126"/>
    <w:rsid w:val="6C7720F3"/>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8A5598"/>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D05BA"/>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DB0DCF"/>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9018C"/>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3"/>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0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4</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2023-11-29T01:40:03Z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5B9946CC8D0441B69667280A79805AD6_13</vt:lpwstr>
  </property>
</Properties>
</file>