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驻马店市中心医院医科达直线加速器配件项目</w:t>
      </w: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12</w:t>
      </w:r>
      <w:r>
        <w:rPr>
          <w:rFonts w:hint="eastAsia" w:ascii="宋体" w:hAnsi="宋体" w:eastAsia="宋体" w:cs="宋体"/>
          <w:b/>
          <w:bCs/>
          <w:spacing w:val="40"/>
          <w:sz w:val="34"/>
          <w:szCs w:val="34"/>
          <w:highlight w:val="none"/>
        </w:rPr>
        <w:t>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驻马店市中心医院医科达直线加速器配件项目竞争性磋商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医科达直线加速器配件</w:t>
      </w:r>
      <w:r>
        <w:rPr>
          <w:rFonts w:hint="eastAsia" w:ascii="宋体" w:hAnsi="宋体" w:eastAsia="宋体" w:cs="宋体"/>
          <w:color w:val="auto"/>
          <w:sz w:val="24"/>
          <w:szCs w:val="28"/>
          <w:u w:val="single"/>
          <w:lang w:val="en-US"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驻马店市中心医院医科达直线加速器配件项目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、预算金额：35.25</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015"/>
        <w:gridCol w:w="1463"/>
        <w:gridCol w:w="1950"/>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序号</w:t>
            </w:r>
          </w:p>
        </w:tc>
        <w:tc>
          <w:tcPr>
            <w:tcW w:w="20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w:t>
            </w: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9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87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w:t>
            </w:r>
          </w:p>
        </w:tc>
        <w:tc>
          <w:tcPr>
            <w:tcW w:w="20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 xml:space="preserve">摄像头   </w:t>
            </w: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一</w:t>
            </w:r>
            <w:r>
              <w:rPr>
                <w:rFonts w:hint="eastAsia" w:ascii="宋体" w:hAnsi="宋体" w:cs="宋体"/>
                <w:color w:val="auto"/>
                <w:kern w:val="0"/>
                <w:sz w:val="24"/>
                <w:szCs w:val="24"/>
                <w:shd w:val="clear" w:color="auto" w:fill="FFFFFF"/>
                <w:lang w:val="en-US" w:eastAsia="zh-CN" w:bidi="ar-SA"/>
              </w:rPr>
              <w:t>件</w:t>
            </w:r>
          </w:p>
        </w:tc>
        <w:tc>
          <w:tcPr>
            <w:tcW w:w="19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26万元</w:t>
            </w:r>
          </w:p>
        </w:tc>
        <w:tc>
          <w:tcPr>
            <w:tcW w:w="187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p>
        </w:tc>
        <w:tc>
          <w:tcPr>
            <w:tcW w:w="20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离子泵</w:t>
            </w: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一件</w:t>
            </w:r>
          </w:p>
        </w:tc>
        <w:tc>
          <w:tcPr>
            <w:tcW w:w="19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9.25万元</w:t>
            </w:r>
          </w:p>
        </w:tc>
        <w:tc>
          <w:tcPr>
            <w:tcW w:w="187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9.25万元</w:t>
            </w:r>
          </w:p>
        </w:tc>
      </w:tr>
    </w:tbl>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7913"/>
      <w:bookmarkStart w:id="10" w:name="_Toc26079"/>
      <w:bookmarkStart w:id="11" w:name="_Toc24040"/>
      <w:bookmarkStart w:id="12" w:name="_Toc21071"/>
      <w:bookmarkStart w:id="13" w:name="_Toc19521"/>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7704"/>
      <w:bookmarkStart w:id="15" w:name="_Toc16639"/>
      <w:bookmarkStart w:id="16" w:name="_Toc23626"/>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cs="宋体"/>
          <w:color w:val="auto"/>
          <w:sz w:val="24"/>
          <w:szCs w:val="28"/>
          <w:highlight w:val="none"/>
          <w:lang w:val="en-US" w:eastAsia="zh-CN"/>
        </w:rPr>
        <w:t>供应商</w:t>
      </w:r>
      <w:r>
        <w:rPr>
          <w:rFonts w:hint="eastAsia" w:ascii="宋体" w:hAnsi="宋体" w:eastAsia="宋体" w:cs="宋体"/>
          <w:color w:val="auto"/>
          <w:sz w:val="24"/>
          <w:szCs w:val="28"/>
          <w:highlight w:val="none"/>
          <w:lang w:val="en-US" w:eastAsia="zh-CN"/>
        </w:rPr>
        <w:t>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7、</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8</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7823"/>
      <w:bookmarkStart w:id="20" w:name="_Toc9562"/>
      <w:bookmarkStart w:id="21" w:name="_Toc30971"/>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12</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12</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12</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14</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1150105437</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Autospacing="0" w:afterAutospacing="0" w:line="360"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15111"/>
      <w:bookmarkStart w:id="25" w:name="_Toc25869"/>
      <w:bookmarkStart w:id="26" w:name="_Toc10738"/>
      <w:bookmarkStart w:id="27" w:name="_Toc15135"/>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6523"/>
      <w:bookmarkStart w:id="30" w:name="_Toc20287"/>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27370"/>
      <w:bookmarkStart w:id="34" w:name="_Toc16291"/>
      <w:bookmarkStart w:id="35" w:name="_Toc31928"/>
      <w:bookmarkStart w:id="36" w:name="_Toc3604"/>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采购人：驻马店市中心医院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地址：驻马店市中华大道747号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联系人：陈先生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电话：0396-2726379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2.采购代理机构</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河南招标采购服务有限公司</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地址：郑州市</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金水区纬四路13号</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王女士</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18639627370</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cs="宋体"/>
          <w:color w:val="FF0000"/>
          <w:kern w:val="0"/>
          <w:sz w:val="24"/>
          <w:szCs w:val="24"/>
          <w:highlight w:val="none"/>
          <w:shd w:val="clear" w:color="auto" w:fill="FFFFFF"/>
          <w:lang w:val="en-US" w:eastAsia="zh-CN" w:bidi="ar-SA"/>
        </w:rPr>
        <w:t>12</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11</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single"/>
          <w:shd w:val="clear" w:color="auto" w:fill="FFFFFF"/>
          <w:lang w:val="en-US" w:eastAsia="zh-CN" w:bidi="ar-SA"/>
        </w:rPr>
        <w:t>驻马店市中心医院医科达直线加速器配件项目。</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02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37"/>
        <w:gridCol w:w="1275"/>
        <w:gridCol w:w="1032"/>
        <w:gridCol w:w="198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183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27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32"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87"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995" w:type="dxa"/>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摄像头   </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件</w:t>
            </w:r>
          </w:p>
        </w:tc>
        <w:tc>
          <w:tcPr>
            <w:tcW w:w="10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26万元</w:t>
            </w: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离子泵</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件</w:t>
            </w:r>
          </w:p>
        </w:tc>
        <w:tc>
          <w:tcPr>
            <w:tcW w:w="10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9.25万元</w:t>
            </w: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18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vertAlign w:val="baseline"/>
                <w:lang w:val="en-US" w:eastAsia="zh-CN"/>
              </w:rPr>
              <w:t>35.25万元</w:t>
            </w: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8126"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vertAlign w:val="baseline"/>
                <w:lang w:val="en-US" w:eastAsia="zh-CN"/>
              </w:rPr>
              <w:t>加速器型号为医科达Infinit</w:t>
            </w: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w:t>
      </w:r>
      <w:r>
        <w:rPr>
          <w:rFonts w:hint="eastAsia" w:ascii="宋体" w:hAnsi="宋体" w:cs="宋体"/>
          <w:b/>
          <w:bCs/>
          <w:kern w:val="2"/>
          <w:sz w:val="24"/>
          <w:szCs w:val="24"/>
          <w:highlight w:val="none"/>
          <w:lang w:val="en-US" w:eastAsia="zh-CN" w:bidi="ar-SA"/>
        </w:rPr>
        <w:t>参数</w:t>
      </w:r>
      <w:r>
        <w:rPr>
          <w:rFonts w:hint="eastAsia" w:ascii="宋体" w:hAnsi="宋体" w:eastAsia="宋体" w:cs="宋体"/>
          <w:b/>
          <w:bCs/>
          <w:kern w:val="2"/>
          <w:sz w:val="24"/>
          <w:szCs w:val="24"/>
          <w:highlight w:val="none"/>
          <w:lang w:val="en-US" w:eastAsia="zh-CN" w:bidi="ar-SA"/>
        </w:rPr>
        <w:t>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离子泵：</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1.满足加速管真空维持在10的负6 mbar。</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2.能够承受3KV-5KV高压供电。</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3.与加速器配套电磁铁使用。</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摄像头：</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zh-CN" w:eastAsia="zh-CN" w:bidi="ar-SA"/>
        </w:rPr>
        <w:t>CID高清摄像机。</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zh-CN" w:eastAsia="zh-CN" w:bidi="ar-SA"/>
        </w:rPr>
        <w:t>满足监测红外线光线功能。</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3.配套加速器使用。</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五、服务要求：</w:t>
      </w:r>
    </w:p>
    <w:p>
      <w:pPr>
        <w:keepNext w:val="0"/>
        <w:keepLines w:val="0"/>
        <w:pageBreakBefore w:val="0"/>
        <w:kinsoku/>
        <w:wordWrap/>
        <w:overflowPunct/>
        <w:topLinePunct w:val="0"/>
        <w:autoSpaceDE/>
        <w:autoSpaceDN/>
        <w:bidi w:val="0"/>
        <w:adjustRightInd/>
        <w:spacing w:beforeAutospacing="0" w:afterAutospacing="0" w:line="360" w:lineRule="auto"/>
        <w:ind w:left="-141" w:leftChars="-67" w:right="84" w:rightChars="4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全部需是原装全新备件。</w:t>
      </w:r>
    </w:p>
    <w:p>
      <w:pPr>
        <w:keepNext w:val="0"/>
        <w:keepLines w:val="0"/>
        <w:pageBreakBefore w:val="0"/>
        <w:kinsoku/>
        <w:wordWrap/>
        <w:overflowPunct/>
        <w:topLinePunct w:val="0"/>
        <w:autoSpaceDE/>
        <w:autoSpaceDN/>
        <w:bidi w:val="0"/>
        <w:adjustRightInd/>
        <w:spacing w:beforeAutospacing="0" w:afterAutospacing="0" w:line="360" w:lineRule="auto"/>
        <w:ind w:left="-141" w:leftChars="-67" w:right="84" w:rightChars="4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2.配件更换时，需出具备件对应的采购手续（包括不限于采购合同、发票），若是进口商品，需提供报关单，报关信息需和现场更换配件信息保持一致。</w:t>
      </w:r>
    </w:p>
    <w:p>
      <w:pPr>
        <w:keepNext w:val="0"/>
        <w:keepLines w:val="0"/>
        <w:pageBreakBefore w:val="0"/>
        <w:kinsoku/>
        <w:wordWrap/>
        <w:overflowPunct/>
        <w:topLinePunct w:val="0"/>
        <w:autoSpaceDE/>
        <w:autoSpaceDN/>
        <w:bidi w:val="0"/>
        <w:adjustRightInd/>
        <w:spacing w:beforeAutospacing="0" w:afterAutospacing="0" w:line="360" w:lineRule="auto"/>
        <w:ind w:left="-141" w:leftChars="-67" w:right="84" w:rightChars="4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3.备件更换后按要求达到原机质量要求，符合国家法规规定和检测合格。</w:t>
      </w:r>
    </w:p>
    <w:p>
      <w:pPr>
        <w:keepNext w:val="0"/>
        <w:keepLines w:val="0"/>
        <w:pageBreakBefore w:val="0"/>
        <w:kinsoku/>
        <w:wordWrap/>
        <w:overflowPunct/>
        <w:topLinePunct w:val="0"/>
        <w:autoSpaceDE/>
        <w:autoSpaceDN/>
        <w:bidi w:val="0"/>
        <w:adjustRightInd/>
        <w:spacing w:beforeAutospacing="0" w:afterAutospacing="0" w:line="360" w:lineRule="auto"/>
        <w:ind w:left="-141" w:leftChars="-67" w:right="84" w:rightChars="4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安装备件后要完成规定的校准调试，需提供安装工程师原厂培训认证证书。</w:t>
      </w:r>
    </w:p>
    <w:p>
      <w:pPr>
        <w:keepNext w:val="0"/>
        <w:keepLines w:val="0"/>
        <w:pageBreakBefore w:val="0"/>
        <w:kinsoku/>
        <w:wordWrap/>
        <w:overflowPunct/>
        <w:topLinePunct w:val="0"/>
        <w:autoSpaceDE/>
        <w:autoSpaceDN/>
        <w:bidi w:val="0"/>
        <w:adjustRightInd/>
        <w:spacing w:beforeAutospacing="0" w:afterAutospacing="0" w:line="360" w:lineRule="auto"/>
        <w:ind w:left="-141" w:leftChars="-67" w:right="84" w:rightChars="4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备件的供应渠道必须符合国家相关法律法规，不会给设备和操作人员带来危害。</w:t>
      </w:r>
    </w:p>
    <w:p>
      <w:pPr>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en-US" w:eastAsia="zh-CN"/>
              </w:rPr>
              <w:t>通知书领取后3个工作日内送达并调试安装完成</w:t>
            </w:r>
            <w:r>
              <w:rPr>
                <w:rFonts w:hint="eastAsia" w:ascii="宋体" w:hAnsi="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所有备件质保一年</w:t>
            </w:r>
            <w:r>
              <w:rPr>
                <w:rFonts w:hint="eastAsia" w:ascii="宋体" w:hAnsi="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安装验收完成后付款90%，质保期结束后付款10%。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kern w:val="2"/>
                <w:sz w:val="24"/>
                <w:szCs w:val="24"/>
                <w:lang w:val="en-US" w:eastAsia="zh-CN" w:bidi="ar-SA"/>
              </w:rPr>
              <w:t>保险</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kern w:val="2"/>
                <w:sz w:val="24"/>
                <w:szCs w:val="24"/>
                <w:lang w:val="en-US" w:eastAsia="zh-CN" w:bidi="ar-SA"/>
              </w:rPr>
              <w:t>中标方承担</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b/>
          <w:bCs/>
          <w:color w:val="auto"/>
          <w:sz w:val="32"/>
          <w:szCs w:val="32"/>
          <w:highlight w:val="none"/>
        </w:rPr>
      </w:pPr>
      <w:bookmarkStart w:id="40" w:name="_Toc14504"/>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rPr>
          <w:b/>
          <w:bCs/>
          <w:color w:val="auto"/>
          <w:sz w:val="32"/>
          <w:szCs w:val="32"/>
          <w:highlight w:val="none"/>
        </w:rPr>
      </w:pPr>
      <w:r>
        <w:rPr>
          <w:rFonts w:hint="eastAsia"/>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驻马店市中心医院医科达直线加速器配件项目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采购预算（最高投标限价）：35.25</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3.本次采购预算（最高限价）为35.25</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pageBreakBefore w:val="0"/>
        <w:kinsoku/>
        <w:overflowPunct/>
        <w:topLinePunct w:val="0"/>
        <w:bidi w:val="0"/>
        <w:spacing w:beforeAutospacing="0" w:afterAutospacing="0" w:line="360" w:lineRule="auto"/>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分，一项不满足扣4分，如得分为0，则投标无效。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w:t>
            </w:r>
            <w:r>
              <w:rPr>
                <w:rFonts w:hint="eastAsia" w:ascii="宋体" w:hAnsi="宋体" w:cs="宋体"/>
                <w:b w:val="0"/>
                <w:bCs w:val="0"/>
                <w:color w:val="auto"/>
                <w:kern w:val="2"/>
                <w:sz w:val="24"/>
                <w:szCs w:val="24"/>
                <w:highlight w:val="none"/>
                <w:lang w:val="en-US" w:eastAsia="zh-CN"/>
              </w:rPr>
              <w:t>20</w:t>
            </w:r>
            <w:r>
              <w:rPr>
                <w:rFonts w:hint="eastAsia" w:ascii="宋体" w:hAnsi="宋体" w:eastAsia="宋体" w:cs="宋体"/>
                <w:b w:val="0"/>
                <w:bCs w:val="0"/>
                <w:color w:val="auto"/>
                <w:kern w:val="2"/>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w:t>
            </w: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20</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cs="宋体"/>
                <w:b w:val="0"/>
                <w:bCs w:val="0"/>
                <w:color w:val="auto"/>
                <w:kern w:val="2"/>
                <w:sz w:val="24"/>
                <w:szCs w:val="24"/>
                <w:highlight w:val="none"/>
                <w:lang w:val="en-US" w:eastAsia="zh-CN"/>
              </w:rPr>
              <w:t>7</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13</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b/>
          <w:color w:val="auto"/>
          <w:highlight w:val="none"/>
        </w:rPr>
      </w:pPr>
      <w:r>
        <w:rPr>
          <w:rFonts w:hint="eastAsia"/>
          <w:b/>
          <w:color w:val="auto"/>
          <w:highlight w:val="none"/>
        </w:rPr>
        <w:br w:type="page"/>
      </w:r>
    </w:p>
    <w:bookmarkEnd w:id="45"/>
    <w:p>
      <w:pPr>
        <w:pageBreakBefore w:val="0"/>
        <w:kinsoku/>
        <w:overflowPunct/>
        <w:topLinePunct w:val="0"/>
        <w:bidi w:val="0"/>
        <w:spacing w:beforeAutospacing="0" w:afterAutospacing="0" w:line="360" w:lineRule="auto"/>
        <w:rPr>
          <w:color w:val="auto"/>
          <w:highlight w:val="none"/>
        </w:rPr>
      </w:pPr>
      <w:bookmarkStart w:id="46" w:name="_Toc1947"/>
      <w:bookmarkStart w:id="47" w:name="_Toc1482"/>
      <w:bookmarkStart w:id="48" w:name="_Toc256519703"/>
      <w:bookmarkStart w:id="49"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4"/>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ascii="宋体" w:hAnsi="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rPr>
          <w:color w:val="auto"/>
          <w:highlight w:val="none"/>
        </w:rPr>
      </w:pPr>
      <w:bookmarkStart w:id="65" w:name="_Toc14560"/>
      <w:bookmarkStart w:id="66" w:name="_Toc8818"/>
      <w:r>
        <w:rPr>
          <w:rFonts w:hint="eastAsia"/>
          <w:color w:val="auto"/>
          <w:highlight w:val="none"/>
        </w:rPr>
        <w:t>附件2               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pageBreakBefore w:val="0"/>
        <w:kinsoku/>
        <w:overflowPunct/>
        <w:topLinePunct w:val="0"/>
        <w:bidi w:val="0"/>
        <w:spacing w:beforeAutospacing="0" w:afterAutospacing="0" w:line="360" w:lineRule="auto"/>
        <w:jc w:val="right"/>
        <w:rPr>
          <w:color w:val="auto"/>
          <w:highlight w:val="none"/>
        </w:rPr>
      </w:pPr>
      <w:r>
        <w:rPr>
          <w:rFonts w:ascii="宋体" w:hAnsi="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1"/>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80" w:firstLineChars="200"/>
        <w:rPr>
          <w:rFonts w:ascii="宋体" w:hAnsi="宋体" w:cs="宋体"/>
          <w:color w:val="auto"/>
          <w:kern w:val="0"/>
          <w:sz w:val="24"/>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bookmarkEnd w:id="48"/>
    <w:bookmarkEnd w:id="49"/>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pageBreakBefore w:val="0"/>
        <w:kinsoku/>
        <w:overflowPunct/>
        <w:topLinePunct w:val="0"/>
        <w:bidi w:val="0"/>
        <w:spacing w:before="0" w:beforeAutospacing="0" w:after="0" w:afterAutospacing="0" w:line="360" w:lineRule="auto"/>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bl>
    <w:p>
      <w:pPr>
        <w:pageBreakBefore w:val="0"/>
        <w:kinsoku/>
        <w:overflowPunct/>
        <w:topLinePunct w:val="0"/>
        <w:bidi w:val="0"/>
        <w:spacing w:beforeAutospacing="0" w:afterAutospacing="0" w:line="360" w:lineRule="auto"/>
        <w:rPr>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ascii="Arial" w:hAnsi="Arial" w:eastAsia="新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ascii="仿宋_GB2312" w:cs="宋体"/>
          <w:color w:val="auto"/>
          <w:kern w:val="0"/>
          <w:sz w:val="24"/>
          <w:highlight w:val="none"/>
        </w:rPr>
      </w:pPr>
    </w:p>
    <w:p>
      <w:pPr>
        <w:pageBreakBefore w:val="0"/>
        <w:kinsoku/>
        <w:overflowPunct/>
        <w:topLinePunct w:val="0"/>
        <w:bidi w:val="0"/>
        <w:spacing w:beforeAutospacing="0" w:afterAutospacing="0" w:line="360" w:lineRule="auto"/>
        <w:rPr>
          <w:rFonts w:cs="宋体"/>
          <w:b/>
          <w:color w:val="auto"/>
          <w:kern w:val="0"/>
          <w:sz w:val="24"/>
          <w:highlight w:val="none"/>
        </w:rPr>
      </w:pPr>
      <w:r>
        <w:rPr>
          <w:rFonts w:cs="宋体"/>
          <w:b/>
          <w:color w:val="auto"/>
          <w:kern w:val="0"/>
          <w:sz w:val="24"/>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3"/>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ageBreakBefore w:val="0"/>
        <w:kinsoku/>
        <w:overflowPunct/>
        <w:topLinePunct w:val="0"/>
        <w:bidi w:val="0"/>
        <w:spacing w:beforeAutospacing="0" w:afterAutospacing="0" w:line="360" w:lineRule="auto"/>
        <w:rPr>
          <w:rFonts w:hint="eastAsia"/>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1"/>
        <w:pageBreakBefore w:val="0"/>
        <w:kinsoku/>
        <w:overflowPunct/>
        <w:topLinePunct w:val="0"/>
        <w:bidi w:val="0"/>
        <w:spacing w:beforeAutospacing="0" w:after="0" w:afterAutospacing="0" w:line="360" w:lineRule="auto"/>
        <w:rPr>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驻马店市中心医院医科达直线加速器配件项目采购文件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驻马店市中心医院医科达直线加速器配件项目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DA5C53"/>
    <w:rsid w:val="01DF5C17"/>
    <w:rsid w:val="02D25290"/>
    <w:rsid w:val="037C54DB"/>
    <w:rsid w:val="08C1066A"/>
    <w:rsid w:val="0C877CFB"/>
    <w:rsid w:val="0D3A1F53"/>
    <w:rsid w:val="0D923C0B"/>
    <w:rsid w:val="0D961094"/>
    <w:rsid w:val="0F083E44"/>
    <w:rsid w:val="0FF85943"/>
    <w:rsid w:val="100D65BF"/>
    <w:rsid w:val="11F33019"/>
    <w:rsid w:val="13F53FEC"/>
    <w:rsid w:val="14380591"/>
    <w:rsid w:val="144F7691"/>
    <w:rsid w:val="146A4213"/>
    <w:rsid w:val="19F631C1"/>
    <w:rsid w:val="1A856091"/>
    <w:rsid w:val="1C5446B4"/>
    <w:rsid w:val="1C597898"/>
    <w:rsid w:val="1CDF0421"/>
    <w:rsid w:val="211547B3"/>
    <w:rsid w:val="212A2D39"/>
    <w:rsid w:val="23F57CC4"/>
    <w:rsid w:val="2C2A1794"/>
    <w:rsid w:val="2CE81EF4"/>
    <w:rsid w:val="31035B63"/>
    <w:rsid w:val="31986C26"/>
    <w:rsid w:val="333105F2"/>
    <w:rsid w:val="33F74D7E"/>
    <w:rsid w:val="346A0AC1"/>
    <w:rsid w:val="349A13A6"/>
    <w:rsid w:val="350D171A"/>
    <w:rsid w:val="35150A2C"/>
    <w:rsid w:val="35C7280A"/>
    <w:rsid w:val="36B907B2"/>
    <w:rsid w:val="37B207B5"/>
    <w:rsid w:val="382252E2"/>
    <w:rsid w:val="38912AC0"/>
    <w:rsid w:val="38D93693"/>
    <w:rsid w:val="39984708"/>
    <w:rsid w:val="3AAD1707"/>
    <w:rsid w:val="3D226758"/>
    <w:rsid w:val="3DAA28E7"/>
    <w:rsid w:val="40047331"/>
    <w:rsid w:val="411F75E2"/>
    <w:rsid w:val="41923405"/>
    <w:rsid w:val="436D5ED7"/>
    <w:rsid w:val="47EC7D13"/>
    <w:rsid w:val="48D10692"/>
    <w:rsid w:val="49DB1DED"/>
    <w:rsid w:val="4C185248"/>
    <w:rsid w:val="4DD06B99"/>
    <w:rsid w:val="4F2C4E99"/>
    <w:rsid w:val="509B6FFA"/>
    <w:rsid w:val="51F92A4C"/>
    <w:rsid w:val="53370970"/>
    <w:rsid w:val="58AE4B70"/>
    <w:rsid w:val="5A295181"/>
    <w:rsid w:val="5B1B7148"/>
    <w:rsid w:val="5C3918FB"/>
    <w:rsid w:val="5DD67A13"/>
    <w:rsid w:val="5E371164"/>
    <w:rsid w:val="5E742597"/>
    <w:rsid w:val="5F0D70EB"/>
    <w:rsid w:val="62097280"/>
    <w:rsid w:val="624125B1"/>
    <w:rsid w:val="62A212A2"/>
    <w:rsid w:val="64164898"/>
    <w:rsid w:val="65447343"/>
    <w:rsid w:val="679338AF"/>
    <w:rsid w:val="67C5345F"/>
    <w:rsid w:val="68664B20"/>
    <w:rsid w:val="68CD32D8"/>
    <w:rsid w:val="6C8B2DA7"/>
    <w:rsid w:val="6D891ABD"/>
    <w:rsid w:val="6F0D3F47"/>
    <w:rsid w:val="707912DA"/>
    <w:rsid w:val="722A3D19"/>
    <w:rsid w:val="74726C59"/>
    <w:rsid w:val="76076E1C"/>
    <w:rsid w:val="77520D58"/>
    <w:rsid w:val="77EE068E"/>
    <w:rsid w:val="7A106FE1"/>
    <w:rsid w:val="7A374F60"/>
    <w:rsid w:val="7B227200"/>
    <w:rsid w:val="7B4A3BA0"/>
    <w:rsid w:val="7C764ED8"/>
    <w:rsid w:val="7D2346C8"/>
    <w:rsid w:val="7DB51566"/>
    <w:rsid w:val="7E9C305C"/>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styleId="4">
    <w:name w:val="Body Text 2"/>
    <w:basedOn w:val="1"/>
    <w:next w:val="3"/>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3"/>
    <w:next w:val="10"/>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4"/>
    <w:link w:val="3"/>
    <w:qFormat/>
    <w:uiPriority w:val="0"/>
  </w:style>
  <w:style w:type="character" w:customStyle="1" w:styleId="75">
    <w:name w:val="apple-converted-space"/>
    <w:basedOn w:val="34"/>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4"/>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4"/>
    <w:qFormat/>
    <w:uiPriority w:val="0"/>
  </w:style>
  <w:style w:type="character" w:customStyle="1" w:styleId="90">
    <w:name w:val="font41"/>
    <w:basedOn w:val="34"/>
    <w:qFormat/>
    <w:uiPriority w:val="0"/>
    <w:rPr>
      <w:rFonts w:hint="eastAsia" w:ascii="宋体" w:hAnsi="宋体" w:eastAsia="宋体" w:cs="宋体"/>
      <w:color w:val="000000"/>
      <w:sz w:val="21"/>
      <w:szCs w:val="21"/>
      <w:u w:val="none"/>
    </w:rPr>
  </w:style>
  <w:style w:type="character" w:customStyle="1" w:styleId="91">
    <w:name w:val="font51"/>
    <w:basedOn w:val="34"/>
    <w:qFormat/>
    <w:uiPriority w:val="0"/>
    <w:rPr>
      <w:rFonts w:hint="eastAsia" w:ascii="宋体" w:hAnsi="宋体" w:eastAsia="宋体" w:cs="宋体"/>
      <w:b/>
      <w:color w:val="000000"/>
      <w:sz w:val="21"/>
      <w:szCs w:val="21"/>
      <w:u w:val="none"/>
    </w:rPr>
  </w:style>
  <w:style w:type="character" w:customStyle="1" w:styleId="92">
    <w:name w:val="font31"/>
    <w:basedOn w:val="34"/>
    <w:qFormat/>
    <w:uiPriority w:val="0"/>
    <w:rPr>
      <w:rFonts w:hint="eastAsia" w:ascii="宋体" w:hAnsi="宋体" w:eastAsia="宋体" w:cs="宋体"/>
      <w:color w:val="000000"/>
      <w:sz w:val="20"/>
      <w:szCs w:val="20"/>
      <w:u w:val="none"/>
    </w:rPr>
  </w:style>
  <w:style w:type="character" w:customStyle="1" w:styleId="93">
    <w:name w:val="font11"/>
    <w:basedOn w:val="34"/>
    <w:qFormat/>
    <w:uiPriority w:val="0"/>
    <w:rPr>
      <w:rFonts w:hint="eastAsia" w:ascii="等线" w:hAnsi="等线" w:eastAsia="等线" w:cs="等线"/>
      <w:b/>
      <w:bCs/>
      <w:color w:val="000000"/>
      <w:sz w:val="22"/>
      <w:szCs w:val="22"/>
      <w:u w:val="none"/>
    </w:rPr>
  </w:style>
  <w:style w:type="character" w:customStyle="1" w:styleId="94">
    <w:name w:val="hover"/>
    <w:basedOn w:val="34"/>
    <w:qFormat/>
    <w:uiPriority w:val="0"/>
    <w:rPr>
      <w:color w:val="5FB878"/>
    </w:rPr>
  </w:style>
  <w:style w:type="character" w:customStyle="1" w:styleId="95">
    <w:name w:val="hover1"/>
    <w:basedOn w:val="34"/>
    <w:qFormat/>
    <w:uiPriority w:val="0"/>
    <w:rPr>
      <w:color w:val="FFFFFF"/>
    </w:rPr>
  </w:style>
  <w:style w:type="character" w:customStyle="1" w:styleId="96">
    <w:name w:val="hover2"/>
    <w:basedOn w:val="34"/>
    <w:qFormat/>
    <w:uiPriority w:val="0"/>
    <w:rPr>
      <w:color w:val="5FB878"/>
    </w:rPr>
  </w:style>
  <w:style w:type="character" w:customStyle="1" w:styleId="97">
    <w:name w:val="layui-this4"/>
    <w:basedOn w:val="34"/>
    <w:qFormat/>
    <w:uiPriority w:val="0"/>
    <w:rPr>
      <w:bdr w:val="single" w:color="EEEEEE" w:sz="6" w:space="0"/>
      <w:shd w:val="clear" w:fill="FFFFFF"/>
    </w:rPr>
  </w:style>
  <w:style w:type="character" w:customStyle="1" w:styleId="98">
    <w:name w:val="layui-laypage-curr"/>
    <w:basedOn w:val="34"/>
    <w:qFormat/>
    <w:uiPriority w:val="0"/>
  </w:style>
  <w:style w:type="character" w:customStyle="1" w:styleId="99">
    <w:name w:val="first-child"/>
    <w:basedOn w:val="34"/>
    <w:qFormat/>
    <w:uiPriority w:val="0"/>
  </w:style>
  <w:style w:type="character" w:customStyle="1" w:styleId="100">
    <w:name w:val="hover19"/>
    <w:basedOn w:val="34"/>
    <w:qFormat/>
    <w:uiPriority w:val="0"/>
    <w:rPr>
      <w:color w:val="5FB878"/>
    </w:rPr>
  </w:style>
  <w:style w:type="character" w:customStyle="1" w:styleId="101">
    <w:name w:val="hover20"/>
    <w:basedOn w:val="34"/>
    <w:qFormat/>
    <w:uiPriority w:val="0"/>
    <w:rPr>
      <w:color w:val="5FB878"/>
    </w:rPr>
  </w:style>
  <w:style w:type="character" w:customStyle="1" w:styleId="102">
    <w:name w:val="hover21"/>
    <w:basedOn w:val="34"/>
    <w:qFormat/>
    <w:uiPriority w:val="0"/>
    <w:rPr>
      <w:color w:val="FFFFFF"/>
    </w:rPr>
  </w:style>
  <w:style w:type="paragraph" w:customStyle="1" w:styleId="103">
    <w:name w:val="无间隔11"/>
    <w:qFormat/>
    <w:uiPriority w:val="1"/>
    <w:rPr>
      <w:rFonts w:ascii="Times New Roman" w:hAnsi="Times New Roman" w:eastAsia="Microsoft YaHei UI"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2</TotalTime>
  <ScaleCrop>false</ScaleCrop>
  <LinksUpToDate>false</LinksUpToDate>
  <CharactersWithSpaces>16570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2023-12-11T02:30:50Z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