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highlight w:val="none"/>
          <w:lang w:val="en-US" w:eastAsia="zh-CN"/>
        </w:rPr>
      </w:pPr>
      <w:bookmarkStart w:id="0" w:name="_Toc22953395"/>
      <w:bookmarkEnd w:id="0"/>
      <w:bookmarkStart w:id="1" w:name="_Toc22804073"/>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驻马店市中心医院等离子体刀头采购项目</w:t>
      </w:r>
    </w:p>
    <w:p>
      <w:pPr>
        <w:pStyle w:val="20"/>
        <w:bidi w:val="0"/>
        <w:jc w:val="center"/>
        <w:rPr>
          <w:rStyle w:val="43"/>
          <w:rFonts w:hint="eastAsia" w:ascii="宋体" w:hAnsi="宋体" w:eastAsia="宋体" w:cs="宋体"/>
          <w:b/>
          <w:bCs/>
          <w:color w:val="auto"/>
          <w:sz w:val="48"/>
          <w:szCs w:val="48"/>
          <w:highlight w:val="none"/>
        </w:rPr>
      </w:pPr>
    </w:p>
    <w:p>
      <w:pPr>
        <w:pStyle w:val="20"/>
        <w:bidi w:val="0"/>
        <w:jc w:val="center"/>
        <w:rPr>
          <w:rStyle w:val="43"/>
          <w:rFonts w:hint="eastAsia" w:ascii="宋体" w:hAnsi="宋体" w:eastAsia="宋体" w:cs="宋体"/>
          <w:b/>
          <w:bCs/>
          <w:color w:val="auto"/>
          <w:sz w:val="48"/>
          <w:szCs w:val="48"/>
          <w:highlight w:val="none"/>
        </w:rPr>
      </w:pPr>
    </w:p>
    <w:p>
      <w:pPr>
        <w:pStyle w:val="20"/>
        <w:bidi w:val="0"/>
        <w:jc w:val="center"/>
        <w:rPr>
          <w:rStyle w:val="43"/>
          <w:rFonts w:hint="eastAsia" w:ascii="宋体" w:hAnsi="宋体" w:eastAsia="宋体" w:cs="宋体"/>
          <w:b/>
          <w:bCs/>
          <w:color w:val="auto"/>
          <w:szCs w:val="44"/>
          <w:highlight w:val="none"/>
        </w:rPr>
      </w:pPr>
      <w:r>
        <w:rPr>
          <w:rStyle w:val="43"/>
          <w:rFonts w:hint="eastAsia"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highlight w:val="none"/>
          <w:lang w:val="en-US" w:eastAsia="zh-CN"/>
        </w:rPr>
      </w:pPr>
    </w:p>
    <w:p>
      <w:pPr>
        <w:snapToGrid w:val="0"/>
        <w:spacing w:line="380" w:lineRule="exact"/>
        <w:jc w:val="center"/>
        <w:rPr>
          <w:rFonts w:hint="eastAsia" w:ascii="宋体" w:hAnsi="宋体" w:eastAsia="宋体" w:cs="宋体"/>
          <w:b/>
          <w:sz w:val="32"/>
          <w:szCs w:val="32"/>
          <w:highlight w:val="none"/>
        </w:rPr>
      </w:pPr>
    </w:p>
    <w:p>
      <w:pPr>
        <w:pStyle w:val="4"/>
        <w:rPr>
          <w:rFonts w:hint="eastAsia"/>
          <w:highlight w:val="none"/>
        </w:rPr>
      </w:pPr>
    </w:p>
    <w:p>
      <w:pPr>
        <w:pStyle w:val="59"/>
        <w:rPr>
          <w:rFonts w:hint="eastAsia" w:ascii="宋体" w:hAnsi="宋体" w:eastAsia="宋体" w:cs="宋体"/>
          <w:bCs/>
          <w:sz w:val="2"/>
          <w:szCs w:val="2"/>
          <w:highlight w:val="none"/>
        </w:rPr>
      </w:pPr>
    </w:p>
    <w:p>
      <w:pPr>
        <w:rPr>
          <w:rFonts w:hint="eastAsia" w:ascii="宋体" w:hAnsi="宋体" w:eastAsia="宋体" w:cs="宋体"/>
          <w:bCs/>
          <w:sz w:val="2"/>
          <w:szCs w:val="2"/>
          <w:highlight w:val="none"/>
        </w:rPr>
      </w:pPr>
    </w:p>
    <w:p>
      <w:pPr>
        <w:spacing w:line="20" w:lineRule="exact"/>
        <w:rPr>
          <w:rFonts w:hint="eastAsia" w:ascii="宋体" w:hAnsi="宋体" w:eastAsia="宋体" w:cs="宋体"/>
          <w:bCs/>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w:t>
      </w:r>
      <w:r>
        <w:rPr>
          <w:rFonts w:hint="eastAsia" w:ascii="宋体" w:hAnsi="宋体" w:cs="宋体"/>
          <w:b/>
          <w:bCs/>
          <w:spacing w:val="40"/>
          <w:sz w:val="34"/>
          <w:szCs w:val="34"/>
          <w:highlight w:val="none"/>
          <w:lang w:val="en-US" w:eastAsia="zh-CN"/>
        </w:rPr>
        <w:t>3</w:t>
      </w:r>
      <w:r>
        <w:rPr>
          <w:rFonts w:hint="eastAsia" w:ascii="宋体" w:hAnsi="宋体" w:eastAsia="宋体" w:cs="宋体"/>
          <w:b/>
          <w:bCs/>
          <w:spacing w:val="40"/>
          <w:sz w:val="34"/>
          <w:szCs w:val="34"/>
          <w:highlight w:val="none"/>
        </w:rPr>
        <w:t>年</w:t>
      </w:r>
      <w:r>
        <w:rPr>
          <w:rFonts w:hint="eastAsia" w:ascii="宋体" w:hAnsi="宋体" w:cs="宋体"/>
          <w:b/>
          <w:bCs/>
          <w:spacing w:val="40"/>
          <w:sz w:val="34"/>
          <w:szCs w:val="34"/>
          <w:highlight w:val="none"/>
          <w:lang w:val="en-US" w:eastAsia="zh-CN"/>
        </w:rPr>
        <w:t>12</w:t>
      </w:r>
      <w:r>
        <w:rPr>
          <w:rFonts w:hint="eastAsia" w:ascii="宋体" w:hAnsi="宋体" w:eastAsia="宋体" w:cs="宋体"/>
          <w:b/>
          <w:bCs/>
          <w:spacing w:val="40"/>
          <w:sz w:val="34"/>
          <w:szCs w:val="34"/>
          <w:highlight w:val="none"/>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23</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highlight w:val="none"/>
        </w:rPr>
      </w:pPr>
      <w:r>
        <w:rPr>
          <w:rFonts w:hint="eastAsia" w:ascii="黑体" w:hAnsi="黑体" w:eastAsia="黑体" w:cs="宋体"/>
          <w:bCs/>
          <w:color w:val="auto"/>
          <w:kern w:val="0"/>
          <w:sz w:val="28"/>
          <w:szCs w:val="28"/>
          <w:highlight w:val="none"/>
          <w:u w:val="none"/>
          <w:lang w:val="en-US" w:eastAsia="zh-CN"/>
        </w:rPr>
        <w:t>驻马店市中心医院等离子体刀头采购项目竞争性磋商</w:t>
      </w:r>
      <w:r>
        <w:rPr>
          <w:rFonts w:hint="eastAsia" w:ascii="黑体" w:hAnsi="黑体" w:eastAsia="黑体" w:cs="宋体"/>
          <w:bCs/>
          <w:color w:val="auto"/>
          <w:kern w:val="0"/>
          <w:sz w:val="28"/>
          <w:szCs w:val="28"/>
          <w:highlight w:val="none"/>
        </w:rPr>
        <w:t>公告</w:t>
      </w:r>
    </w:p>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rPr>
      </w:pPr>
      <w:bookmarkStart w:id="3" w:name="_Toc35393795"/>
      <w:bookmarkStart w:id="4" w:name="_Toc35393626"/>
      <w:bookmarkStart w:id="5" w:name="_Toc25063"/>
      <w:bookmarkStart w:id="6" w:name="_Toc23793"/>
      <w:bookmarkStart w:id="7" w:name="_Toc29890"/>
      <w:r>
        <w:rPr>
          <w:rFonts w:hint="eastAsia" w:ascii="宋体" w:hAnsi="宋体" w:eastAsia="宋体" w:cs="宋体"/>
          <w:color w:val="auto"/>
          <w:sz w:val="24"/>
          <w:szCs w:val="28"/>
        </w:rPr>
        <w:t>驻马店市中心医院现对</w:t>
      </w:r>
      <w:r>
        <w:rPr>
          <w:rFonts w:hint="eastAsia" w:ascii="宋体" w:hAnsi="宋体" w:cs="宋体"/>
          <w:color w:val="auto"/>
          <w:sz w:val="24"/>
          <w:szCs w:val="28"/>
          <w:u w:val="single"/>
          <w:lang w:eastAsia="zh-CN"/>
        </w:rPr>
        <w:t>等离子体刀头采购项目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驻马店市中心医院等离子体刀头采购项目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45</w:t>
      </w:r>
      <w:r>
        <w:rPr>
          <w:rFonts w:hint="eastAsia" w:ascii="宋体" w:hAnsi="宋体" w:eastAsia="宋体" w:cs="宋体"/>
          <w:color w:val="auto"/>
          <w:kern w:val="0"/>
          <w:sz w:val="24"/>
          <w:szCs w:val="24"/>
          <w:highlight w:val="none"/>
          <w:u w:val="none"/>
          <w:lang w:val="en-US" w:eastAsia="zh-CN"/>
        </w:rPr>
        <w:t>万</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r>
        <w:rPr>
          <w:rFonts w:hint="eastAsia" w:ascii="宋体" w:hAnsi="宋体" w:cs="宋体"/>
          <w:color w:val="auto"/>
          <w:sz w:val="24"/>
          <w:szCs w:val="24"/>
          <w:highlight w:val="none"/>
          <w:shd w:val="clear" w:color="auto" w:fill="FFFFFF"/>
          <w:lang w:val="en-US" w:eastAsia="zh-CN"/>
        </w:rPr>
        <w:t>（据实结算）</w:t>
      </w:r>
      <w:r>
        <w:rPr>
          <w:rFonts w:hint="eastAsia" w:ascii="宋体" w:hAnsi="宋体" w:eastAsia="宋体" w:cs="宋体"/>
          <w:color w:val="auto"/>
          <w:sz w:val="24"/>
          <w:szCs w:val="24"/>
          <w:highlight w:val="none"/>
          <w:shd w:val="clear" w:color="auto" w:fill="FFFFFF"/>
          <w:lang w:val="en-US" w:eastAsia="zh-CN"/>
        </w:rPr>
        <w:t>；</w:t>
      </w:r>
    </w:p>
    <w:p>
      <w:pPr>
        <w:keepNext w:val="0"/>
        <w:keepLines w:val="0"/>
        <w:pageBreakBefore w:val="0"/>
        <w:kinsoku/>
        <w:overflowPunct/>
        <w:topLinePunct w:val="0"/>
        <w:bidi w:val="0"/>
        <w:snapToGrid w:val="0"/>
        <w:spacing w:line="336" w:lineRule="auto"/>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21071"/>
      <w:bookmarkStart w:id="10" w:name="_Toc19521"/>
      <w:bookmarkStart w:id="11" w:name="_Toc27913"/>
      <w:bookmarkStart w:id="12" w:name="_Toc26079"/>
      <w:bookmarkStart w:id="13" w:name="_Toc24040"/>
      <w:r>
        <w:rPr>
          <w:rFonts w:hint="eastAsia" w:ascii="宋体" w:hAnsi="宋体" w:eastAsia="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质量要求：合格</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36"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6、服务期：1年。</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18607"/>
      <w:bookmarkStart w:id="15" w:name="_Toc16639"/>
      <w:bookmarkStart w:id="16" w:name="_Toc27704"/>
      <w:bookmarkStart w:id="17" w:name="_Toc23626"/>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w:t>
      </w:r>
      <w:r>
        <w:rPr>
          <w:rFonts w:hint="eastAsia" w:ascii="宋体" w:hAnsi="宋体" w:cs="宋体"/>
          <w:color w:val="auto"/>
          <w:kern w:val="2"/>
          <w:sz w:val="24"/>
          <w:szCs w:val="32"/>
          <w:lang w:val="en-US" w:eastAsia="zh-CN" w:bidi="ar-SA"/>
        </w:rPr>
        <w:t>2022年度</w:t>
      </w:r>
      <w:r>
        <w:rPr>
          <w:rFonts w:hint="eastAsia" w:ascii="宋体" w:hAnsi="宋体" w:eastAsia="宋体" w:cs="宋体"/>
          <w:color w:val="auto"/>
          <w:kern w:val="2"/>
          <w:sz w:val="24"/>
          <w:szCs w:val="32"/>
          <w:lang w:val="en-US" w:eastAsia="zh-CN" w:bidi="ar-SA"/>
        </w:rPr>
        <w:t>经审计的财务报告或者其基本开户银行出具的资信证明；采购活动前近三个月内或上个季度</w:t>
      </w:r>
      <w:r>
        <w:rPr>
          <w:rFonts w:hint="eastAsia" w:ascii="宋体" w:hAnsi="宋体" w:cs="宋体"/>
          <w:color w:val="auto"/>
          <w:kern w:val="2"/>
          <w:sz w:val="24"/>
          <w:szCs w:val="32"/>
          <w:lang w:val="en-US" w:eastAsia="zh-CN" w:bidi="ar-SA"/>
        </w:rPr>
        <w:t>任一个月</w:t>
      </w:r>
      <w:r>
        <w:rPr>
          <w:rFonts w:hint="eastAsia" w:ascii="宋体" w:hAnsi="宋体" w:eastAsia="宋体" w:cs="宋体"/>
          <w:color w:val="auto"/>
          <w:kern w:val="2"/>
          <w:sz w:val="24"/>
          <w:szCs w:val="32"/>
          <w:lang w:val="en-US" w:eastAsia="zh-CN" w:bidi="ar-SA"/>
        </w:rPr>
        <w:t>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w:t>
      </w:r>
      <w:r>
        <w:rPr>
          <w:rFonts w:hint="eastAsia" w:ascii="宋体" w:hAnsi="宋体" w:cs="宋体"/>
          <w:color w:val="auto"/>
          <w:kern w:val="2"/>
          <w:sz w:val="24"/>
          <w:szCs w:val="32"/>
          <w:lang w:val="en-US" w:eastAsia="zh-CN" w:bidi="ar-SA"/>
        </w:rPr>
        <w:t>、</w:t>
      </w:r>
      <w:r>
        <w:rPr>
          <w:rFonts w:hint="eastAsia" w:ascii="宋体" w:hAnsi="宋体" w:eastAsia="宋体" w:cs="宋体"/>
          <w:color w:val="auto"/>
          <w:kern w:val="2"/>
          <w:sz w:val="24"/>
          <w:szCs w:val="32"/>
          <w:lang w:val="en-US" w:eastAsia="zh-CN" w:bidi="ar-SA"/>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kern w:val="2"/>
          <w:sz w:val="24"/>
          <w:szCs w:val="32"/>
          <w:highlight w:val="none"/>
          <w:lang w:val="en-US" w:eastAsia="zh-CN" w:bidi="ar-SA"/>
        </w:rPr>
        <w:t>6</w:t>
      </w:r>
      <w:r>
        <w:rPr>
          <w:rFonts w:hint="eastAsia" w:ascii="宋体" w:hAnsi="宋体" w:eastAsia="宋体" w:cs="宋体"/>
          <w:color w:val="auto"/>
          <w:sz w:val="24"/>
          <w:szCs w:val="28"/>
          <w:highlight w:val="none"/>
          <w:lang w:val="en-US" w:eastAsia="zh-CN"/>
        </w:rPr>
        <w:t>、</w:t>
      </w:r>
      <w:r>
        <w:rPr>
          <w:rFonts w:hint="eastAsia" w:ascii="宋体" w:hAnsi="宋体" w:eastAsia="宋体" w:cs="宋体"/>
          <w:color w:val="auto"/>
          <w:sz w:val="24"/>
          <w:szCs w:val="28"/>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336" w:lineRule="auto"/>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cs="宋体"/>
          <w:color w:val="auto"/>
          <w:kern w:val="2"/>
          <w:sz w:val="24"/>
          <w:szCs w:val="32"/>
          <w:lang w:val="en-US" w:eastAsia="zh-CN" w:bidi="ar-SA"/>
        </w:rPr>
        <w:t>7</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auto"/>
          <w:kern w:val="2"/>
          <w:sz w:val="24"/>
          <w:szCs w:val="32"/>
          <w:lang w:val="en-US" w:eastAsia="zh-CN" w:bidi="ar-SA"/>
        </w:rPr>
      </w:pPr>
      <w:bookmarkStart w:id="18" w:name="_Toc30643"/>
      <w:bookmarkStart w:id="19" w:name="_Toc23395"/>
      <w:bookmarkStart w:id="20" w:name="_Toc9562"/>
      <w:bookmarkStart w:id="21" w:name="_Toc7823"/>
      <w:bookmarkStart w:id="22" w:name="_Toc30971"/>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auto"/>
          <w:sz w:val="24"/>
          <w:szCs w:val="24"/>
          <w:shd w:val="clear" w:color="auto" w:fill="FFFFFF"/>
        </w:rPr>
        <w:t>时间：</w:t>
      </w:r>
      <w:r>
        <w:rPr>
          <w:rFonts w:hint="eastAsia" w:ascii="宋体" w:hAnsi="宋体" w:eastAsia="宋体" w:cs="宋体"/>
          <w:color w:val="auto"/>
          <w:sz w:val="24"/>
          <w:szCs w:val="24"/>
          <w:highlight w:val="none"/>
          <w:shd w:val="clear" w:color="auto" w:fill="FFFFFF"/>
        </w:rPr>
        <w:t>202</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12</w:t>
      </w:r>
      <w:r>
        <w:rPr>
          <w:rFonts w:hint="eastAsia" w:ascii="宋体" w:hAnsi="宋体" w:eastAsia="宋体" w:cs="宋体"/>
          <w:color w:val="auto"/>
          <w:sz w:val="24"/>
          <w:szCs w:val="24"/>
          <w:highlight w:val="none"/>
          <w:shd w:val="clear" w:color="auto" w:fill="FFFFFF"/>
        </w:rPr>
        <w:t>月</w:t>
      </w:r>
      <w:r>
        <w:rPr>
          <w:rFonts w:hint="eastAsia" w:ascii="宋体" w:hAnsi="宋体" w:eastAsia="宋体" w:cs="宋体"/>
          <w:color w:val="auto"/>
          <w:sz w:val="24"/>
          <w:szCs w:val="24"/>
          <w:highlight w:val="none"/>
          <w:shd w:val="clear" w:color="auto" w:fill="FFFFFF"/>
          <w:lang w:val="en-US" w:eastAsia="zh-CN"/>
        </w:rPr>
        <w:t>25</w:t>
      </w:r>
      <w:r>
        <w:rPr>
          <w:rFonts w:hint="eastAsia" w:ascii="宋体" w:hAnsi="宋体" w:eastAsia="宋体" w:cs="宋体"/>
          <w:color w:val="auto"/>
          <w:sz w:val="24"/>
          <w:szCs w:val="24"/>
          <w:highlight w:val="none"/>
          <w:shd w:val="clear" w:color="auto" w:fill="FFFFFF"/>
        </w:rPr>
        <w:t>日-202</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12</w:t>
      </w:r>
      <w:r>
        <w:rPr>
          <w:rFonts w:hint="eastAsia" w:ascii="宋体" w:hAnsi="宋体" w:eastAsia="宋体" w:cs="宋体"/>
          <w:color w:val="auto"/>
          <w:sz w:val="24"/>
          <w:szCs w:val="24"/>
          <w:highlight w:val="none"/>
          <w:shd w:val="clear" w:color="auto" w:fill="FFFFFF"/>
        </w:rPr>
        <w:t>月</w:t>
      </w:r>
      <w:r>
        <w:rPr>
          <w:rFonts w:hint="eastAsia" w:ascii="宋体" w:hAnsi="宋体" w:eastAsia="宋体" w:cs="宋体"/>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w:t>
      </w:r>
      <w:r>
        <w:rPr>
          <w:rFonts w:hint="eastAsia" w:ascii="宋体" w:hAnsi="宋体" w:eastAsia="宋体" w:cs="宋体"/>
          <w:color w:val="auto"/>
          <w:sz w:val="24"/>
          <w:szCs w:val="24"/>
          <w:shd w:val="clear" w:color="auto" w:fill="FFFFFF"/>
        </w:rPr>
        <w:t>午8：30-11:30，下午14:30-17:30（北京时间，法定节假日除外）</w:t>
      </w:r>
      <w:r>
        <w:rPr>
          <w:rFonts w:hint="eastAsia" w:ascii="宋体" w:hAnsi="宋体" w:eastAsia="宋体"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lang w:val="en-US" w:eastAsia="zh-CN"/>
        </w:rPr>
        <w:t>报名费用：</w:t>
      </w:r>
      <w:r>
        <w:rPr>
          <w:rFonts w:hint="eastAsia" w:ascii="宋体" w:hAnsi="宋体" w:cs="宋体"/>
          <w:color w:val="auto"/>
          <w:sz w:val="24"/>
          <w:szCs w:val="24"/>
          <w:shd w:val="clear" w:color="auto" w:fill="FFFFFF"/>
          <w:lang w:val="en-US" w:eastAsia="zh-CN"/>
        </w:rPr>
        <w:t>2</w:t>
      </w:r>
      <w:r>
        <w:rPr>
          <w:rFonts w:hint="eastAsia" w:ascii="宋体" w:hAnsi="宋体" w:eastAsia="宋体" w:cs="宋体"/>
          <w:color w:val="auto"/>
          <w:sz w:val="24"/>
          <w:szCs w:val="24"/>
          <w:shd w:val="clear" w:color="auto" w:fill="FFFFFF"/>
          <w:lang w:val="en-US" w:eastAsia="zh-CN"/>
        </w:rPr>
        <w:t>00元。</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336" w:lineRule="auto"/>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934027204@qq.com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项目报名资料；审核通过后按要求交纳报名费。</w:t>
      </w:r>
    </w:p>
    <w:p>
      <w:pPr>
        <w:keepNext w:val="0"/>
        <w:keepLines w:val="0"/>
        <w:pageBreakBefore w:val="0"/>
        <w:widowControl/>
        <w:kinsoku/>
        <w:wordWrap w:val="0"/>
        <w:overflowPunct/>
        <w:topLinePunct w:val="0"/>
        <w:bidi w:val="0"/>
        <w:snapToGrid w:val="0"/>
        <w:spacing w:before="0" w:beforeAutospacing="0" w:after="0" w:afterAutospacing="0" w:line="336" w:lineRule="auto"/>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27480"/>
      <w:bookmarkStart w:id="24" w:name="_Toc10738"/>
      <w:bookmarkStart w:id="25" w:name="_Toc25869"/>
      <w:bookmarkStart w:id="26" w:name="_Toc15135"/>
      <w:bookmarkStart w:id="27" w:name="_Toc15111"/>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30918"/>
      <w:bookmarkStart w:id="29" w:name="_Toc6523"/>
      <w:bookmarkStart w:id="30" w:name="_Toc20287"/>
      <w:bookmarkStart w:id="31" w:name="_Toc29784"/>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0" w:after="0" w:line="336" w:lineRule="auto"/>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24274"/>
      <w:bookmarkStart w:id="33" w:name="_Toc16291"/>
      <w:bookmarkStart w:id="34" w:name="_Toc3604"/>
      <w:bookmarkStart w:id="35" w:name="_Toc27370"/>
      <w:bookmarkStart w:id="36" w:name="_Toc31928"/>
      <w:r>
        <w:rPr>
          <w:rFonts w:hint="eastAsia" w:ascii="宋体" w:hAnsi="宋体" w:cs="宋体"/>
          <w:b/>
          <w:bCs/>
          <w:color w:val="000000" w:themeColor="text1"/>
          <w:kern w:val="2"/>
          <w:sz w:val="24"/>
          <w:szCs w:val="24"/>
          <w:shd w:val="clear" w:color="auto" w:fill="FFFFFF"/>
          <w:lang w:val="en-US" w:eastAsia="zh-CN" w:bidi="ar-SA"/>
          <w14:textFill>
            <w14:solidFill>
              <w14:schemeClr w14:val="tx1"/>
            </w14:solidFill>
          </w14:textFill>
        </w:rPr>
        <w:t>七</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采购人：驻马店市中心医院 </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地址：驻马店市中华大道747号 </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联系人：陈先生 </w:t>
      </w:r>
      <w:bookmarkStart w:id="98" w:name="_GoBack"/>
      <w:bookmarkEnd w:id="98"/>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电话：0396-2726379 </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2.采购代理机构</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：河南省伟信招标管理咨询有限公司 </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地址：郑州市郑东新区东风南路与创业路交叉口绿地中心北塔16楼</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联系方式：18838148020</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监督部门：驻马店市中心医院纪检监察室 </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监督电话：0396-2726678 </w:t>
      </w:r>
    </w:p>
    <w:p>
      <w:pPr>
        <w:keepNext w:val="0"/>
        <w:keepLines w:val="0"/>
        <w:pageBreakBefore w:val="0"/>
        <w:widowControl/>
        <w:kinsoku/>
        <w:overflowPunct/>
        <w:topLinePunct w:val="0"/>
        <w:bidi w:val="0"/>
        <w:snapToGrid w:val="0"/>
        <w:spacing w:before="0" w:beforeAutospacing="0" w:after="0" w:afterAutospacing="0" w:line="336"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line="336" w:lineRule="auto"/>
        <w:jc w:val="right"/>
        <w:textAlignment w:val="auto"/>
        <w:rPr>
          <w:rFonts w:hint="eastAsia"/>
          <w:color w:val="auto"/>
        </w:rPr>
      </w:pPr>
      <w:r>
        <w:rPr>
          <w:rFonts w:hint="eastAsia" w:ascii="宋体" w:hAnsi="宋体" w:eastAsia="宋体" w:cs="宋体"/>
          <w:color w:val="auto"/>
          <w:kern w:val="0"/>
          <w:sz w:val="24"/>
          <w:szCs w:val="24"/>
          <w:shd w:val="clear" w:color="auto" w:fill="FFFFFF"/>
          <w:lang w:val="en-US" w:eastAsia="zh-CN" w:bidi="ar-SA"/>
        </w:rPr>
        <w:t>2023年</w:t>
      </w:r>
      <w:r>
        <w:rPr>
          <w:rFonts w:hint="eastAsia" w:ascii="宋体" w:hAnsi="宋体" w:cs="宋体"/>
          <w:color w:val="auto"/>
          <w:kern w:val="0"/>
          <w:sz w:val="24"/>
          <w:szCs w:val="24"/>
          <w:highlight w:val="none"/>
          <w:shd w:val="clear" w:color="auto" w:fill="FFFFFF"/>
          <w:lang w:val="en-US" w:eastAsia="zh-CN" w:bidi="ar-SA"/>
        </w:rPr>
        <w:t>12</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22</w:t>
      </w:r>
      <w:r>
        <w:rPr>
          <w:rFonts w:hint="eastAsia" w:ascii="宋体" w:hAnsi="宋体" w:eastAsia="宋体" w:cs="宋体"/>
          <w:color w:val="auto"/>
          <w:kern w:val="0"/>
          <w:sz w:val="24"/>
          <w:szCs w:val="24"/>
          <w:highlight w:val="none"/>
          <w:shd w:val="clear" w:color="auto" w:fill="FFFFFF"/>
          <w:lang w:val="en-US" w:eastAsia="zh-CN" w:bidi="ar-SA"/>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5"/>
      <w:bookmarkStart w:id="37" w:name="_Toc23610"/>
      <w:bookmarkStart w:id="38" w:name="_Toc31536"/>
      <w:bookmarkStart w:id="39" w:name="_Toc9989"/>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一、项目名称、数量：</w:t>
      </w:r>
      <w:r>
        <w:rPr>
          <w:rFonts w:hint="eastAsia" w:ascii="宋体" w:hAnsi="宋体" w:eastAsia="宋体" w:cs="宋体"/>
          <w:b w:val="0"/>
          <w:bCs w:val="0"/>
          <w:color w:val="auto"/>
          <w:kern w:val="0"/>
          <w:sz w:val="21"/>
          <w:szCs w:val="21"/>
          <w:highlight w:val="none"/>
          <w:u w:val="single"/>
          <w:shd w:val="clear" w:color="auto" w:fill="FFFFFF"/>
          <w:lang w:val="en-US" w:eastAsia="zh-CN" w:bidi="ar-SA"/>
        </w:rPr>
        <w:t>驻马店市中心医院</w:t>
      </w:r>
      <w:r>
        <w:rPr>
          <w:rFonts w:hint="eastAsia" w:ascii="宋体" w:hAnsi="宋体" w:cs="宋体"/>
          <w:b w:val="0"/>
          <w:bCs w:val="0"/>
          <w:color w:val="auto"/>
          <w:kern w:val="0"/>
          <w:sz w:val="21"/>
          <w:szCs w:val="21"/>
          <w:highlight w:val="none"/>
          <w:u w:val="single"/>
          <w:shd w:val="clear" w:color="auto" w:fill="FFFFFF"/>
          <w:lang w:val="en-US" w:eastAsia="zh-CN" w:bidi="ar-SA"/>
        </w:rPr>
        <w:t>等离子体刀头采购项目。</w:t>
      </w:r>
      <w:r>
        <w:rPr>
          <w:rFonts w:hint="eastAsia" w:ascii="宋体" w:hAnsi="宋体" w:eastAsia="宋体" w:cs="宋体"/>
          <w:b/>
          <w:bCs/>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二</w:t>
      </w:r>
      <w:r>
        <w:rPr>
          <w:rFonts w:hint="eastAsia" w:ascii="宋体" w:hAnsi="宋体" w:eastAsia="宋体" w:cs="宋体"/>
          <w:b/>
          <w:bCs/>
          <w:color w:val="auto"/>
          <w:kern w:val="0"/>
          <w:sz w:val="21"/>
          <w:szCs w:val="21"/>
          <w:shd w:val="clear" w:color="auto" w:fill="FFFFFF"/>
          <w:lang w:val="en-US" w:eastAsia="zh-CN" w:bidi="ar-SA"/>
        </w:rPr>
        <w:t>、采购标的清单：</w:t>
      </w:r>
    </w:p>
    <w:tbl>
      <w:tblPr>
        <w:tblStyle w:val="33"/>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825"/>
        <w:gridCol w:w="2205"/>
        <w:gridCol w:w="900"/>
        <w:gridCol w:w="945"/>
        <w:gridCol w:w="1536"/>
        <w:gridCol w:w="9"/>
        <w:gridCol w:w="1110"/>
        <w:gridCol w:w="5"/>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82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20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90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4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545" w:type="dxa"/>
            <w:gridSpan w:val="2"/>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r>
              <w:rPr>
                <w:rFonts w:hint="eastAsia" w:cs="宋体"/>
                <w:b/>
                <w:bCs/>
                <w:sz w:val="21"/>
                <w:szCs w:val="21"/>
                <w:lang w:eastAsia="zh-CN"/>
              </w:rPr>
              <w:t>单价</w:t>
            </w:r>
            <w:r>
              <w:rPr>
                <w:rFonts w:hint="eastAsia" w:ascii="宋体" w:hAnsi="宋体" w:eastAsia="宋体" w:cs="宋体"/>
                <w:b/>
                <w:bCs/>
                <w:sz w:val="21"/>
                <w:szCs w:val="21"/>
                <w:lang w:eastAsia="zh-CN"/>
              </w:rPr>
              <w:t>（元）</w:t>
            </w:r>
          </w:p>
        </w:tc>
        <w:tc>
          <w:tcPr>
            <w:tcW w:w="111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245" w:type="dxa"/>
            <w:gridSpan w:val="2"/>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8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2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等离子体刀头</w:t>
            </w:r>
          </w:p>
        </w:tc>
        <w:tc>
          <w:tcPr>
            <w:tcW w:w="9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把</w:t>
            </w:r>
          </w:p>
        </w:tc>
        <w:tc>
          <w:tcPr>
            <w:tcW w:w="9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4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2900</w:t>
            </w:r>
          </w:p>
        </w:tc>
        <w:tc>
          <w:tcPr>
            <w:tcW w:w="11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4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22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9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9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15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1124"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12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950" w:type="dxa"/>
            <w:gridSpan w:val="8"/>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both"/>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招供应商，服务期一年，年用量据实结算</w:t>
            </w:r>
          </w:p>
        </w:tc>
      </w:tr>
    </w:tbl>
    <w:p>
      <w:pPr>
        <w:numPr>
          <w:ilvl w:val="0"/>
          <w:numId w:val="0"/>
        </w:numPr>
        <w:spacing w:line="460" w:lineRule="exact"/>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三</w:t>
      </w:r>
      <w:r>
        <w:rPr>
          <w:rFonts w:hint="eastAsia" w:ascii="宋体" w:hAnsi="宋体" w:eastAsia="宋体" w:cs="宋体"/>
          <w:b/>
          <w:bCs/>
          <w:kern w:val="2"/>
          <w:sz w:val="21"/>
          <w:szCs w:val="21"/>
          <w:highlight w:val="none"/>
          <w:lang w:val="en-US" w:eastAsia="zh-CN" w:bidi="ar-SA"/>
        </w:rPr>
        <w:t>、详细</w:t>
      </w:r>
      <w:r>
        <w:rPr>
          <w:rFonts w:hint="eastAsia" w:ascii="宋体" w:hAnsi="宋体" w:eastAsia="宋体" w:cs="宋体"/>
          <w:b/>
          <w:bCs/>
          <w:color w:val="auto"/>
          <w:kern w:val="0"/>
          <w:sz w:val="21"/>
          <w:szCs w:val="21"/>
          <w:highlight w:val="none"/>
          <w:shd w:val="clear" w:color="auto" w:fill="FFFFFF"/>
          <w:lang w:val="en-US" w:eastAsia="zh-CN" w:bidi="ar-SA"/>
        </w:rPr>
        <w:t>技术要求、参数及产品资料等：</w:t>
      </w:r>
    </w:p>
    <w:p>
      <w:pPr>
        <w:pStyle w:val="22"/>
        <w:keepNext w:val="0"/>
        <w:keepLines w:val="0"/>
        <w:pageBreakBefore w:val="0"/>
        <w:widowControl w:val="0"/>
        <w:numPr>
          <w:ilvl w:val="0"/>
          <w:numId w:val="0"/>
        </w:numPr>
        <w:kinsoku/>
        <w:wordWrap/>
        <w:overflowPunct/>
        <w:topLinePunct w:val="0"/>
        <w:autoSpaceDE/>
        <w:autoSpaceDN/>
        <w:bidi w:val="0"/>
        <w:adjustRightInd/>
        <w:snapToGrid/>
        <w:ind w:leftChars="0" w:firstLine="422" w:firstLineChars="200"/>
        <w:textAlignment w:val="auto"/>
        <w:rPr>
          <w:rFonts w:hint="default"/>
          <w:b/>
          <w:bCs/>
          <w:sz w:val="21"/>
          <w:szCs w:val="21"/>
          <w:lang w:val="en-US" w:eastAsia="zh-CN"/>
        </w:rPr>
      </w:pPr>
      <w:r>
        <w:rPr>
          <w:rFonts w:hint="eastAsia"/>
          <w:b/>
          <w:bCs/>
          <w:sz w:val="21"/>
          <w:szCs w:val="21"/>
          <w:lang w:val="en-US" w:eastAsia="zh-CN"/>
        </w:rPr>
        <w:t>（一）技术参数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、适用于美创等离子体系统PLA-600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、刀杆规格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2.1</w:t>
      </w:r>
      <w:r>
        <w:rPr>
          <w:rFonts w:hint="eastAsia" w:ascii="宋体" w:hAnsi="宋体" w:eastAsia="宋体" w:cs="宋体"/>
          <w:sz w:val="21"/>
          <w:szCs w:val="21"/>
          <w:lang w:val="en-US" w:eastAsia="zh-CN"/>
        </w:rPr>
        <w:t>绝缘层长度:200士20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2.2</w:t>
      </w:r>
      <w:r>
        <w:rPr>
          <w:rFonts w:hint="eastAsia" w:ascii="宋体" w:hAnsi="宋体" w:eastAsia="宋体" w:cs="宋体"/>
          <w:sz w:val="21"/>
          <w:szCs w:val="21"/>
          <w:lang w:val="en-US" w:eastAsia="zh-CN"/>
        </w:rPr>
        <w:t>卡口移动距离:35士5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2.3</w:t>
      </w:r>
      <w:r>
        <w:rPr>
          <w:rFonts w:hint="eastAsia" w:ascii="宋体" w:hAnsi="宋体" w:eastAsia="宋体" w:cs="宋体"/>
          <w:sz w:val="21"/>
          <w:szCs w:val="21"/>
          <w:lang w:val="en-US" w:eastAsia="zh-CN"/>
        </w:rPr>
        <w:t>末端径长：36土5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、刀头规格：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3.1</w:t>
      </w:r>
      <w:r>
        <w:rPr>
          <w:rFonts w:hint="eastAsia" w:ascii="宋体" w:hAnsi="宋体" w:eastAsia="宋体" w:cs="宋体"/>
          <w:sz w:val="21"/>
          <w:szCs w:val="21"/>
          <w:lang w:val="en-US" w:eastAsia="zh-CN"/>
        </w:rPr>
        <w:t>开口距离:4土1末端金属丝直径:中0.5土0.2</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default"/>
          <w:b/>
          <w:bCs/>
          <w:sz w:val="21"/>
          <w:szCs w:val="21"/>
          <w:lang w:val="en-US" w:eastAsia="zh-CN"/>
        </w:rPr>
      </w:pPr>
      <w:r>
        <w:rPr>
          <w:rFonts w:hint="eastAsia"/>
          <w:b/>
          <w:bCs/>
          <w:sz w:val="21"/>
          <w:szCs w:val="21"/>
          <w:lang w:val="en-US" w:eastAsia="zh-CN"/>
        </w:rPr>
        <w:t>（二）货物证明材料中技术证明文件要求：（包含但不限于以下内容）</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所投产品属于一类医疗器械的，须提供医疗器械生产备案凭证和医疗器械备案凭证；所投产品属于二类医疗器械的，须提供医疗器械生产许可证、经营备案凭证、医疗器械注册证；所投产品属于三类医疗器械的，须提供医疗器械生产许可证、经营许可证、医疗器械注册证。（投标产品不属于医疗器械的，投标人可不提供）；（复印件须加盖报价人公章）</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、供应商如为代理商的并所投产品如为进口产品的，需提供拟投产品制造商或中国境内办事处或中国总代理经销商针对本项目的授权书。</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、提供投标产品有效期内的医疗器械产品完整的注册证（含附件：产品技术要求）及产品注册检验报告或相关资料（完整版）</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lang w:val="en-US" w:eastAsia="zh-CN"/>
        </w:rPr>
      </w:pPr>
      <w:bookmarkStart w:id="40" w:name="_Toc30861"/>
      <w:bookmarkStart w:id="41" w:name="_Toc349642342"/>
      <w:bookmarkStart w:id="42" w:name="_Toc476419058"/>
      <w:bookmarkStart w:id="43" w:name="_Toc476420855"/>
      <w:bookmarkStart w:id="44" w:name="_Toc8282"/>
      <w:bookmarkStart w:id="45" w:name="_Toc3739"/>
      <w:bookmarkStart w:id="46" w:name="_Toc337554821"/>
      <w:r>
        <w:rPr>
          <w:rFonts w:hint="eastAsia" w:ascii="宋体" w:hAnsi="宋体" w:cs="宋体"/>
          <w:sz w:val="21"/>
          <w:szCs w:val="21"/>
          <w:lang w:val="en-US" w:eastAsia="zh-CN"/>
        </w:rPr>
        <w:t>4</w:t>
      </w:r>
      <w:r>
        <w:rPr>
          <w:rFonts w:hint="eastAsia" w:ascii="宋体" w:hAnsi="宋体" w:eastAsia="宋体" w:cs="宋体"/>
          <w:sz w:val="21"/>
          <w:szCs w:val="21"/>
          <w:lang w:val="en-US" w:eastAsia="zh-CN"/>
        </w:rPr>
        <w:t>、需提供响应技术参数条款的技术白皮书和彩页等相关文件，并对响应技术参数部分做出明显标注</w:t>
      </w:r>
      <w:bookmarkEnd w:id="40"/>
      <w:bookmarkEnd w:id="41"/>
      <w:bookmarkEnd w:id="42"/>
      <w:bookmarkEnd w:id="43"/>
      <w:bookmarkEnd w:id="44"/>
      <w:bookmarkEnd w:id="45"/>
      <w:bookmarkEnd w:id="46"/>
      <w:r>
        <w:rPr>
          <w:rFonts w:hint="eastAsia" w:ascii="宋体" w:hAnsi="宋体" w:eastAsia="宋体" w:cs="宋体"/>
          <w:sz w:val="21"/>
          <w:szCs w:val="21"/>
          <w:lang w:val="en-US" w:eastAsia="zh-CN"/>
        </w:rPr>
        <w:t>。</w:t>
      </w:r>
    </w:p>
    <w:p>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2" w:firstLineChars="200"/>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 xml:space="preserve"> （三）其他要求：</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 xml:space="preserve">1、质量要求：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 证产品（简称 3C 认证产品）的，该产品应具有由认证机构颁发给制造商的该产品强制性认证证书。 </w:t>
      </w:r>
    </w:p>
    <w:p>
      <w:pPr>
        <w:pageBreakBefore w:val="0"/>
        <w:numPr>
          <w:ilvl w:val="0"/>
          <w:numId w:val="0"/>
        </w:numPr>
        <w:kinsoku/>
        <w:wordWrap/>
        <w:overflowPunct/>
        <w:topLinePunct w:val="0"/>
        <w:bidi w:val="0"/>
        <w:snapToGrid w:val="0"/>
        <w:spacing w:beforeAutospacing="0" w:afterAutospacing="0" w:line="500" w:lineRule="exact"/>
        <w:ind w:firstLine="420" w:firstLineChars="200"/>
        <w:jc w:val="left"/>
        <w:textAlignment w:val="auto"/>
        <w:rPr>
          <w:rFonts w:hint="eastAsia"/>
          <w:b w:val="0"/>
          <w:bCs w:val="0"/>
          <w:color w:val="auto"/>
          <w:sz w:val="21"/>
          <w:szCs w:val="21"/>
          <w:highlight w:val="none"/>
          <w:lang w:val="en-US" w:eastAsia="zh-CN"/>
        </w:rPr>
      </w:pPr>
      <w:r>
        <w:rPr>
          <w:rFonts w:hint="eastAsia"/>
          <w:b w:val="0"/>
          <w:bCs w:val="0"/>
          <w:color w:val="auto"/>
          <w:sz w:val="21"/>
          <w:szCs w:val="21"/>
          <w:highlight w:val="none"/>
          <w:lang w:val="en-US" w:eastAsia="zh-CN"/>
        </w:rPr>
        <w:t>2、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bookmarkEnd w:id="6"/>
    <w:bookmarkEnd w:id="7"/>
    <w:p>
      <w:pPr>
        <w:rPr>
          <w:rFonts w:hint="eastAsia"/>
          <w:b/>
          <w:bCs/>
          <w:color w:val="auto"/>
          <w:sz w:val="30"/>
          <w:szCs w:val="30"/>
          <w:highlight w:val="none"/>
        </w:rPr>
      </w:pPr>
      <w:r>
        <w:rPr>
          <w:rFonts w:hint="eastAsia"/>
          <w:b/>
          <w:bCs/>
          <w:color w:val="auto"/>
          <w:sz w:val="30"/>
          <w:szCs w:val="30"/>
          <w:highlight w:val="none"/>
        </w:rPr>
        <w:br w:type="page"/>
      </w:r>
    </w:p>
    <w:p>
      <w:pPr>
        <w:pageBreakBefore w:val="0"/>
        <w:kinsoku/>
        <w:wordWrap/>
        <w:overflowPunct/>
        <w:topLinePunct w:val="0"/>
        <w:bidi w:val="0"/>
        <w:snapToGrid w:val="0"/>
        <w:spacing w:beforeAutospacing="0" w:afterAutospacing="0" w:line="500" w:lineRule="exact"/>
        <w:jc w:val="center"/>
        <w:textAlignment w:val="auto"/>
        <w:rPr>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eastAsia="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日历日</w:t>
            </w:r>
            <w:r>
              <w:rPr>
                <w:rFonts w:hint="eastAsia" w:ascii="宋体" w:hAnsi="宋体" w:eastAsia="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交货期</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合同签订后30日内交货，最终以合同约定内容为准。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售后</w:t>
            </w:r>
            <w:r>
              <w:rPr>
                <w:rFonts w:hint="eastAsia" w:ascii="宋体" w:hAnsi="宋体" w:cs="宋体"/>
                <w:color w:val="auto"/>
                <w:kern w:val="0"/>
                <w:szCs w:val="21"/>
                <w:highlight w:val="none"/>
                <w:lang w:eastAsia="zh-CN"/>
              </w:rPr>
              <w:t>服务</w:t>
            </w:r>
          </w:p>
        </w:tc>
        <w:tc>
          <w:tcPr>
            <w:tcW w:w="70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中标人须提供后期服务保障和技术支持。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包装</w:t>
            </w:r>
          </w:p>
        </w:tc>
        <w:tc>
          <w:tcPr>
            <w:tcW w:w="700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商品包装和快递包装应符合《商品包装政府采购需求标准（试行）》和《快递包装政府采购需求标准（试行）》规定。</w:t>
            </w:r>
          </w:p>
        </w:tc>
      </w:tr>
    </w:tbl>
    <w:p>
      <w:pPr>
        <w:pageBreakBefore w:val="0"/>
        <w:kinsoku/>
        <w:wordWrap/>
        <w:overflowPunct/>
        <w:topLinePunct w:val="0"/>
        <w:bidi w:val="0"/>
        <w:snapToGrid w:val="0"/>
        <w:spacing w:beforeAutospacing="0" w:afterAutospacing="0" w:line="500" w:lineRule="exact"/>
        <w:jc w:val="center"/>
        <w:textAlignment w:val="auto"/>
        <w:rPr>
          <w:rFonts w:hint="eastAsia"/>
          <w:b/>
          <w:bCs/>
          <w:color w:val="auto"/>
          <w:sz w:val="30"/>
          <w:szCs w:val="30"/>
          <w:highlight w:val="none"/>
        </w:rPr>
      </w:pPr>
    </w:p>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pageBreakBefore w:val="0"/>
              <w:widowControl/>
              <w:kinsoku/>
              <w:wordWrap/>
              <w:overflowPunct/>
              <w:topLinePunct w:val="0"/>
              <w:bidi w:val="0"/>
              <w:snapToGrid w:val="0"/>
              <w:spacing w:beforeAutospacing="0"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7"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7"/>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驻马店市中心医院等离子体刀头采购项目</w:t>
            </w:r>
            <w:r>
              <w:rPr>
                <w:rFonts w:hint="eastAsia" w:ascii="宋体" w:hAnsi="宋体" w:eastAsia="宋体" w:cs="宋体"/>
                <w:color w:val="auto"/>
                <w:sz w:val="24"/>
                <w:szCs w:val="24"/>
                <w:highlight w:val="none"/>
                <w:lang w:val="en-US" w:eastAsia="zh-CN"/>
              </w:rPr>
              <w:t>。</w:t>
            </w:r>
          </w:p>
          <w:p>
            <w:pPr>
              <w:widowControl/>
              <w:snapToGrid w:val="0"/>
              <w:spacing w:line="440" w:lineRule="exact"/>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widowControl/>
              <w:snapToGrid w:val="0"/>
              <w:spacing w:line="440" w:lineRule="exact"/>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采购预算</w:t>
            </w:r>
            <w:r>
              <w:rPr>
                <w:rFonts w:hint="eastAsia" w:ascii="宋体" w:hAnsi="宋体" w:cs="宋体"/>
                <w:b/>
                <w:bCs/>
                <w:color w:val="auto"/>
                <w:kern w:val="0"/>
                <w:sz w:val="24"/>
                <w:szCs w:val="24"/>
                <w:highlight w:val="none"/>
                <w:lang w:eastAsia="zh-CN"/>
              </w:rPr>
              <w:t>单价</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综合单价最高限价</w:t>
            </w:r>
            <w:r>
              <w:rPr>
                <w:rFonts w:hint="eastAsia" w:ascii="宋体" w:hAnsi="宋体" w:eastAsia="宋体" w:cs="宋体"/>
                <w:b/>
                <w:bCs/>
                <w:color w:val="auto"/>
                <w:kern w:val="0"/>
                <w:sz w:val="24"/>
                <w:szCs w:val="24"/>
                <w:highlight w:val="none"/>
              </w:rPr>
              <w:t>）：</w:t>
            </w:r>
            <w:r>
              <w:rPr>
                <w:rFonts w:hint="eastAsia" w:ascii="宋体" w:hAnsi="宋体" w:cs="宋体"/>
                <w:b/>
                <w:bCs/>
                <w:color w:val="auto"/>
                <w:sz w:val="24"/>
                <w:szCs w:val="24"/>
                <w:highlight w:val="none"/>
                <w:shd w:val="clear" w:color="auto" w:fill="FFFFFF"/>
                <w:lang w:val="en-US" w:eastAsia="zh-CN"/>
              </w:rPr>
              <w:t>2900.00元</w:t>
            </w:r>
            <w:r>
              <w:rPr>
                <w:rFonts w:hint="eastAsia" w:ascii="宋体" w:hAnsi="宋体" w:eastAsia="宋体" w:cs="宋体"/>
                <w:b/>
                <w:bCs/>
                <w:color w:val="auto"/>
                <w:kern w:val="0"/>
                <w:sz w:val="24"/>
                <w:szCs w:val="24"/>
                <w:highlight w:val="none"/>
                <w:lang w:eastAsia="zh-CN"/>
              </w:rPr>
              <w:t>。</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：由采购人授权评标委员会确定一名中标人并推荐两名中标候选人。评审结束后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 采购预算</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本次采购预算</w:t>
      </w:r>
      <w:r>
        <w:rPr>
          <w:rFonts w:hint="eastAsia" w:ascii="宋体" w:hAnsi="宋体" w:eastAsia="宋体" w:cs="宋体"/>
          <w:b/>
          <w:bCs/>
          <w:color w:val="auto"/>
          <w:kern w:val="0"/>
          <w:sz w:val="24"/>
          <w:szCs w:val="24"/>
          <w:highlight w:val="none"/>
          <w:lang w:eastAsia="zh-CN"/>
        </w:rPr>
        <w:t>单价</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综合单价最高限价</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2900.00</w:t>
      </w:r>
      <w:r>
        <w:rPr>
          <w:rFonts w:hint="eastAsia" w:ascii="宋体" w:hAnsi="宋体" w:eastAsia="宋体" w:cs="宋体"/>
          <w:b/>
          <w:bCs/>
          <w:color w:val="auto"/>
          <w:kern w:val="0"/>
          <w:sz w:val="24"/>
          <w:szCs w:val="24"/>
          <w:highlight w:val="none"/>
          <w:lang w:val="en-US" w:eastAsia="zh-CN"/>
        </w:rPr>
        <w:t>元</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供应商所报综合单价不得超过</w:t>
      </w:r>
      <w:r>
        <w:rPr>
          <w:rFonts w:hint="eastAsia" w:ascii="宋体" w:hAnsi="宋体" w:eastAsia="宋体" w:cs="宋体"/>
          <w:b/>
          <w:bCs/>
          <w:color w:val="auto"/>
          <w:kern w:val="0"/>
          <w:sz w:val="24"/>
          <w:szCs w:val="24"/>
          <w:highlight w:val="none"/>
          <w:lang w:eastAsia="zh-CN"/>
        </w:rPr>
        <w:t>本项目综合单价最高限价</w:t>
      </w:r>
      <w:r>
        <w:rPr>
          <w:rFonts w:hint="eastAsia" w:ascii="宋体" w:hAnsi="宋体" w:eastAsia="宋体" w:cs="宋体"/>
          <w:b/>
          <w:bCs/>
          <w:color w:val="auto"/>
          <w:kern w:val="0"/>
          <w:sz w:val="24"/>
          <w:szCs w:val="24"/>
          <w:highlight w:val="none"/>
          <w:lang w:val="en-US" w:eastAsia="zh-CN"/>
        </w:rPr>
        <w:t>，否则将被作为无效响应。</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供应商应提供</w:t>
      </w:r>
      <w:r>
        <w:rPr>
          <w:rFonts w:hint="eastAsia" w:ascii="宋体" w:hAnsi="宋体" w:cs="宋体"/>
          <w:color w:val="auto"/>
          <w:sz w:val="24"/>
          <w:szCs w:val="24"/>
          <w:highlight w:val="none"/>
          <w:lang w:val="en-US" w:eastAsia="zh-CN"/>
        </w:rPr>
        <w:t>2022年度</w:t>
      </w:r>
      <w:r>
        <w:rPr>
          <w:rFonts w:hint="eastAsia" w:ascii="宋体" w:hAnsi="宋体" w:eastAsia="宋体" w:cs="宋体"/>
          <w:color w:val="auto"/>
          <w:sz w:val="24"/>
          <w:szCs w:val="24"/>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符合法律、行政法规规定的其他条件。</w:t>
      </w:r>
    </w:p>
    <w:p>
      <w:pPr>
        <w:keepNext w:val="0"/>
        <w:keepLines w:val="0"/>
        <w:pageBreakBefore w:val="0"/>
        <w:widowControl/>
        <w:kinsoku/>
        <w:wordWrap/>
        <w:overflowPunct/>
        <w:topLinePunct w:val="0"/>
        <w:bidi w:val="0"/>
        <w:snapToGrid w:val="0"/>
        <w:spacing w:line="48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 w:val="24"/>
          <w:szCs w:val="24"/>
          <w:highlight w:val="none"/>
          <w:lang w:val="en-US" w:eastAsia="zh-CN"/>
        </w:rPr>
        <w:t>。</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12.</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文件的构成。本</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12.1 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12.5 </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13.</w:t>
      </w:r>
      <w:r>
        <w:rPr>
          <w:rFonts w:hint="eastAsia" w:ascii="宋体" w:hAnsi="宋体" w:cs="宋体"/>
          <w:b/>
          <w:bCs/>
          <w:color w:val="auto"/>
          <w:kern w:val="0"/>
          <w:sz w:val="24"/>
          <w:szCs w:val="24"/>
          <w:highlight w:val="none"/>
          <w:lang w:val="en-US" w:eastAsia="zh-CN"/>
        </w:rPr>
        <w:t>采购</w:t>
      </w:r>
      <w:r>
        <w:rPr>
          <w:rFonts w:hint="eastAsia" w:ascii="宋体" w:hAnsi="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对已发出的</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文件进行必要澄清、修改或补充的，应当在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文件要求提交投标文件截止时间</w:t>
      </w:r>
      <w:r>
        <w:rPr>
          <w:rFonts w:hint="eastAsia" w:ascii="宋体" w:hAnsi="宋体" w:cs="宋体"/>
          <w:color w:val="auto"/>
          <w:kern w:val="0"/>
          <w:sz w:val="24"/>
          <w:szCs w:val="24"/>
          <w:highlight w:val="none"/>
          <w:lang w:val="en-US" w:eastAsia="zh-CN"/>
        </w:rPr>
        <w:t>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前，在</w:t>
      </w:r>
      <w:r>
        <w:rPr>
          <w:rFonts w:hint="eastAsia" w:ascii="宋体" w:hAnsi="宋体" w:cs="宋体"/>
          <w:color w:val="auto"/>
          <w:kern w:val="0"/>
          <w:sz w:val="24"/>
          <w:szCs w:val="24"/>
          <w:highlight w:val="none"/>
          <w:lang w:val="en-US" w:eastAsia="zh-CN"/>
        </w:rPr>
        <w:t>原采购公告发布</w:t>
      </w:r>
      <w:r>
        <w:rPr>
          <w:rFonts w:hint="eastAsia" w:ascii="宋体" w:hAnsi="宋体" w:cs="宋体"/>
          <w:color w:val="auto"/>
          <w:kern w:val="0"/>
          <w:sz w:val="24"/>
          <w:szCs w:val="24"/>
          <w:highlight w:val="none"/>
        </w:rPr>
        <w:t>相关媒体上发布更正公告或变更公告。</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文件公示期间对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文件澄清、修改或补充的内容为</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13.3 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文件的澄清、修改或补充都应以法定形式发布。采购人未对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13.4 </w:t>
      </w: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可以视招标具体情况延长投标截止时间和开标时间，但至少应当在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文件要求提交投标文件的截止时间3</w:t>
      </w:r>
      <w:r>
        <w:rPr>
          <w:rFonts w:hint="eastAsia" w:ascii="宋体" w:hAnsi="宋体" w:cs="宋体"/>
          <w:bCs/>
          <w:color w:val="auto"/>
          <w:kern w:val="0"/>
          <w:sz w:val="24"/>
          <w:szCs w:val="24"/>
          <w:highlight w:val="none"/>
        </w:rPr>
        <w:t>日</w:t>
      </w:r>
      <w:r>
        <w:rPr>
          <w:rFonts w:hint="eastAsia" w:ascii="宋体" w:hAnsi="宋体" w:cs="宋体"/>
          <w:color w:val="auto"/>
          <w:kern w:val="0"/>
          <w:sz w:val="24"/>
          <w:szCs w:val="24"/>
          <w:highlight w:val="none"/>
        </w:rPr>
        <w:t>前，将变更时间</w:t>
      </w:r>
      <w:r>
        <w:rPr>
          <w:rFonts w:hint="eastAsia" w:ascii="宋体" w:hAnsi="宋体" w:cs="宋体"/>
          <w:color w:val="auto"/>
          <w:kern w:val="0"/>
          <w:sz w:val="24"/>
          <w:szCs w:val="24"/>
          <w:highlight w:val="none"/>
          <w:lang w:val="en-US" w:eastAsia="zh-CN"/>
        </w:rPr>
        <w:t>通知所有潜在投标人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14.1 投标人应仔细阅读</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文件的所有内容，按照</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文件提供的格式编写投标文件，不得缺少或留空任何</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文件要求填写的表格或提交的资料。</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文件提供格式的按格式填列，未提供格式的可自行拟定。投标文件应对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关于投标计量单位，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文件已有明确规定的，使用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文件规定的计量单位；</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文件没有规定的，应采用中华人民共和国法定计量单位。否则视为对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16.投标文件的组成</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color w:val="auto"/>
          <w:sz w:val="24"/>
          <w:highlight w:val="none"/>
        </w:rPr>
        <w:t>技术响应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color w:val="auto"/>
          <w:sz w:val="24"/>
          <w:highlight w:val="none"/>
        </w:rPr>
        <w:t>商务响应</w:t>
      </w:r>
      <w:r>
        <w:rPr>
          <w:rFonts w:hint="eastAsia"/>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Times New Roman" w:hAnsi="Times New Roman" w:eastAsia="宋体" w:cs="Times New Roman"/>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Times New Roman" w:hAnsi="Times New Roman" w:eastAsia="宋体" w:cs="Times New Roman"/>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17.1 投标文件从</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公告所规定的投标截止期之后开始生效，在</w:t>
      </w:r>
      <w:r>
        <w:rPr>
          <w:rFonts w:hint="eastAsia" w:ascii="宋体" w:hAnsi="宋体" w:cs="宋体"/>
          <w:bCs/>
          <w:color w:val="auto"/>
          <w:kern w:val="0"/>
          <w:sz w:val="24"/>
          <w:szCs w:val="24"/>
          <w:highlight w:val="none"/>
        </w:rPr>
        <w:t>投标人须知前附表</w:t>
      </w:r>
      <w:r>
        <w:rPr>
          <w:rFonts w:hint="eastAsia" w:ascii="宋体" w:hAnsi="宋体" w:cs="宋体"/>
          <w:color w:val="auto"/>
          <w:kern w:val="0"/>
          <w:sz w:val="24"/>
          <w:szCs w:val="24"/>
          <w:highlight w:val="none"/>
        </w:rPr>
        <w:t>第1</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17.2特殊情况下</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可于投标有效期满之前书面要求投标人同意延长有效期，投标人应在</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18.3 </w:t>
      </w:r>
      <w:r>
        <w:rPr>
          <w:rFonts w:hint="eastAsia" w:ascii="宋体" w:hAnsi="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18.5 </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77" w:firstLineChars="198"/>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line="360" w:lineRule="auto"/>
        <w:ind w:firstLine="477" w:firstLineChars="198"/>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rPr>
        <w:t>20.投标文件的签署</w:t>
      </w:r>
      <w:r>
        <w:rPr>
          <w:rFonts w:hint="eastAsia" w:ascii="宋体" w:hAnsi="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77" w:firstLineChars="198"/>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sz w:val="24"/>
          <w:szCs w:val="24"/>
          <w:highlight w:val="none"/>
          <w:lang w:eastAsia="zh-CN"/>
        </w:rPr>
      </w:pPr>
      <w:r>
        <w:rPr>
          <w:rFonts w:hint="eastAsia"/>
          <w:sz w:val="24"/>
          <w:szCs w:val="24"/>
          <w:highlight w:val="none"/>
          <w:lang w:eastAsia="zh-CN"/>
        </w:rPr>
        <w:t>2</w:t>
      </w:r>
      <w:r>
        <w:rPr>
          <w:rFonts w:hint="eastAsia"/>
          <w:sz w:val="24"/>
          <w:szCs w:val="24"/>
          <w:highlight w:val="none"/>
          <w:lang w:val="en-US" w:eastAsia="zh-CN"/>
        </w:rPr>
        <w:t>1</w:t>
      </w:r>
      <w:r>
        <w:rPr>
          <w:rFonts w:hint="eastAsia"/>
          <w:sz w:val="24"/>
          <w:szCs w:val="24"/>
          <w:highlight w:val="none"/>
          <w:lang w:eastAsia="zh-CN"/>
        </w:rPr>
        <w:t>.3 未按本章第2</w:t>
      </w:r>
      <w:r>
        <w:rPr>
          <w:rFonts w:hint="eastAsia"/>
          <w:sz w:val="24"/>
          <w:szCs w:val="24"/>
          <w:highlight w:val="none"/>
          <w:lang w:val="en-US" w:eastAsia="zh-CN"/>
        </w:rPr>
        <w:t>1</w:t>
      </w:r>
      <w:r>
        <w:rPr>
          <w:rFonts w:hint="eastAsia"/>
          <w:sz w:val="24"/>
          <w:szCs w:val="24"/>
          <w:highlight w:val="none"/>
          <w:lang w:eastAsia="zh-CN"/>
        </w:rPr>
        <w:t>.1项或第2</w:t>
      </w:r>
      <w:r>
        <w:rPr>
          <w:rFonts w:hint="eastAsia"/>
          <w:sz w:val="24"/>
          <w:szCs w:val="24"/>
          <w:highlight w:val="none"/>
          <w:lang w:val="en-US" w:eastAsia="zh-CN"/>
        </w:rPr>
        <w:t>1</w:t>
      </w:r>
      <w:r>
        <w:rPr>
          <w:rFonts w:hint="eastAsia"/>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 投标人应在规定的投标截止时间前</w:t>
      </w:r>
      <w:r>
        <w:rPr>
          <w:rFonts w:hint="eastAsia" w:ascii="宋体" w:hAnsi="宋体" w:cs="宋体"/>
          <w:color w:val="auto"/>
          <w:kern w:val="0"/>
          <w:sz w:val="24"/>
          <w:szCs w:val="24"/>
          <w:highlight w:val="none"/>
          <w:lang w:eastAsia="zh-CN"/>
        </w:rPr>
        <w:t>递交</w:t>
      </w:r>
      <w:r>
        <w:rPr>
          <w:rFonts w:hint="eastAsia" w:ascii="宋体" w:hAnsi="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77" w:firstLineChars="198"/>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 投标人在投标截止时间前，可以对所提交的投标文件进行补充、修改或者撤回，并书面通知</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评标委员会由采购人代表和评审专家组成。成员由</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人以上单数组成。</w:t>
      </w:r>
      <w:r>
        <w:rPr>
          <w:rFonts w:hint="eastAsia" w:ascii="宋体" w:hAnsi="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.2评标委员会成员要依法独立评审，并对评审意见承担个人责任。</w:t>
      </w:r>
      <w:r>
        <w:rPr>
          <w:rFonts w:hint="eastAsia" w:ascii="宋体" w:hAnsi="宋体" w:cs="宋体"/>
          <w:color w:val="auto"/>
          <w:sz w:val="24"/>
          <w:szCs w:val="24"/>
          <w:highlight w:val="none"/>
        </w:rPr>
        <w:t>评标委员会成员对需要共同认定的事项存在争议的，按照少数服从多数的原则</w:t>
      </w:r>
      <w:r>
        <w:rPr>
          <w:rFonts w:hint="eastAsia" w:ascii="宋体" w:hAnsi="宋体" w:cs="宋体"/>
          <w:color w:val="auto"/>
          <w:kern w:val="0"/>
          <w:sz w:val="24"/>
          <w:szCs w:val="24"/>
          <w:highlight w:val="none"/>
        </w:rPr>
        <w:t>做</w:t>
      </w:r>
      <w:r>
        <w:rPr>
          <w:rFonts w:hint="eastAsia" w:ascii="宋体" w:hAnsi="宋体" w:cs="宋体"/>
          <w:color w:val="auto"/>
          <w:sz w:val="24"/>
          <w:szCs w:val="24"/>
          <w:highlight w:val="none"/>
        </w:rPr>
        <w:t>出结论。持不同意见的评标委员会成员应当在评标报告上签署不同意见</w:t>
      </w:r>
      <w:r>
        <w:rPr>
          <w:rFonts w:hint="eastAsia" w:ascii="宋体" w:hAnsi="宋体" w:cs="宋体"/>
          <w:color w:val="auto"/>
          <w:kern w:val="0"/>
          <w:sz w:val="24"/>
          <w:szCs w:val="24"/>
          <w:highlight w:val="none"/>
        </w:rPr>
        <w:t>并说明</w:t>
      </w:r>
      <w:r>
        <w:rPr>
          <w:rFonts w:hint="eastAsia" w:ascii="宋体" w:hAnsi="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.1对所有投标人的评估，都采用相同的程序和标准。评标过程将严格按照</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 xml:space="preserve"> </w:t>
      </w:r>
      <w:r>
        <w:rPr>
          <w:rFonts w:hint="eastAsia"/>
          <w:color w:val="auto"/>
          <w:kern w:val="0"/>
          <w:sz w:val="24"/>
          <w:szCs w:val="24"/>
          <w:highlight w:val="none"/>
        </w:rPr>
        <w:t>投标文件报价出现前后不一致的，除</w:t>
      </w:r>
      <w:r>
        <w:rPr>
          <w:rFonts w:hint="eastAsia"/>
          <w:color w:val="auto"/>
          <w:kern w:val="0"/>
          <w:sz w:val="24"/>
          <w:szCs w:val="24"/>
          <w:highlight w:val="none"/>
          <w:lang w:val="en-US" w:eastAsia="zh-CN"/>
        </w:rPr>
        <w:t>采购</w:t>
      </w:r>
      <w:r>
        <w:rPr>
          <w:rFonts w:hint="eastAsia"/>
          <w:color w:val="auto"/>
          <w:kern w:val="0"/>
          <w:sz w:val="24"/>
          <w:szCs w:val="24"/>
          <w:highlight w:val="none"/>
        </w:rPr>
        <w:t>文件另有规定外，</w:t>
      </w:r>
      <w:r>
        <w:rPr>
          <w:rFonts w:hint="eastAsia" w:cs="宋体"/>
          <w:color w:val="auto"/>
          <w:kern w:val="0"/>
          <w:sz w:val="24"/>
          <w:szCs w:val="24"/>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.3.1</w:t>
      </w:r>
      <w:r>
        <w:rPr>
          <w:rFonts w:hint="eastAsia" w:ascii="宋体" w:hAnsi="宋体" w:cs="宋体"/>
          <w:color w:val="auto"/>
          <w:sz w:val="24"/>
          <w:szCs w:val="24"/>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.3.2</w:t>
      </w:r>
      <w:r>
        <w:rPr>
          <w:rFonts w:hint="eastAsia" w:ascii="宋体" w:hAnsi="宋体" w:cs="宋体"/>
          <w:color w:val="auto"/>
          <w:sz w:val="24"/>
          <w:szCs w:val="24"/>
          <w:highlight w:val="none"/>
          <w:shd w:val="clear" w:color="auto" w:fill="FFFFFF"/>
        </w:rPr>
        <w:t>大写金额</w:t>
      </w:r>
      <w:r>
        <w:rPr>
          <w:rFonts w:hint="eastAsia" w:ascii="宋体" w:hAnsi="宋体" w:cs="宋体"/>
          <w:color w:val="auto"/>
          <w:sz w:val="24"/>
          <w:szCs w:val="24"/>
          <w:highlight w:val="none"/>
        </w:rPr>
        <w:t>与</w:t>
      </w:r>
      <w:r>
        <w:rPr>
          <w:rFonts w:hint="eastAsia" w:ascii="宋体" w:hAnsi="宋体" w:cs="宋体"/>
          <w:color w:val="auto"/>
          <w:sz w:val="24"/>
          <w:szCs w:val="24"/>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.3.3</w:t>
      </w:r>
      <w:r>
        <w:rPr>
          <w:rFonts w:hint="eastAsia" w:ascii="宋体" w:hAnsi="宋体" w:cs="宋体"/>
          <w:color w:val="auto"/>
          <w:sz w:val="24"/>
          <w:szCs w:val="24"/>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.3.4</w:t>
      </w:r>
      <w:r>
        <w:rPr>
          <w:rFonts w:hint="eastAsia" w:ascii="宋体" w:hAnsi="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.4.1</w:t>
      </w:r>
      <w:r>
        <w:rPr>
          <w:rFonts w:hint="eastAsia" w:ascii="宋体" w:hAnsi="宋体"/>
          <w:color w:val="auto"/>
          <w:sz w:val="24"/>
          <w:szCs w:val="24"/>
          <w:highlight w:val="none"/>
        </w:rPr>
        <w:t>资格性检查。依据法规政策和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文件的规定，在对投标文件详细评估之前，采购人将依据投标人提交的投标文件按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公告第二项和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文件所规定的资格标准或提供资格证明文件不全,其投标将被作为无效投标。</w:t>
      </w:r>
      <w:r>
        <w:rPr>
          <w:rFonts w:hint="eastAsia" w:ascii="宋体" w:hAnsi="宋体" w:cs="Lucida Sans Unicode"/>
          <w:color w:val="auto"/>
          <w:sz w:val="24"/>
          <w:szCs w:val="24"/>
          <w:highlight w:val="none"/>
        </w:rPr>
        <w:t>在审查过程中，采购人有权要求投标人按</w:t>
      </w:r>
      <w:r>
        <w:rPr>
          <w:rFonts w:hint="eastAsia" w:ascii="宋体" w:hAnsi="宋体" w:cs="Lucida Sans Unicode"/>
          <w:color w:val="auto"/>
          <w:sz w:val="24"/>
          <w:szCs w:val="24"/>
          <w:highlight w:val="none"/>
          <w:lang w:val="en-US" w:eastAsia="zh-CN"/>
        </w:rPr>
        <w:t>采购</w:t>
      </w:r>
      <w:r>
        <w:rPr>
          <w:rFonts w:hint="eastAsia" w:ascii="宋体" w:hAnsi="宋体" w:cs="Lucida Sans Unicode"/>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Lucida Sans Unicode"/>
          <w:color w:val="auto"/>
          <w:sz w:val="24"/>
          <w:szCs w:val="24"/>
          <w:highlight w:val="none"/>
        </w:rPr>
      </w:pPr>
      <w:r>
        <w:rPr>
          <w:rFonts w:hint="eastAsia" w:ascii="宋体" w:hAnsi="宋体" w:cs="Lucida Sans Unicode"/>
          <w:color w:val="auto"/>
          <w:sz w:val="24"/>
          <w:szCs w:val="24"/>
          <w:highlight w:val="none"/>
        </w:rPr>
        <w:t>2</w:t>
      </w:r>
      <w:r>
        <w:rPr>
          <w:rFonts w:hint="eastAsia" w:ascii="宋体" w:hAnsi="宋体" w:cs="Lucida Sans Unicode"/>
          <w:color w:val="auto"/>
          <w:sz w:val="24"/>
          <w:szCs w:val="24"/>
          <w:highlight w:val="none"/>
          <w:lang w:val="en-US" w:eastAsia="zh-CN"/>
        </w:rPr>
        <w:t>5</w:t>
      </w:r>
      <w:r>
        <w:rPr>
          <w:rFonts w:hint="eastAsia" w:ascii="宋体" w:hAnsi="宋体" w:cs="Lucida Sans Unicode"/>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.4.3 符合性检查。依据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文件的规定，评标委员会将从投标文件的有效性、完整性和对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文件的响应程度进行审查，以确定是否符合对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（3）资格证明文件不全的，或不符合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（4）投标有效期、交货时间等不满足</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（5）未按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（6）投标文件的实质性内容未使用中文表述，或意思表述不明确，或前后矛盾，或使用计量单位不符合</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olor w:val="auto"/>
          <w:sz w:val="24"/>
          <w:szCs w:val="24"/>
          <w:highlight w:val="none"/>
        </w:rPr>
      </w:pPr>
      <w:r>
        <w:rPr>
          <w:rFonts w:hint="eastAsia" w:ascii="宋体" w:hAnsi="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olor w:val="auto"/>
          <w:sz w:val="24"/>
          <w:szCs w:val="24"/>
          <w:highlight w:val="none"/>
        </w:rPr>
        <w:t>（8）投标文件内容未按</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（9）不符合</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80" w:firstLineChars="20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.4.4 对资格性检查和符合性检查不合格的投标人，将</w:t>
      </w:r>
      <w:r>
        <w:rPr>
          <w:rFonts w:hint="eastAsia" w:ascii="宋体" w:hAnsi="宋体" w:cs="宋体"/>
          <w:color w:val="auto"/>
          <w:kern w:val="0"/>
          <w:sz w:val="24"/>
          <w:szCs w:val="24"/>
          <w:highlight w:val="none"/>
          <w:lang w:val="en-US" w:eastAsia="zh-CN"/>
        </w:rPr>
        <w:t>通过评标系统</w:t>
      </w:r>
      <w:r>
        <w:rPr>
          <w:rFonts w:hint="eastAsia" w:ascii="宋体" w:hAnsi="宋体" w:cs="宋体"/>
          <w:color w:val="auto"/>
          <w:kern w:val="0"/>
          <w:sz w:val="24"/>
          <w:szCs w:val="24"/>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60" w:firstLineChars="1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5</w:t>
      </w:r>
      <w:r>
        <w:rPr>
          <w:rFonts w:hint="eastAsia" w:ascii="宋体" w:hAnsi="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456" w:firstLineChars="190"/>
        <w:jc w:val="left"/>
        <w:textAlignment w:val="baseline"/>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5</w:t>
      </w:r>
      <w:r>
        <w:rPr>
          <w:rFonts w:hint="eastAsia" w:ascii="宋体" w:hAnsi="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6</w:t>
      </w:r>
      <w:r>
        <w:rPr>
          <w:rFonts w:hint="eastAsia" w:ascii="宋体" w:hAnsi="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.1 评标委员会将按本</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.2对漏（缺）报项的处理：</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ascii="宋体" w:hAnsi="宋体" w:cs="宋体"/>
          <w:b/>
          <w:bCs/>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8</w:t>
      </w:r>
      <w:r>
        <w:rPr>
          <w:rFonts w:hint="eastAsia" w:ascii="宋体" w:hAnsi="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.1 凡与本次</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80" w:firstLineChars="200"/>
        <w:jc w:val="left"/>
        <w:rPr>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8</w:t>
      </w:r>
      <w:r>
        <w:rPr>
          <w:rFonts w:hint="eastAsia" w:ascii="宋体" w:hAnsi="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82" w:firstLineChars="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29</w:t>
      </w:r>
      <w:r>
        <w:rPr>
          <w:rFonts w:hint="eastAsia" w:ascii="宋体" w:hAnsi="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kern w:val="0"/>
          <w:sz w:val="24"/>
          <w:szCs w:val="24"/>
          <w:highlight w:val="none"/>
        </w:rPr>
        <w:t>采购人</w:t>
      </w:r>
      <w:r>
        <w:rPr>
          <w:rFonts w:hint="eastAsia" w:ascii="宋体" w:hAnsi="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 确定实质上响应</w:t>
      </w:r>
      <w:r>
        <w:rPr>
          <w:rFonts w:hint="eastAsia" w:ascii="宋体" w:hAnsi="宋体" w:cs="宋体"/>
          <w:bCs/>
          <w:color w:val="auto"/>
          <w:kern w:val="0"/>
          <w:sz w:val="24"/>
          <w:szCs w:val="24"/>
          <w:highlight w:val="none"/>
          <w:lang w:val="en-US" w:eastAsia="zh-CN"/>
        </w:rPr>
        <w:t>采购</w:t>
      </w:r>
      <w:r>
        <w:rPr>
          <w:rFonts w:hint="eastAsia" w:ascii="宋体" w:hAnsi="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bookmarkStart w:id="48" w:name="_Toc32200"/>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0</w:t>
      </w:r>
      <w:r>
        <w:rPr>
          <w:rFonts w:hint="eastAsia" w:ascii="宋体" w:hAnsi="宋体" w:cs="宋体"/>
          <w:bCs/>
          <w:color w:val="auto"/>
          <w:kern w:val="0"/>
          <w:sz w:val="24"/>
          <w:szCs w:val="24"/>
          <w:highlight w:val="none"/>
        </w:rPr>
        <w:t>.2.1</w:t>
      </w:r>
      <w:bookmarkEnd w:id="48"/>
      <w:r>
        <w:rPr>
          <w:rFonts w:hint="eastAsia" w:ascii="宋体" w:hAnsi="宋体" w:cs="宋体"/>
          <w:bCs/>
          <w:color w:val="auto"/>
          <w:kern w:val="0"/>
          <w:sz w:val="24"/>
          <w:szCs w:val="24"/>
          <w:highlight w:val="none"/>
        </w:rPr>
        <w:t>本次评标采用</w:t>
      </w:r>
      <w:r>
        <w:rPr>
          <w:rFonts w:hint="eastAsia" w:ascii="宋体" w:hAnsi="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采用综合评分法的，评标结果按评审后得分由高到低顺序排列。投标文件满足</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bCs/>
          <w:color w:val="auto"/>
          <w:kern w:val="0"/>
          <w:sz w:val="24"/>
          <w:szCs w:val="24"/>
          <w:highlight w:val="none"/>
        </w:rPr>
        <w:t>本项目由采购人授权评标委员会确定一名中标人并推荐两名中标候选人</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2</w:t>
      </w:r>
      <w:r>
        <w:rPr>
          <w:rFonts w:hint="eastAsia" w:ascii="宋体" w:hAnsi="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eastAsia="zh-CN"/>
        </w:rPr>
        <w:t>成交通知书</w:t>
      </w:r>
      <w:r>
        <w:rPr>
          <w:rFonts w:hint="eastAsia" w:ascii="宋体" w:hAnsi="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.1评审结束后，</w:t>
      </w:r>
      <w:r>
        <w:rPr>
          <w:rFonts w:hint="eastAsia" w:ascii="宋体" w:hAnsi="宋体" w:cs="宋体"/>
          <w:color w:val="auto"/>
          <w:kern w:val="0"/>
          <w:sz w:val="24"/>
          <w:szCs w:val="24"/>
          <w:highlight w:val="none"/>
          <w:lang w:eastAsia="zh-CN"/>
        </w:rPr>
        <w:t>采购</w:t>
      </w:r>
      <w:r>
        <w:rPr>
          <w:rFonts w:hint="eastAsia" w:ascii="宋体" w:hAnsi="宋体" w:cs="宋体"/>
          <w:color w:val="auto"/>
          <w:kern w:val="0"/>
          <w:sz w:val="24"/>
          <w:szCs w:val="24"/>
          <w:highlight w:val="none"/>
        </w:rPr>
        <w:t>人将中标候选人的情况在本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项目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公告发布的同一媒介予以公示，公示</w:t>
      </w:r>
      <w:r>
        <w:rPr>
          <w:rFonts w:hint="eastAsia" w:ascii="宋体" w:hAnsi="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个工作日</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公示期结束后</w:t>
      </w:r>
      <w:r>
        <w:rPr>
          <w:rFonts w:hint="eastAsia" w:ascii="宋体" w:hAnsi="宋体" w:cs="宋体"/>
          <w:color w:val="auto"/>
          <w:kern w:val="0"/>
          <w:sz w:val="24"/>
          <w:szCs w:val="24"/>
          <w:highlight w:val="none"/>
        </w:rPr>
        <w:t>向中标人发出</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.2中标人在规定的时间内不领取</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对采购人和中标人具有同等法律效力。</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2</w:t>
      </w:r>
      <w:r>
        <w:rPr>
          <w:rFonts w:hint="eastAsia" w:ascii="宋体" w:hAnsi="宋体" w:cs="宋体"/>
          <w:bCs/>
          <w:color w:val="auto"/>
          <w:kern w:val="0"/>
          <w:sz w:val="24"/>
          <w:szCs w:val="24"/>
          <w:highlight w:val="none"/>
        </w:rPr>
        <w:t>.4</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将作为签订合同的依据。合同签订后，</w:t>
      </w:r>
      <w:r>
        <w:rPr>
          <w:rFonts w:hint="eastAsia" w:ascii="宋体" w:hAnsi="宋体" w:cs="宋体"/>
          <w:bCs/>
          <w:color w:val="auto"/>
          <w:kern w:val="0"/>
          <w:sz w:val="24"/>
          <w:szCs w:val="24"/>
          <w:highlight w:val="none"/>
          <w:lang w:eastAsia="zh-CN"/>
        </w:rPr>
        <w:t>成交通知书</w:t>
      </w:r>
      <w:r>
        <w:rPr>
          <w:rFonts w:hint="eastAsia" w:ascii="宋体" w:hAnsi="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.1.2投标人的报价均超过了</w:t>
      </w:r>
      <w:r>
        <w:rPr>
          <w:rFonts w:hint="eastAsia" w:ascii="宋体" w:hAnsi="宋体" w:cs="宋体"/>
          <w:bCs/>
          <w:color w:val="auto"/>
          <w:kern w:val="0"/>
          <w:sz w:val="24"/>
          <w:szCs w:val="24"/>
          <w:highlight w:val="none"/>
          <w:lang w:val="en-US" w:eastAsia="zh-CN"/>
        </w:rPr>
        <w:t>采购预算金额</w:t>
      </w:r>
      <w:r>
        <w:rPr>
          <w:rFonts w:hint="eastAsia" w:ascii="宋体" w:hAnsi="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bCs/>
          <w:color w:val="auto"/>
          <w:kern w:val="0"/>
          <w:sz w:val="24"/>
          <w:szCs w:val="24"/>
          <w:highlight w:val="none"/>
        </w:rPr>
        <w:t>3</w:t>
      </w:r>
      <w:r>
        <w:rPr>
          <w:rFonts w:hint="eastAsia" w:ascii="宋体" w:hAnsi="宋体" w:cs="宋体"/>
          <w:bCs/>
          <w:color w:val="auto"/>
          <w:kern w:val="0"/>
          <w:sz w:val="24"/>
          <w:szCs w:val="24"/>
          <w:highlight w:val="none"/>
          <w:lang w:val="en-US" w:eastAsia="zh-CN"/>
        </w:rPr>
        <w:t>3</w:t>
      </w:r>
      <w:r>
        <w:rPr>
          <w:rFonts w:hint="eastAsia" w:ascii="宋体" w:hAnsi="宋体" w:cs="宋体"/>
          <w:color w:val="auto"/>
          <w:kern w:val="0"/>
          <w:sz w:val="24"/>
          <w:szCs w:val="24"/>
          <w:highlight w:val="none"/>
        </w:rPr>
        <w:t xml:space="preserve">.2 </w:t>
      </w:r>
      <w:r>
        <w:rPr>
          <w:rFonts w:hint="eastAsia" w:ascii="宋体" w:hAnsi="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line="360" w:lineRule="auto"/>
        <w:ind w:firstLine="540" w:firstLineChars="224"/>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u w:val="single"/>
        </w:rPr>
      </w:pPr>
      <w:bookmarkStart w:id="49" w:name="_Toc8594"/>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 采购人、中标人自</w:t>
      </w:r>
      <w:r>
        <w:rPr>
          <w:rFonts w:hint="eastAsia" w:ascii="宋体" w:hAnsi="宋体" w:cs="宋体"/>
          <w:color w:val="auto"/>
          <w:kern w:val="0"/>
          <w:sz w:val="24"/>
          <w:szCs w:val="24"/>
          <w:highlight w:val="none"/>
          <w:lang w:eastAsia="zh-CN"/>
        </w:rPr>
        <w:t>成交通知书</w:t>
      </w:r>
      <w:r>
        <w:rPr>
          <w:rFonts w:hint="eastAsia" w:ascii="宋体" w:hAnsi="宋体" w:cs="宋体"/>
          <w:color w:val="auto"/>
          <w:kern w:val="0"/>
          <w:sz w:val="24"/>
          <w:szCs w:val="24"/>
          <w:highlight w:val="none"/>
        </w:rPr>
        <w:t>发出之日起，在</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文件第三章《投标人须知前附表》规定的时间内，根据</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文件确定的事项和中标人投标文件签订合同。双方所签订的合同不得对</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 xml:space="preserve">.2 </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 w:val="24"/>
          <w:szCs w:val="24"/>
          <w:highlight w:val="none"/>
          <w:lang w:val="en-US" w:eastAsia="zh-CN"/>
        </w:rPr>
        <w:t>采购</w:t>
      </w:r>
      <w:r>
        <w:rPr>
          <w:rFonts w:hint="eastAsia" w:ascii="宋体" w:hAnsi="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.3 中标人</w:t>
      </w:r>
      <w:r>
        <w:rPr>
          <w:rFonts w:hint="eastAsia" w:cs="宋体"/>
          <w:color w:val="auto"/>
          <w:kern w:val="0"/>
          <w:sz w:val="24"/>
          <w:szCs w:val="24"/>
          <w:highlight w:val="none"/>
        </w:rPr>
        <w:t>放弃中标、因不可抗力不能履行合同、不按照</w:t>
      </w:r>
      <w:r>
        <w:rPr>
          <w:rFonts w:hint="eastAsia" w:cs="宋体"/>
          <w:color w:val="auto"/>
          <w:kern w:val="0"/>
          <w:sz w:val="24"/>
          <w:szCs w:val="24"/>
          <w:highlight w:val="none"/>
          <w:lang w:val="en-US" w:eastAsia="zh-CN"/>
        </w:rPr>
        <w:t>采购</w:t>
      </w:r>
      <w:r>
        <w:rPr>
          <w:rFonts w:hint="eastAsia" w:cs="宋体"/>
          <w:color w:val="auto"/>
          <w:kern w:val="0"/>
          <w:sz w:val="24"/>
          <w:szCs w:val="24"/>
          <w:highlight w:val="none"/>
        </w:rPr>
        <w:t>文件要求提交履约保证金，或者被查实存在影响中标结果的违法行为等情形，不符合中标条件的，</w:t>
      </w:r>
      <w:r>
        <w:rPr>
          <w:rFonts w:hint="eastAsia" w:ascii="宋体" w:hAnsi="宋体" w:cs="宋体"/>
          <w:color w:val="auto"/>
          <w:kern w:val="0"/>
          <w:sz w:val="24"/>
          <w:szCs w:val="24"/>
          <w:highlight w:val="none"/>
        </w:rPr>
        <w:t>采购人可以</w:t>
      </w:r>
      <w:r>
        <w:rPr>
          <w:rFonts w:hint="eastAsia" w:cs="宋体"/>
          <w:color w:val="auto"/>
          <w:kern w:val="0"/>
          <w:sz w:val="24"/>
          <w:szCs w:val="24"/>
          <w:highlight w:val="none"/>
        </w:rPr>
        <w:t>按照评标委员会提出的中标候选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名单排序依次确定其他中标候选</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为中标</w:t>
      </w:r>
      <w:r>
        <w:rPr>
          <w:rFonts w:hint="eastAsia" w:ascii="宋体" w:hAnsi="宋体" w:cs="宋体"/>
          <w:color w:val="auto"/>
          <w:kern w:val="0"/>
          <w:sz w:val="24"/>
          <w:szCs w:val="24"/>
          <w:highlight w:val="none"/>
        </w:rPr>
        <w:t>人</w:t>
      </w:r>
      <w:r>
        <w:rPr>
          <w:rFonts w:hint="eastAsia" w:cs="宋体"/>
          <w:color w:val="auto"/>
          <w:kern w:val="0"/>
          <w:sz w:val="24"/>
          <w:szCs w:val="24"/>
          <w:highlight w:val="none"/>
        </w:rPr>
        <w:t>，也可以重新招标。</w:t>
      </w:r>
    </w:p>
    <w:bookmarkEnd w:id="49"/>
    <w:p>
      <w:pPr>
        <w:rPr>
          <w:rFonts w:hint="eastAsia" w:ascii="黑体" w:hAnsi="宋体" w:eastAsia="黑体" w:cs="宋体"/>
          <w:b/>
          <w:bCs/>
          <w:color w:val="auto"/>
          <w:kern w:val="0"/>
          <w:sz w:val="32"/>
          <w:szCs w:val="32"/>
          <w:highlight w:val="none"/>
        </w:rPr>
      </w:pPr>
      <w:bookmarkStart w:id="50" w:name="_Toc9022"/>
      <w:bookmarkStart w:id="51" w:name="_Toc4700"/>
      <w:bookmarkStart w:id="52"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50"/>
      <w:bookmarkEnd w:id="51"/>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3"/>
        </w:numPr>
        <w:kinsoku/>
        <w:overflowPunct/>
        <w:topLinePunct w:val="0"/>
        <w:bidi w:val="0"/>
        <w:snapToGrid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w:t>
            </w:r>
            <w:r>
              <w:rPr>
                <w:rFonts w:hint="eastAsia" w:ascii="宋体" w:hAnsi="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c>
          <w:tcPr>
            <w:tcW w:w="8243" w:type="dxa"/>
            <w:gridSpan w:val="2"/>
            <w:vAlign w:val="center"/>
          </w:tcPr>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有效投标报价：投标报价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采购预算价的为有效投标报价。</w:t>
            </w:r>
          </w:p>
          <w:p>
            <w:pPr>
              <w:pStyle w:val="49"/>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投标报价得分=（评标基准价/有效投标报价）×</w:t>
            </w:r>
            <w:r>
              <w:rPr>
                <w:rFonts w:hint="eastAsia" w:ascii="宋体" w:hAnsi="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239" w:type="dxa"/>
            <w:vMerge w:val="restart"/>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eastAsia="zh-CN"/>
              </w:rPr>
              <w:t>分）</w:t>
            </w: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1.产品技术参数（</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投标人对“第二章  采购需求”技术参数、性能及产品功能等的响应，所投内容全部满足磋商文件要求得</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rPr>
              <w:t>分，一项不满足扣</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由评委根据项目特性结合各响应产品制造工艺、稳定性、性能及技术先进性等进行打分。</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 xml:space="preserve">响应产品制造工艺、稳定性好，性能好、技术先进的得8-10分；响应产品制造工艺、稳定性较好，性能较好、技术较先进的得4-7分；响应产品制造工艺、稳定性、性能一般，技术保守的得1-3分。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lang w:val="en-US" w:eastAsia="zh-CN"/>
              </w:rPr>
            </w:pPr>
          </w:p>
        </w:tc>
        <w:tc>
          <w:tcPr>
            <w:tcW w:w="2140" w:type="dxa"/>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eastAsia="zh-CN"/>
              </w:rPr>
              <w:t>.实施方案（10分）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供应商对项目实施方案的整体规划，包括</w:t>
            </w:r>
            <w:r>
              <w:rPr>
                <w:rFonts w:hint="eastAsia" w:ascii="宋体" w:hAnsi="宋体" w:cs="宋体"/>
                <w:b w:val="0"/>
                <w:bCs w:val="0"/>
                <w:color w:val="auto"/>
                <w:sz w:val="24"/>
                <w:szCs w:val="24"/>
                <w:highlight w:val="none"/>
                <w:lang w:eastAsia="zh-CN"/>
              </w:rPr>
              <w:t>供货</w:t>
            </w:r>
            <w:r>
              <w:rPr>
                <w:rFonts w:hint="eastAsia" w:ascii="宋体" w:hAnsi="宋体" w:eastAsia="宋体" w:cs="宋体"/>
                <w:b w:val="0"/>
                <w:bCs w:val="0"/>
                <w:color w:val="auto"/>
                <w:sz w:val="24"/>
                <w:szCs w:val="24"/>
                <w:highlight w:val="none"/>
              </w:rPr>
              <w:t>方案、</w:t>
            </w:r>
            <w:r>
              <w:rPr>
                <w:rFonts w:hint="eastAsia" w:ascii="宋体" w:hAnsi="宋体" w:cs="宋体"/>
                <w:b w:val="0"/>
                <w:bCs w:val="0"/>
                <w:color w:val="auto"/>
                <w:sz w:val="24"/>
                <w:szCs w:val="24"/>
                <w:highlight w:val="none"/>
                <w:lang w:val="en-US" w:eastAsia="zh-CN"/>
              </w:rPr>
              <w:t>货物密封方式、人员安排计划、</w:t>
            </w:r>
            <w:r>
              <w:rPr>
                <w:rFonts w:hint="eastAsia" w:ascii="宋体" w:hAnsi="宋体" w:cs="宋体"/>
                <w:b w:val="0"/>
                <w:bCs w:val="0"/>
                <w:color w:val="auto"/>
                <w:sz w:val="24"/>
                <w:szCs w:val="24"/>
                <w:highlight w:val="none"/>
                <w:lang w:eastAsia="zh-CN"/>
              </w:rPr>
              <w:t>验收</w:t>
            </w:r>
            <w:r>
              <w:rPr>
                <w:rFonts w:hint="eastAsia" w:ascii="宋体" w:hAnsi="宋体" w:eastAsia="宋体" w:cs="宋体"/>
                <w:b w:val="0"/>
                <w:bCs w:val="0"/>
                <w:color w:val="auto"/>
                <w:sz w:val="24"/>
                <w:szCs w:val="24"/>
                <w:highlight w:val="none"/>
              </w:rPr>
              <w:t>方案、交货期保证措施。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以上措施详细、合理、可行的7-10分；基本详细、基本合理、基本可行的4-6分；基本详细度、合理性差、可行性差的1-3分；缺项得0分。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vMerge w:val="restart"/>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商务</w:t>
            </w:r>
            <w:r>
              <w:rPr>
                <w:rFonts w:hint="eastAsia" w:ascii="宋体" w:hAnsi="宋体" w:eastAsia="宋体" w:cs="宋体"/>
                <w:b w:val="0"/>
                <w:bCs w:val="0"/>
                <w:color w:val="auto"/>
                <w:sz w:val="24"/>
                <w:szCs w:val="24"/>
                <w:highlight w:val="none"/>
              </w:rPr>
              <w:t>部分（</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w:t>
            </w:r>
          </w:p>
        </w:tc>
        <w:tc>
          <w:tcPr>
            <w:tcW w:w="2140"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lang w:eastAsia="zh-CN"/>
              </w:rPr>
              <w:t>优惠承诺</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6分</w:t>
            </w:r>
            <w:r>
              <w:rPr>
                <w:rFonts w:hint="eastAsia" w:ascii="宋体" w:hAnsi="宋体" w:eastAsia="宋体" w:cs="宋体"/>
                <w:b w:val="0"/>
                <w:bCs w:val="0"/>
                <w:color w:val="auto"/>
                <w:kern w:val="0"/>
                <w:sz w:val="24"/>
                <w:szCs w:val="24"/>
                <w:highlight w:val="none"/>
                <w:lang w:eastAsia="zh-CN"/>
              </w:rPr>
              <w:t>）</w:t>
            </w:r>
          </w:p>
        </w:tc>
        <w:tc>
          <w:tcPr>
            <w:tcW w:w="6103" w:type="dxa"/>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根据投标人在满足</w:t>
            </w:r>
            <w:r>
              <w:rPr>
                <w:rFonts w:hint="eastAsia" w:ascii="宋体" w:hAnsi="宋体" w:cs="宋体"/>
                <w:b w:val="0"/>
                <w:bCs w:val="0"/>
                <w:color w:val="auto"/>
                <w:kern w:val="0"/>
                <w:sz w:val="24"/>
                <w:szCs w:val="24"/>
                <w:highlight w:val="none"/>
                <w:lang w:val="en-US" w:eastAsia="zh-CN"/>
              </w:rPr>
              <w:t>采购</w:t>
            </w:r>
            <w:r>
              <w:rPr>
                <w:rFonts w:hint="eastAsia" w:ascii="宋体" w:hAnsi="宋体" w:eastAsia="宋体" w:cs="宋体"/>
                <w:b w:val="0"/>
                <w:bCs w:val="0"/>
                <w:color w:val="auto"/>
                <w:kern w:val="0"/>
                <w:sz w:val="24"/>
                <w:szCs w:val="24"/>
                <w:highlight w:val="none"/>
                <w:lang w:val="en-US" w:eastAsia="zh-CN"/>
              </w:rPr>
              <w:t>文件基本要求的基础上提供的实质性优惠承诺。</w:t>
            </w:r>
          </w:p>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优惠承诺多，全面合理、针对性强、实用性强，利于采购人使用，得</w:t>
            </w:r>
            <w:r>
              <w:rPr>
                <w:rFonts w:hint="eastAsia" w:ascii="宋体" w:hAnsi="宋体" w:cs="宋体"/>
                <w:b w:val="0"/>
                <w:bCs w:val="0"/>
                <w:color w:val="auto"/>
                <w:kern w:val="0"/>
                <w:sz w:val="24"/>
                <w:szCs w:val="24"/>
                <w:highlight w:val="none"/>
                <w:lang w:val="en-US" w:eastAsia="zh-CN"/>
              </w:rPr>
              <w:t>5-6</w:t>
            </w:r>
            <w:r>
              <w:rPr>
                <w:rFonts w:hint="eastAsia" w:ascii="宋体" w:hAnsi="宋体" w:eastAsia="宋体" w:cs="宋体"/>
                <w:b w:val="0"/>
                <w:bCs w:val="0"/>
                <w:color w:val="auto"/>
                <w:kern w:val="0"/>
                <w:sz w:val="24"/>
                <w:szCs w:val="24"/>
                <w:highlight w:val="none"/>
                <w:lang w:val="en-US" w:eastAsia="zh-CN"/>
              </w:rPr>
              <w:t>分；优惠承诺基本合理、针对性一般、实用性一般，得3</w:t>
            </w:r>
            <w:r>
              <w:rPr>
                <w:rFonts w:hint="eastAsia" w:ascii="宋体" w:hAnsi="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lang w:val="en-US" w:eastAsia="zh-CN"/>
              </w:rPr>
              <w:t>分；优惠承诺不合理、针对性差、实用性差，得</w:t>
            </w:r>
            <w:r>
              <w:rPr>
                <w:rFonts w:hint="eastAsia" w:ascii="宋体" w:hAnsi="宋体" w:cs="宋体"/>
                <w:b w:val="0"/>
                <w:bCs w:val="0"/>
                <w:color w:val="auto"/>
                <w:kern w:val="0"/>
                <w:sz w:val="24"/>
                <w:szCs w:val="24"/>
                <w:highlight w:val="none"/>
                <w:lang w:val="en-US" w:eastAsia="zh-CN"/>
              </w:rPr>
              <w:t>1-2</w:t>
            </w:r>
            <w:r>
              <w:rPr>
                <w:rFonts w:hint="eastAsia" w:ascii="宋体" w:hAnsi="宋体" w:eastAsia="宋体" w:cs="宋体"/>
                <w:b w:val="0"/>
                <w:bCs w:val="0"/>
                <w:color w:val="auto"/>
                <w:kern w:val="0"/>
                <w:sz w:val="24"/>
                <w:szCs w:val="24"/>
                <w:highlight w:val="none"/>
                <w:lang w:val="en-US" w:eastAsia="zh-CN"/>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2.类似业绩（4分）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2140" w:type="dxa"/>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3.售后服务体系（15分）</w:t>
            </w:r>
          </w:p>
        </w:tc>
        <w:tc>
          <w:tcPr>
            <w:tcW w:w="6103" w:type="dxa"/>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供应商提供合理、完整、可行的售后服务方案，明确售后响应流程、问题反馈、答疑时效、服务方式、服务地点、企业提供本地化服务的措施、售后人员数量、经验、紧急故障解决方式等。</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售后服务承诺内容具体、完善、合理性程度强得11-15分，具体、完善、合理性程度一般得6-10分，具体、完善、合理性程度差得1-5分，缺项得0分。</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52"/>
    <w:p>
      <w:pPr>
        <w:rPr>
          <w:color w:val="auto"/>
          <w:highlight w:val="none"/>
        </w:rPr>
      </w:pPr>
      <w:bookmarkStart w:id="53" w:name="_Toc1947"/>
      <w:bookmarkStart w:id="54" w:name="_Toc1482"/>
      <w:bookmarkStart w:id="55" w:name="_Toc326786897"/>
      <w:bookmarkStart w:id="56" w:name="_Toc256519703"/>
    </w:p>
    <w:p>
      <w:pPr>
        <w:jc w:val="center"/>
        <w:rPr>
          <w:rFonts w:hint="eastAsia" w:ascii="宋体" w:hAnsi="宋体" w:eastAsia="宋体" w:cs="宋体"/>
          <w:b/>
          <w:bCs/>
          <w:color w:val="auto"/>
          <w:kern w:val="44"/>
          <w:sz w:val="28"/>
          <w:szCs w:val="28"/>
          <w:highlight w:val="none"/>
          <w:lang w:val="en-US" w:eastAsia="zh-CN" w:bidi="ar-SA"/>
        </w:rPr>
      </w:pPr>
      <w:bookmarkStart w:id="57" w:name="_Toc28988"/>
      <w:r>
        <w:rPr>
          <w:rFonts w:hint="eastAsia" w:ascii="宋体" w:hAnsi="宋体" w:eastAsia="宋体" w:cs="宋体"/>
          <w:b/>
          <w:bCs/>
          <w:color w:val="auto"/>
          <w:kern w:val="44"/>
          <w:sz w:val="28"/>
          <w:szCs w:val="28"/>
          <w:highlight w:val="none"/>
          <w:lang w:val="en-US" w:eastAsia="zh-CN" w:bidi="ar-SA"/>
        </w:rPr>
        <w:t>第五章  采购合同</w:t>
      </w:r>
      <w:bookmarkEnd w:id="57"/>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以实际合同为准</w:t>
      </w:r>
      <w:r>
        <w:rPr>
          <w:rFonts w:hint="eastAsia" w:ascii="宋体" w:hAnsi="宋体"/>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p>
      <w:pPr>
        <w:pStyle w:val="4"/>
        <w:rPr>
          <w:highlight w:val="none"/>
        </w:rPr>
      </w:pPr>
    </w:p>
    <w:p>
      <w:pPr>
        <w:jc w:val="center"/>
        <w:rPr>
          <w:rFonts w:hint="eastAsia" w:ascii="宋体" w:hAnsi="宋体" w:eastAsia="宋体" w:cs="宋体"/>
          <w:b/>
          <w:bCs/>
          <w:color w:val="auto"/>
          <w:kern w:val="44"/>
          <w:sz w:val="32"/>
          <w:szCs w:val="32"/>
          <w:highlight w:val="none"/>
          <w:lang w:val="en-US" w:eastAsia="zh-CN" w:bidi="ar-SA"/>
        </w:rPr>
      </w:pPr>
      <w:bookmarkStart w:id="58" w:name="_Toc2638"/>
      <w:r>
        <w:rPr>
          <w:rFonts w:hint="eastAsia" w:ascii="宋体" w:hAnsi="宋体" w:eastAsia="宋体" w:cs="宋体"/>
          <w:b/>
          <w:bCs/>
          <w:color w:val="auto"/>
          <w:kern w:val="44"/>
          <w:sz w:val="32"/>
          <w:szCs w:val="32"/>
          <w:highlight w:val="none"/>
          <w:lang w:val="en-US" w:eastAsia="zh-CN" w:bidi="ar-SA"/>
        </w:rPr>
        <w:t>第六章  投标文件格式</w:t>
      </w:r>
      <w:bookmarkEnd w:id="53"/>
      <w:bookmarkEnd w:id="54"/>
      <w:bookmarkEnd w:id="58"/>
    </w:p>
    <w:p>
      <w:pPr>
        <w:spacing w:line="440" w:lineRule="exact"/>
        <w:rPr>
          <w:color w:val="auto"/>
          <w:sz w:val="24"/>
          <w:highlight w:val="none"/>
        </w:rPr>
      </w:pPr>
    </w:p>
    <w:p>
      <w:pPr>
        <w:jc w:val="center"/>
        <w:rPr>
          <w:b/>
          <w:bCs/>
          <w:color w:val="auto"/>
          <w:sz w:val="32"/>
          <w:szCs w:val="32"/>
          <w:highlight w:val="none"/>
        </w:rPr>
      </w:pPr>
      <w:bookmarkStart w:id="59" w:name="_Toc13604"/>
      <w:r>
        <w:rPr>
          <w:rFonts w:hint="eastAsia"/>
          <w:b/>
          <w:bCs/>
          <w:color w:val="auto"/>
          <w:sz w:val="32"/>
          <w:szCs w:val="32"/>
          <w:highlight w:val="none"/>
        </w:rPr>
        <w:t>目    录</w:t>
      </w:r>
      <w:bookmarkEnd w:id="59"/>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60" w:name="_Toc11308"/>
      <w:r>
        <w:rPr>
          <w:rFonts w:hint="eastAsia"/>
          <w:color w:val="auto"/>
          <w:sz w:val="24"/>
          <w:highlight w:val="none"/>
        </w:rPr>
        <w:t>附件1投标文件封面（格式）</w:t>
      </w:r>
      <w:bookmarkEnd w:id="60"/>
    </w:p>
    <w:p>
      <w:pPr>
        <w:snapToGrid w:val="0"/>
        <w:spacing w:line="360" w:lineRule="auto"/>
        <w:ind w:firstLine="480" w:firstLineChars="200"/>
        <w:rPr>
          <w:color w:val="auto"/>
          <w:sz w:val="24"/>
          <w:highlight w:val="none"/>
        </w:rPr>
      </w:pPr>
      <w:bookmarkStart w:id="61" w:name="_Toc25345"/>
      <w:r>
        <w:rPr>
          <w:rFonts w:hint="eastAsia"/>
          <w:color w:val="auto"/>
          <w:sz w:val="24"/>
          <w:highlight w:val="none"/>
        </w:rPr>
        <w:t>附件2 投标书（格式）</w:t>
      </w:r>
      <w:bookmarkEnd w:id="61"/>
    </w:p>
    <w:p>
      <w:pPr>
        <w:snapToGrid w:val="0"/>
        <w:spacing w:line="360" w:lineRule="auto"/>
        <w:ind w:firstLine="480" w:firstLineChars="200"/>
        <w:rPr>
          <w:color w:val="auto"/>
          <w:sz w:val="24"/>
          <w:highlight w:val="none"/>
        </w:rPr>
      </w:pPr>
      <w:bookmarkStart w:id="62" w:name="_Toc10217"/>
      <w:r>
        <w:rPr>
          <w:rFonts w:hint="eastAsia"/>
          <w:color w:val="auto"/>
          <w:sz w:val="24"/>
          <w:highlight w:val="none"/>
        </w:rPr>
        <w:t>附件3 开标一览表（格式）</w:t>
      </w:r>
      <w:bookmarkEnd w:id="62"/>
    </w:p>
    <w:p>
      <w:pPr>
        <w:snapToGrid w:val="0"/>
        <w:spacing w:line="360" w:lineRule="auto"/>
        <w:ind w:firstLine="480" w:firstLineChars="200"/>
        <w:rPr>
          <w:color w:val="auto"/>
          <w:sz w:val="24"/>
          <w:highlight w:val="none"/>
        </w:rPr>
      </w:pPr>
      <w:bookmarkStart w:id="63" w:name="_Toc9579"/>
      <w:r>
        <w:rPr>
          <w:rFonts w:hint="eastAsia"/>
          <w:color w:val="auto"/>
          <w:sz w:val="24"/>
          <w:highlight w:val="none"/>
        </w:rPr>
        <w:t>附件4 报价明细表（格式）</w:t>
      </w:r>
      <w:bookmarkEnd w:id="63"/>
    </w:p>
    <w:p>
      <w:pPr>
        <w:snapToGrid w:val="0"/>
        <w:spacing w:line="360" w:lineRule="auto"/>
        <w:ind w:firstLine="480" w:firstLineChars="200"/>
        <w:rPr>
          <w:rFonts w:hint="default" w:eastAsia="宋体"/>
          <w:color w:val="auto"/>
          <w:sz w:val="24"/>
          <w:highlight w:val="none"/>
          <w:lang w:val="en-US" w:eastAsia="zh-CN"/>
        </w:rPr>
      </w:pPr>
      <w:bookmarkStart w:id="64" w:name="_Toc28392"/>
      <w:r>
        <w:rPr>
          <w:rFonts w:hint="eastAsia"/>
          <w:color w:val="auto"/>
          <w:sz w:val="24"/>
          <w:highlight w:val="none"/>
        </w:rPr>
        <w:t>附件5</w:t>
      </w:r>
      <w:bookmarkEnd w:id="64"/>
      <w:r>
        <w:rPr>
          <w:rFonts w:hint="eastAsia"/>
          <w:color w:val="auto"/>
          <w:sz w:val="24"/>
          <w:highlight w:val="none"/>
        </w:rPr>
        <w:t>技术响应表</w:t>
      </w:r>
      <w:r>
        <w:rPr>
          <w:rFonts w:hint="eastAsia"/>
          <w:color w:val="auto"/>
          <w:sz w:val="24"/>
          <w:highlight w:val="none"/>
          <w:lang w:eastAsia="zh-CN"/>
        </w:rPr>
        <w:t>（</w:t>
      </w:r>
      <w:r>
        <w:rPr>
          <w:rFonts w:hint="eastAsia"/>
          <w:color w:val="auto"/>
          <w:sz w:val="24"/>
          <w:highlight w:val="none"/>
          <w:lang w:val="en-US" w:eastAsia="zh-CN"/>
        </w:rPr>
        <w:t>格式）</w:t>
      </w:r>
    </w:p>
    <w:p>
      <w:pPr>
        <w:snapToGrid w:val="0"/>
        <w:spacing w:line="360" w:lineRule="auto"/>
        <w:ind w:firstLine="480" w:firstLineChars="200"/>
        <w:rPr>
          <w:color w:val="auto"/>
          <w:sz w:val="24"/>
          <w:highlight w:val="none"/>
        </w:rPr>
      </w:pPr>
      <w:bookmarkStart w:id="65" w:name="_Toc6234"/>
      <w:r>
        <w:rPr>
          <w:rFonts w:hint="eastAsia"/>
          <w:color w:val="auto"/>
          <w:sz w:val="24"/>
          <w:highlight w:val="none"/>
        </w:rPr>
        <w:t xml:space="preserve">附件6 </w:t>
      </w:r>
      <w:bookmarkEnd w:id="65"/>
      <w:r>
        <w:rPr>
          <w:rFonts w:hint="eastAsia"/>
          <w:color w:val="auto"/>
          <w:sz w:val="24"/>
          <w:highlight w:val="none"/>
        </w:rPr>
        <w:t>商务响应</w:t>
      </w:r>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66"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66"/>
    </w:p>
    <w:p>
      <w:pPr>
        <w:snapToGrid w:val="0"/>
        <w:spacing w:line="360" w:lineRule="auto"/>
        <w:ind w:firstLine="480" w:firstLineChars="200"/>
        <w:rPr>
          <w:color w:val="auto"/>
          <w:sz w:val="24"/>
          <w:highlight w:val="none"/>
        </w:rPr>
      </w:pPr>
      <w:bookmarkStart w:id="67"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7"/>
    </w:p>
    <w:p>
      <w:pPr>
        <w:snapToGrid w:val="0"/>
        <w:spacing w:line="360" w:lineRule="auto"/>
        <w:ind w:firstLine="480" w:firstLineChars="200"/>
        <w:rPr>
          <w:color w:val="auto"/>
          <w:sz w:val="24"/>
          <w:highlight w:val="none"/>
        </w:rPr>
      </w:pPr>
      <w:bookmarkStart w:id="68" w:name="_Toc31857"/>
      <w:r>
        <w:rPr>
          <w:rFonts w:hint="eastAsia"/>
          <w:color w:val="auto"/>
          <w:sz w:val="24"/>
          <w:highlight w:val="none"/>
        </w:rPr>
        <w:t>附件9 证明文件</w:t>
      </w:r>
      <w:bookmarkEnd w:id="68"/>
    </w:p>
    <w:p>
      <w:pPr>
        <w:snapToGrid w:val="0"/>
        <w:spacing w:line="360" w:lineRule="auto"/>
        <w:ind w:firstLine="480" w:firstLineChars="200"/>
        <w:rPr>
          <w:rFonts w:hint="eastAsia"/>
          <w:color w:val="auto"/>
          <w:sz w:val="24"/>
          <w:highlight w:val="none"/>
        </w:rPr>
      </w:pPr>
      <w:bookmarkStart w:id="69" w:name="_Toc23116"/>
      <w:r>
        <w:rPr>
          <w:rFonts w:hint="eastAsia"/>
          <w:color w:val="auto"/>
          <w:sz w:val="24"/>
          <w:highlight w:val="none"/>
        </w:rPr>
        <w:t>附件10 供应商承诺书（格式）</w:t>
      </w:r>
      <w:bookmarkEnd w:id="69"/>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ascii="Times New Roman" w:hAnsi="Times New Roman" w:eastAsia="宋体" w:cs="Times New Roman"/>
          <w:color w:val="auto"/>
          <w:sz w:val="24"/>
          <w:highlight w:val="none"/>
          <w:lang w:val="en-US" w:eastAsia="zh-CN"/>
        </w:rPr>
        <w:t xml:space="preserve"> 供应商信用承诺函（格式）</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9"/>
        <w:rPr>
          <w:rFonts w:hAnsi="宋体"/>
          <w:b/>
          <w:bCs/>
          <w:color w:val="auto"/>
          <w:highlight w:val="none"/>
        </w:rPr>
      </w:pPr>
    </w:p>
    <w:p>
      <w:pPr>
        <w:pStyle w:val="49"/>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5"/>
        <w:rPr>
          <w:color w:val="auto"/>
          <w:highlight w:val="none"/>
        </w:rPr>
      </w:pPr>
      <w:bookmarkStart w:id="70" w:name="_Toc31798"/>
      <w:bookmarkStart w:id="71" w:name="_Toc24743"/>
      <w:r>
        <w:rPr>
          <w:rFonts w:hint="eastAsia"/>
          <w:color w:val="auto"/>
          <w:highlight w:val="none"/>
        </w:rPr>
        <w:t>附件1               投标文件封面（格式）</w:t>
      </w:r>
      <w:bookmarkEnd w:id="70"/>
      <w:bookmarkEnd w:id="71"/>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color w:val="auto"/>
          <w:highlight w:val="none"/>
        </w:rPr>
      </w:pPr>
      <w:r>
        <w:rPr>
          <w:rFonts w:hint="eastAsia" w:ascii="宋体" w:hAnsi="宋体" w:cs="宋体"/>
          <w:b/>
          <w:color w:val="auto"/>
          <w:kern w:val="0"/>
          <w:sz w:val="24"/>
          <w:highlight w:val="none"/>
        </w:rPr>
        <w:br w:type="page"/>
      </w:r>
    </w:p>
    <w:p>
      <w:pPr>
        <w:pStyle w:val="5"/>
        <w:rPr>
          <w:color w:val="auto"/>
          <w:highlight w:val="none"/>
        </w:rPr>
      </w:pPr>
      <w:bookmarkStart w:id="72" w:name="_Toc14560"/>
      <w:bookmarkStart w:id="73" w:name="_Toc8818"/>
      <w:r>
        <w:rPr>
          <w:rFonts w:hint="eastAsia"/>
          <w:color w:val="auto"/>
          <w:highlight w:val="none"/>
        </w:rPr>
        <w:t>附件2               投  标  书（格式）</w:t>
      </w:r>
      <w:bookmarkEnd w:id="72"/>
      <w:bookmarkEnd w:id="73"/>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w:t>
      </w:r>
      <w:r>
        <w:rPr>
          <w:rFonts w:hint="eastAsia" w:ascii="宋体" w:hAnsi="宋体" w:cs="宋体"/>
          <w:color w:val="auto"/>
          <w:kern w:val="0"/>
          <w:szCs w:val="21"/>
          <w:highlight w:val="none"/>
          <w:lang w:eastAsia="zh-CN"/>
        </w:rPr>
        <w:t>部分</w:t>
      </w:r>
      <w:r>
        <w:rPr>
          <w:rFonts w:hint="eastAsia" w:ascii="宋体" w:hAnsi="宋体" w:cs="宋体"/>
          <w:color w:val="auto"/>
          <w:kern w:val="0"/>
          <w:szCs w:val="21"/>
          <w:highlight w:val="none"/>
        </w:rPr>
        <w:t>。</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30</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74" w:name="_Toc7838"/>
      <w:r>
        <w:rPr>
          <w:rFonts w:hint="eastAsia" w:ascii="宋体" w:hAnsi="宋体" w:eastAsia="宋体" w:cs="宋体"/>
          <w:color w:val="auto"/>
          <w:highlight w:val="none"/>
        </w:rPr>
        <w:t>附件3               开标一览表</w:t>
      </w:r>
      <w:bookmarkEnd w:id="74"/>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r>
              <w:rPr>
                <w:rFonts w:hint="eastAsia" w:ascii="宋体" w:hAnsi="宋体"/>
                <w:color w:val="auto"/>
                <w:szCs w:val="21"/>
                <w:highlight w:val="none"/>
                <w:lang w:eastAsia="zh-CN"/>
              </w:rPr>
              <w:t>（综合单价）</w:t>
            </w:r>
          </w:p>
        </w:tc>
        <w:tc>
          <w:tcPr>
            <w:tcW w:w="7708" w:type="dxa"/>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交货期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服务期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75" w:name="_Toc20877"/>
      <w:bookmarkStart w:id="76" w:name="_Toc11620"/>
      <w:r>
        <w:rPr>
          <w:rFonts w:hint="eastAsia" w:ascii="宋体" w:hAnsi="宋体"/>
          <w:color w:val="auto"/>
          <w:szCs w:val="21"/>
          <w:highlight w:val="none"/>
        </w:rPr>
        <w:t>投标人（全称并加盖公章）：</w:t>
      </w:r>
      <w:bookmarkEnd w:id="75"/>
      <w:bookmarkEnd w:id="76"/>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7" w:name="_Toc12222"/>
      <w:bookmarkStart w:id="78" w:name="_Toc625"/>
      <w:r>
        <w:rPr>
          <w:rFonts w:hint="eastAsia" w:ascii="宋体" w:hAnsi="宋体"/>
          <w:color w:val="auto"/>
          <w:szCs w:val="21"/>
          <w:highlight w:val="none"/>
        </w:rPr>
        <w:t>法定代表人或其委托代理人（签字）：</w:t>
      </w:r>
      <w:bookmarkEnd w:id="77"/>
      <w:bookmarkEnd w:id="78"/>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9" w:name="_Toc1330"/>
      <w:bookmarkStart w:id="80" w:name="_Toc9950"/>
      <w:r>
        <w:rPr>
          <w:rFonts w:hint="eastAsia" w:ascii="宋体" w:hAnsi="宋体"/>
          <w:color w:val="auto"/>
          <w:szCs w:val="21"/>
          <w:highlight w:val="none"/>
        </w:rPr>
        <w:t>年  月  日</w:t>
      </w:r>
      <w:bookmarkEnd w:id="79"/>
      <w:bookmarkEnd w:id="80"/>
    </w:p>
    <w:p>
      <w:pPr>
        <w:rPr>
          <w:color w:val="auto"/>
          <w:highlight w:val="none"/>
        </w:rPr>
      </w:pPr>
      <w:r>
        <w:rPr>
          <w:color w:val="auto"/>
          <w:highlight w:val="none"/>
        </w:rPr>
        <w:br w:type="page"/>
      </w:r>
    </w:p>
    <w:bookmarkEnd w:id="55"/>
    <w:bookmarkEnd w:id="56"/>
    <w:p>
      <w:pPr>
        <w:pStyle w:val="5"/>
        <w:spacing w:before="20" w:after="20"/>
        <w:rPr>
          <w:rFonts w:hint="eastAsia" w:ascii="宋体" w:hAnsi="宋体" w:eastAsia="宋体" w:cs="宋体"/>
          <w:color w:val="auto"/>
          <w:highlight w:val="none"/>
        </w:rPr>
      </w:pPr>
      <w:bookmarkStart w:id="81" w:name="_Toc24984"/>
      <w:bookmarkStart w:id="82" w:name="_Toc22004"/>
      <w:r>
        <w:rPr>
          <w:rFonts w:hint="eastAsia" w:ascii="宋体" w:hAnsi="宋体" w:eastAsia="宋体" w:cs="宋体"/>
          <w:color w:val="auto"/>
          <w:highlight w:val="none"/>
        </w:rPr>
        <w:t>附件4               报价明细表</w:t>
      </w:r>
      <w:bookmarkEnd w:id="81"/>
      <w:bookmarkEnd w:id="82"/>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等离子体刀头</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lang w:val="en-US" w:eastAsia="zh-CN"/>
              </w:rPr>
              <w:t>把</w:t>
            </w: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w:t>
            </w:r>
            <w:r>
              <w:rPr>
                <w:rFonts w:hint="eastAsia" w:ascii="宋体" w:hAnsi="宋体" w:cs="宋体"/>
                <w:color w:val="auto"/>
                <w:spacing w:val="20"/>
                <w:kern w:val="0"/>
                <w:sz w:val="24"/>
                <w:highlight w:val="none"/>
                <w:lang w:eastAsia="zh-CN"/>
              </w:rPr>
              <w:t>报</w:t>
            </w:r>
            <w:r>
              <w:rPr>
                <w:rFonts w:hint="eastAsia" w:ascii="宋体" w:hAnsi="宋体" w:cs="宋体"/>
                <w:color w:val="auto"/>
                <w:spacing w:val="20"/>
                <w:kern w:val="0"/>
                <w:sz w:val="24"/>
                <w:highlight w:val="none"/>
              </w:rPr>
              <w:t>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83" w:name="_Toc226"/>
      <w:bookmarkStart w:id="84" w:name="_Toc15804"/>
      <w:r>
        <w:rPr>
          <w:rFonts w:hint="eastAsia" w:ascii="宋体" w:hAnsi="宋体" w:eastAsia="宋体" w:cs="宋体"/>
          <w:color w:val="auto"/>
          <w:highlight w:val="none"/>
        </w:rPr>
        <w:t>附件5               技术响应表（格式）</w:t>
      </w:r>
      <w:bookmarkEnd w:id="83"/>
      <w:bookmarkEnd w:id="84"/>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85" w:name="_Toc29960"/>
      <w:bookmarkStart w:id="86" w:name="_Toc20420"/>
      <w:r>
        <w:rPr>
          <w:rFonts w:hint="eastAsia" w:ascii="Arial" w:hAnsi="Arial" w:eastAsia="新宋体"/>
          <w:b/>
          <w:color w:val="auto"/>
          <w:sz w:val="28"/>
          <w:highlight w:val="none"/>
        </w:rPr>
        <w:t xml:space="preserve">附件6              </w:t>
      </w:r>
      <w:bookmarkEnd w:id="85"/>
      <w:bookmarkEnd w:id="86"/>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4"/>
        <w:rPr>
          <w:highlight w:val="none"/>
        </w:rPr>
      </w:pPr>
    </w:p>
    <w:p>
      <w:pPr>
        <w:widowControl/>
        <w:wordWrap w:val="0"/>
        <w:spacing w:line="460" w:lineRule="exact"/>
        <w:jc w:val="left"/>
        <w:outlineLvl w:val="0"/>
        <w:rPr>
          <w:rFonts w:ascii="Arial" w:hAnsi="Arial" w:eastAsia="新宋体"/>
          <w:b/>
          <w:color w:val="auto"/>
          <w:sz w:val="28"/>
          <w:highlight w:val="none"/>
        </w:rPr>
      </w:pPr>
      <w:bookmarkStart w:id="87" w:name="_Toc28621"/>
      <w:bookmarkStart w:id="88" w:name="_Toc31526"/>
      <w:r>
        <w:rPr>
          <w:rFonts w:hint="eastAsia" w:ascii="Arial" w:hAnsi="Arial" w:eastAsia="新宋体"/>
          <w:b/>
          <w:color w:val="auto"/>
          <w:sz w:val="28"/>
          <w:highlight w:val="none"/>
        </w:rPr>
        <w:t>附件7               法定代表人身份证明（格式）</w:t>
      </w:r>
      <w:bookmarkEnd w:id="87"/>
      <w:bookmarkEnd w:id="88"/>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9" w:name="_Toc13976"/>
      <w:bookmarkStart w:id="90" w:name="_Toc30519"/>
      <w:r>
        <w:rPr>
          <w:rFonts w:hint="eastAsia" w:ascii="Arial" w:hAnsi="Arial" w:eastAsia="新宋体"/>
          <w:b/>
          <w:color w:val="auto"/>
          <w:sz w:val="28"/>
          <w:highlight w:val="none"/>
        </w:rPr>
        <w:t>附件8               法定代表人授权书（格式）</w:t>
      </w:r>
      <w:bookmarkEnd w:id="89"/>
      <w:bookmarkEnd w:id="90"/>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91" w:name="_Toc18105"/>
      <w:bookmarkStart w:id="92" w:name="_Toc24693"/>
      <w:r>
        <w:rPr>
          <w:rFonts w:hint="eastAsia" w:ascii="Arial" w:hAnsi="Arial" w:eastAsia="新宋体"/>
          <w:b/>
          <w:color w:val="auto"/>
          <w:sz w:val="28"/>
          <w:highlight w:val="none"/>
        </w:rPr>
        <w:t>附件9               证明文件</w:t>
      </w:r>
      <w:bookmarkEnd w:id="91"/>
      <w:bookmarkEnd w:id="92"/>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93"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94" w:name="_Toc13726"/>
      <w:bookmarkStart w:id="95" w:name="_Toc12888"/>
      <w:r>
        <w:rPr>
          <w:rFonts w:hint="eastAsia" w:ascii="宋体" w:hAnsi="宋体" w:cs="Lucida Sans Unicode"/>
          <w:b/>
          <w:color w:val="auto"/>
          <w:kern w:val="0"/>
          <w:sz w:val="28"/>
          <w:szCs w:val="28"/>
          <w:highlight w:val="none"/>
        </w:rPr>
        <w:t xml:space="preserve">附件10        </w:t>
      </w:r>
      <w:bookmarkEnd w:id="93"/>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94"/>
      <w:bookmarkEnd w:id="95"/>
    </w:p>
    <w:p>
      <w:pPr>
        <w:bidi w:val="0"/>
        <w:rPr>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highlight w:val="none"/>
        </w:rPr>
      </w:pPr>
      <w:r>
        <w:rPr>
          <w:rFonts w:hint="eastAsia" w:ascii="宋体" w:hAnsi="宋体" w:eastAsia="宋体" w:cs="宋体"/>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highlight w:val="none"/>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仿宋" w:hAnsi="仿宋" w:eastAsia="仿宋" w:cs="仿宋"/>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1"/>
        <w:rPr>
          <w:highlight w:val="none"/>
        </w:rPr>
      </w:pPr>
    </w:p>
    <w:p>
      <w:pPr>
        <w:widowControl/>
        <w:snapToGrid w:val="0"/>
        <w:spacing w:line="360" w:lineRule="auto"/>
        <w:jc w:val="center"/>
        <w:outlineLvl w:val="0"/>
        <w:rPr>
          <w:rFonts w:ascii="宋体" w:hAnsi="宋体" w:cs="Lucida Sans Unicode"/>
          <w:b/>
          <w:color w:val="auto"/>
          <w:kern w:val="0"/>
          <w:sz w:val="24"/>
          <w:highlight w:val="none"/>
        </w:rPr>
      </w:pPr>
      <w:bookmarkStart w:id="96" w:name="_Toc23394"/>
      <w:bookmarkStart w:id="97" w:name="_Toc25094"/>
      <w:r>
        <w:rPr>
          <w:rFonts w:hint="eastAsia" w:ascii="宋体" w:hAnsi="宋体" w:cs="Lucida Sans Unicode"/>
          <w:b/>
          <w:color w:val="auto"/>
          <w:kern w:val="0"/>
          <w:sz w:val="24"/>
          <w:highlight w:val="none"/>
        </w:rPr>
        <w:t>投标人认为有必要的其他资料</w:t>
      </w:r>
      <w:bookmarkEnd w:id="96"/>
      <w:bookmarkEnd w:id="97"/>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驻马店市中心医院等离子体刀头采购项目采购文件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驻马店市中心医院等离子体刀头采购项目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000000"/>
    <w:rsid w:val="00503BD3"/>
    <w:rsid w:val="015229BB"/>
    <w:rsid w:val="01DF5C17"/>
    <w:rsid w:val="02D25290"/>
    <w:rsid w:val="04ED0EE6"/>
    <w:rsid w:val="08DB1B10"/>
    <w:rsid w:val="0D3A1F53"/>
    <w:rsid w:val="0F083E44"/>
    <w:rsid w:val="100D65BF"/>
    <w:rsid w:val="105E4BB0"/>
    <w:rsid w:val="13F53FEC"/>
    <w:rsid w:val="146A4213"/>
    <w:rsid w:val="1A856091"/>
    <w:rsid w:val="1C597898"/>
    <w:rsid w:val="1CDF0421"/>
    <w:rsid w:val="23B62749"/>
    <w:rsid w:val="23F57CC4"/>
    <w:rsid w:val="293F3EBF"/>
    <w:rsid w:val="2CE81EF4"/>
    <w:rsid w:val="2F155F25"/>
    <w:rsid w:val="307713DF"/>
    <w:rsid w:val="31986C26"/>
    <w:rsid w:val="338508B2"/>
    <w:rsid w:val="350D171A"/>
    <w:rsid w:val="35150A2C"/>
    <w:rsid w:val="35A25E07"/>
    <w:rsid w:val="36B907B2"/>
    <w:rsid w:val="36C401A7"/>
    <w:rsid w:val="37147A2D"/>
    <w:rsid w:val="37474C59"/>
    <w:rsid w:val="37B207B5"/>
    <w:rsid w:val="38D93693"/>
    <w:rsid w:val="39AE76A2"/>
    <w:rsid w:val="3BDF1D94"/>
    <w:rsid w:val="3D226758"/>
    <w:rsid w:val="3DAA28E7"/>
    <w:rsid w:val="40047331"/>
    <w:rsid w:val="411F75E2"/>
    <w:rsid w:val="46B46609"/>
    <w:rsid w:val="47EC7D13"/>
    <w:rsid w:val="48D10692"/>
    <w:rsid w:val="49AB6839"/>
    <w:rsid w:val="4C185248"/>
    <w:rsid w:val="4EA03605"/>
    <w:rsid w:val="51F92A4C"/>
    <w:rsid w:val="5A295181"/>
    <w:rsid w:val="5DD67A13"/>
    <w:rsid w:val="5E742597"/>
    <w:rsid w:val="5F0D70EB"/>
    <w:rsid w:val="5F784D70"/>
    <w:rsid w:val="62097280"/>
    <w:rsid w:val="62A212A2"/>
    <w:rsid w:val="64164898"/>
    <w:rsid w:val="65447343"/>
    <w:rsid w:val="66296A72"/>
    <w:rsid w:val="67193BBF"/>
    <w:rsid w:val="67C5345F"/>
    <w:rsid w:val="67F04198"/>
    <w:rsid w:val="6C8B2DA7"/>
    <w:rsid w:val="6F6C5F58"/>
    <w:rsid w:val="707912DA"/>
    <w:rsid w:val="71237804"/>
    <w:rsid w:val="735621CE"/>
    <w:rsid w:val="74726C59"/>
    <w:rsid w:val="76045978"/>
    <w:rsid w:val="76076E1C"/>
    <w:rsid w:val="77520D58"/>
    <w:rsid w:val="7A106FE1"/>
    <w:rsid w:val="7B4A3BA0"/>
    <w:rsid w:val="7C764ED8"/>
    <w:rsid w:val="7D2346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unhideWhenUsed/>
    <w:qFormat/>
    <w:uiPriority w:val="1"/>
  </w:style>
  <w:style w:type="table" w:default="1" w:styleId="32">
    <w:name w:val="Normal Table"/>
    <w:autoRedefine/>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styleId="4">
    <w:name w:val="Body Text First Indent"/>
    <w:basedOn w:val="3"/>
    <w:next w:val="1"/>
    <w:autoRedefine/>
    <w:qFormat/>
    <w:uiPriority w:val="0"/>
    <w:pPr>
      <w:spacing w:line="360" w:lineRule="auto"/>
      <w:ind w:firstLine="420" w:firstLineChars="100"/>
    </w:pPr>
    <w:rPr>
      <w:szCs w:val="21"/>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next w:val="12"/>
    <w:autoRedefine/>
    <w:qFormat/>
    <w:uiPriority w:val="0"/>
    <w:pPr>
      <w:widowControl/>
      <w:spacing w:beforeAutospacing="1" w:afterAutospacing="1"/>
      <w:jc w:val="left"/>
    </w:pPr>
    <w:rPr>
      <w:rFonts w:ascii="宋体" w:hAnsi="宋体" w:cs="宋体"/>
      <w:kern w:val="0"/>
      <w:sz w:val="24"/>
    </w:rPr>
  </w:style>
  <w:style w:type="paragraph" w:styleId="12">
    <w:name w:val="envelope return"/>
    <w:basedOn w:val="1"/>
    <w:autoRedefine/>
    <w:unhideWhenUsed/>
    <w:qFormat/>
    <w:uiPriority w:val="99"/>
    <w:pPr>
      <w:snapToGrid w:val="0"/>
    </w:pPr>
    <w:rPr>
      <w:rFonts w:ascii="Arial" w:hAnsi="Arial"/>
    </w:rPr>
  </w:style>
  <w:style w:type="paragraph" w:styleId="13">
    <w:name w:val="Document Map"/>
    <w:basedOn w:val="1"/>
    <w:link w:val="76"/>
    <w:autoRedefine/>
    <w:qFormat/>
    <w:uiPriority w:val="0"/>
    <w:rPr>
      <w:rFonts w:ascii="宋体" w:hAnsi="Calibri"/>
      <w:sz w:val="18"/>
      <w:szCs w:val="18"/>
    </w:rPr>
  </w:style>
  <w:style w:type="paragraph" w:styleId="14">
    <w:name w:val="toa heading"/>
    <w:basedOn w:val="1"/>
    <w:next w:val="1"/>
    <w:autoRedefine/>
    <w:qFormat/>
    <w:uiPriority w:val="0"/>
    <w:pPr>
      <w:spacing w:before="120"/>
    </w:pPr>
    <w:rPr>
      <w:rFonts w:ascii="Arial" w:hAnsi="Arial" w:cs="Arial"/>
      <w:sz w:val="24"/>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4"/>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autoRedefine/>
    <w:qFormat/>
    <w:uiPriority w:val="0"/>
    <w:pPr>
      <w:jc w:val="center"/>
    </w:pPr>
    <w:rPr>
      <w:rFonts w:ascii="Arial" w:hAnsi="Arial"/>
      <w:b/>
      <w:sz w:val="28"/>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3"/>
    <w:autoRedefine/>
    <w:qFormat/>
    <w:uiPriority w:val="0"/>
  </w:style>
  <w:style w:type="character" w:customStyle="1" w:styleId="75">
    <w:name w:val="apple-converted-space"/>
    <w:basedOn w:val="34"/>
    <w:autoRedefine/>
    <w:qFormat/>
    <w:uiPriority w:val="0"/>
  </w:style>
  <w:style w:type="character" w:customStyle="1" w:styleId="76">
    <w:name w:val="文档结构图 Char"/>
    <w:link w:val="13"/>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customStyle="1"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character" w:customStyle="1" w:styleId="90">
    <w:name w:val="font41"/>
    <w:basedOn w:val="34"/>
    <w:autoRedefine/>
    <w:qFormat/>
    <w:uiPriority w:val="0"/>
    <w:rPr>
      <w:rFonts w:hint="eastAsia" w:ascii="宋体" w:hAnsi="宋体" w:eastAsia="宋体" w:cs="宋体"/>
      <w:color w:val="000000"/>
      <w:sz w:val="21"/>
      <w:szCs w:val="21"/>
      <w:u w:val="none"/>
    </w:rPr>
  </w:style>
  <w:style w:type="character" w:customStyle="1" w:styleId="91">
    <w:name w:val="font51"/>
    <w:basedOn w:val="34"/>
    <w:autoRedefine/>
    <w:qFormat/>
    <w:uiPriority w:val="0"/>
    <w:rPr>
      <w:rFonts w:hint="eastAsia" w:ascii="宋体" w:hAnsi="宋体" w:eastAsia="宋体" w:cs="宋体"/>
      <w:b/>
      <w:color w:val="000000"/>
      <w:sz w:val="21"/>
      <w:szCs w:val="21"/>
      <w:u w:val="none"/>
    </w:rPr>
  </w:style>
  <w:style w:type="character" w:customStyle="1" w:styleId="92">
    <w:name w:val="font31"/>
    <w:basedOn w:val="34"/>
    <w:autoRedefine/>
    <w:qFormat/>
    <w:uiPriority w:val="0"/>
    <w:rPr>
      <w:rFonts w:hint="eastAsia" w:ascii="宋体" w:hAnsi="宋体" w:eastAsia="宋体" w:cs="宋体"/>
      <w:color w:val="000000"/>
      <w:sz w:val="20"/>
      <w:szCs w:val="20"/>
      <w:u w:val="none"/>
    </w:rPr>
  </w:style>
  <w:style w:type="character" w:customStyle="1" w:styleId="93">
    <w:name w:val="font11"/>
    <w:basedOn w:val="34"/>
    <w:autoRedefine/>
    <w:qFormat/>
    <w:uiPriority w:val="0"/>
    <w:rPr>
      <w:rFonts w:hint="eastAsia" w:ascii="等线" w:hAnsi="等线" w:eastAsia="等线" w:cs="等线"/>
      <w:b/>
      <w:bCs/>
      <w:color w:val="000000"/>
      <w:sz w:val="22"/>
      <w:szCs w:val="22"/>
      <w:u w:val="none"/>
    </w:rPr>
  </w:style>
  <w:style w:type="character" w:customStyle="1" w:styleId="94">
    <w:name w:val="hover"/>
    <w:basedOn w:val="34"/>
    <w:autoRedefine/>
    <w:qFormat/>
    <w:uiPriority w:val="0"/>
    <w:rPr>
      <w:color w:val="5FB878"/>
    </w:rPr>
  </w:style>
  <w:style w:type="character" w:customStyle="1" w:styleId="95">
    <w:name w:val="hover1"/>
    <w:basedOn w:val="34"/>
    <w:autoRedefine/>
    <w:qFormat/>
    <w:uiPriority w:val="0"/>
    <w:rPr>
      <w:color w:val="FFFFFF"/>
    </w:rPr>
  </w:style>
  <w:style w:type="character" w:customStyle="1" w:styleId="96">
    <w:name w:val="hover2"/>
    <w:basedOn w:val="34"/>
    <w:autoRedefine/>
    <w:qFormat/>
    <w:uiPriority w:val="0"/>
    <w:rPr>
      <w:color w:val="5FB878"/>
    </w:rPr>
  </w:style>
  <w:style w:type="character" w:customStyle="1" w:styleId="97">
    <w:name w:val="layui-this4"/>
    <w:basedOn w:val="34"/>
    <w:autoRedefine/>
    <w:qFormat/>
    <w:uiPriority w:val="0"/>
    <w:rPr>
      <w:bdr w:val="single" w:color="EEEEEE" w:sz="6" w:space="0"/>
      <w:shd w:val="clear" w:fill="FFFFFF"/>
    </w:rPr>
  </w:style>
  <w:style w:type="character" w:customStyle="1" w:styleId="98">
    <w:name w:val="layui-laypage-curr"/>
    <w:basedOn w:val="34"/>
    <w:autoRedefine/>
    <w:qFormat/>
    <w:uiPriority w:val="0"/>
  </w:style>
  <w:style w:type="character" w:customStyle="1" w:styleId="99">
    <w:name w:val="first-child"/>
    <w:basedOn w:val="34"/>
    <w:autoRedefine/>
    <w:qFormat/>
    <w:uiPriority w:val="0"/>
  </w:style>
  <w:style w:type="character" w:customStyle="1" w:styleId="100">
    <w:name w:val="hover19"/>
    <w:basedOn w:val="34"/>
    <w:autoRedefine/>
    <w:qFormat/>
    <w:uiPriority w:val="0"/>
    <w:rPr>
      <w:color w:val="5FB878"/>
    </w:rPr>
  </w:style>
  <w:style w:type="character" w:customStyle="1" w:styleId="101">
    <w:name w:val="hover20"/>
    <w:basedOn w:val="34"/>
    <w:autoRedefine/>
    <w:qFormat/>
    <w:uiPriority w:val="0"/>
    <w:rPr>
      <w:color w:val="5FB878"/>
    </w:rPr>
  </w:style>
  <w:style w:type="character" w:customStyle="1" w:styleId="102">
    <w:name w:val="hover21"/>
    <w:basedOn w:val="34"/>
    <w:autoRedefine/>
    <w:qFormat/>
    <w:uiPriority w:val="0"/>
    <w:rPr>
      <w:color w:val="FFFFFF"/>
    </w:rPr>
  </w:style>
  <w:style w:type="paragraph" w:customStyle="1" w:styleId="103">
    <w:name w:val="无间隔11"/>
    <w:autoRedefine/>
    <w:qFormat/>
    <w:uiPriority w:val="1"/>
    <w:rPr>
      <w:rFonts w:ascii="Times New Roman" w:hAnsi="Times New Roman" w:eastAsia="Microsoft YaHei UI" w:cs="Arial"/>
      <w:sz w:val="22"/>
      <w:szCs w:val="22"/>
      <w:lang w:val="en-US" w:eastAsia="zh-CN" w:bidi="ar-SA"/>
    </w:rPr>
  </w:style>
  <w:style w:type="table" w:customStyle="1" w:styleId="10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0</TotalTime>
  <ScaleCrop>false</ScaleCrop>
  <LinksUpToDate>false</LinksUpToDate>
  <CharactersWithSpaces>16570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梧桐叶落</cp:lastModifiedBy>
  <cp:lastPrinted>2023-02-08T08:43:00Z</cp:lastPrinted>
  <dcterms:modified xsi:type="dcterms:W3CDTF">2023-12-22T08:17:40Z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D753B99F23C34F7196CC3841D7C44AA1_13</vt:lpwstr>
  </property>
  <property fmtid="{D5CDD505-2E9C-101B-9397-08002B2CF9AE}" pid="4" name="commondata">
    <vt:lpwstr>eyJoZGlkIjoiYzIwMjRmYTY4OTJhZjc1NTA1MGQwNDc0NzZhNTkwMmUifQ==</vt:lpwstr>
  </property>
</Properties>
</file>