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驻马店市中心医院监护除颤类、血压计类、理疗类、医用灯泡类常用配件采购项目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驻马店市中心医院监护除颤类、血压计类、理疗类、医用灯泡类常用配件采购项目竞争性磋商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监护除颤类、血压计类、理疗类、医用灯泡类常用配件采购</w:t>
      </w:r>
      <w:r>
        <w:rPr>
          <w:rFonts w:hint="eastAsia" w:ascii="宋体" w:hAnsi="宋体" w:cs="宋体"/>
          <w:color w:val="auto"/>
          <w:sz w:val="24"/>
          <w:szCs w:val="24"/>
          <w:u w:val="single"/>
          <w:lang w:val="en-US" w:eastAsia="zh-CN"/>
        </w:rPr>
        <w:t>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驻马店市中心医院监护除颤类、血压计类、理疗类、医用灯泡类常用配件采购项目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24万元（据实结算），自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7913"/>
      <w:bookmarkStart w:id="5" w:name="_Toc19521"/>
      <w:bookmarkStart w:id="6" w:name="_Toc26079"/>
      <w:bookmarkStart w:id="7" w:name="_Toc24040"/>
      <w:bookmarkStart w:id="8" w:name="_Toc2107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7704"/>
      <w:bookmarkStart w:id="10" w:name="_Toc23626"/>
      <w:bookmarkStart w:id="11" w:name="_Toc18607"/>
      <w:bookmarkStart w:id="12" w:name="_Toc16639"/>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23395"/>
      <w:bookmarkStart w:id="14" w:name="_Toc30971"/>
      <w:bookmarkStart w:id="15" w:name="_Toc9562"/>
      <w:bookmarkStart w:id="16" w:name="_Toc7823"/>
      <w:bookmarkStart w:id="17" w:name="_Toc3064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FF0000"/>
          <w:sz w:val="24"/>
          <w:szCs w:val="24"/>
          <w:shd w:val="clear" w:color="auto" w:fill="FFFFFF"/>
        </w:rPr>
        <w:t>202</w:t>
      </w:r>
      <w:r>
        <w:rPr>
          <w:rFonts w:hint="eastAsia" w:ascii="宋体" w:hAnsi="宋体" w:cs="宋体"/>
          <w:color w:val="FF0000"/>
          <w:sz w:val="24"/>
          <w:szCs w:val="24"/>
          <w:shd w:val="clear" w:color="auto" w:fill="FFFFFF"/>
          <w:lang w:val="en-US" w:eastAsia="zh-CN"/>
        </w:rPr>
        <w:t>4</w:t>
      </w:r>
      <w:r>
        <w:rPr>
          <w:rFonts w:hint="eastAsia" w:ascii="宋体" w:hAnsi="宋体" w:eastAsia="宋体" w:cs="宋体"/>
          <w:color w:val="FF0000"/>
          <w:sz w:val="24"/>
          <w:szCs w:val="24"/>
          <w:shd w:val="clear" w:color="auto" w:fill="FFFFFF"/>
        </w:rPr>
        <w:t>年</w:t>
      </w:r>
      <w:r>
        <w:rPr>
          <w:rFonts w:hint="eastAsia" w:ascii="宋体" w:hAnsi="宋体" w:cs="宋体"/>
          <w:color w:val="FF0000"/>
          <w:sz w:val="24"/>
          <w:szCs w:val="24"/>
          <w:shd w:val="clear" w:color="auto" w:fill="FFFFFF"/>
          <w:lang w:val="en-US" w:eastAsia="zh-CN"/>
        </w:rPr>
        <w:t>1</w:t>
      </w:r>
      <w:r>
        <w:rPr>
          <w:rFonts w:hint="eastAsia" w:ascii="宋体" w:hAnsi="宋体" w:eastAsia="宋体" w:cs="宋体"/>
          <w:color w:val="FF0000"/>
          <w:sz w:val="24"/>
          <w:szCs w:val="24"/>
          <w:highlight w:val="none"/>
          <w:shd w:val="clear" w:color="auto" w:fill="FFFFFF"/>
        </w:rPr>
        <w:t>月日-202</w:t>
      </w:r>
      <w:r>
        <w:rPr>
          <w:rFonts w:hint="eastAsia" w:ascii="宋体" w:hAnsi="宋体" w:cs="宋体"/>
          <w:color w:val="FF0000"/>
          <w:sz w:val="24"/>
          <w:szCs w:val="24"/>
          <w:highlight w:val="none"/>
          <w:shd w:val="clear" w:color="auto" w:fill="FFFFFF"/>
          <w:lang w:val="en-US" w:eastAsia="zh-CN"/>
        </w:rPr>
        <w:t>4</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1</w:t>
      </w:r>
      <w:r>
        <w:rPr>
          <w:rFonts w:hint="eastAsia" w:ascii="宋体" w:hAnsi="宋体" w:eastAsia="宋体" w:cs="宋体"/>
          <w:color w:val="FF0000"/>
          <w:sz w:val="24"/>
          <w:szCs w:val="24"/>
          <w:highlight w:val="none"/>
          <w:shd w:val="clear" w:color="auto" w:fill="FFFFFF"/>
        </w:rPr>
        <w:t>月日，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报名费用</w:t>
      </w:r>
      <w:r>
        <w:rPr>
          <w:rFonts w:hint="eastAsia" w:ascii="宋体" w:hAnsi="宋体" w:eastAsia="宋体" w:cs="宋体"/>
          <w:color w:val="auto"/>
          <w:sz w:val="24"/>
          <w:szCs w:val="24"/>
          <w:shd w:val="clear" w:color="auto" w:fill="FFFFFF"/>
          <w:lang w:val="en-US" w:eastAsia="zh-CN"/>
        </w:rPr>
        <w:t>：</w:t>
      </w:r>
      <w:r>
        <w:rPr>
          <w:rFonts w:hint="eastAsia" w:ascii="宋体" w:hAnsi="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5135"/>
      <w:bookmarkStart w:id="19" w:name="_Toc15111"/>
      <w:bookmarkStart w:id="20" w:name="_Toc10738"/>
      <w:bookmarkStart w:id="21" w:name="_Toc25869"/>
      <w:bookmarkStart w:id="22" w:name="_Toc27480"/>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30918"/>
      <w:bookmarkStart w:id="24" w:name="_Toc29784"/>
      <w:bookmarkStart w:id="25" w:name="_Toc20287"/>
      <w:bookmarkStart w:id="26" w:name="_Toc6523"/>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3604"/>
      <w:bookmarkStart w:id="30" w:name="_Toc24274"/>
      <w:bookmarkStart w:id="31" w:name="_Toc27370"/>
      <w:bookmarkStart w:id="32" w:name="_Toc31928"/>
      <w:bookmarkStart w:id="33" w:name="_Toc16291"/>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FF0000"/>
          <w:kern w:val="0"/>
          <w:sz w:val="24"/>
          <w:szCs w:val="24"/>
          <w:shd w:val="clear" w:color="auto" w:fill="FFFFFF"/>
          <w:lang w:val="en-US" w:eastAsia="zh-CN" w:bidi="ar-SA"/>
        </w:rPr>
        <w:t>202</w:t>
      </w:r>
      <w:r>
        <w:rPr>
          <w:rFonts w:hint="eastAsia" w:ascii="宋体" w:hAnsi="宋体" w:cs="宋体"/>
          <w:color w:val="FF0000"/>
          <w:kern w:val="0"/>
          <w:sz w:val="24"/>
          <w:szCs w:val="24"/>
          <w:shd w:val="clear" w:color="auto" w:fill="FFFFFF"/>
          <w:lang w:val="en-US" w:eastAsia="zh-CN" w:bidi="ar-SA"/>
        </w:rPr>
        <w:t>4</w:t>
      </w:r>
      <w:r>
        <w:rPr>
          <w:rFonts w:hint="eastAsia" w:ascii="宋体" w:hAnsi="宋体" w:eastAsia="宋体" w:cs="宋体"/>
          <w:color w:val="FF0000"/>
          <w:kern w:val="0"/>
          <w:sz w:val="24"/>
          <w:szCs w:val="24"/>
          <w:shd w:val="clear" w:color="auto" w:fill="FFFFFF"/>
          <w:lang w:val="en-US" w:eastAsia="zh-CN" w:bidi="ar-SA"/>
        </w:rPr>
        <w:t>年</w:t>
      </w:r>
      <w:r>
        <w:rPr>
          <w:rFonts w:hint="eastAsia" w:ascii="宋体" w:hAnsi="宋体" w:cs="宋体"/>
          <w:color w:val="FF0000"/>
          <w:kern w:val="0"/>
          <w:sz w:val="24"/>
          <w:szCs w:val="24"/>
          <w:shd w:val="clear" w:color="auto" w:fill="FFFFFF"/>
          <w:lang w:val="en-US" w:eastAsia="zh-CN" w:bidi="ar-SA"/>
        </w:rPr>
        <w:t>1</w:t>
      </w:r>
      <w:r>
        <w:rPr>
          <w:rFonts w:hint="eastAsia" w:ascii="宋体" w:hAnsi="宋体" w:eastAsia="宋体" w:cs="宋体"/>
          <w:color w:val="FF0000"/>
          <w:kern w:val="0"/>
          <w:sz w:val="24"/>
          <w:szCs w:val="24"/>
          <w:shd w:val="clear" w:color="auto" w:fill="FFFFFF"/>
          <w:lang w:val="en-US" w:eastAsia="zh-CN" w:bidi="ar-SA"/>
        </w:rPr>
        <w:t>月</w:t>
      </w:r>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驻马店市中心医院监护除颤类、血压计类、理疗类、医用灯泡类常用配件采购项目。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理疗类、监护类设备常用配件</w:t>
      </w:r>
      <w:r>
        <w:rPr>
          <w:rFonts w:hint="eastAsia" w:ascii="宋体" w:hAnsi="宋体" w:cs="宋体"/>
          <w:b/>
          <w:bCs/>
          <w:color w:val="auto"/>
          <w:kern w:val="0"/>
          <w:sz w:val="21"/>
          <w:szCs w:val="21"/>
          <w:shd w:val="clear" w:color="auto" w:fill="FFFFFF"/>
          <w:lang w:val="en-US" w:eastAsia="zh-CN" w:bidi="ar-SA"/>
        </w:rPr>
        <w:t>招标2家供应商，</w:t>
      </w:r>
      <w:r>
        <w:rPr>
          <w:rFonts w:hint="eastAsia" w:ascii="宋体" w:hAnsi="宋体" w:cs="宋体"/>
          <w:color w:val="auto"/>
          <w:kern w:val="0"/>
          <w:sz w:val="21"/>
          <w:szCs w:val="21"/>
          <w:shd w:val="clear" w:color="auto" w:fill="FFFFFF"/>
          <w:lang w:val="en-US" w:eastAsia="zh-CN" w:bidi="ar-SA"/>
        </w:rPr>
        <w:t xml:space="preserve">供货期一年，根据全年实际用量据实结算，年费用约 24万元。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pPr w:leftFromText="180" w:rightFromText="180" w:vertAnchor="text" w:horzAnchor="page" w:tblpXSpec="center" w:tblpY="43"/>
        <w:tblOverlap w:val="never"/>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777"/>
        <w:gridCol w:w="1755"/>
        <w:gridCol w:w="827"/>
        <w:gridCol w:w="752"/>
        <w:gridCol w:w="1831"/>
        <w:gridCol w:w="128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8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包号</w:t>
            </w:r>
          </w:p>
        </w:tc>
        <w:tc>
          <w:tcPr>
            <w:tcW w:w="77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t>序号</w:t>
            </w:r>
          </w:p>
        </w:tc>
        <w:tc>
          <w:tcPr>
            <w:tcW w:w="175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75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83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r>
              <w:rPr>
                <w:rFonts w:hint="eastAsia" w:ascii="宋体" w:hAnsi="宋体" w:eastAsia="宋体" w:cs="宋体"/>
                <w:b w:val="0"/>
                <w:bCs w:val="0"/>
                <w:sz w:val="21"/>
                <w:szCs w:val="21"/>
                <w:lang w:eastAsia="zh-CN"/>
              </w:rPr>
              <w:t>（万元）</w:t>
            </w:r>
          </w:p>
        </w:tc>
        <w:tc>
          <w:tcPr>
            <w:tcW w:w="128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189"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监护除颤类配件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19.5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2</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血压计类配件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tabs>
                <w:tab w:val="left" w:pos="424"/>
              </w:tabs>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理疗类配件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4</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医用灯泡类</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17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bookmarkEnd w:id="35"/>
    <w:bookmarkEnd w:id="36"/>
    <w:tbl>
      <w:tblPr>
        <w:tblStyle w:val="33"/>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3"/>
        <w:gridCol w:w="3801"/>
        <w:gridCol w:w="88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监护除颤类、血压计类、理疗类、医用灯泡类配件招标工作表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监护除颤类（迈瑞、飞利浦、科曼、日本（上海）光电、宝莱特）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血氧饱和度探头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血压延长管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有创压电缆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监护仪铅酸蓄电池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监护仪锂电池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除颤仪电池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原装遥测导联线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血压计类（鱼跃、欧姆龙）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健太郎电子血压计袖套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理疗类（物理降温仪、脑功能治疗仪、吞咽神经盒肌肉电刺激仪）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物理降温仪温度传感器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软冰帽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电源线（加长）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脑功能治疗仪导联线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吞咽语言治疗仪电极线）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小氧表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磁疗帽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红外线接种环灭菌器加热体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脑电图导电膏（228g）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医用灯泡类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红光治疗仪灯泡230v100w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6v20w带座米泡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12v100w杯泡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15v150w杯泡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6v30w米泡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r>
    </w:tbl>
    <w:p>
      <w:pPr>
        <w:pageBreakBefore w:val="0"/>
        <w:kinsoku/>
        <w:wordWrap/>
        <w:overflowPunct/>
        <w:topLinePunct w:val="0"/>
        <w:bidi w:val="0"/>
        <w:snapToGrid w:val="0"/>
        <w:spacing w:beforeAutospacing="0" w:afterAutospacing="0" w:line="500" w:lineRule="exact"/>
        <w:jc w:val="center"/>
        <w:textAlignment w:val="auto"/>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default"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供货方向院方提供的产品符合国家标准要求，质保期一年内实行三包，质保开始时间以科室领用签字时间起计算。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供货方须保证供应货源和及时交货，按照交易习惯或者合理期限内不能按时交货时，须提前5个工作日以书面形式通知院方并协商解决。如因供货方未能按时供货的原因导致的的一切损失由供货方进行赔偿。</w:t>
            </w:r>
          </w:p>
          <w:p>
            <w:pPr>
              <w:numPr>
                <w:ilvl w:val="0"/>
                <w:numId w:val="0"/>
              </w:numPr>
              <w:spacing w:line="240" w:lineRule="auto"/>
              <w:rPr>
                <w:rFonts w:hint="eastAsia" w:ascii="宋体" w:hAnsi="宋体" w:cs="宋体"/>
                <w:color w:val="auto"/>
                <w:kern w:val="0"/>
                <w:szCs w:val="21"/>
                <w:highlight w:val="none"/>
              </w:rPr>
            </w:pPr>
            <w:r>
              <w:rPr>
                <w:rFonts w:hint="eastAsia" w:ascii="宋体" w:hAnsi="宋体" w:eastAsia="宋体" w:cs="宋体"/>
                <w:b w:val="0"/>
                <w:bCs w:val="0"/>
                <w:color w:val="auto"/>
                <w:kern w:val="0"/>
                <w:sz w:val="21"/>
                <w:szCs w:val="21"/>
                <w:shd w:val="clear" w:color="auto" w:fill="FFFFFF"/>
                <w:lang w:val="en-US" w:eastAsia="zh-CN" w:bidi="ar-SA"/>
              </w:rPr>
              <w:t>如供货方所提供货物的品种、型号、规格、数量和质量不符合规定或约定的，应当自接受货物的15天内向提出更换通知，如未提出异议，视为货物符合合同规定。</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驻马店市中心医院监护除颤类、血压计类、理疗类、医用灯泡类常用配件采购项目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24万元（据实结算）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24万元</w:t>
      </w:r>
      <w:r>
        <w:rPr>
          <w:rFonts w:hint="eastAsia" w:ascii="宋体" w:hAnsi="宋体" w:cs="宋体"/>
          <w:color w:val="auto"/>
          <w:kern w:val="0"/>
          <w:szCs w:val="21"/>
          <w:highlight w:val="none"/>
          <w:lang w:val="en-US" w:eastAsia="zh-CN"/>
        </w:rPr>
        <w:t>（据实结算）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bCs w:val="0"/>
          <w:color w:val="auto"/>
          <w:kern w:val="0"/>
          <w:szCs w:val="21"/>
          <w:highlight w:val="none"/>
          <w:lang w:eastAsia="zh-CN"/>
        </w:rPr>
        <w:t>二名中标人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w:t>
      </w:r>
      <w:bookmarkStart w:id="91" w:name="_GoBack"/>
      <w:r>
        <w:rPr>
          <w:rFonts w:hint="eastAsia" w:ascii="宋体" w:hAnsi="宋体" w:eastAsia="宋体" w:cs="宋体"/>
          <w:b w:val="0"/>
          <w:bCs w:val="0"/>
          <w:color w:val="auto"/>
          <w:sz w:val="21"/>
          <w:szCs w:val="21"/>
          <w:highlight w:val="none"/>
        </w:rPr>
        <w:t>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bookmarkEnd w:id="91"/>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01"/>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报价（25分）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报价（15分）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auto"/>
                <w:sz w:val="21"/>
                <w:szCs w:val="21"/>
                <w:highlight w:val="none"/>
                <w:lang w:val="en-US" w:eastAsia="zh-CN"/>
              </w:rPr>
              <w:t>存在负偏离的得0分，</w:t>
            </w:r>
            <w:r>
              <w:rPr>
                <w:rFonts w:hint="eastAsia" w:ascii="宋体" w:hAnsi="宋体" w:eastAsia="宋体" w:cs="宋体"/>
                <w:b w:val="0"/>
                <w:bCs w:val="0"/>
                <w:color w:val="auto"/>
                <w:sz w:val="21"/>
                <w:szCs w:val="21"/>
                <w:highlight w:val="none"/>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1301"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326786897"/>
      <w:bookmarkStart w:id="48" w:name="_Toc256519703"/>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687"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687"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72" w:type="dxa"/>
            <w:vMerge w:val="restart"/>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72" w:type="dxa"/>
            <w:vMerge w:val="continue"/>
            <w:noWrap/>
            <w:vAlign w:val="center"/>
          </w:tcP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687"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687"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563721"/>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C9656A"/>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DF7263"/>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144117"/>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246063"/>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35770"/>
    <w:rsid w:val="4476661F"/>
    <w:rsid w:val="447E3AC5"/>
    <w:rsid w:val="449818E5"/>
    <w:rsid w:val="44A90BAA"/>
    <w:rsid w:val="44B24A20"/>
    <w:rsid w:val="44BC0BEE"/>
    <w:rsid w:val="44C922B6"/>
    <w:rsid w:val="44E066EA"/>
    <w:rsid w:val="44FB1C9C"/>
    <w:rsid w:val="45383381"/>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3A027A"/>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271C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8BB21BC"/>
    <w:rsid w:val="68F826E8"/>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AF02DC7"/>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6FC85160"/>
    <w:rsid w:val="7024611F"/>
    <w:rsid w:val="702937E8"/>
    <w:rsid w:val="70637B96"/>
    <w:rsid w:val="70797317"/>
    <w:rsid w:val="707F0E75"/>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0C73F1"/>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next w:val="12"/>
    <w:autoRedefine/>
    <w:qFormat/>
    <w:uiPriority w:val="0"/>
    <w:pPr>
      <w:widowControl/>
      <w:spacing w:beforeAutospacing="1" w:afterAutospacing="1"/>
      <w:jc w:val="left"/>
    </w:pPr>
    <w:rPr>
      <w:rFonts w:ascii="宋体" w:hAnsi="宋体" w:cs="宋体"/>
      <w:kern w:val="0"/>
      <w:sz w:val="24"/>
    </w:rPr>
  </w:style>
  <w:style w:type="paragraph" w:styleId="12">
    <w:name w:val="envelope return"/>
    <w:basedOn w:val="1"/>
    <w:autoRedefine/>
    <w:unhideWhenUsed/>
    <w:qFormat/>
    <w:uiPriority w:val="99"/>
    <w:pPr>
      <w:snapToGrid w:val="0"/>
    </w:pPr>
    <w:rPr>
      <w:rFonts w:ascii="Arial" w:hAnsi="Arial"/>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1</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2024-01-05T01:37:50Z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