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8"/>
          <w:szCs w:val="48"/>
          <w:lang w:val="en-US" w:eastAsia="zh-CN"/>
        </w:rPr>
      </w:pPr>
      <w:bookmarkStart w:id="0" w:name="_Toc22804073"/>
      <w:bookmarkEnd w:id="0"/>
      <w:bookmarkStart w:id="1" w:name="_Toc22953395"/>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r>
        <w:rPr>
          <w:rFonts w:hint="eastAsia" w:cs="宋体"/>
          <w:b/>
          <w:bCs/>
          <w:sz w:val="48"/>
          <w:szCs w:val="48"/>
          <w:lang w:val="en-US" w:eastAsia="zh-CN"/>
        </w:rPr>
        <w:t xml:space="preserve">驻马店市中心医院监护除颤类、血压计类、理疗类、医用灯泡类常用配件采购项目 </w:t>
      </w:r>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default" w:ascii="宋体" w:hAnsi="宋体" w:eastAsia="宋体" w:cs="宋体"/>
          <w:b/>
          <w:bCs/>
          <w:sz w:val="48"/>
          <w:szCs w:val="48"/>
          <w:lang w:val="en-US" w:eastAsia="zh-CN"/>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4</w:t>
      </w:r>
      <w:r>
        <w:rPr>
          <w:rFonts w:hint="eastAsia" w:ascii="宋体" w:hAnsi="宋体" w:eastAsia="宋体" w:cs="宋体"/>
          <w:b/>
          <w:bCs/>
          <w:spacing w:val="40"/>
          <w:sz w:val="34"/>
          <w:szCs w:val="34"/>
        </w:rPr>
        <w:t>年</w:t>
      </w:r>
      <w:r>
        <w:rPr>
          <w:rFonts w:hint="eastAsia" w:ascii="宋体" w:hAnsi="宋体" w:cs="宋体"/>
          <w:b/>
          <w:bCs/>
          <w:spacing w:val="40"/>
          <w:sz w:val="34"/>
          <w:szCs w:val="34"/>
          <w:lang w:val="en-US" w:eastAsia="zh-CN"/>
        </w:rPr>
        <w:t>01</w:t>
      </w:r>
      <w:r>
        <w:rPr>
          <w:rFonts w:hint="eastAsia" w:ascii="宋体" w:hAnsi="宋体" w:eastAsia="宋体" w:cs="宋体"/>
          <w:b/>
          <w:bCs/>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5"/>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20</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21</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5"/>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3"/>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驻马店市中心医院监护除颤类、血压计类、理疗类、医用灯泡类常用配件采购项目竞争性磋商</w:t>
      </w:r>
      <w:r>
        <w:rPr>
          <w:rFonts w:hint="eastAsia" w:ascii="黑体" w:hAnsi="黑体" w:eastAsia="黑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rPr>
        <w:t>监护除颤类、血压计类、理疗类、医用灯泡类常用配件采购</w:t>
      </w:r>
      <w:r>
        <w:rPr>
          <w:rFonts w:hint="eastAsia" w:ascii="宋体" w:hAnsi="宋体" w:cs="宋体"/>
          <w:color w:val="auto"/>
          <w:sz w:val="24"/>
          <w:szCs w:val="24"/>
          <w:u w:val="single"/>
          <w:lang w:val="en-US" w:eastAsia="zh-CN"/>
        </w:rPr>
        <w:t>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eastAsia="zh-CN"/>
        </w:rPr>
        <w:t>驻马店市中心医院监护除颤类、血压计类、理疗类、医用灯泡类常用配件采购项目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w:t>
      </w:r>
      <w:r>
        <w:rPr>
          <w:rFonts w:hint="eastAsia" w:ascii="宋体" w:hAnsi="宋体" w:cs="宋体"/>
          <w:color w:val="auto"/>
          <w:sz w:val="24"/>
          <w:szCs w:val="24"/>
          <w:highlight w:val="none"/>
          <w:shd w:val="clear" w:color="auto" w:fill="FFFFFF"/>
          <w:lang w:val="en-US" w:eastAsia="zh-CN"/>
        </w:rPr>
        <w:t>24万元（据实结算），自</w:t>
      </w:r>
      <w:r>
        <w:rPr>
          <w:rFonts w:hint="eastAsia" w:ascii="宋体" w:hAnsi="宋体" w:eastAsia="宋体" w:cs="宋体"/>
          <w:color w:val="auto"/>
          <w:sz w:val="24"/>
          <w:szCs w:val="24"/>
          <w:highlight w:val="none"/>
          <w:shd w:val="clear" w:color="auto" w:fill="FFFFFF"/>
          <w:lang w:val="en-US" w:eastAsia="zh-CN"/>
        </w:rPr>
        <w:t>筹资金；</w:t>
      </w:r>
    </w:p>
    <w:p>
      <w:pPr>
        <w:keepNext w:val="0"/>
        <w:keepLines w:val="0"/>
        <w:pageBreakBefore w:val="0"/>
        <w:kinsoku/>
        <w:overflowPunct/>
        <w:topLinePunct w:val="0"/>
        <w:bidi w:val="0"/>
        <w:snapToGrid w:val="0"/>
        <w:spacing w:line="440" w:lineRule="exact"/>
        <w:ind w:firstLine="480" w:firstLineChars="200"/>
        <w:textAlignment w:val="auto"/>
        <w:rPr>
          <w:rFonts w:hint="default"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eastAsia="宋体"/>
          <w:color w:val="auto"/>
          <w:sz w:val="24"/>
          <w:szCs w:val="24"/>
          <w:highlight w:val="none"/>
        </w:rPr>
      </w:pPr>
      <w:bookmarkStart w:id="4" w:name="_Toc27913"/>
      <w:bookmarkStart w:id="5" w:name="_Toc24040"/>
      <w:bookmarkStart w:id="6" w:name="_Toc19521"/>
      <w:bookmarkStart w:id="7" w:name="_Toc26079"/>
      <w:bookmarkStart w:id="8" w:name="_Toc21071"/>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cs="宋体"/>
          <w:bCs/>
          <w:color w:val="auto"/>
          <w:sz w:val="24"/>
          <w:szCs w:val="24"/>
          <w:highlight w:val="none"/>
          <w:shd w:val="clear" w:color="auto" w:fill="FFFFFF"/>
          <w:lang w:val="en-US" w:eastAsia="zh-CN"/>
        </w:rPr>
        <w:t>一年</w:t>
      </w:r>
      <w:r>
        <w:rPr>
          <w:rFonts w:hint="eastAsia" w:ascii="宋体" w:hAnsi="宋体" w:cs="宋体"/>
          <w:bCs/>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shd w:val="clear" w:color="auto" w:fill="FFFFFF"/>
          <w:lang w:val="en-US" w:eastAsia="zh-CN" w:bidi="ar-SA"/>
        </w:rPr>
      </w:pPr>
      <w:bookmarkStart w:id="9" w:name="_Toc27704"/>
      <w:bookmarkStart w:id="10" w:name="_Toc23626"/>
      <w:bookmarkStart w:id="11" w:name="_Toc18607"/>
      <w:bookmarkStart w:id="12" w:name="_Toc16639"/>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6</w:t>
      </w:r>
      <w:r>
        <w:rPr>
          <w:rFonts w:hint="eastAsia" w:ascii="宋体" w:hAnsi="宋体" w:eastAsia="宋体" w:cs="宋体"/>
          <w:color w:val="auto"/>
          <w:kern w:val="2"/>
          <w:sz w:val="24"/>
          <w:szCs w:val="24"/>
          <w:lang w:val="en-US" w:eastAsia="zh-CN" w:bidi="ar-SA"/>
        </w:rPr>
        <w:t>、根据《关于在政府采购活动中查询及使用信用记录有关问题的通知》（财库【2016】125号）的规定，对列入失信被执行人、</w:t>
      </w:r>
      <w:r>
        <w:rPr>
          <w:rFonts w:hint="eastAsia" w:ascii="宋体" w:hAnsi="宋体" w:cs="宋体"/>
          <w:color w:val="auto"/>
          <w:kern w:val="2"/>
          <w:sz w:val="24"/>
          <w:szCs w:val="24"/>
          <w:lang w:val="en-US" w:eastAsia="zh-CN" w:bidi="ar-SA"/>
        </w:rPr>
        <w:t>重大税收违法失信主体</w:t>
      </w:r>
      <w:r>
        <w:rPr>
          <w:rFonts w:hint="eastAsia" w:ascii="宋体" w:hAnsi="宋体" w:eastAsia="宋体" w:cs="宋体"/>
          <w:color w:val="auto"/>
          <w:kern w:val="2"/>
          <w:sz w:val="24"/>
          <w:szCs w:val="24"/>
          <w:lang w:val="en-US" w:eastAsia="zh-CN" w:bidi="ar-SA"/>
        </w:rPr>
        <w:t>、政府采购严重违法失信行为记录名单的供应商，拒绝参与本项目政府采购活动，参与采购的供应商应提供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7</w:t>
      </w:r>
      <w:r>
        <w:rPr>
          <w:rFonts w:hint="eastAsia" w:ascii="宋体" w:hAnsi="宋体" w:eastAsia="宋体" w:cs="宋体"/>
          <w:color w:val="auto"/>
          <w:kern w:val="2"/>
          <w:sz w:val="24"/>
          <w:szCs w:val="24"/>
          <w:lang w:val="en-US" w:eastAsia="zh-CN" w:bidi="ar-SA"/>
        </w:rPr>
        <w:t>、不接受联合体投标。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3" w:name="_Toc9562"/>
      <w:bookmarkStart w:id="14" w:name="_Toc30643"/>
      <w:bookmarkStart w:id="15" w:name="_Toc23395"/>
      <w:bookmarkStart w:id="16" w:name="_Toc30971"/>
      <w:bookmarkStart w:id="17" w:name="_Toc7823"/>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cs="宋体"/>
          <w:color w:val="auto"/>
          <w:sz w:val="24"/>
          <w:szCs w:val="24"/>
          <w:shd w:val="clear" w:color="auto" w:fill="FFFFFF"/>
          <w:lang w:val="en-US" w:eastAsia="zh-CN"/>
        </w:rPr>
        <w:t>报</w:t>
      </w:r>
      <w:r>
        <w:rPr>
          <w:rFonts w:hint="eastAsia" w:ascii="宋体" w:hAnsi="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时间：202</w:t>
      </w:r>
      <w:r>
        <w:rPr>
          <w:rFonts w:hint="eastAsia" w:ascii="宋体" w:hAnsi="宋体" w:cs="宋体"/>
          <w:color w:val="000000" w:themeColor="text1"/>
          <w:sz w:val="24"/>
          <w:szCs w:val="24"/>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shd w:val="clear" w:color="auto" w:fill="FFFFFF"/>
          <w14:textFill>
            <w14:solidFill>
              <w14:schemeClr w14:val="tx1"/>
            </w14:solidFill>
          </w14:textFill>
        </w:rPr>
        <w:t>年</w:t>
      </w:r>
      <w:r>
        <w:rPr>
          <w:rFonts w:hint="eastAsia" w:ascii="宋体" w:hAnsi="宋体" w:cs="宋体"/>
          <w:color w:val="000000" w:themeColor="text1"/>
          <w:sz w:val="24"/>
          <w:szCs w:val="24"/>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8</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eastAsia="宋体" w:cs="宋体"/>
          <w:color w:val="000000" w:themeColor="text1"/>
          <w:sz w:val="24"/>
          <w:szCs w:val="24"/>
          <w:shd w:val="clear" w:color="auto" w:fill="FFFFFF"/>
          <w14:textFill>
            <w14:solidFill>
              <w14:schemeClr w14:val="tx1"/>
            </w14:solidFill>
          </w14:textFill>
        </w:rPr>
        <w:t>上午8：30-11:30，下午14:30-17:30（北京时间，法定节假日除外）</w:t>
      </w:r>
      <w:r>
        <w:rPr>
          <w:rFonts w:hint="eastAsia" w:ascii="宋体" w:hAnsi="宋体" w:eastAsia="宋体" w:cs="宋体"/>
          <w:color w:val="000000" w:themeColor="text1"/>
          <w:sz w:val="24"/>
          <w:szCs w:val="24"/>
          <w:shd w:val="clear" w:color="auto" w:fill="FFFFFF"/>
          <w:lang w:eastAsia="zh-CN"/>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报名费用</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r>
        <w:rPr>
          <w:rFonts w:hint="eastAsia" w:ascii="宋体" w:hAnsi="宋体" w:cs="宋体"/>
          <w:color w:val="000000" w:themeColor="text1"/>
          <w:sz w:val="24"/>
          <w:szCs w:val="24"/>
          <w:shd w:val="clear" w:color="auto" w:fill="FFFFFF"/>
          <w:lang w:val="en-US" w:eastAsia="zh-CN"/>
          <w14:textFill>
            <w14:solidFill>
              <w14:schemeClr w14:val="tx1"/>
            </w14:solidFill>
          </w14:textFill>
        </w:rPr>
        <w:t>2</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00元。</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cs="宋体"/>
          <w:color w:val="auto"/>
          <w:kern w:val="0"/>
          <w:sz w:val="24"/>
          <w:szCs w:val="24"/>
          <w:shd w:val="clear" w:color="auto" w:fill="FFFFFF"/>
          <w:lang w:val="en-US" w:eastAsia="zh-CN" w:bidi="ar-SA"/>
        </w:rPr>
        <w:t>zxcxmglyxgs@163.</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cs="宋体"/>
          <w:color w:val="auto"/>
          <w:kern w:val="0"/>
          <w:sz w:val="24"/>
          <w:szCs w:val="24"/>
          <w:shd w:val="clear" w:color="auto" w:fill="FFFFFF"/>
          <w:lang w:val="en-US" w:eastAsia="zh-CN" w:bidi="ar-SA"/>
        </w:rPr>
        <w:t>公司</w:t>
      </w:r>
      <w:r>
        <w:rPr>
          <w:rFonts w:hint="eastAsia" w:ascii="宋体" w:hAnsi="宋体" w:eastAsia="宋体" w:cs="宋体"/>
          <w:color w:val="auto"/>
          <w:kern w:val="0"/>
          <w:sz w:val="24"/>
          <w:szCs w:val="24"/>
          <w:shd w:val="clear" w:color="auto" w:fill="FFFFFF"/>
          <w:lang w:val="en-US" w:eastAsia="zh-CN" w:bidi="ar-SA"/>
        </w:rPr>
        <w:t>XX项目报名资料；审核通过后按要求交纳</w:t>
      </w:r>
      <w:r>
        <w:rPr>
          <w:rFonts w:hint="eastAsia" w:ascii="宋体" w:hAnsi="宋体" w:cs="宋体"/>
          <w:color w:val="auto"/>
          <w:kern w:val="0"/>
          <w:sz w:val="24"/>
          <w:szCs w:val="24"/>
          <w:shd w:val="clear" w:color="auto" w:fill="FFFFFF"/>
          <w:lang w:val="en-US" w:eastAsia="zh-CN" w:bidi="ar-SA"/>
        </w:rPr>
        <w:t>报名费</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18" w:name="_Toc10738"/>
      <w:bookmarkStart w:id="19" w:name="_Toc15111"/>
      <w:bookmarkStart w:id="20" w:name="_Toc15135"/>
      <w:bookmarkStart w:id="21" w:name="_Toc25869"/>
      <w:bookmarkStart w:id="22" w:name="_Toc27480"/>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lang w:val="en-US" w:eastAsia="zh-CN" w:bidi="ar-SA"/>
        </w:rPr>
      </w:pPr>
      <w:bookmarkStart w:id="23" w:name="_Toc20287"/>
      <w:bookmarkStart w:id="24" w:name="_Toc6523"/>
      <w:bookmarkStart w:id="25" w:name="_Toc30918"/>
      <w:bookmarkStart w:id="26" w:name="_Toc29784"/>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w:t>
      </w:r>
      <w:r>
        <w:rPr>
          <w:rFonts w:hint="eastAsia" w:ascii="宋体" w:hAnsi="宋体" w:cs="宋体"/>
          <w:color w:val="auto"/>
          <w:kern w:val="0"/>
          <w:sz w:val="24"/>
          <w:szCs w:val="24"/>
          <w:shd w:val="clear" w:color="auto" w:fill="FFFFFF"/>
          <w:lang w:val="en-US" w:eastAsia="zh-CN" w:bidi="ar-SA"/>
        </w:rPr>
        <w:t>院内</w:t>
      </w:r>
      <w:r>
        <w:rPr>
          <w:rFonts w:hint="eastAsia" w:ascii="宋体" w:hAnsi="宋体" w:eastAsia="宋体" w:cs="宋体"/>
          <w:color w:val="auto"/>
          <w:kern w:val="0"/>
          <w:sz w:val="24"/>
          <w:szCs w:val="24"/>
          <w:shd w:val="clear" w:color="auto" w:fill="FFFFFF"/>
          <w:lang w:val="en-US" w:eastAsia="zh-CN" w:bidi="ar-SA"/>
        </w:rPr>
        <w:t>网</w:t>
      </w:r>
      <w:r>
        <w:rPr>
          <w:rFonts w:hint="eastAsia" w:ascii="宋体" w:hAnsi="宋体" w:eastAsia="宋体" w:cs="宋体"/>
          <w:color w:val="auto"/>
          <w:sz w:val="24"/>
          <w:szCs w:val="24"/>
          <w:shd w:val="clear" w:color="auto" w:fill="auto"/>
        </w:rPr>
        <w:t>上发布</w:t>
      </w:r>
      <w:r>
        <w:rPr>
          <w:rFonts w:hint="eastAsia" w:ascii="宋体" w:hAnsi="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cs="宋体"/>
          <w:color w:val="auto"/>
          <w:sz w:val="24"/>
          <w:szCs w:val="24"/>
          <w:highlight w:val="none"/>
          <w:shd w:val="clear" w:color="auto" w:fill="auto"/>
          <w:lang w:eastAsia="zh-CN"/>
        </w:rPr>
        <w:t>公告期限为</w:t>
      </w:r>
      <w:r>
        <w:rPr>
          <w:rFonts w:hint="eastAsia" w:ascii="宋体" w:hAnsi="宋体" w:cs="宋体"/>
          <w:color w:val="auto"/>
          <w:sz w:val="24"/>
          <w:szCs w:val="24"/>
          <w:highlight w:val="none"/>
          <w:shd w:val="clear" w:color="auto" w:fill="auto"/>
          <w:lang w:val="en-US" w:eastAsia="zh-CN"/>
        </w:rPr>
        <w:t>三</w:t>
      </w:r>
      <w:r>
        <w:rPr>
          <w:rFonts w:hint="eastAsia" w:ascii="宋体" w:hAnsi="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ascii="宋体" w:hAnsi="宋体" w:eastAsia="宋体" w:cs="宋体"/>
          <w:b/>
          <w:bCs/>
          <w:color w:val="auto"/>
          <w:kern w:val="2"/>
          <w:sz w:val="24"/>
          <w:szCs w:val="24"/>
          <w:highlight w:val="none"/>
          <w:lang w:val="en-US" w:eastAsia="zh-CN" w:bidi="ar-SA"/>
        </w:rPr>
      </w:pPr>
      <w:bookmarkStart w:id="29" w:name="_Toc3604"/>
      <w:bookmarkStart w:id="30" w:name="_Toc31928"/>
      <w:bookmarkStart w:id="31" w:name="_Toc24274"/>
      <w:bookmarkStart w:id="32" w:name="_Toc27370"/>
      <w:bookmarkStart w:id="33" w:name="_Toc16291"/>
      <w:r>
        <w:rPr>
          <w:rFonts w:hint="eastAsia" w:ascii="宋体" w:hAnsi="宋体" w:cs="宋体"/>
          <w:b/>
          <w:bCs/>
          <w:color w:val="auto"/>
          <w:kern w:val="2"/>
          <w:sz w:val="24"/>
          <w:szCs w:val="24"/>
          <w:shd w:val="clear" w:color="auto" w:fill="FFFFFF"/>
          <w:lang w:val="en-US" w:eastAsia="zh-CN" w:bidi="ar-SA"/>
        </w:rPr>
        <w:t>七</w:t>
      </w:r>
      <w:r>
        <w:rPr>
          <w:rFonts w:hint="eastAsia" w:ascii="宋体" w:hAnsi="宋体" w:eastAsia="宋体" w:cs="宋体"/>
          <w:b/>
          <w:bCs/>
          <w:color w:val="auto"/>
          <w:kern w:val="2"/>
          <w:sz w:val="24"/>
          <w:szCs w:val="24"/>
          <w:shd w:val="clear" w:color="auto" w:fill="FFFFFF"/>
          <w:lang w:val="en-US" w:eastAsia="zh-CN" w:bidi="ar-SA"/>
        </w:rPr>
        <w:t>、</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bookmarkStart w:id="34" w:name="_Toc25063"/>
      <w:bookmarkStart w:id="35" w:name="_Toc29890"/>
      <w:bookmarkStart w:id="36" w:name="_Toc23793"/>
      <w:r>
        <w:rPr>
          <w:rFonts w:hint="default" w:ascii="宋体" w:hAnsi="宋体" w:eastAsia="宋体" w:cs="宋体"/>
          <w:color w:val="auto"/>
          <w:kern w:val="0"/>
          <w:sz w:val="24"/>
          <w:szCs w:val="24"/>
          <w:shd w:val="clear" w:color="auto" w:fill="FFFFFF"/>
          <w:lang w:val="en-US" w:eastAsia="zh-CN" w:bidi="ar-SA"/>
        </w:rPr>
        <w:t>报名联系人：李女士</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shd w:val="clear" w:color="auto" w:fill="FFFFFF"/>
          <w:lang w:val="en-US" w:eastAsia="zh-CN" w:bidi="ar-SA"/>
        </w:rPr>
      </w:pPr>
      <w:r>
        <w:rPr>
          <w:rFonts w:hint="default" w:ascii="宋体" w:hAnsi="宋体" w:eastAsia="宋体" w:cs="宋体"/>
          <w:color w:val="auto"/>
          <w:kern w:val="0"/>
          <w:sz w:val="24"/>
          <w:szCs w:val="24"/>
          <w:shd w:val="clear" w:color="auto" w:fill="FFFFFF"/>
          <w:lang w:val="en-US" w:eastAsia="zh-CN" w:bidi="ar-SA"/>
        </w:rPr>
        <w:t>联系电话：</w:t>
      </w:r>
      <w:r>
        <w:rPr>
          <w:rFonts w:hint="eastAsia" w:ascii="宋体" w:hAnsi="宋体" w:eastAsia="宋体" w:cs="宋体"/>
          <w:color w:val="auto"/>
          <w:kern w:val="0"/>
          <w:sz w:val="24"/>
          <w:szCs w:val="24"/>
          <w:shd w:val="clear" w:color="auto" w:fill="FFFFFF"/>
          <w:lang w:val="en-US" w:eastAsia="zh-CN" w:bidi="ar-SA"/>
        </w:rPr>
        <w:t>18137647844  0396-3676106</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"mailto:zxyyjzcgbgs@163.com"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eastAsia="宋体" w:cs="宋体"/>
          <w:color w:val="auto"/>
          <w:kern w:val="0"/>
          <w:sz w:val="24"/>
          <w:szCs w:val="24"/>
          <w:shd w:val="clear" w:color="auto" w:fill="FFFFFF"/>
          <w:lang w:val="en-US" w:eastAsia="zh-CN" w:bidi="ar-SA"/>
        </w:rPr>
        <w:t>zxyyjzcgbgs@163.com</w:t>
      </w:r>
      <w:r>
        <w:rPr>
          <w:rFonts w:hint="eastAsia" w:ascii="宋体" w:hAnsi="宋体" w:eastAsia="宋体" w:cs="宋体"/>
          <w:color w:val="auto"/>
          <w:kern w:val="0"/>
          <w:sz w:val="24"/>
          <w:szCs w:val="24"/>
          <w:shd w:val="clear" w:color="auto" w:fill="FFFFFF"/>
          <w:lang w:val="en-US" w:eastAsia="zh-CN" w:bidi="ar-SA"/>
        </w:rPr>
        <w:fldChar w:fldCharType="end"/>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监督部门：驻马店市中心医院纪检监察室</w:t>
      </w:r>
      <w:bookmarkStart w:id="91" w:name="_GoBack"/>
      <w:bookmarkEnd w:id="91"/>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default"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w:t>
      </w:r>
      <w:r>
        <w:rPr>
          <w:rFonts w:hint="eastAsia" w:ascii="宋体" w:hAnsi="宋体" w:cs="宋体"/>
          <w:color w:val="auto"/>
          <w:kern w:val="0"/>
          <w:sz w:val="24"/>
          <w:szCs w:val="24"/>
          <w:highlight w:val="none"/>
          <w:shd w:val="clear" w:color="auto" w:fill="FFFFFF"/>
          <w:lang w:val="en-US" w:eastAsia="zh-CN" w:bidi="ar-SA"/>
        </w:rPr>
        <w:t>6678</w:t>
      </w:r>
    </w:p>
    <w:p>
      <w:pPr>
        <w:widowControl/>
        <w:snapToGrid w:val="0"/>
        <w:spacing w:before="0" w:beforeAutospacing="0" w:after="0" w:afterAutospacing="0" w:line="360" w:lineRule="auto"/>
        <w:ind w:firstLine="480" w:firstLineChars="200"/>
        <w:jc w:val="right"/>
        <w:rPr>
          <w:rFonts w:hint="eastAsia"/>
        </w:rPr>
      </w:pPr>
      <w:r>
        <w:rPr>
          <w:rFonts w:hint="eastAsia" w:ascii="宋体" w:hAnsi="宋体" w:eastAsia="宋体" w:cs="宋体"/>
          <w:kern w:val="0"/>
          <w:sz w:val="24"/>
          <w:szCs w:val="24"/>
          <w:shd w:val="clear" w:color="auto" w:fill="FFFFFF"/>
          <w:lang w:val="en-US" w:eastAsia="zh-CN" w:bidi="ar-SA"/>
        </w:rPr>
        <w:t>驻马店市中心医院采购科</w:t>
      </w:r>
      <w:r>
        <w:rPr>
          <w:rFonts w:hint="eastAsia" w:ascii="宋体" w:hAnsi="宋体" w:cs="宋体"/>
          <w:kern w:val="0"/>
          <w:sz w:val="24"/>
          <w:szCs w:val="24"/>
          <w:shd w:val="clear" w:color="auto" w:fill="FFFFFF"/>
          <w:lang w:val="en-US" w:eastAsia="zh-CN" w:bidi="ar-SA"/>
        </w:rPr>
        <w:t xml:space="preserve">                                                         </w:t>
      </w:r>
      <w:r>
        <w:rPr>
          <w:rFonts w:hint="eastAsia" w:ascii="宋体" w:hAnsi="宋体" w:cs="宋体"/>
          <w:color w:val="FF0000"/>
          <w:kern w:val="0"/>
          <w:sz w:val="24"/>
          <w:szCs w:val="24"/>
          <w:shd w:val="clear" w:color="auto" w:fill="FFFFFF"/>
          <w:lang w:val="en-US" w:eastAsia="zh-CN" w:bidi="ar-SA"/>
        </w:rPr>
        <w:t xml:space="preserve">   </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4</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1</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5</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日</w:t>
      </w:r>
    </w:p>
    <w:p>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pPr>
        <w:jc w:val="center"/>
        <w:rPr>
          <w:rFonts w:ascii="宋体" w:hAnsi="宋体"/>
          <w:b/>
          <w:color w:val="auto"/>
          <w:sz w:val="32"/>
          <w:szCs w:val="32"/>
          <w:highlight w:val="none"/>
        </w:rPr>
      </w:pPr>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23610"/>
      <w:bookmarkStart w:id="38" w:name="_Toc31536"/>
      <w:bookmarkStart w:id="39" w:name="_Toc9989"/>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cs="宋体"/>
          <w:color w:val="auto"/>
          <w:kern w:val="0"/>
          <w:sz w:val="21"/>
          <w:szCs w:val="21"/>
          <w:shd w:val="clear" w:color="auto" w:fill="FFFFFF"/>
          <w:lang w:val="en-US" w:eastAsia="zh-CN" w:bidi="ar-SA"/>
        </w:rPr>
        <w:t>驻马店市中心医院监护除颤类、血压计类、理疗类、医用灯泡类常用配件采购项目。</w:t>
      </w:r>
    </w:p>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二、项目用途说明：</w:t>
      </w:r>
      <w:r>
        <w:rPr>
          <w:rFonts w:hint="eastAsia" w:ascii="宋体" w:hAnsi="宋体" w:cs="宋体"/>
          <w:color w:val="auto"/>
          <w:kern w:val="0"/>
          <w:sz w:val="21"/>
          <w:szCs w:val="21"/>
          <w:shd w:val="clear" w:color="auto" w:fill="FFFFFF"/>
          <w:lang w:val="en-US" w:eastAsia="zh-CN" w:bidi="ar-SA"/>
        </w:rPr>
        <w:t>理疗类、监护类设备常用配件</w:t>
      </w:r>
      <w:r>
        <w:rPr>
          <w:rFonts w:hint="eastAsia" w:ascii="宋体" w:hAnsi="宋体" w:cs="宋体"/>
          <w:b/>
          <w:bCs/>
          <w:color w:val="auto"/>
          <w:kern w:val="0"/>
          <w:sz w:val="21"/>
          <w:szCs w:val="21"/>
          <w:shd w:val="clear" w:color="auto" w:fill="FFFFFF"/>
          <w:lang w:val="en-US" w:eastAsia="zh-CN" w:bidi="ar-SA"/>
        </w:rPr>
        <w:t>招标2家供应商，</w:t>
      </w:r>
      <w:r>
        <w:rPr>
          <w:rFonts w:hint="eastAsia" w:ascii="宋体" w:hAnsi="宋体" w:cs="宋体"/>
          <w:color w:val="auto"/>
          <w:kern w:val="0"/>
          <w:sz w:val="21"/>
          <w:szCs w:val="21"/>
          <w:shd w:val="clear" w:color="auto" w:fill="FFFFFF"/>
          <w:lang w:val="en-US" w:eastAsia="zh-CN" w:bidi="ar-SA"/>
        </w:rPr>
        <w:t xml:space="preserve">供货期一年，根据全年实际用量据实结算，年费用约 24万元。  </w:t>
      </w:r>
      <w:r>
        <w:rPr>
          <w:rFonts w:hint="eastAsia" w:ascii="宋体" w:hAnsi="宋体" w:eastAsia="宋体" w:cs="宋体"/>
          <w:b/>
          <w:bCs/>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cs="宋体"/>
          <w:b/>
          <w:bCs/>
          <w:color w:val="auto"/>
          <w:kern w:val="0"/>
          <w:sz w:val="21"/>
          <w:szCs w:val="21"/>
          <w:shd w:val="clear" w:color="auto" w:fill="FFFFFF"/>
          <w:lang w:val="en-US" w:eastAsia="zh-CN" w:bidi="ar-SA"/>
        </w:rPr>
        <w:t>三</w:t>
      </w:r>
      <w:r>
        <w:rPr>
          <w:rFonts w:hint="eastAsia" w:ascii="宋体" w:hAnsi="宋体" w:eastAsia="宋体" w:cs="宋体"/>
          <w:b/>
          <w:bCs/>
          <w:color w:val="auto"/>
          <w:kern w:val="0"/>
          <w:sz w:val="21"/>
          <w:szCs w:val="21"/>
          <w:shd w:val="clear" w:color="auto" w:fill="FFFFFF"/>
          <w:lang w:val="en-US" w:eastAsia="zh-CN" w:bidi="ar-SA"/>
        </w:rPr>
        <w:t>、采购标的清单：</w:t>
      </w:r>
    </w:p>
    <w:tbl>
      <w:tblPr>
        <w:tblStyle w:val="34"/>
        <w:tblpPr w:leftFromText="180" w:rightFromText="180" w:vertAnchor="text" w:horzAnchor="page" w:tblpXSpec="center" w:tblpY="43"/>
        <w:tblOverlap w:val="never"/>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777"/>
        <w:gridCol w:w="1755"/>
        <w:gridCol w:w="827"/>
        <w:gridCol w:w="752"/>
        <w:gridCol w:w="1831"/>
        <w:gridCol w:w="1281"/>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68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包号</w:t>
            </w:r>
          </w:p>
        </w:tc>
        <w:tc>
          <w:tcPr>
            <w:tcW w:w="77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rPr>
              <w:t>序号</w:t>
            </w:r>
          </w:p>
        </w:tc>
        <w:tc>
          <w:tcPr>
            <w:tcW w:w="1755"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标的名称</w:t>
            </w:r>
          </w:p>
        </w:tc>
        <w:tc>
          <w:tcPr>
            <w:tcW w:w="82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单位</w:t>
            </w:r>
          </w:p>
        </w:tc>
        <w:tc>
          <w:tcPr>
            <w:tcW w:w="752"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数量</w:t>
            </w:r>
          </w:p>
        </w:tc>
        <w:tc>
          <w:tcPr>
            <w:tcW w:w="1831"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rPr>
              <w:t>预算</w:t>
            </w:r>
            <w:r>
              <w:rPr>
                <w:rFonts w:hint="eastAsia" w:ascii="宋体" w:hAnsi="宋体" w:eastAsia="宋体" w:cs="宋体"/>
                <w:b w:val="0"/>
                <w:bCs w:val="0"/>
                <w:sz w:val="21"/>
                <w:szCs w:val="21"/>
                <w:lang w:eastAsia="zh-CN"/>
              </w:rPr>
              <w:t>（万元）</w:t>
            </w:r>
          </w:p>
        </w:tc>
        <w:tc>
          <w:tcPr>
            <w:tcW w:w="1281"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资金</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性质</w:t>
            </w:r>
          </w:p>
        </w:tc>
        <w:tc>
          <w:tcPr>
            <w:tcW w:w="1189"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p>
            <w:pPr>
              <w:pStyle w:val="11"/>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lang w:val="en-US" w:eastAsia="zh-CN"/>
              </w:rPr>
              <w:t>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4"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color w:val="auto"/>
                <w:sz w:val="21"/>
                <w:szCs w:val="21"/>
                <w:vertAlign w:val="baseline"/>
                <w:lang w:val="en-US" w:eastAsia="zh-CN"/>
              </w:rPr>
              <w:t>1</w:t>
            </w:r>
          </w:p>
        </w:tc>
        <w:tc>
          <w:tcPr>
            <w:tcW w:w="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w:t>
            </w:r>
          </w:p>
        </w:tc>
        <w:tc>
          <w:tcPr>
            <w:tcW w:w="1755" w:type="dxa"/>
            <w:vAlign w:val="center"/>
          </w:tcPr>
          <w:p>
            <w:pPr>
              <w:spacing w:line="240" w:lineRule="auto"/>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监护除颤类配件</w:t>
            </w:r>
          </w:p>
        </w:tc>
        <w:tc>
          <w:tcPr>
            <w:tcW w:w="827"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批</w:t>
            </w:r>
          </w:p>
        </w:tc>
        <w:tc>
          <w:tcPr>
            <w:tcW w:w="752"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831"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19.5</w:t>
            </w:r>
          </w:p>
        </w:tc>
        <w:tc>
          <w:tcPr>
            <w:tcW w:w="12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2</w:t>
            </w:r>
          </w:p>
        </w:tc>
        <w:tc>
          <w:tcPr>
            <w:tcW w:w="1755" w:type="dxa"/>
            <w:vAlign w:val="center"/>
          </w:tcPr>
          <w:p>
            <w:pPr>
              <w:spacing w:line="240" w:lineRule="auto"/>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血压计类配件</w:t>
            </w:r>
          </w:p>
        </w:tc>
        <w:tc>
          <w:tcPr>
            <w:tcW w:w="827"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批</w:t>
            </w:r>
          </w:p>
        </w:tc>
        <w:tc>
          <w:tcPr>
            <w:tcW w:w="752"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831"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1.5</w:t>
            </w:r>
          </w:p>
        </w:tc>
        <w:tc>
          <w:tcPr>
            <w:tcW w:w="1281" w:type="dxa"/>
            <w:vAlign w:val="center"/>
          </w:tcPr>
          <w:p>
            <w:pPr>
              <w:keepNext w:val="0"/>
              <w:keepLines w:val="0"/>
              <w:pageBreakBefore w:val="0"/>
              <w:widowControl w:val="0"/>
              <w:numPr>
                <w:ilvl w:val="0"/>
                <w:numId w:val="0"/>
              </w:numPr>
              <w:tabs>
                <w:tab w:val="left" w:pos="424"/>
              </w:tabs>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3</w:t>
            </w:r>
          </w:p>
        </w:tc>
        <w:tc>
          <w:tcPr>
            <w:tcW w:w="1755" w:type="dxa"/>
            <w:vAlign w:val="center"/>
          </w:tcPr>
          <w:p>
            <w:pPr>
              <w:spacing w:line="240" w:lineRule="auto"/>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理疗类配件</w:t>
            </w:r>
          </w:p>
        </w:tc>
        <w:tc>
          <w:tcPr>
            <w:tcW w:w="827"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批</w:t>
            </w:r>
          </w:p>
        </w:tc>
        <w:tc>
          <w:tcPr>
            <w:tcW w:w="752"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831"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1.5</w:t>
            </w:r>
          </w:p>
        </w:tc>
        <w:tc>
          <w:tcPr>
            <w:tcW w:w="12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684"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77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0" w:firstLineChars="0"/>
              <w:jc w:val="center"/>
              <w:textAlignment w:val="auto"/>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4</w:t>
            </w:r>
          </w:p>
        </w:tc>
        <w:tc>
          <w:tcPr>
            <w:tcW w:w="1755" w:type="dxa"/>
            <w:vAlign w:val="center"/>
          </w:tcPr>
          <w:p>
            <w:pPr>
              <w:spacing w:line="240" w:lineRule="auto"/>
              <w:jc w:val="both"/>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医用灯泡类</w:t>
            </w:r>
          </w:p>
        </w:tc>
        <w:tc>
          <w:tcPr>
            <w:tcW w:w="827"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批</w:t>
            </w:r>
          </w:p>
        </w:tc>
        <w:tc>
          <w:tcPr>
            <w:tcW w:w="752"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kern w:val="2"/>
                <w:sz w:val="21"/>
                <w:szCs w:val="21"/>
                <w:vertAlign w:val="baseline"/>
                <w:lang w:val="en-US" w:eastAsia="zh-CN" w:bidi="ar-SA"/>
              </w:rPr>
              <w:t>1</w:t>
            </w:r>
          </w:p>
        </w:tc>
        <w:tc>
          <w:tcPr>
            <w:tcW w:w="1831" w:type="dxa"/>
            <w:vAlign w:val="center"/>
          </w:tcPr>
          <w:p>
            <w:pPr>
              <w:spacing w:line="240" w:lineRule="auto"/>
              <w:jc w:val="center"/>
              <w:rPr>
                <w:rFonts w:hint="eastAsia" w:ascii="宋体" w:hAnsi="宋体" w:eastAsia="宋体" w:cs="宋体"/>
                <w:b w:val="0"/>
                <w:bCs w:val="0"/>
                <w:kern w:val="2"/>
                <w:sz w:val="21"/>
                <w:szCs w:val="21"/>
                <w:vertAlign w:val="baseline"/>
                <w:lang w:val="en-US" w:eastAsia="zh-CN" w:bidi="ar-SA"/>
              </w:rPr>
            </w:pPr>
            <w:r>
              <w:rPr>
                <w:rFonts w:hint="eastAsia" w:ascii="宋体" w:hAnsi="宋体" w:eastAsia="宋体" w:cs="宋体"/>
                <w:b w:val="0"/>
                <w:bCs w:val="0"/>
                <w:sz w:val="21"/>
                <w:szCs w:val="21"/>
                <w:vertAlign w:val="baseline"/>
                <w:lang w:val="en-US" w:eastAsia="zh-CN"/>
              </w:rPr>
              <w:t>1.5</w:t>
            </w:r>
          </w:p>
        </w:tc>
        <w:tc>
          <w:tcPr>
            <w:tcW w:w="12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自筹</w:t>
            </w: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国产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461"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合计</w:t>
            </w:r>
          </w:p>
        </w:tc>
        <w:tc>
          <w:tcPr>
            <w:tcW w:w="17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8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75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183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24</w:t>
            </w:r>
          </w:p>
        </w:tc>
        <w:tc>
          <w:tcPr>
            <w:tcW w:w="128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c>
          <w:tcPr>
            <w:tcW w:w="118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jc w:val="center"/>
              <w:textAlignment w:val="auto"/>
              <w:rPr>
                <w:rFonts w:hint="eastAsia" w:ascii="宋体" w:hAnsi="宋体" w:eastAsia="宋体" w:cs="宋体"/>
                <w:b w:val="0"/>
                <w:bCs w:val="0"/>
                <w:sz w:val="21"/>
                <w:szCs w:val="21"/>
                <w:vertAlign w:val="baseline"/>
                <w:lang w:val="en-US" w:eastAsia="zh-CN"/>
              </w:rPr>
            </w:pPr>
          </w:p>
        </w:tc>
      </w:tr>
    </w:tbl>
    <w:p>
      <w:pPr>
        <w:numPr>
          <w:ilvl w:val="0"/>
          <w:numId w:val="0"/>
        </w:numPr>
        <w:spacing w:line="460" w:lineRule="exact"/>
        <w:rPr>
          <w:rFonts w:hint="eastAsia" w:ascii="宋体" w:hAnsi="宋体" w:eastAsia="宋体" w:cs="宋体"/>
          <w:b/>
          <w:bCs/>
          <w:kern w:val="2"/>
          <w:sz w:val="21"/>
          <w:szCs w:val="21"/>
          <w:lang w:val="en-US" w:eastAsia="zh-CN" w:bidi="ar-SA"/>
        </w:rPr>
      </w:pPr>
      <w:r>
        <w:rPr>
          <w:rFonts w:hint="eastAsia" w:ascii="宋体" w:hAnsi="宋体" w:cs="宋体"/>
          <w:b/>
          <w:bCs/>
          <w:color w:val="auto"/>
          <w:kern w:val="0"/>
          <w:sz w:val="21"/>
          <w:szCs w:val="21"/>
          <w:shd w:val="clear" w:color="auto" w:fill="FFFFFF"/>
          <w:lang w:val="en-US" w:eastAsia="zh-CN" w:bidi="ar-SA"/>
        </w:rPr>
        <w:t>四</w:t>
      </w:r>
      <w:r>
        <w:rPr>
          <w:rFonts w:hint="eastAsia" w:ascii="宋体" w:hAnsi="宋体" w:eastAsia="宋体" w:cs="宋体"/>
          <w:b/>
          <w:bCs/>
          <w:kern w:val="2"/>
          <w:sz w:val="21"/>
          <w:szCs w:val="21"/>
          <w:lang w:val="en-US" w:eastAsia="zh-CN" w:bidi="ar-SA"/>
        </w:rPr>
        <w:t>、</w:t>
      </w:r>
      <w:r>
        <w:rPr>
          <w:rFonts w:hint="eastAsia" w:ascii="宋体" w:hAnsi="宋体" w:cs="宋体"/>
          <w:b/>
          <w:bCs/>
          <w:kern w:val="2"/>
          <w:sz w:val="21"/>
          <w:szCs w:val="21"/>
          <w:lang w:val="en-US" w:eastAsia="zh-CN" w:bidi="ar-SA"/>
        </w:rPr>
        <w:t>技术参数、性能及产品功能要求</w:t>
      </w:r>
      <w:r>
        <w:rPr>
          <w:rFonts w:hint="eastAsia" w:ascii="宋体" w:hAnsi="宋体" w:eastAsia="宋体" w:cs="宋体"/>
          <w:b/>
          <w:bCs/>
          <w:kern w:val="2"/>
          <w:sz w:val="21"/>
          <w:szCs w:val="21"/>
          <w:lang w:val="en-US" w:eastAsia="zh-CN" w:bidi="ar-SA"/>
        </w:rPr>
        <w:t>：</w:t>
      </w:r>
    </w:p>
    <w:bookmarkEnd w:id="35"/>
    <w:bookmarkEnd w:id="36"/>
    <w:tbl>
      <w:tblPr>
        <w:tblStyle w:val="33"/>
        <w:tblW w:w="91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713"/>
        <w:gridCol w:w="3801"/>
        <w:gridCol w:w="884"/>
        <w:gridCol w:w="17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915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监护除颤类、血压计类、理疗类、医用灯泡类配件招标工作表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配件名称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监护除颤类（迈瑞、飞利浦、科曼、日本（上海）光电、宝莱特）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监护仪袖带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心电导联线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血氧饱和度探头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血压延长管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有创压电缆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监护仪铅酸蓄电池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154.22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监护仪锂电池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除颤仪电池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原装遥测导联线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血压计类（鱼跃、欧姆龙）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电子血压计袖带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健太郎电子血压计袖套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电子血压计充电器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理疗类（物理降温仪、脑功能治疗仪、吞咽神经盒肌肉电刺激仪）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物理降温仪温度传感器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软冰帽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1016.06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冰毯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1587.6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电源线（加长）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脑功能治疗仪导联线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吞咽语言治疗仪电极线）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1469.66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小氧表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磁疗帽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红外线接种环灭菌器加热体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脑电图导电膏（228g）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医用灯泡类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红光治疗仪灯泡230v100w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无影灯泡24v150w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6v20w带座米泡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12v100w杯泡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15v150w杯泡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6v30w米泡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无影灯泡24v50w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4.54</w:t>
            </w:r>
          </w:p>
        </w:tc>
      </w:tr>
    </w:tbl>
    <w:p>
      <w:pPr>
        <w:pageBreakBefore w:val="0"/>
        <w:kinsoku/>
        <w:wordWrap/>
        <w:overflowPunct/>
        <w:topLinePunct w:val="0"/>
        <w:bidi w:val="0"/>
        <w:snapToGrid w:val="0"/>
        <w:spacing w:beforeAutospacing="0" w:afterAutospacing="0" w:line="500" w:lineRule="exact"/>
        <w:jc w:val="center"/>
        <w:textAlignment w:val="auto"/>
        <w:rPr>
          <w:rFonts w:hint="eastAsia" w:ascii="Times New Roman" w:hAnsi="Times New Roman" w:eastAsia="宋体" w:cs="Times New Roman"/>
          <w:b/>
          <w:bCs/>
          <w:color w:val="auto"/>
          <w:sz w:val="30"/>
          <w:szCs w:val="30"/>
          <w:highlight w:val="none"/>
          <w:lang w:val="en-US" w:eastAsia="zh-CN"/>
        </w:rPr>
      </w:pPr>
      <w:r>
        <w:rPr>
          <w:rFonts w:hint="eastAsia" w:ascii="Times New Roman" w:hAnsi="Times New Roman" w:eastAsia="宋体" w:cs="Times New Roman"/>
          <w:b/>
          <w:bCs/>
          <w:color w:val="auto"/>
          <w:sz w:val="30"/>
          <w:szCs w:val="30"/>
          <w:highlight w:val="none"/>
          <w:lang w:val="en-US" w:eastAsia="zh-CN"/>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lang w:val="en-US" w:eastAsia="zh-CN"/>
              </w:rPr>
            </w:pPr>
            <w:r>
              <w:rPr>
                <w:rFonts w:hint="eastAsia" w:ascii="宋体" w:hAnsi="宋体" w:eastAsia="宋体" w:cs="宋体"/>
                <w:lang w:val="en-US" w:eastAsia="zh-CN"/>
              </w:rPr>
              <w:t>采购人指定地点</w:t>
            </w:r>
            <w:r>
              <w:rPr>
                <w:rFonts w:hint="eastAsia" w:ascii="宋体" w:hAnsi="宋体" w:cs="宋体"/>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numPr>
                <w:ilvl w:val="0"/>
                <w:numId w:val="0"/>
              </w:numPr>
              <w:spacing w:line="240" w:lineRule="auto"/>
              <w:rPr>
                <w:rFonts w:hint="default" w:ascii="宋体" w:hAnsi="宋体" w:eastAsia="宋体" w:cs="宋体"/>
                <w:lang w:val="en-US" w:eastAsia="zh-CN"/>
              </w:rPr>
            </w:pPr>
            <w:r>
              <w:rPr>
                <w:rFonts w:hint="eastAsia" w:ascii="宋体" w:hAnsi="宋体" w:eastAsia="宋体" w:cs="宋体"/>
                <w:b w:val="0"/>
                <w:bCs w:val="0"/>
                <w:color w:val="auto"/>
                <w:kern w:val="0"/>
                <w:sz w:val="21"/>
                <w:szCs w:val="21"/>
                <w:shd w:val="clear" w:color="auto" w:fill="FFFFFF"/>
                <w:lang w:val="en-US" w:eastAsia="zh-CN" w:bidi="ar-SA"/>
              </w:rPr>
              <w:t>供货方向院方提供的产品符合国家标准要求，质保期一年内实行三包，质保开始时间以科室领用签字时间起计算。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default" w:ascii="宋体" w:hAnsi="宋体" w:eastAsia="宋体" w:cs="宋体"/>
                <w:color w:val="auto"/>
                <w:kern w:val="0"/>
                <w:szCs w:val="21"/>
                <w:highlight w:val="none"/>
                <w:lang w:val="en-US" w:eastAsia="zh-CN"/>
              </w:rPr>
            </w:pPr>
            <w:r>
              <w:rPr>
                <w:rFonts w:hint="eastAsia" w:ascii="宋体" w:hAnsi="宋体" w:cs="宋体"/>
                <w:bCs/>
                <w:color w:val="auto"/>
                <w:szCs w:val="21"/>
                <w:highlight w:val="none"/>
                <w:shd w:val="clear" w:color="auto" w:fill="FFFFFF"/>
                <w:lang w:val="en-US" w:eastAsia="zh-CN"/>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由采购人按照有关规定组织验收</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以供货合同签订为准</w:t>
            </w:r>
            <w:r>
              <w:rPr>
                <w:rFonts w:hint="eastAsia" w:ascii="宋体" w:hAnsi="宋体" w:cs="宋体"/>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240" w:lineRule="auto"/>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其他要求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numPr>
                <w:ilvl w:val="0"/>
                <w:numId w:val="0"/>
              </w:numPr>
              <w:spacing w:line="240" w:lineRule="auto"/>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供货方须保证供应货源和及时交货，按照交易习惯或者合理期限内不能按时交货时，须提前5个工作日以书面形式通知院方并协商解决。如因供货方未能按时供货的原因导致的的一切损失由供货方进行赔偿。</w:t>
            </w:r>
          </w:p>
          <w:p>
            <w:pPr>
              <w:numPr>
                <w:ilvl w:val="0"/>
                <w:numId w:val="0"/>
              </w:numPr>
              <w:spacing w:line="240" w:lineRule="auto"/>
              <w:rPr>
                <w:rFonts w:hint="eastAsia" w:ascii="宋体" w:hAnsi="宋体" w:cs="宋体"/>
                <w:color w:val="auto"/>
                <w:kern w:val="0"/>
                <w:szCs w:val="21"/>
                <w:highlight w:val="none"/>
              </w:rPr>
            </w:pPr>
            <w:r>
              <w:rPr>
                <w:rFonts w:hint="eastAsia" w:ascii="宋体" w:hAnsi="宋体" w:eastAsia="宋体" w:cs="宋体"/>
                <w:b w:val="0"/>
                <w:bCs w:val="0"/>
                <w:color w:val="auto"/>
                <w:kern w:val="0"/>
                <w:sz w:val="21"/>
                <w:szCs w:val="21"/>
                <w:shd w:val="clear" w:color="auto" w:fill="FFFFFF"/>
                <w:lang w:val="en-US" w:eastAsia="zh-CN" w:bidi="ar-SA"/>
              </w:rPr>
              <w:t>如供货方所提供货物的品种、型号、规格、数量和质量不符合规定或约定的，应当自接受货物的15天内向提出更换通知，如未提出异议，视为货物符合合同规定。</w:t>
            </w:r>
          </w:p>
        </w:tc>
      </w:tr>
    </w:tbl>
    <w:p>
      <w:pPr>
        <w:pageBreakBefore w:val="0"/>
        <w:kinsoku/>
        <w:wordWrap/>
        <w:overflowPunct/>
        <w:topLinePunct w:val="0"/>
        <w:bidi w:val="0"/>
        <w:snapToGrid w:val="0"/>
        <w:spacing w:beforeAutospacing="0" w:afterAutospacing="0" w:line="500" w:lineRule="exact"/>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w:t>
            </w:r>
            <w:r>
              <w:rPr>
                <w:rFonts w:hint="eastAsia" w:ascii="宋体" w:hAnsi="宋体" w:cs="宋体"/>
                <w:b/>
                <w:bCs/>
                <w:color w:val="auto"/>
                <w:kern w:val="0"/>
                <w:szCs w:val="21"/>
                <w:highlight w:val="none"/>
                <w:lang w:eastAsia="zh-CN"/>
              </w:rPr>
              <w:t>二名中标人</w:t>
            </w:r>
            <w:r>
              <w:rPr>
                <w:rFonts w:hint="eastAsia" w:ascii="宋体" w:hAnsi="宋体" w:cs="宋体"/>
                <w:color w:val="auto"/>
                <w:kern w:val="0"/>
                <w:szCs w:val="21"/>
                <w:highlight w:val="none"/>
              </w:rPr>
              <w:t>。</w:t>
            </w:r>
          </w:p>
          <w:p>
            <w:pPr>
              <w:pageBreakBefore w:val="0"/>
              <w:widowControl/>
              <w:kinsoku/>
              <w:wordWrap/>
              <w:overflowPunct/>
              <w:topLinePunct w:val="0"/>
              <w:bidi w:val="0"/>
              <w:snapToGrid w:val="0"/>
              <w:spacing w:beforeAutospacing="0" w:afterAutospacing="0" w:line="360" w:lineRule="auto"/>
              <w:textAlignment w:val="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rFonts w:hint="eastAsia"/>
          <w:b/>
          <w:bCs/>
          <w:color w:val="auto"/>
          <w:sz w:val="32"/>
          <w:szCs w:val="32"/>
          <w:highlight w:val="none"/>
        </w:rPr>
      </w:pPr>
      <w:bookmarkStart w:id="40" w:name="_Toc14504"/>
      <w:r>
        <w:rPr>
          <w:rFonts w:hint="eastAsia"/>
          <w:b/>
          <w:bCs/>
          <w:color w:val="auto"/>
          <w:sz w:val="32"/>
          <w:szCs w:val="32"/>
          <w:highlight w:val="none"/>
        </w:rPr>
        <w:br w:type="page"/>
      </w:r>
    </w:p>
    <w:p>
      <w:pPr>
        <w:jc w:val="center"/>
        <w:rPr>
          <w:b/>
          <w:bCs/>
          <w:color w:val="auto"/>
          <w:sz w:val="32"/>
          <w:szCs w:val="32"/>
          <w:highlight w:val="none"/>
        </w:rPr>
      </w:pPr>
      <w:r>
        <w:rPr>
          <w:rFonts w:hint="eastAsia"/>
          <w:b/>
          <w:bCs/>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default"/>
                <w:color w:val="auto"/>
                <w:highlight w:val="none"/>
                <w:lang w:val="en-US"/>
              </w:rPr>
            </w:pPr>
            <w:r>
              <w:rPr>
                <w:rFonts w:hint="eastAsia"/>
                <w:color w:val="auto"/>
                <w:highlight w:val="none"/>
              </w:rPr>
              <w:t>1.1 项目名称：</w:t>
            </w:r>
            <w:r>
              <w:rPr>
                <w:rFonts w:hint="eastAsia"/>
                <w:color w:val="auto"/>
                <w:highlight w:val="none"/>
                <w:lang w:eastAsia="zh-CN"/>
              </w:rPr>
              <w:t xml:space="preserve">驻马店市中心医院监护除颤类、血压计类、理疗类、医用灯泡类常用配件采购项目 </w:t>
            </w:r>
            <w:r>
              <w:rPr>
                <w:rFonts w:hint="eastAsia"/>
                <w:color w:val="auto"/>
                <w:highlight w:val="none"/>
                <w:lang w:val="en-US" w:eastAsia="zh-CN"/>
              </w:rPr>
              <w:t>。</w:t>
            </w:r>
          </w:p>
          <w:p>
            <w:pPr>
              <w:widowControl/>
              <w:snapToGrid w:val="0"/>
              <w:spacing w:line="440" w:lineRule="exact"/>
              <w:jc w:val="left"/>
              <w:outlineLvl w:val="0"/>
              <w:rPr>
                <w:rFonts w:hint="eastAsia" w:eastAsia="宋体"/>
                <w:color w:val="auto"/>
                <w:highlight w:val="none"/>
                <w:lang w:eastAsia="zh-CN"/>
              </w:rPr>
            </w:pPr>
            <w:r>
              <w:rPr>
                <w:rFonts w:hint="eastAsia"/>
                <w:color w:val="auto"/>
                <w:highlight w:val="none"/>
              </w:rPr>
              <w:t>1.2 采购人名称：</w:t>
            </w:r>
            <w:r>
              <w:rPr>
                <w:rFonts w:hint="eastAsia" w:ascii="宋体" w:hAnsi="宋体" w:eastAsia="宋体" w:cs="宋体"/>
              </w:rPr>
              <w:t>驻马店市中心医院</w:t>
            </w:r>
            <w:r>
              <w:rPr>
                <w:rFonts w:hint="eastAsia" w:ascii="宋体" w:hAnsi="宋体" w:cs="宋体"/>
                <w:lang w:eastAsia="zh-CN"/>
              </w:rPr>
              <w:t>。</w:t>
            </w:r>
          </w:p>
          <w:p>
            <w:pPr>
              <w:widowControl/>
              <w:snapToGrid w:val="0"/>
              <w:spacing w:line="440" w:lineRule="exact"/>
              <w:jc w:val="left"/>
              <w:outlineLvl w:val="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r>
              <w:rPr>
                <w:rFonts w:hint="eastAsia"/>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24万元（据实结算）</w:t>
            </w:r>
            <w:r>
              <w:rPr>
                <w:rFonts w:hint="eastAsia" w:ascii="宋体" w:hAnsi="宋体" w:cs="宋体"/>
                <w:color w:val="auto"/>
                <w:kern w:val="0"/>
                <w:szCs w:val="21"/>
                <w:highlight w:val="none"/>
                <w:lang w:eastAsia="zh-CN"/>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57"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w:t>
            </w:r>
            <w:r>
              <w:rPr>
                <w:rFonts w:hint="eastAsia" w:ascii="宋体" w:hAnsi="宋体" w:cs="宋体"/>
                <w:b/>
                <w:bCs/>
                <w:color w:val="auto"/>
                <w:kern w:val="0"/>
                <w:szCs w:val="21"/>
                <w:highlight w:val="none"/>
                <w:lang w:eastAsia="zh-CN"/>
              </w:rPr>
              <w:t>二名中标人</w:t>
            </w:r>
            <w:r>
              <w:rPr>
                <w:rFonts w:hint="eastAsia" w:ascii="宋体" w:hAnsi="宋体" w:cs="宋体"/>
                <w:color w:val="auto"/>
                <w:kern w:val="0"/>
                <w:szCs w:val="21"/>
                <w:highlight w:val="none"/>
              </w:rPr>
              <w:t>。评审结束后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color w:val="auto"/>
                <w:highlight w:val="none"/>
              </w:rPr>
              <w:t>解释：</w:t>
            </w:r>
            <w:r>
              <w:rPr>
                <w:rFonts w:hint="eastAsia" w:ascii="宋体" w:hAnsi="宋体" w:eastAsia="宋体" w:cs="宋体"/>
                <w:color w:val="auto"/>
                <w:highlight w:val="none"/>
              </w:rPr>
              <w:t>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w:t>
      </w:r>
      <w:r>
        <w:rPr>
          <w:rFonts w:hint="eastAsia" w:ascii="宋体" w:hAnsi="宋体" w:cs="宋体"/>
          <w:b/>
          <w:bCs/>
          <w:color w:val="auto"/>
          <w:kern w:val="0"/>
          <w:szCs w:val="21"/>
          <w:highlight w:val="none"/>
          <w:lang w:val="en-US" w:eastAsia="zh-CN"/>
        </w:rPr>
        <w:t>24万元</w:t>
      </w:r>
      <w:r>
        <w:rPr>
          <w:rFonts w:hint="eastAsia" w:ascii="宋体" w:hAnsi="宋体" w:cs="宋体"/>
          <w:color w:val="auto"/>
          <w:kern w:val="0"/>
          <w:szCs w:val="21"/>
          <w:highlight w:val="none"/>
          <w:lang w:val="en-US" w:eastAsia="zh-CN"/>
        </w:rPr>
        <w:t>（据实结算）</w:t>
      </w:r>
      <w:r>
        <w:rPr>
          <w:rFonts w:hint="eastAsia" w:ascii="宋体" w:hAnsi="宋体" w:cs="宋体"/>
          <w:b/>
          <w:bCs/>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供应商应提供</w:t>
      </w:r>
      <w:r>
        <w:rPr>
          <w:rFonts w:hint="eastAsia" w:ascii="宋体" w:hAnsi="宋体" w:cs="宋体"/>
          <w:color w:val="auto"/>
          <w:sz w:val="21"/>
          <w:szCs w:val="21"/>
          <w:highlight w:val="none"/>
          <w:lang w:val="en-US" w:eastAsia="zh-CN"/>
        </w:rPr>
        <w:t>2022年度</w:t>
      </w:r>
      <w:r>
        <w:rPr>
          <w:rFonts w:hint="eastAsia" w:ascii="宋体" w:hAnsi="宋体" w:eastAsia="宋体" w:cs="宋体"/>
          <w:color w:val="auto"/>
          <w:sz w:val="21"/>
          <w:szCs w:val="21"/>
          <w:highlight w:val="none"/>
          <w:lang w:val="en-US" w:eastAsia="zh-CN"/>
        </w:rPr>
        <w:t>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具有履行合同所必需的设备和专业技术能力（提供书面声明函）。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480" w:lineRule="exact"/>
        <w:ind w:firstLine="420" w:firstLineChars="200"/>
        <w:jc w:val="left"/>
        <w:textAlignment w:val="auto"/>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报价明细表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w:t>
      </w:r>
      <w:r>
        <w:rPr>
          <w:rFonts w:hint="eastAsia" w:ascii="宋体" w:hAnsi="宋体" w:cs="宋体"/>
          <w:color w:val="auto"/>
          <w:kern w:val="0"/>
          <w:szCs w:val="21"/>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、供应商承诺书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16.10、</w:t>
      </w:r>
      <w:r>
        <w:rPr>
          <w:rFonts w:hint="eastAsia" w:ascii="宋体" w:hAnsi="宋体" w:cs="宋体"/>
          <w:color w:val="auto"/>
          <w:kern w:val="0"/>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投标报价以</w:t>
      </w:r>
      <w:r>
        <w:rPr>
          <w:rFonts w:hint="eastAsia" w:ascii="宋体" w:hAnsi="宋体" w:cs="宋体"/>
          <w:color w:val="auto"/>
          <w:kern w:val="0"/>
          <w:szCs w:val="21"/>
          <w:highlight w:val="none"/>
          <w:lang w:val="en-US" w:eastAsia="zh-CN"/>
        </w:rPr>
        <w:t>百分比费率形式报价</w:t>
      </w:r>
      <w:r>
        <w:rPr>
          <w:rFonts w:hint="eastAsia" w:ascii="宋体" w:hAnsi="宋体" w:cs="宋体"/>
          <w:color w:val="auto"/>
          <w:kern w:val="0"/>
          <w:szCs w:val="21"/>
          <w:highlight w:val="none"/>
        </w:rPr>
        <w:t>。投标人的投标报价为交货地点交货价格，包括货物、随配附件、备品备件、工具、厂家赠品、运抵指定交货地点费用、保险费、安装调试费、服务费、售后服务、税金及其他所有费用的总和。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cs="宋体"/>
          <w:b/>
          <w:color w:val="auto"/>
          <w:kern w:val="0"/>
          <w:szCs w:val="21"/>
          <w:highlight w:val="none"/>
        </w:rPr>
      </w:pPr>
      <w:r>
        <w:rPr>
          <w:rFonts w:hint="eastAsia" w:ascii="宋体" w:hAnsi="宋体" w:cs="宋体"/>
          <w:b/>
          <w:color w:val="auto"/>
          <w:kern w:val="0"/>
          <w:szCs w:val="21"/>
          <w:highlight w:val="none"/>
        </w:rPr>
        <w:t>19.</w:t>
      </w:r>
      <w:r>
        <w:rPr>
          <w:rFonts w:hint="eastAsia" w:ascii="宋体" w:hAnsi="宋体" w:cs="宋体"/>
          <w:b/>
          <w:color w:val="auto"/>
          <w:kern w:val="0"/>
          <w:szCs w:val="21"/>
          <w:highlight w:val="none"/>
          <w:lang w:val="en-US" w:eastAsia="zh-CN"/>
        </w:rPr>
        <w:t>本项目不收取</w:t>
      </w:r>
      <w:r>
        <w:rPr>
          <w:rFonts w:hint="eastAsia" w:ascii="宋体" w:hAnsi="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lang w:eastAsia="zh-CN"/>
        </w:rPr>
      </w:pPr>
      <w:r>
        <w:rPr>
          <w:rFonts w:hint="eastAsia"/>
          <w:lang w:eastAsia="zh-CN"/>
        </w:rPr>
        <w:t>2</w:t>
      </w:r>
      <w:r>
        <w:rPr>
          <w:rFonts w:hint="eastAsia"/>
          <w:lang w:val="en-US" w:eastAsia="zh-CN"/>
        </w:rPr>
        <w:t>1</w:t>
      </w:r>
      <w:r>
        <w:rPr>
          <w:rFonts w:hint="eastAsia"/>
          <w:lang w:eastAsia="zh-CN"/>
        </w:rPr>
        <w:t>.3 未按本章第2</w:t>
      </w:r>
      <w:r>
        <w:rPr>
          <w:rFonts w:hint="eastAsia"/>
          <w:lang w:val="en-US" w:eastAsia="zh-CN"/>
        </w:rPr>
        <w:t>1</w:t>
      </w:r>
      <w:r>
        <w:rPr>
          <w:rFonts w:hint="eastAsia"/>
          <w:lang w:eastAsia="zh-CN"/>
        </w:rPr>
        <w:t>.1项或第2</w:t>
      </w:r>
      <w:r>
        <w:rPr>
          <w:rFonts w:hint="eastAsia"/>
          <w:lang w:val="en-US" w:eastAsia="zh-CN"/>
        </w:rPr>
        <w:t>1</w:t>
      </w:r>
      <w:r>
        <w:rPr>
          <w:rFonts w:hint="eastAsia"/>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w:t>
      </w:r>
      <w:r>
        <w:rPr>
          <w:rFonts w:hint="eastAsia" w:ascii="宋体" w:hAnsi="宋体" w:cs="宋体"/>
          <w:b/>
          <w:bCs w:val="0"/>
          <w:color w:val="auto"/>
          <w:kern w:val="0"/>
          <w:szCs w:val="21"/>
          <w:highlight w:val="none"/>
          <w:lang w:eastAsia="zh-CN"/>
        </w:rPr>
        <w:t>二名中标人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rFonts w:hint="eastAsia" w:ascii="黑体" w:hAnsi="宋体" w:eastAsia="黑体" w:cs="宋体"/>
          <w:b/>
          <w:bCs/>
          <w:color w:val="auto"/>
          <w:kern w:val="0"/>
          <w:sz w:val="32"/>
          <w:szCs w:val="32"/>
          <w:highlight w:val="none"/>
        </w:rPr>
      </w:pPr>
      <w:bookmarkStart w:id="43" w:name="_Toc9022"/>
      <w:bookmarkStart w:id="44" w:name="_Toc4700"/>
      <w:bookmarkStart w:id="45" w:name="_Toc16669"/>
      <w:r>
        <w:rPr>
          <w:rFonts w:hint="eastAsia" w:ascii="黑体" w:hAnsi="宋体" w:eastAsia="黑体" w:cs="宋体"/>
          <w:b/>
          <w:bCs/>
          <w:color w:val="auto"/>
          <w:kern w:val="0"/>
          <w:sz w:val="32"/>
          <w:szCs w:val="32"/>
          <w:highlight w:val="none"/>
        </w:rPr>
        <w:br w:type="page"/>
      </w:r>
    </w:p>
    <w:p>
      <w:pPr>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第四章  评标办法及评分标准</w:t>
      </w:r>
      <w:bookmarkEnd w:id="43"/>
      <w:bookmarkEnd w:id="44"/>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301"/>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1239" w:type="dxa"/>
            <w:vMerge w:val="restart"/>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rPr>
              <w:t>分)</w:t>
            </w:r>
          </w:p>
        </w:tc>
        <w:tc>
          <w:tcPr>
            <w:tcW w:w="1301"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监护除颤类配件</w:t>
            </w:r>
            <w:r>
              <w:rPr>
                <w:rFonts w:hint="eastAsia" w:ascii="宋体" w:hAnsi="宋体" w:cs="宋体"/>
                <w:b w:val="0"/>
                <w:bCs w:val="0"/>
                <w:color w:val="auto"/>
                <w:sz w:val="21"/>
                <w:szCs w:val="21"/>
                <w:highlight w:val="none"/>
                <w:lang w:val="en-US" w:eastAsia="zh-CN"/>
              </w:rPr>
              <w:t>报价（25分）</w:t>
            </w:r>
          </w:p>
        </w:tc>
        <w:tc>
          <w:tcPr>
            <w:tcW w:w="6942" w:type="dxa"/>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pPr>
          </w:p>
        </w:tc>
        <w:tc>
          <w:tcPr>
            <w:tcW w:w="1301"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血压计类配件</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理疗类配件</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医用灯泡类</w:t>
            </w:r>
            <w:r>
              <w:rPr>
                <w:rFonts w:hint="eastAsia" w:ascii="宋体" w:hAnsi="宋体" w:cs="宋体"/>
                <w:b w:val="0"/>
                <w:bCs w:val="0"/>
                <w:color w:val="auto"/>
                <w:sz w:val="21"/>
                <w:szCs w:val="21"/>
                <w:highlight w:val="none"/>
                <w:lang w:val="en-US" w:eastAsia="zh-CN"/>
              </w:rPr>
              <w:t>报价（15分）</w:t>
            </w:r>
          </w:p>
        </w:tc>
        <w:tc>
          <w:tcPr>
            <w:tcW w:w="6942" w:type="dxa"/>
            <w:noWrap w:val="0"/>
            <w:vAlign w:val="center"/>
          </w:tcPr>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1301"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lang w:val="en-US" w:eastAsia="zh-CN"/>
              </w:rPr>
              <w:t>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投标人对“第二章  采购需求”技术参数、性能及产品功能等的响应，所投内容全部满足磋商文件要求得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cs="宋体"/>
                <w:b w:val="0"/>
                <w:bCs w:val="0"/>
                <w:color w:val="auto"/>
                <w:sz w:val="21"/>
                <w:szCs w:val="21"/>
                <w:highlight w:val="none"/>
                <w:lang w:val="en-US" w:eastAsia="zh-CN"/>
              </w:rPr>
              <w:t>存在负偏离的得0分，</w:t>
            </w:r>
            <w:r>
              <w:rPr>
                <w:rFonts w:hint="eastAsia" w:ascii="宋体" w:hAnsi="宋体" w:eastAsia="宋体" w:cs="宋体"/>
                <w:b w:val="0"/>
                <w:bCs w:val="0"/>
                <w:color w:val="auto"/>
                <w:sz w:val="21"/>
                <w:szCs w:val="21"/>
                <w:highlight w:val="none"/>
              </w:rPr>
              <w:t>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1301"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2.产品综合评议（10分）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由评委根据项目特性结合各响应产品制造工艺、稳定性、性能及技术先进性等进行打分。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响应产品制造工艺、稳定性好，性能好、技术先进的得8-10分；响应产品制造工艺、稳定性较好，性能较好、技术较先进的得4-7分；响应产品制造工艺、稳定性、性能一般，技术保守的得1-3分。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1301"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供应商对项目实施方案的整体规划，包括设备对接方案、调试方案、交货期保证措施</w:t>
            </w:r>
            <w:r>
              <w:rPr>
                <w:rFonts w:hint="eastAsia" w:ascii="宋体" w:hAnsi="宋体" w:cs="宋体"/>
                <w:b w:val="0"/>
                <w:bCs w:val="0"/>
                <w:color w:val="auto"/>
                <w:sz w:val="21"/>
                <w:szCs w:val="21"/>
                <w:highlight w:val="none"/>
                <w:lang w:val="en-US" w:eastAsia="zh-CN"/>
              </w:rPr>
              <w:t>、应急处置措施</w:t>
            </w:r>
            <w:r>
              <w:rPr>
                <w:rFonts w:hint="eastAsia" w:ascii="宋体" w:hAnsi="宋体" w:eastAsia="宋体" w:cs="宋体"/>
                <w:b w:val="0"/>
                <w:bCs w:val="0"/>
                <w:color w:val="auto"/>
                <w:sz w:val="21"/>
                <w:szCs w:val="21"/>
                <w:highlight w:val="none"/>
                <w:lang w:val="en-US" w:eastAsia="zh-CN"/>
              </w:rPr>
              <w:t>。</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w:t>
            </w:r>
            <w:r>
              <w:rPr>
                <w:rFonts w:hint="eastAsia" w:ascii="宋体" w:hAnsi="宋体" w:cs="宋体"/>
                <w:b w:val="0"/>
                <w:bCs w:val="0"/>
                <w:color w:val="auto"/>
                <w:sz w:val="21"/>
                <w:szCs w:val="21"/>
                <w:highlight w:val="none"/>
                <w:lang w:val="en-US" w:eastAsia="zh-CN"/>
              </w:rPr>
              <w:t>11</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分；基本详细、基本合理、基本可行的</w:t>
            </w:r>
            <w:r>
              <w:rPr>
                <w:rFonts w:hint="eastAsia" w:ascii="宋体" w:hAnsi="宋体" w:cs="宋体"/>
                <w:b w:val="0"/>
                <w:bCs w:val="0"/>
                <w:color w:val="auto"/>
                <w:sz w:val="21"/>
                <w:szCs w:val="21"/>
                <w:highlight w:val="none"/>
                <w:lang w:val="en-US" w:eastAsia="zh-CN"/>
              </w:rPr>
              <w:t>6-10</w:t>
            </w:r>
            <w:r>
              <w:rPr>
                <w:rFonts w:hint="eastAsia" w:ascii="宋体" w:hAnsi="宋体" w:eastAsia="宋体" w:cs="宋体"/>
                <w:b w:val="0"/>
                <w:bCs w:val="0"/>
                <w:color w:val="auto"/>
                <w:sz w:val="21"/>
                <w:szCs w:val="21"/>
                <w:highlight w:val="none"/>
                <w:lang w:val="en-US" w:eastAsia="zh-CN"/>
              </w:rPr>
              <w:t>分；基本详细度、合理性差、可行性差的1-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分；缺项</w:t>
            </w:r>
            <w:r>
              <w:rPr>
                <w:rFonts w:hint="eastAsia" w:ascii="宋体" w:hAnsi="宋体" w:cs="宋体"/>
                <w:b w:val="0"/>
                <w:bCs w:val="0"/>
                <w:color w:val="auto"/>
                <w:sz w:val="21"/>
                <w:szCs w:val="21"/>
                <w:highlight w:val="none"/>
                <w:lang w:val="en-US" w:eastAsia="zh-CN"/>
              </w:rPr>
              <w:t>得</w:t>
            </w:r>
            <w:r>
              <w:rPr>
                <w:rFonts w:hint="eastAsia" w:ascii="宋体" w:hAnsi="宋体" w:eastAsia="宋体" w:cs="宋体"/>
                <w:b w:val="0"/>
                <w:bCs w:val="0"/>
                <w:color w:val="auto"/>
                <w:sz w:val="21"/>
                <w:szCs w:val="21"/>
                <w:highlight w:val="none"/>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w:t>
            </w:r>
          </w:p>
        </w:tc>
        <w:tc>
          <w:tcPr>
            <w:tcW w:w="1301"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1.质保期（6分）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1301"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1301"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.售后服务体系（1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942"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根据投标人服务团队设立情况、备品备件供应、售后服务及时率、详细的维修时间和处理方案、售后服务承诺等内容进行综合对比评分。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售后服务承诺内容具体、完善、合理性程度强得11-15分，具体、完善、合理性程度一般得</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-10分，具体、完善、合理性程度差得1-</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bookmarkEnd w:id="45"/>
    </w:tbl>
    <w:p>
      <w:pPr>
        <w:rPr>
          <w:color w:val="auto"/>
          <w:highlight w:val="none"/>
        </w:rPr>
      </w:pPr>
      <w:bookmarkStart w:id="46" w:name="_Toc1947"/>
      <w:bookmarkStart w:id="47" w:name="_Toc326786897"/>
      <w:bookmarkStart w:id="48" w:name="_Toc1482"/>
      <w:bookmarkStart w:id="49" w:name="_Toc256519703"/>
    </w:p>
    <w:p>
      <w:pPr>
        <w:rPr>
          <w:rFonts w:hint="eastAsia" w:ascii="黑体" w:hAnsi="宋体" w:eastAsia="黑体" w:cs="宋体"/>
          <w:b/>
          <w:bCs/>
          <w:color w:val="auto"/>
          <w:kern w:val="0"/>
          <w:sz w:val="32"/>
          <w:szCs w:val="32"/>
          <w:highlight w:val="none"/>
        </w:rPr>
      </w:pPr>
      <w:bookmarkStart w:id="50" w:name="_Toc28988"/>
      <w:r>
        <w:rPr>
          <w:rFonts w:hint="eastAsia" w:ascii="黑体" w:hAnsi="宋体" w:eastAsia="黑体" w:cs="宋体"/>
          <w:b/>
          <w:bCs/>
          <w:color w:val="auto"/>
          <w:kern w:val="0"/>
          <w:sz w:val="32"/>
          <w:szCs w:val="32"/>
          <w:highlight w:val="none"/>
        </w:rPr>
        <w:br w:type="page"/>
      </w:r>
    </w:p>
    <w:p>
      <w:pPr>
        <w:jc w:val="center"/>
        <w:rPr>
          <w:rFonts w:hint="eastAsia" w:ascii="黑体" w:hAnsi="宋体" w:eastAsia="黑体" w:cs="宋体"/>
          <w:b/>
          <w:bCs/>
          <w:color w:val="auto"/>
          <w:kern w:val="0"/>
          <w:sz w:val="32"/>
          <w:szCs w:val="32"/>
          <w:highlight w:val="none"/>
        </w:rPr>
      </w:pPr>
      <w:r>
        <w:rPr>
          <w:rFonts w:hint="eastAsia" w:ascii="黑体" w:hAnsi="宋体" w:eastAsia="黑体" w:cs="宋体"/>
          <w:b/>
          <w:bCs/>
          <w:color w:val="auto"/>
          <w:kern w:val="0"/>
          <w:sz w:val="32"/>
          <w:szCs w:val="32"/>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pPr>
        <w:rPr>
          <w:color w:val="auto"/>
          <w:sz w:val="32"/>
          <w:szCs w:val="32"/>
          <w:highlight w:val="none"/>
        </w:rPr>
      </w:pPr>
    </w:p>
    <w:p>
      <w:pPr>
        <w:rPr>
          <w:color w:val="auto"/>
          <w:highlight w:val="none"/>
        </w:rPr>
      </w:pPr>
      <w:r>
        <w:rPr>
          <w:color w:val="auto"/>
          <w:highlight w:val="none"/>
        </w:rPr>
        <w:br w:type="page"/>
      </w:r>
    </w:p>
    <w:bookmarkEnd w:id="46"/>
    <w:bookmarkEnd w:id="47"/>
    <w:bookmarkEnd w:id="48"/>
    <w:bookmarkEnd w:id="49"/>
    <w:p>
      <w:pPr>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bookmarkStart w:id="53" w:name="_Toc11308"/>
      <w:r>
        <w:rPr>
          <w:rFonts w:hint="eastAsia" w:ascii="Times New Roman" w:hAnsi="Times New Roman" w:cs="Times New Roman"/>
          <w:color w:val="auto"/>
          <w:sz w:val="24"/>
          <w:highlight w:val="none"/>
        </w:rPr>
        <w:t>附件1投标文件封面（格式）</w:t>
      </w:r>
      <w:bookmarkEnd w:id="53"/>
    </w:p>
    <w:p>
      <w:pPr>
        <w:snapToGrid w:val="0"/>
        <w:spacing w:line="360" w:lineRule="auto"/>
        <w:ind w:firstLine="480" w:firstLineChars="200"/>
        <w:rPr>
          <w:rFonts w:hint="eastAsia" w:ascii="Times New Roman" w:hAnsi="Times New Roman" w:cs="Times New Roman"/>
          <w:color w:val="auto"/>
          <w:sz w:val="24"/>
          <w:highlight w:val="none"/>
        </w:rPr>
      </w:pPr>
      <w:bookmarkStart w:id="54" w:name="_Toc25345"/>
      <w:r>
        <w:rPr>
          <w:rFonts w:hint="eastAsia" w:ascii="Times New Roman" w:hAnsi="Times New Roman" w:cs="Times New Roman"/>
          <w:color w:val="auto"/>
          <w:sz w:val="24"/>
          <w:highlight w:val="none"/>
        </w:rPr>
        <w:t>附件2 投标书（格式）</w:t>
      </w:r>
      <w:bookmarkEnd w:id="54"/>
    </w:p>
    <w:p>
      <w:pPr>
        <w:snapToGrid w:val="0"/>
        <w:spacing w:line="360" w:lineRule="auto"/>
        <w:ind w:firstLine="480" w:firstLineChars="200"/>
        <w:rPr>
          <w:rFonts w:hint="eastAsia" w:ascii="Times New Roman" w:hAnsi="Times New Roman" w:cs="Times New Roman"/>
          <w:color w:val="auto"/>
          <w:sz w:val="24"/>
          <w:highlight w:val="none"/>
        </w:rPr>
      </w:pPr>
      <w:bookmarkStart w:id="55" w:name="_Toc10217"/>
      <w:r>
        <w:rPr>
          <w:rFonts w:hint="eastAsia" w:ascii="Times New Roman" w:hAnsi="Times New Roman" w:cs="Times New Roman"/>
          <w:color w:val="auto"/>
          <w:sz w:val="24"/>
          <w:highlight w:val="none"/>
        </w:rPr>
        <w:t>附件3 开标一览表（格式）</w:t>
      </w:r>
      <w:bookmarkEnd w:id="55"/>
    </w:p>
    <w:p>
      <w:pPr>
        <w:snapToGrid w:val="0"/>
        <w:spacing w:line="360" w:lineRule="auto"/>
        <w:ind w:firstLine="480" w:firstLineChars="200"/>
        <w:rPr>
          <w:rFonts w:hint="eastAsia" w:ascii="Times New Roman" w:hAnsi="Times New Roman" w:cs="Times New Roman"/>
          <w:color w:val="auto"/>
          <w:sz w:val="24"/>
          <w:highlight w:val="none"/>
        </w:rPr>
      </w:pPr>
      <w:bookmarkStart w:id="56" w:name="_Toc9579"/>
      <w:r>
        <w:rPr>
          <w:rFonts w:hint="eastAsia" w:ascii="Times New Roman" w:hAnsi="Times New Roman" w:cs="Times New Roman"/>
          <w:color w:val="auto"/>
          <w:sz w:val="24"/>
          <w:highlight w:val="none"/>
        </w:rPr>
        <w:t>附件4 投标报价明细表（格式）</w:t>
      </w:r>
      <w:bookmarkEnd w:id="56"/>
    </w:p>
    <w:p>
      <w:pPr>
        <w:snapToGrid w:val="0"/>
        <w:spacing w:line="360" w:lineRule="auto"/>
        <w:ind w:firstLine="480" w:firstLineChars="200"/>
        <w:rPr>
          <w:rFonts w:hint="default" w:ascii="Times New Roman" w:hAnsi="Times New Roman" w:cs="Times New Roman"/>
          <w:color w:val="auto"/>
          <w:sz w:val="24"/>
          <w:highlight w:val="none"/>
          <w:lang w:val="en-US" w:eastAsia="zh-CN"/>
        </w:rPr>
      </w:pPr>
      <w:bookmarkStart w:id="57" w:name="_Toc28392"/>
      <w:r>
        <w:rPr>
          <w:rFonts w:hint="eastAsia" w:ascii="Times New Roman" w:hAnsi="Times New Roman" w:cs="Times New Roman"/>
          <w:color w:val="auto"/>
          <w:sz w:val="24"/>
          <w:highlight w:val="none"/>
        </w:rPr>
        <w:t>附件5</w:t>
      </w:r>
      <w:bookmarkEnd w:id="57"/>
      <w:r>
        <w:rPr>
          <w:rFonts w:hint="eastAsia" w:ascii="Times New Roman" w:hAnsi="Times New Roman" w:cs="Times New Roman"/>
          <w:color w:val="auto"/>
          <w:sz w:val="24"/>
          <w:highlight w:val="none"/>
        </w:rPr>
        <w:t>技术响应表</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lang w:val="en-US" w:eastAsia="zh-CN"/>
        </w:rPr>
        <w:t>格式）</w:t>
      </w:r>
    </w:p>
    <w:p>
      <w:pPr>
        <w:snapToGrid w:val="0"/>
        <w:spacing w:line="360" w:lineRule="auto"/>
        <w:ind w:firstLine="480" w:firstLineChars="200"/>
        <w:rPr>
          <w:rFonts w:hint="eastAsia" w:ascii="Times New Roman" w:hAnsi="Times New Roman" w:cs="Times New Roman"/>
          <w:color w:val="auto"/>
          <w:sz w:val="24"/>
          <w:highlight w:val="none"/>
        </w:rPr>
      </w:pPr>
      <w:bookmarkStart w:id="58" w:name="_Toc6234"/>
      <w:r>
        <w:rPr>
          <w:rFonts w:hint="eastAsia" w:ascii="Times New Roman" w:hAnsi="Times New Roman" w:cs="Times New Roman"/>
          <w:color w:val="auto"/>
          <w:sz w:val="24"/>
          <w:highlight w:val="none"/>
        </w:rPr>
        <w:t xml:space="preserve">附件6 </w:t>
      </w:r>
      <w:bookmarkEnd w:id="58"/>
      <w:r>
        <w:rPr>
          <w:rFonts w:hint="eastAsia" w:ascii="Times New Roman" w:hAnsi="Times New Roman" w:cs="Times New Roman"/>
          <w:color w:val="auto"/>
          <w:sz w:val="24"/>
          <w:highlight w:val="none"/>
        </w:rPr>
        <w:t>商务响应</w:t>
      </w:r>
      <w:r>
        <w:rPr>
          <w:rFonts w:hint="eastAsia" w:ascii="Times New Roman" w:hAnsi="Times New Roman" w:cs="Times New Roman"/>
          <w:color w:val="auto"/>
          <w:sz w:val="24"/>
          <w:highlight w:val="none"/>
          <w:lang w:val="en-US" w:eastAsia="zh-CN"/>
        </w:rPr>
        <w:t>部分</w:t>
      </w:r>
    </w:p>
    <w:p>
      <w:pPr>
        <w:snapToGrid w:val="0"/>
        <w:spacing w:line="360" w:lineRule="auto"/>
        <w:ind w:firstLine="480" w:firstLineChars="200"/>
        <w:rPr>
          <w:rFonts w:hint="eastAsia" w:ascii="Times New Roman" w:hAnsi="Times New Roman" w:cs="Times New Roman"/>
          <w:color w:val="auto"/>
          <w:sz w:val="24"/>
          <w:highlight w:val="none"/>
        </w:rPr>
      </w:pPr>
      <w:bookmarkStart w:id="59" w:name="_Toc26231"/>
      <w:r>
        <w:rPr>
          <w:rFonts w:hint="eastAsia" w:ascii="Times New Roman" w:hAnsi="Times New Roman" w:cs="Times New Roman"/>
          <w:color w:val="auto"/>
          <w:sz w:val="24"/>
          <w:highlight w:val="none"/>
        </w:rPr>
        <w:t>附件7</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法定代表人身份证明（格式）</w:t>
      </w:r>
      <w:bookmarkEnd w:id="59"/>
    </w:p>
    <w:p>
      <w:pPr>
        <w:snapToGrid w:val="0"/>
        <w:spacing w:line="360" w:lineRule="auto"/>
        <w:ind w:firstLine="480" w:firstLineChars="200"/>
        <w:rPr>
          <w:rFonts w:hint="eastAsia" w:ascii="Times New Roman" w:hAnsi="Times New Roman" w:cs="Times New Roman"/>
          <w:color w:val="auto"/>
          <w:sz w:val="24"/>
          <w:highlight w:val="none"/>
        </w:rPr>
      </w:pPr>
      <w:bookmarkStart w:id="60" w:name="_Toc18484"/>
      <w:r>
        <w:rPr>
          <w:rFonts w:hint="eastAsia" w:ascii="Times New Roman" w:hAnsi="Times New Roman" w:cs="Times New Roman"/>
          <w:color w:val="auto"/>
          <w:sz w:val="24"/>
          <w:highlight w:val="none"/>
        </w:rPr>
        <w:t>附件8</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cs="Times New Roman"/>
          <w:color w:val="auto"/>
          <w:sz w:val="24"/>
          <w:highlight w:val="none"/>
        </w:rPr>
        <w:t>法定代表人授权书（格式）</w:t>
      </w:r>
      <w:bookmarkEnd w:id="60"/>
    </w:p>
    <w:p>
      <w:pPr>
        <w:snapToGrid w:val="0"/>
        <w:spacing w:line="360" w:lineRule="auto"/>
        <w:ind w:firstLine="480" w:firstLineChars="200"/>
        <w:rPr>
          <w:rFonts w:hint="eastAsia" w:ascii="Times New Roman" w:hAnsi="Times New Roman" w:cs="Times New Roman"/>
          <w:color w:val="auto"/>
          <w:sz w:val="24"/>
          <w:highlight w:val="none"/>
        </w:rPr>
      </w:pPr>
      <w:bookmarkStart w:id="61" w:name="_Toc31857"/>
      <w:r>
        <w:rPr>
          <w:rFonts w:hint="eastAsia" w:ascii="Times New Roman" w:hAnsi="Times New Roman" w:cs="Times New Roman"/>
          <w:color w:val="auto"/>
          <w:sz w:val="24"/>
          <w:highlight w:val="none"/>
        </w:rPr>
        <w:t>附件9 证明文件</w:t>
      </w:r>
      <w:bookmarkEnd w:id="61"/>
    </w:p>
    <w:p>
      <w:pPr>
        <w:snapToGrid w:val="0"/>
        <w:spacing w:line="360" w:lineRule="auto"/>
        <w:ind w:firstLine="480" w:firstLineChars="200"/>
        <w:rPr>
          <w:rFonts w:hint="eastAsia" w:ascii="Times New Roman" w:hAnsi="Times New Roman" w:cs="Times New Roman"/>
          <w:color w:val="auto"/>
          <w:sz w:val="24"/>
          <w:highlight w:val="none"/>
        </w:rPr>
      </w:pPr>
      <w:bookmarkStart w:id="62" w:name="_Toc23116"/>
      <w:r>
        <w:rPr>
          <w:rFonts w:hint="eastAsia" w:ascii="Times New Roman" w:hAnsi="Times New Roman" w:cs="Times New Roman"/>
          <w:color w:val="auto"/>
          <w:sz w:val="24"/>
          <w:highlight w:val="none"/>
        </w:rPr>
        <w:t>附件10 供应商承诺书（格式）</w:t>
      </w:r>
      <w:bookmarkEnd w:id="62"/>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附件11 供应商信用承诺函（格式）</w:t>
      </w:r>
    </w:p>
    <w:p>
      <w:pPr>
        <w:snapToGrid w:val="0"/>
        <w:spacing w:line="360" w:lineRule="auto"/>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 xml:space="preserve">附件12 </w:t>
      </w:r>
      <w:r>
        <w:rPr>
          <w:rFonts w:hint="eastAsia" w:ascii="Times New Roman" w:hAnsi="Times New Roman" w:cs="Times New Roman"/>
          <w:color w:val="auto"/>
          <w:sz w:val="24"/>
          <w:highlight w:val="none"/>
        </w:rPr>
        <w:t>投标人认为有必要的其他资料</w:t>
      </w:r>
    </w:p>
    <w:p>
      <w:pPr>
        <w:snapToGrid w:val="0"/>
        <w:spacing w:line="360" w:lineRule="auto"/>
        <w:ind w:firstLine="480" w:firstLineChars="200"/>
        <w:rPr>
          <w:rFonts w:hint="eastAsia" w:ascii="Times New Roman" w:hAnsi="Times New Roman" w:cs="Times New Roman"/>
          <w:color w:val="auto"/>
          <w:sz w:val="24"/>
          <w:highlight w:val="none"/>
        </w:rPr>
      </w:pPr>
    </w:p>
    <w:p>
      <w:pPr>
        <w:snapToGrid w:val="0"/>
        <w:spacing w:line="360" w:lineRule="auto"/>
        <w:ind w:firstLine="480" w:firstLineChars="200"/>
        <w:rPr>
          <w:rFonts w:hint="eastAsia" w:ascii="Times New Roman" w:hAnsi="Times New Roman" w:cs="Times New Roman"/>
          <w:color w:val="auto"/>
          <w:sz w:val="24"/>
          <w:highlight w:val="none"/>
        </w:rPr>
      </w:pPr>
    </w:p>
    <w:p>
      <w:pPr>
        <w:pStyle w:val="4"/>
        <w:rPr>
          <w:rFonts w:hAnsi="宋体"/>
          <w:b/>
          <w:bCs/>
          <w:color w:val="auto"/>
          <w:highlight w:val="none"/>
        </w:rPr>
      </w:pPr>
    </w:p>
    <w:p>
      <w:pPr>
        <w:pStyle w:val="4"/>
        <w:rPr>
          <w:rFonts w:hAnsi="宋体"/>
          <w:b/>
          <w:bCs/>
          <w:color w:val="auto"/>
          <w:highlight w:val="none"/>
        </w:rPr>
      </w:pPr>
    </w:p>
    <w:p>
      <w:pPr>
        <w:rPr>
          <w:color w:val="auto"/>
          <w:highlight w:val="none"/>
        </w:rPr>
      </w:pPr>
      <w:r>
        <w:rPr>
          <w:rFonts w:hint="eastAsia"/>
          <w:color w:val="auto"/>
          <w:highlight w:val="none"/>
        </w:rPr>
        <w:br w:type="page"/>
      </w:r>
    </w:p>
    <w:p>
      <w:pPr>
        <w:pStyle w:val="27"/>
        <w:rPr>
          <w:color w:val="auto"/>
          <w:highlight w:val="none"/>
        </w:rPr>
      </w:pPr>
    </w:p>
    <w:p>
      <w:pPr>
        <w:pStyle w:val="5"/>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snapToGrid w:val="0"/>
          <w:color w:val="auto"/>
          <w:spacing w:val="0"/>
          <w:kern w:val="0"/>
          <w:sz w:val="44"/>
          <w:szCs w:val="44"/>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
        <w:spacing w:line="360" w:lineRule="auto"/>
        <w:rPr>
          <w:rFonts w:hint="eastAsia" w:ascii="宋体" w:hAnsi="宋体" w:eastAsia="宋体" w:cs="宋体"/>
          <w:color w:val="auto"/>
          <w:highlight w:val="none"/>
        </w:rPr>
      </w:pPr>
    </w:p>
    <w:p>
      <w:pPr>
        <w:pStyle w:val="4"/>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（全称并加盖公章）</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5"/>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cs="宋体"/>
          <w:color w:val="auto"/>
          <w:kern w:val="0"/>
          <w:szCs w:val="21"/>
          <w:highlight w:val="none"/>
          <w:u w:val="single"/>
          <w:lang w:val="en-US" w:eastAsia="zh-CN"/>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none"/>
          <w:lang w:val="en-US" w:eastAsia="zh-CN"/>
        </w:rPr>
        <w:t>。</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3"/>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2"/>
        <w:gridCol w:w="7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687"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687"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972" w:type="dxa"/>
            <w:vMerge w:val="restart"/>
            <w:noWrap/>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投标报价</w:t>
            </w:r>
          </w:p>
          <w:p>
            <w:pPr>
              <w:jc w:val="center"/>
              <w:rPr>
                <w:rFonts w:ascii="宋体" w:hAnsi="宋体"/>
                <w:color w:val="auto"/>
                <w:spacing w:val="-20"/>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费率%</w:t>
            </w:r>
            <w:r>
              <w:rPr>
                <w:rFonts w:hint="eastAsia" w:ascii="宋体" w:hAnsi="宋体"/>
                <w:color w:val="auto"/>
                <w:szCs w:val="21"/>
                <w:highlight w:val="none"/>
                <w:lang w:eastAsia="zh-CN"/>
              </w:rPr>
              <w:t>）</w:t>
            </w:r>
          </w:p>
        </w:tc>
        <w:tc>
          <w:tcPr>
            <w:tcW w:w="7687" w:type="dxa"/>
            <w:noWrap/>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olor w:val="auto"/>
                <w:szCs w:val="21"/>
                <w:highlight w:val="none"/>
                <w:u w:val="single"/>
                <w:lang w:val="en-US" w:eastAsia="zh-CN"/>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监护除颤类配件</w:t>
            </w:r>
            <w:r>
              <w:rPr>
                <w:rFonts w:hint="eastAsia" w:ascii="宋体" w:hAnsi="宋体" w:cs="宋体"/>
                <w:b w:val="0"/>
                <w:bCs w:val="0"/>
                <w:color w:val="auto"/>
                <w:sz w:val="21"/>
                <w:szCs w:val="21"/>
                <w:highlight w:val="none"/>
                <w:lang w:val="en-US" w:eastAsia="zh-CN"/>
              </w:rPr>
              <w:t>报价：</w:t>
            </w:r>
            <w:r>
              <w:rPr>
                <w:rFonts w:hint="eastAsia" w:ascii="宋体" w:hAnsi="宋体" w:cs="宋体"/>
                <w:b w:val="0"/>
                <w:bCs w:val="0"/>
                <w:color w:val="auto"/>
                <w:sz w:val="21"/>
                <w:szCs w:val="21"/>
                <w:highlight w:val="none"/>
                <w:u w:val="single"/>
                <w:lang w:val="en-US" w:eastAsia="zh-CN"/>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72" w:type="dxa"/>
            <w:vMerge w:val="continue"/>
            <w:noWrap/>
            <w:vAlign w:val="center"/>
          </w:tcPr>
          <w:p/>
        </w:tc>
        <w:tc>
          <w:tcPr>
            <w:tcW w:w="7687" w:type="dxa"/>
            <w:noWrap/>
            <w:vAlign w:val="center"/>
          </w:tcPr>
          <w:p>
            <w:pPr>
              <w:keepNext w:val="0"/>
              <w:keepLines w:val="0"/>
              <w:pageBreakBefore w:val="0"/>
              <w:widowControl/>
              <w:kinsoku/>
              <w:wordWrap/>
              <w:overflowPunct/>
              <w:topLinePunct w:val="0"/>
              <w:bidi w:val="0"/>
              <w:snapToGrid w:val="0"/>
              <w:spacing w:line="320" w:lineRule="exact"/>
              <w:textAlignment w:val="auto"/>
              <w:rPr>
                <w:rFonts w:hint="default" w:ascii="宋体" w:hAnsi="宋体" w:eastAsia="宋体"/>
                <w:color w:val="auto"/>
                <w:szCs w:val="21"/>
                <w:highlight w:val="none"/>
                <w:u w:val="singl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血压计类配件</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理疗类配件</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医用灯泡类</w:t>
            </w:r>
            <w:r>
              <w:rPr>
                <w:rFonts w:hint="eastAsia" w:ascii="宋体" w:hAnsi="宋体" w:cs="宋体"/>
                <w:b w:val="0"/>
                <w:bCs w:val="0"/>
                <w:color w:val="auto"/>
                <w:sz w:val="21"/>
                <w:szCs w:val="21"/>
                <w:highlight w:val="none"/>
                <w:lang w:val="en-US" w:eastAsia="zh-CN"/>
              </w:rPr>
              <w:t>报价：</w:t>
            </w:r>
            <w:r>
              <w:rPr>
                <w:rFonts w:hint="eastAsia" w:ascii="宋体" w:hAnsi="宋体" w:cs="宋体"/>
                <w:b w:val="0"/>
                <w:bCs w:val="0"/>
                <w:color w:val="auto"/>
                <w:sz w:val="21"/>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合同履行期限</w:t>
            </w:r>
          </w:p>
        </w:tc>
        <w:tc>
          <w:tcPr>
            <w:tcW w:w="7687"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687"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687"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72"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687"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972"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687" w:type="dxa"/>
            <w:noWrap/>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11620"/>
      <w:bookmarkStart w:id="69" w:name="_Toc20877"/>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p>
      <w:pPr>
        <w:pStyle w:val="5"/>
        <w:spacing w:before="20" w:after="20"/>
        <w:rPr>
          <w:rFonts w:hint="eastAsia" w:ascii="宋体" w:hAnsi="宋体" w:eastAsia="宋体" w:cs="宋体"/>
          <w:color w:val="auto"/>
          <w:highlight w:val="none"/>
        </w:rPr>
      </w:pPr>
      <w:bookmarkStart w:id="74" w:name="_Toc24984"/>
      <w:bookmarkStart w:id="75" w:name="_Toc22004"/>
      <w:r>
        <w:rPr>
          <w:rFonts w:hint="eastAsia" w:ascii="宋体" w:hAnsi="宋体" w:eastAsia="宋体" w:cs="宋体"/>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5"/>
        <w:rPr>
          <w:color w:val="auto"/>
          <w:highlight w:val="none"/>
        </w:rPr>
      </w:pPr>
      <w:r>
        <w:rPr>
          <w:rFonts w:hint="eastAsia"/>
          <w:color w:val="auto"/>
          <w:highlight w:val="none"/>
        </w:rPr>
        <w:br w:type="page"/>
      </w:r>
      <w:bookmarkStart w:id="76" w:name="_Toc15804"/>
      <w:bookmarkStart w:id="77" w:name="_Toc226"/>
      <w:r>
        <w:rPr>
          <w:rFonts w:hint="eastAsia" w:ascii="宋体" w:hAnsi="宋体" w:eastAsia="宋体" w:cs="宋体"/>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4"/>
          <w:szCs w:val="24"/>
          <w:highlight w:val="none"/>
          <w:lang w:val="en-US" w:eastAsia="zh-CN"/>
        </w:rPr>
      </w:pPr>
      <w:bookmarkStart w:id="78" w:name="_Toc29960"/>
      <w:bookmarkStart w:id="79" w:name="_Toc20420"/>
      <w:r>
        <w:rPr>
          <w:rFonts w:hint="eastAsia" w:ascii="Arial" w:hAnsi="Arial" w:eastAsia="新宋体"/>
          <w:b/>
          <w:color w:val="auto"/>
          <w:sz w:val="28"/>
          <w:highlight w:val="none"/>
        </w:rPr>
        <w:t xml:space="preserve">附件6              </w:t>
      </w:r>
      <w:bookmarkEnd w:id="78"/>
      <w:bookmarkEnd w:id="79"/>
      <w:r>
        <w:rPr>
          <w:rFonts w:hint="eastAsia" w:ascii="Arial" w:hAnsi="Arial" w:eastAsia="新宋体"/>
          <w:b/>
          <w:color w:val="auto"/>
          <w:sz w:val="24"/>
          <w:szCs w:val="24"/>
          <w:highlight w:val="none"/>
        </w:rPr>
        <w:t>商务响应</w:t>
      </w:r>
      <w:r>
        <w:rPr>
          <w:rFonts w:hint="eastAsia" w:ascii="Arial" w:hAnsi="Arial" w:eastAsia="新宋体"/>
          <w:b/>
          <w:color w:val="auto"/>
          <w:sz w:val="24"/>
          <w:szCs w:val="24"/>
          <w:highlight w:val="none"/>
          <w:lang w:val="en-US" w:eastAsia="zh-CN"/>
        </w:rPr>
        <w:t>部分</w:t>
      </w:r>
    </w:p>
    <w:p>
      <w:pPr>
        <w:widowControl/>
        <w:wordWrap w:val="0"/>
        <w:spacing w:line="460" w:lineRule="exact"/>
        <w:jc w:val="left"/>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ascii="Arial" w:hAnsi="Arial" w:eastAsia="新宋体"/>
          <w:b/>
          <w:color w:val="auto"/>
          <w:sz w:val="28"/>
          <w:highlight w:val="none"/>
        </w:rPr>
      </w:pPr>
    </w:p>
    <w:p>
      <w:pPr>
        <w:widowControl/>
        <w:wordWrap w:val="0"/>
        <w:snapToGrid w:val="0"/>
        <w:spacing w:before="50" w:afterLines="50"/>
        <w:jc w:val="left"/>
        <w:rPr>
          <w:rFonts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eastAsia="zh-CN"/>
        </w:rPr>
        <w:t xml:space="preserve"> </w:t>
      </w:r>
    </w:p>
    <w:p>
      <w:pPr>
        <w:widowControl/>
        <w:wordWrap w:val="0"/>
        <w:snapToGrid w:val="0"/>
        <w:spacing w:before="50" w:line="480" w:lineRule="auto"/>
        <w:jc w:val="left"/>
        <w:rPr>
          <w:rFonts w:ascii="仿宋_GB2312" w:cs="宋体"/>
          <w:color w:val="auto"/>
          <w:kern w:val="0"/>
          <w:sz w:val="24"/>
          <w:highlight w:val="none"/>
        </w:rPr>
      </w:pPr>
    </w:p>
    <w:p>
      <w:pPr>
        <w:rPr>
          <w:rFonts w:cs="宋体"/>
          <w:b/>
          <w:color w:val="auto"/>
          <w:kern w:val="0"/>
          <w:sz w:val="24"/>
          <w:highlight w:val="none"/>
        </w:rPr>
      </w:pPr>
      <w:r>
        <w:rPr>
          <w:rFonts w:cs="宋体"/>
          <w:b/>
          <w:color w:val="auto"/>
          <w:kern w:val="0"/>
          <w:sz w:val="24"/>
          <w:highlight w:val="none"/>
        </w:rPr>
        <w:br w:type="page"/>
      </w:r>
    </w:p>
    <w:p>
      <w:pPr>
        <w:pStyle w:val="32"/>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9"/>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9"/>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9"/>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9"/>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3726"/>
      <w:bookmarkStart w:id="88" w:name="_Toc12888"/>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bidi w:val="0"/>
        <w:rPr>
          <w:rFonts w:hint="eastAsia"/>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color w:val="auto"/>
          <w:highlight w:val="none"/>
        </w:rPr>
      </w:pPr>
      <w:r>
        <w:rPr>
          <w:color w:val="auto"/>
          <w:highlight w:val="none"/>
        </w:rPr>
        <w:br w:type="page"/>
      </w:r>
    </w:p>
    <w:p>
      <w:pPr>
        <w:pStyle w:val="50"/>
      </w:pPr>
    </w:p>
    <w:p>
      <w:pPr>
        <w:widowControl/>
        <w:snapToGrid w:val="0"/>
        <w:spacing w:line="360" w:lineRule="auto"/>
        <w:jc w:val="center"/>
        <w:outlineLvl w:val="0"/>
        <w:rPr>
          <w:rFonts w:ascii="宋体" w:hAnsi="宋体" w:cs="Lucida Sans Unicode"/>
          <w:b/>
          <w:color w:val="auto"/>
          <w:kern w:val="0"/>
          <w:sz w:val="24"/>
          <w:highlight w:val="none"/>
        </w:rPr>
      </w:pPr>
      <w:bookmarkStart w:id="89" w:name="_Toc25094"/>
      <w:bookmarkStart w:id="90" w:name="_Toc23394"/>
      <w:r>
        <w:rPr>
          <w:rFonts w:hint="eastAsia" w:ascii="宋体" w:hAnsi="宋体" w:cs="Lucida Sans Unicode"/>
          <w:b/>
          <w:color w:val="auto"/>
          <w:kern w:val="0"/>
          <w:sz w:val="24"/>
          <w:highlight w:val="none"/>
          <w:lang w:val="en-US" w:eastAsia="zh-CN"/>
        </w:rPr>
        <w:t xml:space="preserve">附件12 </w:t>
      </w:r>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center"/>
        <w:rPr>
          <w:b/>
          <w:bCs/>
          <w:color w:val="auto"/>
          <w:sz w:val="28"/>
          <w:szCs w:val="28"/>
          <w:highlight w:val="none"/>
        </w:rPr>
      </w:pPr>
    </w:p>
    <w:p>
      <w:pPr>
        <w:pStyle w:val="9"/>
        <w:spacing w:beforeAutospacing="0" w:afterAutospacing="0" w:line="460" w:lineRule="atLeast"/>
        <w:jc w:val="both"/>
        <w:rPr>
          <w:b/>
          <w:bCs/>
          <w:color w:val="auto"/>
          <w:sz w:val="28"/>
          <w:szCs w:val="28"/>
          <w:highlight w:val="none"/>
        </w:rPr>
      </w:pPr>
    </w:p>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驻马店市中心医院监护除颤类、血压计类、理疗类、医用灯泡类常用配件采购项目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驻马店市中心医院监护除颤类、血压计类、理疗类、医用灯泡类常用配件采购项目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509"/>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A02EA"/>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92947"/>
    <w:rsid w:val="080B4D47"/>
    <w:rsid w:val="081A5D66"/>
    <w:rsid w:val="08321601"/>
    <w:rsid w:val="083D5C91"/>
    <w:rsid w:val="0847191F"/>
    <w:rsid w:val="08591DC3"/>
    <w:rsid w:val="0869448C"/>
    <w:rsid w:val="087C4541"/>
    <w:rsid w:val="087E5595"/>
    <w:rsid w:val="08847FA2"/>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958"/>
    <w:rsid w:val="0AD13A85"/>
    <w:rsid w:val="0AD31FDE"/>
    <w:rsid w:val="0AF448C5"/>
    <w:rsid w:val="0B091954"/>
    <w:rsid w:val="0B637D77"/>
    <w:rsid w:val="0B6815BF"/>
    <w:rsid w:val="0B977C2D"/>
    <w:rsid w:val="0BAC324F"/>
    <w:rsid w:val="0BF72F1E"/>
    <w:rsid w:val="0C3957A5"/>
    <w:rsid w:val="0C563721"/>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E7EF9"/>
    <w:rsid w:val="0EAF71BF"/>
    <w:rsid w:val="0ECE6257"/>
    <w:rsid w:val="0EE4129D"/>
    <w:rsid w:val="0F171032"/>
    <w:rsid w:val="0F335E69"/>
    <w:rsid w:val="0F3D59C9"/>
    <w:rsid w:val="0F516D5A"/>
    <w:rsid w:val="0F565B36"/>
    <w:rsid w:val="0F7200CA"/>
    <w:rsid w:val="0F821E7D"/>
    <w:rsid w:val="0F986DD1"/>
    <w:rsid w:val="0FC7113A"/>
    <w:rsid w:val="0FE72B1E"/>
    <w:rsid w:val="0FE7592C"/>
    <w:rsid w:val="0FFD20F0"/>
    <w:rsid w:val="10120F66"/>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6D104B"/>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C9656A"/>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8E5C4B"/>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DF7263"/>
    <w:rsid w:val="18F67868"/>
    <w:rsid w:val="190B2D88"/>
    <w:rsid w:val="190E6B63"/>
    <w:rsid w:val="19123928"/>
    <w:rsid w:val="19153875"/>
    <w:rsid w:val="19194264"/>
    <w:rsid w:val="19306900"/>
    <w:rsid w:val="193548EA"/>
    <w:rsid w:val="19420786"/>
    <w:rsid w:val="19427EC0"/>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B0C5B32"/>
    <w:rsid w:val="1B0D3E82"/>
    <w:rsid w:val="1B1652AB"/>
    <w:rsid w:val="1B181CD5"/>
    <w:rsid w:val="1B265306"/>
    <w:rsid w:val="1B4F2450"/>
    <w:rsid w:val="1B8C18B7"/>
    <w:rsid w:val="1B9958A6"/>
    <w:rsid w:val="1B9D2042"/>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3E777F"/>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2A0646"/>
    <w:rsid w:val="2435301D"/>
    <w:rsid w:val="243D6E1A"/>
    <w:rsid w:val="245C4A4D"/>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CE0F29"/>
    <w:rsid w:val="26DB67BA"/>
    <w:rsid w:val="26E311CD"/>
    <w:rsid w:val="26EF24ED"/>
    <w:rsid w:val="26F1408A"/>
    <w:rsid w:val="27015370"/>
    <w:rsid w:val="270B421F"/>
    <w:rsid w:val="27105115"/>
    <w:rsid w:val="274E2228"/>
    <w:rsid w:val="27517A93"/>
    <w:rsid w:val="276658E8"/>
    <w:rsid w:val="277E30D2"/>
    <w:rsid w:val="27803F2A"/>
    <w:rsid w:val="279E3FA3"/>
    <w:rsid w:val="27A34941"/>
    <w:rsid w:val="27B150B0"/>
    <w:rsid w:val="27DC09B5"/>
    <w:rsid w:val="28127727"/>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E3AFC"/>
    <w:rsid w:val="2B2B10ED"/>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144117"/>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0EB33E1"/>
    <w:rsid w:val="31002970"/>
    <w:rsid w:val="311016AD"/>
    <w:rsid w:val="311A5A74"/>
    <w:rsid w:val="3136622A"/>
    <w:rsid w:val="3139422E"/>
    <w:rsid w:val="315471D8"/>
    <w:rsid w:val="31700E4B"/>
    <w:rsid w:val="3172683C"/>
    <w:rsid w:val="319A0963"/>
    <w:rsid w:val="31A359FC"/>
    <w:rsid w:val="31AD0D61"/>
    <w:rsid w:val="31BC3A1D"/>
    <w:rsid w:val="31CD73BD"/>
    <w:rsid w:val="31D17EC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5D6E68"/>
    <w:rsid w:val="3365592E"/>
    <w:rsid w:val="336F6533"/>
    <w:rsid w:val="337E5E2F"/>
    <w:rsid w:val="33805334"/>
    <w:rsid w:val="3384610D"/>
    <w:rsid w:val="33AA5979"/>
    <w:rsid w:val="33C03E90"/>
    <w:rsid w:val="33C96649"/>
    <w:rsid w:val="33CC3D88"/>
    <w:rsid w:val="33E87093"/>
    <w:rsid w:val="33F055DB"/>
    <w:rsid w:val="33FD722F"/>
    <w:rsid w:val="3400362D"/>
    <w:rsid w:val="340B09C5"/>
    <w:rsid w:val="341E4CAB"/>
    <w:rsid w:val="34410298"/>
    <w:rsid w:val="34584EE2"/>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CD3F98"/>
    <w:rsid w:val="37DF75BA"/>
    <w:rsid w:val="37E148E2"/>
    <w:rsid w:val="38037262"/>
    <w:rsid w:val="38304889"/>
    <w:rsid w:val="38382675"/>
    <w:rsid w:val="3851700B"/>
    <w:rsid w:val="385246B6"/>
    <w:rsid w:val="387B329C"/>
    <w:rsid w:val="38A53DB7"/>
    <w:rsid w:val="38BF3388"/>
    <w:rsid w:val="38CC268D"/>
    <w:rsid w:val="38CF183A"/>
    <w:rsid w:val="38D46E50"/>
    <w:rsid w:val="38EC2960"/>
    <w:rsid w:val="38F640E2"/>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246063"/>
    <w:rsid w:val="3B3D0FF2"/>
    <w:rsid w:val="3B521A18"/>
    <w:rsid w:val="3B527435"/>
    <w:rsid w:val="3B923660"/>
    <w:rsid w:val="3B9823B7"/>
    <w:rsid w:val="3BCA44BE"/>
    <w:rsid w:val="3C061F3A"/>
    <w:rsid w:val="3C4165AB"/>
    <w:rsid w:val="3C495480"/>
    <w:rsid w:val="3C6F0167"/>
    <w:rsid w:val="3C71667B"/>
    <w:rsid w:val="3C7431EF"/>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1F2D13"/>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D713F8"/>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D43ECA"/>
    <w:rsid w:val="43DD452F"/>
    <w:rsid w:val="43DE6CD4"/>
    <w:rsid w:val="43E51150"/>
    <w:rsid w:val="43EF28BB"/>
    <w:rsid w:val="43EF56D3"/>
    <w:rsid w:val="43FA001E"/>
    <w:rsid w:val="440A6FD2"/>
    <w:rsid w:val="444946CA"/>
    <w:rsid w:val="444B3F54"/>
    <w:rsid w:val="44735770"/>
    <w:rsid w:val="4476661F"/>
    <w:rsid w:val="447E3AC5"/>
    <w:rsid w:val="449818E5"/>
    <w:rsid w:val="44A90BAA"/>
    <w:rsid w:val="44B24A20"/>
    <w:rsid w:val="44BC0BEE"/>
    <w:rsid w:val="44C922B6"/>
    <w:rsid w:val="44E066EA"/>
    <w:rsid w:val="44FB1C9C"/>
    <w:rsid w:val="45383381"/>
    <w:rsid w:val="454F1836"/>
    <w:rsid w:val="45887B45"/>
    <w:rsid w:val="458B66DF"/>
    <w:rsid w:val="45940F0E"/>
    <w:rsid w:val="45AC5DBA"/>
    <w:rsid w:val="45C647AF"/>
    <w:rsid w:val="45CA1598"/>
    <w:rsid w:val="45DD529D"/>
    <w:rsid w:val="45E57886"/>
    <w:rsid w:val="45FC0381"/>
    <w:rsid w:val="46003076"/>
    <w:rsid w:val="46177E29"/>
    <w:rsid w:val="46205B7F"/>
    <w:rsid w:val="46476EB4"/>
    <w:rsid w:val="465D501C"/>
    <w:rsid w:val="466060B3"/>
    <w:rsid w:val="466367DB"/>
    <w:rsid w:val="46686D18"/>
    <w:rsid w:val="466B3CF0"/>
    <w:rsid w:val="46A62AF8"/>
    <w:rsid w:val="46C3037C"/>
    <w:rsid w:val="46D218DD"/>
    <w:rsid w:val="46DD105A"/>
    <w:rsid w:val="46FF15E0"/>
    <w:rsid w:val="4700581C"/>
    <w:rsid w:val="4702516A"/>
    <w:rsid w:val="472334C2"/>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8F0E1B"/>
    <w:rsid w:val="48A16B62"/>
    <w:rsid w:val="48BC6222"/>
    <w:rsid w:val="48C245E9"/>
    <w:rsid w:val="48DB312A"/>
    <w:rsid w:val="48DF49D9"/>
    <w:rsid w:val="48E1539E"/>
    <w:rsid w:val="492108CC"/>
    <w:rsid w:val="4933581D"/>
    <w:rsid w:val="49BC2FB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386DCB"/>
    <w:rsid w:val="4B520DF4"/>
    <w:rsid w:val="4B603107"/>
    <w:rsid w:val="4B7047B7"/>
    <w:rsid w:val="4B9802B0"/>
    <w:rsid w:val="4B9E65BE"/>
    <w:rsid w:val="4B9F33A8"/>
    <w:rsid w:val="4BA80AFD"/>
    <w:rsid w:val="4BA92584"/>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4A7CCC"/>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DE008D"/>
    <w:rsid w:val="52EE341E"/>
    <w:rsid w:val="52F37FE6"/>
    <w:rsid w:val="52FC1CAF"/>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DC2EBD"/>
    <w:rsid w:val="54EE662F"/>
    <w:rsid w:val="551D586C"/>
    <w:rsid w:val="55200298"/>
    <w:rsid w:val="55335E1B"/>
    <w:rsid w:val="553A027A"/>
    <w:rsid w:val="554B7EF0"/>
    <w:rsid w:val="556D4E04"/>
    <w:rsid w:val="556F1F83"/>
    <w:rsid w:val="556F3D99"/>
    <w:rsid w:val="55860894"/>
    <w:rsid w:val="558F587D"/>
    <w:rsid w:val="5598250C"/>
    <w:rsid w:val="55B02DF1"/>
    <w:rsid w:val="55DC290C"/>
    <w:rsid w:val="55F01FA1"/>
    <w:rsid w:val="56384123"/>
    <w:rsid w:val="5666669C"/>
    <w:rsid w:val="56990B7C"/>
    <w:rsid w:val="569E1126"/>
    <w:rsid w:val="56B80DEB"/>
    <w:rsid w:val="56BE3705"/>
    <w:rsid w:val="56E06E61"/>
    <w:rsid w:val="56E174BF"/>
    <w:rsid w:val="56F653FE"/>
    <w:rsid w:val="57082813"/>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A92B4D"/>
    <w:rsid w:val="5CBB7F6F"/>
    <w:rsid w:val="5D5171CF"/>
    <w:rsid w:val="5D7C3F11"/>
    <w:rsid w:val="5D9D49E0"/>
    <w:rsid w:val="5DDF1821"/>
    <w:rsid w:val="5DE07E68"/>
    <w:rsid w:val="5DEA2F91"/>
    <w:rsid w:val="5E2B3B29"/>
    <w:rsid w:val="5E3146A3"/>
    <w:rsid w:val="5E3271C3"/>
    <w:rsid w:val="5E3C677A"/>
    <w:rsid w:val="5E442F62"/>
    <w:rsid w:val="5E6C2C5B"/>
    <w:rsid w:val="5E6C52B2"/>
    <w:rsid w:val="5E7251A2"/>
    <w:rsid w:val="5E7C3591"/>
    <w:rsid w:val="5E9D0E18"/>
    <w:rsid w:val="5EA341D7"/>
    <w:rsid w:val="5EA755DE"/>
    <w:rsid w:val="5ED35F0E"/>
    <w:rsid w:val="5EEB4428"/>
    <w:rsid w:val="5EFA0740"/>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4F1CD8"/>
    <w:rsid w:val="685E1363"/>
    <w:rsid w:val="688E1089"/>
    <w:rsid w:val="68A026F3"/>
    <w:rsid w:val="68AF6C13"/>
    <w:rsid w:val="68BB21BC"/>
    <w:rsid w:val="68F826E8"/>
    <w:rsid w:val="690C2BBD"/>
    <w:rsid w:val="690E07C7"/>
    <w:rsid w:val="69236A65"/>
    <w:rsid w:val="692E469B"/>
    <w:rsid w:val="69315C48"/>
    <w:rsid w:val="694019EC"/>
    <w:rsid w:val="69584DB4"/>
    <w:rsid w:val="696C3D80"/>
    <w:rsid w:val="698A5EE4"/>
    <w:rsid w:val="69C811ED"/>
    <w:rsid w:val="69D33070"/>
    <w:rsid w:val="69D62B4B"/>
    <w:rsid w:val="69E97E75"/>
    <w:rsid w:val="69FB5D9E"/>
    <w:rsid w:val="6A1A3007"/>
    <w:rsid w:val="6A1E645E"/>
    <w:rsid w:val="6A417049"/>
    <w:rsid w:val="6A585B4A"/>
    <w:rsid w:val="6A7903E5"/>
    <w:rsid w:val="6A995680"/>
    <w:rsid w:val="6AA03032"/>
    <w:rsid w:val="6AA86FEC"/>
    <w:rsid w:val="6ADA6AC4"/>
    <w:rsid w:val="6ADB11D6"/>
    <w:rsid w:val="6AF02DC7"/>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3A67D1"/>
    <w:rsid w:val="6C3D2D5C"/>
    <w:rsid w:val="6C4800AA"/>
    <w:rsid w:val="6C4D28F8"/>
    <w:rsid w:val="6C5001CC"/>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2F2D9E"/>
    <w:rsid w:val="6F4147D9"/>
    <w:rsid w:val="6F9311E9"/>
    <w:rsid w:val="6F947E4B"/>
    <w:rsid w:val="6F992CB0"/>
    <w:rsid w:val="6FA30BDA"/>
    <w:rsid w:val="6FB80698"/>
    <w:rsid w:val="6FC85160"/>
    <w:rsid w:val="7024611F"/>
    <w:rsid w:val="702937E8"/>
    <w:rsid w:val="70637B96"/>
    <w:rsid w:val="70797317"/>
    <w:rsid w:val="707F0E75"/>
    <w:rsid w:val="7099044B"/>
    <w:rsid w:val="709D518F"/>
    <w:rsid w:val="70C41BB9"/>
    <w:rsid w:val="70C759D3"/>
    <w:rsid w:val="70CF2B23"/>
    <w:rsid w:val="710952C1"/>
    <w:rsid w:val="71452CD8"/>
    <w:rsid w:val="7158683A"/>
    <w:rsid w:val="715B2F52"/>
    <w:rsid w:val="71764F23"/>
    <w:rsid w:val="71946576"/>
    <w:rsid w:val="71967E84"/>
    <w:rsid w:val="719820B9"/>
    <w:rsid w:val="71A61873"/>
    <w:rsid w:val="71AF4936"/>
    <w:rsid w:val="71D75D0F"/>
    <w:rsid w:val="721919B3"/>
    <w:rsid w:val="721A6098"/>
    <w:rsid w:val="72310D1A"/>
    <w:rsid w:val="725D6B54"/>
    <w:rsid w:val="72A17C99"/>
    <w:rsid w:val="72AF6F7E"/>
    <w:rsid w:val="72B34E05"/>
    <w:rsid w:val="73047904"/>
    <w:rsid w:val="731663D0"/>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967FC0"/>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BE1FC7"/>
    <w:rsid w:val="78EE1C79"/>
    <w:rsid w:val="796432FD"/>
    <w:rsid w:val="797239CC"/>
    <w:rsid w:val="79831473"/>
    <w:rsid w:val="7999527A"/>
    <w:rsid w:val="79AF76C5"/>
    <w:rsid w:val="79C25EE1"/>
    <w:rsid w:val="79C97604"/>
    <w:rsid w:val="79CE2967"/>
    <w:rsid w:val="79EA664C"/>
    <w:rsid w:val="7A175207"/>
    <w:rsid w:val="7A2F459A"/>
    <w:rsid w:val="7A517022"/>
    <w:rsid w:val="7A6303C6"/>
    <w:rsid w:val="7A6F5001"/>
    <w:rsid w:val="7A747570"/>
    <w:rsid w:val="7A811899"/>
    <w:rsid w:val="7A94551C"/>
    <w:rsid w:val="7AA2343E"/>
    <w:rsid w:val="7ACF29F8"/>
    <w:rsid w:val="7ADA73A4"/>
    <w:rsid w:val="7AE66B99"/>
    <w:rsid w:val="7B0A3BCA"/>
    <w:rsid w:val="7B4048C1"/>
    <w:rsid w:val="7B73082F"/>
    <w:rsid w:val="7BA43E85"/>
    <w:rsid w:val="7BB06B1C"/>
    <w:rsid w:val="7BC62E00"/>
    <w:rsid w:val="7BD76009"/>
    <w:rsid w:val="7BE2279E"/>
    <w:rsid w:val="7BE35E2A"/>
    <w:rsid w:val="7BF5648F"/>
    <w:rsid w:val="7BFA1CC7"/>
    <w:rsid w:val="7BFB70B3"/>
    <w:rsid w:val="7C0251DA"/>
    <w:rsid w:val="7C1052F2"/>
    <w:rsid w:val="7C2668D9"/>
    <w:rsid w:val="7C32497F"/>
    <w:rsid w:val="7C3C69AE"/>
    <w:rsid w:val="7C672474"/>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0C73F1"/>
    <w:rsid w:val="7E1626EC"/>
    <w:rsid w:val="7E185E07"/>
    <w:rsid w:val="7E2822EA"/>
    <w:rsid w:val="7E3314F0"/>
    <w:rsid w:val="7E355A7B"/>
    <w:rsid w:val="7E4E5ABF"/>
    <w:rsid w:val="7E6B7623"/>
    <w:rsid w:val="7E6E3E85"/>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1"/>
    <w:autoRedefine/>
    <w:qFormat/>
    <w:uiPriority w:val="0"/>
    <w:pPr>
      <w:ind w:firstLine="420" w:firstLineChars="200"/>
    </w:pPr>
  </w:style>
  <w:style w:type="paragraph" w:styleId="11">
    <w:name w:val="Body Text Indent"/>
    <w:basedOn w:val="1"/>
    <w:next w:val="12"/>
    <w:autoRedefine/>
    <w:qFormat/>
    <w:uiPriority w:val="0"/>
    <w:pPr>
      <w:widowControl/>
      <w:spacing w:beforeAutospacing="1" w:afterAutospacing="1"/>
      <w:jc w:val="left"/>
    </w:pPr>
    <w:rPr>
      <w:rFonts w:ascii="宋体" w:hAnsi="宋体" w:cs="宋体"/>
      <w:kern w:val="0"/>
      <w:sz w:val="24"/>
    </w:rPr>
  </w:style>
  <w:style w:type="paragraph" w:styleId="12">
    <w:name w:val="envelope return"/>
    <w:basedOn w:val="1"/>
    <w:autoRedefine/>
    <w:unhideWhenUsed/>
    <w:qFormat/>
    <w:uiPriority w:val="99"/>
    <w:pPr>
      <w:snapToGrid w:val="0"/>
    </w:pPr>
    <w:rPr>
      <w:rFonts w:ascii="Arial" w:hAnsi="Arial"/>
    </w:rPr>
  </w:style>
  <w:style w:type="paragraph" w:styleId="13">
    <w:name w:val="Document Map"/>
    <w:basedOn w:val="1"/>
    <w:link w:val="76"/>
    <w:autoRedefine/>
    <w:qFormat/>
    <w:uiPriority w:val="0"/>
    <w:rPr>
      <w:rFonts w:ascii="宋体" w:hAnsi="Calibri"/>
      <w:sz w:val="18"/>
      <w:szCs w:val="18"/>
    </w:rPr>
  </w:style>
  <w:style w:type="paragraph" w:styleId="14">
    <w:name w:val="toa heading"/>
    <w:basedOn w:val="1"/>
    <w:next w:val="1"/>
    <w:autoRedefine/>
    <w:qFormat/>
    <w:uiPriority w:val="0"/>
    <w:pPr>
      <w:spacing w:before="120"/>
    </w:pPr>
    <w:rPr>
      <w:rFonts w:ascii="Arial" w:hAnsi="Arial" w:cs="Arial"/>
      <w:sz w:val="24"/>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4"/>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0"/>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大标题"/>
    <w:basedOn w:val="1"/>
    <w:next w:val="10"/>
    <w:autoRedefine/>
    <w:qFormat/>
    <w:uiPriority w:val="0"/>
    <w:pPr>
      <w:jc w:val="center"/>
    </w:pPr>
    <w:rPr>
      <w:rFonts w:ascii="Arial" w:hAnsi="Arial"/>
      <w:b/>
      <w:sz w:val="28"/>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3"/>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character" w:customStyle="1" w:styleId="90">
    <w:name w:val="font41"/>
    <w:basedOn w:val="35"/>
    <w:autoRedefine/>
    <w:qFormat/>
    <w:uiPriority w:val="0"/>
    <w:rPr>
      <w:rFonts w:hint="eastAsia" w:ascii="宋体" w:hAnsi="宋体" w:eastAsia="宋体" w:cs="宋体"/>
      <w:color w:val="000000"/>
      <w:sz w:val="21"/>
      <w:szCs w:val="21"/>
      <w:u w:val="none"/>
    </w:rPr>
  </w:style>
  <w:style w:type="character" w:customStyle="1" w:styleId="91">
    <w:name w:val="font51"/>
    <w:basedOn w:val="35"/>
    <w:autoRedefine/>
    <w:qFormat/>
    <w:uiPriority w:val="0"/>
    <w:rPr>
      <w:rFonts w:hint="eastAsia" w:ascii="宋体" w:hAnsi="宋体" w:eastAsia="宋体" w:cs="宋体"/>
      <w:b/>
      <w:color w:val="000000"/>
      <w:sz w:val="21"/>
      <w:szCs w:val="21"/>
      <w:u w:val="none"/>
    </w:rPr>
  </w:style>
  <w:style w:type="character" w:customStyle="1" w:styleId="92">
    <w:name w:val="font31"/>
    <w:basedOn w:val="35"/>
    <w:autoRedefine/>
    <w:qFormat/>
    <w:uiPriority w:val="0"/>
    <w:rPr>
      <w:rFonts w:hint="eastAsia" w:ascii="宋体" w:hAnsi="宋体" w:eastAsia="宋体" w:cs="宋体"/>
      <w:color w:val="000000"/>
      <w:sz w:val="24"/>
      <w:szCs w:val="24"/>
      <w:u w:val="none"/>
    </w:rPr>
  </w:style>
  <w:style w:type="paragraph" w:customStyle="1" w:styleId="93">
    <w:name w:val="普通(网站)1"/>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15636</Words>
  <Characters>16439</Characters>
  <Lines>50</Lines>
  <Paragraphs>68</Paragraphs>
  <TotalTime>1</TotalTime>
  <ScaleCrop>false</ScaleCrop>
  <LinksUpToDate>false</LinksUpToDate>
  <CharactersWithSpaces>17371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梧桐叶落</cp:lastModifiedBy>
  <cp:lastPrinted>2021-09-30T00:46:00Z</cp:lastPrinted>
  <dcterms:modified xsi:type="dcterms:W3CDTF">2024-01-05T02:21:10Z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