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驻马店市中心医院监护除颤类、血压计类、理疗类、医用灯泡类常用配件采购项目 </w:t>
      </w: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驻马店市中心医院监护除颤类、血压计类、理疗类、医用灯泡类常用配件采购项目竞争性磋商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监护除颤类、血压计类、理疗类、医用灯泡类常用配件采购</w:t>
      </w:r>
      <w:r>
        <w:rPr>
          <w:rFonts w:hint="eastAsia" w:ascii="宋体" w:hAnsi="宋体" w:cs="宋体"/>
          <w:color w:val="auto"/>
          <w:sz w:val="24"/>
          <w:szCs w:val="24"/>
          <w:u w:val="single"/>
          <w:lang w:val="en-US" w:eastAsia="zh-CN"/>
        </w:rPr>
        <w:t>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驻马店市中心医院监护除颤类、血压计类、理疗类、医用灯泡类常用配件采购项目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24万元（据实结算），自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7913"/>
      <w:bookmarkStart w:id="5" w:name="_Toc19521"/>
      <w:bookmarkStart w:id="6" w:name="_Toc26079"/>
      <w:bookmarkStart w:id="7" w:name="_Toc24040"/>
      <w:bookmarkStart w:id="8" w:name="_Toc21071"/>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23626"/>
      <w:bookmarkStart w:id="10" w:name="_Toc16639"/>
      <w:bookmarkStart w:id="11" w:name="_Toc27704"/>
      <w:bookmarkStart w:id="12" w:name="_Toc18607"/>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7823"/>
      <w:bookmarkStart w:id="14" w:name="_Toc9562"/>
      <w:bookmarkStart w:id="15" w:name="_Toc30643"/>
      <w:bookmarkStart w:id="16" w:name="_Toc23395"/>
      <w:bookmarkStart w:id="17" w:name="_Toc30971"/>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报</w:t>
      </w:r>
      <w:r>
        <w:rPr>
          <w:rFonts w:hint="eastAsia" w:ascii="宋体" w:hAnsi="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时间：202</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2.凡报名成功的供应商无故不来参与投标的列入我院黑名单，一年内不得参与我院任何采购活动。中标供应商缴纳相应</w:t>
      </w:r>
      <w:bookmarkStart w:id="91" w:name="_GoBack"/>
      <w:bookmarkEnd w:id="91"/>
      <w:r>
        <w:rPr>
          <w:rFonts w:hint="eastAsia" w:ascii="宋体" w:hAnsi="宋体" w:eastAsia="宋体" w:cs="宋体"/>
          <w:color w:val="auto"/>
          <w:kern w:val="0"/>
          <w:sz w:val="24"/>
          <w:szCs w:val="24"/>
          <w:highlight w:val="none"/>
          <w:shd w:val="clear" w:color="auto" w:fill="FFFFFF"/>
          <w:lang w:val="en-US" w:eastAsia="zh-CN" w:bidi="ar-SA"/>
        </w:rPr>
        <w:t xml:space="preserve">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10738"/>
      <w:bookmarkStart w:id="19" w:name="_Toc27480"/>
      <w:bookmarkStart w:id="20" w:name="_Toc15135"/>
      <w:bookmarkStart w:id="21" w:name="_Toc15111"/>
      <w:bookmarkStart w:id="22" w:name="_Toc25869"/>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30918"/>
      <w:bookmarkStart w:id="24" w:name="_Toc20287"/>
      <w:bookmarkStart w:id="25" w:name="_Toc6523"/>
      <w:bookmarkStart w:id="26" w:name="_Toc29784"/>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16291"/>
      <w:bookmarkStart w:id="30" w:name="_Toc27370"/>
      <w:bookmarkStart w:id="31" w:name="_Toc24274"/>
      <w:bookmarkStart w:id="32" w:name="_Toc31928"/>
      <w:bookmarkStart w:id="33" w:name="_Toc3604"/>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9890"/>
      <w:bookmarkStart w:id="36" w:name="_Toc23793"/>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驻马店市中心医院监护除颤类、血压计类、理疗类、医用灯泡类常用配件采购项目。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cs="宋体"/>
          <w:color w:val="auto"/>
          <w:kern w:val="0"/>
          <w:sz w:val="21"/>
          <w:szCs w:val="21"/>
          <w:shd w:val="clear" w:color="auto" w:fill="FFFFFF"/>
          <w:lang w:val="en-US" w:eastAsia="zh-CN" w:bidi="ar-SA"/>
        </w:rPr>
        <w:t>理疗类、监护类设备常用配件</w:t>
      </w:r>
      <w:r>
        <w:rPr>
          <w:rFonts w:hint="eastAsia" w:ascii="宋体" w:hAnsi="宋体" w:cs="宋体"/>
          <w:b/>
          <w:bCs/>
          <w:color w:val="auto"/>
          <w:kern w:val="0"/>
          <w:sz w:val="21"/>
          <w:szCs w:val="21"/>
          <w:shd w:val="clear" w:color="auto" w:fill="FFFFFF"/>
          <w:lang w:val="en-US" w:eastAsia="zh-CN" w:bidi="ar-SA"/>
        </w:rPr>
        <w:t>招标2家供应商，</w:t>
      </w:r>
      <w:r>
        <w:rPr>
          <w:rFonts w:hint="eastAsia" w:ascii="宋体" w:hAnsi="宋体" w:cs="宋体"/>
          <w:color w:val="auto"/>
          <w:kern w:val="0"/>
          <w:sz w:val="21"/>
          <w:szCs w:val="21"/>
          <w:shd w:val="clear" w:color="auto" w:fill="FFFFFF"/>
          <w:lang w:val="en-US" w:eastAsia="zh-CN" w:bidi="ar-SA"/>
        </w:rPr>
        <w:t xml:space="preserve">供货期一年，根据全年实际用量据实结算，年费用约 24万元。  </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4"/>
        <w:tblpPr w:leftFromText="180" w:rightFromText="180" w:vertAnchor="text" w:horzAnchor="page" w:tblpXSpec="center" w:tblpY="43"/>
        <w:tblOverlap w:val="never"/>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777"/>
        <w:gridCol w:w="1755"/>
        <w:gridCol w:w="827"/>
        <w:gridCol w:w="752"/>
        <w:gridCol w:w="1831"/>
        <w:gridCol w:w="1281"/>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8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包号</w:t>
            </w:r>
          </w:p>
        </w:tc>
        <w:tc>
          <w:tcPr>
            <w:tcW w:w="77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t>序号</w:t>
            </w:r>
          </w:p>
        </w:tc>
        <w:tc>
          <w:tcPr>
            <w:tcW w:w="175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标的名称</w:t>
            </w:r>
          </w:p>
        </w:tc>
        <w:tc>
          <w:tcPr>
            <w:tcW w:w="8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单位</w:t>
            </w:r>
          </w:p>
        </w:tc>
        <w:tc>
          <w:tcPr>
            <w:tcW w:w="75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数量</w:t>
            </w:r>
          </w:p>
        </w:tc>
        <w:tc>
          <w:tcPr>
            <w:tcW w:w="1831"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预算</w:t>
            </w:r>
            <w:r>
              <w:rPr>
                <w:rFonts w:hint="eastAsia" w:ascii="宋体" w:hAnsi="宋体" w:eastAsia="宋体" w:cs="宋体"/>
                <w:b w:val="0"/>
                <w:bCs w:val="0"/>
                <w:sz w:val="21"/>
                <w:szCs w:val="21"/>
                <w:lang w:eastAsia="zh-CN"/>
              </w:rPr>
              <w:t>（万元）</w:t>
            </w:r>
          </w:p>
        </w:tc>
        <w:tc>
          <w:tcPr>
            <w:tcW w:w="1281"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性质</w:t>
            </w:r>
          </w:p>
        </w:tc>
        <w:tc>
          <w:tcPr>
            <w:tcW w:w="1189"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监护除颤类配件</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19.5</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2</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血压计类配件</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1281" w:type="dxa"/>
            <w:vAlign w:val="center"/>
          </w:tcPr>
          <w:p>
            <w:pPr>
              <w:keepNext w:val="0"/>
              <w:keepLines w:val="0"/>
              <w:pageBreakBefore w:val="0"/>
              <w:widowControl w:val="0"/>
              <w:numPr>
                <w:ilvl w:val="0"/>
                <w:numId w:val="0"/>
              </w:numPr>
              <w:tabs>
                <w:tab w:val="left" w:pos="424"/>
              </w:tabs>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3</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理疗类配件</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4</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医用灯泡类</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17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8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5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18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技术参数、性能及产品功能要求</w:t>
      </w:r>
      <w:r>
        <w:rPr>
          <w:rFonts w:hint="eastAsia" w:ascii="宋体" w:hAnsi="宋体" w:eastAsia="宋体" w:cs="宋体"/>
          <w:b/>
          <w:bCs/>
          <w:kern w:val="2"/>
          <w:sz w:val="21"/>
          <w:szCs w:val="21"/>
          <w:lang w:val="en-US" w:eastAsia="zh-CN" w:bidi="ar-SA"/>
        </w:rPr>
        <w:t>：</w:t>
      </w:r>
    </w:p>
    <w:bookmarkEnd w:id="35"/>
    <w:bookmarkEnd w:id="36"/>
    <w:tbl>
      <w:tblPr>
        <w:tblStyle w:val="33"/>
        <w:tblW w:w="9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13"/>
        <w:gridCol w:w="3801"/>
        <w:gridCol w:w="884"/>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1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监护除颤类、血压计类、理疗类、医用灯泡类配件招标工作表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监护除颤类（迈瑞、飞利浦、科曼、日本（上海）光电、宝莱特）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监护仪袖带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血氧饱和度探头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血压延长管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有创压电缆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监护仪铅酸蓄电池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监护仪锂电池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除颤仪电池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原装遥测导联线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血压计类（鱼跃、欧姆龙）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电子血压计袖带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健太郎电子血压计袖套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电子血压计充电器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理疗类（物理降温仪、脑功能治疗仪、吞咽神经盒肌肉电刺激仪）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物理降温仪温度传感器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软冰帽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电源线（加长）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脑功能治疗仪导联线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吞咽语言治疗仪电极线）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小氧表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磁疗帽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红外线接种环灭菌器加热体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脑电图导电膏（228g）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医用灯泡类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红光治疗仪灯泡230v100w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无影灯泡24v150w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6v20w带座米泡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12v100w杯泡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15v150w杯泡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6v30w米泡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无影灯泡24v50w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r>
    </w:tbl>
    <w:p>
      <w:pPr>
        <w:pageBreakBefore w:val="0"/>
        <w:kinsoku/>
        <w:wordWrap/>
        <w:overflowPunct/>
        <w:topLinePunct w:val="0"/>
        <w:bidi w:val="0"/>
        <w:snapToGrid w:val="0"/>
        <w:spacing w:beforeAutospacing="0" w:afterAutospacing="0" w:line="500" w:lineRule="exact"/>
        <w:jc w:val="center"/>
        <w:textAlignment w:val="auto"/>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240" w:lineRule="auto"/>
              <w:rPr>
                <w:rFonts w:hint="default" w:ascii="宋体" w:hAnsi="宋体" w:eastAsia="宋体" w:cs="宋体"/>
                <w:lang w:val="en-US" w:eastAsia="zh-CN"/>
              </w:rPr>
            </w:pPr>
            <w:r>
              <w:rPr>
                <w:rFonts w:hint="eastAsia" w:ascii="宋体" w:hAnsi="宋体" w:eastAsia="宋体" w:cs="宋体"/>
                <w:b w:val="0"/>
                <w:bCs w:val="0"/>
                <w:color w:val="auto"/>
                <w:kern w:val="0"/>
                <w:sz w:val="21"/>
                <w:szCs w:val="21"/>
                <w:shd w:val="clear" w:color="auto" w:fill="FFFFFF"/>
                <w:lang w:val="en-US" w:eastAsia="zh-CN" w:bidi="ar-SA"/>
              </w:rPr>
              <w:t>供货方向院方提供的产品符合国家标准要求，质保期一年内实行三包，质保开始时间以科室领用签字时间起计算。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其他要求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240" w:lineRule="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供货方须保证供应货源和及时交货，按照交易习惯或者合理期限内不能按时交货时，须提前5个工作日以书面形式通知院方并协商解决。如因供货方未能按时供货的原因导致的的一切损失由供货方进行赔偿。</w:t>
            </w:r>
          </w:p>
          <w:p>
            <w:pPr>
              <w:numPr>
                <w:ilvl w:val="0"/>
                <w:numId w:val="0"/>
              </w:numPr>
              <w:spacing w:line="240" w:lineRule="auto"/>
              <w:rPr>
                <w:rFonts w:hint="eastAsia" w:ascii="宋体" w:hAnsi="宋体" w:cs="宋体"/>
                <w:color w:val="auto"/>
                <w:kern w:val="0"/>
                <w:szCs w:val="21"/>
                <w:highlight w:val="none"/>
              </w:rPr>
            </w:pPr>
            <w:r>
              <w:rPr>
                <w:rFonts w:hint="eastAsia" w:ascii="宋体" w:hAnsi="宋体" w:eastAsia="宋体" w:cs="宋体"/>
                <w:b w:val="0"/>
                <w:bCs w:val="0"/>
                <w:color w:val="auto"/>
                <w:kern w:val="0"/>
                <w:sz w:val="21"/>
                <w:szCs w:val="21"/>
                <w:shd w:val="clear" w:color="auto" w:fill="FFFFFF"/>
                <w:lang w:val="en-US" w:eastAsia="zh-CN" w:bidi="ar-SA"/>
              </w:rPr>
              <w:t>如供货方所提供货物的品种、型号、规格、数量和质量不符合规定或约定的，应当自接受货物的15天内向提出更换通知，如未提出异议，视为货物符合合同规定。</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bCs/>
                <w:color w:val="auto"/>
                <w:kern w:val="0"/>
                <w:szCs w:val="21"/>
                <w:highlight w:val="none"/>
                <w:lang w:eastAsia="zh-CN"/>
              </w:rPr>
              <w:t>二名中标人</w:t>
            </w:r>
            <w:r>
              <w:rPr>
                <w:rFonts w:hint="eastAsia" w:ascii="宋体" w:hAnsi="宋体" w:cs="宋体"/>
                <w:color w:val="auto"/>
                <w:kern w:val="0"/>
                <w:szCs w:val="21"/>
                <w:highlight w:val="none"/>
              </w:rPr>
              <w:t>。</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驻马店市中心医院监护除颤类、血压计类、理疗类、医用灯泡类常用配件采购项目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24万元（据实结算）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57"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bCs/>
                <w:color w:val="auto"/>
                <w:kern w:val="0"/>
                <w:szCs w:val="21"/>
                <w:highlight w:val="none"/>
                <w:lang w:eastAsia="zh-CN"/>
              </w:rPr>
              <w:t>二名中标人</w:t>
            </w:r>
            <w:r>
              <w:rPr>
                <w:rFonts w:hint="eastAsia" w:ascii="宋体" w:hAnsi="宋体" w:cs="宋体"/>
                <w:color w:val="auto"/>
                <w:kern w:val="0"/>
                <w:szCs w:val="21"/>
                <w:highlight w:val="none"/>
              </w:rPr>
              <w:t>。评审结束后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24万元</w:t>
      </w:r>
      <w:r>
        <w:rPr>
          <w:rFonts w:hint="eastAsia" w:ascii="宋体" w:hAnsi="宋体" w:cs="宋体"/>
          <w:color w:val="auto"/>
          <w:kern w:val="0"/>
          <w:szCs w:val="21"/>
          <w:highlight w:val="none"/>
          <w:lang w:val="en-US" w:eastAsia="zh-CN"/>
        </w:rPr>
        <w:t>（据实结算）</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16.10、</w:t>
      </w:r>
      <w:r>
        <w:rPr>
          <w:rFonts w:hint="eastAsia" w:ascii="宋体" w:hAnsi="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
          <w:bCs w:val="0"/>
          <w:color w:val="auto"/>
          <w:kern w:val="0"/>
          <w:szCs w:val="21"/>
          <w:highlight w:val="none"/>
          <w:lang w:eastAsia="zh-CN"/>
        </w:rPr>
        <w:t>二名中标人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01"/>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1301"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监护除颤类配件</w:t>
            </w:r>
            <w:r>
              <w:rPr>
                <w:rFonts w:hint="eastAsia" w:ascii="宋体" w:hAnsi="宋体" w:cs="宋体"/>
                <w:b w:val="0"/>
                <w:bCs w:val="0"/>
                <w:color w:val="auto"/>
                <w:sz w:val="21"/>
                <w:szCs w:val="21"/>
                <w:highlight w:val="none"/>
                <w:lang w:val="en-US" w:eastAsia="zh-CN"/>
              </w:rPr>
              <w:t>报价（25分）</w:t>
            </w:r>
          </w:p>
        </w:tc>
        <w:tc>
          <w:tcPr>
            <w:tcW w:w="6942"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pPr>
          </w:p>
        </w:tc>
        <w:tc>
          <w:tcPr>
            <w:tcW w:w="1301"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血压计类配件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理疗类配件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医用灯泡类</w:t>
            </w:r>
            <w:r>
              <w:rPr>
                <w:rFonts w:hint="eastAsia" w:ascii="宋体" w:hAnsi="宋体" w:cs="宋体"/>
                <w:b w:val="0"/>
                <w:bCs w:val="0"/>
                <w:color w:val="auto"/>
                <w:sz w:val="21"/>
                <w:szCs w:val="21"/>
                <w:highlight w:val="none"/>
                <w:lang w:val="en-US" w:eastAsia="zh-CN"/>
              </w:rPr>
              <w:t>报价（15分）</w:t>
            </w:r>
          </w:p>
        </w:tc>
        <w:tc>
          <w:tcPr>
            <w:tcW w:w="6942"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auto"/>
                <w:sz w:val="21"/>
                <w:szCs w:val="21"/>
                <w:highlight w:val="none"/>
                <w:lang w:val="en-US" w:eastAsia="zh-CN"/>
              </w:rPr>
              <w:t>存在负偏离的得0分，</w:t>
            </w:r>
            <w:r>
              <w:rPr>
                <w:rFonts w:hint="eastAsia" w:ascii="宋体" w:hAnsi="宋体" w:eastAsia="宋体" w:cs="宋体"/>
                <w:b w:val="0"/>
                <w:bCs w:val="0"/>
                <w:color w:val="auto"/>
                <w:sz w:val="21"/>
                <w:szCs w:val="21"/>
                <w:highlight w:val="none"/>
              </w:rPr>
              <w:t>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2.产品综合评议（10分）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r>
              <w:rPr>
                <w:rFonts w:hint="eastAsia" w:ascii="宋体" w:hAnsi="宋体" w:cs="宋体"/>
                <w:b w:val="0"/>
                <w:bCs w:val="0"/>
                <w:color w:val="auto"/>
                <w:sz w:val="21"/>
                <w:szCs w:val="21"/>
                <w:highlight w:val="none"/>
                <w:lang w:val="en-US" w:eastAsia="zh-CN"/>
              </w:rPr>
              <w:t>、应急处置措施</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分；基本详细、基本合理、基本可行的</w:t>
            </w:r>
            <w:r>
              <w:rPr>
                <w:rFonts w:hint="eastAsia" w:ascii="宋体" w:hAnsi="宋体" w:cs="宋体"/>
                <w:b w:val="0"/>
                <w:bCs w:val="0"/>
                <w:color w:val="auto"/>
                <w:sz w:val="21"/>
                <w:szCs w:val="21"/>
                <w:highlight w:val="none"/>
                <w:lang w:val="en-US" w:eastAsia="zh-CN"/>
              </w:rPr>
              <w:t>6-10</w:t>
            </w:r>
            <w:r>
              <w:rPr>
                <w:rFonts w:hint="eastAsia" w:ascii="宋体" w:hAnsi="宋体" w:eastAsia="宋体" w:cs="宋体"/>
                <w:b w:val="0"/>
                <w:bCs w:val="0"/>
                <w:color w:val="auto"/>
                <w:sz w:val="21"/>
                <w:szCs w:val="21"/>
                <w:highlight w:val="none"/>
                <w:lang w:val="en-US" w:eastAsia="zh-CN"/>
              </w:rPr>
              <w:t>分；基本详细度、合理性差、可行性差的1-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1301"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1947"/>
      <w:bookmarkStart w:id="47" w:name="_Toc256519703"/>
      <w:bookmarkStart w:id="48" w:name="_Toc326786897"/>
      <w:bookmarkStart w:id="49" w:name="_Toc1482"/>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bookmarkStart w:id="53" w:name="_Toc11308"/>
      <w:r>
        <w:rPr>
          <w:rFonts w:hint="eastAsia" w:ascii="Times New Roman" w:hAnsi="Times New Roman" w:cs="Times New Roman"/>
          <w:color w:val="auto"/>
          <w:sz w:val="24"/>
          <w:highlight w:val="none"/>
        </w:rPr>
        <w:t>附件1投标文件封面（格式）</w:t>
      </w:r>
      <w:bookmarkEnd w:id="53"/>
    </w:p>
    <w:p>
      <w:pPr>
        <w:snapToGrid w:val="0"/>
        <w:spacing w:line="360" w:lineRule="auto"/>
        <w:ind w:firstLine="480" w:firstLineChars="200"/>
        <w:rPr>
          <w:rFonts w:hint="eastAsia" w:ascii="Times New Roman" w:hAnsi="Times New Roman" w:cs="Times New Roman"/>
          <w:color w:val="auto"/>
          <w:sz w:val="24"/>
          <w:highlight w:val="none"/>
        </w:rPr>
      </w:pPr>
      <w:bookmarkStart w:id="54" w:name="_Toc25345"/>
      <w:r>
        <w:rPr>
          <w:rFonts w:hint="eastAsia" w:ascii="Times New Roman" w:hAnsi="Times New Roman" w:cs="Times New Roman"/>
          <w:color w:val="auto"/>
          <w:sz w:val="24"/>
          <w:highlight w:val="none"/>
        </w:rPr>
        <w:t>附件2 投标书（格式）</w:t>
      </w:r>
      <w:bookmarkEnd w:id="54"/>
    </w:p>
    <w:p>
      <w:pPr>
        <w:snapToGrid w:val="0"/>
        <w:spacing w:line="360" w:lineRule="auto"/>
        <w:ind w:firstLine="480" w:firstLineChars="200"/>
        <w:rPr>
          <w:rFonts w:hint="eastAsia" w:ascii="Times New Roman" w:hAnsi="Times New Roman" w:cs="Times New Roman"/>
          <w:color w:val="auto"/>
          <w:sz w:val="24"/>
          <w:highlight w:val="none"/>
        </w:rPr>
      </w:pPr>
      <w:bookmarkStart w:id="55" w:name="_Toc10217"/>
      <w:r>
        <w:rPr>
          <w:rFonts w:hint="eastAsia" w:ascii="Times New Roman" w:hAnsi="Times New Roman" w:cs="Times New Roman"/>
          <w:color w:val="auto"/>
          <w:sz w:val="24"/>
          <w:highlight w:val="none"/>
        </w:rPr>
        <w:t>附件3 开标一览表（格式）</w:t>
      </w:r>
      <w:bookmarkEnd w:id="55"/>
    </w:p>
    <w:p>
      <w:pPr>
        <w:snapToGrid w:val="0"/>
        <w:spacing w:line="360" w:lineRule="auto"/>
        <w:ind w:firstLine="480" w:firstLineChars="200"/>
        <w:rPr>
          <w:rFonts w:hint="eastAsia" w:ascii="Times New Roman" w:hAnsi="Times New Roman" w:cs="Times New Roman"/>
          <w:color w:val="auto"/>
          <w:sz w:val="24"/>
          <w:highlight w:val="none"/>
        </w:rPr>
      </w:pPr>
      <w:bookmarkStart w:id="56" w:name="_Toc9579"/>
      <w:r>
        <w:rPr>
          <w:rFonts w:hint="eastAsia" w:ascii="Times New Roman" w:hAnsi="Times New Roman" w:cs="Times New Roman"/>
          <w:color w:val="auto"/>
          <w:sz w:val="24"/>
          <w:highlight w:val="none"/>
        </w:rPr>
        <w:t>附件4 投标报价明细表（格式）</w:t>
      </w:r>
      <w:bookmarkEnd w:id="56"/>
    </w:p>
    <w:p>
      <w:pPr>
        <w:snapToGrid w:val="0"/>
        <w:spacing w:line="360" w:lineRule="auto"/>
        <w:ind w:firstLine="480" w:firstLineChars="200"/>
        <w:rPr>
          <w:rFonts w:hint="default" w:ascii="Times New Roman" w:hAnsi="Times New Roman" w:cs="Times New Roman"/>
          <w:color w:val="auto"/>
          <w:sz w:val="24"/>
          <w:highlight w:val="none"/>
          <w:lang w:val="en-US" w:eastAsia="zh-CN"/>
        </w:rPr>
      </w:pPr>
      <w:bookmarkStart w:id="57" w:name="_Toc28392"/>
      <w:r>
        <w:rPr>
          <w:rFonts w:hint="eastAsia" w:ascii="Times New Roman" w:hAnsi="Times New Roman" w:cs="Times New Roman"/>
          <w:color w:val="auto"/>
          <w:sz w:val="24"/>
          <w:highlight w:val="none"/>
        </w:rPr>
        <w:t>附件5</w:t>
      </w:r>
      <w:bookmarkEnd w:id="57"/>
      <w:r>
        <w:rPr>
          <w:rFonts w:hint="eastAsia" w:ascii="Times New Roman" w:hAnsi="Times New Roman" w:cs="Times New Roman"/>
          <w:color w:val="auto"/>
          <w:sz w:val="24"/>
          <w:highlight w:val="none"/>
        </w:rPr>
        <w:t>技术响应表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格式）</w:t>
      </w:r>
    </w:p>
    <w:p>
      <w:pPr>
        <w:snapToGrid w:val="0"/>
        <w:spacing w:line="360" w:lineRule="auto"/>
        <w:ind w:firstLine="480" w:firstLineChars="200"/>
        <w:rPr>
          <w:rFonts w:hint="eastAsia" w:ascii="Times New Roman" w:hAnsi="Times New Roman" w:cs="Times New Roman"/>
          <w:color w:val="auto"/>
          <w:sz w:val="24"/>
          <w:highlight w:val="none"/>
        </w:rPr>
      </w:pPr>
      <w:bookmarkStart w:id="58" w:name="_Toc6234"/>
      <w:r>
        <w:rPr>
          <w:rFonts w:hint="eastAsia" w:ascii="Times New Roman" w:hAnsi="Times New Roman" w:cs="Times New Roman"/>
          <w:color w:val="auto"/>
          <w:sz w:val="24"/>
          <w:highlight w:val="none"/>
        </w:rPr>
        <w:t xml:space="preserve">附件6 </w:t>
      </w:r>
      <w:bookmarkEnd w:id="58"/>
      <w:r>
        <w:rPr>
          <w:rFonts w:hint="eastAsia" w:ascii="Times New Roman" w:hAnsi="Times New Roman" w:cs="Times New Roman"/>
          <w:color w:val="auto"/>
          <w:sz w:val="24"/>
          <w:highlight w:val="none"/>
        </w:rPr>
        <w:t>商务响应</w:t>
      </w:r>
      <w:r>
        <w:rPr>
          <w:rFonts w:hint="eastAsia" w:ascii="Times New Roman" w:hAnsi="Times New Roman" w:cs="Times New Roman"/>
          <w:color w:val="auto"/>
          <w:sz w:val="24"/>
          <w:highlight w:val="none"/>
          <w:lang w:val="en-US" w:eastAsia="zh-CN"/>
        </w:rPr>
        <w:t>部分</w:t>
      </w:r>
    </w:p>
    <w:p>
      <w:pPr>
        <w:snapToGrid w:val="0"/>
        <w:spacing w:line="360" w:lineRule="auto"/>
        <w:ind w:firstLine="480" w:firstLineChars="200"/>
        <w:rPr>
          <w:rFonts w:hint="eastAsia" w:ascii="Times New Roman" w:hAnsi="Times New Roman" w:cs="Times New Roman"/>
          <w:color w:val="auto"/>
          <w:sz w:val="24"/>
          <w:highlight w:val="none"/>
        </w:rPr>
      </w:pPr>
      <w:bookmarkStart w:id="59" w:name="_Toc26231"/>
      <w:r>
        <w:rPr>
          <w:rFonts w:hint="eastAsia" w:ascii="Times New Roman" w:hAnsi="Times New Roman" w:cs="Times New Roman"/>
          <w:color w:val="auto"/>
          <w:sz w:val="24"/>
          <w:highlight w:val="none"/>
        </w:rPr>
        <w:t>附件7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法定代表人身份证明（格式）</w:t>
      </w:r>
      <w:bookmarkEnd w:id="59"/>
    </w:p>
    <w:p>
      <w:pPr>
        <w:snapToGrid w:val="0"/>
        <w:spacing w:line="360" w:lineRule="auto"/>
        <w:ind w:firstLine="480" w:firstLineChars="200"/>
        <w:rPr>
          <w:rFonts w:hint="eastAsia" w:ascii="Times New Roman" w:hAnsi="Times New Roman" w:cs="Times New Roman"/>
          <w:color w:val="auto"/>
          <w:sz w:val="24"/>
          <w:highlight w:val="none"/>
        </w:rPr>
      </w:pPr>
      <w:bookmarkStart w:id="60" w:name="_Toc18484"/>
      <w:r>
        <w:rPr>
          <w:rFonts w:hint="eastAsia" w:ascii="Times New Roman" w:hAnsi="Times New Roman" w:cs="Times New Roman"/>
          <w:color w:val="auto"/>
          <w:sz w:val="24"/>
          <w:highlight w:val="none"/>
        </w:rPr>
        <w:t>附件8</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法定代表人授权书（格式）</w:t>
      </w:r>
      <w:bookmarkEnd w:id="60"/>
    </w:p>
    <w:p>
      <w:pPr>
        <w:snapToGrid w:val="0"/>
        <w:spacing w:line="360" w:lineRule="auto"/>
        <w:ind w:firstLine="480" w:firstLineChars="200"/>
        <w:rPr>
          <w:rFonts w:hint="eastAsia" w:ascii="Times New Roman" w:hAnsi="Times New Roman" w:cs="Times New Roman"/>
          <w:color w:val="auto"/>
          <w:sz w:val="24"/>
          <w:highlight w:val="none"/>
        </w:rPr>
      </w:pPr>
      <w:bookmarkStart w:id="61" w:name="_Toc31857"/>
      <w:r>
        <w:rPr>
          <w:rFonts w:hint="eastAsia" w:ascii="Times New Roman" w:hAnsi="Times New Roman" w:cs="Times New Roman"/>
          <w:color w:val="auto"/>
          <w:sz w:val="24"/>
          <w:highlight w:val="none"/>
        </w:rPr>
        <w:t>附件9 证明文件</w:t>
      </w:r>
      <w:bookmarkEnd w:id="61"/>
    </w:p>
    <w:p>
      <w:pPr>
        <w:snapToGrid w:val="0"/>
        <w:spacing w:line="360" w:lineRule="auto"/>
        <w:ind w:firstLine="480" w:firstLineChars="200"/>
        <w:rPr>
          <w:rFonts w:hint="eastAsia" w:ascii="Times New Roman" w:hAnsi="Times New Roman" w:cs="Times New Roman"/>
          <w:color w:val="auto"/>
          <w:sz w:val="24"/>
          <w:highlight w:val="none"/>
        </w:rPr>
      </w:pPr>
      <w:bookmarkStart w:id="62" w:name="_Toc23116"/>
      <w:r>
        <w:rPr>
          <w:rFonts w:hint="eastAsia" w:ascii="Times New Roman" w:hAnsi="Times New Roman" w:cs="Times New Roman"/>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附件11 供应商信用承诺函（格式）</w:t>
      </w:r>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附件12 </w:t>
      </w:r>
      <w:r>
        <w:rPr>
          <w:rFonts w:hint="eastAsia" w:ascii="Times New Roman" w:hAnsi="Times New Roman" w:cs="Times New Roman"/>
          <w:color w:val="auto"/>
          <w:sz w:val="24"/>
          <w:highlight w:val="none"/>
        </w:rPr>
        <w:t>投标人认为有必要的其他资料</w:t>
      </w:r>
    </w:p>
    <w:p>
      <w:pPr>
        <w:snapToGrid w:val="0"/>
        <w:spacing w:line="360" w:lineRule="auto"/>
        <w:ind w:firstLine="480" w:firstLineChars="200"/>
        <w:rPr>
          <w:rFonts w:hint="eastAsia" w:ascii="Times New Roman" w:hAnsi="Times New Roman" w:cs="Times New Roman"/>
          <w:color w:val="auto"/>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7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687"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687"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972" w:type="dxa"/>
            <w:vMerge w:val="restart"/>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ascii="宋体" w:hAnsi="宋体"/>
                <w:color w:val="auto"/>
                <w:spacing w:val="-2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687" w:type="dxa"/>
            <w:noWrap/>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olor w:val="auto"/>
                <w:szCs w:val="21"/>
                <w:highlight w:val="none"/>
                <w:u w:val="singl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监护除颤类配件</w:t>
            </w:r>
            <w:r>
              <w:rPr>
                <w:rFonts w:hint="eastAsia" w:ascii="宋体" w:hAnsi="宋体" w:cs="宋体"/>
                <w:b w:val="0"/>
                <w:bCs w:val="0"/>
                <w:color w:val="auto"/>
                <w:sz w:val="21"/>
                <w:szCs w:val="21"/>
                <w:highlight w:val="none"/>
                <w:lang w:val="en-US" w:eastAsia="zh-CN"/>
              </w:rPr>
              <w:t>报价：</w:t>
            </w:r>
            <w:r>
              <w:rPr>
                <w:rFonts w:hint="eastAsia" w:ascii="宋体" w:hAnsi="宋体" w:cs="宋体"/>
                <w:b w:val="0"/>
                <w:bCs w:val="0"/>
                <w:color w:val="auto"/>
                <w:sz w:val="21"/>
                <w:szCs w:val="21"/>
                <w:highlight w:val="none"/>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72" w:type="dxa"/>
            <w:vMerge w:val="continue"/>
            <w:noWrap/>
            <w:vAlign w:val="center"/>
          </w:tcPr>
          <w:p/>
        </w:tc>
        <w:tc>
          <w:tcPr>
            <w:tcW w:w="7687" w:type="dxa"/>
            <w:noWrap/>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olor w:val="auto"/>
                <w:szCs w:val="21"/>
                <w:highlight w:val="none"/>
                <w:u w:val="singl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血压计类配件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理疗类配件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医用灯泡类</w:t>
            </w:r>
            <w:r>
              <w:rPr>
                <w:rFonts w:hint="eastAsia" w:ascii="宋体" w:hAnsi="宋体" w:cs="宋体"/>
                <w:b w:val="0"/>
                <w:bCs w:val="0"/>
                <w:color w:val="auto"/>
                <w:sz w:val="21"/>
                <w:szCs w:val="21"/>
                <w:highlight w:val="none"/>
                <w:lang w:val="en-US" w:eastAsia="zh-CN"/>
              </w:rPr>
              <w:t>报价：</w:t>
            </w:r>
            <w:r>
              <w:rPr>
                <w:rFonts w:hint="eastAsia" w:ascii="宋体" w:hAnsi="宋体" w:cs="宋体"/>
                <w:b w:val="0"/>
                <w:bCs w:val="0"/>
                <w:color w:val="auto"/>
                <w:sz w:val="21"/>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68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68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68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687"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72"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687"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驻马店市中心医院监护除颤类、血压计类、理疗类、医用灯泡类常用配件采购项目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驻马店市中心医院监护除颤类、血压计类、理疗类、医用灯泡类常用配件采购项目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958"/>
    <w:rsid w:val="0AD13A85"/>
    <w:rsid w:val="0AD31FDE"/>
    <w:rsid w:val="0AF448C5"/>
    <w:rsid w:val="0B091954"/>
    <w:rsid w:val="0B637D77"/>
    <w:rsid w:val="0B6815BF"/>
    <w:rsid w:val="0B977C2D"/>
    <w:rsid w:val="0BAC324F"/>
    <w:rsid w:val="0BF72F1E"/>
    <w:rsid w:val="0C3957A5"/>
    <w:rsid w:val="0C563721"/>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C9656A"/>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DF7263"/>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5C4A4D"/>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9E3FA3"/>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144117"/>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0EB33E1"/>
    <w:rsid w:val="31002970"/>
    <w:rsid w:val="311016AD"/>
    <w:rsid w:val="311A5A74"/>
    <w:rsid w:val="3136622A"/>
    <w:rsid w:val="3139422E"/>
    <w:rsid w:val="315471D8"/>
    <w:rsid w:val="31700E4B"/>
    <w:rsid w:val="3172683C"/>
    <w:rsid w:val="319A0963"/>
    <w:rsid w:val="31A359FC"/>
    <w:rsid w:val="31AD0D61"/>
    <w:rsid w:val="31BC3A1D"/>
    <w:rsid w:val="31CD73BD"/>
    <w:rsid w:val="31D17ECD"/>
    <w:rsid w:val="31D66571"/>
    <w:rsid w:val="31D91F4E"/>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246063"/>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35770"/>
    <w:rsid w:val="4476661F"/>
    <w:rsid w:val="447E3AC5"/>
    <w:rsid w:val="449818E5"/>
    <w:rsid w:val="44A90BAA"/>
    <w:rsid w:val="44B24A20"/>
    <w:rsid w:val="44BC0BEE"/>
    <w:rsid w:val="44C922B6"/>
    <w:rsid w:val="44E066EA"/>
    <w:rsid w:val="44FB1C9C"/>
    <w:rsid w:val="45383381"/>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A92584"/>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3A027A"/>
    <w:rsid w:val="554B7EF0"/>
    <w:rsid w:val="556D4E04"/>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271C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8BB21BC"/>
    <w:rsid w:val="68F826E8"/>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AF02DC7"/>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6FC85160"/>
    <w:rsid w:val="7024611F"/>
    <w:rsid w:val="702937E8"/>
    <w:rsid w:val="70637B96"/>
    <w:rsid w:val="70797317"/>
    <w:rsid w:val="707F0E75"/>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747570"/>
    <w:rsid w:val="7A811899"/>
    <w:rsid w:val="7A94551C"/>
    <w:rsid w:val="7AA2343E"/>
    <w:rsid w:val="7ACF29F8"/>
    <w:rsid w:val="7ADA73A4"/>
    <w:rsid w:val="7AE66B99"/>
    <w:rsid w:val="7B0A3BCA"/>
    <w:rsid w:val="7B4048C1"/>
    <w:rsid w:val="7B73082F"/>
    <w:rsid w:val="7BA43E85"/>
    <w:rsid w:val="7BB06B1C"/>
    <w:rsid w:val="7BC62E00"/>
    <w:rsid w:val="7BD76009"/>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0C73F1"/>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next w:val="12"/>
    <w:autoRedefine/>
    <w:qFormat/>
    <w:uiPriority w:val="0"/>
    <w:pPr>
      <w:widowControl/>
      <w:spacing w:beforeAutospacing="1" w:afterAutospacing="1"/>
      <w:jc w:val="left"/>
    </w:pPr>
    <w:rPr>
      <w:rFonts w:ascii="宋体" w:hAnsi="宋体" w:cs="宋体"/>
      <w:kern w:val="0"/>
      <w:sz w:val="24"/>
    </w:rPr>
  </w:style>
  <w:style w:type="paragraph" w:styleId="12">
    <w:name w:val="envelope return"/>
    <w:basedOn w:val="1"/>
    <w:autoRedefine/>
    <w:unhideWhenUsed/>
    <w:qFormat/>
    <w:uiPriority w:val="99"/>
    <w:pPr>
      <w:snapToGrid w:val="0"/>
    </w:pPr>
    <w:rPr>
      <w:rFonts w:ascii="Arial" w:hAnsi="Arial"/>
    </w:rPr>
  </w:style>
  <w:style w:type="paragraph" w:styleId="13">
    <w:name w:val="Document Map"/>
    <w:basedOn w:val="1"/>
    <w:link w:val="76"/>
    <w:autoRedefine/>
    <w:qFormat/>
    <w:uiPriority w:val="0"/>
    <w:rPr>
      <w:rFonts w:ascii="宋体" w:hAnsi="Calibri"/>
      <w:sz w:val="18"/>
      <w:szCs w:val="18"/>
    </w:rPr>
  </w:style>
  <w:style w:type="paragraph" w:styleId="14">
    <w:name w:val="toa heading"/>
    <w:basedOn w:val="1"/>
    <w:next w:val="1"/>
    <w:autoRedefine/>
    <w:qFormat/>
    <w:uiPriority w:val="0"/>
    <w:pPr>
      <w:spacing w:before="120"/>
    </w:pPr>
    <w:rPr>
      <w:rFonts w:ascii="Arial" w:hAnsi="Arial" w:cs="Arial"/>
      <w:sz w:val="24"/>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3"/>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1</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2024-01-05T09:15:01Z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