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驻马店市中心医院院区发光字、LED更换及维修采购项目 </w:t>
      </w: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驻马店市中心医院院区发光字、LED更换及维修采购项目竞争性磋商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院区发光字、LED更换及维修采购项目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驻马店市中心医院院区发光字、LED更换及维修采购项目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4.3万元（据实结算），自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19521"/>
      <w:bookmarkStart w:id="5" w:name="_Toc21071"/>
      <w:bookmarkStart w:id="6" w:name="_Toc27913"/>
      <w:bookmarkStart w:id="7" w:name="_Toc24040"/>
      <w:bookmarkStart w:id="8" w:name="_Toc26079"/>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27704"/>
      <w:bookmarkStart w:id="10" w:name="_Toc16639"/>
      <w:bookmarkStart w:id="11" w:name="_Toc18607"/>
      <w:bookmarkStart w:id="12" w:name="_Toc23626"/>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30971"/>
      <w:bookmarkStart w:id="14" w:name="_Toc23395"/>
      <w:bookmarkStart w:id="15" w:name="_Toc7823"/>
      <w:bookmarkStart w:id="16" w:name="_Toc9562"/>
      <w:bookmarkStart w:id="17" w:name="_Toc30643"/>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 w:val="24"/>
          <w:szCs w:val="24"/>
          <w:shd w:val="clear" w:color="auto" w:fill="FFFFFF"/>
          <w14:textFill>
            <w14:solidFill>
              <w14:schemeClr w14:val="tx1"/>
            </w14:solidFill>
          </w14:textFill>
        </w:rPr>
        <w:t>时间：202</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上午8</w:t>
      </w:r>
      <w:r>
        <w:rPr>
          <w:rFonts w:hint="eastAsia" w:ascii="宋体" w:hAnsi="宋体" w:eastAsia="宋体" w:cs="宋体"/>
          <w:color w:val="auto"/>
          <w:sz w:val="24"/>
          <w:szCs w:val="24"/>
          <w:shd w:val="clear" w:color="auto" w:fill="FFFFFF"/>
        </w:rPr>
        <w:t>：30-11:30，下午14:30-17:30（北京时间，法定节假日除外）</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w:t>
      </w:r>
      <w:bookmarkStart w:id="91" w:name="_GoBack"/>
      <w:bookmarkEnd w:id="91"/>
      <w:r>
        <w:rPr>
          <w:rFonts w:hint="eastAsia" w:ascii="宋体" w:hAnsi="宋体" w:eastAsia="宋体" w:cs="宋体"/>
          <w:color w:val="auto"/>
          <w:kern w:val="0"/>
          <w:sz w:val="24"/>
          <w:szCs w:val="24"/>
          <w:shd w:val="clear" w:color="auto" w:fill="FFFFFF"/>
          <w:lang w:val="en-US" w:eastAsia="zh-CN" w:bidi="ar-SA"/>
        </w:rPr>
        <w:t>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15135"/>
      <w:bookmarkStart w:id="19" w:name="_Toc25869"/>
      <w:bookmarkStart w:id="20" w:name="_Toc15111"/>
      <w:bookmarkStart w:id="21" w:name="_Toc27480"/>
      <w:bookmarkStart w:id="22" w:name="_Toc10738"/>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6523"/>
      <w:bookmarkStart w:id="24" w:name="_Toc20287"/>
      <w:bookmarkStart w:id="25" w:name="_Toc30918"/>
      <w:bookmarkStart w:id="26"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4274"/>
      <w:bookmarkStart w:id="30" w:name="_Toc16291"/>
      <w:bookmarkStart w:id="31" w:name="_Toc31928"/>
      <w:bookmarkStart w:id="32" w:name="_Toc3604"/>
      <w:bookmarkStart w:id="33" w:name="_Toc27370"/>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3793"/>
      <w:bookmarkStart w:id="36" w:name="_Toc29890"/>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驻马店市中心医院院区发光字、LED更换及维修采购项目。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shd w:val="clear" w:color="auto" w:fill="FFFFFF"/>
          <w:lang w:val="en-US" w:eastAsia="zh-CN" w:bidi="ar-SA"/>
        </w:rPr>
        <w:t xml:space="preserve">对各院区的发光字、LED更换及日常维修。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33"/>
        <w:gridCol w:w="2178"/>
        <w:gridCol w:w="750"/>
        <w:gridCol w:w="810"/>
        <w:gridCol w:w="1295"/>
        <w:gridCol w:w="104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包号</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序号</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标的名称</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单位</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数量</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预算</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性质</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78"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院区发光字、LED更换及日常维修</w:t>
            </w:r>
          </w:p>
        </w:tc>
        <w:tc>
          <w:tcPr>
            <w:tcW w:w="75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9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4.3万元/年</w:t>
            </w:r>
          </w:p>
        </w:tc>
        <w:tc>
          <w:tcPr>
            <w:tcW w:w="104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自筹</w:t>
            </w:r>
          </w:p>
        </w:tc>
        <w:tc>
          <w:tcPr>
            <w:tcW w:w="117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81"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c>
          <w:tcPr>
            <w:tcW w:w="7253" w:type="dxa"/>
            <w:gridSpan w:val="6"/>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据实结算</w:t>
            </w: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技术参数、性能及产品功能要求</w:t>
      </w:r>
      <w:r>
        <w:rPr>
          <w:rFonts w:hint="eastAsia" w:ascii="宋体" w:hAnsi="宋体" w:eastAsia="宋体" w:cs="宋体"/>
          <w:b/>
          <w:bCs/>
          <w:kern w:val="2"/>
          <w:sz w:val="21"/>
          <w:szCs w:val="21"/>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宋体" w:hAnsi="宋体"/>
          <w:b/>
          <w:bCs/>
          <w:sz w:val="21"/>
          <w:szCs w:val="21"/>
          <w:u w:val="none"/>
          <w:lang w:val="en-US"/>
        </w:rPr>
      </w:pPr>
      <w:r>
        <w:rPr>
          <w:rFonts w:hint="eastAsia"/>
          <w:b/>
          <w:bCs/>
          <w:sz w:val="21"/>
          <w:szCs w:val="21"/>
          <w:u w:val="none"/>
          <w:lang w:val="en-US" w:eastAsia="zh-CN"/>
        </w:rPr>
        <w:t>院区发光字、LED更换及维修单价清单</w:t>
      </w:r>
    </w:p>
    <w:tbl>
      <w:tblPr>
        <w:tblStyle w:val="33"/>
        <w:tblW w:w="9077" w:type="dxa"/>
        <w:tblInd w:w="0" w:type="dxa"/>
        <w:tblLayout w:type="fixed"/>
        <w:tblCellMar>
          <w:top w:w="0" w:type="dxa"/>
          <w:left w:w="0" w:type="dxa"/>
          <w:bottom w:w="0" w:type="dxa"/>
          <w:right w:w="0" w:type="dxa"/>
        </w:tblCellMar>
      </w:tblPr>
      <w:tblGrid>
        <w:gridCol w:w="871"/>
        <w:gridCol w:w="3630"/>
        <w:gridCol w:w="2082"/>
        <w:gridCol w:w="1161"/>
        <w:gridCol w:w="1333"/>
      </w:tblGrid>
      <w:tr>
        <w:tblPrEx>
          <w:tblCellMar>
            <w:top w:w="0" w:type="dxa"/>
            <w:left w:w="0" w:type="dxa"/>
            <w:bottom w:w="0" w:type="dxa"/>
            <w:right w:w="0" w:type="dxa"/>
          </w:tblCellMar>
        </w:tblPrEx>
        <w:trPr>
          <w:trHeight w:val="37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名称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材质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拦标价</w:t>
            </w:r>
          </w:p>
        </w:tc>
      </w:tr>
      <w:tr>
        <w:tblPrEx>
          <w:tblCellMar>
            <w:top w:w="0" w:type="dxa"/>
            <w:left w:w="0" w:type="dxa"/>
            <w:bottom w:w="0" w:type="dxa"/>
            <w:right w:w="0" w:type="dxa"/>
          </w:tblCellMar>
        </w:tblPrEx>
        <w:trPr>
          <w:trHeight w:val="5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单色电源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kern w:val="0"/>
                <w:sz w:val="22"/>
                <w:szCs w:val="22"/>
                <w:lang w:val="en-US" w:eastAsia="zh-CN"/>
              </w:rPr>
              <w:t>铝壳  5v40A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1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全彩屏电源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铝壳 12V40A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82"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eastAsia="zh-CN"/>
              </w:rPr>
              <w:t>发光字电源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铝壳 12V40A</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74"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F5.0单元板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406"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LED</w:t>
            </w:r>
            <w:r>
              <w:rPr>
                <w:rFonts w:hint="eastAsia" w:ascii="宋体" w:hAnsi="宋体" w:cs="宋体"/>
                <w:color w:val="000000"/>
                <w:kern w:val="0"/>
                <w:sz w:val="22"/>
                <w:szCs w:val="22"/>
                <w:lang w:eastAsia="zh-CN"/>
              </w:rPr>
              <w:t>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rPr>
              <w:t>P4.75单元板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180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58"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LED单色显示屏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P10单元板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both"/>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130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LED</w:t>
            </w:r>
            <w:r>
              <w:rPr>
                <w:rFonts w:hint="eastAsia" w:ascii="宋体" w:hAnsi="宋体" w:cs="宋体"/>
                <w:color w:val="000000"/>
                <w:sz w:val="22"/>
                <w:szCs w:val="22"/>
                <w:lang w:eastAsia="zh-CN"/>
              </w:rPr>
              <w:t>全彩显示屏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rPr>
            </w:pPr>
            <w:r>
              <w:rPr>
                <w:rFonts w:hint="eastAsia" w:ascii="宋体" w:hAnsi="宋体" w:cs="宋体"/>
                <w:color w:val="000000"/>
                <w:sz w:val="22"/>
                <w:szCs w:val="22"/>
                <w:lang w:val="en-US" w:eastAsia="zh-CN"/>
              </w:rPr>
              <w:t>P2.0单元板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08接收卡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控制系统单色屏</w:t>
            </w:r>
            <w:r>
              <w:rPr>
                <w:rFonts w:hint="eastAsia" w:ascii="宋体" w:hAnsi="宋体" w:cs="宋体"/>
                <w:color w:val="000000"/>
                <w:sz w:val="22"/>
                <w:szCs w:val="22"/>
                <w:lang w:val="en-US" w:eastAsia="zh-CN"/>
              </w:rPr>
              <w:t>12接收卡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视频接收器</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不锈钢包边发光字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40" w:firstLineChars="200"/>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LED数码管</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140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亚克力包边发光字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480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烤漆LED发光字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烤漆镀锌板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val="en-US" w:eastAsia="zh-CN"/>
              </w:rPr>
              <w:t>不锈钢框架</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不锈钢方管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镀锌角铁框架</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镀锌角铁</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铝朔板门头招牌</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铝朔板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460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PVC面板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无边字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eastAsia="zh-CN"/>
              </w:rPr>
              <w:t>亚克力面板</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LED发光灯箱</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铝型材UV软膜</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LED射灯</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个</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450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LED定时系统</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1500</w:t>
            </w:r>
            <w:r>
              <w:rPr>
                <w:rFonts w:hint="eastAsia" w:ascii="宋体" w:hAnsi="宋体" w:cs="宋体"/>
                <w:color w:val="000000"/>
                <w:sz w:val="22"/>
                <w:szCs w:val="22"/>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高空下吊绳</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1300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旧字刷漆翻新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460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25</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国旗更换</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面</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26</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不锈钢牌</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块</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27</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不锈钢精工字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450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28</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烤漆精工字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380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29</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hAnsi="宋体" w:cs="宋体"/>
                <w:szCs w:val="24"/>
              </w:rPr>
              <w:t>吊车施工费</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eastAsia="宋体" w:cs="宋体"/>
                <w:kern w:val="2"/>
                <w:sz w:val="21"/>
                <w:szCs w:val="24"/>
                <w:lang w:val="en-US" w:eastAsia="zh-CN" w:bidi="ar-SA"/>
              </w:rPr>
            </w:pPr>
            <w:r>
              <w:rPr>
                <w:rFonts w:hint="eastAsia" w:ascii="宋体" w:cs="宋体"/>
                <w:szCs w:val="24"/>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ascii="宋体" w:hAnsi="Times New Roman" w:eastAsia="宋体" w:cs="宋体"/>
                <w:kern w:val="2"/>
                <w:sz w:val="21"/>
                <w:szCs w:val="24"/>
                <w:lang w:val="en-US" w:eastAsia="zh-CN" w:bidi="ar-SA"/>
              </w:rPr>
            </w:pPr>
            <w:r>
              <w:rPr>
                <w:rFonts w:hint="eastAsia" w:ascii="宋体" w:cs="宋体"/>
                <w:szCs w:val="24"/>
                <w:lang w:val="en-US" w:eastAsia="zh-CN"/>
              </w:rPr>
              <w:t>2500</w:t>
            </w:r>
            <w:r>
              <w:rPr>
                <w:rFonts w:hint="eastAsia" w:ascii="宋体" w:cs="宋体"/>
                <w:szCs w:val="24"/>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30</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LED穿孔字更换灯珠</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460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31</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水晶字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before="0" w:line="300" w:lineRule="atLeast"/>
              <w:ind w:left="0" w:leftChars="0" w:right="0" w:rightChars="0"/>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350</w:t>
            </w:r>
            <w:r>
              <w:rPr>
                <w:rFonts w:hint="eastAsia" w:ascii="宋体" w:hAnsi="宋体" w:eastAsia="宋体" w:cs="宋体"/>
                <w:kern w:val="2"/>
                <w:sz w:val="21"/>
                <w:szCs w:val="24"/>
                <w:lang w:val="en-US" w:eastAsia="zh-CN" w:bidi="ar-SA"/>
              </w:rPr>
              <w:t>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32</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hAnsi="宋体" w:cs="宋体" w:eastAsiaTheme="minorEastAsia"/>
                <w:szCs w:val="24"/>
                <w:lang w:eastAsia="zh-CN"/>
              </w:rPr>
            </w:pPr>
            <w:r>
              <w:rPr>
                <w:rFonts w:hint="eastAsia" w:ascii="宋体" w:hAnsi="宋体" w:cs="宋体"/>
                <w:szCs w:val="24"/>
                <w:lang w:eastAsia="zh-CN"/>
              </w:rPr>
              <w:t>维修人工费</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/天</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eastAsiaTheme="minorEastAsia"/>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25"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33</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LED灯箱更换画面</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r>
              <w:rPr>
                <w:rFonts w:hint="eastAsia" w:ascii="宋体" w:cs="宋体"/>
                <w:szCs w:val="24"/>
                <w:lang w:val="en-US" w:eastAsia="zh-CN"/>
              </w:rPr>
              <w:t>平方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350元</w:t>
            </w:r>
          </w:p>
        </w:tc>
      </w:tr>
      <w:tr>
        <w:tblPrEx>
          <w:tblCellMar>
            <w:top w:w="0" w:type="dxa"/>
            <w:left w:w="0" w:type="dxa"/>
            <w:bottom w:w="0" w:type="dxa"/>
            <w:right w:w="0" w:type="dxa"/>
          </w:tblCellMar>
        </w:tblPrEx>
        <w:trPr>
          <w:trHeight w:val="334"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34</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hAnsi="宋体" w:cs="宋体"/>
                <w:szCs w:val="24"/>
                <w:lang w:val="en-US" w:eastAsia="zh-CN"/>
              </w:rPr>
            </w:pPr>
            <w:r>
              <w:rPr>
                <w:rFonts w:hint="eastAsia" w:ascii="宋体" w:hAnsi="宋体" w:cs="宋体"/>
                <w:szCs w:val="24"/>
                <w:lang w:val="en-US" w:eastAsia="zh-CN"/>
              </w:rPr>
              <w:t>LED灯箱更换光源</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bottom"/>
              <w:rPr>
                <w:rFonts w:hint="eastAsia" w:ascii="Times New Roman" w:hAnsi="Times New Roman" w:eastAsia="宋体" w:cs="Times New Roman"/>
                <w:kern w:val="2"/>
                <w:sz w:val="21"/>
                <w:lang w:val="en-US" w:eastAsia="zh-CN" w:bidi="ar-SA"/>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eastAsia" w:ascii="宋体" w:cs="宋体"/>
                <w:szCs w:val="24"/>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utoSpaceDE w:val="0"/>
              <w:autoSpaceDN w:val="0"/>
              <w:spacing w:line="300" w:lineRule="atLeast"/>
              <w:jc w:val="center"/>
              <w:rPr>
                <w:rFonts w:hint="default" w:ascii="宋体" w:cs="宋体"/>
                <w:szCs w:val="24"/>
                <w:lang w:val="en-US" w:eastAsia="zh-CN"/>
              </w:rPr>
            </w:pPr>
            <w:r>
              <w:rPr>
                <w:rFonts w:hint="eastAsia" w:ascii="宋体" w:cs="宋体"/>
                <w:szCs w:val="24"/>
                <w:lang w:val="en-US" w:eastAsia="zh-CN"/>
              </w:rPr>
              <w:t>380元</w:t>
            </w:r>
          </w:p>
        </w:tc>
      </w:tr>
      <w:tr>
        <w:tblPrEx>
          <w:tblCellMar>
            <w:top w:w="0" w:type="dxa"/>
            <w:left w:w="0" w:type="dxa"/>
            <w:bottom w:w="0" w:type="dxa"/>
            <w:right w:w="0" w:type="dxa"/>
          </w:tblCellMar>
        </w:tblPrEx>
        <w:trPr>
          <w:trHeight w:val="343" w:hRule="atLeast"/>
        </w:trPr>
        <w:tc>
          <w:tcPr>
            <w:tcW w:w="90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abs>
                <w:tab w:val="left" w:pos="4611"/>
              </w:tabs>
              <w:autoSpaceDE w:val="0"/>
              <w:autoSpaceDN w:val="0"/>
              <w:spacing w:line="300" w:lineRule="atLeast"/>
              <w:jc w:val="left"/>
              <w:rPr>
                <w:rFonts w:hint="default" w:ascii="宋体" w:cs="宋体"/>
                <w:szCs w:val="24"/>
                <w:lang w:val="en-US" w:eastAsia="zh-CN"/>
              </w:rPr>
            </w:pPr>
            <w:r>
              <w:rPr>
                <w:rFonts w:hint="eastAsia" w:ascii="宋体" w:cs="宋体"/>
                <w:szCs w:val="24"/>
                <w:lang w:val="en-US" w:eastAsia="zh-CN"/>
              </w:rPr>
              <w:tab/>
            </w:r>
            <w:r>
              <w:rPr>
                <w:rFonts w:hint="eastAsia" w:ascii="宋体" w:cs="宋体"/>
                <w:szCs w:val="24"/>
                <w:lang w:val="en-US" w:eastAsia="zh-CN"/>
              </w:rPr>
              <w:t>合计：19120元</w:t>
            </w:r>
          </w:p>
        </w:tc>
      </w:tr>
      <w:bookmarkEnd w:id="35"/>
      <w:bookmarkEnd w:id="36"/>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w:t>
      </w:r>
      <w:r>
        <w:rPr>
          <w:rFonts w:hint="eastAsia" w:ascii="宋体" w:hAnsi="宋体" w:cs="宋体"/>
          <w:b/>
          <w:bCs/>
          <w:kern w:val="2"/>
          <w:sz w:val="21"/>
          <w:szCs w:val="21"/>
          <w:lang w:val="en-US" w:eastAsia="zh-CN" w:bidi="ar-SA"/>
        </w:rPr>
        <w:t>技术</w:t>
      </w:r>
      <w:r>
        <w:rPr>
          <w:rFonts w:hint="eastAsia" w:ascii="宋体" w:hAnsi="宋体" w:eastAsia="宋体" w:cs="宋体"/>
          <w:b/>
          <w:bCs/>
          <w:kern w:val="2"/>
          <w:sz w:val="21"/>
          <w:szCs w:val="21"/>
          <w:lang w:val="en-US" w:eastAsia="zh-CN" w:bidi="ar-SA"/>
        </w:rPr>
        <w:t>商务要求：</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1.供应商根据采购清单，结合工程现场情况，设计、制作、安装符合要求的LED灯箱、广告牌，并提供相关的服务。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2.根据清单要求，货到采购人指定的使用地点、并且组装、安装，安全可靠，可交付甲方使用。</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3.如遇甲方有任何原因的紧急任务，乙方应极力配合予以完成，随叫随到，不得推诿，2小时内到货。</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4.甲方如有需要设计方案的任务，乙方应在接到任务后 2 天内提供设计初稿。所有设计方案必须经过采购人的确认，对不符合要求的，必须无条件修改设计方案，直至采购人满意。</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5.质保期（指免费保修期）：质保期自标识标牌安装完毕并验收合格办理移交手续之日起不少于2年。</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6.售后服务：</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①不符合质量要求的货品，退货并重新制作，供应商需在12小时内响应，24小时解决问题，在响应文件中请提供详细的售后服务承诺书及实施方案。</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②要求供应商设立对采购人便捷且固定的售后服务机构，并配置专业人员及一定的标识标牌维修更换的配件等。</w:t>
      </w:r>
    </w:p>
    <w:p>
      <w:pPr>
        <w:pageBreakBefore w:val="0"/>
        <w:widowControl/>
        <w:kinsoku/>
        <w:wordWrap/>
        <w:overflowPunct/>
        <w:topLinePunct w:val="0"/>
        <w:bidi w:val="0"/>
        <w:snapToGrid w:val="0"/>
        <w:spacing w:before="0" w:beforeAutospacing="0" w:after="0" w:afterAutospacing="0" w:line="50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③质保期间，在规定的售后服务响应时间内，供应商不能满足采购人合理要求的，采购人可以找第三方进行维修，其费用由供应商承担。</w:t>
      </w:r>
    </w:p>
    <w:p>
      <w:pPr>
        <w:pageBreakBefore w:val="0"/>
        <w:kinsoku/>
        <w:wordWrap/>
        <w:overflowPunct/>
        <w:topLinePunct w:val="0"/>
        <w:bidi w:val="0"/>
        <w:snapToGrid w:val="0"/>
        <w:spacing w:beforeAutospacing="0" w:afterAutospacing="0" w:line="500" w:lineRule="exact"/>
        <w:jc w:val="center"/>
        <w:textAlignment w:val="auto"/>
        <w:rPr>
          <w:rFonts w:hint="eastAsia" w:ascii="宋体" w:hAnsi="宋体" w:eastAsia="宋体" w:cs="宋体"/>
          <w:b/>
          <w:bCs/>
          <w:kern w:val="2"/>
          <w:sz w:val="21"/>
          <w:szCs w:val="21"/>
          <w:lang w:val="en-US" w:eastAsia="zh-CN" w:bidi="ar-SA"/>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质保期自标识标牌安装完毕并验收合格办理移交手续之日起不少于2年。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b w:val="0"/>
                <w:bCs w:val="0"/>
                <w:color w:val="auto"/>
                <w:kern w:val="0"/>
                <w:szCs w:val="21"/>
                <w:highlight w:val="none"/>
              </w:rPr>
              <w:t>并</w:t>
            </w:r>
            <w:r>
              <w:rPr>
                <w:rFonts w:hint="eastAsia" w:ascii="宋体" w:hAnsi="宋体" w:cs="宋体"/>
                <w:color w:val="auto"/>
                <w:kern w:val="0"/>
                <w:szCs w:val="21"/>
                <w:highlight w:val="none"/>
              </w:rPr>
              <w:t>推荐两名中标候选人。</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驻马店市中心医院院区发光字、LED更换及维修采购项目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4.3万元（据实结算）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57"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val="0"/>
                <w:bCs w:val="0"/>
                <w:color w:val="auto"/>
                <w:kern w:val="0"/>
                <w:szCs w:val="21"/>
                <w:highlight w:val="none"/>
                <w:lang w:eastAsia="zh-CN"/>
              </w:rPr>
              <w:t>一名中标人</w:t>
            </w:r>
            <w:r>
              <w:rPr>
                <w:rFonts w:hint="eastAsia" w:ascii="宋体" w:hAnsi="宋体" w:cs="宋体"/>
                <w:color w:val="auto"/>
                <w:kern w:val="0"/>
                <w:szCs w:val="21"/>
                <w:highlight w:val="none"/>
              </w:rPr>
              <w:t>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4.3万元（据实结算）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16.10、</w:t>
      </w:r>
      <w:r>
        <w:rPr>
          <w:rFonts w:hint="eastAsia" w:ascii="宋体" w:hAnsi="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 w:val="0"/>
          <w:bCs/>
          <w:color w:val="auto"/>
          <w:kern w:val="0"/>
          <w:szCs w:val="21"/>
          <w:highlight w:val="none"/>
          <w:lang w:eastAsia="zh-CN"/>
        </w:rPr>
        <w:t>一名中标人</w:t>
      </w:r>
      <w:r>
        <w:rPr>
          <w:rFonts w:hint="eastAsia" w:ascii="宋体" w:hAnsi="宋体" w:cs="宋体"/>
          <w:bCs/>
          <w:color w:val="auto"/>
          <w:kern w:val="0"/>
          <w:szCs w:val="21"/>
          <w:highlight w:val="none"/>
        </w:rPr>
        <w:t>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4700"/>
      <w:bookmarkStart w:id="44" w:name="_Toc9022"/>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存在负偏离的得0分，</w:t>
            </w:r>
            <w:r>
              <w:rPr>
                <w:rFonts w:hint="eastAsia" w:ascii="宋体" w:hAnsi="宋体" w:eastAsia="宋体" w:cs="宋体"/>
                <w:b w:val="0"/>
                <w:bCs w:val="0"/>
                <w:color w:val="000000" w:themeColor="text1"/>
                <w:sz w:val="21"/>
                <w:szCs w:val="21"/>
                <w:highlight w:val="none"/>
                <w14:textFill>
                  <w14:solidFill>
                    <w14:schemeClr w14:val="tx1"/>
                  </w14:solidFill>
                </w14:textFill>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2.产品综合评议（10分）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.实施方案</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供应商对项目实施方案的整体规划，包括对接方案、调试方案、交货期保证措施</w:t>
            </w:r>
            <w:r>
              <w:rPr>
                <w:rFonts w:hint="eastAsia" w:ascii="宋体" w:hAnsi="宋体" w:cs="宋体"/>
                <w:b w:val="0"/>
                <w:bCs w:val="0"/>
                <w:color w:val="auto"/>
                <w:sz w:val="21"/>
                <w:szCs w:val="21"/>
                <w:highlight w:val="none"/>
                <w:lang w:val="en-US" w:eastAsia="zh-CN"/>
              </w:rPr>
              <w:t>、应急处置措施</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326786897"/>
      <w:bookmarkStart w:id="47" w:name="_Toc256519703"/>
      <w:bookmarkStart w:id="48" w:name="_Toc1947"/>
      <w:bookmarkStart w:id="49" w:name="_Toc1482"/>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bookmarkStart w:id="53" w:name="_Toc11308"/>
      <w:r>
        <w:rPr>
          <w:rFonts w:hint="eastAsia" w:ascii="Times New Roman" w:hAnsi="Times New Roman" w:cs="Times New Roman"/>
          <w:color w:val="auto"/>
          <w:sz w:val="24"/>
          <w:highlight w:val="none"/>
        </w:rPr>
        <w:t>附件1投标文件封面（格式）</w:t>
      </w:r>
      <w:bookmarkEnd w:id="53"/>
    </w:p>
    <w:p>
      <w:pPr>
        <w:snapToGrid w:val="0"/>
        <w:spacing w:line="360" w:lineRule="auto"/>
        <w:ind w:firstLine="480" w:firstLineChars="200"/>
        <w:rPr>
          <w:rFonts w:hint="eastAsia" w:ascii="Times New Roman" w:hAnsi="Times New Roman" w:cs="Times New Roman"/>
          <w:color w:val="auto"/>
          <w:sz w:val="24"/>
          <w:highlight w:val="none"/>
        </w:rPr>
      </w:pPr>
      <w:bookmarkStart w:id="54" w:name="_Toc25345"/>
      <w:r>
        <w:rPr>
          <w:rFonts w:hint="eastAsia" w:ascii="Times New Roman" w:hAnsi="Times New Roman" w:cs="Times New Roman"/>
          <w:color w:val="auto"/>
          <w:sz w:val="24"/>
          <w:highlight w:val="none"/>
        </w:rPr>
        <w:t>附件2 投标书（格式）</w:t>
      </w:r>
      <w:bookmarkEnd w:id="54"/>
    </w:p>
    <w:p>
      <w:pPr>
        <w:snapToGrid w:val="0"/>
        <w:spacing w:line="360" w:lineRule="auto"/>
        <w:ind w:firstLine="480" w:firstLineChars="200"/>
        <w:rPr>
          <w:rFonts w:hint="eastAsia" w:ascii="Times New Roman" w:hAnsi="Times New Roman" w:cs="Times New Roman"/>
          <w:color w:val="auto"/>
          <w:sz w:val="24"/>
          <w:highlight w:val="none"/>
        </w:rPr>
      </w:pPr>
      <w:bookmarkStart w:id="55" w:name="_Toc10217"/>
      <w:r>
        <w:rPr>
          <w:rFonts w:hint="eastAsia" w:ascii="Times New Roman" w:hAnsi="Times New Roman" w:cs="Times New Roman"/>
          <w:color w:val="auto"/>
          <w:sz w:val="24"/>
          <w:highlight w:val="none"/>
        </w:rPr>
        <w:t>附件3 开标一览表（格式）</w:t>
      </w:r>
      <w:bookmarkEnd w:id="55"/>
    </w:p>
    <w:p>
      <w:pPr>
        <w:snapToGrid w:val="0"/>
        <w:spacing w:line="360" w:lineRule="auto"/>
        <w:ind w:firstLine="480" w:firstLineChars="200"/>
        <w:rPr>
          <w:rFonts w:hint="eastAsia" w:ascii="Times New Roman" w:hAnsi="Times New Roman" w:cs="Times New Roman"/>
          <w:color w:val="auto"/>
          <w:sz w:val="24"/>
          <w:highlight w:val="none"/>
        </w:rPr>
      </w:pPr>
      <w:bookmarkStart w:id="56" w:name="_Toc9579"/>
      <w:r>
        <w:rPr>
          <w:rFonts w:hint="eastAsia" w:ascii="Times New Roman" w:hAnsi="Times New Roman" w:cs="Times New Roman"/>
          <w:color w:val="auto"/>
          <w:sz w:val="24"/>
          <w:highlight w:val="none"/>
        </w:rPr>
        <w:t>附件4 投标报价明细表（格式）</w:t>
      </w:r>
      <w:bookmarkEnd w:id="56"/>
    </w:p>
    <w:p>
      <w:pPr>
        <w:snapToGrid w:val="0"/>
        <w:spacing w:line="360" w:lineRule="auto"/>
        <w:ind w:firstLine="480" w:firstLineChars="200"/>
        <w:rPr>
          <w:rFonts w:hint="default" w:ascii="Times New Roman" w:hAnsi="Times New Roman" w:cs="Times New Roman"/>
          <w:color w:val="auto"/>
          <w:sz w:val="24"/>
          <w:highlight w:val="none"/>
          <w:lang w:val="en-US" w:eastAsia="zh-CN"/>
        </w:rPr>
      </w:pPr>
      <w:bookmarkStart w:id="57" w:name="_Toc28392"/>
      <w:r>
        <w:rPr>
          <w:rFonts w:hint="eastAsia" w:ascii="Times New Roman" w:hAnsi="Times New Roman" w:cs="Times New Roman"/>
          <w:color w:val="auto"/>
          <w:sz w:val="24"/>
          <w:highlight w:val="none"/>
        </w:rPr>
        <w:t>附件5</w:t>
      </w:r>
      <w:bookmarkEnd w:id="57"/>
      <w:r>
        <w:rPr>
          <w:rFonts w:hint="eastAsia" w:ascii="Times New Roman" w:hAnsi="Times New Roman" w:cs="Times New Roman"/>
          <w:color w:val="auto"/>
          <w:sz w:val="24"/>
          <w:highlight w:val="none"/>
        </w:rPr>
        <w:t>技术响应表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格式）</w:t>
      </w:r>
    </w:p>
    <w:p>
      <w:pPr>
        <w:snapToGrid w:val="0"/>
        <w:spacing w:line="360" w:lineRule="auto"/>
        <w:ind w:firstLine="480" w:firstLineChars="200"/>
        <w:rPr>
          <w:rFonts w:hint="eastAsia" w:ascii="Times New Roman" w:hAnsi="Times New Roman" w:cs="Times New Roman"/>
          <w:color w:val="auto"/>
          <w:sz w:val="24"/>
          <w:highlight w:val="none"/>
        </w:rPr>
      </w:pPr>
      <w:bookmarkStart w:id="58" w:name="_Toc6234"/>
      <w:r>
        <w:rPr>
          <w:rFonts w:hint="eastAsia" w:ascii="Times New Roman" w:hAnsi="Times New Roman" w:cs="Times New Roman"/>
          <w:color w:val="auto"/>
          <w:sz w:val="24"/>
          <w:highlight w:val="none"/>
        </w:rPr>
        <w:t xml:space="preserve">附件6 </w:t>
      </w:r>
      <w:bookmarkEnd w:id="58"/>
      <w:r>
        <w:rPr>
          <w:rFonts w:hint="eastAsia" w:ascii="Times New Roman" w:hAnsi="Times New Roman" w:cs="Times New Roman"/>
          <w:color w:val="auto"/>
          <w:sz w:val="24"/>
          <w:highlight w:val="none"/>
        </w:rPr>
        <w:t>商务响应</w:t>
      </w:r>
      <w:r>
        <w:rPr>
          <w:rFonts w:hint="eastAsia" w:ascii="Times New Roman" w:hAnsi="Times New Roman" w:cs="Times New Roman"/>
          <w:color w:val="auto"/>
          <w:sz w:val="24"/>
          <w:highlight w:val="none"/>
          <w:lang w:val="en-US" w:eastAsia="zh-CN"/>
        </w:rPr>
        <w:t>部分</w:t>
      </w:r>
    </w:p>
    <w:p>
      <w:pPr>
        <w:snapToGrid w:val="0"/>
        <w:spacing w:line="360" w:lineRule="auto"/>
        <w:ind w:firstLine="480" w:firstLineChars="200"/>
        <w:rPr>
          <w:rFonts w:hint="eastAsia" w:ascii="Times New Roman" w:hAnsi="Times New Roman" w:cs="Times New Roman"/>
          <w:color w:val="auto"/>
          <w:sz w:val="24"/>
          <w:highlight w:val="none"/>
        </w:rPr>
      </w:pPr>
      <w:bookmarkStart w:id="59" w:name="_Toc26231"/>
      <w:r>
        <w:rPr>
          <w:rFonts w:hint="eastAsia" w:ascii="Times New Roman" w:hAnsi="Times New Roman" w:cs="Times New Roman"/>
          <w:color w:val="auto"/>
          <w:sz w:val="24"/>
          <w:highlight w:val="none"/>
        </w:rPr>
        <w:t>附件7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法定代表人身份证明（格式）</w:t>
      </w:r>
      <w:bookmarkEnd w:id="59"/>
    </w:p>
    <w:p>
      <w:pPr>
        <w:snapToGrid w:val="0"/>
        <w:spacing w:line="360" w:lineRule="auto"/>
        <w:ind w:firstLine="480" w:firstLineChars="200"/>
        <w:rPr>
          <w:rFonts w:hint="eastAsia" w:ascii="Times New Roman" w:hAnsi="Times New Roman" w:cs="Times New Roman"/>
          <w:color w:val="auto"/>
          <w:sz w:val="24"/>
          <w:highlight w:val="none"/>
        </w:rPr>
      </w:pPr>
      <w:bookmarkStart w:id="60" w:name="_Toc18484"/>
      <w:r>
        <w:rPr>
          <w:rFonts w:hint="eastAsia" w:ascii="Times New Roman" w:hAnsi="Times New Roman" w:cs="Times New Roman"/>
          <w:color w:val="auto"/>
          <w:sz w:val="24"/>
          <w:highlight w:val="none"/>
        </w:rPr>
        <w:t>附件8</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法定代表人授权书（格式）</w:t>
      </w:r>
      <w:bookmarkEnd w:id="60"/>
    </w:p>
    <w:p>
      <w:pPr>
        <w:snapToGrid w:val="0"/>
        <w:spacing w:line="360" w:lineRule="auto"/>
        <w:ind w:firstLine="480" w:firstLineChars="200"/>
        <w:rPr>
          <w:rFonts w:hint="eastAsia" w:ascii="Times New Roman" w:hAnsi="Times New Roman" w:cs="Times New Roman"/>
          <w:color w:val="auto"/>
          <w:sz w:val="24"/>
          <w:highlight w:val="none"/>
        </w:rPr>
      </w:pPr>
      <w:bookmarkStart w:id="61" w:name="_Toc31857"/>
      <w:r>
        <w:rPr>
          <w:rFonts w:hint="eastAsia" w:ascii="Times New Roman" w:hAnsi="Times New Roman" w:cs="Times New Roman"/>
          <w:color w:val="auto"/>
          <w:sz w:val="24"/>
          <w:highlight w:val="none"/>
        </w:rPr>
        <w:t>附件9 证明文件</w:t>
      </w:r>
      <w:bookmarkEnd w:id="61"/>
    </w:p>
    <w:p>
      <w:pPr>
        <w:snapToGrid w:val="0"/>
        <w:spacing w:line="360" w:lineRule="auto"/>
        <w:ind w:firstLine="480" w:firstLineChars="200"/>
        <w:rPr>
          <w:rFonts w:hint="eastAsia" w:ascii="Times New Roman" w:hAnsi="Times New Roman" w:cs="Times New Roman"/>
          <w:color w:val="auto"/>
          <w:sz w:val="24"/>
          <w:highlight w:val="none"/>
        </w:rPr>
      </w:pPr>
      <w:bookmarkStart w:id="62" w:name="_Toc23116"/>
      <w:r>
        <w:rPr>
          <w:rFonts w:hint="eastAsia" w:ascii="Times New Roman" w:hAnsi="Times New Roman" w:cs="Times New Roman"/>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附件11 供应商信用承诺函（格式）</w:t>
      </w:r>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附件12 </w:t>
      </w:r>
      <w:r>
        <w:rPr>
          <w:rFonts w:hint="eastAsia" w:ascii="Times New Roman" w:hAnsi="Times New Roman" w:cs="Times New Roman"/>
          <w:color w:val="auto"/>
          <w:sz w:val="24"/>
          <w:highlight w:val="none"/>
        </w:rPr>
        <w:t>投标人认为有必要的其他资料</w:t>
      </w:r>
    </w:p>
    <w:p>
      <w:pPr>
        <w:snapToGrid w:val="0"/>
        <w:spacing w:line="360" w:lineRule="auto"/>
        <w:ind w:firstLine="480" w:firstLineChars="200"/>
        <w:rPr>
          <w:rFonts w:hint="eastAsia" w:ascii="Times New Roman" w:hAnsi="Times New Roman" w:cs="Times New Roman"/>
          <w:color w:val="auto"/>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olor w:val="auto"/>
                <w:spacing w:val="-2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驻马店市中心医院院区发光字、LED更换及维修采购项目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73BE9"/>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958"/>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21389E"/>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62645E"/>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3C085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62DDA"/>
    <w:rsid w:val="242A0646"/>
    <w:rsid w:val="2435301D"/>
    <w:rsid w:val="243D6E1A"/>
    <w:rsid w:val="245C4A4D"/>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9E3FA3"/>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0EB33E1"/>
    <w:rsid w:val="31002970"/>
    <w:rsid w:val="311016AD"/>
    <w:rsid w:val="311A5A74"/>
    <w:rsid w:val="3136622A"/>
    <w:rsid w:val="3139422E"/>
    <w:rsid w:val="315471D8"/>
    <w:rsid w:val="31700E4B"/>
    <w:rsid w:val="3172683C"/>
    <w:rsid w:val="319A0963"/>
    <w:rsid w:val="31A359FC"/>
    <w:rsid w:val="31AD0D61"/>
    <w:rsid w:val="31BC3A1D"/>
    <w:rsid w:val="31CD73BD"/>
    <w:rsid w:val="31D17EC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14146"/>
    <w:rsid w:val="370B0095"/>
    <w:rsid w:val="3735197D"/>
    <w:rsid w:val="373756A2"/>
    <w:rsid w:val="375E0DA6"/>
    <w:rsid w:val="37761D13"/>
    <w:rsid w:val="378B61A6"/>
    <w:rsid w:val="37CD3F98"/>
    <w:rsid w:val="37DF75BA"/>
    <w:rsid w:val="37E148E2"/>
    <w:rsid w:val="38037262"/>
    <w:rsid w:val="38304889"/>
    <w:rsid w:val="38382675"/>
    <w:rsid w:val="384D5703"/>
    <w:rsid w:val="3851700B"/>
    <w:rsid w:val="385246B6"/>
    <w:rsid w:val="387B329C"/>
    <w:rsid w:val="38A53DB7"/>
    <w:rsid w:val="38BF28B9"/>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7E51DD"/>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1A7EB8"/>
    <w:rsid w:val="4A244932"/>
    <w:rsid w:val="4A2922C8"/>
    <w:rsid w:val="4A381A7F"/>
    <w:rsid w:val="4A4117B2"/>
    <w:rsid w:val="4A730277"/>
    <w:rsid w:val="4A7A4350"/>
    <w:rsid w:val="4A7E2497"/>
    <w:rsid w:val="4A896826"/>
    <w:rsid w:val="4ABF5E17"/>
    <w:rsid w:val="4AD37C48"/>
    <w:rsid w:val="4AE01A66"/>
    <w:rsid w:val="4AED707B"/>
    <w:rsid w:val="4AF4454F"/>
    <w:rsid w:val="4B0B7979"/>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404C8A"/>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0B1521"/>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D4E04"/>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B70FF"/>
    <w:rsid w:val="763F09AA"/>
    <w:rsid w:val="764F3FCC"/>
    <w:rsid w:val="7650339F"/>
    <w:rsid w:val="76603C9A"/>
    <w:rsid w:val="769534B1"/>
    <w:rsid w:val="76967FC0"/>
    <w:rsid w:val="76BB1CAB"/>
    <w:rsid w:val="76C04050"/>
    <w:rsid w:val="76E65049"/>
    <w:rsid w:val="77076007"/>
    <w:rsid w:val="77413F7E"/>
    <w:rsid w:val="776062B6"/>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747570"/>
    <w:rsid w:val="7A811899"/>
    <w:rsid w:val="7A94551C"/>
    <w:rsid w:val="7AA2343E"/>
    <w:rsid w:val="7ACF29F8"/>
    <w:rsid w:val="7ADA73A4"/>
    <w:rsid w:val="7AE66B99"/>
    <w:rsid w:val="7B0A3BCA"/>
    <w:rsid w:val="7B4048C1"/>
    <w:rsid w:val="7B73082F"/>
    <w:rsid w:val="7BA43E85"/>
    <w:rsid w:val="7BB06B1C"/>
    <w:rsid w:val="7BC62E00"/>
    <w:rsid w:val="7BD76009"/>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7C7EE4"/>
    <w:rsid w:val="7E9C184B"/>
    <w:rsid w:val="7EA72948"/>
    <w:rsid w:val="7EB31EDB"/>
    <w:rsid w:val="7EE70CC0"/>
    <w:rsid w:val="7EEB48DB"/>
    <w:rsid w:val="7EF27444"/>
    <w:rsid w:val="7EF70770"/>
    <w:rsid w:val="7EFE7EFE"/>
    <w:rsid w:val="7F03025A"/>
    <w:rsid w:val="7F265C58"/>
    <w:rsid w:val="7F582CF2"/>
    <w:rsid w:val="7F5C78AC"/>
    <w:rsid w:val="7F8F6BFA"/>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8</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2024-01-05T09:15:25Z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