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驻马店市中心医院口腔CT、DR、骨密度仪、移动DR技术保项目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驻马店市中心医院口腔CT、DR、骨密度仪、移动DR技术保项目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口腔CT、DR、骨密度仪、移动DR技术保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驻马店市中心医院口腔CT、DR、骨密度仪、移动DR技术保项目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7.9万元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30971"/>
      <w:bookmarkStart w:id="10" w:name="_Toc23395"/>
      <w:bookmarkStart w:id="11" w:name="_Toc7823"/>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7480"/>
      <w:bookmarkStart w:id="15" w:name="_Toc15135"/>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6523"/>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27370"/>
      <w:bookmarkStart w:id="27" w:name="_Toc31928"/>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bookmarkStart w:id="86" w:name="_GoBack"/>
      <w:bookmarkEnd w:id="8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口腔CT、DR、骨密度仪、移动DR技术保项目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口腔CT、DR、骨密度仪、移动DR技术保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包号</w:t>
            </w:r>
          </w:p>
        </w:tc>
        <w:tc>
          <w:tcPr>
            <w:tcW w:w="950"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序号</w:t>
            </w:r>
          </w:p>
        </w:tc>
        <w:tc>
          <w:tcPr>
            <w:tcW w:w="2207"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标的名称</w:t>
            </w:r>
          </w:p>
        </w:tc>
        <w:tc>
          <w:tcPr>
            <w:tcW w:w="971"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单位</w:t>
            </w:r>
          </w:p>
        </w:tc>
        <w:tc>
          <w:tcPr>
            <w:tcW w:w="88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数量</w:t>
            </w:r>
          </w:p>
        </w:tc>
        <w:tc>
          <w:tcPr>
            <w:tcW w:w="1075" w:type="dxa"/>
            <w:gridSpan w:val="3"/>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资金</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预算</w:t>
            </w:r>
          </w:p>
        </w:tc>
        <w:tc>
          <w:tcPr>
            <w:tcW w:w="1069"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资金</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性质</w:t>
            </w:r>
          </w:p>
        </w:tc>
        <w:tc>
          <w:tcPr>
            <w:tcW w:w="1197"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国产/</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1</w:t>
            </w:r>
          </w:p>
        </w:tc>
        <w:tc>
          <w:tcPr>
            <w:tcW w:w="950"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1</w:t>
            </w:r>
          </w:p>
        </w:tc>
        <w:tc>
          <w:tcPr>
            <w:tcW w:w="2207"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口腔CT、DR、骨密度仪、移动DR技术保</w:t>
            </w:r>
          </w:p>
        </w:tc>
        <w:tc>
          <w:tcPr>
            <w:tcW w:w="971" w:type="dxa"/>
            <w:gridSpan w:val="2"/>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台/年</w:t>
            </w:r>
          </w:p>
        </w:tc>
        <w:tc>
          <w:tcPr>
            <w:tcW w:w="886" w:type="dxa"/>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075" w:type="dxa"/>
            <w:gridSpan w:val="3"/>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7.9万元</w:t>
            </w:r>
          </w:p>
        </w:tc>
        <w:tc>
          <w:tcPr>
            <w:tcW w:w="1069" w:type="dxa"/>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自筹</w:t>
            </w:r>
          </w:p>
        </w:tc>
        <w:tc>
          <w:tcPr>
            <w:tcW w:w="1197" w:type="dxa"/>
            <w:gridSpan w:val="2"/>
            <w:vAlign w:val="center"/>
          </w:tcPr>
          <w:p>
            <w:pPr>
              <w:pStyle w:val="15"/>
              <w:numPr>
                <w:ilvl w:val="0"/>
                <w:numId w:val="0"/>
              </w:numP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合计</w:t>
            </w:r>
          </w:p>
        </w:tc>
        <w:tc>
          <w:tcPr>
            <w:tcW w:w="2212" w:type="dxa"/>
            <w:gridSpan w:val="2"/>
            <w:vAlign w:val="center"/>
          </w:tcPr>
          <w:p>
            <w:pPr>
              <w:pStyle w:val="15"/>
              <w:numPr>
                <w:ilvl w:val="0"/>
                <w:numId w:val="0"/>
              </w:numPr>
              <w:rPr>
                <w:rFonts w:hint="eastAsia" w:ascii="宋体" w:hAnsi="宋体" w:eastAsia="宋体" w:cs="宋体"/>
                <w:lang w:val="en-US" w:eastAsia="zh-CN"/>
              </w:rPr>
            </w:pPr>
          </w:p>
        </w:tc>
        <w:tc>
          <w:tcPr>
            <w:tcW w:w="966" w:type="dxa"/>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台/年</w:t>
            </w:r>
          </w:p>
        </w:tc>
        <w:tc>
          <w:tcPr>
            <w:tcW w:w="892" w:type="dxa"/>
            <w:gridSpan w:val="2"/>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4</w:t>
            </w:r>
          </w:p>
        </w:tc>
        <w:tc>
          <w:tcPr>
            <w:tcW w:w="1060" w:type="dxa"/>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7.9万元</w:t>
            </w:r>
          </w:p>
        </w:tc>
        <w:tc>
          <w:tcPr>
            <w:tcW w:w="1083" w:type="dxa"/>
            <w:gridSpan w:val="3"/>
            <w:vAlign w:val="center"/>
          </w:tcPr>
          <w:p>
            <w:pPr>
              <w:pStyle w:val="15"/>
              <w:numPr>
                <w:ilvl w:val="0"/>
                <w:numId w:val="0"/>
              </w:numPr>
              <w:jc w:val="center"/>
              <w:rPr>
                <w:rFonts w:hint="eastAsia" w:ascii="宋体" w:hAnsi="宋体" w:eastAsia="宋体" w:cs="宋体"/>
                <w:lang w:val="en-US" w:eastAsia="zh-CN"/>
              </w:rPr>
            </w:pPr>
          </w:p>
        </w:tc>
        <w:tc>
          <w:tcPr>
            <w:tcW w:w="1192" w:type="dxa"/>
            <w:vAlign w:val="center"/>
          </w:tcPr>
          <w:p>
            <w:pPr>
              <w:pStyle w:val="15"/>
              <w:numPr>
                <w:ilvl w:val="0"/>
                <w:numId w:val="0"/>
              </w:numP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备注</w:t>
            </w:r>
          </w:p>
        </w:tc>
        <w:tc>
          <w:tcPr>
            <w:tcW w:w="7405" w:type="dxa"/>
            <w:gridSpan w:val="10"/>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设备分别为口腔CT卡瓦3DeXam、迈瑞DR DigEye、骨密度仪MEDXT DR、迈瑞移动DR CX700，共计四台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r>
        <w:rPr>
          <w:rFonts w:hint="eastAsia" w:ascii="宋体" w:hAnsi="宋体" w:cs="宋体"/>
          <w:kern w:val="2"/>
          <w:sz w:val="21"/>
          <w:szCs w:val="24"/>
          <w:lang w:val="en-US" w:eastAsia="zh-CN" w:bidi="ar-SA"/>
        </w:rPr>
        <w:t>（供应商需注明电话号码）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驻马店市中心医院口腔CT、DR、骨密度仪、移动DR技术保项目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7.9万元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7.9万元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7.9万元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6770" w:type="dxa"/>
            <w:noWrap w:val="0"/>
            <w:vAlign w:val="center"/>
          </w:tcPr>
          <w:p>
            <w:pPr>
              <w:keepNext w:val="0"/>
              <w:keepLines w:val="0"/>
              <w:widowControl/>
              <w:suppressLineNumbers w:val="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驻马店市中心医院口腔CT、DR、骨密度仪、移动DR技术保项目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1A1D5C"/>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ED04E1"/>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DF26DC"/>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DB2433"/>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04696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A034B0"/>
    <w:rsid w:val="76BB1CAB"/>
    <w:rsid w:val="76C04050"/>
    <w:rsid w:val="76D67314"/>
    <w:rsid w:val="76E65049"/>
    <w:rsid w:val="77076007"/>
    <w:rsid w:val="77413F7E"/>
    <w:rsid w:val="77464076"/>
    <w:rsid w:val="7758241F"/>
    <w:rsid w:val="777A7D22"/>
    <w:rsid w:val="77835654"/>
    <w:rsid w:val="7797109C"/>
    <w:rsid w:val="779A2A38"/>
    <w:rsid w:val="77B4450A"/>
    <w:rsid w:val="77B46E73"/>
    <w:rsid w:val="77CA7587"/>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164B9E"/>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DE3CB2"/>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2024-01-05T09:22:30Z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