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驻马店市中心医院国家传染病智能监测预警前置软件服务器采购项目</w:t>
      </w:r>
    </w:p>
    <w:p>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pStyle w:val="32"/>
        <w:rPr>
          <w:rFonts w:hint="eastAsia"/>
          <w:color w:val="000000" w:themeColor="text1"/>
          <w:highlight w:val="none"/>
          <w14:textFill>
            <w14:solidFill>
              <w14:schemeClr w14:val="tx1"/>
            </w14:solidFill>
          </w14:textFill>
        </w:rPr>
      </w:pPr>
    </w:p>
    <w:p>
      <w:pPr>
        <w:pStyle w:val="59"/>
        <w:rPr>
          <w:rFonts w:hint="eastAsia" w:ascii="宋体" w:hAnsi="宋体" w:eastAsia="宋体" w:cs="宋体"/>
          <w:bCs/>
          <w:color w:val="000000" w:themeColor="text1"/>
          <w:sz w:val="2"/>
          <w:szCs w:val="2"/>
          <w:highlight w:val="none"/>
          <w14:textFill>
            <w14:solidFill>
              <w14:schemeClr w14:val="tx1"/>
            </w14:solidFill>
          </w14:textFill>
        </w:rPr>
      </w:pPr>
    </w:p>
    <w:p>
      <w:pPr>
        <w:rPr>
          <w:rFonts w:hint="eastAsia" w:ascii="宋体" w:hAnsi="宋体" w:eastAsia="宋体" w:cs="宋体"/>
          <w:bCs/>
          <w:color w:val="000000" w:themeColor="text1"/>
          <w:sz w:val="2"/>
          <w:szCs w:val="2"/>
          <w:highlight w:val="none"/>
          <w14:textFill>
            <w14:solidFill>
              <w14:schemeClr w14:val="tx1"/>
            </w14:solidFill>
          </w14:textFill>
        </w:rPr>
      </w:pPr>
    </w:p>
    <w:p>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06</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pPr>
        <w:rPr>
          <w:rFonts w:ascii="宋体" w:hAnsi="宋体"/>
          <w:bCs/>
          <w:color w:val="000000" w:themeColor="text1"/>
          <w:sz w:val="24"/>
          <w:highlight w:val="none"/>
          <w14:textFill>
            <w14:solidFill>
              <w14:schemeClr w14:val="tx1"/>
            </w14:solidFill>
          </w14:textFill>
        </w:rPr>
      </w:pP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pPr>
        <w:pStyle w:val="53"/>
        <w:rPr>
          <w:color w:val="000000" w:themeColor="text1"/>
          <w:highlight w:val="none"/>
          <w14:textFill>
            <w14:solidFill>
              <w14:schemeClr w14:val="tx1"/>
            </w14:solidFill>
          </w14:textFill>
        </w:rPr>
      </w:pP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pPr>
        <w:spacing w:line="440" w:lineRule="exact"/>
        <w:rPr>
          <w:rFonts w:ascii="宋体" w:hAnsi="宋体"/>
          <w:b/>
          <w:color w:val="000000" w:themeColor="text1"/>
          <w:sz w:val="32"/>
          <w:szCs w:val="32"/>
          <w:highlight w:val="none"/>
          <w14:textFill>
            <w14:solidFill>
              <w14:schemeClr w14:val="tx1"/>
            </w14:solidFill>
          </w14:textFill>
        </w:rPr>
      </w:pPr>
    </w:p>
    <w:p>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驻马店市中心医院国家传染病智能监测预警前置软件服务器采购项目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国家传染病智能监测预警前置软件服务器采购项目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国家传染病智能监测预警前置软件服务器采购项目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bookmarkStart w:id="95" w:name="_GoBack"/>
      <w:bookmarkEnd w:id="95"/>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8.0万元；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：自合同签订之日起</w:t>
      </w:r>
      <w:r>
        <w:rPr>
          <w:rFonts w:hint="eastAsia" w:ascii="宋体" w:hAnsi="宋体" w:cs="宋体"/>
          <w:color w:val="auto"/>
          <w:szCs w:val="21"/>
          <w:highlight w:val="none"/>
          <w:shd w:val="clear" w:color="auto" w:fill="FFFFFF"/>
          <w:lang w:val="en-US" w:eastAsia="zh-CN"/>
        </w:rPr>
        <w:t>15日</w:t>
      </w:r>
      <w:r>
        <w:rPr>
          <w:rFonts w:hint="eastAsia" w:ascii="宋体" w:hAnsi="宋体" w:eastAsia="宋体" w:cs="宋体"/>
          <w:color w:val="auto"/>
          <w:szCs w:val="21"/>
          <w:highlight w:val="none"/>
          <w:shd w:val="clear" w:color="auto" w:fill="FFFFFF"/>
          <w:lang w:val="en-US" w:eastAsia="zh-CN"/>
        </w:rPr>
        <w:t>内</w:t>
      </w:r>
      <w:r>
        <w:rPr>
          <w:rFonts w:hint="eastAsia" w:ascii="宋体" w:hAnsi="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3626"/>
      <w:bookmarkStart w:id="5" w:name="_Toc16639"/>
      <w:bookmarkStart w:id="6" w:name="_Toc27704"/>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30971"/>
      <w:bookmarkStart w:id="9" w:name="_Toc30643"/>
      <w:bookmarkStart w:id="10" w:name="_Toc9562"/>
      <w:bookmarkStart w:id="11" w:name="_Toc23395"/>
      <w:bookmarkStart w:id="12" w:name="_Toc7823"/>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1、供应商应为注册在中华人民共和国境内的，且具有独立承担民事责任能力，提供营业执照等证明文件。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8、</w:t>
      </w:r>
      <w:r>
        <w:rPr>
          <w:rFonts w:hint="eastAsia" w:ascii="宋体" w:hAnsi="宋体" w:eastAsia="宋体" w:cs="宋体"/>
          <w:color w:val="000000"/>
          <w:kern w:val="2"/>
          <w:sz w:val="21"/>
          <w:szCs w:val="24"/>
          <w:highlight w:val="none"/>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26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28 </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2521227903@qq.com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15135"/>
      <w:bookmarkStart w:id="16" w:name="_Toc10738"/>
      <w:bookmarkStart w:id="17" w:name="_Toc25869"/>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16291"/>
      <w:bookmarkStart w:id="28" w:name="_Toc24274"/>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报名联系人1：杨先生</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联系电话：19139503257</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报名联系人2：余女士</w:t>
      </w:r>
    </w:p>
    <w:p>
      <w:pPr>
        <w:widowControl/>
        <w:snapToGrid w:val="0"/>
        <w:spacing w:before="0" w:beforeAutospacing="0" w:after="0" w:afterAutospacing="0" w:line="360" w:lineRule="auto"/>
        <w:ind w:left="0" w:leftChars="0"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联系电话：13783961021</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zxyyjzcgbgs@163.com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pPr>
        <w:pStyle w:val="32"/>
        <w:rPr>
          <w:rFonts w:hint="eastAsia"/>
          <w:highlight w:val="none"/>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6 </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  25  </w:t>
      </w:r>
      <w:r>
        <w:rPr>
          <w:rFonts w:hint="eastAsia" w:ascii="宋体" w:hAnsi="宋体" w:eastAsia="宋体" w:cs="宋体"/>
          <w:color w:val="auto"/>
          <w:kern w:val="0"/>
          <w:sz w:val="21"/>
          <w:szCs w:val="21"/>
          <w:highlight w:val="none"/>
          <w:shd w:val="clear" w:color="auto" w:fill="FFFFFF"/>
          <w:lang w:val="en-US" w:eastAsia="zh-CN" w:bidi="ar-SA"/>
        </w:rPr>
        <w:t>日</w:t>
      </w:r>
    </w:p>
    <w:p>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pPr>
        <w:pStyle w:val="30"/>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驻马店市中心医院国家传染病智能监测预警前置软件服务器采购项目</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default"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采购服务器1台，部署运行国家传染病智能监测预警前置软件，与河南省传染病监测预警平台对接。</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三、采购标的清单：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1849"/>
        <w:gridCol w:w="1077"/>
        <w:gridCol w:w="882"/>
        <w:gridCol w:w="1747"/>
        <w:gridCol w:w="86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包号</w:t>
            </w:r>
          </w:p>
        </w:tc>
        <w:tc>
          <w:tcPr>
            <w:tcW w:w="649"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849"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标的名称</w:t>
            </w:r>
          </w:p>
        </w:tc>
        <w:tc>
          <w:tcPr>
            <w:tcW w:w="1077"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单位</w:t>
            </w:r>
          </w:p>
        </w:tc>
        <w:tc>
          <w:tcPr>
            <w:tcW w:w="882"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747"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资金预算</w:t>
            </w:r>
            <w:r>
              <w:rPr>
                <w:rFonts w:hint="eastAsia" w:ascii="宋体" w:hAnsi="宋体" w:cs="宋体"/>
                <w:b/>
                <w:bCs/>
                <w:color w:val="000000" w:themeColor="text1"/>
                <w:sz w:val="21"/>
                <w:szCs w:val="21"/>
                <w:highlight w:val="none"/>
                <w:lang w:val="en-US" w:eastAsia="zh-CN"/>
                <w14:textFill>
                  <w14:solidFill>
                    <w14:schemeClr w14:val="tx1"/>
                  </w14:solidFill>
                </w14:textFill>
              </w:rPr>
              <w:t>（元）</w:t>
            </w:r>
          </w:p>
        </w:tc>
        <w:tc>
          <w:tcPr>
            <w:tcW w:w="865"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性质</w:t>
            </w:r>
          </w:p>
        </w:tc>
        <w:tc>
          <w:tcPr>
            <w:tcW w:w="991" w:type="dxa"/>
            <w:vAlign w:val="center"/>
          </w:tcPr>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国产/</w:t>
            </w:r>
          </w:p>
          <w:p>
            <w:pPr>
              <w:pStyle w:val="24"/>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49" w:type="dxa"/>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9" w:type="dxa"/>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服务器</w:t>
            </w:r>
          </w:p>
        </w:tc>
        <w:tc>
          <w:tcPr>
            <w:tcW w:w="1077" w:type="dxa"/>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82" w:type="dxa"/>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47" w:type="dxa"/>
            <w:vAlign w:val="center"/>
          </w:tcPr>
          <w:p>
            <w:pPr>
              <w:spacing w:line="5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65" w:type="dxa"/>
            <w:vAlign w:val="center"/>
          </w:tcPr>
          <w:p>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91" w:type="dxa"/>
            <w:vAlign w:val="center"/>
          </w:tcPr>
          <w:p>
            <w:pPr>
              <w:pStyle w:val="24"/>
              <w:numPr>
                <w:ilvl w:val="0"/>
                <w:numId w:val="0"/>
              </w:num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1849" w:type="dxa"/>
            <w:vAlign w:val="center"/>
          </w:tcPr>
          <w:p>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服务器</w:t>
            </w:r>
          </w:p>
        </w:tc>
        <w:tc>
          <w:tcPr>
            <w:tcW w:w="1077" w:type="dxa"/>
            <w:vAlign w:val="center"/>
          </w:tcPr>
          <w:p>
            <w:pPr>
              <w:spacing w:line="5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82" w:type="dxa"/>
            <w:vAlign w:val="center"/>
          </w:tcPr>
          <w:p>
            <w:pPr>
              <w:spacing w:line="5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47" w:type="dxa"/>
            <w:vAlign w:val="center"/>
          </w:tcPr>
          <w:p>
            <w:pPr>
              <w:spacing w:line="5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65" w:type="dxa"/>
            <w:vAlign w:val="center"/>
          </w:tcPr>
          <w:p>
            <w:pPr>
              <w:pStyle w:val="24"/>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91" w:type="dxa"/>
            <w:vAlign w:val="center"/>
          </w:tcPr>
          <w:p>
            <w:pPr>
              <w:pStyle w:val="24"/>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pPr>
              <w:pStyle w:val="24"/>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c>
          <w:tcPr>
            <w:tcW w:w="7411" w:type="dxa"/>
            <w:gridSpan w:val="6"/>
            <w:vAlign w:val="center"/>
          </w:tcPr>
          <w:p>
            <w:pPr>
              <w:pStyle w:val="24"/>
              <w:tabs>
                <w:tab w:val="left" w:pos="568"/>
              </w:tabs>
              <w:spacing w:line="240" w:lineRule="auto"/>
              <w:ind w:firstLine="420" w:firstLineChars="20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pStyle w:val="24"/>
        <w:tabs>
          <w:tab w:val="left" w:pos="568"/>
        </w:tabs>
        <w:spacing w:line="240" w:lineRule="auto"/>
        <w:jc w:val="both"/>
        <w:rPr>
          <w:rFonts w:hint="eastAsia" w:ascii="宋体" w:hAnsi="宋体" w:eastAsia="宋体" w:cs="宋体"/>
          <w:b/>
          <w:bCs/>
          <w:color w:val="000000" w:themeColor="text1"/>
          <w:spacing w:val="28"/>
          <w:sz w:val="21"/>
          <w:szCs w:val="21"/>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三、技术要求及其他要求：</w:t>
      </w:r>
    </w:p>
    <w:p>
      <w:pPr>
        <w:keepNext w:val="0"/>
        <w:keepLines w:val="0"/>
        <w:pageBreakBefore w:val="0"/>
        <w:kinsoku/>
        <w:wordWrap/>
        <w:overflowPunct/>
        <w:topLinePunct w:val="0"/>
        <w:autoSpaceDE/>
        <w:autoSpaceDN/>
        <w:bidi w:val="0"/>
        <w:adjustRightInd/>
        <w:snapToGrid w:val="0"/>
        <w:spacing w:afterAutospacing="0" w:line="360" w:lineRule="auto"/>
        <w:ind w:firstLine="420" w:firstLineChars="200"/>
        <w:jc w:val="left"/>
        <w:rPr>
          <w:rFonts w:hint="eastAsia" w:asciiTheme="minorEastAsia" w:hAnsiTheme="minorEastAsia" w:eastAsiaTheme="minorEastAsia" w:cstheme="minorEastAsia"/>
          <w:i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iCs/>
          <w:color w:val="000000" w:themeColor="text1"/>
          <w:sz w:val="21"/>
          <w:szCs w:val="21"/>
          <w:highlight w:val="none"/>
          <w14:textFill>
            <w14:solidFill>
              <w14:schemeClr w14:val="tx1"/>
            </w14:solidFill>
          </w14:textFill>
        </w:rPr>
        <w:t>1.技术要求</w:t>
      </w:r>
    </w:p>
    <w:tbl>
      <w:tblPr>
        <w:tblStyle w:val="34"/>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79"/>
        <w:gridCol w:w="5959"/>
        <w:gridCol w:w="71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55" w:type="pct"/>
            <w:vAlign w:val="center"/>
          </w:tcPr>
          <w:p>
            <w:pPr>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zh-CN"/>
              </w:rPr>
              <w:t>序号</w:t>
            </w:r>
          </w:p>
        </w:tc>
        <w:tc>
          <w:tcPr>
            <w:tcW w:w="591" w:type="pct"/>
            <w:vAlign w:val="center"/>
          </w:tcPr>
          <w:p>
            <w:pPr>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zh-CN"/>
              </w:rPr>
              <w:t>标的名称</w:t>
            </w:r>
          </w:p>
        </w:tc>
        <w:tc>
          <w:tcPr>
            <w:tcW w:w="3264" w:type="pct"/>
            <w:vAlign w:val="center"/>
          </w:tcPr>
          <w:p>
            <w:pPr>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zh-CN"/>
              </w:rPr>
              <w:t>详细技术要求</w:t>
            </w:r>
          </w:p>
        </w:tc>
        <w:tc>
          <w:tcPr>
            <w:tcW w:w="393" w:type="pct"/>
            <w:vAlign w:val="center"/>
          </w:tcPr>
          <w:p>
            <w:pPr>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zh-CN"/>
              </w:rPr>
              <w:t>数量</w:t>
            </w:r>
          </w:p>
        </w:tc>
        <w:tc>
          <w:tcPr>
            <w:tcW w:w="394" w:type="pct"/>
            <w:vAlign w:val="center"/>
          </w:tcPr>
          <w:p>
            <w:pPr>
              <w:jc w:val="center"/>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kern w:val="0"/>
                <w:sz w:val="21"/>
                <w:szCs w:val="21"/>
                <w:highlight w:val="none"/>
                <w:lang w:val="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p>
        </w:tc>
        <w:tc>
          <w:tcPr>
            <w:tcW w:w="591"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服务器</w:t>
            </w:r>
          </w:p>
        </w:tc>
        <w:tc>
          <w:tcPr>
            <w:tcW w:w="3264" w:type="pct"/>
          </w:tcPr>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★品牌：提供符合政策（豫疾控办〔2024〕4号文）要求的国产信创产品；</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架构：2U机架式服务器；</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★处理器：配置≥2颗处理器，单颗处理器主频≥2.0GHz、核数≥32核，支持超线程，支持X86指令集；处理器属于中国信息安全测评中心发布的《安全可靠测评结果公告》中已通过测评产品(提供官方有效证明材料)。</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内存：配置≥256GB 3200MT/s DDR4；</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硬盘：配置≥2块1.92TB SAS 2.5寸 SSD;</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网口：配置≥4个千兆电口，≥4个万兆光口</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阵列卡：配置≥1块SAS阵列卡，≥8个SAS口，支持RAID0/1/5/10等，≥2GB缓存;</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电源：配置冗余白金电源模块；</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风扇：配置冗余风扇模块。</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提供≥3年7*24小时原厂整机质保。</w:t>
            </w:r>
            <w:r>
              <w:rPr>
                <w:rFonts w:hint="eastAsia" w:asciiTheme="minorEastAsia" w:hAnsiTheme="minorEastAsia" w:eastAsiaTheme="minorEastAsia" w:cstheme="minorEastAsia"/>
                <w:sz w:val="21"/>
                <w:szCs w:val="21"/>
                <w:highlight w:val="none"/>
                <w:lang w:bidi="ar"/>
              </w:rPr>
              <w:t>货到后随货物提供原厂出具的质保承诺函，能够通过原厂官方网站或售后服务电话验证货物销售对象为我院且质保期</w:t>
            </w:r>
            <w:r>
              <w:rPr>
                <w:rFonts w:hint="eastAsia" w:asciiTheme="minorEastAsia" w:hAnsiTheme="minorEastAsia" w:eastAsiaTheme="minorEastAsia" w:cstheme="minorEastAsia"/>
                <w:sz w:val="21"/>
                <w:szCs w:val="21"/>
                <w:highlight w:val="none"/>
              </w:rPr>
              <w:t>≥3年</w:t>
            </w:r>
            <w:r>
              <w:rPr>
                <w:rFonts w:hint="eastAsia" w:asciiTheme="minorEastAsia" w:hAnsiTheme="minorEastAsia" w:eastAsiaTheme="minorEastAsia" w:cstheme="minorEastAsia"/>
                <w:sz w:val="21"/>
                <w:szCs w:val="21"/>
                <w:highlight w:val="none"/>
                <w:lang w:bidi="ar"/>
              </w:rPr>
              <w:t>，否则退款退货并解除合同。</w:t>
            </w:r>
          </w:p>
          <w:p>
            <w:pPr>
              <w:pStyle w:val="88"/>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提供服务器实施工程师名单和原厂认证培训证书或培训证明复印件，工程师持证上岗、未经医院同意不得更换。</w:t>
            </w:r>
          </w:p>
        </w:tc>
        <w:tc>
          <w:tcPr>
            <w:tcW w:w="393"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p>
        </w:tc>
        <w:tc>
          <w:tcPr>
            <w:tcW w:w="394"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p>
        </w:tc>
        <w:tc>
          <w:tcPr>
            <w:tcW w:w="591"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操作系统</w:t>
            </w:r>
          </w:p>
        </w:tc>
        <w:tc>
          <w:tcPr>
            <w:tcW w:w="3264" w:type="pct"/>
          </w:tcPr>
          <w:p>
            <w:pPr>
              <w:pStyle w:val="88"/>
              <w:numPr>
                <w:ilvl w:val="0"/>
                <w:numId w:val="1"/>
              </w:numPr>
              <w:ind w:left="0" w:leftChars="0" w:firstLine="218" w:firstLineChars="104"/>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预装服务器版本操作系统，并提供安装镜像。服务器版本操作系统须为</w:t>
            </w:r>
            <w:r>
              <w:rPr>
                <w:rFonts w:hint="eastAsia" w:asciiTheme="minorEastAsia" w:hAnsiTheme="minorEastAsia" w:eastAsiaTheme="minorEastAsia" w:cstheme="minorEastAsia"/>
                <w:sz w:val="21"/>
                <w:szCs w:val="21"/>
                <w:highlight w:val="none"/>
              </w:rPr>
              <w:t>符合政策（豫疾控办〔2024〕4号文）要求的国产信创产品。</w:t>
            </w:r>
          </w:p>
          <w:p>
            <w:pPr>
              <w:pStyle w:val="88"/>
              <w:numPr>
                <w:ilvl w:val="0"/>
                <w:numId w:val="1"/>
              </w:numPr>
              <w:ind w:left="0" w:leftChars="0" w:firstLine="218" w:firstLineChars="104"/>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rPr>
              <w:t>提供≥3年7*24小时维保</w:t>
            </w:r>
            <w:r>
              <w:rPr>
                <w:rFonts w:hint="eastAsia" w:asciiTheme="minorEastAsia" w:hAnsiTheme="minorEastAsia" w:eastAsiaTheme="minorEastAsia" w:cstheme="minorEastAsia"/>
                <w:sz w:val="21"/>
                <w:szCs w:val="21"/>
                <w:highlight w:val="none"/>
                <w:lang w:bidi="ar"/>
              </w:rPr>
              <w:t>服务</w:t>
            </w:r>
            <w:r>
              <w:rPr>
                <w:rFonts w:hint="eastAsia" w:asciiTheme="minorEastAsia" w:hAnsiTheme="minorEastAsia" w:eastAsiaTheme="minorEastAsia" w:cstheme="minorEastAsia"/>
                <w:sz w:val="21"/>
                <w:szCs w:val="21"/>
                <w:highlight w:val="none"/>
              </w:rPr>
              <w:t>。</w:t>
            </w:r>
          </w:p>
          <w:p>
            <w:pPr>
              <w:pStyle w:val="88"/>
              <w:numPr>
                <w:ilvl w:val="0"/>
                <w:numId w:val="1"/>
              </w:numPr>
              <w:ind w:left="0" w:leftChars="0" w:firstLine="218" w:firstLineChars="104"/>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提供操作系统运维工程师名单和原厂认证培训证书或培训证明复印件，工程师持证上岗、未经医院同意不得更换。</w:t>
            </w:r>
          </w:p>
        </w:tc>
        <w:tc>
          <w:tcPr>
            <w:tcW w:w="393"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p>
        </w:tc>
        <w:tc>
          <w:tcPr>
            <w:tcW w:w="394"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3</w:t>
            </w:r>
          </w:p>
        </w:tc>
        <w:tc>
          <w:tcPr>
            <w:tcW w:w="591"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数据库</w:t>
            </w:r>
          </w:p>
        </w:tc>
        <w:tc>
          <w:tcPr>
            <w:tcW w:w="3264" w:type="pct"/>
          </w:tcPr>
          <w:p>
            <w:pPr>
              <w:pStyle w:val="88"/>
              <w:numPr>
                <w:ilvl w:val="0"/>
                <w:numId w:val="2"/>
              </w:numPr>
              <w:ind w:left="0" w:leftChars="0" w:firstLine="218" w:firstLineChars="104"/>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预装数据库软件，并提供安装镜像。数据库软件须为</w:t>
            </w:r>
            <w:r>
              <w:rPr>
                <w:rFonts w:hint="eastAsia" w:asciiTheme="minorEastAsia" w:hAnsiTheme="minorEastAsia" w:eastAsiaTheme="minorEastAsia" w:cstheme="minorEastAsia"/>
                <w:sz w:val="21"/>
                <w:szCs w:val="21"/>
                <w:highlight w:val="none"/>
              </w:rPr>
              <w:t>符合政策（豫疾控办〔2024〕4号文）要求的国产信创产品。</w:t>
            </w:r>
          </w:p>
          <w:p>
            <w:pPr>
              <w:pStyle w:val="88"/>
              <w:numPr>
                <w:ilvl w:val="0"/>
                <w:numId w:val="2"/>
              </w:numPr>
              <w:ind w:left="0" w:leftChars="0" w:firstLine="218" w:firstLineChars="104"/>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rPr>
              <w:t>提供≥3年7*24小时</w:t>
            </w:r>
            <w:r>
              <w:rPr>
                <w:rFonts w:hint="eastAsia" w:asciiTheme="minorEastAsia" w:hAnsiTheme="minorEastAsia" w:eastAsiaTheme="minorEastAsia" w:cstheme="minorEastAsia"/>
                <w:sz w:val="21"/>
                <w:szCs w:val="21"/>
                <w:highlight w:val="none"/>
                <w:lang w:bidi="ar"/>
              </w:rPr>
              <w:t>维保服务</w:t>
            </w:r>
            <w:r>
              <w:rPr>
                <w:rFonts w:hint="eastAsia" w:asciiTheme="minorEastAsia" w:hAnsiTheme="minorEastAsia" w:eastAsiaTheme="minorEastAsia" w:cstheme="minorEastAsia"/>
                <w:sz w:val="21"/>
                <w:szCs w:val="21"/>
                <w:highlight w:val="none"/>
              </w:rPr>
              <w:t>。</w:t>
            </w:r>
          </w:p>
          <w:p>
            <w:pPr>
              <w:pStyle w:val="88"/>
              <w:numPr>
                <w:ilvl w:val="0"/>
                <w:numId w:val="2"/>
              </w:numPr>
              <w:ind w:left="0" w:leftChars="0" w:firstLine="218" w:firstLineChars="104"/>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提供数据库运维工程师名单和原厂认证培训证书或培训证明复印件，工程师持证上岗、未经医院同意不得更换。</w:t>
            </w:r>
          </w:p>
        </w:tc>
        <w:tc>
          <w:tcPr>
            <w:tcW w:w="393"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p>
        </w:tc>
        <w:tc>
          <w:tcPr>
            <w:tcW w:w="394"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4</w:t>
            </w:r>
          </w:p>
        </w:tc>
        <w:tc>
          <w:tcPr>
            <w:tcW w:w="591"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系统集成</w:t>
            </w:r>
          </w:p>
        </w:tc>
        <w:tc>
          <w:tcPr>
            <w:tcW w:w="3264" w:type="pct"/>
          </w:tcPr>
          <w:p>
            <w:pPr>
              <w:pStyle w:val="88"/>
              <w:numPr>
                <w:ilvl w:val="0"/>
                <w:numId w:val="3"/>
              </w:numPr>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国家传染病智能监测预警前置软件下发后，提供前置软件安装调试服务，确保前置软件与省平台对接成功。</w:t>
            </w:r>
          </w:p>
          <w:p>
            <w:pPr>
              <w:pStyle w:val="88"/>
              <w:numPr>
                <w:ilvl w:val="0"/>
                <w:numId w:val="3"/>
              </w:numPr>
              <w:ind w:left="0" w:leftChars="0" w:firstLine="218" w:firstLineChars="104"/>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提供≥3年</w:t>
            </w:r>
            <w:r>
              <w:rPr>
                <w:rFonts w:hint="eastAsia" w:asciiTheme="minorEastAsia" w:hAnsiTheme="minorEastAsia" w:eastAsiaTheme="minorEastAsia" w:cstheme="minorEastAsia"/>
                <w:sz w:val="21"/>
                <w:szCs w:val="21"/>
                <w:highlight w:val="none"/>
                <w:lang w:bidi="ar"/>
              </w:rPr>
              <w:t>国家传染病智能监测预警前置软件维保服务。</w:t>
            </w:r>
          </w:p>
        </w:tc>
        <w:tc>
          <w:tcPr>
            <w:tcW w:w="393"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p>
        </w:tc>
        <w:tc>
          <w:tcPr>
            <w:tcW w:w="394" w:type="pct"/>
            <w:vAlign w:val="center"/>
          </w:tcPr>
          <w:p>
            <w:pPr>
              <w:jc w:val="center"/>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套</w:t>
            </w:r>
          </w:p>
        </w:tc>
      </w:tr>
    </w:tbl>
    <w:p>
      <w:pPr>
        <w:keepNext w:val="0"/>
        <w:keepLines w:val="0"/>
        <w:pageBreakBefore w:val="0"/>
        <w:widowControl w:val="0"/>
        <w:kinsoku/>
        <w:wordWrap/>
        <w:overflowPunct/>
        <w:topLinePunct w:val="0"/>
        <w:autoSpaceDE/>
        <w:autoSpaceDN/>
        <w:bidi w:val="0"/>
        <w:adjustRightInd/>
        <w:snapToGrid w:val="0"/>
        <w:spacing w:before="161" w:beforeLines="50" w:afterAutospacing="0" w:line="360" w:lineRule="auto"/>
        <w:ind w:firstLine="422" w:firstLineChars="200"/>
        <w:jc w:val="left"/>
        <w:textAlignment w:val="auto"/>
        <w:rPr>
          <w:rFonts w:hint="eastAsia" w:asciiTheme="minorEastAsia" w:hAnsiTheme="minorEastAsia" w:eastAsiaTheme="minorEastAsia" w:cstheme="minorEastAsia"/>
          <w:b/>
          <w:bCs/>
          <w:i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i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iCs/>
          <w:color w:val="000000" w:themeColor="text1"/>
          <w:sz w:val="21"/>
          <w:szCs w:val="21"/>
          <w:highlight w:val="none"/>
          <w:lang w:val="en-US" w:eastAsia="zh-CN"/>
          <w14:textFill>
            <w14:solidFill>
              <w14:schemeClr w14:val="tx1"/>
            </w14:solidFill>
          </w14:textFill>
        </w:rPr>
        <w:t>其他</w:t>
      </w:r>
      <w:r>
        <w:rPr>
          <w:rFonts w:hint="eastAsia" w:asciiTheme="minorEastAsia" w:hAnsiTheme="minorEastAsia" w:eastAsiaTheme="minorEastAsia" w:cstheme="minorEastAsia"/>
          <w:b/>
          <w:bCs/>
          <w:iCs/>
          <w:color w:val="000000" w:themeColor="text1"/>
          <w:sz w:val="21"/>
          <w:szCs w:val="21"/>
          <w:highlight w:val="none"/>
          <w14:textFill>
            <w14:solidFill>
              <w14:schemeClr w14:val="tx1"/>
            </w14:solidFill>
          </w14:textFill>
        </w:rPr>
        <w:t>要求：</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一</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质量保证</w:t>
      </w:r>
    </w:p>
    <w:p>
      <w:pPr>
        <w:keepNext w:val="0"/>
        <w:keepLines w:val="0"/>
        <w:pageBreakBefore w:val="0"/>
        <w:numPr>
          <w:ilvl w:val="0"/>
          <w:numId w:val="4"/>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乙方应保证所提供的标的物是合格出厂的全新（含零部件、配件等）产品，全部外观表面无划伤、无碰撞痕迹。</w:t>
      </w:r>
    </w:p>
    <w:p>
      <w:pPr>
        <w:keepNext w:val="0"/>
        <w:keepLines w:val="0"/>
        <w:pageBreakBefore w:val="0"/>
        <w:numPr>
          <w:ilvl w:val="0"/>
          <w:numId w:val="4"/>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乙方保证标的物各项指标符合有关法律法规和标准的规定，且符合本项目招投标文件确定的标准。</w:t>
      </w:r>
    </w:p>
    <w:p>
      <w:pPr>
        <w:keepNext w:val="0"/>
        <w:keepLines w:val="0"/>
        <w:pageBreakBefore w:val="0"/>
        <w:numPr>
          <w:ilvl w:val="0"/>
          <w:numId w:val="4"/>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乙方保证质保期内标的物质量存在或出现问题时，乙方负责三包，费用由乙方负担，甲方有权亲自派员或委托第三方到乙方生产现场查验标的物质量或生产进度。</w:t>
      </w:r>
    </w:p>
    <w:p>
      <w:pPr>
        <w:keepNext w:val="0"/>
        <w:keepLines w:val="0"/>
        <w:pageBreakBefore w:val="0"/>
        <w:numPr>
          <w:ilvl w:val="0"/>
          <w:numId w:val="4"/>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乙方保证标的物不会对甲方现有网络和系统正常运行造成冲突或干扰。若出现前述情形，乙方须对标的物进行优化改善，需第三方配合的，乙方负责与第三方交涉，费用由乙方承担。</w:t>
      </w:r>
    </w:p>
    <w:p>
      <w:pPr>
        <w:keepNext w:val="0"/>
        <w:keepLines w:val="0"/>
        <w:pageBreakBefore w:val="0"/>
        <w:numPr>
          <w:ilvl w:val="0"/>
          <w:numId w:val="4"/>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乙方保证标的物能够与甲方现有系统集成对接，并向甲方提供接口功能完善的产品。接口对接需第三方配合的，乙方负责与第三方交涉，费用由乙方承担。</w:t>
      </w:r>
    </w:p>
    <w:p>
      <w:pPr>
        <w:keepNext w:val="0"/>
        <w:keepLines w:val="0"/>
        <w:pageBreakBefore w:val="0"/>
        <w:numPr>
          <w:ilvl w:val="0"/>
          <w:numId w:val="4"/>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保证不对甲方使用标的物设置时间期限、用户和终端数量、接入设备数量及使用地点等任何限制；不以甲方未购买维保、用户和终端数量增长、接入设备数量增长、新院区开业、标的物使用地点发生变化等为由对甲方使用标的物设置任何障碍或提出任何费用要求。</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二</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知识产权</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保证标的物的所有权及自身涉及的各项知识产权权属清楚，不存在侵害他人知识产权和其他权益的情形，包括但不限于专利权、商标权或著作权。甲方在使用标的物或标的物的任何一部分时，免受第三方提出的侵权诉讼。若第三方提出侵权诉讼的，乙方须与第三方交涉并承担由此引发的一切法律责任、费用和经济赔偿。</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三</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交付及验收</w:t>
      </w:r>
    </w:p>
    <w:p>
      <w:pPr>
        <w:keepNext w:val="0"/>
        <w:keepLines w:val="0"/>
        <w:pageBreakBefore w:val="0"/>
        <w:numPr>
          <w:ilvl w:val="0"/>
          <w:numId w:val="5"/>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乙方交付标的物的期限为合同签订生效后的</w:t>
      </w:r>
      <w:r>
        <w:rPr>
          <w:rFonts w:hint="eastAsia" w:asciiTheme="minorEastAsia" w:hAnsiTheme="minorEastAsia" w:eastAsiaTheme="minorEastAsia" w:cstheme="minorEastAsia"/>
          <w:color w:val="FF0000"/>
          <w:sz w:val="21"/>
          <w:szCs w:val="21"/>
          <w:highlight w:val="none"/>
          <w:u w:val="single"/>
        </w:rPr>
        <w:t xml:space="preserve"> 15 </w:t>
      </w:r>
      <w:r>
        <w:rPr>
          <w:rFonts w:hint="eastAsia" w:asciiTheme="minorEastAsia" w:hAnsiTheme="minorEastAsia" w:eastAsiaTheme="minorEastAsia" w:cstheme="minorEastAsia"/>
          <w:sz w:val="21"/>
          <w:szCs w:val="21"/>
          <w:highlight w:val="none"/>
        </w:rPr>
        <w:t>日内。乙方须在约定期限内，到甲方指定地点完成全部标的物的安装调试与使用培训，并将符合本合同约定标准的标的物交付甲方使用。乙方向甲方出具交付确认单，甲方签字确认后，视为交付完成。如由于甲方原因造成无法按期交付，交付时间顺延。</w:t>
      </w:r>
    </w:p>
    <w:p>
      <w:pPr>
        <w:keepNext w:val="0"/>
        <w:keepLines w:val="0"/>
        <w:pageBreakBefore w:val="0"/>
        <w:numPr>
          <w:ilvl w:val="0"/>
          <w:numId w:val="5"/>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验收由甲方组织，乙方配合进行：</w:t>
      </w:r>
    </w:p>
    <w:p>
      <w:pPr>
        <w:keepNext w:val="0"/>
        <w:keepLines w:val="0"/>
        <w:pageBreakBefore w:val="0"/>
        <w:numPr>
          <w:ilvl w:val="0"/>
          <w:numId w:val="6"/>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标的物交付完成后，开始进入</w:t>
      </w:r>
      <w:r>
        <w:rPr>
          <w:rFonts w:hint="eastAsia" w:asciiTheme="minorEastAsia" w:hAnsiTheme="minorEastAsia" w:eastAsiaTheme="minorEastAsia" w:cstheme="minorEastAsia"/>
          <w:sz w:val="21"/>
          <w:szCs w:val="21"/>
          <w:highlight w:val="none"/>
          <w:u w:val="single"/>
        </w:rPr>
        <w:t xml:space="preserve"> 30 </w:t>
      </w:r>
      <w:r>
        <w:rPr>
          <w:rFonts w:hint="eastAsia" w:asciiTheme="minorEastAsia" w:hAnsiTheme="minorEastAsia" w:eastAsiaTheme="minorEastAsia" w:cstheme="minorEastAsia"/>
          <w:sz w:val="21"/>
          <w:szCs w:val="21"/>
          <w:highlight w:val="none"/>
        </w:rPr>
        <w:t>日试用期。试用期间发生质量问题，修复后试用期重新计算。试用期结束后，按照甲方内部规定的验收流程完成验收。</w:t>
      </w:r>
    </w:p>
    <w:p>
      <w:pPr>
        <w:keepNext w:val="0"/>
        <w:keepLines w:val="0"/>
        <w:pageBreakBefore w:val="0"/>
        <w:numPr>
          <w:ilvl w:val="0"/>
          <w:numId w:val="6"/>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照有关法律法规和标准的规定、本项目招投标文件及本合同约定的标准进行验收；甲乙双方如对验收标准有相互抵触或异议的事项，由甲方在招标文件中按质量要求和技术指标比较优胜的原则确定标准进行验收。</w:t>
      </w:r>
    </w:p>
    <w:p>
      <w:pPr>
        <w:keepNext w:val="0"/>
        <w:keepLines w:val="0"/>
        <w:pageBreakBefore w:val="0"/>
        <w:numPr>
          <w:ilvl w:val="0"/>
          <w:numId w:val="6"/>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若验收合格，双方签署验收文件。</w:t>
      </w:r>
    </w:p>
    <w:p>
      <w:pPr>
        <w:keepNext w:val="0"/>
        <w:keepLines w:val="0"/>
        <w:pageBreakBefore w:val="0"/>
        <w:numPr>
          <w:ilvl w:val="0"/>
          <w:numId w:val="6"/>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若验收不合格，验收方应做出详尽的现场记录，或由双方签署备忘录，乙方整改后再次提请甲方验收，因此产生时间延误和有关费用由乙方承担。</w:t>
      </w:r>
    </w:p>
    <w:p>
      <w:pPr>
        <w:keepNext w:val="0"/>
        <w:keepLines w:val="0"/>
        <w:pageBreakBefore w:val="0"/>
        <w:numPr>
          <w:ilvl w:val="0"/>
          <w:numId w:val="6"/>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若经乙方</w:t>
      </w:r>
      <w:r>
        <w:rPr>
          <w:rFonts w:hint="eastAsia" w:asciiTheme="minorEastAsia" w:hAnsiTheme="minorEastAsia" w:eastAsiaTheme="minorEastAsia" w:cstheme="minorEastAsia"/>
          <w:sz w:val="21"/>
          <w:szCs w:val="21"/>
          <w:highlight w:val="none"/>
          <w:u w:val="single"/>
        </w:rPr>
        <w:t xml:space="preserve"> 2 </w:t>
      </w:r>
      <w:r>
        <w:rPr>
          <w:rFonts w:hint="eastAsia" w:asciiTheme="minorEastAsia" w:hAnsiTheme="minorEastAsia" w:eastAsiaTheme="minorEastAsia" w:cstheme="minorEastAsia"/>
          <w:sz w:val="21"/>
          <w:szCs w:val="21"/>
          <w:highlight w:val="none"/>
        </w:rPr>
        <w:t>次整改或整改超过</w:t>
      </w:r>
      <w:r>
        <w:rPr>
          <w:rFonts w:hint="eastAsia" w:asciiTheme="minorEastAsia" w:hAnsiTheme="minorEastAsia" w:eastAsiaTheme="minorEastAsia" w:cstheme="minorEastAsia"/>
          <w:sz w:val="21"/>
          <w:szCs w:val="21"/>
          <w:highlight w:val="none"/>
          <w:u w:val="single"/>
        </w:rPr>
        <w:t xml:space="preserve"> 30 </w:t>
      </w:r>
      <w:r>
        <w:rPr>
          <w:rFonts w:hint="eastAsia" w:asciiTheme="minorEastAsia" w:hAnsiTheme="minorEastAsia" w:eastAsiaTheme="minorEastAsia" w:cstheme="minorEastAsia"/>
          <w:sz w:val="21"/>
          <w:szCs w:val="21"/>
          <w:highlight w:val="none"/>
        </w:rPr>
        <w:t>日仍不能达到验收合格的标准，则视作乙方不能交付而违约，甲方有权退货并追究乙方的违约责任。</w:t>
      </w:r>
    </w:p>
    <w:p>
      <w:pPr>
        <w:keepNext w:val="0"/>
        <w:keepLines w:val="0"/>
        <w:pageBreakBefore w:val="0"/>
        <w:numPr>
          <w:ilvl w:val="0"/>
          <w:numId w:val="5"/>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乙方应将标的物的装箱清单、配件、随机工具、用户使用手册、原厂license、原厂保修卡等资料交付给甲方；乙方不能完整交付标的物及本款规定的单证和工具的，必须负责补齐，否则视为未按合同约定交付。</w:t>
      </w:r>
    </w:p>
    <w:p>
      <w:pPr>
        <w:keepNext w:val="0"/>
        <w:keepLines w:val="0"/>
        <w:pageBreakBefore w:val="0"/>
        <w:numPr>
          <w:ilvl w:val="0"/>
          <w:numId w:val="5"/>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其他未尽事宜应严格按照《中华人民共和国政府采购法》及有关法律法规的规定进行。</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四</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付款方式</w:t>
      </w:r>
    </w:p>
    <w:p>
      <w:pPr>
        <w:keepNext w:val="0"/>
        <w:keepLines w:val="0"/>
        <w:pageBreakBefore w:val="0"/>
        <w:numPr>
          <w:ilvl w:val="0"/>
          <w:numId w:val="7"/>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标的物验收合格后，乙方应向甲方提供符合甲方财务要求的付款通知书与票证资料，甲方在收到相关资料后，</w:t>
      </w:r>
      <w:r>
        <w:rPr>
          <w:rFonts w:hint="eastAsia" w:asciiTheme="minorEastAsia" w:hAnsiTheme="minorEastAsia" w:eastAsiaTheme="minorEastAsia" w:cstheme="minorEastAsia"/>
          <w:color w:val="FF0000"/>
          <w:sz w:val="21"/>
          <w:szCs w:val="21"/>
          <w:highlight w:val="none"/>
        </w:rPr>
        <w:t>向乙方支付本合同总价款的</w:t>
      </w:r>
      <w:r>
        <w:rPr>
          <w:rFonts w:hint="eastAsia" w:asciiTheme="minorEastAsia" w:hAnsiTheme="minorEastAsia" w:eastAsiaTheme="minorEastAsia" w:cstheme="minorEastAsia"/>
          <w:color w:val="FF0000"/>
          <w:sz w:val="21"/>
          <w:szCs w:val="21"/>
          <w:highlight w:val="none"/>
          <w:u w:val="single"/>
        </w:rPr>
        <w:t>95%（百分之九十五）</w:t>
      </w:r>
      <w:r>
        <w:rPr>
          <w:rFonts w:hint="eastAsia" w:asciiTheme="minorEastAsia" w:hAnsiTheme="minorEastAsia" w:eastAsiaTheme="minorEastAsia" w:cstheme="minorEastAsia"/>
          <w:color w:val="FF0000"/>
          <w:sz w:val="21"/>
          <w:szCs w:val="21"/>
          <w:highlight w:val="none"/>
        </w:rPr>
        <w:t>，即</w:t>
      </w:r>
      <w:r>
        <w:rPr>
          <w:rFonts w:hint="eastAsia" w:asciiTheme="minorEastAsia" w:hAnsiTheme="minorEastAsia" w:eastAsiaTheme="minorEastAsia" w:cstheme="minorEastAsia"/>
          <w:color w:val="FF0000"/>
          <w:sz w:val="21"/>
          <w:szCs w:val="21"/>
          <w:highlight w:val="none"/>
          <w:u w:val="single"/>
        </w:rPr>
        <w:t>¥000,000.00</w:t>
      </w:r>
      <w:r>
        <w:rPr>
          <w:rFonts w:hint="eastAsia" w:asciiTheme="minorEastAsia" w:hAnsiTheme="minorEastAsia" w:eastAsiaTheme="minorEastAsia" w:cstheme="minorEastAsia"/>
          <w:color w:val="FF0000"/>
          <w:sz w:val="21"/>
          <w:szCs w:val="21"/>
          <w:highlight w:val="none"/>
        </w:rPr>
        <w:t>元（人民币大写：</w:t>
      </w:r>
      <w:r>
        <w:rPr>
          <w:rFonts w:hint="eastAsia" w:asciiTheme="minorEastAsia" w:hAnsiTheme="minorEastAsia" w:eastAsiaTheme="minorEastAsia" w:cstheme="minorEastAsia"/>
          <w:color w:val="FF0000"/>
          <w:sz w:val="21"/>
          <w:szCs w:val="21"/>
          <w:highlight w:val="none"/>
          <w:u w:val="single"/>
        </w:rPr>
        <w:t xml:space="preserve">   </w:t>
      </w:r>
      <w:r>
        <w:rPr>
          <w:rFonts w:hint="eastAsia" w:asciiTheme="minorEastAsia" w:hAnsiTheme="minorEastAsia" w:eastAsiaTheme="minorEastAsia" w:cstheme="minorEastAsia"/>
          <w:color w:val="FF0000"/>
          <w:sz w:val="21"/>
          <w:szCs w:val="21"/>
          <w:highlight w:val="none"/>
        </w:rPr>
        <w:t>元整）。</w:t>
      </w:r>
    </w:p>
    <w:p>
      <w:pPr>
        <w:keepNext w:val="0"/>
        <w:keepLines w:val="0"/>
        <w:pageBreakBefore w:val="0"/>
        <w:numPr>
          <w:ilvl w:val="0"/>
          <w:numId w:val="7"/>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本合同履行完毕后，在乙方履行合同义务、不存在违约的情况下，乙方应向甲方提供符合甲方财务要求的付款通知书与票证资料，甲方在收到相关资料后，</w:t>
      </w:r>
      <w:r>
        <w:rPr>
          <w:rFonts w:hint="eastAsia" w:asciiTheme="minorEastAsia" w:hAnsiTheme="minorEastAsia" w:eastAsiaTheme="minorEastAsia" w:cstheme="minorEastAsia"/>
          <w:color w:val="FF0000"/>
          <w:sz w:val="21"/>
          <w:szCs w:val="21"/>
          <w:highlight w:val="none"/>
        </w:rPr>
        <w:t>向乙方支付本合同总价款的</w:t>
      </w:r>
      <w:r>
        <w:rPr>
          <w:rFonts w:hint="eastAsia" w:asciiTheme="minorEastAsia" w:hAnsiTheme="minorEastAsia" w:eastAsiaTheme="minorEastAsia" w:cstheme="minorEastAsia"/>
          <w:color w:val="FF0000"/>
          <w:sz w:val="21"/>
          <w:szCs w:val="21"/>
          <w:highlight w:val="none"/>
          <w:u w:val="single"/>
        </w:rPr>
        <w:t>5%（百分之五）</w:t>
      </w:r>
      <w:r>
        <w:rPr>
          <w:rFonts w:hint="eastAsia" w:asciiTheme="minorEastAsia" w:hAnsiTheme="minorEastAsia" w:eastAsiaTheme="minorEastAsia" w:cstheme="minorEastAsia"/>
          <w:color w:val="FF0000"/>
          <w:sz w:val="21"/>
          <w:szCs w:val="21"/>
          <w:highlight w:val="none"/>
        </w:rPr>
        <w:t>，即</w:t>
      </w:r>
      <w:r>
        <w:rPr>
          <w:rFonts w:hint="eastAsia" w:asciiTheme="minorEastAsia" w:hAnsiTheme="minorEastAsia" w:eastAsiaTheme="minorEastAsia" w:cstheme="minorEastAsia"/>
          <w:color w:val="FF0000"/>
          <w:sz w:val="21"/>
          <w:szCs w:val="21"/>
          <w:highlight w:val="none"/>
          <w:u w:val="single"/>
        </w:rPr>
        <w:t>¥000,000.00</w:t>
      </w:r>
      <w:r>
        <w:rPr>
          <w:rFonts w:hint="eastAsia" w:asciiTheme="minorEastAsia" w:hAnsiTheme="minorEastAsia" w:eastAsiaTheme="minorEastAsia" w:cstheme="minorEastAsia"/>
          <w:color w:val="FF0000"/>
          <w:sz w:val="21"/>
          <w:szCs w:val="21"/>
          <w:highlight w:val="none"/>
        </w:rPr>
        <w:t>元（人民币大写：</w:t>
      </w:r>
      <w:r>
        <w:rPr>
          <w:rFonts w:hint="eastAsia" w:asciiTheme="minorEastAsia" w:hAnsiTheme="minorEastAsia" w:eastAsiaTheme="minorEastAsia" w:cstheme="minorEastAsia"/>
          <w:color w:val="FF0000"/>
          <w:sz w:val="21"/>
          <w:szCs w:val="21"/>
          <w:highlight w:val="none"/>
          <w:u w:val="single"/>
        </w:rPr>
        <w:t xml:space="preserve">   </w:t>
      </w:r>
      <w:r>
        <w:rPr>
          <w:rFonts w:hint="eastAsia" w:asciiTheme="minorEastAsia" w:hAnsiTheme="minorEastAsia" w:eastAsiaTheme="minorEastAsia" w:cstheme="minorEastAsia"/>
          <w:color w:val="FF0000"/>
          <w:sz w:val="21"/>
          <w:szCs w:val="21"/>
          <w:highlight w:val="none"/>
        </w:rPr>
        <w:t>元整 ）。</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五</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售后服务</w:t>
      </w:r>
    </w:p>
    <w:p>
      <w:pPr>
        <w:keepNext w:val="0"/>
        <w:keepLines w:val="0"/>
        <w:pageBreakBefore w:val="0"/>
        <w:numPr>
          <w:ilvl w:val="0"/>
          <w:numId w:val="8"/>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质保期为验收合格之日起</w:t>
      </w:r>
      <w:r>
        <w:rPr>
          <w:rFonts w:hint="eastAsia" w:asciiTheme="minorEastAsia" w:hAnsiTheme="minorEastAsia" w:eastAsiaTheme="minorEastAsia" w:cstheme="minorEastAsia"/>
          <w:color w:val="FF0000"/>
          <w:sz w:val="21"/>
          <w:szCs w:val="21"/>
          <w:highlight w:val="none"/>
          <w:u w:val="single"/>
        </w:rPr>
        <w:t xml:space="preserve"> 3 </w:t>
      </w:r>
      <w:r>
        <w:rPr>
          <w:rFonts w:hint="eastAsia" w:asciiTheme="minorEastAsia" w:hAnsiTheme="minorEastAsia" w:eastAsiaTheme="minorEastAsia" w:cstheme="minorEastAsia"/>
          <w:sz w:val="21"/>
          <w:szCs w:val="21"/>
          <w:highlight w:val="none"/>
        </w:rPr>
        <w:t>年。质保期内，乙方按照以下约定提供售后服务。</w:t>
      </w:r>
    </w:p>
    <w:p>
      <w:pPr>
        <w:keepNext w:val="0"/>
        <w:keepLines w:val="0"/>
        <w:pageBreakBefore w:val="0"/>
        <w:numPr>
          <w:ilvl w:val="0"/>
          <w:numId w:val="9"/>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售后服务目录见附件。</w:t>
      </w:r>
    </w:p>
    <w:p>
      <w:pPr>
        <w:keepNext w:val="0"/>
        <w:keepLines w:val="0"/>
        <w:pageBreakBefore w:val="0"/>
        <w:numPr>
          <w:ilvl w:val="0"/>
          <w:numId w:val="9"/>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rPr>
        <w:t>若标的物损坏的，乙方负责更换，更换的部件质保期重新计算。维修期间乙方须提供同档次的备机备件，以确保甲方业务连续性。</w:t>
      </w:r>
    </w:p>
    <w:p>
      <w:pPr>
        <w:keepNext w:val="0"/>
        <w:keepLines w:val="0"/>
        <w:pageBreakBefore w:val="0"/>
        <w:numPr>
          <w:ilvl w:val="0"/>
          <w:numId w:val="9"/>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若标的物经乙方</w:t>
      </w:r>
      <w:r>
        <w:rPr>
          <w:rFonts w:hint="eastAsia" w:asciiTheme="minorEastAsia" w:hAnsiTheme="minorEastAsia" w:eastAsiaTheme="minorEastAsia" w:cstheme="minorEastAsia"/>
          <w:sz w:val="21"/>
          <w:szCs w:val="21"/>
          <w:highlight w:val="none"/>
          <w:u w:val="single"/>
        </w:rPr>
        <w:t xml:space="preserve"> 2 </w:t>
      </w:r>
      <w:r>
        <w:rPr>
          <w:rFonts w:hint="eastAsia" w:asciiTheme="minorEastAsia" w:hAnsiTheme="minorEastAsia" w:eastAsiaTheme="minorEastAsia" w:cstheme="minorEastAsia"/>
          <w:sz w:val="21"/>
          <w:szCs w:val="21"/>
          <w:highlight w:val="none"/>
        </w:rPr>
        <w:t>次维修或维修超过</w:t>
      </w:r>
      <w:r>
        <w:rPr>
          <w:rFonts w:hint="eastAsia" w:asciiTheme="minorEastAsia" w:hAnsiTheme="minorEastAsia" w:eastAsiaTheme="minorEastAsia" w:cstheme="minorEastAsia"/>
          <w:sz w:val="21"/>
          <w:szCs w:val="21"/>
          <w:highlight w:val="none"/>
          <w:u w:val="single"/>
        </w:rPr>
        <w:t xml:space="preserve"> 30 </w:t>
      </w:r>
      <w:r>
        <w:rPr>
          <w:rFonts w:hint="eastAsia" w:asciiTheme="minorEastAsia" w:hAnsiTheme="minorEastAsia" w:eastAsiaTheme="minorEastAsia" w:cstheme="minorEastAsia"/>
          <w:sz w:val="21"/>
          <w:szCs w:val="21"/>
          <w:highlight w:val="none"/>
        </w:rPr>
        <w:t>天仍不能达到本合同约定标准的，或标的物经甲方送交具有法定资格条件的质量技术监督机构检测后，检测结果认定标的物质量不符合本合同约定标准的，则视作乙方不能交付标的物而违约，甲方有权退货并追究乙方的违约责任。</w:t>
      </w:r>
    </w:p>
    <w:p>
      <w:pPr>
        <w:keepNext w:val="0"/>
        <w:keepLines w:val="0"/>
        <w:pageBreakBefore w:val="0"/>
        <w:numPr>
          <w:ilvl w:val="0"/>
          <w:numId w:val="9"/>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涉及一切费用包含在本合同价款之内，乙方不得向甲方或第三方收取其他任何费用。</w:t>
      </w:r>
    </w:p>
    <w:p>
      <w:pPr>
        <w:keepNext w:val="0"/>
        <w:keepLines w:val="0"/>
        <w:pageBreakBefore w:val="0"/>
        <w:numPr>
          <w:ilvl w:val="0"/>
          <w:numId w:val="9"/>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乙方现场服务人员应按照甲方工作制度服从甲方管理。</w:t>
      </w:r>
    </w:p>
    <w:p>
      <w:pPr>
        <w:keepNext w:val="0"/>
        <w:keepLines w:val="0"/>
        <w:pageBreakBefore w:val="0"/>
        <w:numPr>
          <w:ilvl w:val="0"/>
          <w:numId w:val="8"/>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于隐蔽性的、合理的检查和试验都不能发觉的质量和安全缺陷，即使质保期已过，无论甲方是否购买维保服务，由于标的物本身的设计缺陷、制造缺陷、安装缺陷造成的故障或对甲方和第三方的财产、人身损害，仍由乙方免费负责维修、更换和承担赔偿责任。</w:t>
      </w:r>
    </w:p>
    <w:p>
      <w:pPr>
        <w:keepNext w:val="0"/>
        <w:keepLines w:val="0"/>
        <w:pageBreakBefore w:val="0"/>
        <w:numPr>
          <w:ilvl w:val="0"/>
          <w:numId w:val="8"/>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乙方须指派专人负责与甲方联系售后服务事宜。</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六</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安全保密</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甲乙双方须共同遵守网络与信息安全有关法律法规和标准的规定，并遵守甲方网络与信息安全有关规章制度的规定，履行本项目相关网络与信息安全保护义务。</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乙方不得从事危害甲方网络信息安全的活动，包括但不限于以下内容：</w:t>
      </w:r>
    </w:p>
    <w:p>
      <w:pPr>
        <w:keepNext w:val="0"/>
        <w:keepLines w:val="0"/>
        <w:pageBreakBefore w:val="0"/>
        <w:numPr>
          <w:ilvl w:val="0"/>
          <w:numId w:val="11"/>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未经甲方允许，进入甲方内部网络或使用甲方网络信息资源的；</w:t>
      </w:r>
    </w:p>
    <w:p>
      <w:pPr>
        <w:keepNext w:val="0"/>
        <w:keepLines w:val="0"/>
        <w:pageBreakBefore w:val="0"/>
        <w:numPr>
          <w:ilvl w:val="0"/>
          <w:numId w:val="11"/>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未经甲方允许，对甲方网络信息程序、数据、文件等进行删除、修改或增加的；</w:t>
      </w:r>
    </w:p>
    <w:p>
      <w:pPr>
        <w:keepNext w:val="0"/>
        <w:keepLines w:val="0"/>
        <w:pageBreakBefore w:val="0"/>
        <w:numPr>
          <w:ilvl w:val="0"/>
          <w:numId w:val="11"/>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未经甲方允许，在甲方内部网络计算机上接入互联网或使用U盘等移动存储介质。</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乙方不得在其产品中设置恶意程序，不得利用提供产品和服务的便利条件非法收集、使用和提供用户数据、非法控制和操纵用户设备。</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乙方产品属网络安全等级保护第三级及以上网络的，乙方应在境内实施技术维护，不得实施境外远程技术维护。</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乙方应采取必要措施保障其产品和服务的安全性，发现其产品和服务存在安全缺陷、漏洞等风险、发生或可能发生安全事件时，应当立即采取补救措施，并及时告知甲方。</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乙方应配合甲方的网络与信息安全建设、测评、整改、应急、检查、审查等工作，及时向甲方提供必要的支持和协助。</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乙方对获取到的甲方有关信息负有为甲方保密的责任，甲乙双方须签订保密协议。</w:t>
      </w:r>
    </w:p>
    <w:p>
      <w:pPr>
        <w:keepNext w:val="0"/>
        <w:keepLines w:val="0"/>
        <w:pageBreakBefore w:val="0"/>
        <w:numPr>
          <w:ilvl w:val="0"/>
          <w:numId w:val="10"/>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本条款约定在本合同终止后继续有效。</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lang w:val="en-US" w:eastAsia="zh-CN"/>
        </w:rPr>
        <w:t>七</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违约责任</w:t>
      </w:r>
    </w:p>
    <w:p>
      <w:pPr>
        <w:keepNext w:val="0"/>
        <w:keepLines w:val="0"/>
        <w:pageBreakBefore w:val="0"/>
        <w:numPr>
          <w:ilvl w:val="0"/>
          <w:numId w:val="12"/>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甲方违约责任</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甲方无故拒绝验收或付款的，甲方应按合同总价款的</w:t>
      </w:r>
      <w:r>
        <w:rPr>
          <w:rFonts w:hint="eastAsia" w:asciiTheme="minorEastAsia" w:hAnsiTheme="minorEastAsia" w:eastAsiaTheme="minorEastAsia" w:cstheme="minorEastAsia"/>
          <w:sz w:val="21"/>
          <w:szCs w:val="21"/>
          <w:highlight w:val="none"/>
          <w:u w:val="single"/>
        </w:rPr>
        <w:t xml:space="preserve"> 3% </w:t>
      </w:r>
      <w:r>
        <w:rPr>
          <w:rFonts w:hint="eastAsia" w:asciiTheme="minorEastAsia" w:hAnsiTheme="minorEastAsia" w:eastAsiaTheme="minorEastAsia" w:cstheme="minorEastAsia"/>
          <w:sz w:val="21"/>
          <w:szCs w:val="21"/>
          <w:highlight w:val="none"/>
        </w:rPr>
        <w:t>向乙方支付违约金。</w:t>
      </w:r>
    </w:p>
    <w:p>
      <w:pPr>
        <w:keepNext w:val="0"/>
        <w:keepLines w:val="0"/>
        <w:pageBreakBefore w:val="0"/>
        <w:numPr>
          <w:ilvl w:val="0"/>
          <w:numId w:val="12"/>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乙方违约责任</w:t>
      </w:r>
    </w:p>
    <w:p>
      <w:pPr>
        <w:keepNext w:val="0"/>
        <w:keepLines w:val="0"/>
        <w:pageBreakBefore w:val="0"/>
        <w:numPr>
          <w:ilvl w:val="0"/>
          <w:numId w:val="13"/>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若乙方未按时交付标的物的，每逾期</w:t>
      </w:r>
      <w:r>
        <w:rPr>
          <w:rFonts w:hint="eastAsia" w:asciiTheme="minorEastAsia" w:hAnsiTheme="minorEastAsia" w:eastAsiaTheme="minorEastAsia" w:cstheme="minorEastAsia"/>
          <w:sz w:val="21"/>
          <w:szCs w:val="21"/>
          <w:highlight w:val="none"/>
          <w:u w:val="single"/>
        </w:rPr>
        <w:t xml:space="preserve"> 1 </w:t>
      </w:r>
      <w:r>
        <w:rPr>
          <w:rFonts w:hint="eastAsia" w:asciiTheme="minorEastAsia" w:hAnsiTheme="minorEastAsia" w:eastAsiaTheme="minorEastAsia" w:cstheme="minorEastAsia"/>
          <w:sz w:val="21"/>
          <w:szCs w:val="21"/>
          <w:highlight w:val="none"/>
        </w:rPr>
        <w:t>日，乙方应按合同总价款的</w:t>
      </w:r>
      <w:r>
        <w:rPr>
          <w:rFonts w:hint="eastAsia" w:asciiTheme="minorEastAsia" w:hAnsiTheme="minorEastAsia" w:eastAsiaTheme="minorEastAsia" w:cstheme="minorEastAsia"/>
          <w:sz w:val="21"/>
          <w:szCs w:val="21"/>
          <w:highlight w:val="none"/>
          <w:u w:val="single"/>
        </w:rPr>
        <w:t xml:space="preserve"> 万分之五 </w:t>
      </w:r>
      <w:r>
        <w:rPr>
          <w:rFonts w:hint="eastAsia" w:asciiTheme="minorEastAsia" w:hAnsiTheme="minorEastAsia" w:eastAsiaTheme="minorEastAsia" w:cstheme="minorEastAsia"/>
          <w:sz w:val="21"/>
          <w:szCs w:val="21"/>
          <w:highlight w:val="none"/>
        </w:rPr>
        <w:t>/日向甲方支付违约金；若逾期超过</w:t>
      </w:r>
      <w:r>
        <w:rPr>
          <w:rFonts w:hint="eastAsia" w:asciiTheme="minorEastAsia" w:hAnsiTheme="minorEastAsia" w:eastAsiaTheme="minorEastAsia" w:cstheme="minorEastAsia"/>
          <w:sz w:val="21"/>
          <w:szCs w:val="21"/>
          <w:highlight w:val="none"/>
          <w:u w:val="single"/>
        </w:rPr>
        <w:t xml:space="preserve"> 30 </w:t>
      </w:r>
      <w:r>
        <w:rPr>
          <w:rFonts w:hint="eastAsia" w:asciiTheme="minorEastAsia" w:hAnsiTheme="minorEastAsia" w:eastAsiaTheme="minorEastAsia" w:cstheme="minorEastAsia"/>
          <w:sz w:val="21"/>
          <w:szCs w:val="21"/>
          <w:highlight w:val="none"/>
        </w:rPr>
        <w:t>日的，乙方除按合同总价款的</w:t>
      </w:r>
      <w:r>
        <w:rPr>
          <w:rFonts w:hint="eastAsia" w:asciiTheme="minorEastAsia" w:hAnsiTheme="minorEastAsia" w:eastAsiaTheme="minorEastAsia" w:cstheme="minorEastAsia"/>
          <w:sz w:val="21"/>
          <w:szCs w:val="21"/>
          <w:highlight w:val="none"/>
          <w:u w:val="single"/>
        </w:rPr>
        <w:t xml:space="preserve"> 万分之五 </w:t>
      </w:r>
      <w:r>
        <w:rPr>
          <w:rFonts w:hint="eastAsia" w:asciiTheme="minorEastAsia" w:hAnsiTheme="minorEastAsia" w:eastAsiaTheme="minorEastAsia" w:cstheme="minorEastAsia"/>
          <w:sz w:val="21"/>
          <w:szCs w:val="21"/>
          <w:highlight w:val="none"/>
        </w:rPr>
        <w:t>/日向甲方支付违约金外，还应按合同总价款的</w:t>
      </w:r>
      <w:r>
        <w:rPr>
          <w:rFonts w:hint="eastAsia" w:asciiTheme="minorEastAsia" w:hAnsiTheme="minorEastAsia" w:eastAsiaTheme="minorEastAsia" w:cstheme="minorEastAsia"/>
          <w:sz w:val="21"/>
          <w:szCs w:val="21"/>
          <w:highlight w:val="none"/>
          <w:u w:val="single"/>
        </w:rPr>
        <w:t xml:space="preserve"> 20％ </w:t>
      </w:r>
      <w:r>
        <w:rPr>
          <w:rFonts w:hint="eastAsia" w:asciiTheme="minorEastAsia" w:hAnsiTheme="minorEastAsia" w:eastAsiaTheme="minorEastAsia" w:cstheme="minorEastAsia"/>
          <w:sz w:val="21"/>
          <w:szCs w:val="21"/>
          <w:highlight w:val="none"/>
        </w:rPr>
        <w:t>向甲方支付违约金，并且甲方有权单方解除合同，乙方应退还已收取的全部合同款及自甲方付款至乙方退款期间的利息（按同期银行贷款利率）。</w:t>
      </w:r>
    </w:p>
    <w:p>
      <w:pPr>
        <w:keepNext w:val="0"/>
        <w:keepLines w:val="0"/>
        <w:pageBreakBefore w:val="0"/>
        <w:numPr>
          <w:ilvl w:val="0"/>
          <w:numId w:val="13"/>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乙方标的物的质量、性能、安全等特性存在缺陷，或其质量、性能、安全等特性不符合本合同约定的标准而给甲方造成工作障碍、导致安全事件发生或致人损失的，乙方应承担全部法律和赔偿责任。此情况每出现</w:t>
      </w:r>
      <w:r>
        <w:rPr>
          <w:rFonts w:hint="eastAsia" w:asciiTheme="minorEastAsia" w:hAnsiTheme="minorEastAsia" w:eastAsiaTheme="minorEastAsia" w:cstheme="minorEastAsia"/>
          <w:sz w:val="21"/>
          <w:szCs w:val="21"/>
          <w:highlight w:val="none"/>
          <w:u w:val="single"/>
        </w:rPr>
        <w:t xml:space="preserve"> 1 </w:t>
      </w:r>
      <w:r>
        <w:rPr>
          <w:rFonts w:hint="eastAsia" w:asciiTheme="minorEastAsia" w:hAnsiTheme="minorEastAsia" w:eastAsiaTheme="minorEastAsia" w:cstheme="minorEastAsia"/>
          <w:sz w:val="21"/>
          <w:szCs w:val="21"/>
          <w:highlight w:val="none"/>
        </w:rPr>
        <w:t>次，乙方应按合同总价款的</w:t>
      </w:r>
      <w:r>
        <w:rPr>
          <w:rFonts w:hint="eastAsia" w:asciiTheme="minorEastAsia" w:hAnsiTheme="minorEastAsia" w:eastAsiaTheme="minorEastAsia" w:cstheme="minorEastAsia"/>
          <w:sz w:val="21"/>
          <w:szCs w:val="21"/>
          <w:highlight w:val="none"/>
          <w:u w:val="single"/>
        </w:rPr>
        <w:t xml:space="preserve"> 3％ </w:t>
      </w:r>
      <w:r>
        <w:rPr>
          <w:rFonts w:hint="eastAsia" w:asciiTheme="minorEastAsia" w:hAnsiTheme="minorEastAsia" w:eastAsiaTheme="minorEastAsia" w:cstheme="minorEastAsia"/>
          <w:sz w:val="21"/>
          <w:szCs w:val="21"/>
          <w:highlight w:val="none"/>
        </w:rPr>
        <w:t>/次向甲方支付违约金；若出现超过</w:t>
      </w:r>
      <w:r>
        <w:rPr>
          <w:rFonts w:hint="eastAsia" w:asciiTheme="minorEastAsia" w:hAnsiTheme="minorEastAsia" w:eastAsiaTheme="minorEastAsia" w:cstheme="minorEastAsia"/>
          <w:sz w:val="21"/>
          <w:szCs w:val="21"/>
          <w:highlight w:val="none"/>
          <w:u w:val="single"/>
        </w:rPr>
        <w:t xml:space="preserve">3 </w:t>
      </w:r>
      <w:r>
        <w:rPr>
          <w:rFonts w:hint="eastAsia" w:asciiTheme="minorEastAsia" w:hAnsiTheme="minorEastAsia" w:eastAsiaTheme="minorEastAsia" w:cstheme="minorEastAsia"/>
          <w:sz w:val="21"/>
          <w:szCs w:val="21"/>
          <w:highlight w:val="none"/>
        </w:rPr>
        <w:t>次或致甲方严重损失的，乙方除应按合同总价款的</w:t>
      </w:r>
      <w:r>
        <w:rPr>
          <w:rFonts w:hint="eastAsia" w:asciiTheme="minorEastAsia" w:hAnsiTheme="minorEastAsia" w:eastAsiaTheme="minorEastAsia" w:cstheme="minorEastAsia"/>
          <w:sz w:val="21"/>
          <w:szCs w:val="21"/>
          <w:highlight w:val="none"/>
          <w:u w:val="single"/>
        </w:rPr>
        <w:t xml:space="preserve"> 3％ </w:t>
      </w:r>
      <w:r>
        <w:rPr>
          <w:rFonts w:hint="eastAsia" w:asciiTheme="minorEastAsia" w:hAnsiTheme="minorEastAsia" w:eastAsiaTheme="minorEastAsia" w:cstheme="minorEastAsia"/>
          <w:sz w:val="21"/>
          <w:szCs w:val="21"/>
          <w:highlight w:val="none"/>
        </w:rPr>
        <w:t>/次向甲方支付违约金外，还应按合同总价款的</w:t>
      </w:r>
      <w:r>
        <w:rPr>
          <w:rFonts w:hint="eastAsia" w:asciiTheme="minorEastAsia" w:hAnsiTheme="minorEastAsia" w:eastAsiaTheme="minorEastAsia" w:cstheme="minorEastAsia"/>
          <w:sz w:val="21"/>
          <w:szCs w:val="21"/>
          <w:highlight w:val="none"/>
          <w:u w:val="single"/>
        </w:rPr>
        <w:t xml:space="preserve"> 20％ </w:t>
      </w:r>
      <w:r>
        <w:rPr>
          <w:rFonts w:hint="eastAsia" w:asciiTheme="minorEastAsia" w:hAnsiTheme="minorEastAsia" w:eastAsiaTheme="minorEastAsia" w:cstheme="minorEastAsia"/>
          <w:sz w:val="21"/>
          <w:szCs w:val="21"/>
          <w:highlight w:val="none"/>
        </w:rPr>
        <w:t>向甲方支付违约金，并且甲方有权单方解除合同，乙方应退还已收取的全部合同款及自甲方付款至乙方退款期间的利息（按同期银行贷款利率）。</w:t>
      </w:r>
    </w:p>
    <w:p>
      <w:pPr>
        <w:keepNext w:val="0"/>
        <w:keepLines w:val="0"/>
        <w:pageBreakBefore w:val="0"/>
        <w:numPr>
          <w:ilvl w:val="0"/>
          <w:numId w:val="13"/>
        </w:numPr>
        <w:kinsoku/>
        <w:wordWrap/>
        <w:overflowPunct/>
        <w:topLinePunct w:val="0"/>
        <w:autoSpaceDE/>
        <w:autoSpaceDN/>
        <w:bidi w:val="0"/>
        <w:adjustRightInd/>
        <w:snapToGrid w:val="0"/>
        <w:spacing w:line="360" w:lineRule="auto"/>
        <w:ind w:lef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若乙方未按约定履行售后服务义务、网络安全义务的，每出现</w:t>
      </w:r>
      <w:r>
        <w:rPr>
          <w:rFonts w:hint="eastAsia" w:asciiTheme="minorEastAsia" w:hAnsiTheme="minorEastAsia" w:eastAsiaTheme="minorEastAsia" w:cstheme="minorEastAsia"/>
          <w:sz w:val="21"/>
          <w:szCs w:val="21"/>
          <w:highlight w:val="none"/>
          <w:u w:val="single"/>
        </w:rPr>
        <w:t xml:space="preserve"> 1 </w:t>
      </w:r>
      <w:r>
        <w:rPr>
          <w:rFonts w:hint="eastAsia" w:asciiTheme="minorEastAsia" w:hAnsiTheme="minorEastAsia" w:eastAsiaTheme="minorEastAsia" w:cstheme="minorEastAsia"/>
          <w:sz w:val="21"/>
          <w:szCs w:val="21"/>
          <w:highlight w:val="none"/>
        </w:rPr>
        <w:t>次，乙方应按合同总价款的</w:t>
      </w:r>
      <w:r>
        <w:rPr>
          <w:rFonts w:hint="eastAsia" w:asciiTheme="minorEastAsia" w:hAnsiTheme="minorEastAsia" w:eastAsiaTheme="minorEastAsia" w:cstheme="minorEastAsia"/>
          <w:sz w:val="21"/>
          <w:szCs w:val="21"/>
          <w:highlight w:val="none"/>
          <w:u w:val="single"/>
        </w:rPr>
        <w:t xml:space="preserve"> 1‰ </w:t>
      </w:r>
      <w:r>
        <w:rPr>
          <w:rFonts w:hint="eastAsia" w:asciiTheme="minorEastAsia" w:hAnsiTheme="minorEastAsia" w:eastAsiaTheme="minorEastAsia" w:cstheme="minorEastAsia"/>
          <w:sz w:val="21"/>
          <w:szCs w:val="21"/>
          <w:highlight w:val="none"/>
        </w:rPr>
        <w:t>/次向甲方支付违约金；若出现超过</w:t>
      </w:r>
      <w:r>
        <w:rPr>
          <w:rFonts w:hint="eastAsia" w:asciiTheme="minorEastAsia" w:hAnsiTheme="minorEastAsia" w:eastAsiaTheme="minorEastAsia" w:cstheme="minorEastAsia"/>
          <w:sz w:val="21"/>
          <w:szCs w:val="21"/>
          <w:highlight w:val="none"/>
          <w:u w:val="single"/>
        </w:rPr>
        <w:t xml:space="preserve"> 3 </w:t>
      </w:r>
      <w:r>
        <w:rPr>
          <w:rFonts w:hint="eastAsia" w:asciiTheme="minorEastAsia" w:hAnsiTheme="minorEastAsia" w:eastAsiaTheme="minorEastAsia" w:cstheme="minorEastAsia"/>
          <w:sz w:val="21"/>
          <w:szCs w:val="21"/>
          <w:highlight w:val="none"/>
        </w:rPr>
        <w:t>次或致人损失的，乙方除应按合同总价款的</w:t>
      </w:r>
      <w:r>
        <w:rPr>
          <w:rFonts w:hint="eastAsia" w:asciiTheme="minorEastAsia" w:hAnsiTheme="minorEastAsia" w:eastAsiaTheme="minorEastAsia" w:cstheme="minorEastAsia"/>
          <w:sz w:val="21"/>
          <w:szCs w:val="21"/>
          <w:highlight w:val="none"/>
          <w:u w:val="single"/>
        </w:rPr>
        <w:t xml:space="preserve"> 1‰ </w:t>
      </w:r>
      <w:r>
        <w:rPr>
          <w:rFonts w:hint="eastAsia" w:asciiTheme="minorEastAsia" w:hAnsiTheme="minorEastAsia" w:eastAsiaTheme="minorEastAsia" w:cstheme="minorEastAsia"/>
          <w:sz w:val="21"/>
          <w:szCs w:val="21"/>
          <w:highlight w:val="none"/>
        </w:rPr>
        <w:t>/次向甲方支付违约金外，还应按合同总价款的</w:t>
      </w:r>
      <w:r>
        <w:rPr>
          <w:rFonts w:hint="eastAsia" w:asciiTheme="minorEastAsia" w:hAnsiTheme="minorEastAsia" w:eastAsiaTheme="minorEastAsia" w:cstheme="minorEastAsia"/>
          <w:sz w:val="21"/>
          <w:szCs w:val="21"/>
          <w:highlight w:val="none"/>
          <w:u w:val="single"/>
        </w:rPr>
        <w:t xml:space="preserve"> 20％ </w:t>
      </w:r>
      <w:r>
        <w:rPr>
          <w:rFonts w:hint="eastAsia" w:asciiTheme="minorEastAsia" w:hAnsiTheme="minorEastAsia" w:eastAsiaTheme="minorEastAsia" w:cstheme="minorEastAsia"/>
          <w:sz w:val="21"/>
          <w:szCs w:val="21"/>
          <w:highlight w:val="none"/>
        </w:rPr>
        <w:t>向甲方支付违约金，并且甲方有权单方解除合同，乙方应退还已收取的全部合同款及自甲方付款至乙方退款期间的利息（按同期银行贷款利率）。</w:t>
      </w:r>
    </w:p>
    <w:p>
      <w:pPr>
        <w:keepNext w:val="0"/>
        <w:keepLines w:val="0"/>
        <w:pageBreakBefore w:val="0"/>
        <w:numPr>
          <w:ilvl w:val="0"/>
          <w:numId w:val="13"/>
        </w:numPr>
        <w:kinsoku/>
        <w:wordWrap/>
        <w:overflowPunct/>
        <w:topLinePunct w:val="0"/>
        <w:autoSpaceDE/>
        <w:autoSpaceDN/>
        <w:bidi w:val="0"/>
        <w:adjustRightInd/>
        <w:snapToGrid w:val="0"/>
        <w:spacing w:line="360" w:lineRule="auto"/>
        <w:ind w:left="0" w:firstLine="420" w:firstLineChars="200"/>
        <w:jc w:val="left"/>
        <w:textAlignment w:val="auto"/>
        <w:outlineLvl w:val="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乙方偿付的违约金由甲方从合同款中扣除，不足的款额由乙方另向甲方支付。若乙方支付的违约金不足以弥补甲方损失的，乙方还应按甲方损失尚未弥补的部分，支付赔偿金给甲方。</w:t>
      </w:r>
    </w:p>
    <w:p>
      <w:pPr>
        <w:bidi w:val="0"/>
        <w:rPr>
          <w:rFonts w:hint="eastAsia"/>
          <w:highlight w:val="none"/>
        </w:rPr>
      </w:pPr>
    </w:p>
    <w:p>
      <w:pPr>
        <w:keepNext w:val="0"/>
        <w:keepLines w:val="0"/>
        <w:pageBreakBefore w:val="0"/>
        <w:kinsoku/>
        <w:wordWrap/>
        <w:overflowPunct/>
        <w:topLinePunct w:val="0"/>
        <w:autoSpaceDE/>
        <w:autoSpaceDN/>
        <w:bidi w:val="0"/>
        <w:adjustRightInd/>
        <w:snapToGrid w:val="0"/>
        <w:spacing w:line="360" w:lineRule="auto"/>
        <w:jc w:val="left"/>
        <w:textAlignment w:val="auto"/>
        <w:outlineLvl w:val="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附件</w:t>
      </w:r>
    </w:p>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售后服务目录</w:t>
      </w:r>
    </w:p>
    <w:tbl>
      <w:tblPr>
        <w:tblStyle w:val="33"/>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25"/>
        <w:gridCol w:w="705"/>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15"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000000"/>
                <w:kern w:val="0"/>
                <w:sz w:val="21"/>
                <w:szCs w:val="21"/>
                <w:highlight w:val="none"/>
              </w:rPr>
            </w:pPr>
            <w:r>
              <w:rPr>
                <w:rFonts w:hint="eastAsia" w:asciiTheme="minorEastAsia" w:hAnsiTheme="minorEastAsia" w:eastAsiaTheme="minorEastAsia" w:cstheme="minorEastAsia"/>
                <w:b/>
                <w:color w:val="000000"/>
                <w:kern w:val="0"/>
                <w:sz w:val="21"/>
                <w:szCs w:val="21"/>
                <w:highlight w:val="none"/>
              </w:rPr>
              <w:t>服务对象</w:t>
            </w:r>
          </w:p>
        </w:tc>
        <w:tc>
          <w:tcPr>
            <w:tcW w:w="449"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000000"/>
                <w:kern w:val="0"/>
                <w:sz w:val="21"/>
                <w:szCs w:val="21"/>
                <w:highlight w:val="none"/>
              </w:rPr>
            </w:pPr>
            <w:r>
              <w:rPr>
                <w:rFonts w:hint="eastAsia" w:asciiTheme="minorEastAsia" w:hAnsiTheme="minorEastAsia" w:eastAsiaTheme="minorEastAsia" w:cstheme="minorEastAsia"/>
                <w:b/>
                <w:color w:val="000000"/>
                <w:kern w:val="0"/>
                <w:sz w:val="21"/>
                <w:szCs w:val="21"/>
                <w:highlight w:val="none"/>
              </w:rPr>
              <w:t>服务分类</w:t>
            </w: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000000"/>
                <w:kern w:val="0"/>
                <w:sz w:val="21"/>
                <w:szCs w:val="21"/>
                <w:highlight w:val="none"/>
              </w:rPr>
            </w:pPr>
            <w:r>
              <w:rPr>
                <w:rFonts w:hint="eastAsia" w:asciiTheme="minorEastAsia" w:hAnsiTheme="minorEastAsia" w:eastAsiaTheme="minorEastAsia" w:cstheme="minorEastAsia"/>
                <w:b/>
                <w:color w:val="000000"/>
                <w:kern w:val="0"/>
                <w:sz w:val="21"/>
                <w:szCs w:val="21"/>
                <w:highlight w:val="none"/>
              </w:rPr>
              <w:t>服务项目</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000000"/>
                <w:kern w:val="0"/>
                <w:sz w:val="21"/>
                <w:szCs w:val="21"/>
                <w:highlight w:val="none"/>
              </w:rPr>
            </w:pPr>
            <w:r>
              <w:rPr>
                <w:rFonts w:hint="eastAsia" w:asciiTheme="minorEastAsia" w:hAnsiTheme="minorEastAsia" w:eastAsiaTheme="minorEastAsia" w:cstheme="minorEastAsia"/>
                <w:b/>
                <w:color w:val="000000"/>
                <w:kern w:val="0"/>
                <w:sz w:val="21"/>
                <w:szCs w:val="21"/>
                <w:highlight w:val="none"/>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415" w:type="pct"/>
            <w:vMerge w:val="restart"/>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乙方产品</w:t>
            </w:r>
          </w:p>
        </w:tc>
        <w:tc>
          <w:tcPr>
            <w:tcW w:w="449" w:type="pct"/>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例行操作</w:t>
            </w:r>
          </w:p>
        </w:tc>
        <w:tc>
          <w:tcPr>
            <w:tcW w:w="384" w:type="pct"/>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预防性检查</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服务内容：对服务对象的监控记录、运行条件和运行状况进行检查和分析，发现其脆弱性，以消除或改进。</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服务方式：现场。</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交付计划：每季度1次。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15"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p>
        </w:tc>
        <w:tc>
          <w:tcPr>
            <w:tcW w:w="449" w:type="pct"/>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响应支持</w:t>
            </w:r>
          </w:p>
        </w:tc>
        <w:tc>
          <w:tcPr>
            <w:tcW w:w="384" w:type="pct"/>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事件驱动响应</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服务内容：对外部事件、系统事件或安全事件导致的服务对象整体或部分性能下降、功能丧失进行响应，将服务对象恢复到正常状态，包括故障修复、数据修复、应急响应等。</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服务方式：远程或现场,根据需要由甲方指定。</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服务时间：7*24。</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服务级别：响应时间10分钟，到场时间3小时，解决时间6小时。</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交付计划：按需提供，不限次数。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5"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p>
        </w:tc>
        <w:tc>
          <w:tcPr>
            <w:tcW w:w="449"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p>
        </w:tc>
        <w:tc>
          <w:tcPr>
            <w:tcW w:w="384" w:type="pct"/>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服务请求响应</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服务内容：根据产品运行需要或甲方的服务请求进行响应，包括操作培训、设备迁移、系统迁移、数据迁移、应急演练等。</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服务方式：远程或现场。根据需要由甲方指定。</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服务时间：7*24。</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服务级别：响应时间10分钟，到场时间3小时，解决时间根据需要由甲方指定。</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交付计划：按需提供，不限次数。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415"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p>
        </w:tc>
        <w:tc>
          <w:tcPr>
            <w:tcW w:w="449"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优化改善</w:t>
            </w: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适应性改进</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服务内容：为保持服务对象在新环境中可持续运行而实施的优化改进。</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服务方式：远程或现场。根据需要由甲方指定。</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服务时间：7*24。</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服务级别：响应时间24小时，到场时间72小时，解决时间30日。</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交付计划：按需提供，不限次数。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15"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p>
        </w:tc>
        <w:tc>
          <w:tcPr>
            <w:tcW w:w="449"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增强性改进</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服务内容：根据服务对象的运行状况采取改进措施，增强服务对象的安全性、可用性和可靠性，包括配置优化、性能优化、功能优化、版本升级、特征库升级等。</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服务方式：远程或现场。根据需要由甲方指定。</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服务时间：7*24。</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服务级别：响应时间24小时，到场时间72小时，解决时间30日。</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交付计划：按需提供，不限次数。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15"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p>
        </w:tc>
        <w:tc>
          <w:tcPr>
            <w:tcW w:w="449" w:type="pct"/>
            <w:vMerge w:val="continue"/>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预防性改进</w:t>
            </w:r>
          </w:p>
        </w:tc>
        <w:tc>
          <w:tcPr>
            <w:tcW w:w="37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服务内容：检测和纠正服务对象运行过程中潜在的问题或缺陷，包括缺陷修复、补丁更新等。</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服务方式：远程或现场。根据需要由甲方指定。</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服务时间：7*24。</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服务级别：响应时间24小时，到场时间72小时，解决时间30日。</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交付计划：按需提供，不限次数。</w:t>
            </w:r>
          </w:p>
        </w:tc>
      </w:tr>
    </w:tbl>
    <w:p>
      <w:pPr>
        <w:keepNext w:val="0"/>
        <w:keepLines w:val="0"/>
        <w:pageBreakBefore w:val="0"/>
        <w:kinsoku/>
        <w:wordWrap/>
        <w:overflowPunct/>
        <w:topLinePunct w:val="0"/>
        <w:autoSpaceDE/>
        <w:autoSpaceDN/>
        <w:bidi w:val="0"/>
        <w:adjustRightInd/>
        <w:snapToGrid w:val="0"/>
        <w:spacing w:afterAutospacing="0" w:line="360" w:lineRule="auto"/>
        <w:ind w:firstLine="420" w:firstLineChars="2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p>
    <w:p>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自验收合格之日起3年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自合同签订之日起1</w:t>
            </w:r>
            <w:r>
              <w:rPr>
                <w:rFonts w:hint="eastAsia" w:cs="宋体"/>
                <w:color w:val="000000" w:themeColor="text1"/>
                <w:kern w:val="2"/>
                <w:sz w:val="21"/>
                <w:szCs w:val="24"/>
                <w:highlight w:val="none"/>
                <w:lang w:val="en-US" w:eastAsia="zh-CN" w:bidi="ar-SA"/>
                <w14:textFill>
                  <w14:solidFill>
                    <w14:schemeClr w14:val="tx1"/>
                  </w14:solidFill>
                </w14:textFill>
              </w:rPr>
              <w:t>5</w:t>
            </w:r>
            <w:r>
              <w:rPr>
                <w:rFonts w:hint="default" w:ascii="宋体" w:hAnsi="宋体" w:cs="宋体"/>
                <w:color w:val="000000" w:themeColor="text1"/>
                <w:kern w:val="2"/>
                <w:sz w:val="21"/>
                <w:szCs w:val="24"/>
                <w:highlight w:val="none"/>
                <w:lang w:val="en-US" w:eastAsia="zh-CN" w:bidi="ar-SA"/>
                <w14:textFill>
                  <w14:solidFill>
                    <w14:schemeClr w14:val="tx1"/>
                  </w14:solidFill>
                </w14:textFill>
              </w:rPr>
              <w:t>日之内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符合国家现行规定的质量标准和技术要求。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以合同签订为准。</w:t>
            </w:r>
          </w:p>
        </w:tc>
      </w:tr>
    </w:tbl>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9"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4"/>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pPr>
        <w:jc w:val="center"/>
        <w:rPr>
          <w:rFonts w:hint="eastAsia"/>
          <w:b/>
          <w:bCs/>
          <w:color w:val="000000" w:themeColor="text1"/>
          <w:sz w:val="32"/>
          <w:szCs w:val="32"/>
          <w:highlight w:val="none"/>
          <w14:textFill>
            <w14:solidFill>
              <w14:schemeClr w14:val="tx1"/>
            </w14:solidFill>
          </w14:textFill>
        </w:rPr>
      </w:pPr>
    </w:p>
    <w:p>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驻马店市中心医院国家传染病智能监测预警前置软件服务器采购项目</w:t>
            </w:r>
          </w:p>
          <w:p>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8.00万元</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最高投标限价</w:t>
            </w:r>
            <w:r>
              <w:rPr>
                <w:rFonts w:hint="eastAsia" w:ascii="宋体" w:hAnsi="宋体" w:cs="宋体"/>
                <w:b/>
                <w:bCs/>
                <w:color w:val="000000" w:themeColor="text1"/>
                <w:kern w:val="0"/>
                <w:szCs w:val="21"/>
                <w:highlight w:val="none"/>
                <w:lang w:val="en-US" w:eastAsia="zh-CN"/>
                <w14:textFill>
                  <w14:solidFill>
                    <w14:schemeClr w14:val="tx1"/>
                  </w14:solidFill>
                </w14:textFill>
              </w:rPr>
              <w:t>:8.00万元</w:t>
            </w:r>
            <w:r>
              <w:rPr>
                <w:rFonts w:hint="eastAsia" w:ascii="宋体" w:hAnsi="宋体" w:cs="宋体"/>
                <w:color w:val="000000" w:themeColor="text1"/>
                <w:kern w:val="0"/>
                <w:szCs w:val="21"/>
                <w:highlight w:val="none"/>
                <w:lang w:eastAsia="zh-CN"/>
                <w14:textFill>
                  <w14:solidFill>
                    <w14:schemeClr w14:val="tx1"/>
                  </w14:solidFill>
                </w14:textFill>
              </w:rPr>
              <w:t>；</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pPr>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8.00万元</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最高投标限价</w:t>
      </w:r>
      <w:r>
        <w:rPr>
          <w:rFonts w:hint="eastAsia" w:ascii="宋体" w:hAnsi="宋体" w:cs="宋体"/>
          <w:b/>
          <w:bCs/>
          <w:color w:val="000000" w:themeColor="text1"/>
          <w:kern w:val="0"/>
          <w:szCs w:val="21"/>
          <w:highlight w:val="none"/>
          <w:lang w:val="en-US" w:eastAsia="zh-CN"/>
          <w14:textFill>
            <w14:solidFill>
              <w14:schemeClr w14:val="tx1"/>
            </w14:solidFill>
          </w14:textFill>
        </w:rPr>
        <w:t>:8.00万元</w:t>
      </w:r>
      <w:r>
        <w:rPr>
          <w:rFonts w:hint="eastAsia" w:ascii="宋体" w:hAnsi="宋体" w:cs="宋体"/>
          <w:b/>
          <w:bCs/>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4.1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供应商应为注册在中华人民共和国境内的，且具有独立承担民事责任能力，提供营业执照等证明文件。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供应商应提供2022年度</w:t>
      </w:r>
      <w:r>
        <w:rPr>
          <w:rFonts w:hint="eastAsia" w:cs="宋体"/>
          <w:color w:val="000000" w:themeColor="text1"/>
          <w:kern w:val="2"/>
          <w:sz w:val="21"/>
          <w:szCs w:val="24"/>
          <w:highlight w:val="none"/>
          <w:lang w:val="en-US" w:eastAsia="zh-CN" w:bidi="ar-SA"/>
          <w14:textFill>
            <w14:solidFill>
              <w14:schemeClr w14:val="tx1"/>
            </w14:solidFill>
          </w14:textFill>
        </w:rPr>
        <w:t>或2023年度</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经审计的财务报告或者其基本开户银行出具的资信证明；采购活动近</w:t>
      </w:r>
      <w:r>
        <w:rPr>
          <w:rFonts w:hint="eastAsia" w:cs="宋体"/>
          <w:color w:val="000000" w:themeColor="text1"/>
          <w:kern w:val="2"/>
          <w:sz w:val="21"/>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4.6 单位负责人为同一人或者存在直接控股、管理关系的不同供应商，不得参加同一合同项下的投标（提供书面声明函）。一经发现，将导致投标同时被拒绝</w:t>
      </w:r>
      <w:r>
        <w:rPr>
          <w:rFonts w:hint="eastAsia" w:cs="宋体"/>
          <w:color w:val="000000" w:themeColor="text1"/>
          <w:kern w:val="2"/>
          <w:sz w:val="21"/>
          <w:szCs w:val="24"/>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、抵制商业贿赂承诺</w:t>
      </w:r>
    </w:p>
    <w:p>
      <w:pPr>
        <w:pStyle w:val="16"/>
        <w:keepNext w:val="0"/>
        <w:keepLines w:val="0"/>
        <w:pageBreakBefore w:val="0"/>
        <w:kinsoku/>
        <w:wordWrap/>
        <w:overflowPunct/>
        <w:topLinePunct w:val="0"/>
        <w:bidi w:val="0"/>
        <w:snapToGrid w:val="0"/>
        <w:spacing w:beforeAutospacing="0" w:afterAutospacing="0"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pPr>
        <w:keepNext w:val="0"/>
        <w:keepLines w:val="0"/>
        <w:pageBreakBefore w:val="0"/>
        <w:numPr>
          <w:ilvl w:val="0"/>
          <w:numId w:val="15"/>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pPr>
        <w:rPr>
          <w:color w:val="000000" w:themeColor="text1"/>
          <w:highlight w:val="none"/>
          <w14:textFill>
            <w14:solidFill>
              <w14:schemeClr w14:val="tx1"/>
            </w14:solidFill>
          </w14:textFill>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技术部分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1.产品技术参数（20分）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对“第二章  采购需求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三、技术要求及其他要求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1.技术要求”的响应，所投内容全部满足磋商文件要求得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2.产品综合评议</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由评委根据项目特性结合各响应产品制造工艺、稳定性、性能及技术先进性等进行打分。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.实施方案（10分）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供应商对项目实施方案的整体规划，包括</w:t>
            </w:r>
            <w:r>
              <w:rPr>
                <w:rFonts w:hint="eastAsia" w:ascii="宋体" w:hAnsi="宋体" w:cs="宋体"/>
                <w:b w:val="0"/>
                <w:bCs w:val="0"/>
                <w:color w:val="000000" w:themeColor="text1"/>
                <w:sz w:val="21"/>
                <w:szCs w:val="21"/>
                <w:highlight w:val="none"/>
                <w:lang w:eastAsia="zh-CN"/>
                <w14:textFill>
                  <w14:solidFill>
                    <w14:schemeClr w14:val="tx1"/>
                  </w14:solidFill>
                </w14:textFill>
              </w:rPr>
              <w:t>供货</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货物密封方式、人员安排计划、安装调试方案、</w:t>
            </w:r>
            <w:r>
              <w:rPr>
                <w:rFonts w:hint="eastAsia" w:ascii="宋体" w:hAnsi="宋体" w:cs="宋体"/>
                <w:b w:val="0"/>
                <w:bCs w:val="0"/>
                <w:color w:val="000000" w:themeColor="text1"/>
                <w:sz w:val="21"/>
                <w:szCs w:val="21"/>
                <w:highlight w:val="none"/>
                <w:lang w:eastAsia="zh-CN"/>
                <w14:textFill>
                  <w14:solidFill>
                    <w14:schemeClr w14:val="tx1"/>
                  </w14:solidFill>
                </w14:textFill>
              </w:rPr>
              <w:t>验收</w:t>
            </w:r>
            <w:r>
              <w:rPr>
                <w:rFonts w:hint="eastAsia" w:ascii="宋体" w:hAnsi="宋体" w:eastAsia="宋体" w:cs="宋体"/>
                <w:b w:val="0"/>
                <w:bCs w:val="0"/>
                <w:color w:val="000000" w:themeColor="text1"/>
                <w:sz w:val="21"/>
                <w:szCs w:val="21"/>
                <w:highlight w:val="none"/>
                <w14:textFill>
                  <w14:solidFill>
                    <w14:schemeClr w14:val="tx1"/>
                  </w14:solidFill>
                </w14:textFill>
              </w:rPr>
              <w:t>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1、质保期（6分）</w:t>
            </w:r>
          </w:p>
        </w:tc>
        <w:tc>
          <w:tcPr>
            <w:tcW w:w="6770" w:type="dxa"/>
            <w:noWrap w:val="0"/>
            <w:vAlign w:val="top"/>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3.售后服务体系（15分）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供应商提供合理、完整、可行的售后服务方案，明确售后响应流程、问题反馈、答疑时效、服务方式、服务地点、企业提供本地化服务的措施、售后人员数量、经验、紧急故障解决方式等。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pPr>
        <w:rPr>
          <w:color w:val="000000" w:themeColor="text1"/>
          <w:highlight w:val="none"/>
          <w14:textFill>
            <w14:solidFill>
              <w14:schemeClr w14:val="tx1"/>
            </w14:solidFill>
          </w14:textFill>
        </w:rPr>
      </w:pPr>
      <w:bookmarkStart w:id="44" w:name="_Toc1482"/>
      <w:bookmarkStart w:id="45" w:name="_Toc1947"/>
      <w:bookmarkStart w:id="46" w:name="_Toc326786897"/>
      <w:bookmarkStart w:id="47" w:name="_Toc256519703"/>
    </w:p>
    <w:p>
      <w:pPr>
        <w:pStyle w:val="2"/>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以实际合同为准</w:t>
      </w:r>
      <w:r>
        <w:rPr>
          <w:rFonts w:hint="eastAsia" w:ascii="宋体" w:hAnsi="宋体"/>
          <w:color w:val="000000" w:themeColor="text1"/>
          <w:sz w:val="21"/>
          <w:szCs w:val="21"/>
          <w:highlight w:val="none"/>
          <w:lang w:eastAsia="zh-CN"/>
          <w14:textFill>
            <w14:solidFill>
              <w14:schemeClr w14:val="tx1"/>
            </w14:solidFill>
          </w14:textFill>
        </w:rPr>
        <w:t>）</w:t>
      </w:r>
    </w:p>
    <w:p>
      <w:pPr>
        <w:rPr>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2"/>
        <w:rPr>
          <w:color w:val="000000" w:themeColor="text1"/>
          <w:highlight w:val="none"/>
          <w14:textFill>
            <w14:solidFill>
              <w14:schemeClr w14:val="tx1"/>
            </w14:solidFill>
          </w14:textFill>
        </w:rPr>
      </w:pPr>
    </w:p>
    <w:p>
      <w:pPr>
        <w:pStyle w:val="2"/>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pPr>
        <w:spacing w:line="440" w:lineRule="exact"/>
        <w:rPr>
          <w:color w:val="000000" w:themeColor="text1"/>
          <w:sz w:val="24"/>
          <w:highlight w:val="none"/>
          <w14:textFill>
            <w14:solidFill>
              <w14:schemeClr w14:val="tx1"/>
            </w14:solidFill>
          </w14:textFill>
        </w:rPr>
      </w:pPr>
    </w:p>
    <w:p>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pPr>
        <w:pStyle w:val="32"/>
        <w:rPr>
          <w:rFonts w:hint="eastAsia"/>
          <w:color w:val="000000" w:themeColor="text1"/>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pStyle w:val="3"/>
        <w:rPr>
          <w:rFonts w:ascii="宋体" w:hAnsi="宋体" w:cs="宋体"/>
          <w:b/>
          <w:bCs/>
          <w:color w:val="000000" w:themeColor="text1"/>
          <w:kern w:val="0"/>
          <w:sz w:val="24"/>
          <w:highlight w:val="none"/>
          <w14:textFill>
            <w14:solidFill>
              <w14:schemeClr w14:val="tx1"/>
            </w14:solidFill>
          </w14:textFill>
        </w:rPr>
      </w:pPr>
    </w:p>
    <w:p>
      <w:pPr>
        <w:pStyle w:val="4"/>
        <w:rPr>
          <w:rFonts w:hAnsi="宋体"/>
          <w:b/>
          <w:bCs/>
          <w:color w:val="000000" w:themeColor="text1"/>
          <w:highlight w:val="none"/>
          <w14:textFill>
            <w14:solidFill>
              <w14:schemeClr w14:val="tx1"/>
            </w14:solidFill>
          </w14:textFill>
        </w:rPr>
      </w:pPr>
    </w:p>
    <w:p>
      <w:pPr>
        <w:pStyle w:val="4"/>
        <w:rPr>
          <w:rFonts w:hAnsi="宋体"/>
          <w:b/>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7"/>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bookmarkStart w:id="61" w:name="_Toc24743"/>
      <w:bookmarkStart w:id="62" w:name="_Toc31798"/>
      <w:r>
        <w:rPr>
          <w:rFonts w:hint="eastAsia"/>
          <w:color w:val="000000" w:themeColor="text1"/>
          <w:highlight w:val="none"/>
          <w14:textFill>
            <w14:solidFill>
              <w14:schemeClr w14:val="tx1"/>
            </w14:solidFill>
          </w14:textFill>
        </w:rPr>
        <w:t>附件1               投标文件封面（格式）</w:t>
      </w:r>
      <w:bookmarkEnd w:id="61"/>
      <w:bookmarkEnd w:id="62"/>
    </w:p>
    <w:p>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pStyle w:val="4"/>
        <w:spacing w:line="360" w:lineRule="auto"/>
        <w:rPr>
          <w:rFonts w:hint="eastAsia" w:ascii="宋体" w:hAnsi="宋体" w:eastAsia="宋体" w:cs="宋体"/>
          <w:color w:val="000000" w:themeColor="text1"/>
          <w:highlight w:val="none"/>
          <w14:textFill>
            <w14:solidFill>
              <w14:schemeClr w14:val="tx1"/>
            </w14:solidFill>
          </w14:textFill>
        </w:rPr>
      </w:pPr>
    </w:p>
    <w:p>
      <w:pPr>
        <w:pStyle w:val="4"/>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pPr>
        <w:pStyle w:val="3"/>
        <w:rPr>
          <w:rFonts w:ascii="宋体" w:hAnsi="宋体" w:cs="宋体"/>
          <w:b/>
          <w:color w:val="000000" w:themeColor="text1"/>
          <w:kern w:val="0"/>
          <w:sz w:val="24"/>
          <w:highlight w:val="none"/>
          <w14:textFill>
            <w14:solidFill>
              <w14:schemeClr w14:val="tx1"/>
            </w14:solidFill>
          </w14:textFill>
        </w:rPr>
      </w:pPr>
    </w:p>
    <w:p>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bookmarkStart w:id="63" w:name="_Toc8818"/>
      <w:bookmarkStart w:id="64" w:name="_Toc14560"/>
      <w:r>
        <w:rPr>
          <w:rFonts w:hint="eastAsia"/>
          <w:color w:val="000000" w:themeColor="text1"/>
          <w:highlight w:val="none"/>
          <w14:textFill>
            <w14:solidFill>
              <w14:schemeClr w14:val="tx1"/>
            </w14:solidFill>
          </w14:textFill>
        </w:rPr>
        <w:t>附件2               投  标  书（格式）</w:t>
      </w:r>
      <w:bookmarkEnd w:id="63"/>
      <w:bookmarkEnd w:id="64"/>
    </w:p>
    <w:p>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pPr>
        <w:spacing w:line="500" w:lineRule="exact"/>
        <w:jc w:val="center"/>
        <w:rPr>
          <w:rFonts w:ascii="宋体" w:hAnsi="宋体"/>
          <w:b/>
          <w:bCs/>
          <w:color w:val="000000" w:themeColor="text1"/>
          <w:sz w:val="24"/>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pPr>
        <w:rPr>
          <w:color w:val="000000" w:themeColor="text1"/>
          <w:highlight w:val="none"/>
          <w14:textFill>
            <w14:solidFill>
              <w14:schemeClr w14:val="tx1"/>
            </w14:solidFill>
          </w14:textFill>
        </w:rPr>
      </w:pPr>
    </w:p>
    <w:bookmarkEnd w:id="46"/>
    <w:bookmarkEnd w:id="47"/>
    <w:p>
      <w:pPr>
        <w:pStyle w:val="6"/>
        <w:spacing w:before="20" w:after="20"/>
        <w:rPr>
          <w:rFonts w:hint="eastAsia" w:eastAsia="黑体"/>
          <w:color w:val="000000" w:themeColor="text1"/>
          <w:highlight w:val="none"/>
          <w:lang w:eastAsia="zh-CN"/>
          <w14:textFill>
            <w14:solidFill>
              <w14:schemeClr w14:val="tx1"/>
            </w14:solidFill>
          </w14:textFill>
        </w:rPr>
      </w:pPr>
      <w:bookmarkStart w:id="65" w:name="_Toc7838"/>
      <w:bookmarkStart w:id="66" w:name="_Toc22004"/>
      <w:bookmarkStart w:id="67" w:name="_Toc24984"/>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pPr>
        <w:rPr>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pPr>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pPr>
              <w:pStyle w:val="21"/>
              <w:ind w:left="0" w:leftChars="0"/>
              <w:rPr>
                <w:color w:val="000000" w:themeColor="text1"/>
                <w:sz w:val="21"/>
                <w:szCs w:val="21"/>
                <w:highlight w:val="none"/>
                <w14:textFill>
                  <w14:solidFill>
                    <w14:schemeClr w14:val="tx1"/>
                  </w14:solidFill>
                </w14:textFill>
              </w:rPr>
            </w:pPr>
          </w:p>
        </w:tc>
      </w:tr>
    </w:tbl>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8" w:name="_Toc11620"/>
      <w:bookmarkStart w:id="69"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8"/>
      <w:bookmarkEnd w:id="69"/>
    </w:p>
    <w:p>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70" w:name="_Toc625"/>
      <w:bookmarkStart w:id="71" w:name="_Toc12222"/>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70"/>
      <w:bookmarkEnd w:id="71"/>
    </w:p>
    <w:p>
      <w:pPr>
        <w:jc w:val="center"/>
        <w:rPr>
          <w:rFonts w:ascii="宋体" w:hAnsi="宋体"/>
          <w:color w:val="000000" w:themeColor="text1"/>
          <w:szCs w:val="21"/>
          <w:highlight w:val="none"/>
          <w14:textFill>
            <w14:solidFill>
              <w14:schemeClr w14:val="tx1"/>
            </w14:solidFill>
          </w14:textFill>
        </w:rPr>
      </w:pPr>
    </w:p>
    <w:p>
      <w:pPr>
        <w:spacing w:line="360" w:lineRule="auto"/>
        <w:ind w:firstLine="420" w:firstLineChars="200"/>
        <w:jc w:val="center"/>
        <w:rPr>
          <w:color w:val="000000" w:themeColor="text1"/>
          <w:highlight w:val="none"/>
          <w14:textFill>
            <w14:solidFill>
              <w14:schemeClr w14:val="tx1"/>
            </w14:solidFill>
          </w14:textFill>
        </w:rPr>
      </w:pPr>
      <w:bookmarkStart w:id="72" w:name="_Toc9950"/>
      <w:bookmarkStart w:id="73" w:name="_Toc1330"/>
      <w:r>
        <w:rPr>
          <w:rFonts w:hint="eastAsia" w:ascii="宋体" w:hAnsi="宋体"/>
          <w:color w:val="000000" w:themeColor="text1"/>
          <w:szCs w:val="21"/>
          <w:highlight w:val="none"/>
          <w14:textFill>
            <w14:solidFill>
              <w14:schemeClr w14:val="tx1"/>
            </w14:solidFill>
          </w14:textFill>
        </w:rPr>
        <w:t>年  月  日</w:t>
      </w:r>
      <w:bookmarkEnd w:id="72"/>
      <w:bookmarkEnd w:id="73"/>
    </w:p>
    <w:p>
      <w:pPr>
        <w:rPr>
          <w:color w:val="000000" w:themeColor="text1"/>
          <w:highlight w:val="none"/>
          <w14:textFill>
            <w14:solidFill>
              <w14:schemeClr w14:val="tx1"/>
            </w14:solidFill>
          </w14:textFill>
        </w:rPr>
      </w:pPr>
    </w:p>
    <w:p>
      <w:pPr>
        <w:spacing w:before="20" w:after="20"/>
        <w:outlineLvl w:val="9"/>
        <w:rPr>
          <w:rFonts w:hint="eastAsia" w:eastAsia="黑体"/>
          <w:color w:val="000000" w:themeColor="text1"/>
          <w:highlight w:val="none"/>
          <w:lang w:eastAsia="zh-CN"/>
          <w14:textFill>
            <w14:solidFill>
              <w14:schemeClr w14:val="tx1"/>
            </w14:solidFill>
          </w14:textFill>
        </w:rPr>
      </w:pPr>
    </w:p>
    <w:p>
      <w:pPr>
        <w:outlineLvl w:val="9"/>
        <w:rPr>
          <w:rFonts w:hint="eastAsia"/>
          <w:color w:val="000000" w:themeColor="text1"/>
          <w:highlight w:val="none"/>
          <w:lang w:eastAsia="zh-CN"/>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6"/>
      <w:bookmarkEnd w:id="67"/>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68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39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6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37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100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93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37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68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3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000000" w:themeColor="text1"/>
          <w:kern w:val="0"/>
          <w:sz w:val="24"/>
          <w:highlight w:val="none"/>
          <w14:textFill>
            <w14:solidFill>
              <w14:schemeClr w14:val="tx1"/>
            </w14:solidFill>
          </w14:textFill>
        </w:rPr>
      </w:pPr>
    </w:p>
    <w:p>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pPr>
        <w:pStyle w:val="32"/>
        <w:rPr>
          <w:rFonts w:hint="eastAsia"/>
          <w:color w:val="000000" w:themeColor="text1"/>
          <w:highlight w:val="none"/>
          <w14:textFill>
            <w14:solidFill>
              <w14:schemeClr w14:val="tx1"/>
            </w14:solidFill>
          </w14:textFill>
        </w:rPr>
      </w:pPr>
    </w:p>
    <w:p>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供应商法定代表人</w:t>
      </w:r>
      <w:r>
        <w:rPr>
          <w:rFonts w:hint="eastAsia" w:ascii="宋体" w:hAnsi="宋体" w:cs="宋体"/>
          <w:color w:val="000000" w:themeColor="text1"/>
          <w:kern w:val="0"/>
          <w:sz w:val="24"/>
          <w:highlight w:val="none"/>
          <w:lang w:eastAsia="zh-CN"/>
          <w14:textFill>
            <w14:solidFill>
              <w14:schemeClr w14:val="tx1"/>
            </w14:solidFill>
          </w14:textFill>
        </w:rPr>
        <w:t>或</w:t>
      </w:r>
      <w:r>
        <w:rPr>
          <w:rFonts w:hint="eastAsia" w:ascii="宋体" w:hAnsi="宋体" w:cs="宋体"/>
          <w:color w:val="000000" w:themeColor="text1"/>
          <w:kern w:val="0"/>
          <w:sz w:val="24"/>
          <w:highlight w:val="none"/>
          <w14:textFill>
            <w14:solidFill>
              <w14:schemeClr w14:val="tx1"/>
            </w14:solidFill>
          </w14:textFill>
        </w:rPr>
        <w:t>其授权代表签字：</w:t>
      </w:r>
      <w:r>
        <w:rPr>
          <w:rFonts w:hint="eastAsia" w:ascii="宋体" w:hAnsi="宋体" w:cs="宋体"/>
          <w:color w:val="000000" w:themeColor="text1"/>
          <w:kern w:val="0"/>
          <w:sz w:val="24"/>
          <w:highlight w:val="none"/>
          <w:u w:val="single"/>
          <w14:textFill>
            <w14:solidFill>
              <w14:schemeClr w14:val="tx1"/>
            </w14:solidFill>
          </w14:textFill>
        </w:rPr>
        <w:t xml:space="preserve">              </w:t>
      </w:r>
    </w:p>
    <w:p>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供应商名称：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15"/>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pPr>
    </w:p>
    <w:p>
      <w:pPr>
        <w:pStyle w:val="24"/>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6"/>
        <w:rPr>
          <w:rFonts w:hint="eastAsia" w:eastAsia="黑体"/>
          <w:color w:val="000000" w:themeColor="text1"/>
          <w:highlight w:val="none"/>
          <w:lang w:val="en-US" w:eastAsia="zh-CN"/>
          <w14:textFill>
            <w14:solidFill>
              <w14:schemeClr w14:val="tx1"/>
            </w14:solidFill>
          </w14:textFill>
        </w:rPr>
      </w:pPr>
      <w:bookmarkStart w:id="74" w:name="_Toc226"/>
      <w:bookmarkStart w:id="75" w:name="_Toc15804"/>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pPr>
        <w:pStyle w:val="6"/>
        <w:rPr>
          <w:rFonts w:hint="eastAsia" w:cs="Times New Roman"/>
          <w:color w:val="000000" w:themeColor="text1"/>
          <w:highlight w:val="none"/>
          <w:lang w:val="en-US" w:eastAsia="zh-CN"/>
          <w14:textFill>
            <w14:solidFill>
              <w14:schemeClr w14:val="tx1"/>
            </w14:solidFill>
          </w14:textFill>
        </w:rPr>
      </w:pPr>
      <w:bookmarkStart w:id="76" w:name="_Toc20420"/>
      <w:bookmarkStart w:id="77" w:name="_Toc29960"/>
      <w:bookmarkStart w:id="78" w:name="_Toc24168"/>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rPr>
          <w:rFonts w:cs="宋体"/>
          <w:b/>
          <w:color w:val="000000" w:themeColor="text1"/>
          <w:kern w:val="0"/>
          <w:sz w:val="24"/>
          <w:highlight w:val="none"/>
          <w14:textFill>
            <w14:solidFill>
              <w14:schemeClr w14:val="tx1"/>
            </w14:solidFill>
          </w14:textFill>
        </w:rPr>
      </w:pPr>
    </w:p>
    <w:p>
      <w:pPr>
        <w:pStyle w:val="32"/>
        <w:rPr>
          <w:color w:val="000000" w:themeColor="text1"/>
          <w:highlight w:val="none"/>
          <w14:textFill>
            <w14:solidFill>
              <w14:schemeClr w14:val="tx1"/>
            </w14:solidFill>
          </w14:textFill>
        </w:rPr>
      </w:pPr>
    </w:p>
    <w:p>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outlineLvl w:val="9"/>
        <w:rPr>
          <w:color w:val="000000" w:themeColor="text1"/>
          <w:highlight w:val="none"/>
          <w14:textFill>
            <w14:solidFill>
              <w14:schemeClr w14:val="tx1"/>
            </w14:solidFill>
          </w14:textFill>
        </w:rPr>
      </w:pPr>
    </w:p>
    <w:p>
      <w:pPr>
        <w:rPr>
          <w:rFonts w:hint="eastAsia" w:ascii="Arial" w:hAnsi="Arial" w:eastAsia="新宋体"/>
          <w:b/>
          <w:color w:val="000000" w:themeColor="text1"/>
          <w:sz w:val="28"/>
          <w:highlight w:val="none"/>
          <w14:textFill>
            <w14:solidFill>
              <w14:schemeClr w14:val="tx1"/>
            </w14:solidFill>
          </w14:textFill>
        </w:rPr>
      </w:pPr>
      <w:bookmarkStart w:id="79" w:name="_Toc31526"/>
      <w:bookmarkStart w:id="80" w:name="_Toc28621"/>
      <w:r>
        <w:rPr>
          <w:rFonts w:hint="eastAsia" w:ascii="Arial" w:hAnsi="Arial" w:eastAsia="新宋体"/>
          <w:b/>
          <w:color w:val="000000" w:themeColor="text1"/>
          <w:sz w:val="28"/>
          <w:highlight w:val="none"/>
          <w14:textFill>
            <w14:solidFill>
              <w14:schemeClr w14:val="tx1"/>
            </w14:solidFill>
          </w14:textFill>
        </w:rPr>
        <w:br w:type="page"/>
      </w:r>
    </w:p>
    <w:p>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30519"/>
      <w:bookmarkStart w:id="83" w:name="_Toc12939"/>
      <w:bookmarkStart w:id="84" w:name="_Toc13976"/>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3342"/>
      <w:bookmarkStart w:id="86" w:name="_Toc18105"/>
      <w:bookmarkStart w:id="87" w:name="_Toc24693"/>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pPr>
        <w:pStyle w:val="11"/>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9.2产品技术参数支持资料</w:t>
      </w:r>
    </w:p>
    <w:p>
      <w:pPr>
        <w:pStyle w:val="11"/>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6083"/>
      <w:bookmarkStart w:id="90" w:name="_Toc12888"/>
      <w:bookmarkStart w:id="91" w:name="_Toc13726"/>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pPr>
        <w:bidi w:val="0"/>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pPr>
        <w:pStyle w:val="32"/>
        <w:rPr>
          <w:rFonts w:ascii="宋体" w:hAnsi="宋体" w:cs="宋体"/>
          <w:color w:val="000000" w:themeColor="text1"/>
          <w:kern w:val="0"/>
          <w:szCs w:val="21"/>
          <w:highlight w:val="none"/>
          <w14:textFill>
            <w14:solidFill>
              <w14:schemeClr w14:val="tx1"/>
            </w14:solidFill>
          </w14:textFill>
        </w:rPr>
      </w:pPr>
    </w:p>
    <w:p>
      <w:pPr>
        <w:pStyle w:val="16"/>
        <w:rPr>
          <w:rFonts w:ascii="宋体" w:hAnsi="宋体" w:cs="宋体"/>
          <w:color w:val="000000" w:themeColor="text1"/>
          <w:kern w:val="0"/>
          <w:szCs w:val="2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pPr>
        <w:pStyle w:val="11"/>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000000" w:themeColor="text1"/>
          <w:highlight w:val="none"/>
          <w:lang w:eastAsia="zh-CN"/>
          <w14:textFill>
            <w14:solidFill>
              <w14:schemeClr w14:val="tx1"/>
            </w14:solidFill>
          </w14:textFill>
        </w:rPr>
      </w:pPr>
      <w:bookmarkStart w:id="92" w:name="_Toc31685"/>
      <w:bookmarkStart w:id="93" w:name="_Toc23394"/>
      <w:bookmarkStart w:id="94" w:name="_Toc25094"/>
    </w:p>
    <w:p>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pPr>
        <w:pStyle w:val="11"/>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驻马店市中心医院国家传染病智能监测预警前置软件服务器采购项目购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109276D5"/>
    <w:multiLevelType w:val="multilevel"/>
    <w:tmpl w:val="109276D5"/>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4AD02C3"/>
    <w:multiLevelType w:val="multilevel"/>
    <w:tmpl w:val="34AD02C3"/>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757608"/>
    <w:multiLevelType w:val="multilevel"/>
    <w:tmpl w:val="39757608"/>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39B41E4"/>
    <w:multiLevelType w:val="multilevel"/>
    <w:tmpl w:val="439B41E4"/>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8AC2BC3"/>
    <w:multiLevelType w:val="multilevel"/>
    <w:tmpl w:val="48AC2BC3"/>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E82091"/>
    <w:multiLevelType w:val="multilevel"/>
    <w:tmpl w:val="4CE82091"/>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098301F"/>
    <w:multiLevelType w:val="multilevel"/>
    <w:tmpl w:val="5098301F"/>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B6410A"/>
    <w:multiLevelType w:val="singleLevel"/>
    <w:tmpl w:val="59B6410A"/>
    <w:lvl w:ilvl="0" w:tentative="0">
      <w:start w:val="1"/>
      <w:numFmt w:val="decimal"/>
      <w:suff w:val="nothing"/>
      <w:lvlText w:val="（%1）"/>
      <w:lvlJc w:val="left"/>
    </w:lvl>
  </w:abstractNum>
  <w:abstractNum w:abstractNumId="9">
    <w:nsid w:val="5A565DB4"/>
    <w:multiLevelType w:val="multilevel"/>
    <w:tmpl w:val="5A565DB4"/>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FC26563"/>
    <w:multiLevelType w:val="multilevel"/>
    <w:tmpl w:val="5FC26563"/>
    <w:lvl w:ilvl="0" w:tentative="0">
      <w:start w:val="1"/>
      <w:numFmt w:val="decimal"/>
      <w:suff w:val="space"/>
      <w:lvlText w:val="%1."/>
      <w:lvlJc w:val="left"/>
      <w:pPr>
        <w:ind w:left="255" w:hanging="25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413B4A"/>
    <w:multiLevelType w:val="multilevel"/>
    <w:tmpl w:val="61413B4A"/>
    <w:lvl w:ilvl="0" w:tentative="0">
      <w:start w:val="1"/>
      <w:numFmt w:val="decimal"/>
      <w:suff w:val="nothing"/>
      <w:lvlText w:val="（%1）"/>
      <w:lvlJc w:val="left"/>
      <w:pPr>
        <w:ind w:left="1142" w:hanging="720"/>
      </w:pPr>
      <w:rPr>
        <w:rFonts w:hint="eastAsia"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8EE14A6"/>
    <w:multiLevelType w:val="multilevel"/>
    <w:tmpl w:val="78EE14A6"/>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lvlOverride w:ilvl="0">
      <w:startOverride w:val="1"/>
    </w:lvlOverride>
  </w:num>
  <w:num w:numId="2">
    <w:abstractNumId w:val="10"/>
    <w:lvlOverride w:ilvl="0">
      <w:startOverride w:val="1"/>
    </w:lvlOverride>
  </w:num>
  <w:num w:numId="3">
    <w:abstractNumId w:val="10"/>
    <w:lvlOverride w:ilvl="0">
      <w:startOverride w:val="1"/>
    </w:lvlOverride>
  </w:num>
  <w:num w:numId="4">
    <w:abstractNumId w:val="6"/>
  </w:num>
  <w:num w:numId="5">
    <w:abstractNumId w:val="9"/>
  </w:num>
  <w:num w:numId="6">
    <w:abstractNumId w:val="3"/>
  </w:num>
  <w:num w:numId="7">
    <w:abstractNumId w:val="5"/>
  </w:num>
  <w:num w:numId="8">
    <w:abstractNumId w:val="2"/>
  </w:num>
  <w:num w:numId="9">
    <w:abstractNumId w:val="7"/>
  </w:num>
  <w:num w:numId="10">
    <w:abstractNumId w:val="1"/>
  </w:num>
  <w:num w:numId="11">
    <w:abstractNumId w:val="4"/>
  </w:num>
  <w:num w:numId="12">
    <w:abstractNumId w:val="12"/>
  </w:num>
  <w:num w:numId="13">
    <w:abstractNumId w:val="1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50368"/>
    <w:rsid w:val="0A4F145F"/>
    <w:rsid w:val="0A8455AD"/>
    <w:rsid w:val="0AD13A85"/>
    <w:rsid w:val="0AE0655C"/>
    <w:rsid w:val="0B091954"/>
    <w:rsid w:val="0B3B7D65"/>
    <w:rsid w:val="0B434C20"/>
    <w:rsid w:val="0B5F0822"/>
    <w:rsid w:val="0B637D77"/>
    <w:rsid w:val="0B7006C4"/>
    <w:rsid w:val="0B726646"/>
    <w:rsid w:val="0B7606E8"/>
    <w:rsid w:val="0B860EB1"/>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6EDF"/>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0E3162"/>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2E79D9"/>
    <w:rsid w:val="1B4F2450"/>
    <w:rsid w:val="1B530868"/>
    <w:rsid w:val="1B6573E8"/>
    <w:rsid w:val="1B8C18B7"/>
    <w:rsid w:val="1BB73AE1"/>
    <w:rsid w:val="1BDA6D68"/>
    <w:rsid w:val="1BF14125"/>
    <w:rsid w:val="1C002CEE"/>
    <w:rsid w:val="1C36422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405E66"/>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AF7A81"/>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259B5"/>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904B95"/>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E56C09"/>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BC621D"/>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149E2"/>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3CA1"/>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23C20"/>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215758"/>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A929F4"/>
    <w:rsid w:val="70C759D3"/>
    <w:rsid w:val="70CD7E32"/>
    <w:rsid w:val="70CF2B23"/>
    <w:rsid w:val="70D70CB1"/>
    <w:rsid w:val="710952C1"/>
    <w:rsid w:val="713F70AB"/>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255799"/>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6F1947"/>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paragraph" w:customStyle="1" w:styleId="92">
    <w:name w:val="*正文"/>
    <w:basedOn w:val="1"/>
    <w:qFormat/>
    <w:uiPriority w:val="0"/>
    <w:pPr>
      <w:spacing w:line="360" w:lineRule="auto"/>
      <w:ind w:firstLine="200" w:firstLineChars="200"/>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19066</Words>
  <Characters>19955</Characters>
  <Lines>50</Lines>
  <Paragraphs>68</Paragraphs>
  <TotalTime>5</TotalTime>
  <ScaleCrop>false</ScaleCrop>
  <LinksUpToDate>false</LinksUpToDate>
  <CharactersWithSpaces>21016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2024-06-25T00:37:12Z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6B4FDCA957CB4E82998C2E32247B97ED_13</vt:lpwstr>
  </property>
</Properties>
</file>