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804073"/>
      <w:bookmarkEnd w:id="0"/>
      <w:bookmarkStart w:id="1" w:name="_Toc22953395"/>
      <w:bookmarkEnd w:id="1"/>
    </w:p>
    <w:p>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cs="宋体"/>
          <w:b/>
          <w:bCs/>
          <w:color w:val="auto"/>
          <w:sz w:val="44"/>
          <w:szCs w:val="44"/>
          <w:highlight w:val="none"/>
          <w:lang w:val="en-US" w:eastAsia="zh-CN"/>
        </w:rPr>
      </w:pPr>
      <w:r>
        <w:rPr>
          <w:rFonts w:hint="eastAsia" w:cs="宋体"/>
          <w:b/>
          <w:bCs/>
          <w:color w:val="auto"/>
          <w:sz w:val="44"/>
          <w:szCs w:val="44"/>
          <w:highlight w:val="none"/>
          <w:lang w:val="en-US" w:eastAsia="zh-CN"/>
        </w:rPr>
        <w:t>驻马店市中心医院手术器械（异物钳、取石网篮、胆道镜三通）供货采购项目</w:t>
      </w:r>
    </w:p>
    <w:p>
      <w:pPr>
        <w:pStyle w:val="20"/>
        <w:bidi w:val="0"/>
        <w:jc w:val="center"/>
        <w:rPr>
          <w:rStyle w:val="44"/>
          <w:rFonts w:hint="eastAsia" w:ascii="宋体" w:hAnsi="宋体" w:eastAsia="宋体" w:cs="宋体"/>
          <w:b/>
          <w:bCs/>
          <w:color w:val="auto"/>
          <w:sz w:val="48"/>
          <w:szCs w:val="48"/>
          <w:highlight w:val="none"/>
        </w:rPr>
      </w:pPr>
    </w:p>
    <w:p>
      <w:pPr>
        <w:pStyle w:val="20"/>
        <w:bidi w:val="0"/>
        <w:jc w:val="center"/>
        <w:rPr>
          <w:rStyle w:val="44"/>
          <w:rFonts w:hint="eastAsia" w:ascii="宋体" w:hAnsi="宋体" w:eastAsia="宋体" w:cs="宋体"/>
          <w:b/>
          <w:bCs/>
          <w:color w:val="auto"/>
          <w:sz w:val="48"/>
          <w:szCs w:val="48"/>
          <w:highlight w:val="none"/>
        </w:rPr>
      </w:pPr>
    </w:p>
    <w:p>
      <w:pPr>
        <w:pStyle w:val="20"/>
        <w:bidi w:val="0"/>
        <w:jc w:val="center"/>
        <w:rPr>
          <w:rStyle w:val="44"/>
          <w:rFonts w:hint="eastAsia" w:ascii="宋体" w:hAnsi="宋体" w:eastAsia="宋体" w:cs="宋体"/>
          <w:b/>
          <w:bCs/>
          <w:color w:val="auto"/>
          <w:sz w:val="48"/>
          <w:szCs w:val="48"/>
          <w:highlight w:val="none"/>
        </w:rPr>
      </w:pPr>
    </w:p>
    <w:p>
      <w:pPr>
        <w:pStyle w:val="20"/>
        <w:bidi w:val="0"/>
        <w:jc w:val="center"/>
        <w:rPr>
          <w:rStyle w:val="44"/>
          <w:rFonts w:hint="eastAsia" w:ascii="宋体" w:hAnsi="宋体" w:eastAsia="宋体" w:cs="宋体"/>
          <w:b/>
          <w:bCs/>
          <w:color w:val="auto"/>
          <w:sz w:val="48"/>
          <w:szCs w:val="48"/>
          <w:highlight w:val="none"/>
        </w:rPr>
      </w:pPr>
    </w:p>
    <w:p>
      <w:pPr>
        <w:pStyle w:val="20"/>
        <w:bidi w:val="0"/>
        <w:jc w:val="center"/>
        <w:rPr>
          <w:rStyle w:val="44"/>
          <w:rFonts w:hint="eastAsia" w:ascii="宋体" w:hAnsi="宋体" w:eastAsia="宋体" w:cs="宋体"/>
          <w:b/>
          <w:bCs/>
          <w:color w:val="auto"/>
          <w:szCs w:val="44"/>
          <w:highlight w:val="none"/>
        </w:rPr>
      </w:pPr>
      <w:r>
        <w:rPr>
          <w:rStyle w:val="44"/>
          <w:rFonts w:hint="eastAsia" w:cs="宋体"/>
          <w:b/>
          <w:bCs/>
          <w:color w:val="auto"/>
          <w:sz w:val="72"/>
          <w:szCs w:val="72"/>
          <w:highlight w:val="none"/>
          <w:lang w:val="en-US" w:eastAsia="zh-CN"/>
        </w:rPr>
        <w:t>采购</w:t>
      </w:r>
      <w:r>
        <w:rPr>
          <w:rStyle w:val="44"/>
          <w:rFonts w:hint="eastAsia" w:ascii="宋体" w:hAnsi="宋体" w:eastAsia="宋体" w:cs="宋体"/>
          <w:b/>
          <w:bCs/>
          <w:color w:val="auto"/>
          <w:sz w:val="72"/>
          <w:szCs w:val="72"/>
          <w:highlight w:val="none"/>
        </w:rPr>
        <w:t>文件</w:t>
      </w:r>
    </w:p>
    <w:p>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pPr>
        <w:snapToGrid w:val="0"/>
        <w:spacing w:line="380" w:lineRule="exact"/>
        <w:jc w:val="center"/>
        <w:rPr>
          <w:rFonts w:hint="eastAsia" w:ascii="宋体" w:hAnsi="宋体" w:eastAsia="宋体" w:cs="宋体"/>
          <w:b/>
          <w:color w:val="auto"/>
          <w:sz w:val="32"/>
          <w:szCs w:val="32"/>
          <w:highlight w:val="none"/>
        </w:rPr>
      </w:pPr>
    </w:p>
    <w:p>
      <w:pPr>
        <w:pStyle w:val="32"/>
        <w:rPr>
          <w:rFonts w:hint="eastAsia"/>
          <w:color w:val="auto"/>
          <w:highlight w:val="none"/>
        </w:rPr>
      </w:pPr>
    </w:p>
    <w:p>
      <w:pPr>
        <w:pStyle w:val="59"/>
        <w:rPr>
          <w:rFonts w:hint="eastAsia" w:ascii="宋体" w:hAnsi="宋体" w:eastAsia="宋体" w:cs="宋体"/>
          <w:bCs/>
          <w:color w:val="auto"/>
          <w:sz w:val="2"/>
          <w:szCs w:val="2"/>
          <w:highlight w:val="none"/>
        </w:rPr>
      </w:pPr>
    </w:p>
    <w:p>
      <w:pPr>
        <w:rPr>
          <w:rFonts w:hint="eastAsia" w:ascii="宋体" w:hAnsi="宋体" w:eastAsia="宋体" w:cs="宋体"/>
          <w:bCs/>
          <w:color w:val="auto"/>
          <w:sz w:val="2"/>
          <w:szCs w:val="2"/>
          <w:highlight w:val="none"/>
        </w:rPr>
      </w:pPr>
    </w:p>
    <w:p>
      <w:pPr>
        <w:spacing w:line="20" w:lineRule="exact"/>
        <w:rPr>
          <w:rFonts w:hint="eastAsia" w:ascii="宋体" w:hAnsi="宋体" w:eastAsia="宋体" w:cs="宋体"/>
          <w:bCs/>
          <w:color w:val="auto"/>
          <w:sz w:val="2"/>
          <w:szCs w:val="2"/>
          <w:highlight w:val="none"/>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10"/>
          <w:sz w:val="34"/>
          <w:szCs w:val="34"/>
          <w:highlight w:val="none"/>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80"/>
          <w:sz w:val="34"/>
          <w:szCs w:val="34"/>
          <w:highlight w:val="none"/>
        </w:rPr>
      </w:pPr>
      <w:r>
        <w:rPr>
          <w:rFonts w:hint="eastAsia" w:ascii="宋体" w:hAnsi="宋体" w:eastAsia="宋体" w:cs="宋体"/>
          <w:b/>
          <w:bCs/>
          <w:color w:val="auto"/>
          <w:spacing w:val="-10"/>
          <w:sz w:val="34"/>
          <w:szCs w:val="34"/>
          <w:highlight w:val="none"/>
          <w:lang w:val="en-US" w:eastAsia="zh-CN"/>
        </w:rPr>
        <w:t>采 购</w:t>
      </w:r>
      <w:r>
        <w:rPr>
          <w:rFonts w:hint="eastAsia" w:ascii="宋体" w:hAnsi="宋体" w:eastAsia="宋体" w:cs="宋体"/>
          <w:b/>
          <w:bCs/>
          <w:color w:val="auto"/>
          <w:spacing w:val="-10"/>
          <w:sz w:val="34"/>
          <w:szCs w:val="34"/>
          <w:highlight w:val="none"/>
        </w:rPr>
        <w:t xml:space="preserve"> 人：驻马店市中心医院</w:t>
      </w:r>
    </w:p>
    <w:p>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color w:val="auto"/>
          <w:spacing w:val="40"/>
          <w:sz w:val="34"/>
          <w:szCs w:val="34"/>
          <w:highlight w:val="none"/>
          <w:lang w:val="en-US" w:eastAsia="zh-CN"/>
        </w:rPr>
        <w:t>202</w:t>
      </w:r>
      <w:r>
        <w:rPr>
          <w:rFonts w:hint="eastAsia" w:ascii="宋体" w:hAnsi="宋体" w:cs="宋体"/>
          <w:b/>
          <w:bCs/>
          <w:color w:val="auto"/>
          <w:spacing w:val="40"/>
          <w:sz w:val="34"/>
          <w:szCs w:val="34"/>
          <w:highlight w:val="none"/>
          <w:lang w:val="en-US" w:eastAsia="zh-CN"/>
        </w:rPr>
        <w:t>4</w:t>
      </w:r>
      <w:r>
        <w:rPr>
          <w:rFonts w:hint="eastAsia" w:ascii="宋体" w:hAnsi="宋体" w:eastAsia="宋体" w:cs="宋体"/>
          <w:b/>
          <w:bCs/>
          <w:color w:val="auto"/>
          <w:spacing w:val="40"/>
          <w:sz w:val="34"/>
          <w:szCs w:val="34"/>
          <w:highlight w:val="none"/>
        </w:rPr>
        <w:t>年</w:t>
      </w:r>
      <w:r>
        <w:rPr>
          <w:rFonts w:hint="eastAsia" w:ascii="宋体" w:hAnsi="宋体" w:cs="宋体"/>
          <w:b/>
          <w:bCs/>
          <w:color w:val="auto"/>
          <w:spacing w:val="40"/>
          <w:sz w:val="34"/>
          <w:szCs w:val="34"/>
          <w:highlight w:val="none"/>
          <w:lang w:val="en-US" w:eastAsia="zh-CN"/>
        </w:rPr>
        <w:t>06</w:t>
      </w:r>
      <w:r>
        <w:rPr>
          <w:rFonts w:hint="eastAsia" w:ascii="宋体" w:hAnsi="宋体" w:eastAsia="宋体" w:cs="宋体"/>
          <w:b/>
          <w:bCs/>
          <w:color w:val="auto"/>
          <w:spacing w:val="40"/>
          <w:sz w:val="34"/>
          <w:szCs w:val="34"/>
          <w:highlight w:val="none"/>
        </w:rPr>
        <w:t>月</w:t>
      </w:r>
    </w:p>
    <w:p>
      <w:pPr>
        <w:rPr>
          <w:rFonts w:ascii="宋体" w:hAnsi="宋体"/>
          <w:bCs/>
          <w:color w:val="auto"/>
          <w:sz w:val="24"/>
          <w:highlight w:val="none"/>
        </w:rPr>
      </w:pPr>
    </w:p>
    <w:p>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pPr>
        <w:pStyle w:val="53"/>
        <w:rPr>
          <w:color w:val="auto"/>
          <w:highlight w:val="none"/>
        </w:rPr>
      </w:pPr>
    </w:p>
    <w:p>
      <w:pPr>
        <w:pStyle w:val="25"/>
        <w:keepNext w:val="0"/>
        <w:keepLines w:val="0"/>
        <w:pageBreakBefore w:val="0"/>
        <w:tabs>
          <w:tab w:val="right" w:leader="dot" w:pos="8958"/>
        </w:tabs>
        <w:kinsoku/>
        <w:wordWrap/>
        <w:overflowPunct/>
        <w:topLinePunct w:val="0"/>
        <w:autoSpaceDE/>
        <w:autoSpaceDN/>
        <w:bidi w:val="0"/>
        <w:adjustRightInd/>
        <w:spacing w:line="360" w:lineRule="auto"/>
        <w:textAlignment w:val="auto"/>
        <w:rPr>
          <w:color w:val="auto"/>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rFonts w:hint="eastAsia" w:ascii="宋体" w:hAnsi="宋体" w:cs="宋体"/>
          <w:bCs/>
          <w:color w:val="auto"/>
          <w:szCs w:val="32"/>
          <w:highlight w:val="none"/>
        </w:rPr>
        <w:fldChar w:fldCharType="begin"/>
      </w:r>
      <w:r>
        <w:rPr>
          <w:rFonts w:hint="eastAsia" w:ascii="宋体" w:hAnsi="宋体" w:cs="宋体"/>
          <w:bCs/>
          <w:color w:val="auto"/>
          <w:szCs w:val="32"/>
          <w:highlight w:val="none"/>
        </w:rPr>
        <w:instrText xml:space="preserve"> HYPERLINK \l _Toc22821 </w:instrText>
      </w:r>
      <w:r>
        <w:rPr>
          <w:rFonts w:hint="eastAsia" w:ascii="宋体" w:hAnsi="宋体" w:cs="宋体"/>
          <w:bCs/>
          <w:color w:val="auto"/>
          <w:szCs w:val="32"/>
          <w:highlight w:val="none"/>
        </w:rPr>
        <w:fldChar w:fldCharType="separate"/>
      </w:r>
      <w:r>
        <w:rPr>
          <w:rFonts w:hint="eastAsia" w:ascii="宋体" w:hAnsi="宋体"/>
          <w:color w:val="auto"/>
          <w:szCs w:val="32"/>
          <w:highlight w:val="none"/>
        </w:rPr>
        <w:t xml:space="preserve">第一章  </w:t>
      </w:r>
      <w:r>
        <w:rPr>
          <w:rFonts w:hint="eastAsia" w:ascii="宋体" w:hAnsi="宋体"/>
          <w:color w:val="auto"/>
          <w:szCs w:val="32"/>
          <w:highlight w:val="none"/>
          <w:lang w:val="en-US" w:eastAsia="zh-CN"/>
        </w:rPr>
        <w:t>竞争性磋商采购</w:t>
      </w:r>
      <w:r>
        <w:rPr>
          <w:rFonts w:hint="eastAsia" w:ascii="宋体" w:hAnsi="宋体"/>
          <w:color w:val="auto"/>
          <w:szCs w:val="32"/>
          <w:highlight w:val="none"/>
        </w:rPr>
        <w:t>公告</w:t>
      </w:r>
      <w:r>
        <w:rPr>
          <w:color w:val="auto"/>
          <w:highlight w:val="none"/>
        </w:rPr>
        <w:tab/>
      </w:r>
      <w:r>
        <w:rPr>
          <w:color w:val="auto"/>
          <w:highlight w:val="none"/>
        </w:rPr>
        <w:fldChar w:fldCharType="begin"/>
      </w:r>
      <w:r>
        <w:rPr>
          <w:color w:val="auto"/>
          <w:highlight w:val="none"/>
        </w:rPr>
        <w:instrText xml:space="preserve"> PAGEREF _Toc22821 \h </w:instrText>
      </w:r>
      <w:r>
        <w:rPr>
          <w:color w:val="auto"/>
          <w:highlight w:val="none"/>
        </w:rPr>
        <w:fldChar w:fldCharType="separate"/>
      </w:r>
      <w:r>
        <w:rPr>
          <w:color w:val="auto"/>
          <w:highlight w:val="none"/>
        </w:rPr>
        <w:t>2</w:t>
      </w:r>
      <w:r>
        <w:rPr>
          <w:color w:val="auto"/>
          <w:highlight w:val="none"/>
        </w:rPr>
        <w:fldChar w:fldCharType="end"/>
      </w:r>
      <w:r>
        <w:rPr>
          <w:rFonts w:hint="eastAsia" w:ascii="宋体" w:hAnsi="宋体" w:cs="宋体"/>
          <w:bCs/>
          <w:color w:val="auto"/>
          <w:szCs w:val="32"/>
          <w:highlight w:val="none"/>
        </w:rPr>
        <w:fldChar w:fldCharType="end"/>
      </w:r>
    </w:p>
    <w:p>
      <w:pPr>
        <w:pStyle w:val="25"/>
        <w:keepNext w:val="0"/>
        <w:keepLines w:val="0"/>
        <w:pageBreakBefore w:val="0"/>
        <w:tabs>
          <w:tab w:val="right" w:leader="dot" w:pos="8958"/>
        </w:tabs>
        <w:kinsoku/>
        <w:wordWrap/>
        <w:overflowPunct/>
        <w:topLinePunct w:val="0"/>
        <w:autoSpaceDE/>
        <w:autoSpaceDN/>
        <w:bidi w:val="0"/>
        <w:adjustRightInd/>
        <w:spacing w:line="360" w:lineRule="auto"/>
        <w:textAlignment w:val="auto"/>
        <w:rPr>
          <w:color w:val="auto"/>
          <w:highlight w:val="none"/>
        </w:rPr>
      </w:pPr>
      <w:r>
        <w:rPr>
          <w:rFonts w:hint="eastAsia" w:ascii="宋体" w:hAnsi="宋体" w:cs="宋体"/>
          <w:bCs/>
          <w:color w:val="auto"/>
          <w:szCs w:val="32"/>
          <w:highlight w:val="none"/>
        </w:rPr>
        <w:fldChar w:fldCharType="begin"/>
      </w:r>
      <w:r>
        <w:rPr>
          <w:rFonts w:hint="eastAsia" w:ascii="宋体" w:hAnsi="宋体" w:cs="宋体"/>
          <w:bCs/>
          <w:color w:val="auto"/>
          <w:szCs w:val="32"/>
          <w:highlight w:val="none"/>
        </w:rPr>
        <w:instrText xml:space="preserve"> HYPERLINK \l _Toc17552 </w:instrText>
      </w:r>
      <w:r>
        <w:rPr>
          <w:rFonts w:hint="eastAsia" w:ascii="宋体" w:hAnsi="宋体" w:cs="宋体"/>
          <w:bCs/>
          <w:color w:val="auto"/>
          <w:szCs w:val="32"/>
          <w:highlight w:val="none"/>
        </w:rPr>
        <w:fldChar w:fldCharType="separate"/>
      </w:r>
      <w:r>
        <w:rPr>
          <w:rFonts w:hint="eastAsia" w:ascii="宋体" w:hAnsi="宋体"/>
          <w:color w:val="auto"/>
          <w:szCs w:val="32"/>
          <w:highlight w:val="none"/>
        </w:rPr>
        <w:t xml:space="preserve">第二章  </w:t>
      </w:r>
      <w:r>
        <w:rPr>
          <w:rFonts w:hint="eastAsia" w:ascii="宋体" w:hAnsi="宋体"/>
          <w:color w:val="auto"/>
          <w:szCs w:val="32"/>
          <w:highlight w:val="none"/>
          <w:lang w:eastAsia="zh-CN"/>
        </w:rPr>
        <w:t>采购</w:t>
      </w:r>
      <w:r>
        <w:rPr>
          <w:rFonts w:hint="eastAsia" w:ascii="宋体" w:hAnsi="宋体"/>
          <w:color w:val="auto"/>
          <w:szCs w:val="32"/>
          <w:highlight w:val="none"/>
        </w:rPr>
        <w:t>需求</w:t>
      </w:r>
      <w:r>
        <w:rPr>
          <w:color w:val="auto"/>
          <w:highlight w:val="none"/>
        </w:rPr>
        <w:tab/>
      </w:r>
      <w:r>
        <w:rPr>
          <w:color w:val="auto"/>
          <w:highlight w:val="none"/>
        </w:rPr>
        <w:fldChar w:fldCharType="begin"/>
      </w:r>
      <w:r>
        <w:rPr>
          <w:color w:val="auto"/>
          <w:highlight w:val="none"/>
        </w:rPr>
        <w:instrText xml:space="preserve"> PAGEREF _Toc17552 \h </w:instrText>
      </w:r>
      <w:r>
        <w:rPr>
          <w:color w:val="auto"/>
          <w:highlight w:val="none"/>
        </w:rPr>
        <w:fldChar w:fldCharType="separate"/>
      </w:r>
      <w:r>
        <w:rPr>
          <w:color w:val="auto"/>
          <w:highlight w:val="none"/>
        </w:rPr>
        <w:t>3</w:t>
      </w:r>
      <w:r>
        <w:rPr>
          <w:color w:val="auto"/>
          <w:highlight w:val="none"/>
        </w:rPr>
        <w:fldChar w:fldCharType="end"/>
      </w:r>
      <w:r>
        <w:rPr>
          <w:rFonts w:hint="eastAsia" w:ascii="宋体" w:hAnsi="宋体" w:cs="宋体"/>
          <w:bCs/>
          <w:color w:val="auto"/>
          <w:szCs w:val="32"/>
          <w:highlight w:val="none"/>
        </w:rPr>
        <w:fldChar w:fldCharType="end"/>
      </w:r>
    </w:p>
    <w:p>
      <w:pPr>
        <w:pStyle w:val="25"/>
        <w:keepNext w:val="0"/>
        <w:keepLines w:val="0"/>
        <w:pageBreakBefore w:val="0"/>
        <w:tabs>
          <w:tab w:val="right" w:leader="dot" w:pos="8958"/>
        </w:tabs>
        <w:kinsoku/>
        <w:wordWrap/>
        <w:overflowPunct/>
        <w:topLinePunct w:val="0"/>
        <w:autoSpaceDE/>
        <w:autoSpaceDN/>
        <w:bidi w:val="0"/>
        <w:adjustRightInd/>
        <w:spacing w:line="360" w:lineRule="auto"/>
        <w:textAlignment w:val="auto"/>
        <w:rPr>
          <w:color w:val="auto"/>
          <w:highlight w:val="none"/>
        </w:rPr>
      </w:pPr>
      <w:r>
        <w:rPr>
          <w:rFonts w:hint="eastAsia" w:ascii="宋体" w:hAnsi="宋体" w:cs="宋体"/>
          <w:bCs/>
          <w:color w:val="auto"/>
          <w:szCs w:val="32"/>
          <w:highlight w:val="none"/>
        </w:rPr>
        <w:fldChar w:fldCharType="begin"/>
      </w:r>
      <w:r>
        <w:rPr>
          <w:rFonts w:hint="eastAsia" w:ascii="宋体" w:hAnsi="宋体" w:cs="宋体"/>
          <w:bCs/>
          <w:color w:val="auto"/>
          <w:szCs w:val="32"/>
          <w:highlight w:val="none"/>
        </w:rPr>
        <w:instrText xml:space="preserve"> HYPERLINK \l _Toc16791 </w:instrText>
      </w:r>
      <w:r>
        <w:rPr>
          <w:rFonts w:hint="eastAsia" w:ascii="宋体" w:hAnsi="宋体" w:cs="宋体"/>
          <w:bCs/>
          <w:color w:val="auto"/>
          <w:szCs w:val="32"/>
          <w:highlight w:val="none"/>
        </w:rPr>
        <w:fldChar w:fldCharType="separate"/>
      </w:r>
      <w:r>
        <w:rPr>
          <w:rFonts w:hint="eastAsia"/>
          <w:bCs/>
          <w:color w:val="auto"/>
          <w:szCs w:val="32"/>
          <w:highlight w:val="none"/>
        </w:rPr>
        <w:t xml:space="preserve">第三章  </w:t>
      </w:r>
      <w:r>
        <w:rPr>
          <w:rFonts w:hint="eastAsia"/>
          <w:bCs/>
          <w:color w:val="auto"/>
          <w:szCs w:val="32"/>
          <w:highlight w:val="none"/>
          <w:lang w:eastAsia="zh-CN"/>
        </w:rPr>
        <w:t>供应商</w:t>
      </w:r>
      <w:r>
        <w:rPr>
          <w:rFonts w:hint="eastAsia"/>
          <w:bCs/>
          <w:color w:val="auto"/>
          <w:szCs w:val="32"/>
          <w:highlight w:val="none"/>
        </w:rPr>
        <w:t>须知</w:t>
      </w:r>
      <w:r>
        <w:rPr>
          <w:color w:val="auto"/>
          <w:highlight w:val="none"/>
        </w:rPr>
        <w:tab/>
      </w:r>
      <w:r>
        <w:rPr>
          <w:color w:val="auto"/>
          <w:highlight w:val="none"/>
        </w:rPr>
        <w:fldChar w:fldCharType="begin"/>
      </w:r>
      <w:r>
        <w:rPr>
          <w:color w:val="auto"/>
          <w:highlight w:val="none"/>
        </w:rPr>
        <w:instrText xml:space="preserve"> PAGEREF _Toc16791 \h </w:instrText>
      </w:r>
      <w:r>
        <w:rPr>
          <w:color w:val="auto"/>
          <w:highlight w:val="none"/>
        </w:rPr>
        <w:fldChar w:fldCharType="separate"/>
      </w:r>
      <w:r>
        <w:rPr>
          <w:color w:val="auto"/>
          <w:highlight w:val="none"/>
        </w:rPr>
        <w:t>6</w:t>
      </w:r>
      <w:r>
        <w:rPr>
          <w:color w:val="auto"/>
          <w:highlight w:val="none"/>
        </w:rPr>
        <w:fldChar w:fldCharType="end"/>
      </w:r>
      <w:r>
        <w:rPr>
          <w:rFonts w:hint="eastAsia" w:ascii="宋体" w:hAnsi="宋体" w:cs="宋体"/>
          <w:bCs/>
          <w:color w:val="auto"/>
          <w:szCs w:val="32"/>
          <w:highlight w:val="none"/>
        </w:rPr>
        <w:fldChar w:fldCharType="end"/>
      </w:r>
    </w:p>
    <w:p>
      <w:pPr>
        <w:pStyle w:val="25"/>
        <w:keepNext w:val="0"/>
        <w:keepLines w:val="0"/>
        <w:pageBreakBefore w:val="0"/>
        <w:tabs>
          <w:tab w:val="right" w:leader="dot" w:pos="8958"/>
        </w:tabs>
        <w:kinsoku/>
        <w:wordWrap/>
        <w:overflowPunct/>
        <w:topLinePunct w:val="0"/>
        <w:autoSpaceDE/>
        <w:autoSpaceDN/>
        <w:bidi w:val="0"/>
        <w:adjustRightInd/>
        <w:spacing w:line="360" w:lineRule="auto"/>
        <w:textAlignment w:val="auto"/>
        <w:rPr>
          <w:color w:val="auto"/>
          <w:highlight w:val="none"/>
        </w:rPr>
      </w:pPr>
      <w:r>
        <w:rPr>
          <w:rFonts w:hint="eastAsia" w:ascii="宋体" w:hAnsi="宋体" w:cs="宋体"/>
          <w:bCs/>
          <w:color w:val="auto"/>
          <w:szCs w:val="32"/>
          <w:highlight w:val="none"/>
        </w:rPr>
        <w:fldChar w:fldCharType="begin"/>
      </w:r>
      <w:r>
        <w:rPr>
          <w:rFonts w:hint="eastAsia" w:ascii="宋体" w:hAnsi="宋体" w:cs="宋体"/>
          <w:bCs/>
          <w:color w:val="auto"/>
          <w:szCs w:val="32"/>
          <w:highlight w:val="none"/>
        </w:rPr>
        <w:instrText xml:space="preserve"> HYPERLINK \l _Toc16473 </w:instrText>
      </w:r>
      <w:r>
        <w:rPr>
          <w:rFonts w:hint="eastAsia" w:ascii="宋体" w:hAnsi="宋体" w:cs="宋体"/>
          <w:bCs/>
          <w:color w:val="auto"/>
          <w:szCs w:val="32"/>
          <w:highlight w:val="none"/>
        </w:rPr>
        <w:fldChar w:fldCharType="separate"/>
      </w:r>
      <w:r>
        <w:rPr>
          <w:rFonts w:hint="eastAsia" w:ascii="宋体" w:hAnsi="宋体" w:eastAsia="宋体" w:cs="宋体"/>
          <w:bCs/>
          <w:color w:val="auto"/>
          <w:kern w:val="0"/>
          <w:szCs w:val="32"/>
          <w:highlight w:val="none"/>
        </w:rPr>
        <w:t>第四章  评标办法及评分标准</w:t>
      </w:r>
      <w:r>
        <w:rPr>
          <w:color w:val="auto"/>
          <w:highlight w:val="none"/>
        </w:rPr>
        <w:tab/>
      </w:r>
      <w:r>
        <w:rPr>
          <w:color w:val="auto"/>
          <w:highlight w:val="none"/>
        </w:rPr>
        <w:fldChar w:fldCharType="begin"/>
      </w:r>
      <w:r>
        <w:rPr>
          <w:color w:val="auto"/>
          <w:highlight w:val="none"/>
        </w:rPr>
        <w:instrText xml:space="preserve"> PAGEREF _Toc16473 \h </w:instrText>
      </w:r>
      <w:r>
        <w:rPr>
          <w:color w:val="auto"/>
          <w:highlight w:val="none"/>
        </w:rPr>
        <w:fldChar w:fldCharType="separate"/>
      </w:r>
      <w:r>
        <w:rPr>
          <w:color w:val="auto"/>
          <w:highlight w:val="none"/>
        </w:rPr>
        <w:t>16</w:t>
      </w:r>
      <w:r>
        <w:rPr>
          <w:color w:val="auto"/>
          <w:highlight w:val="none"/>
        </w:rPr>
        <w:fldChar w:fldCharType="end"/>
      </w:r>
      <w:r>
        <w:rPr>
          <w:rFonts w:hint="eastAsia" w:ascii="宋体" w:hAnsi="宋体" w:cs="宋体"/>
          <w:bCs/>
          <w:color w:val="auto"/>
          <w:szCs w:val="32"/>
          <w:highlight w:val="none"/>
        </w:rPr>
        <w:fldChar w:fldCharType="end"/>
      </w:r>
    </w:p>
    <w:p>
      <w:pPr>
        <w:pStyle w:val="25"/>
        <w:keepNext w:val="0"/>
        <w:keepLines w:val="0"/>
        <w:pageBreakBefore w:val="0"/>
        <w:tabs>
          <w:tab w:val="right" w:leader="dot" w:pos="8958"/>
        </w:tabs>
        <w:kinsoku/>
        <w:wordWrap/>
        <w:overflowPunct/>
        <w:topLinePunct w:val="0"/>
        <w:autoSpaceDE/>
        <w:autoSpaceDN/>
        <w:bidi w:val="0"/>
        <w:adjustRightInd/>
        <w:spacing w:line="360" w:lineRule="auto"/>
        <w:textAlignment w:val="auto"/>
        <w:rPr>
          <w:color w:val="auto"/>
          <w:highlight w:val="none"/>
        </w:rPr>
      </w:pPr>
      <w:r>
        <w:rPr>
          <w:rFonts w:hint="eastAsia" w:ascii="宋体" w:hAnsi="宋体" w:cs="宋体"/>
          <w:bCs/>
          <w:color w:val="auto"/>
          <w:szCs w:val="32"/>
          <w:highlight w:val="none"/>
        </w:rPr>
        <w:fldChar w:fldCharType="begin"/>
      </w:r>
      <w:r>
        <w:rPr>
          <w:rFonts w:hint="eastAsia" w:ascii="宋体" w:hAnsi="宋体" w:cs="宋体"/>
          <w:bCs/>
          <w:color w:val="auto"/>
          <w:szCs w:val="32"/>
          <w:highlight w:val="none"/>
        </w:rPr>
        <w:instrText xml:space="preserve"> HYPERLINK \l _Toc1638 </w:instrText>
      </w:r>
      <w:r>
        <w:rPr>
          <w:rFonts w:hint="eastAsia" w:ascii="宋体" w:hAnsi="宋体" w:cs="宋体"/>
          <w:bCs/>
          <w:color w:val="auto"/>
          <w:szCs w:val="32"/>
          <w:highlight w:val="none"/>
        </w:rPr>
        <w:fldChar w:fldCharType="separate"/>
      </w:r>
      <w:r>
        <w:rPr>
          <w:rFonts w:hint="eastAsia"/>
          <w:color w:val="auto"/>
          <w:szCs w:val="28"/>
          <w:highlight w:val="none"/>
        </w:rPr>
        <w:t>第五章  采购合同</w:t>
      </w:r>
      <w:r>
        <w:rPr>
          <w:color w:val="auto"/>
          <w:highlight w:val="none"/>
        </w:rPr>
        <w:tab/>
      </w:r>
      <w:r>
        <w:rPr>
          <w:color w:val="auto"/>
          <w:highlight w:val="none"/>
        </w:rPr>
        <w:fldChar w:fldCharType="begin"/>
      </w:r>
      <w:r>
        <w:rPr>
          <w:color w:val="auto"/>
          <w:highlight w:val="none"/>
        </w:rPr>
        <w:instrText xml:space="preserve"> PAGEREF _Toc1638 \h </w:instrText>
      </w:r>
      <w:r>
        <w:rPr>
          <w:color w:val="auto"/>
          <w:highlight w:val="none"/>
        </w:rPr>
        <w:fldChar w:fldCharType="separate"/>
      </w:r>
      <w:r>
        <w:rPr>
          <w:color w:val="auto"/>
          <w:highlight w:val="none"/>
        </w:rPr>
        <w:t>18</w:t>
      </w:r>
      <w:r>
        <w:rPr>
          <w:color w:val="auto"/>
          <w:highlight w:val="none"/>
        </w:rPr>
        <w:fldChar w:fldCharType="end"/>
      </w:r>
      <w:r>
        <w:rPr>
          <w:rFonts w:hint="eastAsia" w:ascii="宋体" w:hAnsi="宋体" w:cs="宋体"/>
          <w:bCs/>
          <w:color w:val="auto"/>
          <w:szCs w:val="32"/>
          <w:highlight w:val="none"/>
        </w:rPr>
        <w:fldChar w:fldCharType="end"/>
      </w:r>
    </w:p>
    <w:p>
      <w:pPr>
        <w:pStyle w:val="25"/>
        <w:keepNext w:val="0"/>
        <w:keepLines w:val="0"/>
        <w:pageBreakBefore w:val="0"/>
        <w:tabs>
          <w:tab w:val="right" w:leader="dot" w:pos="8958"/>
        </w:tabs>
        <w:kinsoku/>
        <w:wordWrap/>
        <w:overflowPunct/>
        <w:topLinePunct w:val="0"/>
        <w:autoSpaceDE/>
        <w:autoSpaceDN/>
        <w:bidi w:val="0"/>
        <w:adjustRightInd/>
        <w:spacing w:line="360" w:lineRule="auto"/>
        <w:textAlignment w:val="auto"/>
        <w:rPr>
          <w:color w:val="auto"/>
          <w:highlight w:val="none"/>
        </w:rPr>
      </w:pPr>
      <w:r>
        <w:rPr>
          <w:rFonts w:hint="eastAsia" w:ascii="宋体" w:hAnsi="宋体" w:cs="宋体"/>
          <w:bCs/>
          <w:color w:val="auto"/>
          <w:szCs w:val="32"/>
          <w:highlight w:val="none"/>
        </w:rPr>
        <w:fldChar w:fldCharType="begin"/>
      </w:r>
      <w:r>
        <w:rPr>
          <w:rFonts w:hint="eastAsia" w:ascii="宋体" w:hAnsi="宋体" w:cs="宋体"/>
          <w:bCs/>
          <w:color w:val="auto"/>
          <w:szCs w:val="32"/>
          <w:highlight w:val="none"/>
        </w:rPr>
        <w:instrText xml:space="preserve"> HYPERLINK \l _Toc5963 </w:instrText>
      </w:r>
      <w:r>
        <w:rPr>
          <w:rFonts w:hint="eastAsia" w:ascii="宋体" w:hAnsi="宋体" w:cs="宋体"/>
          <w:bCs/>
          <w:color w:val="auto"/>
          <w:szCs w:val="32"/>
          <w:highlight w:val="none"/>
        </w:rPr>
        <w:fldChar w:fldCharType="separate"/>
      </w:r>
      <w:r>
        <w:rPr>
          <w:rFonts w:hint="eastAsia"/>
          <w:color w:val="auto"/>
          <w:szCs w:val="32"/>
          <w:highlight w:val="none"/>
        </w:rPr>
        <w:t>第六章  投标文件格式</w:t>
      </w:r>
      <w:r>
        <w:rPr>
          <w:color w:val="auto"/>
          <w:highlight w:val="none"/>
        </w:rPr>
        <w:tab/>
      </w:r>
      <w:r>
        <w:rPr>
          <w:color w:val="auto"/>
          <w:highlight w:val="none"/>
        </w:rPr>
        <w:fldChar w:fldCharType="begin"/>
      </w:r>
      <w:r>
        <w:rPr>
          <w:color w:val="auto"/>
          <w:highlight w:val="none"/>
        </w:rPr>
        <w:instrText xml:space="preserve"> PAGEREF _Toc5963 \h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cs="宋体"/>
          <w:bCs/>
          <w:color w:val="auto"/>
          <w:szCs w:val="32"/>
          <w:highlight w:val="none"/>
        </w:rPr>
        <w:fldChar w:fldCharType="end"/>
      </w:r>
    </w:p>
    <w:p>
      <w:pPr>
        <w:pStyle w:val="83"/>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ascii="宋体" w:hAnsi="宋体" w:cs="宋体"/>
          <w:color w:val="auto"/>
          <w:sz w:val="32"/>
          <w:szCs w:val="32"/>
          <w:highlight w:val="none"/>
        </w:rPr>
      </w:pPr>
      <w:r>
        <w:rPr>
          <w:rFonts w:hint="eastAsia" w:ascii="宋体" w:hAnsi="宋体" w:cs="宋体"/>
          <w:bCs/>
          <w:color w:val="auto"/>
          <w:szCs w:val="32"/>
          <w:highlight w:val="none"/>
        </w:rPr>
        <w:fldChar w:fldCharType="end"/>
      </w:r>
    </w:p>
    <w:p>
      <w:pPr>
        <w:spacing w:line="440" w:lineRule="exact"/>
        <w:rPr>
          <w:rFonts w:ascii="宋体" w:hAnsi="宋体"/>
          <w:b/>
          <w:color w:val="auto"/>
          <w:sz w:val="32"/>
          <w:szCs w:val="32"/>
          <w:highlight w:val="none"/>
        </w:rPr>
      </w:pPr>
    </w:p>
    <w:p>
      <w:pPr>
        <w:spacing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spacing w:line="360" w:lineRule="auto"/>
        <w:jc w:val="center"/>
        <w:outlineLvl w:val="0"/>
        <w:rPr>
          <w:rFonts w:ascii="宋体" w:hAnsi="宋体"/>
          <w:b/>
          <w:color w:val="auto"/>
          <w:sz w:val="32"/>
          <w:szCs w:val="32"/>
          <w:highlight w:val="none"/>
        </w:rPr>
      </w:pPr>
      <w:bookmarkStart w:id="2" w:name="_Toc22821"/>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afterAutospacing="0" w:line="360"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cs="宋体"/>
          <w:b/>
          <w:bCs w:val="0"/>
          <w:color w:val="auto"/>
          <w:kern w:val="0"/>
          <w:sz w:val="28"/>
          <w:szCs w:val="28"/>
          <w:highlight w:val="none"/>
          <w:u w:val="none"/>
          <w:lang w:val="en-US" w:eastAsia="zh-CN"/>
        </w:rPr>
        <w:t>驻马店市中心医院手术器械（异物钳、取石网篮、胆道镜三通）供货采购项目</w:t>
      </w: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cs="宋体"/>
          <w:color w:val="auto"/>
          <w:lang w:eastAsia="zh-CN"/>
        </w:rPr>
        <w:t>手术器械（异物钳、取石网篮、胆道镜三通）供货采购项目</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eastAsia="zh-CN"/>
        </w:rPr>
        <w:t>手术器械（异物钳、取石网篮、胆道镜三通）供货采购项目</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46万元；</w:t>
      </w:r>
    </w:p>
    <w:p>
      <w:pPr>
        <w:widowControl/>
        <w:tabs>
          <w:tab w:val="left" w:pos="840"/>
        </w:tabs>
        <w:snapToGrid w:val="0"/>
        <w:spacing w:line="360" w:lineRule="auto"/>
        <w:ind w:firstLine="420" w:firstLineChars="200"/>
        <w:jc w:val="left"/>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合同期限</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一年；</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、质量要求：符合国家现行标准要求</w:t>
      </w:r>
      <w:r>
        <w:rPr>
          <w:rFonts w:hint="eastAsia" w:ascii="宋体" w:hAnsi="宋体" w:eastAsia="宋体" w:cs="宋体"/>
          <w:color w:val="auto"/>
          <w:szCs w:val="21"/>
          <w:highlight w:val="none"/>
          <w:shd w:val="clear" w:color="auto" w:fill="FFFFFF"/>
          <w:lang w:eastAsia="zh-CN"/>
        </w:rPr>
        <w:t>。</w:t>
      </w:r>
    </w:p>
    <w:p>
      <w:pPr>
        <w:keepNext w:val="0"/>
        <w:keepLines w:val="0"/>
        <w:widowControl/>
        <w:snapToGrid w:val="0"/>
        <w:spacing w:before="0" w:after="0" w:line="360" w:lineRule="auto"/>
        <w:jc w:val="left"/>
        <w:outlineLvl w:val="1"/>
        <w:rPr>
          <w:rFonts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pPr>
      <w:bookmarkStart w:id="4" w:name="_Toc16639"/>
      <w:bookmarkStart w:id="5" w:name="_Toc27704"/>
      <w:bookmarkStart w:id="6" w:name="_Toc18607"/>
      <w:bookmarkStart w:id="7" w:name="_Toc23626"/>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二、</w:t>
      </w:r>
      <w:bookmarkEnd w:id="3"/>
      <w:bookmarkEnd w:id="4"/>
      <w:bookmarkEnd w:id="5"/>
      <w:bookmarkEnd w:id="6"/>
      <w:bookmarkEnd w:id="7"/>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供应商资格要求：</w:t>
      </w:r>
    </w:p>
    <w:p>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bookmarkStart w:id="8" w:name="_Toc30643"/>
      <w:bookmarkStart w:id="9" w:name="_Toc9562"/>
      <w:bookmarkStart w:id="10" w:name="_Toc23395"/>
      <w:bookmarkStart w:id="11" w:name="_Toc30971"/>
      <w:bookmarkStart w:id="12" w:name="_Toc7823"/>
      <w:r>
        <w:rPr>
          <w:rFonts w:hint="eastAsia" w:ascii="宋体" w:hAnsi="宋体" w:eastAsia="宋体" w:cs="宋体"/>
          <w:color w:val="000000"/>
          <w:kern w:val="2"/>
          <w:sz w:val="21"/>
          <w:szCs w:val="24"/>
          <w:lang w:val="en-US" w:eastAsia="zh-CN" w:bidi="ar-SA"/>
        </w:rPr>
        <w:t>1、供应商应为注册在中华人民共和国境内的，且具有独立承担民事责任能力，提供营业执照等证明文件。</w:t>
      </w:r>
    </w:p>
    <w:p>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2、供应商应提供2022年度</w:t>
      </w:r>
      <w:r>
        <w:rPr>
          <w:rFonts w:hint="eastAsia" w:cs="宋体"/>
          <w:color w:val="000000"/>
          <w:kern w:val="2"/>
          <w:sz w:val="21"/>
          <w:szCs w:val="24"/>
          <w:lang w:val="en-US" w:eastAsia="zh-CN" w:bidi="ar-SA"/>
        </w:rPr>
        <w:t>或2023年度</w:t>
      </w:r>
      <w:r>
        <w:rPr>
          <w:rFonts w:hint="eastAsia" w:ascii="宋体" w:hAnsi="宋体" w:eastAsia="宋体" w:cs="宋体"/>
          <w:color w:val="000000"/>
          <w:kern w:val="2"/>
          <w:sz w:val="21"/>
          <w:szCs w:val="24"/>
          <w:lang w:val="en-US" w:eastAsia="zh-CN" w:bidi="ar-SA"/>
        </w:rPr>
        <w:t>经审计的财务报告或者其基本开户银行出具的资信证明；采购活动近</w:t>
      </w:r>
      <w:r>
        <w:rPr>
          <w:rFonts w:hint="eastAsia" w:cs="宋体"/>
          <w:color w:val="000000"/>
          <w:kern w:val="2"/>
          <w:sz w:val="21"/>
          <w:szCs w:val="24"/>
          <w:lang w:val="en-US" w:eastAsia="zh-CN" w:bidi="ar-SA"/>
        </w:rPr>
        <w:t>六</w:t>
      </w:r>
      <w:r>
        <w:rPr>
          <w:rFonts w:hint="eastAsia" w:ascii="宋体" w:hAnsi="宋体" w:eastAsia="宋体" w:cs="宋体"/>
          <w:color w:val="000000"/>
          <w:kern w:val="2"/>
          <w:sz w:val="21"/>
          <w:szCs w:val="24"/>
          <w:lang w:val="en-US" w:eastAsia="zh-CN" w:bidi="ar-SA"/>
        </w:rPr>
        <w:t>个月任意一个月的依法缴纳税收的凭据和缴纳社会保险的凭据；依法免税或不需要缴纳社会保障资金的供应商，应提供相应文件证明其依法免税或不需要缴纳社会保障资金。（新成立企业从成立之日起计算）；</w:t>
      </w:r>
    </w:p>
    <w:p>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3、具有履行合同所必需的设备和专业技术能力（提供书面声明函）；</w:t>
      </w:r>
    </w:p>
    <w:p>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4、参加本采购活动前三年内，在经营活动中没有重大违法记录（提供书面声明函）；</w:t>
      </w:r>
    </w:p>
    <w:p>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5、符合法律、行政法规规定的其他条件；</w:t>
      </w:r>
    </w:p>
    <w:p>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highlight w:val="yellow"/>
          <w:lang w:val="en-US" w:eastAsia="zh-CN" w:bidi="ar-SA"/>
        </w:rPr>
      </w:pPr>
      <w:r>
        <w:rPr>
          <w:rFonts w:hint="eastAsia" w:cs="宋体"/>
          <w:color w:val="000000"/>
          <w:kern w:val="2"/>
          <w:sz w:val="21"/>
          <w:szCs w:val="24"/>
          <w:lang w:val="en-US" w:eastAsia="zh-CN" w:bidi="ar-SA"/>
        </w:rPr>
        <w:t>6</w:t>
      </w:r>
      <w:r>
        <w:rPr>
          <w:rFonts w:hint="eastAsia" w:ascii="宋体" w:hAnsi="宋体" w:eastAsia="宋体" w:cs="宋体"/>
          <w:color w:val="000000"/>
          <w:kern w:val="2"/>
          <w:sz w:val="21"/>
          <w:szCs w:val="24"/>
          <w:lang w:val="en-US" w:eastAsia="zh-CN" w:bidi="ar-SA"/>
        </w:rPr>
        <w:t>、 供应商为制造商的</w:t>
      </w:r>
      <w:r>
        <w:rPr>
          <w:rFonts w:hint="eastAsia" w:cs="宋体"/>
          <w:color w:val="000000"/>
          <w:kern w:val="2"/>
          <w:sz w:val="21"/>
          <w:szCs w:val="24"/>
          <w:lang w:val="en-US" w:eastAsia="zh-CN" w:bidi="ar-SA"/>
        </w:rPr>
        <w:t>须</w:t>
      </w:r>
      <w:r>
        <w:rPr>
          <w:rFonts w:hint="eastAsia" w:ascii="宋体" w:hAnsi="宋体" w:eastAsia="宋体" w:cs="宋体"/>
          <w:color w:val="000000"/>
          <w:kern w:val="2"/>
          <w:sz w:val="21"/>
          <w:szCs w:val="24"/>
          <w:lang w:val="en-US" w:eastAsia="zh-CN" w:bidi="ar-SA"/>
        </w:rPr>
        <w:t>提供有效的《医疗器械生产备案凭证》</w:t>
      </w:r>
      <w:r>
        <w:rPr>
          <w:rFonts w:hint="eastAsia" w:cs="宋体"/>
          <w:color w:val="000000"/>
          <w:kern w:val="2"/>
          <w:sz w:val="21"/>
          <w:szCs w:val="24"/>
          <w:lang w:val="en-US" w:eastAsia="zh-CN" w:bidi="ar-SA"/>
        </w:rPr>
        <w:t>和</w:t>
      </w:r>
      <w:r>
        <w:rPr>
          <w:rFonts w:hint="eastAsia" w:ascii="宋体" w:hAnsi="宋体" w:eastAsia="宋体" w:cs="宋体"/>
          <w:color w:val="000000"/>
          <w:kern w:val="2"/>
          <w:sz w:val="21"/>
          <w:szCs w:val="24"/>
          <w:lang w:val="en-US" w:eastAsia="zh-CN" w:bidi="ar-SA"/>
        </w:rPr>
        <w:t>《医疗器械生产许可证》；供应商为经销商或代理商的</w:t>
      </w:r>
      <w:r>
        <w:rPr>
          <w:rFonts w:hint="eastAsia" w:cs="宋体"/>
          <w:color w:val="000000"/>
          <w:kern w:val="2"/>
          <w:sz w:val="21"/>
          <w:szCs w:val="24"/>
          <w:lang w:val="en-US" w:eastAsia="zh-CN" w:bidi="ar-SA"/>
        </w:rPr>
        <w:t>须提供《医疗器械经营许可证》或《医疗器械经营备案凭证》和生产厂家的《医疗器械注册证》</w:t>
      </w:r>
      <w:r>
        <w:rPr>
          <w:rFonts w:hint="eastAsia" w:ascii="宋体" w:hAnsi="宋体" w:eastAsia="宋体" w:cs="宋体"/>
          <w:color w:val="000000"/>
          <w:kern w:val="2"/>
          <w:sz w:val="21"/>
          <w:szCs w:val="24"/>
          <w:lang w:val="en-US" w:eastAsia="zh-CN" w:bidi="ar-SA"/>
        </w:rPr>
        <w:t>。（如投标产品不属于医疗器械管理范围的可不提供）</w:t>
      </w:r>
      <w:r>
        <w:rPr>
          <w:rFonts w:hint="eastAsia" w:cs="宋体"/>
          <w:color w:val="000000"/>
          <w:kern w:val="2"/>
          <w:sz w:val="21"/>
          <w:szCs w:val="24"/>
          <w:lang w:val="en-US" w:eastAsia="zh-CN" w:bidi="ar-SA"/>
        </w:rPr>
        <w:t>。</w:t>
      </w:r>
    </w:p>
    <w:p>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cs="宋体"/>
          <w:color w:val="000000"/>
          <w:kern w:val="2"/>
          <w:sz w:val="21"/>
          <w:szCs w:val="24"/>
          <w:lang w:val="en-US" w:eastAsia="zh-CN" w:bidi="ar-SA"/>
        </w:rPr>
        <w:t>7、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r>
        <w:rPr>
          <w:rFonts w:hint="eastAsia" w:ascii="宋体" w:hAnsi="宋体" w:eastAsia="宋体" w:cs="宋体"/>
          <w:color w:val="000000"/>
          <w:kern w:val="2"/>
          <w:sz w:val="21"/>
          <w:szCs w:val="24"/>
          <w:lang w:val="en-US" w:eastAsia="zh-CN" w:bidi="ar-SA"/>
        </w:rPr>
        <w:t>；</w:t>
      </w:r>
    </w:p>
    <w:p>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cs="宋体"/>
          <w:color w:val="000000"/>
          <w:kern w:val="2"/>
          <w:sz w:val="21"/>
          <w:szCs w:val="24"/>
          <w:lang w:val="en-US" w:eastAsia="zh-CN" w:bidi="ar-SA"/>
        </w:rPr>
        <w:t>8、</w:t>
      </w:r>
      <w:r>
        <w:rPr>
          <w:rFonts w:hint="eastAsia" w:ascii="宋体" w:hAnsi="宋体" w:eastAsia="宋体" w:cs="宋体"/>
          <w:color w:val="000000"/>
          <w:kern w:val="2"/>
          <w:sz w:val="21"/>
          <w:szCs w:val="24"/>
          <w:lang w:val="en-US" w:eastAsia="zh-CN" w:bidi="ar-SA"/>
        </w:rPr>
        <w:t>单位负责人为同一人或者存在直接控股、管理关系的不同供应商，不得参加同一合同项下的投标（提供书面声明函）。一经发现，将导致投标同时被拒绝</w:t>
      </w:r>
      <w:r>
        <w:rPr>
          <w:rFonts w:hint="eastAsia" w:cs="宋体"/>
          <w:color w:val="000000"/>
          <w:kern w:val="2"/>
          <w:sz w:val="21"/>
          <w:szCs w:val="24"/>
          <w:lang w:val="en-US" w:eastAsia="zh-CN" w:bidi="ar-SA"/>
        </w:rPr>
        <w:t>。</w:t>
      </w:r>
    </w:p>
    <w:p>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cs="宋体"/>
          <w:color w:val="000000"/>
          <w:kern w:val="2"/>
          <w:sz w:val="21"/>
          <w:szCs w:val="24"/>
          <w:lang w:val="en-US" w:eastAsia="zh-CN" w:bidi="ar-SA"/>
        </w:rPr>
        <w:t>9、</w:t>
      </w:r>
      <w:r>
        <w:rPr>
          <w:rFonts w:hint="eastAsia" w:ascii="宋体" w:hAnsi="宋体" w:eastAsia="宋体" w:cs="宋体"/>
          <w:color w:val="000000"/>
          <w:kern w:val="2"/>
          <w:sz w:val="21"/>
          <w:szCs w:val="24"/>
          <w:lang w:val="en-US" w:eastAsia="zh-CN" w:bidi="ar-SA"/>
        </w:rPr>
        <w:t>不接受联合体投标。</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4"/>
          <w:lang w:val="en-US" w:eastAsia="zh-CN" w:bidi="ar-SA"/>
        </w:rPr>
      </w:pPr>
      <w:r>
        <w:rPr>
          <w:rFonts w:hint="eastAsia" w:ascii="宋体" w:hAnsi="宋体" w:cs="宋体"/>
          <w:b/>
          <w:bCs/>
          <w:color w:val="auto"/>
          <w:kern w:val="2"/>
          <w:sz w:val="21"/>
          <w:szCs w:val="24"/>
          <w:lang w:val="en-US" w:eastAsia="zh-CN" w:bidi="ar-SA"/>
        </w:rPr>
        <w:t>三</w:t>
      </w:r>
      <w:r>
        <w:rPr>
          <w:rFonts w:hint="eastAsia" w:ascii="宋体" w:hAnsi="宋体" w:eastAsia="宋体" w:cs="宋体"/>
          <w:b/>
          <w:bCs/>
          <w:color w:val="auto"/>
          <w:kern w:val="2"/>
          <w:sz w:val="21"/>
          <w:szCs w:val="24"/>
          <w:lang w:val="en-US" w:eastAsia="zh-CN" w:bidi="ar-SA"/>
        </w:rPr>
        <w:t>、获取采购文件</w:t>
      </w:r>
      <w:bookmarkEnd w:id="8"/>
      <w:bookmarkEnd w:id="9"/>
      <w:bookmarkEnd w:id="10"/>
      <w:bookmarkEnd w:id="11"/>
      <w:bookmarkEnd w:id="12"/>
    </w:p>
    <w:p>
      <w:pPr>
        <w:widowControl/>
        <w:adjustRightInd w:val="0"/>
        <w:snapToGrid w:val="0"/>
        <w:spacing w:line="360" w:lineRule="auto"/>
        <w:ind w:firstLine="420" w:firstLineChars="200"/>
        <w:jc w:val="left"/>
        <w:rPr>
          <w:rFonts w:hint="default" w:ascii="宋体" w:hAnsi="宋体" w:eastAsia="宋体" w:cs="宋体"/>
          <w:color w:val="000000" w:themeColor="text1"/>
          <w:szCs w:val="21"/>
          <w:shd w:val="clear" w:color="auto" w:fill="FFFFFF"/>
          <w:lang w:val="en-US"/>
          <w14:textFill>
            <w14:solidFill>
              <w14:schemeClr w14:val="tx1"/>
            </w14:solidFill>
          </w14:textFill>
        </w:rPr>
      </w:pPr>
      <w:r>
        <w:rPr>
          <w:rFonts w:hint="eastAsia" w:ascii="宋体" w:hAnsi="宋体" w:eastAsia="宋体" w:cs="宋体"/>
          <w:color w:val="auto"/>
          <w:szCs w:val="21"/>
          <w:shd w:val="clear" w:color="auto" w:fill="FFFFFF"/>
        </w:rPr>
        <w:t>1</w:t>
      </w:r>
      <w:r>
        <w:rPr>
          <w:rFonts w:hint="eastAsia" w:ascii="宋体" w:hAnsi="宋体" w:cs="宋体"/>
          <w:color w:val="000000" w:themeColor="text1"/>
          <w:szCs w:val="21"/>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Cs w:val="21"/>
          <w:shd w:val="clear" w:color="auto" w:fill="FFFFFF"/>
          <w14:textFill>
            <w14:solidFill>
              <w14:schemeClr w14:val="tx1"/>
            </w14:solidFill>
          </w14:textFill>
        </w:rPr>
        <w:t>时间：</w:t>
      </w:r>
      <w:r>
        <w:rPr>
          <w:rFonts w:hint="eastAsia" w:ascii="宋体" w:hAnsi="宋体" w:eastAsia="宋体" w:cs="宋体"/>
          <w:color w:val="auto"/>
          <w:szCs w:val="21"/>
          <w:highlight w:val="yellow"/>
          <w:shd w:val="clear" w:color="auto" w:fill="FFFFFF"/>
        </w:rPr>
        <w:t>20</w:t>
      </w:r>
      <w:r>
        <w:rPr>
          <w:rFonts w:hint="eastAsia" w:ascii="宋体" w:hAnsi="宋体" w:cs="宋体"/>
          <w:color w:val="auto"/>
          <w:szCs w:val="21"/>
          <w:highlight w:val="yellow"/>
          <w:shd w:val="clear" w:color="auto" w:fill="FFFFFF"/>
          <w:lang w:val="en-US" w:eastAsia="zh-CN"/>
        </w:rPr>
        <w:t>24</w:t>
      </w:r>
      <w:r>
        <w:rPr>
          <w:rFonts w:hint="eastAsia" w:ascii="宋体" w:hAnsi="宋体" w:eastAsia="宋体" w:cs="宋体"/>
          <w:color w:val="auto"/>
          <w:szCs w:val="21"/>
          <w:highlight w:val="yellow"/>
          <w:shd w:val="clear" w:color="auto" w:fill="FFFFFF"/>
        </w:rPr>
        <w:t>年</w:t>
      </w:r>
      <w:r>
        <w:rPr>
          <w:rFonts w:hint="eastAsia" w:ascii="宋体" w:hAnsi="宋体" w:cs="宋体"/>
          <w:color w:val="auto"/>
          <w:szCs w:val="21"/>
          <w:highlight w:val="yellow"/>
          <w:shd w:val="clear" w:color="auto" w:fill="FFFFFF"/>
          <w:lang w:val="en-US" w:eastAsia="zh-CN"/>
        </w:rPr>
        <w:t>6</w:t>
      </w:r>
      <w:r>
        <w:rPr>
          <w:rFonts w:hint="eastAsia" w:ascii="宋体" w:hAnsi="宋体" w:eastAsia="宋体" w:cs="宋体"/>
          <w:color w:val="auto"/>
          <w:szCs w:val="21"/>
          <w:highlight w:val="yellow"/>
          <w:shd w:val="clear" w:color="auto" w:fill="FFFFFF"/>
        </w:rPr>
        <w:t>月</w:t>
      </w:r>
      <w:r>
        <w:rPr>
          <w:rFonts w:hint="eastAsia" w:ascii="宋体" w:hAnsi="宋体" w:cs="宋体"/>
          <w:color w:val="auto"/>
          <w:szCs w:val="21"/>
          <w:highlight w:val="yellow"/>
          <w:shd w:val="clear" w:color="auto" w:fill="FFFFFF"/>
          <w:lang w:val="en-US" w:eastAsia="zh-CN"/>
        </w:rPr>
        <w:t>28</w:t>
      </w:r>
      <w:r>
        <w:rPr>
          <w:rFonts w:hint="eastAsia" w:ascii="宋体" w:hAnsi="宋体" w:eastAsia="宋体" w:cs="宋体"/>
          <w:color w:val="auto"/>
          <w:szCs w:val="21"/>
          <w:highlight w:val="yellow"/>
          <w:shd w:val="clear" w:color="auto" w:fill="FFFFFF"/>
        </w:rPr>
        <w:t>日-202</w:t>
      </w:r>
      <w:r>
        <w:rPr>
          <w:rFonts w:hint="eastAsia" w:ascii="宋体" w:hAnsi="宋体" w:cs="宋体"/>
          <w:color w:val="auto"/>
          <w:szCs w:val="21"/>
          <w:highlight w:val="yellow"/>
          <w:shd w:val="clear" w:color="auto" w:fill="FFFFFF"/>
          <w:lang w:val="en-US" w:eastAsia="zh-CN"/>
        </w:rPr>
        <w:t>4</w:t>
      </w:r>
      <w:r>
        <w:rPr>
          <w:rFonts w:hint="eastAsia" w:ascii="宋体" w:hAnsi="宋体" w:eastAsia="宋体" w:cs="宋体"/>
          <w:color w:val="auto"/>
          <w:szCs w:val="21"/>
          <w:highlight w:val="yellow"/>
          <w:shd w:val="clear" w:color="auto" w:fill="FFFFFF"/>
        </w:rPr>
        <w:t>年</w:t>
      </w:r>
      <w:r>
        <w:rPr>
          <w:rFonts w:hint="eastAsia" w:ascii="宋体" w:hAnsi="宋体" w:cs="宋体"/>
          <w:color w:val="auto"/>
          <w:szCs w:val="21"/>
          <w:highlight w:val="yellow"/>
          <w:shd w:val="clear" w:color="auto" w:fill="FFFFFF"/>
          <w:lang w:val="en-US" w:eastAsia="zh-CN"/>
        </w:rPr>
        <w:t>7</w:t>
      </w:r>
      <w:r>
        <w:rPr>
          <w:rFonts w:hint="eastAsia" w:ascii="宋体" w:hAnsi="宋体" w:eastAsia="宋体" w:cs="宋体"/>
          <w:color w:val="auto"/>
          <w:szCs w:val="21"/>
          <w:highlight w:val="yellow"/>
          <w:shd w:val="clear" w:color="auto" w:fill="FFFFFF"/>
        </w:rPr>
        <w:t>月</w:t>
      </w:r>
      <w:r>
        <w:rPr>
          <w:rFonts w:hint="eastAsia" w:ascii="宋体" w:hAnsi="宋体" w:cs="宋体"/>
          <w:color w:val="auto"/>
          <w:szCs w:val="21"/>
          <w:highlight w:val="yellow"/>
          <w:shd w:val="clear" w:color="auto" w:fill="FFFFFF"/>
          <w:lang w:val="en-US" w:eastAsia="zh-CN"/>
        </w:rPr>
        <w:t>2</w:t>
      </w:r>
      <w:r>
        <w:rPr>
          <w:rFonts w:hint="eastAsia" w:ascii="宋体" w:hAnsi="宋体" w:eastAsia="宋体" w:cs="宋体"/>
          <w:color w:val="auto"/>
          <w:szCs w:val="21"/>
          <w:highlight w:val="yellow"/>
          <w:shd w:val="clear" w:color="auto" w:fill="FFFFFF"/>
        </w:rPr>
        <w:t>日</w:t>
      </w:r>
      <w:r>
        <w:rPr>
          <w:rFonts w:hint="eastAsia" w:ascii="宋体" w:hAnsi="宋体" w:eastAsia="宋体" w:cs="宋体"/>
          <w:color w:val="000000" w:themeColor="text1"/>
          <w:szCs w:val="21"/>
          <w:shd w:val="clear" w:color="auto" w:fill="FFFFFF"/>
          <w14:textFill>
            <w14:solidFill>
              <w14:schemeClr w14:val="tx1"/>
            </w14:solidFill>
          </w14:textFill>
        </w:rPr>
        <w:t>，上午8：30-11:30，下午14:30-17:30（北京时间，法定节假日除外）</w:t>
      </w:r>
      <w:r>
        <w:rPr>
          <w:rFonts w:hint="eastAsia" w:ascii="宋体" w:hAnsi="宋体" w:cs="宋体"/>
          <w:color w:val="000000" w:themeColor="text1"/>
          <w:szCs w:val="21"/>
          <w:shd w:val="clear" w:color="auto" w:fill="FFFFFF"/>
          <w:lang w:val="en-US" w:eastAsia="zh-CN"/>
          <w14:textFill>
            <w14:solidFill>
              <w14:schemeClr w14:val="tx1"/>
            </w14:solidFill>
          </w14:textFill>
        </w:rPr>
        <w:t>。</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2.凡报名成功的供应商无故不来参与投标的，列入我院黑名</w:t>
      </w:r>
      <w:r>
        <w:rPr>
          <w:rFonts w:hint="eastAsia" w:ascii="宋体" w:hAnsi="宋体" w:eastAsia="宋体" w:cs="宋体"/>
          <w:color w:val="auto"/>
          <w:kern w:val="0"/>
          <w:sz w:val="21"/>
          <w:szCs w:val="21"/>
          <w:shd w:val="clear" w:color="auto" w:fill="FFFFFF"/>
          <w:lang w:val="en-US" w:eastAsia="zh-CN" w:bidi="ar-SA"/>
        </w:rPr>
        <w:t xml:space="preserve">单，一年内不得参与我院任何采购活动。中标供应商缴纳相应服务费。 </w:t>
      </w:r>
    </w:p>
    <w:p>
      <w:pPr>
        <w:widowControl/>
        <w:wordWrap w:val="0"/>
        <w:snapToGrid w:val="0"/>
        <w:spacing w:before="0" w:beforeAutospacing="0" w:after="0" w:afterAutospacing="0" w:line="360" w:lineRule="auto"/>
        <w:ind w:left="0" w:leftChars="0" w:firstLine="420" w:firstLineChars="200"/>
        <w:jc w:val="left"/>
        <w:rPr>
          <w:rFonts w:ascii="宋体" w:hAnsi="宋体" w:eastAsia="宋体" w:cs="宋体"/>
          <w:color w:val="auto"/>
          <w:kern w:val="0"/>
          <w:sz w:val="21"/>
          <w:szCs w:val="21"/>
          <w:u w:val="single"/>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2521227903@qq.com</w:t>
      </w:r>
      <w:r>
        <w:rPr>
          <w:rFonts w:hint="eastAsia" w:ascii="宋体" w:hAnsi="宋体" w:cs="宋体"/>
          <w:color w:val="auto"/>
          <w:kern w:val="0"/>
          <w:sz w:val="21"/>
          <w:szCs w:val="21"/>
          <w:shd w:val="clear" w:color="auto" w:fill="FFFFFF"/>
          <w:lang w:val="en-US" w:eastAsia="zh-CN" w:bidi="ar-SA"/>
        </w:rPr>
        <w:t>,</w:t>
      </w:r>
      <w:r>
        <w:rPr>
          <w:rFonts w:hint="eastAsia" w:ascii="宋体" w:hAnsi="宋体" w:eastAsia="宋体" w:cs="宋体"/>
          <w:color w:val="auto"/>
          <w:kern w:val="0"/>
          <w:sz w:val="21"/>
          <w:szCs w:val="21"/>
          <w:shd w:val="clear" w:color="auto" w:fill="FFFFFF"/>
          <w:lang w:val="en-US" w:eastAsia="zh-CN" w:bidi="ar-SA"/>
        </w:rPr>
        <w:t>并标明XX公司XX</w:t>
      </w:r>
      <w:r>
        <w:rPr>
          <w:rFonts w:hint="eastAsia" w:ascii="宋体" w:hAnsi="宋体" w:eastAsia="宋体" w:cs="宋体"/>
          <w:color w:val="auto"/>
          <w:kern w:val="0"/>
          <w:sz w:val="21"/>
          <w:szCs w:val="21"/>
          <w:shd w:val="clear" w:color="auto" w:fill="FFFFFF"/>
          <w:lang w:val="en-US" w:eastAsia="zh-CN" w:bidi="ar-SA"/>
        </w:rPr>
        <w:fldChar w:fldCharType="end"/>
      </w:r>
      <w:r>
        <w:rPr>
          <w:rFonts w:hint="eastAsia" w:ascii="宋体" w:hAnsi="宋体" w:eastAsia="宋体" w:cs="宋体"/>
          <w:color w:val="auto"/>
          <w:kern w:val="0"/>
          <w:sz w:val="21"/>
          <w:szCs w:val="21"/>
          <w:shd w:val="clear" w:color="auto" w:fill="FFFFFF"/>
          <w:lang w:val="en-US" w:eastAsia="zh-CN" w:bidi="ar-SA"/>
        </w:rPr>
        <w:t>项目报名资料。</w:t>
      </w:r>
    </w:p>
    <w:p>
      <w:pPr>
        <w:widowControl/>
        <w:wordWrap w:val="0"/>
        <w:snapToGrid w:val="0"/>
        <w:spacing w:before="0" w:beforeAutospacing="0" w:after="0" w:afterAutospacing="0" w:line="360" w:lineRule="auto"/>
        <w:ind w:left="420" w:left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4.报名登记表：请从附件中下载。</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13" w:name="_Toc15135"/>
      <w:bookmarkStart w:id="14" w:name="_Toc10738"/>
      <w:bookmarkStart w:id="15" w:name="_Toc25869"/>
      <w:bookmarkStart w:id="16" w:name="_Toc27480"/>
      <w:bookmarkStart w:id="17" w:name="_Toc15111"/>
      <w:r>
        <w:rPr>
          <w:rFonts w:hint="eastAsia" w:ascii="宋体" w:hAnsi="宋体" w:cs="宋体"/>
          <w:b/>
          <w:bCs/>
          <w:color w:val="auto"/>
          <w:kern w:val="2"/>
          <w:sz w:val="21"/>
          <w:szCs w:val="21"/>
          <w:shd w:val="clear" w:color="auto" w:fill="FFFFFF"/>
          <w:lang w:val="en-US" w:eastAsia="zh-CN" w:bidi="ar-SA"/>
        </w:rPr>
        <w:t>四</w:t>
      </w:r>
      <w:r>
        <w:rPr>
          <w:rFonts w:hint="eastAsia" w:ascii="宋体" w:hAnsi="宋体" w:eastAsia="宋体" w:cs="宋体"/>
          <w:b/>
          <w:bCs/>
          <w:color w:val="auto"/>
          <w:kern w:val="2"/>
          <w:sz w:val="21"/>
          <w:szCs w:val="21"/>
          <w:shd w:val="clear" w:color="auto" w:fill="FFFFFF"/>
          <w:lang w:val="en-US" w:eastAsia="zh-CN" w:bidi="ar-SA"/>
        </w:rPr>
        <w:t>、投标截止时间及地点</w:t>
      </w:r>
      <w:bookmarkEnd w:id="13"/>
      <w:bookmarkEnd w:id="14"/>
      <w:bookmarkEnd w:id="15"/>
      <w:bookmarkEnd w:id="16"/>
      <w:bookmarkEnd w:id="17"/>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r>
        <w:rPr>
          <w:rFonts w:hint="eastAsia" w:ascii="宋体" w:hAnsi="宋体" w:cs="宋体"/>
          <w:b/>
          <w:bCs/>
          <w:color w:val="auto"/>
          <w:kern w:val="2"/>
          <w:sz w:val="21"/>
          <w:szCs w:val="21"/>
          <w:shd w:val="clear" w:color="auto" w:fill="FFFFFF"/>
          <w:lang w:val="en-US" w:eastAsia="zh-CN" w:bidi="ar-SA"/>
        </w:rPr>
        <w:t>五</w:t>
      </w:r>
      <w:r>
        <w:rPr>
          <w:rFonts w:hint="eastAsia" w:ascii="宋体" w:hAnsi="宋体" w:eastAsia="宋体" w:cs="宋体"/>
          <w:b/>
          <w:bCs/>
          <w:color w:val="auto"/>
          <w:kern w:val="2"/>
          <w:sz w:val="21"/>
          <w:szCs w:val="21"/>
          <w:shd w:val="clear" w:color="auto" w:fill="FFFFFF"/>
          <w:lang w:val="en-US" w:eastAsia="zh-CN" w:bidi="ar-SA"/>
        </w:rPr>
        <w:t>、开标时间及地点</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cs="宋体"/>
          <w:color w:val="auto"/>
          <w:sz w:val="21"/>
          <w:szCs w:val="21"/>
          <w:shd w:val="clear" w:color="auto" w:fill="auto"/>
          <w:lang w:val="en-US" w:eastAsia="zh-CN"/>
        </w:rPr>
        <w:t>另行通知</w:t>
      </w:r>
      <w:r>
        <w:rPr>
          <w:rFonts w:hint="eastAsia" w:ascii="宋体" w:hAnsi="宋体" w:cs="宋体"/>
          <w:color w:val="auto"/>
          <w:kern w:val="0"/>
          <w:sz w:val="21"/>
          <w:szCs w:val="21"/>
          <w:highlight w:val="none"/>
          <w:shd w:val="clear" w:color="auto" w:fill="FFFFFF"/>
          <w:lang w:val="en-US" w:eastAsia="zh-CN" w:bidi="ar-SA"/>
        </w:rPr>
        <w:t>。</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18" w:name="_Toc20287"/>
      <w:bookmarkStart w:id="19" w:name="_Toc6523"/>
      <w:bookmarkStart w:id="20" w:name="_Toc29784"/>
      <w:bookmarkStart w:id="21" w:name="_Toc30918"/>
      <w:r>
        <w:rPr>
          <w:rFonts w:hint="eastAsia" w:ascii="宋体" w:hAnsi="宋体" w:cs="宋体"/>
          <w:b/>
          <w:bCs/>
          <w:color w:val="auto"/>
          <w:kern w:val="2"/>
          <w:sz w:val="21"/>
          <w:szCs w:val="21"/>
          <w:shd w:val="clear" w:color="auto" w:fill="FFFFFF"/>
          <w:lang w:val="en-US" w:eastAsia="zh-CN" w:bidi="ar-SA"/>
        </w:rPr>
        <w:t>六</w:t>
      </w:r>
      <w:r>
        <w:rPr>
          <w:rFonts w:hint="eastAsia" w:ascii="宋体" w:hAnsi="宋体" w:eastAsia="宋体" w:cs="宋体"/>
          <w:b/>
          <w:bCs/>
          <w:color w:val="auto"/>
          <w:kern w:val="2"/>
          <w:sz w:val="21"/>
          <w:szCs w:val="21"/>
          <w:shd w:val="clear" w:color="auto" w:fill="FFFFFF"/>
          <w:lang w:val="en-US" w:eastAsia="zh-CN" w:bidi="ar-SA"/>
        </w:rPr>
        <w:t>、发布公告的媒介及</w:t>
      </w:r>
      <w:r>
        <w:rPr>
          <w:rFonts w:hint="eastAsia" w:ascii="宋体" w:hAnsi="宋体" w:eastAsia="宋体" w:cs="宋体"/>
          <w:b/>
          <w:bCs/>
          <w:color w:val="auto"/>
          <w:sz w:val="21"/>
          <w:szCs w:val="21"/>
          <w:shd w:val="clear" w:color="auto" w:fill="auto"/>
          <w:lang w:val="en-US" w:eastAsia="zh-CN"/>
        </w:rPr>
        <w:t>采购</w:t>
      </w:r>
      <w:r>
        <w:rPr>
          <w:rFonts w:hint="eastAsia" w:ascii="宋体" w:hAnsi="宋体" w:eastAsia="宋体" w:cs="宋体"/>
          <w:b/>
          <w:bCs/>
          <w:color w:val="auto"/>
          <w:kern w:val="2"/>
          <w:sz w:val="21"/>
          <w:szCs w:val="21"/>
          <w:shd w:val="clear" w:color="auto" w:fill="FFFFFF"/>
          <w:lang w:val="en-US" w:eastAsia="zh-CN" w:bidi="ar-SA"/>
        </w:rPr>
        <w:t>公告期限</w:t>
      </w:r>
      <w:bookmarkEnd w:id="18"/>
      <w:bookmarkEnd w:id="19"/>
      <w:bookmarkEnd w:id="20"/>
      <w:bookmarkEnd w:id="21"/>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本次</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kern w:val="0"/>
          <w:sz w:val="21"/>
          <w:szCs w:val="21"/>
          <w:shd w:val="clear" w:color="auto" w:fill="FFFFFF"/>
          <w:lang w:val="en-US" w:eastAsia="zh-CN" w:bidi="ar-SA"/>
        </w:rPr>
        <w:t>公告在《驻马店市中心医院》</w:t>
      </w:r>
      <w:r>
        <w:rPr>
          <w:rFonts w:hint="eastAsia" w:ascii="宋体" w:hAnsi="宋体" w:cs="宋体"/>
          <w:color w:val="auto"/>
          <w:kern w:val="0"/>
          <w:sz w:val="21"/>
          <w:szCs w:val="21"/>
          <w:shd w:val="clear" w:color="auto" w:fill="FFFFFF"/>
          <w:lang w:val="en-US" w:eastAsia="zh-CN" w:bidi="ar-SA"/>
        </w:rPr>
        <w:t>院内</w:t>
      </w:r>
      <w:r>
        <w:rPr>
          <w:rFonts w:hint="eastAsia" w:ascii="宋体" w:hAnsi="宋体" w:eastAsia="宋体" w:cs="宋体"/>
          <w:color w:val="auto"/>
          <w:kern w:val="0"/>
          <w:sz w:val="21"/>
          <w:szCs w:val="21"/>
          <w:shd w:val="clear" w:color="auto" w:fill="FFFFFF"/>
          <w:lang w:val="en-US" w:eastAsia="zh-CN" w:bidi="ar-SA"/>
        </w:rPr>
        <w:t>网</w:t>
      </w:r>
      <w:r>
        <w:rPr>
          <w:rFonts w:hint="eastAsia" w:ascii="宋体" w:hAnsi="宋体" w:eastAsia="宋体" w:cs="宋体"/>
          <w:color w:val="auto"/>
          <w:sz w:val="21"/>
          <w:szCs w:val="21"/>
          <w:shd w:val="clear" w:color="auto" w:fill="auto"/>
        </w:rPr>
        <w:t>上发布</w:t>
      </w:r>
      <w:r>
        <w:rPr>
          <w:rFonts w:hint="eastAsia" w:ascii="宋体" w:hAnsi="宋体" w:cs="宋体"/>
          <w:color w:val="auto"/>
          <w:sz w:val="21"/>
          <w:szCs w:val="21"/>
          <w:highlight w:val="none"/>
          <w:shd w:val="clear" w:color="auto" w:fill="auto"/>
          <w:lang w:eastAsia="zh-CN"/>
        </w:rPr>
        <w:t>，</w:t>
      </w:r>
      <w:r>
        <w:rPr>
          <w:rFonts w:hint="eastAsia" w:ascii="宋体" w:hAnsi="宋体" w:eastAsia="宋体" w:cs="宋体"/>
          <w:color w:val="auto"/>
          <w:sz w:val="21"/>
          <w:szCs w:val="21"/>
          <w:shd w:val="clear" w:color="auto" w:fill="auto"/>
          <w:lang w:val="en-US" w:eastAsia="zh-CN"/>
        </w:rPr>
        <w:t>采购</w:t>
      </w:r>
      <w:r>
        <w:rPr>
          <w:rFonts w:hint="eastAsia" w:ascii="宋体" w:hAnsi="宋体" w:cs="宋体"/>
          <w:color w:val="auto"/>
          <w:sz w:val="21"/>
          <w:szCs w:val="21"/>
          <w:highlight w:val="none"/>
          <w:shd w:val="clear" w:color="auto" w:fill="auto"/>
          <w:lang w:eastAsia="zh-CN"/>
        </w:rPr>
        <w:t>公告期限为</w:t>
      </w:r>
      <w:r>
        <w:rPr>
          <w:rFonts w:hint="eastAsia" w:ascii="宋体" w:hAnsi="宋体" w:cs="宋体"/>
          <w:color w:val="auto"/>
          <w:sz w:val="21"/>
          <w:szCs w:val="21"/>
          <w:highlight w:val="none"/>
          <w:shd w:val="clear" w:color="auto" w:fill="auto"/>
          <w:lang w:val="en-US" w:eastAsia="zh-CN"/>
        </w:rPr>
        <w:t>三</w:t>
      </w:r>
      <w:r>
        <w:rPr>
          <w:rFonts w:hint="eastAsia" w:ascii="宋体" w:hAnsi="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795"/>
      <w:bookmarkStart w:id="23" w:name="_Toc35393626"/>
    </w:p>
    <w:bookmarkEnd w:id="22"/>
    <w:bookmarkEnd w:id="23"/>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lang w:val="en-US" w:eastAsia="zh-CN" w:bidi="ar-SA"/>
        </w:rPr>
      </w:pPr>
      <w:bookmarkStart w:id="24" w:name="_Toc27370"/>
      <w:bookmarkStart w:id="25" w:name="_Toc3604"/>
      <w:bookmarkStart w:id="26" w:name="_Toc24274"/>
      <w:bookmarkStart w:id="27" w:name="_Toc16291"/>
      <w:bookmarkStart w:id="28" w:name="_Toc31928"/>
      <w:bookmarkStart w:id="29" w:name="_Toc17552"/>
      <w:bookmarkStart w:id="30" w:name="_Toc29890"/>
      <w:bookmarkStart w:id="31" w:name="_Toc23793"/>
      <w:r>
        <w:rPr>
          <w:rFonts w:hint="eastAsia" w:ascii="宋体" w:hAnsi="宋体" w:cs="宋体"/>
          <w:b/>
          <w:bCs/>
          <w:color w:val="auto"/>
          <w:kern w:val="2"/>
          <w:sz w:val="21"/>
          <w:szCs w:val="21"/>
          <w:shd w:val="clear" w:color="auto" w:fill="FFFFFF"/>
          <w:lang w:val="en-US" w:eastAsia="zh-CN" w:bidi="ar-SA"/>
        </w:rPr>
        <w:t>七</w:t>
      </w:r>
      <w:r>
        <w:rPr>
          <w:rFonts w:hint="eastAsia" w:ascii="宋体" w:hAnsi="宋体" w:eastAsia="宋体" w:cs="宋体"/>
          <w:b/>
          <w:bCs/>
          <w:color w:val="auto"/>
          <w:kern w:val="2"/>
          <w:sz w:val="21"/>
          <w:szCs w:val="21"/>
          <w:shd w:val="clear" w:color="auto" w:fill="FFFFFF"/>
          <w:lang w:val="en-US" w:eastAsia="zh-CN" w:bidi="ar-SA"/>
        </w:rPr>
        <w:t>、</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1.采购人：驻马店市中心医院</w:t>
      </w:r>
    </w:p>
    <w:p>
      <w:pPr>
        <w:widowControl/>
        <w:snapToGrid w:val="0"/>
        <w:spacing w:before="0" w:beforeAutospacing="0" w:after="0" w:afterAutospacing="0" w:line="360" w:lineRule="auto"/>
        <w:ind w:firstLine="630" w:firstLineChars="3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地址：驻马店市中华大道747号</w:t>
      </w:r>
    </w:p>
    <w:p>
      <w:pPr>
        <w:widowControl/>
        <w:snapToGrid w:val="0"/>
        <w:spacing w:before="0" w:beforeAutospacing="0" w:after="0" w:afterAutospacing="0" w:line="360" w:lineRule="auto"/>
        <w:ind w:firstLine="630" w:firstLineChars="3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联系人：陈先生</w:t>
      </w:r>
    </w:p>
    <w:p>
      <w:pPr>
        <w:widowControl/>
        <w:snapToGrid w:val="0"/>
        <w:spacing w:before="0" w:beforeAutospacing="0" w:after="0" w:afterAutospacing="0" w:line="360" w:lineRule="auto"/>
        <w:ind w:firstLine="630" w:firstLineChars="3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电话：0396-2726379</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2.名称：河南金鼎建设管理有限公司 </w:t>
      </w:r>
    </w:p>
    <w:p>
      <w:pPr>
        <w:widowControl/>
        <w:snapToGrid w:val="0"/>
        <w:spacing w:before="0" w:beforeAutospacing="0" w:after="0" w:afterAutospacing="0" w:line="360" w:lineRule="auto"/>
        <w:ind w:firstLine="630" w:firstLineChars="3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地址：驻马店市天中山大道北段 </w:t>
      </w:r>
    </w:p>
    <w:p>
      <w:pPr>
        <w:widowControl/>
        <w:snapToGrid w:val="0"/>
        <w:spacing w:before="0" w:beforeAutospacing="0" w:after="0" w:afterAutospacing="0" w:line="360" w:lineRule="auto"/>
        <w:ind w:firstLine="630" w:firstLineChars="3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联系人：杨先生 </w:t>
      </w:r>
    </w:p>
    <w:p>
      <w:pPr>
        <w:widowControl/>
        <w:snapToGrid w:val="0"/>
        <w:spacing w:before="0" w:beforeAutospacing="0" w:after="0" w:afterAutospacing="0" w:line="360" w:lineRule="auto"/>
        <w:ind w:firstLine="630" w:firstLineChars="3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联系方式：19139503257</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3.监督部门：驻马店市中心医院纪检监察室</w:t>
      </w:r>
    </w:p>
    <w:p>
      <w:pPr>
        <w:widowControl/>
        <w:snapToGrid w:val="0"/>
        <w:spacing w:before="0" w:beforeAutospacing="0" w:after="0" w:afterAutospacing="0" w:line="360" w:lineRule="auto"/>
        <w:ind w:firstLine="630" w:firstLineChars="3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监督电话：0396-2726678</w:t>
      </w:r>
    </w:p>
    <w:p>
      <w:pPr>
        <w:pStyle w:val="32"/>
        <w:rPr>
          <w:rFonts w:hint="eastAsia"/>
          <w:highlight w:val="yellow"/>
          <w:lang w:val="en-US" w:eastAsia="zh-CN"/>
        </w:rPr>
      </w:pPr>
    </w:p>
    <w:p>
      <w:pPr>
        <w:widowControl/>
        <w:snapToGrid w:val="0"/>
        <w:spacing w:before="0" w:beforeAutospacing="0" w:after="0" w:afterAutospacing="0" w:line="360" w:lineRule="auto"/>
        <w:ind w:firstLine="420" w:firstLineChars="200"/>
        <w:jc w:val="right"/>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pPr>
      <w:r>
        <w:rPr>
          <w:rFonts w:hint="eastAsia" w:ascii="宋体" w:hAnsi="宋体" w:eastAsia="宋体" w:cs="宋体"/>
          <w:kern w:val="0"/>
          <w:sz w:val="21"/>
          <w:szCs w:val="21"/>
          <w:shd w:val="clear" w:color="auto" w:fill="FFFFFF"/>
          <w:lang w:val="en-US" w:eastAsia="zh-CN" w:bidi="ar-SA"/>
        </w:rPr>
        <w:t>驻马</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店市中心医院采购科</w:t>
      </w:r>
    </w:p>
    <w:p>
      <w:pPr>
        <w:pStyle w:val="30"/>
        <w:widowControl/>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r>
        <w:rPr>
          <w:rFonts w:hint="eastAsia" w:ascii="宋体" w:hAnsi="宋体" w:cs="宋体"/>
          <w:color w:val="000000" w:themeColor="text1"/>
          <w:kern w:val="0"/>
          <w:sz w:val="21"/>
          <w:szCs w:val="21"/>
          <w:shd w:val="clear" w:color="auto" w:fill="FFFFFF"/>
          <w:lang w:val="en-US" w:eastAsia="zh-CN" w:bidi="ar-SA"/>
          <w14:textFill>
            <w14:solidFill>
              <w14:schemeClr w14:val="tx1"/>
            </w14:solidFill>
          </w14:textFill>
        </w:rPr>
        <w:t xml:space="preserve">                                                    </w:t>
      </w:r>
      <w:r>
        <w:rPr>
          <w:rFonts w:hint="eastAsia" w:ascii="宋体" w:hAnsi="宋体" w:cs="宋体"/>
          <w:color w:val="auto"/>
          <w:kern w:val="0"/>
          <w:sz w:val="21"/>
          <w:szCs w:val="21"/>
          <w:shd w:val="clear" w:color="auto" w:fill="FFFFFF"/>
          <w:lang w:val="en-US" w:eastAsia="zh-CN" w:bidi="ar-SA"/>
        </w:rPr>
        <w:t xml:space="preserve">    </w:t>
      </w:r>
      <w:r>
        <w:rPr>
          <w:rFonts w:hint="eastAsia" w:ascii="宋体" w:hAnsi="宋体" w:cs="宋体"/>
          <w:color w:val="auto"/>
          <w:kern w:val="0"/>
          <w:sz w:val="21"/>
          <w:szCs w:val="21"/>
          <w:highlight w:val="yellow"/>
          <w:shd w:val="clear" w:color="auto" w:fill="FFFFFF"/>
          <w:lang w:val="en-US" w:eastAsia="zh-CN" w:bidi="ar-SA"/>
        </w:rPr>
        <w:t xml:space="preserve"> </w:t>
      </w:r>
      <w:r>
        <w:rPr>
          <w:rFonts w:hint="eastAsia" w:ascii="宋体" w:hAnsi="宋体" w:eastAsia="宋体" w:cs="宋体"/>
          <w:color w:val="auto"/>
          <w:kern w:val="0"/>
          <w:sz w:val="21"/>
          <w:szCs w:val="21"/>
          <w:highlight w:val="yellow"/>
          <w:shd w:val="clear" w:color="auto" w:fill="FFFFFF"/>
          <w:lang w:val="en-US" w:eastAsia="zh-CN" w:bidi="ar-SA"/>
        </w:rPr>
        <w:t>202</w:t>
      </w:r>
      <w:r>
        <w:rPr>
          <w:rFonts w:hint="eastAsia" w:ascii="宋体" w:hAnsi="宋体" w:cs="宋体"/>
          <w:color w:val="auto"/>
          <w:kern w:val="0"/>
          <w:sz w:val="21"/>
          <w:szCs w:val="21"/>
          <w:highlight w:val="yellow"/>
          <w:shd w:val="clear" w:color="auto" w:fill="FFFFFF"/>
          <w:lang w:val="en-US" w:eastAsia="zh-CN" w:bidi="ar-SA"/>
        </w:rPr>
        <w:t>4</w:t>
      </w:r>
      <w:r>
        <w:rPr>
          <w:rFonts w:hint="eastAsia" w:ascii="宋体" w:hAnsi="宋体" w:eastAsia="宋体" w:cs="宋体"/>
          <w:color w:val="auto"/>
          <w:kern w:val="0"/>
          <w:sz w:val="21"/>
          <w:szCs w:val="21"/>
          <w:highlight w:val="yellow"/>
          <w:shd w:val="clear" w:color="auto" w:fill="FFFFFF"/>
          <w:lang w:val="en-US" w:eastAsia="zh-CN" w:bidi="ar-SA"/>
        </w:rPr>
        <w:t>年</w:t>
      </w:r>
      <w:r>
        <w:rPr>
          <w:rFonts w:hint="eastAsia" w:ascii="宋体" w:hAnsi="宋体" w:cs="宋体"/>
          <w:color w:val="auto"/>
          <w:kern w:val="0"/>
          <w:sz w:val="21"/>
          <w:szCs w:val="21"/>
          <w:highlight w:val="yellow"/>
          <w:shd w:val="clear" w:color="auto" w:fill="FFFFFF"/>
          <w:lang w:val="en-US" w:eastAsia="zh-CN" w:bidi="ar-SA"/>
        </w:rPr>
        <w:t>6</w:t>
      </w:r>
      <w:r>
        <w:rPr>
          <w:rFonts w:hint="eastAsia" w:ascii="宋体" w:hAnsi="宋体" w:eastAsia="宋体" w:cs="宋体"/>
          <w:color w:val="auto"/>
          <w:kern w:val="0"/>
          <w:sz w:val="21"/>
          <w:szCs w:val="21"/>
          <w:highlight w:val="yellow"/>
          <w:shd w:val="clear" w:color="auto" w:fill="FFFFFF"/>
          <w:lang w:val="en-US" w:eastAsia="zh-CN" w:bidi="ar-SA"/>
        </w:rPr>
        <w:t>月</w:t>
      </w:r>
      <w:r>
        <w:rPr>
          <w:rFonts w:hint="eastAsia" w:ascii="宋体" w:hAnsi="宋体" w:cs="宋体"/>
          <w:color w:val="auto"/>
          <w:kern w:val="0"/>
          <w:sz w:val="21"/>
          <w:szCs w:val="21"/>
          <w:highlight w:val="yellow"/>
          <w:shd w:val="clear" w:color="auto" w:fill="FFFFFF"/>
          <w:lang w:val="en-US" w:eastAsia="zh-CN" w:bidi="ar-SA"/>
        </w:rPr>
        <w:t xml:space="preserve"> 27</w:t>
      </w:r>
      <w:bookmarkStart w:id="95" w:name="_GoBack"/>
      <w:bookmarkEnd w:id="95"/>
      <w:r>
        <w:rPr>
          <w:rFonts w:hint="eastAsia" w:ascii="宋体" w:hAnsi="宋体" w:eastAsia="宋体" w:cs="宋体"/>
          <w:color w:val="auto"/>
          <w:kern w:val="0"/>
          <w:sz w:val="21"/>
          <w:szCs w:val="21"/>
          <w:highlight w:val="yellow"/>
          <w:shd w:val="clear" w:color="auto" w:fill="FFFFFF"/>
          <w:lang w:val="en-US" w:eastAsia="zh-CN" w:bidi="ar-SA"/>
        </w:rPr>
        <w:t>日</w:t>
      </w:r>
    </w:p>
    <w:p>
      <w:pPr>
        <w:rPr>
          <w:rFonts w:hint="eastAsia" w:ascii="宋体" w:hAnsi="宋体"/>
          <w:b/>
          <w:color w:val="auto"/>
          <w:sz w:val="32"/>
          <w:szCs w:val="32"/>
          <w:highlight w:val="none"/>
        </w:rPr>
      </w:pPr>
      <w:r>
        <w:rPr>
          <w:rFonts w:hint="eastAsia" w:ascii="宋体" w:hAnsi="宋体"/>
          <w:b/>
          <w:color w:val="auto"/>
          <w:sz w:val="32"/>
          <w:szCs w:val="32"/>
          <w:highlight w:val="none"/>
        </w:rPr>
        <w:br w:type="page"/>
      </w:r>
    </w:p>
    <w:p>
      <w:pPr>
        <w:widowControl/>
        <w:spacing w:line="360" w:lineRule="auto"/>
        <w:ind w:firstLine="643" w:firstLineChars="200"/>
        <w:jc w:val="center"/>
        <w:outlineLvl w:val="0"/>
        <w:rPr>
          <w:rFonts w:ascii="宋体" w:hAnsi="宋体"/>
          <w:b/>
          <w:color w:val="auto"/>
          <w:sz w:val="32"/>
          <w:szCs w:val="32"/>
          <w:highlight w:val="none"/>
        </w:rPr>
      </w:pPr>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29"/>
      <w:bookmarkStart w:id="32" w:name="_Toc31536"/>
      <w:bookmarkStart w:id="33" w:name="_Toc9989"/>
      <w:bookmarkStart w:id="34" w:name="_Toc23610"/>
    </w:p>
    <w:bookmarkEnd w:id="30"/>
    <w:bookmarkEnd w:id="31"/>
    <w:bookmarkEnd w:id="32"/>
    <w:bookmarkEnd w:id="33"/>
    <w:bookmarkEnd w:id="34"/>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both"/>
        <w:textAlignment w:val="auto"/>
        <w:rPr>
          <w:rFonts w:hint="default" w:ascii="宋体" w:hAnsi="宋体" w:eastAsia="宋体" w:cs="宋体"/>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ascii="宋体" w:hAnsi="宋体" w:cs="宋体"/>
          <w:b w:val="0"/>
          <w:bCs w:val="0"/>
          <w:i w:val="0"/>
          <w:iCs/>
          <w:color w:val="auto"/>
          <w:sz w:val="21"/>
          <w:szCs w:val="21"/>
          <w:highlight w:val="none"/>
          <w:u w:val="none"/>
          <w:lang w:val="en-US" w:eastAsia="zh-CN"/>
        </w:rPr>
        <w:t>驻马店市中心医院手术器械（异物钳、取石网篮、胆道镜三通）供货采购项目</w:t>
      </w:r>
    </w:p>
    <w:p>
      <w:pPr>
        <w:pStyle w:val="15"/>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ind w:firstLine="422" w:firstLineChars="200"/>
        <w:jc w:val="both"/>
        <w:textAlignment w:val="auto"/>
        <w:rPr>
          <w:rFonts w:hint="eastAsia" w:cs="宋体"/>
          <w:b/>
          <w:bCs/>
          <w:color w:val="auto"/>
          <w:kern w:val="2"/>
          <w:sz w:val="21"/>
          <w:szCs w:val="24"/>
          <w:highlight w:val="none"/>
          <w:lang w:val="en-US" w:eastAsia="zh-CN" w:bidi="ar-SA"/>
        </w:rPr>
      </w:pPr>
      <w:r>
        <w:rPr>
          <w:rFonts w:hint="eastAsia" w:cs="宋体"/>
          <w:b/>
          <w:bCs/>
          <w:color w:val="auto"/>
          <w:kern w:val="2"/>
          <w:sz w:val="21"/>
          <w:szCs w:val="24"/>
          <w:highlight w:val="none"/>
          <w:lang w:val="en-US" w:eastAsia="zh-CN" w:bidi="ar-SA"/>
        </w:rPr>
        <w:t>二、采购标的清单：</w:t>
      </w:r>
    </w:p>
    <w:tbl>
      <w:tblPr>
        <w:tblStyle w:val="34"/>
        <w:tblW w:w="8781" w:type="dxa"/>
        <w:tblInd w:w="3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649"/>
        <w:gridCol w:w="1849"/>
        <w:gridCol w:w="1077"/>
        <w:gridCol w:w="882"/>
        <w:gridCol w:w="1747"/>
        <w:gridCol w:w="865"/>
        <w:gridCol w:w="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21" w:type="dxa"/>
            <w:vAlign w:val="center"/>
          </w:tcPr>
          <w:p>
            <w:pPr>
              <w:pStyle w:val="24"/>
              <w:numPr>
                <w:ilvl w:val="0"/>
                <w:numId w:val="0"/>
              </w:numPr>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包号</w:t>
            </w:r>
          </w:p>
        </w:tc>
        <w:tc>
          <w:tcPr>
            <w:tcW w:w="649" w:type="dxa"/>
            <w:vAlign w:val="center"/>
          </w:tcPr>
          <w:p>
            <w:pPr>
              <w:pStyle w:val="24"/>
              <w:numPr>
                <w:ilvl w:val="0"/>
                <w:numId w:val="0"/>
              </w:numPr>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序号</w:t>
            </w:r>
          </w:p>
        </w:tc>
        <w:tc>
          <w:tcPr>
            <w:tcW w:w="1849" w:type="dxa"/>
            <w:vAlign w:val="center"/>
          </w:tcPr>
          <w:p>
            <w:pPr>
              <w:pStyle w:val="24"/>
              <w:numPr>
                <w:ilvl w:val="0"/>
                <w:numId w:val="0"/>
              </w:numPr>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标的名称</w:t>
            </w:r>
          </w:p>
        </w:tc>
        <w:tc>
          <w:tcPr>
            <w:tcW w:w="1077" w:type="dxa"/>
            <w:vAlign w:val="center"/>
          </w:tcPr>
          <w:p>
            <w:pPr>
              <w:pStyle w:val="24"/>
              <w:numPr>
                <w:ilvl w:val="0"/>
                <w:numId w:val="0"/>
              </w:numPr>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单位</w:t>
            </w:r>
          </w:p>
        </w:tc>
        <w:tc>
          <w:tcPr>
            <w:tcW w:w="882" w:type="dxa"/>
            <w:vAlign w:val="center"/>
          </w:tcPr>
          <w:p>
            <w:pPr>
              <w:pStyle w:val="24"/>
              <w:numPr>
                <w:ilvl w:val="0"/>
                <w:numId w:val="0"/>
              </w:numPr>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数量</w:t>
            </w:r>
          </w:p>
        </w:tc>
        <w:tc>
          <w:tcPr>
            <w:tcW w:w="1747" w:type="dxa"/>
            <w:vAlign w:val="center"/>
          </w:tcPr>
          <w:p>
            <w:pPr>
              <w:pStyle w:val="24"/>
              <w:numPr>
                <w:ilvl w:val="0"/>
                <w:numId w:val="0"/>
              </w:numPr>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资金</w:t>
            </w:r>
          </w:p>
          <w:p>
            <w:pPr>
              <w:pStyle w:val="24"/>
              <w:numPr>
                <w:ilvl w:val="0"/>
                <w:numId w:val="0"/>
              </w:numPr>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预算</w:t>
            </w:r>
          </w:p>
        </w:tc>
        <w:tc>
          <w:tcPr>
            <w:tcW w:w="865" w:type="dxa"/>
            <w:vAlign w:val="center"/>
          </w:tcPr>
          <w:p>
            <w:pPr>
              <w:pStyle w:val="24"/>
              <w:numPr>
                <w:ilvl w:val="0"/>
                <w:numId w:val="0"/>
              </w:numPr>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资金</w:t>
            </w:r>
          </w:p>
          <w:p>
            <w:pPr>
              <w:pStyle w:val="24"/>
              <w:numPr>
                <w:ilvl w:val="0"/>
                <w:numId w:val="0"/>
              </w:numPr>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性质</w:t>
            </w:r>
          </w:p>
        </w:tc>
        <w:tc>
          <w:tcPr>
            <w:tcW w:w="991" w:type="dxa"/>
            <w:vAlign w:val="center"/>
          </w:tcPr>
          <w:p>
            <w:pPr>
              <w:pStyle w:val="24"/>
              <w:numPr>
                <w:ilvl w:val="0"/>
                <w:numId w:val="0"/>
              </w:numPr>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国产/</w:t>
            </w:r>
          </w:p>
          <w:p>
            <w:pPr>
              <w:pStyle w:val="24"/>
              <w:numPr>
                <w:ilvl w:val="0"/>
                <w:numId w:val="0"/>
              </w:numPr>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vertAlign w:val="baseline"/>
                <w:lang w:val="en-US" w:eastAsia="zh-CN"/>
              </w:rPr>
              <w:t>1</w:t>
            </w:r>
          </w:p>
        </w:tc>
        <w:tc>
          <w:tcPr>
            <w:tcW w:w="64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vertAlign w:val="baseline"/>
                <w:lang w:val="en-US" w:eastAsia="zh-CN"/>
              </w:rPr>
              <w:t>1</w:t>
            </w:r>
          </w:p>
        </w:tc>
        <w:tc>
          <w:tcPr>
            <w:tcW w:w="1849" w:type="dxa"/>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vertAlign w:val="baseline"/>
                <w:lang w:val="en-US" w:eastAsia="zh-CN"/>
              </w:rPr>
              <w:t>异物钳</w:t>
            </w:r>
          </w:p>
        </w:tc>
        <w:tc>
          <w:tcPr>
            <w:tcW w:w="107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vertAlign w:val="baseline"/>
                <w:lang w:val="en-US" w:eastAsia="zh-CN"/>
              </w:rPr>
              <w:t>个</w:t>
            </w:r>
          </w:p>
        </w:tc>
        <w:tc>
          <w:tcPr>
            <w:tcW w:w="8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vertAlign w:val="baseline"/>
                <w:lang w:val="en-US" w:eastAsia="zh-CN"/>
              </w:rPr>
              <w:t>/</w:t>
            </w:r>
          </w:p>
        </w:tc>
        <w:tc>
          <w:tcPr>
            <w:tcW w:w="1747" w:type="dxa"/>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vertAlign w:val="baseline"/>
                <w:lang w:val="en-US" w:eastAsia="zh-CN"/>
              </w:rPr>
              <w:t>38万</w:t>
            </w:r>
          </w:p>
        </w:tc>
        <w:tc>
          <w:tcPr>
            <w:tcW w:w="86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vertAlign w:val="baseline"/>
                <w:lang w:val="en-US" w:eastAsia="zh-CN"/>
              </w:rPr>
              <w:t>自筹</w:t>
            </w:r>
          </w:p>
        </w:tc>
        <w:tc>
          <w:tcPr>
            <w:tcW w:w="99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vertAlign w:val="baseline"/>
                <w:lang w:val="en-US" w:eastAsia="zh-CN"/>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sz w:val="21"/>
                <w:szCs w:val="21"/>
                <w:vertAlign w:val="baseline"/>
                <w:lang w:val="en-US" w:eastAsia="zh-CN"/>
              </w:rPr>
              <w:t>2</w:t>
            </w:r>
          </w:p>
        </w:tc>
        <w:tc>
          <w:tcPr>
            <w:tcW w:w="64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sz w:val="21"/>
                <w:szCs w:val="21"/>
                <w:vertAlign w:val="baseline"/>
                <w:lang w:val="en-US" w:eastAsia="zh-CN"/>
              </w:rPr>
              <w:t>2</w:t>
            </w:r>
          </w:p>
        </w:tc>
        <w:tc>
          <w:tcPr>
            <w:tcW w:w="1849" w:type="dxa"/>
            <w:vAlign w:val="center"/>
          </w:tcPr>
          <w:p>
            <w:pPr>
              <w:jc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sz w:val="21"/>
                <w:szCs w:val="21"/>
                <w:vertAlign w:val="baseline"/>
                <w:lang w:val="en-US" w:eastAsia="zh-CN"/>
              </w:rPr>
              <w:t>取石网篮</w:t>
            </w:r>
          </w:p>
        </w:tc>
        <w:tc>
          <w:tcPr>
            <w:tcW w:w="107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sz w:val="21"/>
                <w:szCs w:val="21"/>
                <w:vertAlign w:val="baseline"/>
                <w:lang w:val="en-US" w:eastAsia="zh-CN"/>
              </w:rPr>
              <w:t>个</w:t>
            </w:r>
          </w:p>
        </w:tc>
        <w:tc>
          <w:tcPr>
            <w:tcW w:w="8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sz w:val="21"/>
                <w:szCs w:val="21"/>
                <w:vertAlign w:val="baseline"/>
                <w:lang w:val="en-US" w:eastAsia="zh-CN"/>
              </w:rPr>
              <w:t>/</w:t>
            </w:r>
          </w:p>
        </w:tc>
        <w:tc>
          <w:tcPr>
            <w:tcW w:w="1747" w:type="dxa"/>
            <w:vAlign w:val="center"/>
          </w:tcPr>
          <w:p>
            <w:pPr>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sz w:val="21"/>
                <w:szCs w:val="21"/>
                <w:vertAlign w:val="baseline"/>
                <w:lang w:val="en-US" w:eastAsia="zh-CN"/>
              </w:rPr>
              <w:t>5万</w:t>
            </w:r>
          </w:p>
        </w:tc>
        <w:tc>
          <w:tcPr>
            <w:tcW w:w="86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vertAlign w:val="baseline"/>
                <w:lang w:val="en-US" w:eastAsia="zh-CN"/>
              </w:rPr>
              <w:t>自筹</w:t>
            </w:r>
          </w:p>
        </w:tc>
        <w:tc>
          <w:tcPr>
            <w:tcW w:w="99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vertAlign w:val="baseline"/>
                <w:lang w:val="en-US" w:eastAsia="zh-CN"/>
              </w:rPr>
              <w:t>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sz w:val="21"/>
                <w:szCs w:val="21"/>
                <w:vertAlign w:val="baseline"/>
                <w:lang w:val="en-US" w:eastAsia="zh-CN"/>
              </w:rPr>
              <w:t>2</w:t>
            </w:r>
          </w:p>
        </w:tc>
        <w:tc>
          <w:tcPr>
            <w:tcW w:w="64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sz w:val="21"/>
                <w:szCs w:val="21"/>
                <w:vertAlign w:val="baseline"/>
                <w:lang w:val="en-US" w:eastAsia="zh-CN"/>
              </w:rPr>
              <w:t>3</w:t>
            </w:r>
          </w:p>
        </w:tc>
        <w:tc>
          <w:tcPr>
            <w:tcW w:w="1849" w:type="dxa"/>
            <w:vAlign w:val="center"/>
          </w:tcPr>
          <w:p>
            <w:pPr>
              <w:jc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sz w:val="21"/>
                <w:szCs w:val="21"/>
                <w:vertAlign w:val="baseline"/>
                <w:lang w:val="en-US" w:eastAsia="zh-CN"/>
              </w:rPr>
              <w:t>胆道镜三通</w:t>
            </w:r>
          </w:p>
        </w:tc>
        <w:tc>
          <w:tcPr>
            <w:tcW w:w="107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sz w:val="21"/>
                <w:szCs w:val="21"/>
                <w:vertAlign w:val="baseline"/>
                <w:lang w:val="en-US" w:eastAsia="zh-CN"/>
              </w:rPr>
              <w:t>个</w:t>
            </w:r>
          </w:p>
        </w:tc>
        <w:tc>
          <w:tcPr>
            <w:tcW w:w="8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sz w:val="21"/>
                <w:szCs w:val="21"/>
                <w:vertAlign w:val="baseline"/>
                <w:lang w:val="en-US" w:eastAsia="zh-CN"/>
              </w:rPr>
              <w:t>/</w:t>
            </w:r>
          </w:p>
        </w:tc>
        <w:tc>
          <w:tcPr>
            <w:tcW w:w="1747" w:type="dxa"/>
            <w:vAlign w:val="center"/>
          </w:tcPr>
          <w:p>
            <w:pPr>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sz w:val="21"/>
                <w:szCs w:val="21"/>
                <w:vertAlign w:val="baseline"/>
                <w:lang w:val="en-US" w:eastAsia="zh-CN"/>
              </w:rPr>
              <w:t>3万</w:t>
            </w:r>
          </w:p>
        </w:tc>
        <w:tc>
          <w:tcPr>
            <w:tcW w:w="86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vertAlign w:val="baseline"/>
                <w:lang w:val="en-US" w:eastAsia="zh-CN"/>
              </w:rPr>
              <w:t>自筹</w:t>
            </w:r>
          </w:p>
        </w:tc>
        <w:tc>
          <w:tcPr>
            <w:tcW w:w="99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vertAlign w:val="baseline"/>
                <w:lang w:val="en-US" w:eastAsia="zh-CN"/>
              </w:rPr>
              <w:t>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70" w:type="dxa"/>
            <w:gridSpan w:val="2"/>
            <w:vAlign w:val="center"/>
          </w:tcPr>
          <w:p>
            <w:pPr>
              <w:spacing w:line="5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rPr>
              <w:t>合计</w:t>
            </w:r>
          </w:p>
        </w:tc>
        <w:tc>
          <w:tcPr>
            <w:tcW w:w="1849" w:type="dxa"/>
            <w:vAlign w:val="center"/>
          </w:tcPr>
          <w:p>
            <w:pPr>
              <w:spacing w:line="560" w:lineRule="exact"/>
              <w:jc w:val="center"/>
              <w:rPr>
                <w:rFonts w:hint="eastAsia" w:ascii="宋体" w:hAnsi="宋体" w:eastAsia="宋体" w:cs="宋体"/>
                <w:color w:val="auto"/>
                <w:sz w:val="21"/>
                <w:szCs w:val="21"/>
                <w:highlight w:val="none"/>
                <w:lang w:val="en-US" w:eastAsia="zh-CN"/>
              </w:rPr>
            </w:pPr>
          </w:p>
        </w:tc>
        <w:tc>
          <w:tcPr>
            <w:tcW w:w="107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年</w:t>
            </w:r>
          </w:p>
        </w:tc>
        <w:tc>
          <w:tcPr>
            <w:tcW w:w="8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1</w:t>
            </w:r>
          </w:p>
        </w:tc>
        <w:tc>
          <w:tcPr>
            <w:tcW w:w="17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000000" w:themeColor="text1"/>
                <w:sz w:val="21"/>
                <w:szCs w:val="21"/>
                <w:highlight w:val="none"/>
                <w:vertAlign w:val="baseline"/>
                <w:lang w:val="en-US" w:eastAsia="zh-CN"/>
                <w14:textFill>
                  <w14:solidFill>
                    <w14:schemeClr w14:val="tx1"/>
                  </w14:solidFill>
                </w14:textFill>
              </w:rPr>
              <w:t>46</w:t>
            </w: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万元</w:t>
            </w:r>
          </w:p>
        </w:tc>
        <w:tc>
          <w:tcPr>
            <w:tcW w:w="865" w:type="dxa"/>
            <w:vAlign w:val="center"/>
          </w:tcPr>
          <w:p>
            <w:pPr>
              <w:pStyle w:val="24"/>
              <w:numPr>
                <w:ilvl w:val="0"/>
                <w:numId w:val="0"/>
              </w:numPr>
              <w:jc w:val="center"/>
              <w:rPr>
                <w:rFonts w:hint="eastAsia" w:ascii="宋体" w:hAnsi="宋体" w:eastAsia="宋体" w:cs="宋体"/>
                <w:color w:val="auto"/>
                <w:sz w:val="21"/>
                <w:szCs w:val="21"/>
                <w:highlight w:val="none"/>
                <w:lang w:val="en-US" w:eastAsia="zh-CN"/>
              </w:rPr>
            </w:pPr>
          </w:p>
        </w:tc>
        <w:tc>
          <w:tcPr>
            <w:tcW w:w="991" w:type="dxa"/>
            <w:vAlign w:val="center"/>
          </w:tcPr>
          <w:p>
            <w:pPr>
              <w:pStyle w:val="24"/>
              <w:numPr>
                <w:ilvl w:val="0"/>
                <w:numId w:val="0"/>
              </w:numPr>
              <w:jc w:val="center"/>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70" w:type="dxa"/>
            <w:gridSpan w:val="2"/>
            <w:vAlign w:val="center"/>
          </w:tcPr>
          <w:p>
            <w:pPr>
              <w:pStyle w:val="24"/>
              <w:numPr>
                <w:ilvl w:val="0"/>
                <w:numId w:val="0"/>
              </w:num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c>
          <w:tcPr>
            <w:tcW w:w="7411" w:type="dxa"/>
            <w:gridSpan w:val="6"/>
            <w:vAlign w:val="center"/>
          </w:tcPr>
          <w:p>
            <w:pPr>
              <w:pStyle w:val="24"/>
              <w:tabs>
                <w:tab w:val="left" w:pos="568"/>
              </w:tabs>
              <w:spacing w:line="240" w:lineRule="auto"/>
              <w:ind w:firstLine="420" w:firstLineChars="20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招一家供应商</w:t>
            </w:r>
            <w:r>
              <w:rPr>
                <w:rFonts w:hint="eastAsia" w:ascii="宋体" w:hAnsi="宋体" w:cs="宋体"/>
                <w:color w:val="auto"/>
                <w:sz w:val="21"/>
                <w:szCs w:val="21"/>
                <w:highlight w:val="none"/>
                <w:lang w:val="en-US" w:eastAsia="zh-CN"/>
              </w:rPr>
              <w:t>，费用据实结算，年总预算46万元</w:t>
            </w:r>
          </w:p>
        </w:tc>
      </w:tr>
    </w:tbl>
    <w:p>
      <w:pPr>
        <w:pStyle w:val="24"/>
        <w:tabs>
          <w:tab w:val="left" w:pos="568"/>
        </w:tabs>
        <w:spacing w:line="240" w:lineRule="auto"/>
        <w:jc w:val="both"/>
        <w:rPr>
          <w:rFonts w:hint="eastAsia" w:ascii="宋体" w:hAnsi="宋体" w:eastAsia="宋体" w:cs="宋体"/>
          <w:b/>
          <w:bCs/>
          <w:color w:val="auto"/>
          <w:spacing w:val="28"/>
          <w:sz w:val="21"/>
          <w:szCs w:val="21"/>
          <w:highlight w:val="none"/>
        </w:rPr>
      </w:pP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2" w:firstLineChars="200"/>
        <w:jc w:val="both"/>
        <w:textAlignment w:val="auto"/>
        <w:rPr>
          <w:rFonts w:hint="eastAsia" w:ascii="宋体" w:hAnsi="宋体" w:cs="宋体"/>
          <w:b/>
          <w:bCs/>
          <w:color w:val="auto"/>
          <w:kern w:val="2"/>
          <w:sz w:val="21"/>
          <w:szCs w:val="24"/>
          <w:highlight w:val="none"/>
          <w:lang w:val="en-US" w:eastAsia="zh-CN" w:bidi="ar-SA"/>
        </w:rPr>
      </w:pPr>
      <w:r>
        <w:rPr>
          <w:rFonts w:hint="eastAsia" w:ascii="宋体" w:hAnsi="宋体" w:cs="宋体"/>
          <w:b/>
          <w:bCs/>
          <w:color w:val="auto"/>
          <w:kern w:val="2"/>
          <w:sz w:val="21"/>
          <w:szCs w:val="24"/>
          <w:highlight w:val="none"/>
          <w:lang w:val="en-US" w:eastAsia="zh-CN" w:bidi="ar-SA"/>
        </w:rPr>
        <w:t>三、技术要求及其他要求：</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heme="minorEastAsia" w:hAnsiTheme="minorEastAsia" w:eastAsiaTheme="minorEastAsia" w:cstheme="minorEastAsia"/>
          <w:iCs/>
          <w:color w:val="auto"/>
          <w:sz w:val="21"/>
          <w:szCs w:val="21"/>
          <w:highlight w:val="none"/>
        </w:rPr>
      </w:pPr>
      <w:r>
        <w:rPr>
          <w:rFonts w:hint="eastAsia" w:asciiTheme="minorEastAsia" w:hAnsiTheme="minorEastAsia" w:eastAsiaTheme="minorEastAsia" w:cstheme="minorEastAsia"/>
          <w:iCs/>
          <w:color w:val="auto"/>
          <w:sz w:val="21"/>
          <w:szCs w:val="21"/>
          <w:highlight w:val="none"/>
        </w:rPr>
        <w:t>1.技术要求</w:t>
      </w:r>
    </w:p>
    <w:tbl>
      <w:tblPr>
        <w:tblStyle w:val="34"/>
        <w:tblW w:w="91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6"/>
        <w:gridCol w:w="1445"/>
        <w:gridCol w:w="3150"/>
        <w:gridCol w:w="1860"/>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6" w:type="dxa"/>
            <w:vAlign w:val="center"/>
          </w:tcPr>
          <w:p>
            <w:pPr>
              <w:keepNext w:val="0"/>
              <w:keepLines w:val="0"/>
              <w:pageBreakBefore w:val="0"/>
              <w:kinsoku/>
              <w:wordWrap/>
              <w:overflowPunct/>
              <w:topLinePunct w:val="0"/>
              <w:autoSpaceDE/>
              <w:autoSpaceDN/>
              <w:bidi w:val="0"/>
              <w:snapToGrid w:val="0"/>
              <w:spacing w:line="360" w:lineRule="auto"/>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序号</w:t>
            </w:r>
          </w:p>
        </w:tc>
        <w:tc>
          <w:tcPr>
            <w:tcW w:w="1445" w:type="dxa"/>
            <w:vAlign w:val="center"/>
          </w:tcPr>
          <w:p>
            <w:pPr>
              <w:keepNext w:val="0"/>
              <w:keepLines w:val="0"/>
              <w:pageBreakBefore w:val="0"/>
              <w:kinsoku/>
              <w:wordWrap/>
              <w:overflowPunct/>
              <w:topLinePunct w:val="0"/>
              <w:autoSpaceDE/>
              <w:autoSpaceDN/>
              <w:bidi w:val="0"/>
              <w:snapToGrid w:val="0"/>
              <w:spacing w:line="360" w:lineRule="auto"/>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项目</w:t>
            </w:r>
          </w:p>
        </w:tc>
        <w:tc>
          <w:tcPr>
            <w:tcW w:w="3150" w:type="dxa"/>
            <w:vAlign w:val="center"/>
          </w:tcPr>
          <w:p>
            <w:pPr>
              <w:keepNext w:val="0"/>
              <w:keepLines w:val="0"/>
              <w:pageBreakBefore w:val="0"/>
              <w:kinsoku/>
              <w:wordWrap/>
              <w:overflowPunct/>
              <w:topLinePunct w:val="0"/>
              <w:autoSpaceDE/>
              <w:autoSpaceDN/>
              <w:bidi w:val="0"/>
              <w:snapToGrid w:val="0"/>
              <w:spacing w:line="360" w:lineRule="auto"/>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技术参数要求</w:t>
            </w:r>
          </w:p>
        </w:tc>
        <w:tc>
          <w:tcPr>
            <w:tcW w:w="1860" w:type="dxa"/>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控制价（元）</w:t>
            </w:r>
          </w:p>
        </w:tc>
        <w:tc>
          <w:tcPr>
            <w:tcW w:w="1860" w:type="dxa"/>
            <w:vAlign w:val="center"/>
          </w:tcPr>
          <w:p>
            <w:pPr>
              <w:keepNext w:val="0"/>
              <w:keepLines w:val="0"/>
              <w:pageBreakBefore w:val="0"/>
              <w:kinsoku/>
              <w:wordWrap/>
              <w:overflowPunct/>
              <w:topLinePunct w:val="0"/>
              <w:autoSpaceDE/>
              <w:autoSpaceDN/>
              <w:bidi w:val="0"/>
              <w:snapToGrid w:val="0"/>
              <w:spacing w:line="360" w:lineRule="auto"/>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6"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360" w:lineRule="auto"/>
              <w:jc w:val="center"/>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1</w:t>
            </w:r>
          </w:p>
        </w:tc>
        <w:tc>
          <w:tcPr>
            <w:tcW w:w="1445"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360" w:lineRule="auto"/>
              <w:jc w:val="center"/>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异物钳</w:t>
            </w:r>
          </w:p>
        </w:tc>
        <w:tc>
          <w:tcPr>
            <w:tcW w:w="3150"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360" w:lineRule="auto"/>
              <w:jc w:val="center"/>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zh-CN"/>
              </w:rPr>
              <w:t>Φ1.6</w:t>
            </w:r>
            <w:r>
              <w:rPr>
                <w:rFonts w:hint="eastAsia" w:asciiTheme="minorEastAsia" w:hAnsiTheme="minorEastAsia" w:eastAsiaTheme="minorEastAsia" w:cstheme="minorEastAsia"/>
                <w:color w:val="auto"/>
                <w:kern w:val="0"/>
                <w:sz w:val="21"/>
                <w:szCs w:val="21"/>
                <w:highlight w:val="none"/>
                <w:lang w:val="zh-CN" w:eastAsia="zh-CN"/>
              </w:rPr>
              <w:t>，</w:t>
            </w:r>
            <w:r>
              <w:rPr>
                <w:rFonts w:hint="eastAsia" w:asciiTheme="minorEastAsia" w:hAnsiTheme="minorEastAsia" w:eastAsiaTheme="minorEastAsia" w:cstheme="minorEastAsia"/>
                <w:color w:val="auto"/>
                <w:kern w:val="0"/>
                <w:sz w:val="21"/>
                <w:szCs w:val="21"/>
                <w:highlight w:val="none"/>
                <w:lang w:val="zh-CN"/>
              </w:rPr>
              <w:t>插入部分最大宽度≤1.7</w:t>
            </w:r>
            <w:r>
              <w:rPr>
                <w:rFonts w:hint="eastAsia" w:asciiTheme="minorEastAsia" w:hAnsiTheme="minorEastAsia" w:eastAsiaTheme="minorEastAsia" w:cstheme="minorEastAsia"/>
                <w:color w:val="auto"/>
                <w:kern w:val="0"/>
                <w:sz w:val="21"/>
                <w:szCs w:val="21"/>
                <w:highlight w:val="none"/>
                <w:lang w:val="zh-CN" w:eastAsia="zh-CN"/>
              </w:rPr>
              <w:t>，</w:t>
            </w:r>
            <w:r>
              <w:rPr>
                <w:rFonts w:hint="eastAsia" w:asciiTheme="minorEastAsia" w:hAnsiTheme="minorEastAsia" w:eastAsiaTheme="minorEastAsia" w:cstheme="minorEastAsia"/>
                <w:color w:val="auto"/>
                <w:kern w:val="0"/>
                <w:sz w:val="21"/>
                <w:szCs w:val="21"/>
                <w:highlight w:val="none"/>
                <w:lang w:val="en-US" w:eastAsia="zh-CN"/>
              </w:rPr>
              <w:t>可高温高压消毒</w:t>
            </w:r>
          </w:p>
        </w:tc>
        <w:tc>
          <w:tcPr>
            <w:tcW w:w="1860" w:type="dxa"/>
            <w:vAlign w:val="center"/>
          </w:tcPr>
          <w:p>
            <w:pPr>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sz w:val="21"/>
                <w:szCs w:val="21"/>
                <w:vertAlign w:val="baseline"/>
                <w:lang w:val="en-US" w:eastAsia="zh-CN"/>
              </w:rPr>
              <w:t>2200</w:t>
            </w:r>
          </w:p>
        </w:tc>
        <w:tc>
          <w:tcPr>
            <w:tcW w:w="1860"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360" w:lineRule="auto"/>
              <w:jc w:val="center"/>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输尿管镜专用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6"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360" w:lineRule="auto"/>
              <w:jc w:val="center"/>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2</w:t>
            </w:r>
          </w:p>
        </w:tc>
        <w:tc>
          <w:tcPr>
            <w:tcW w:w="1445"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360" w:lineRule="auto"/>
              <w:jc w:val="center"/>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取石网篮</w:t>
            </w:r>
          </w:p>
        </w:tc>
        <w:tc>
          <w:tcPr>
            <w:tcW w:w="3150"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360" w:lineRule="auto"/>
              <w:jc w:val="center"/>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通道直径2.0mm，开幅直径22mm</w:t>
            </w:r>
          </w:p>
        </w:tc>
        <w:tc>
          <w:tcPr>
            <w:tcW w:w="1860" w:type="dxa"/>
            <w:vAlign w:val="center"/>
          </w:tcPr>
          <w:p>
            <w:pPr>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sz w:val="21"/>
                <w:szCs w:val="21"/>
                <w:vertAlign w:val="baseline"/>
                <w:lang w:val="en-US" w:eastAsia="zh-CN"/>
              </w:rPr>
              <w:t>3100</w:t>
            </w:r>
          </w:p>
        </w:tc>
        <w:tc>
          <w:tcPr>
            <w:tcW w:w="1860"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360" w:lineRule="auto"/>
              <w:jc w:val="center"/>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胆道镜专用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6"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360" w:lineRule="auto"/>
              <w:jc w:val="center"/>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3</w:t>
            </w:r>
          </w:p>
        </w:tc>
        <w:tc>
          <w:tcPr>
            <w:tcW w:w="1445"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360" w:lineRule="auto"/>
              <w:jc w:val="center"/>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胆道镜三通</w:t>
            </w:r>
          </w:p>
        </w:tc>
        <w:tc>
          <w:tcPr>
            <w:tcW w:w="3150"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360" w:lineRule="auto"/>
              <w:ind w:firstLine="420" w:firstLineChars="200"/>
              <w:jc w:val="center"/>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2.0mm</w:t>
            </w:r>
          </w:p>
        </w:tc>
        <w:tc>
          <w:tcPr>
            <w:tcW w:w="1860" w:type="dxa"/>
            <w:vAlign w:val="center"/>
          </w:tcPr>
          <w:p>
            <w:pPr>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sz w:val="21"/>
                <w:szCs w:val="21"/>
                <w:vertAlign w:val="baseline"/>
                <w:lang w:val="en-US" w:eastAsia="zh-CN"/>
              </w:rPr>
              <w:t>3100</w:t>
            </w:r>
          </w:p>
        </w:tc>
        <w:tc>
          <w:tcPr>
            <w:tcW w:w="1860"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360" w:lineRule="auto"/>
              <w:jc w:val="center"/>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胆道镜专用</w:t>
            </w:r>
          </w:p>
        </w:tc>
      </w:tr>
    </w:tbl>
    <w:p>
      <w:pPr>
        <w:bidi w:val="0"/>
        <w:rPr>
          <w:rFonts w:hint="eastAsia"/>
          <w:lang w:val="en-US" w:eastAsia="zh-CN"/>
        </w:rPr>
      </w:pPr>
    </w:p>
    <w:p>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360" w:lineRule="auto"/>
        <w:ind w:firstLine="210" w:firstLineChars="10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en-US" w:eastAsia="zh-CN"/>
        </w:rPr>
        <w:t xml:space="preserve">  2.</w:t>
      </w:r>
      <w:r>
        <w:rPr>
          <w:rFonts w:hint="eastAsia" w:asciiTheme="minorEastAsia" w:hAnsiTheme="minorEastAsia" w:eastAsiaTheme="minorEastAsia" w:cstheme="minorEastAsia"/>
          <w:color w:val="auto"/>
          <w:kern w:val="0"/>
          <w:sz w:val="21"/>
          <w:szCs w:val="21"/>
          <w:highlight w:val="none"/>
          <w:lang w:val="zh-CN"/>
        </w:rPr>
        <w:t>所供产品的医疗器械质量应符合国家有关法律、法规，以及行业质量标淮的要求，医疗器械应随货附当批次质量检验报告：进口商品须符合进口医疗器械管理办法，且随货应附报关单和合格证明文件。</w:t>
      </w:r>
    </w:p>
    <w:p>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360" w:lineRule="auto"/>
        <w:ind w:firstLine="210" w:firstLineChars="10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en-US" w:eastAsia="zh-CN"/>
        </w:rPr>
        <w:t xml:space="preserve">  3.</w:t>
      </w:r>
      <w:r>
        <w:rPr>
          <w:rFonts w:hint="eastAsia" w:asciiTheme="minorEastAsia" w:hAnsiTheme="minorEastAsia" w:eastAsiaTheme="minorEastAsia" w:cstheme="minorEastAsia"/>
          <w:color w:val="auto"/>
          <w:kern w:val="0"/>
          <w:sz w:val="21"/>
          <w:szCs w:val="21"/>
          <w:highlight w:val="none"/>
          <w:lang w:val="zh-CN"/>
        </w:rPr>
        <w:t>医疗器械的包装应符合国家有关标准或行业标淮，并保证适合运输、储存。</w:t>
      </w:r>
    </w:p>
    <w:p>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360" w:lineRule="auto"/>
        <w:ind w:firstLine="210" w:firstLineChars="10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en-US" w:eastAsia="zh-CN"/>
        </w:rPr>
        <w:t xml:space="preserve">  4.</w:t>
      </w:r>
      <w:r>
        <w:rPr>
          <w:rFonts w:hint="eastAsia" w:asciiTheme="minorEastAsia" w:hAnsiTheme="minorEastAsia" w:eastAsiaTheme="minorEastAsia" w:cstheme="minorEastAsia"/>
          <w:color w:val="auto"/>
          <w:kern w:val="0"/>
          <w:sz w:val="21"/>
          <w:szCs w:val="21"/>
          <w:highlight w:val="none"/>
          <w:lang w:val="zh-CN"/>
        </w:rPr>
        <w:t>提供的</w:t>
      </w:r>
      <w:r>
        <w:rPr>
          <w:rFonts w:hint="eastAsia" w:asciiTheme="minorEastAsia" w:hAnsiTheme="minorEastAsia" w:eastAsiaTheme="minorEastAsia" w:cstheme="minorEastAsia"/>
          <w:color w:val="auto"/>
          <w:kern w:val="0"/>
          <w:sz w:val="21"/>
          <w:szCs w:val="21"/>
          <w:highlight w:val="none"/>
          <w:lang w:val="en-US" w:eastAsia="zh-CN"/>
        </w:rPr>
        <w:t>器械</w:t>
      </w:r>
      <w:r>
        <w:rPr>
          <w:rFonts w:hint="eastAsia" w:asciiTheme="minorEastAsia" w:hAnsiTheme="minorEastAsia" w:eastAsiaTheme="minorEastAsia" w:cstheme="minorEastAsia"/>
          <w:color w:val="auto"/>
          <w:kern w:val="0"/>
          <w:sz w:val="21"/>
          <w:szCs w:val="21"/>
          <w:highlight w:val="none"/>
          <w:lang w:val="zh-CN"/>
        </w:rPr>
        <w:t>必须是合格出厂的全新（含零部件、配件等）产品，全部外观表面无划伤、无碰撞痕迹，产品所有权及自身涉及的各项知识产权权属清楚，不得存在侵害他人知识产权和其他权益的情形。</w:t>
      </w:r>
    </w:p>
    <w:p>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360" w:lineRule="auto"/>
        <w:ind w:firstLine="210" w:firstLineChars="10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en-US" w:eastAsia="zh-CN"/>
        </w:rPr>
        <w:t xml:space="preserve">  5.器械</w:t>
      </w:r>
      <w:r>
        <w:rPr>
          <w:rFonts w:hint="eastAsia" w:asciiTheme="minorEastAsia" w:hAnsiTheme="minorEastAsia" w:eastAsiaTheme="minorEastAsia" w:cstheme="minorEastAsia"/>
          <w:color w:val="auto"/>
          <w:kern w:val="0"/>
          <w:sz w:val="21"/>
          <w:szCs w:val="21"/>
          <w:highlight w:val="none"/>
          <w:lang w:val="zh-CN"/>
        </w:rPr>
        <w:t>出厂时必须符合或优于国家(没有国标时，以行标）新标准，同时符合本项目招标文件确定的各项质量要求和技术指标及出厂标准。</w:t>
      </w:r>
    </w:p>
    <w:p>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360" w:lineRule="auto"/>
        <w:ind w:firstLine="210" w:firstLineChars="100"/>
        <w:jc w:val="left"/>
        <w:textAlignment w:val="auto"/>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Theme="minorEastAsia" w:hAnsiTheme="minorEastAsia" w:eastAsiaTheme="minorEastAsia" w:cstheme="minorEastAsia"/>
          <w:color w:val="auto"/>
          <w:kern w:val="0"/>
          <w:sz w:val="21"/>
          <w:szCs w:val="21"/>
          <w:highlight w:val="none"/>
          <w:lang w:val="en-US" w:eastAsia="zh-CN"/>
        </w:rPr>
        <w:t xml:space="preserve">  6.器械</w:t>
      </w:r>
      <w:r>
        <w:rPr>
          <w:rFonts w:hint="eastAsia" w:asciiTheme="minorEastAsia" w:hAnsiTheme="minorEastAsia" w:eastAsiaTheme="minorEastAsia" w:cstheme="minorEastAsia"/>
          <w:color w:val="auto"/>
          <w:kern w:val="0"/>
          <w:sz w:val="21"/>
          <w:szCs w:val="21"/>
          <w:highlight w:val="none"/>
          <w:lang w:val="zh-CN"/>
        </w:rPr>
        <w:t>的制造质量存在或出现问题时，必须负责三包（包修、包换、包退），有权亲自派员或委托第三方到生产或仓储现场查验标的物质量或生产进度。</w:t>
      </w:r>
    </w:p>
    <w:p>
      <w:pPr>
        <w:pStyle w:val="24"/>
        <w:rPr>
          <w:rFonts w:hint="default" w:ascii="仿宋" w:hAnsi="仿宋" w:eastAsia="仿宋" w:cs="仿宋"/>
          <w:b w:val="0"/>
          <w:bCs w:val="0"/>
          <w:color w:val="000000" w:themeColor="text1"/>
          <w:kern w:val="2"/>
          <w:sz w:val="32"/>
          <w:szCs w:val="32"/>
          <w:highlight w:val="none"/>
          <w:lang w:val="en-US" w:eastAsia="zh-CN" w:bidi="ar-SA"/>
          <w14:textFill>
            <w14:solidFill>
              <w14:schemeClr w14:val="tx1"/>
            </w14:solidFill>
          </w14:textFill>
        </w:rPr>
      </w:pPr>
    </w:p>
    <w:p>
      <w:pPr>
        <w:rPr>
          <w:rFonts w:ascii="Times New Roman" w:hAnsi="Times New Roman" w:eastAsia="宋体"/>
          <w:color w:val="auto"/>
          <w:szCs w:val="21"/>
          <w:highlight w:val="none"/>
        </w:rPr>
      </w:pPr>
      <w:r>
        <w:rPr>
          <w:rFonts w:ascii="Times New Roman" w:hAnsi="Times New Roman" w:eastAsia="宋体"/>
          <w:color w:val="auto"/>
          <w:szCs w:val="21"/>
          <w:highlight w:val="none"/>
        </w:rPr>
        <w:br w:type="page"/>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textAlignment w:val="auto"/>
        <w:rPr>
          <w:rFonts w:ascii="Times New Roman" w:hAnsi="Times New Roman" w:eastAsia="宋体"/>
          <w:color w:val="auto"/>
          <w:szCs w:val="21"/>
          <w:highlight w:val="none"/>
        </w:rPr>
      </w:pPr>
    </w:p>
    <w:p>
      <w:pPr>
        <w:pStyle w:val="15"/>
        <w:keepNext w:val="0"/>
        <w:keepLines w:val="0"/>
        <w:pageBreakBefore w:val="0"/>
        <w:widowControl/>
        <w:kinsoku/>
        <w:wordWrap/>
        <w:overflowPunct/>
        <w:topLinePunct w:val="0"/>
        <w:autoSpaceDE/>
        <w:autoSpaceDN/>
        <w:bidi w:val="0"/>
        <w:adjustRightInd/>
        <w:snapToGrid w:val="0"/>
        <w:spacing w:before="161" w:beforeLines="50" w:beforeAutospacing="0" w:after="161" w:afterLines="50" w:afterAutospacing="0" w:line="240" w:lineRule="auto"/>
        <w:jc w:val="center"/>
        <w:textAlignment w:val="auto"/>
        <w:rPr>
          <w:b/>
          <w:bCs/>
          <w:color w:val="auto"/>
          <w:sz w:val="30"/>
          <w:szCs w:val="30"/>
          <w:highlight w:val="none"/>
        </w:rPr>
      </w:pPr>
      <w:r>
        <w:rPr>
          <w:rFonts w:hint="eastAsia"/>
          <w:b/>
          <w:bCs/>
          <w:color w:val="auto"/>
          <w:sz w:val="30"/>
          <w:szCs w:val="30"/>
          <w:highlight w:val="none"/>
        </w:rPr>
        <w:t>商务要求</w:t>
      </w:r>
    </w:p>
    <w:tbl>
      <w:tblPr>
        <w:tblStyle w:val="33"/>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5"/>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w:t>
            </w:r>
            <w:r>
              <w:rPr>
                <w:rFonts w:hint="eastAsia" w:cs="宋体"/>
                <w:color w:val="auto"/>
                <w:sz w:val="21"/>
                <w:szCs w:val="21"/>
                <w:highlight w:val="none"/>
                <w:lang w:val="en-US" w:eastAsia="zh-CN"/>
              </w:rPr>
              <w:t>成交通知书</w:t>
            </w:r>
            <w:r>
              <w:rPr>
                <w:rFonts w:hint="eastAsia" w:ascii="宋体" w:hAnsi="宋体" w:eastAsia="宋体" w:cs="宋体"/>
                <w:color w:val="auto"/>
                <w:sz w:val="21"/>
                <w:szCs w:val="21"/>
                <w:highlight w:val="none"/>
                <w:lang w:val="en-US" w:eastAsia="zh-CN"/>
              </w:rPr>
              <w:t>发出之日起三十个日历日内。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5"/>
              <w:ind w:left="0" w:leftChars="0"/>
              <w:jc w:val="center"/>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交货地点</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5"/>
              <w:ind w:left="0" w:leftChars="0"/>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5"/>
              <w:ind w:left="0" w:leftChars="0"/>
              <w:jc w:val="center"/>
              <w:rPr>
                <w:rFonts w:hint="eastAsia"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交货方法</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5"/>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送货上门，运费由供应商承担。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5"/>
              <w:ind w:left="0" w:leftChars="0"/>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合同期限</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5"/>
              <w:ind w:left="0" w:leftChars="0"/>
              <w:jc w:val="left"/>
              <w:rPr>
                <w:rFonts w:hint="default" w:ascii="宋体" w:hAnsi="宋体" w:cs="宋体"/>
                <w:color w:val="auto"/>
                <w:kern w:val="2"/>
                <w:sz w:val="21"/>
                <w:szCs w:val="24"/>
                <w:highlight w:val="none"/>
                <w:lang w:val="en-US" w:eastAsia="zh-CN" w:bidi="ar-SA"/>
              </w:rPr>
            </w:pPr>
            <w:r>
              <w:rPr>
                <w:rFonts w:hint="default" w:ascii="宋体" w:hAnsi="宋体" w:cs="宋体"/>
                <w:color w:val="auto"/>
                <w:kern w:val="2"/>
                <w:sz w:val="21"/>
                <w:szCs w:val="24"/>
                <w:highlight w:val="none"/>
                <w:lang w:val="en-US" w:eastAsia="zh-CN" w:bidi="ar-SA"/>
              </w:rPr>
              <w:t>自合同签订之日起</w:t>
            </w:r>
            <w:r>
              <w:rPr>
                <w:rFonts w:hint="eastAsia" w:cs="宋体"/>
                <w:color w:val="auto"/>
                <w:kern w:val="2"/>
                <w:sz w:val="21"/>
                <w:szCs w:val="24"/>
                <w:highlight w:val="none"/>
                <w:lang w:val="en-US" w:eastAsia="zh-CN" w:bidi="ar-SA"/>
              </w:rPr>
              <w:t>一年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5"/>
              <w:ind w:left="0" w:leftChars="0"/>
              <w:jc w:val="left"/>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符合国家现行标准要求。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5"/>
              <w:ind w:left="0" w:leftChars="0"/>
              <w:jc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5"/>
              <w:ind w:left="0" w:leftChars="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根据医院实际使用情况据实结算</w:t>
            </w:r>
            <w:r>
              <w:rPr>
                <w:rFonts w:hint="eastAsia" w:cs="宋体"/>
                <w:color w:val="auto"/>
                <w:sz w:val="21"/>
                <w:szCs w:val="21"/>
                <w:highlight w:val="none"/>
                <w:lang w:val="en-US" w:eastAsia="zh-CN"/>
              </w:rPr>
              <w:t>，具体付款方式以合同签订为准</w:t>
            </w:r>
            <w:r>
              <w:rPr>
                <w:rFonts w:hint="eastAsia" w:ascii="宋体" w:hAnsi="宋体" w:eastAsia="宋体" w:cs="宋体"/>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5"/>
              <w:ind w:left="0" w:leftChars="0"/>
              <w:jc w:val="center"/>
              <w:rPr>
                <w:rFonts w:hint="eastAsia" w:ascii="宋体" w:hAnsi="宋体" w:eastAsia="宋体" w:cs="宋体"/>
                <w:color w:val="auto"/>
                <w:kern w:val="0"/>
                <w:sz w:val="21"/>
                <w:szCs w:val="21"/>
                <w:highlight w:val="none"/>
                <w:lang w:val="en-US" w:eastAsia="zh-CN" w:bidi="ar-SA"/>
              </w:rPr>
            </w:pPr>
            <w:r>
              <w:rPr>
                <w:rFonts w:hint="eastAsia" w:cs="宋体"/>
                <w:color w:val="auto"/>
                <w:sz w:val="21"/>
                <w:szCs w:val="21"/>
                <w:highlight w:val="none"/>
                <w:lang w:val="en-US" w:eastAsia="zh-CN"/>
              </w:rPr>
              <w:t>技术资料</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5"/>
              <w:ind w:left="0" w:leftChars="0"/>
              <w:jc w:val="left"/>
              <w:rPr>
                <w:rFonts w:hint="eastAsia" w:ascii="宋体" w:hAnsi="宋体" w:eastAsia="宋体" w:cs="宋体"/>
                <w:color w:val="auto"/>
                <w:kern w:val="0"/>
                <w:sz w:val="21"/>
                <w:szCs w:val="21"/>
                <w:highlight w:val="none"/>
                <w:lang w:val="en-US" w:eastAsia="zh-CN" w:bidi="ar-SA"/>
              </w:rPr>
            </w:pPr>
            <w:r>
              <w:rPr>
                <w:rFonts w:hint="eastAsia" w:cs="宋体"/>
                <w:color w:val="auto"/>
                <w:sz w:val="21"/>
                <w:szCs w:val="21"/>
                <w:highlight w:val="none"/>
                <w:lang w:val="en-US" w:eastAsia="zh-CN"/>
              </w:rPr>
              <w:t>所供医疗器械的标签及说明书更新证明文件应在货到之日 24 小时内提供，否则将作退货处理。(如属特殊情况，请签订销售责任保证书）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5"/>
              <w:ind w:left="0" w:leftChars="0"/>
              <w:jc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交货时间</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5"/>
              <w:ind w:left="0" w:leftChars="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在接到采购通知单（款到发货的为收到货款）后，应在 5个工作日内将医疗器械送达。</w:t>
            </w:r>
          </w:p>
        </w:tc>
      </w:tr>
    </w:tbl>
    <w:p>
      <w:pPr>
        <w:pStyle w:val="24"/>
        <w:rPr>
          <w:rFonts w:hint="eastAsia"/>
          <w:color w:val="auto"/>
          <w:highlight w:val="none"/>
        </w:rPr>
      </w:pPr>
    </w:p>
    <w:p>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b/>
          <w:bCs/>
          <w:color w:val="auto"/>
          <w:sz w:val="30"/>
          <w:szCs w:val="30"/>
          <w:highlight w:val="none"/>
        </w:rPr>
      </w:pPr>
      <w:r>
        <w:rPr>
          <w:rFonts w:hint="eastAsia"/>
          <w:b/>
          <w:bCs/>
          <w:color w:val="auto"/>
          <w:sz w:val="30"/>
          <w:szCs w:val="30"/>
          <w:highlight w:val="none"/>
        </w:rPr>
        <w:t>采购人对项目的特殊要求及说明</w:t>
      </w:r>
    </w:p>
    <w:tbl>
      <w:tblPr>
        <w:tblStyle w:val="33"/>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41"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snapToGrid w:val="0"/>
              <w:spacing w:line="360" w:lineRule="auto"/>
              <w:rPr>
                <w:color w:val="auto"/>
                <w:highlight w:val="none"/>
              </w:rPr>
            </w:pPr>
            <w:r>
              <w:rPr>
                <w:rFonts w:hint="eastAsia"/>
                <w:color w:val="auto"/>
                <w:highlight w:val="none"/>
              </w:rPr>
              <w:t>不接受联合体投标，不允许转包和分包。</w:t>
            </w:r>
          </w:p>
          <w:p>
            <w:pPr>
              <w:widowControl/>
              <w:snapToGrid w:val="0"/>
              <w:spacing w:line="360" w:lineRule="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2、授权</w:t>
            </w:r>
            <w:r>
              <w:rPr>
                <w:rFonts w:hint="eastAsia" w:cs="Times New Roman"/>
                <w:color w:val="auto"/>
                <w:highlight w:val="none"/>
                <w:lang w:val="en-US" w:eastAsia="zh-CN"/>
              </w:rPr>
              <w:t>磋商小组</w:t>
            </w:r>
            <w:r>
              <w:rPr>
                <w:rFonts w:hint="eastAsia" w:ascii="Times New Roman" w:hAnsi="Times New Roman" w:eastAsia="宋体" w:cs="Times New Roman"/>
                <w:color w:val="auto"/>
                <w:highlight w:val="none"/>
                <w:lang w:val="en-US" w:eastAsia="zh-CN"/>
              </w:rPr>
              <w:t>确定一名</w:t>
            </w:r>
            <w:r>
              <w:rPr>
                <w:rFonts w:hint="eastAsia" w:cs="Times New Roman"/>
                <w:color w:val="auto"/>
                <w:highlight w:val="none"/>
                <w:lang w:val="en-US" w:eastAsia="zh-CN"/>
              </w:rPr>
              <w:t>成交人</w:t>
            </w:r>
            <w:r>
              <w:rPr>
                <w:rFonts w:hint="eastAsia" w:ascii="Times New Roman" w:hAnsi="Times New Roman" w:eastAsia="宋体" w:cs="Times New Roman"/>
                <w:color w:val="auto"/>
                <w:highlight w:val="none"/>
                <w:lang w:val="en-US" w:eastAsia="zh-CN"/>
              </w:rPr>
              <w:t>并推荐</w:t>
            </w:r>
            <w:r>
              <w:rPr>
                <w:rFonts w:hint="eastAsia" w:cs="Times New Roman"/>
                <w:color w:val="auto"/>
                <w:highlight w:val="none"/>
                <w:lang w:val="en-US" w:eastAsia="zh-CN"/>
              </w:rPr>
              <w:t>一</w:t>
            </w:r>
            <w:r>
              <w:rPr>
                <w:rFonts w:hint="eastAsia" w:ascii="Times New Roman" w:hAnsi="Times New Roman" w:eastAsia="宋体" w:cs="Times New Roman"/>
                <w:color w:val="auto"/>
                <w:highlight w:val="none"/>
                <w:lang w:val="en-US" w:eastAsia="zh-CN"/>
              </w:rPr>
              <w:t>名</w:t>
            </w:r>
            <w:r>
              <w:rPr>
                <w:rFonts w:hint="eastAsia" w:cs="Times New Roman"/>
                <w:color w:val="auto"/>
                <w:highlight w:val="none"/>
                <w:lang w:val="en-US" w:eastAsia="zh-CN"/>
              </w:rPr>
              <w:t>成交候选人</w:t>
            </w:r>
            <w:r>
              <w:rPr>
                <w:rFonts w:hint="eastAsia" w:ascii="Times New Roman" w:hAnsi="Times New Roman" w:eastAsia="宋体" w:cs="Times New Roman"/>
                <w:color w:val="auto"/>
                <w:highlight w:val="none"/>
                <w:lang w:val="en-US" w:eastAsia="zh-CN"/>
              </w:rPr>
              <w:t>。</w:t>
            </w:r>
          </w:p>
          <w:p>
            <w:pPr>
              <w:widowControl/>
              <w:snapToGrid w:val="0"/>
              <w:spacing w:line="360" w:lineRule="auto"/>
              <w:rPr>
                <w:rFonts w:hint="default" w:eastAsia="宋体"/>
                <w:color w:val="auto"/>
                <w:highlight w:val="none"/>
                <w:lang w:val="en-US" w:eastAsia="zh-CN"/>
              </w:rPr>
            </w:pPr>
            <w:r>
              <w:rPr>
                <w:rFonts w:hint="eastAsia" w:ascii="Times New Roman" w:hAnsi="Times New Roman" w:eastAsia="宋体" w:cs="Times New Roman"/>
                <w:color w:val="auto"/>
                <w:highlight w:val="none"/>
                <w:lang w:val="en-US" w:eastAsia="zh-CN"/>
              </w:rPr>
              <w:t>3、供应商应根据采购文件的要求提供技术响应</w:t>
            </w:r>
            <w:r>
              <w:rPr>
                <w:rFonts w:hint="eastAsia" w:cs="Times New Roman"/>
                <w:color w:val="auto"/>
                <w:highlight w:val="none"/>
                <w:lang w:val="en-US" w:eastAsia="zh-CN"/>
              </w:rPr>
              <w:t>部分</w:t>
            </w:r>
            <w:r>
              <w:rPr>
                <w:rFonts w:hint="eastAsia" w:ascii="Times New Roman" w:hAnsi="Times New Roman" w:eastAsia="宋体" w:cs="Times New Roman"/>
                <w:color w:val="auto"/>
                <w:highlight w:val="none"/>
                <w:lang w:val="en-US" w:eastAsia="zh-CN"/>
              </w:rPr>
              <w:t>、商务响应</w:t>
            </w:r>
            <w:r>
              <w:rPr>
                <w:rFonts w:hint="eastAsia" w:cs="Times New Roman"/>
                <w:color w:val="auto"/>
                <w:highlight w:val="none"/>
                <w:lang w:val="en-US" w:eastAsia="zh-CN"/>
              </w:rPr>
              <w:t>部分</w:t>
            </w:r>
            <w:r>
              <w:rPr>
                <w:rFonts w:hint="eastAsia" w:ascii="Times New Roman" w:hAnsi="Times New Roman" w:eastAsia="宋体" w:cs="Times New Roman"/>
                <w:color w:val="auto"/>
                <w:highlight w:val="none"/>
                <w:lang w:val="en-US" w:eastAsia="zh-CN"/>
              </w:rPr>
              <w:t>等内容以对采购文件作出响应。</w:t>
            </w:r>
          </w:p>
        </w:tc>
      </w:tr>
    </w:tbl>
    <w:p>
      <w:pPr>
        <w:rPr>
          <w:color w:val="auto"/>
          <w:highlight w:val="none"/>
        </w:rPr>
      </w:pPr>
    </w:p>
    <w:p>
      <w:pPr>
        <w:jc w:val="center"/>
        <w:rPr>
          <w:rFonts w:hint="eastAsia"/>
          <w:b/>
          <w:bCs/>
          <w:color w:val="auto"/>
          <w:sz w:val="32"/>
          <w:szCs w:val="32"/>
          <w:highlight w:val="none"/>
        </w:rPr>
      </w:pPr>
    </w:p>
    <w:p>
      <w:pPr>
        <w:rPr>
          <w:rFonts w:hint="eastAsia"/>
          <w:b/>
          <w:bCs/>
          <w:color w:val="auto"/>
          <w:sz w:val="32"/>
          <w:szCs w:val="32"/>
          <w:highlight w:val="none"/>
        </w:rPr>
      </w:pPr>
      <w:r>
        <w:rPr>
          <w:rFonts w:hint="eastAsia"/>
          <w:b/>
          <w:bCs/>
          <w:color w:val="auto"/>
          <w:sz w:val="32"/>
          <w:szCs w:val="32"/>
          <w:highlight w:val="none"/>
        </w:rPr>
        <w:br w:type="page"/>
      </w:r>
    </w:p>
    <w:p>
      <w:pPr>
        <w:jc w:val="center"/>
        <w:outlineLvl w:val="0"/>
        <w:rPr>
          <w:b/>
          <w:bCs/>
          <w:color w:val="auto"/>
          <w:sz w:val="32"/>
          <w:szCs w:val="32"/>
          <w:highlight w:val="none"/>
        </w:rPr>
      </w:pPr>
      <w:bookmarkStart w:id="35" w:name="_Toc16791"/>
      <w:r>
        <w:rPr>
          <w:rFonts w:hint="eastAsia"/>
          <w:b/>
          <w:bCs/>
          <w:color w:val="auto"/>
          <w:sz w:val="32"/>
          <w:szCs w:val="32"/>
          <w:highlight w:val="none"/>
        </w:rPr>
        <w:t xml:space="preserve">第三章  </w:t>
      </w:r>
      <w:r>
        <w:rPr>
          <w:rFonts w:hint="eastAsia"/>
          <w:b/>
          <w:bCs/>
          <w:color w:val="auto"/>
          <w:sz w:val="32"/>
          <w:szCs w:val="32"/>
          <w:highlight w:val="none"/>
          <w:lang w:eastAsia="zh-CN"/>
        </w:rPr>
        <w:t>供应商</w:t>
      </w:r>
      <w:r>
        <w:rPr>
          <w:rFonts w:hint="eastAsia"/>
          <w:b/>
          <w:bCs/>
          <w:color w:val="auto"/>
          <w:sz w:val="32"/>
          <w:szCs w:val="32"/>
          <w:highlight w:val="none"/>
        </w:rPr>
        <w:t>须知</w:t>
      </w:r>
      <w:bookmarkEnd w:id="35"/>
    </w:p>
    <w:p>
      <w:pPr>
        <w:snapToGrid w:val="0"/>
        <w:spacing w:beforeLines="50" w:line="360" w:lineRule="auto"/>
        <w:jc w:val="center"/>
        <w:outlineLvl w:val="1"/>
        <w:rPr>
          <w:rFonts w:ascii="宋体" w:hAnsi="宋体"/>
          <w:color w:val="auto"/>
          <w:sz w:val="28"/>
          <w:szCs w:val="28"/>
          <w:highlight w:val="none"/>
        </w:rPr>
      </w:pPr>
      <w:r>
        <w:rPr>
          <w:rFonts w:hint="eastAsia" w:ascii="宋体" w:hAnsi="宋体"/>
          <w:color w:val="auto"/>
          <w:sz w:val="28"/>
          <w:szCs w:val="28"/>
          <w:highlight w:val="none"/>
          <w:lang w:eastAsia="zh-CN"/>
        </w:rPr>
        <w:t>供应商</w:t>
      </w:r>
      <w:r>
        <w:rPr>
          <w:rFonts w:hint="eastAsia" w:ascii="宋体" w:hAnsi="宋体"/>
          <w:color w:val="auto"/>
          <w:sz w:val="28"/>
          <w:szCs w:val="28"/>
          <w:highlight w:val="none"/>
        </w:rPr>
        <w:t>须知前附表</w:t>
      </w:r>
    </w:p>
    <w:tbl>
      <w:tblPr>
        <w:tblStyle w:val="33"/>
        <w:tblW w:w="9840" w:type="dxa"/>
        <w:jc w:val="center"/>
        <w:tblLayout w:type="fixed"/>
        <w:tblCellMar>
          <w:top w:w="0" w:type="dxa"/>
          <w:left w:w="0" w:type="dxa"/>
          <w:bottom w:w="0" w:type="dxa"/>
          <w:right w:w="0" w:type="dxa"/>
        </w:tblCellMar>
      </w:tblPr>
      <w:tblGrid>
        <w:gridCol w:w="926"/>
        <w:gridCol w:w="8914"/>
      </w:tblGrid>
      <w:tr>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内容、要求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outlineLvl w:val="0"/>
              <w:rPr>
                <w:rFonts w:hint="default" w:ascii="宋体" w:hAnsi="宋体" w:eastAsia="宋体" w:cs="宋体"/>
                <w:color w:val="auto"/>
                <w:highlight w:val="none"/>
                <w:lang w:val="en-US"/>
              </w:rPr>
            </w:pPr>
            <w:bookmarkStart w:id="36" w:name="_Toc30169"/>
            <w:r>
              <w:rPr>
                <w:rFonts w:hint="eastAsia"/>
                <w:color w:val="auto"/>
                <w:highlight w:val="none"/>
              </w:rPr>
              <w:t>1.1 项目名称：</w:t>
            </w:r>
            <w:bookmarkEnd w:id="36"/>
            <w:r>
              <w:rPr>
                <w:rFonts w:hint="eastAsia"/>
                <w:color w:val="auto"/>
                <w:highlight w:val="none"/>
                <w:lang w:val="en-US" w:eastAsia="zh-CN"/>
              </w:rPr>
              <w:t>驻马店市中心医院手术器械（异物钳、取石网篮、胆道镜三通）供货采购项目</w:t>
            </w:r>
          </w:p>
          <w:p>
            <w:pPr>
              <w:widowControl/>
              <w:snapToGrid w:val="0"/>
              <w:spacing w:line="440" w:lineRule="exact"/>
              <w:jc w:val="left"/>
              <w:outlineLvl w:val="0"/>
              <w:rPr>
                <w:rFonts w:hint="eastAsia"/>
                <w:color w:val="auto"/>
                <w:highlight w:val="none"/>
              </w:rPr>
            </w:pPr>
            <w:bookmarkStart w:id="37" w:name="_Toc23424"/>
            <w:r>
              <w:rPr>
                <w:rFonts w:hint="eastAsia"/>
                <w:color w:val="auto"/>
                <w:highlight w:val="none"/>
              </w:rPr>
              <w:t>1.2 采购人名称：驻马店市中心医院</w:t>
            </w:r>
            <w:bookmarkEnd w:id="37"/>
          </w:p>
          <w:p>
            <w:pPr>
              <w:widowControl/>
              <w:snapToGrid w:val="0"/>
              <w:spacing w:line="440" w:lineRule="exact"/>
              <w:jc w:val="left"/>
              <w:outlineLvl w:val="0"/>
              <w:rPr>
                <w:rFonts w:ascii="Times New Roman" w:hAnsi="Times New Roman" w:eastAsia="宋体" w:cs="Times New Roman"/>
                <w:color w:val="auto"/>
                <w:kern w:val="2"/>
                <w:sz w:val="21"/>
                <w:szCs w:val="24"/>
                <w:highlight w:val="none"/>
                <w:lang w:val="en-US" w:eastAsia="zh-CN" w:bidi="ar-SA"/>
              </w:rPr>
            </w:pPr>
            <w:bookmarkStart w:id="38" w:name="_Toc3148"/>
            <w:r>
              <w:rPr>
                <w:rFonts w:hint="eastAsia"/>
                <w:color w:val="auto"/>
                <w:highlight w:val="none"/>
              </w:rPr>
              <w:t>1.</w:t>
            </w:r>
            <w:r>
              <w:rPr>
                <w:rFonts w:hint="eastAsia"/>
                <w:color w:val="auto"/>
                <w:highlight w:val="none"/>
                <w:lang w:val="en-US" w:eastAsia="zh-CN"/>
              </w:rPr>
              <w:t>3</w:t>
            </w:r>
            <w:r>
              <w:rPr>
                <w:rFonts w:hint="eastAsia"/>
                <w:color w:val="auto"/>
                <w:highlight w:val="none"/>
              </w:rPr>
              <w:t>采购范围：详</w:t>
            </w:r>
            <w:r>
              <w:rPr>
                <w:rFonts w:hint="eastAsia"/>
                <w:color w:val="auto"/>
                <w:highlight w:val="none"/>
                <w:lang w:val="en-US" w:eastAsia="zh-CN"/>
              </w:rPr>
              <w:t>见第二章采购</w:t>
            </w:r>
            <w:r>
              <w:rPr>
                <w:rFonts w:hint="eastAsia"/>
                <w:color w:val="auto"/>
                <w:highlight w:val="none"/>
              </w:rPr>
              <w:t>需求</w:t>
            </w:r>
            <w:bookmarkEnd w:id="38"/>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合格</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公告第二项规定的条件。</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采购预算：</w:t>
            </w:r>
            <w:r>
              <w:rPr>
                <w:rFonts w:hint="eastAsia" w:ascii="宋体" w:hAnsi="宋体" w:cs="宋体"/>
                <w:color w:val="auto"/>
                <w:kern w:val="0"/>
                <w:szCs w:val="21"/>
                <w:highlight w:val="none"/>
                <w:lang w:val="en-US" w:eastAsia="zh-CN"/>
              </w:rPr>
              <w:t>46万元</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最高投标限价</w:t>
            </w:r>
            <w:r>
              <w:rPr>
                <w:rFonts w:hint="eastAsia" w:ascii="宋体" w:hAnsi="宋体" w:cs="宋体"/>
                <w:color w:val="auto"/>
                <w:kern w:val="0"/>
                <w:szCs w:val="21"/>
                <w:highlight w:val="none"/>
                <w:lang w:val="en-US" w:eastAsia="zh-CN"/>
              </w:rPr>
              <w:t>:详见第二章采购需求第三项技术要求单项控制价</w:t>
            </w:r>
            <w:r>
              <w:rPr>
                <w:rFonts w:hint="eastAsia" w:ascii="宋体" w:hAnsi="宋体" w:cs="宋体"/>
                <w:color w:val="auto"/>
                <w:kern w:val="0"/>
                <w:szCs w:val="21"/>
                <w:highlight w:val="none"/>
                <w:lang w:eastAsia="zh-CN"/>
              </w:rPr>
              <w:t>；</w:t>
            </w:r>
          </w:p>
          <w:p>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3.1 本项目投标以人民币报价</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供应商需填报每项的单价和合计单价</w:t>
            </w:r>
            <w:r>
              <w:rPr>
                <w:rFonts w:hint="eastAsia" w:ascii="宋体" w:hAnsi="宋体" w:cs="宋体"/>
                <w:color w:val="auto"/>
                <w:kern w:val="0"/>
                <w:szCs w:val="21"/>
                <w:highlight w:val="none"/>
              </w:rPr>
              <w:t>。</w:t>
            </w:r>
          </w:p>
          <w:p>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3.2 供应商的报价超过采购预算，采购人不能支付的，按废标处理。</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3.3 本项目</w:t>
            </w:r>
            <w:r>
              <w:rPr>
                <w:rFonts w:hint="eastAsia" w:ascii="宋体" w:hAnsi="宋体" w:cs="宋体"/>
                <w:color w:val="auto"/>
                <w:kern w:val="0"/>
                <w:szCs w:val="21"/>
                <w:highlight w:val="none"/>
                <w:lang w:val="en-US" w:eastAsia="zh-CN"/>
              </w:rPr>
              <w:t>由成交供应商缴纳</w:t>
            </w:r>
            <w:r>
              <w:rPr>
                <w:rFonts w:hint="eastAsia" w:ascii="宋体" w:hAnsi="宋体" w:cs="宋体"/>
                <w:color w:val="auto"/>
                <w:kern w:val="0"/>
                <w:szCs w:val="21"/>
                <w:highlight w:val="none"/>
              </w:rPr>
              <w:t>招标代理服务费。</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color w:val="auto"/>
                <w:highlight w:val="none"/>
              </w:rPr>
            </w:pPr>
            <w:r>
              <w:rPr>
                <w:rFonts w:hint="eastAsia"/>
                <w:color w:val="auto"/>
                <w:highlight w:val="none"/>
              </w:rPr>
              <w:t>投标文件组成</w:t>
            </w:r>
            <w:r>
              <w:rPr>
                <w:rFonts w:hint="eastAsia" w:ascii="宋体" w:hAnsi="宋体" w:eastAsia="宋体" w:cs="宋体"/>
                <w:color w:val="auto"/>
                <w:highlight w:val="none"/>
              </w:rPr>
              <w:t>：纸质投标文件正本1份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投标截止时间</w:t>
            </w:r>
            <w:r>
              <w:rPr>
                <w:rFonts w:hint="eastAsia" w:ascii="宋体" w:hAnsi="宋体" w:cs="宋体"/>
                <w:color w:val="auto"/>
                <w:kern w:val="0"/>
                <w:szCs w:val="21"/>
                <w:highlight w:val="none"/>
                <w:lang w:val="en-US" w:eastAsia="zh-CN"/>
              </w:rPr>
              <w:t>及开标时间</w:t>
            </w:r>
            <w:r>
              <w:rPr>
                <w:rFonts w:hint="eastAsia" w:ascii="宋体" w:hAnsi="宋体" w:cs="宋体"/>
                <w:color w:val="auto"/>
                <w:kern w:val="0"/>
                <w:szCs w:val="21"/>
                <w:highlight w:val="none"/>
              </w:rPr>
              <w:t>：</w:t>
            </w:r>
            <w:r>
              <w:rPr>
                <w:rFonts w:hint="eastAsia" w:ascii="宋体" w:hAnsi="宋体" w:cs="宋体"/>
                <w:color w:val="auto"/>
                <w:szCs w:val="21"/>
                <w:highlight w:val="none"/>
                <w:lang w:val="en-US" w:eastAsia="zh-CN"/>
              </w:rPr>
              <w:t>另行通知</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投标文件递交地点</w:t>
            </w:r>
            <w:r>
              <w:rPr>
                <w:rFonts w:hint="eastAsia" w:ascii="宋体" w:hAnsi="宋体" w:cs="宋体"/>
                <w:color w:val="auto"/>
                <w:kern w:val="0"/>
                <w:szCs w:val="21"/>
                <w:highlight w:val="none"/>
                <w:lang w:val="en-US" w:eastAsia="zh-CN"/>
              </w:rPr>
              <w:t>及开标地点</w:t>
            </w:r>
            <w:r>
              <w:rPr>
                <w:rFonts w:hint="eastAsia" w:ascii="宋体" w:hAnsi="宋体" w:cs="宋体"/>
                <w:color w:val="auto"/>
                <w:kern w:val="0"/>
                <w:szCs w:val="21"/>
                <w:highlight w:val="none"/>
              </w:rPr>
              <w:t>：</w:t>
            </w:r>
            <w:r>
              <w:rPr>
                <w:rFonts w:hint="eastAsia" w:ascii="宋体" w:hAnsi="宋体" w:cs="宋体"/>
                <w:color w:val="auto"/>
                <w:szCs w:val="21"/>
                <w:highlight w:val="none"/>
                <w:lang w:val="en-US" w:eastAsia="zh-CN"/>
              </w:rPr>
              <w:t>另行通知</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成</w:t>
            </w:r>
            <w:r>
              <w:rPr>
                <w:rFonts w:hint="eastAsia" w:ascii="宋体" w:hAnsi="宋体" w:cs="宋体"/>
                <w:color w:val="auto"/>
                <w:kern w:val="0"/>
                <w:szCs w:val="21"/>
                <w:highlight w:val="none"/>
              </w:rPr>
              <w:t>员：</w:t>
            </w:r>
            <w:r>
              <w:rPr>
                <w:rFonts w:hint="eastAsia" w:ascii="宋体" w:hAnsi="宋体" w:cs="宋体"/>
                <w:color w:val="auto"/>
                <w:szCs w:val="21"/>
                <w:highlight w:val="none"/>
                <w:lang w:val="en-US" w:eastAsia="zh-CN"/>
              </w:rPr>
              <w:t>3</w:t>
            </w:r>
            <w:r>
              <w:rPr>
                <w:rFonts w:hint="eastAsia" w:ascii="宋体" w:hAnsi="宋体" w:cs="宋体"/>
                <w:color w:val="auto"/>
                <w:highlight w:val="none"/>
              </w:rPr>
              <w:t>人</w:t>
            </w:r>
            <w:r>
              <w:rPr>
                <w:rFonts w:hint="eastAsia" w:ascii="宋体" w:hAnsi="宋体" w:cs="宋体"/>
                <w:color w:val="auto"/>
                <w:highlight w:val="none"/>
                <w:lang w:val="en-US" w:eastAsia="zh-CN"/>
              </w:rPr>
              <w:t>及以上单数</w:t>
            </w:r>
            <w:r>
              <w:rPr>
                <w:rFonts w:hint="eastAsia" w:ascii="宋体" w:hAnsi="宋体" w:cs="宋体"/>
                <w:color w:val="auto"/>
                <w:kern w:val="0"/>
                <w:szCs w:val="21"/>
                <w:highlight w:val="none"/>
              </w:rPr>
              <w:t>。</w:t>
            </w:r>
          </w:p>
          <w:p>
            <w:pPr>
              <w:widowControl/>
              <w:spacing w:line="440" w:lineRule="exact"/>
              <w:jc w:val="left"/>
              <w:rPr>
                <w:rFonts w:ascii="宋体" w:hAnsi="宋体" w:cs="宋体"/>
                <w:color w:val="auto"/>
                <w:kern w:val="0"/>
                <w:szCs w:val="21"/>
                <w:highlight w:val="none"/>
              </w:rPr>
            </w:pPr>
            <w:r>
              <w:rPr>
                <w:rFonts w:hint="eastAsia" w:ascii="宋体" w:hAnsi="宋体" w:cs="宋体"/>
                <w:color w:val="auto"/>
                <w:szCs w:val="21"/>
                <w:highlight w:val="none"/>
              </w:rPr>
              <w:t>专家确定方式：</w:t>
            </w:r>
            <w:r>
              <w:rPr>
                <w:rFonts w:hint="eastAsia" w:ascii="宋体" w:hAnsi="宋体" w:cs="宋体"/>
                <w:color w:val="auto"/>
                <w:kern w:val="0"/>
                <w:szCs w:val="21"/>
                <w:highlight w:val="none"/>
              </w:rPr>
              <w:t>由采购人</w:t>
            </w:r>
            <w:r>
              <w:rPr>
                <w:rFonts w:hint="eastAsia" w:ascii="宋体" w:hAnsi="宋体" w:cs="宋体"/>
                <w:color w:val="auto"/>
                <w:kern w:val="0"/>
                <w:szCs w:val="21"/>
                <w:highlight w:val="none"/>
                <w:lang w:val="en-US" w:eastAsia="zh-CN"/>
              </w:rPr>
              <w:t>抽取相关的技术人员组成</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240" w:lineRule="auto"/>
              <w:rPr>
                <w:rFonts w:ascii="宋体" w:hAnsi="宋体" w:cs="宋体"/>
                <w:color w:val="auto"/>
                <w:kern w:val="0"/>
                <w:szCs w:val="21"/>
                <w:highlight w:val="none"/>
              </w:rPr>
            </w:pPr>
            <w:r>
              <w:rPr>
                <w:rFonts w:hint="eastAsia" w:ascii="宋体" w:hAnsi="宋体" w:cs="宋体"/>
                <w:color w:val="auto"/>
                <w:szCs w:val="21"/>
                <w:highlight w:val="none"/>
              </w:rPr>
              <w:t>评标办法：</w:t>
            </w:r>
            <w:r>
              <w:rPr>
                <w:rFonts w:hint="eastAsia" w:ascii="宋体" w:hAnsi="宋体" w:cs="宋体"/>
                <w:color w:val="auto"/>
                <w:kern w:val="0"/>
                <w:szCs w:val="21"/>
                <w:highlight w:val="none"/>
              </w:rPr>
              <w:t>本项目采用</w:t>
            </w:r>
            <w:r>
              <w:rPr>
                <w:rFonts w:hint="eastAsia" w:ascii="宋体" w:hAnsi="宋体" w:cs="宋体"/>
                <w:color w:val="auto"/>
                <w:szCs w:val="21"/>
                <w:highlight w:val="none"/>
              </w:rPr>
              <w:t>综合评分法</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通知书：由采购人授权磋商小组确定一名成交人并推荐一名成交候选人。评审结束后在《驻马店市中心医院》官网上发布成交公告，公示期结束后向成交人发出成交通知书。</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签订合同：自</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发出之日起</w:t>
            </w:r>
            <w:r>
              <w:rPr>
                <w:rFonts w:hint="eastAsia" w:ascii="宋体" w:hAnsi="宋体" w:cs="宋体"/>
                <w:color w:val="auto"/>
                <w:kern w:val="0"/>
                <w:szCs w:val="21"/>
                <w:highlight w:val="none"/>
                <w:lang w:val="en-US" w:eastAsia="zh-CN"/>
              </w:rPr>
              <w:t>30日</w:t>
            </w:r>
            <w:r>
              <w:rPr>
                <w:rFonts w:hint="eastAsia" w:ascii="宋体" w:hAnsi="宋体" w:cs="宋体"/>
                <w:color w:val="auto"/>
                <w:kern w:val="0"/>
                <w:szCs w:val="21"/>
                <w:highlight w:val="none"/>
              </w:rPr>
              <w:t>内。</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采购资金来源：自筹资金。</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付款方式：详见第二章</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w:t>
            </w:r>
          </w:p>
        </w:tc>
      </w:tr>
      <w:tr>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投标文件有效期：投标</w:t>
            </w:r>
            <w:r>
              <w:rPr>
                <w:rFonts w:hint="eastAsia" w:ascii="宋体" w:hAnsi="宋体" w:cs="宋体"/>
                <w:color w:val="auto"/>
                <w:kern w:val="0"/>
                <w:szCs w:val="21"/>
                <w:highlight w:val="none"/>
                <w:lang w:val="en-US" w:eastAsia="zh-CN"/>
              </w:rPr>
              <w:t>文件递交</w:t>
            </w:r>
            <w:r>
              <w:rPr>
                <w:rFonts w:hint="eastAsia" w:ascii="宋体" w:hAnsi="宋体" w:cs="宋体"/>
                <w:color w:val="auto"/>
                <w:kern w:val="0"/>
                <w:szCs w:val="21"/>
                <w:highlight w:val="none"/>
              </w:rPr>
              <w:t>截止期结束后</w:t>
            </w:r>
            <w:r>
              <w:rPr>
                <w:rFonts w:hint="eastAsia" w:ascii="宋体" w:hAnsi="宋体" w:cs="宋体"/>
                <w:color w:val="auto"/>
                <w:kern w:val="0"/>
                <w:szCs w:val="21"/>
                <w:highlight w:val="none"/>
                <w:lang w:val="en-US" w:eastAsia="zh-CN"/>
              </w:rPr>
              <w:t>90</w:t>
            </w:r>
            <w:r>
              <w:rPr>
                <w:rFonts w:hint="eastAsia" w:ascii="宋体" w:hAnsi="宋体" w:cs="宋体"/>
                <w:color w:val="auto"/>
                <w:kern w:val="0"/>
                <w:szCs w:val="21"/>
                <w:highlight w:val="none"/>
              </w:rPr>
              <w:t>日。</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ascii="宋体" w:hAnsi="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cs="宋体"/>
                <w:color w:val="auto"/>
                <w:szCs w:val="21"/>
                <w:highlight w:val="none"/>
              </w:rPr>
              <w:t>。</w:t>
            </w:r>
          </w:p>
        </w:tc>
      </w:tr>
      <w:tr>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bCs/>
                <w:color w:val="auto"/>
                <w:kern w:val="0"/>
                <w:szCs w:val="21"/>
                <w:highlight w:val="none"/>
                <w:lang w:eastAsia="zh-CN"/>
              </w:rPr>
              <w:t>。</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tc>
      </w:tr>
      <w:tr>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rPr>
                <w:color w:val="auto"/>
                <w:highlight w:val="none"/>
              </w:rPr>
            </w:pPr>
            <w:r>
              <w:rPr>
                <w:rFonts w:hint="eastAsia"/>
                <w:color w:val="auto"/>
                <w:highlight w:val="none"/>
              </w:rPr>
              <w:t>解释：1、构成本</w:t>
            </w:r>
            <w:r>
              <w:rPr>
                <w:rFonts w:hint="eastAsia"/>
                <w:color w:val="auto"/>
                <w:highlight w:val="none"/>
                <w:lang w:val="en-US" w:eastAsia="zh-CN"/>
              </w:rPr>
              <w:t>采购</w:t>
            </w:r>
            <w:r>
              <w:rPr>
                <w:rFonts w:hint="eastAsia"/>
                <w:color w:val="auto"/>
                <w:highlight w:val="none"/>
              </w:rPr>
              <w:t>文件的各个组成文件应互为解释，互为说明；如有不明确或不一致，构成合同文件组成内容的，以合同文件约定内容为准；除</w:t>
            </w:r>
            <w:r>
              <w:rPr>
                <w:rFonts w:hint="eastAsia"/>
                <w:color w:val="auto"/>
                <w:highlight w:val="none"/>
                <w:lang w:val="en-US" w:eastAsia="zh-CN"/>
              </w:rPr>
              <w:t>采购</w:t>
            </w:r>
            <w:r>
              <w:rPr>
                <w:rFonts w:hint="eastAsia"/>
                <w:color w:val="auto"/>
                <w:highlight w:val="none"/>
              </w:rPr>
              <w:t>文件中有特殊规定外，仅适用于招标投标阶段的规定，按</w:t>
            </w:r>
            <w:r>
              <w:rPr>
                <w:rFonts w:hint="eastAsia"/>
                <w:color w:val="auto"/>
                <w:highlight w:val="none"/>
                <w:lang w:val="en-US" w:eastAsia="zh-CN"/>
              </w:rPr>
              <w:t>采购</w:t>
            </w:r>
            <w:r>
              <w:rPr>
                <w:rFonts w:hint="eastAsia"/>
                <w:color w:val="auto"/>
                <w:highlight w:val="none"/>
              </w:rPr>
              <w:t>公告、供应商须知、评标办法、投标文件格式的先后顺序解释；同一组成文件中就同一事项的规定或约定不一致的，以编排顺序在后者为准；当</w:t>
            </w:r>
            <w:r>
              <w:rPr>
                <w:rFonts w:hint="eastAsia"/>
                <w:color w:val="auto"/>
                <w:highlight w:val="none"/>
                <w:lang w:val="en-US" w:eastAsia="zh-CN"/>
              </w:rPr>
              <w:t>采购</w:t>
            </w:r>
            <w:r>
              <w:rPr>
                <w:rFonts w:hint="eastAsia"/>
                <w:color w:val="auto"/>
                <w:highlight w:val="none"/>
              </w:rPr>
              <w:t>文件与</w:t>
            </w:r>
            <w:r>
              <w:rPr>
                <w:rFonts w:hint="eastAsia"/>
                <w:color w:val="auto"/>
                <w:highlight w:val="none"/>
                <w:lang w:val="en-US" w:eastAsia="zh-CN"/>
              </w:rPr>
              <w:t>采购</w:t>
            </w:r>
            <w:r>
              <w:rPr>
                <w:rFonts w:hint="eastAsia"/>
                <w:color w:val="auto"/>
                <w:highlight w:val="none"/>
              </w:rPr>
              <w:t>文件的澄清、修改或补充通知就同一内容的表述不一致时，以最后发出的书面文件为准。合同文件约定或后者明显错误的除外。</w:t>
            </w:r>
          </w:p>
          <w:p>
            <w:pPr>
              <w:widowControl/>
              <w:spacing w:line="360" w:lineRule="auto"/>
              <w:jc w:val="left"/>
              <w:textAlignment w:val="bottom"/>
              <w:rPr>
                <w:rFonts w:ascii="宋体" w:hAnsi="宋体" w:cs="宋体"/>
                <w:color w:val="auto"/>
                <w:kern w:val="0"/>
                <w:szCs w:val="21"/>
                <w:highlight w:val="none"/>
              </w:rPr>
            </w:pPr>
            <w:r>
              <w:rPr>
                <w:rFonts w:hint="eastAsia"/>
                <w:color w:val="auto"/>
                <w:highlight w:val="none"/>
              </w:rPr>
              <w:t>2、本</w:t>
            </w:r>
            <w:r>
              <w:rPr>
                <w:rFonts w:hint="eastAsia"/>
                <w:color w:val="auto"/>
                <w:highlight w:val="none"/>
                <w:lang w:val="en-US" w:eastAsia="zh-CN"/>
              </w:rPr>
              <w:t>采购</w:t>
            </w:r>
            <w:r>
              <w:rPr>
                <w:rFonts w:hint="eastAsia"/>
                <w:color w:val="auto"/>
                <w:highlight w:val="none"/>
              </w:rPr>
              <w:t>文件解释权归采购人。</w:t>
            </w:r>
          </w:p>
        </w:tc>
      </w:tr>
    </w:tbl>
    <w:p>
      <w:pPr>
        <w:rPr>
          <w:color w:val="auto"/>
          <w:highlight w:val="none"/>
        </w:rPr>
      </w:pPr>
    </w:p>
    <w:p>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ascii="宋体" w:hAnsi="宋体" w:cs="宋体"/>
          <w:color w:val="auto"/>
          <w:kern w:val="0"/>
          <w:sz w:val="24"/>
          <w:highlight w:val="none"/>
        </w:rPr>
      </w:pPr>
      <w:r>
        <w:rPr>
          <w:rFonts w:hint="eastAsia" w:ascii="黑体" w:hAnsi="宋体" w:eastAsia="黑体" w:cs="宋体"/>
          <w:b/>
          <w:bCs/>
          <w:color w:val="auto"/>
          <w:kern w:val="0"/>
          <w:sz w:val="28"/>
          <w:szCs w:val="28"/>
          <w:highlight w:val="none"/>
        </w:rPr>
        <w:t>一 、说 明</w:t>
      </w:r>
    </w:p>
    <w:p>
      <w:pPr>
        <w:keepNext w:val="0"/>
        <w:keepLines w:val="0"/>
        <w:pageBreakBefore w:val="0"/>
        <w:kinsoku/>
        <w:wordWrap/>
        <w:overflowPunct/>
        <w:topLinePunct w:val="0"/>
        <w:bidi w:val="0"/>
        <w:snapToGrid w:val="0"/>
        <w:spacing w:line="360" w:lineRule="auto"/>
        <w:rPr>
          <w:color w:val="auto"/>
          <w:highlight w:val="none"/>
        </w:rPr>
      </w:pP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1.适用范围</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文件仅适用于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公告中所叙述项目的</w:t>
      </w:r>
      <w:r>
        <w:rPr>
          <w:rFonts w:hint="eastAsia" w:ascii="宋体" w:hAnsi="宋体" w:cs="宋体"/>
          <w:color w:val="auto"/>
          <w:kern w:val="0"/>
          <w:szCs w:val="21"/>
          <w:highlight w:val="none"/>
          <w:lang w:eastAsia="zh-CN"/>
        </w:rPr>
        <w:t>货物</w:t>
      </w:r>
      <w:r>
        <w:rPr>
          <w:rFonts w:hint="eastAsia" w:ascii="宋体" w:hAnsi="宋体" w:cs="宋体"/>
          <w:color w:val="auto"/>
          <w:kern w:val="0"/>
          <w:szCs w:val="21"/>
          <w:highlight w:val="none"/>
        </w:rPr>
        <w:t>采购。</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2.定义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2.1 “采购人”系指</w:t>
      </w:r>
      <w:r>
        <w:rPr>
          <w:rFonts w:hint="eastAsia" w:ascii="宋体" w:hAnsi="宋体" w:eastAsia="宋体" w:cs="宋体"/>
          <w:color w:val="auto"/>
          <w:kern w:val="0"/>
          <w:szCs w:val="21"/>
          <w:highlight w:val="none"/>
        </w:rPr>
        <w:t>各级国家机关、事业单位、团体组织</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”系指</w:t>
      </w:r>
      <w:r>
        <w:rPr>
          <w:rFonts w:hint="eastAsia" w:ascii="宋体" w:hAnsi="宋体" w:cs="宋体"/>
          <w:color w:val="auto"/>
          <w:kern w:val="0"/>
          <w:szCs w:val="21"/>
          <w:highlight w:val="none"/>
          <w:lang w:val="en-US" w:eastAsia="zh-CN"/>
        </w:rPr>
        <w:t>领取</w:t>
      </w:r>
      <w:r>
        <w:rPr>
          <w:rFonts w:hint="eastAsia" w:ascii="宋体" w:hAnsi="宋体" w:cs="宋体"/>
          <w:color w:val="auto"/>
          <w:kern w:val="0"/>
          <w:szCs w:val="21"/>
          <w:highlight w:val="none"/>
        </w:rPr>
        <w:t>了本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文件，且已经提交本次投标文件的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代表”系指代表</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参加本次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活动的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的法定代表人或其委托代理人。</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“货物”系指投标人按采购文件规定向采购人提供的一切设备、机械、仪器仪表、备品备件、工具、手册及其它有关技术资料和材料。</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3.采购预算：</w:t>
      </w:r>
      <w:r>
        <w:rPr>
          <w:rFonts w:hint="eastAsia" w:ascii="宋体" w:hAnsi="宋体" w:cs="宋体"/>
          <w:b/>
          <w:bCs/>
          <w:color w:val="auto"/>
          <w:kern w:val="0"/>
          <w:szCs w:val="21"/>
          <w:highlight w:val="none"/>
          <w:lang w:val="en-US" w:eastAsia="zh-CN"/>
        </w:rPr>
        <w:t>46万元</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rPr>
        <w:t>最高投标限价</w:t>
      </w:r>
      <w:r>
        <w:rPr>
          <w:rFonts w:hint="eastAsia" w:ascii="宋体" w:hAnsi="宋体" w:cs="宋体"/>
          <w:b/>
          <w:bCs/>
          <w:color w:val="auto"/>
          <w:kern w:val="0"/>
          <w:szCs w:val="21"/>
          <w:highlight w:val="none"/>
          <w:lang w:val="en-US" w:eastAsia="zh-CN"/>
        </w:rPr>
        <w:t>:详见第二章采购需求第三项技术要求单项控制价</w:t>
      </w:r>
      <w:r>
        <w:rPr>
          <w:rFonts w:hint="eastAsia" w:ascii="宋体" w:hAnsi="宋体" w:cs="宋体"/>
          <w:b/>
          <w:bCs/>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szCs w:val="21"/>
          <w:highlight w:val="none"/>
        </w:rPr>
      </w:pPr>
      <w:r>
        <w:rPr>
          <w:rFonts w:hint="eastAsia" w:ascii="宋体" w:hAnsi="宋体" w:cs="宋体"/>
          <w:b/>
          <w:bCs/>
          <w:color w:val="auto"/>
          <w:kern w:val="0"/>
          <w:szCs w:val="21"/>
          <w:highlight w:val="none"/>
        </w:rPr>
        <w:t>4.</w:t>
      </w:r>
      <w:r>
        <w:rPr>
          <w:rFonts w:hint="eastAsia" w:ascii="宋体" w:hAnsi="宋体" w:cs="宋体"/>
          <w:b/>
          <w:bCs/>
          <w:color w:val="auto"/>
          <w:kern w:val="0"/>
          <w:szCs w:val="21"/>
          <w:highlight w:val="none"/>
          <w:lang w:eastAsia="zh-CN"/>
        </w:rPr>
        <w:t>供应商</w:t>
      </w:r>
      <w:r>
        <w:rPr>
          <w:rFonts w:hint="eastAsia" w:ascii="宋体" w:hAnsi="宋体" w:cs="宋体"/>
          <w:b/>
          <w:bCs/>
          <w:color w:val="auto"/>
          <w:kern w:val="0"/>
          <w:szCs w:val="21"/>
          <w:highlight w:val="none"/>
        </w:rPr>
        <w:t>应提交的证明文件</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val="en-US" w:eastAsia="zh-CN"/>
        </w:rPr>
        <w:t xml:space="preserve">4.1 </w:t>
      </w:r>
      <w:r>
        <w:rPr>
          <w:rFonts w:hint="eastAsia" w:ascii="宋体" w:hAnsi="宋体" w:eastAsia="宋体" w:cs="宋体"/>
          <w:color w:val="auto"/>
          <w:kern w:val="2"/>
          <w:sz w:val="21"/>
          <w:szCs w:val="24"/>
          <w:highlight w:val="none"/>
          <w:lang w:val="en-US" w:eastAsia="zh-CN" w:bidi="ar-SA"/>
        </w:rPr>
        <w:t>供应商应为注册在中华人民共和国境内的，且具有独立承担民事责任能力，提供营业执照等证明文件。</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val="en-US" w:eastAsia="zh-CN"/>
        </w:rPr>
        <w:t xml:space="preserve">4.2 </w:t>
      </w:r>
      <w:r>
        <w:rPr>
          <w:rFonts w:hint="eastAsia" w:ascii="宋体" w:hAnsi="宋体" w:eastAsia="宋体" w:cs="宋体"/>
          <w:color w:val="auto"/>
          <w:kern w:val="2"/>
          <w:sz w:val="21"/>
          <w:szCs w:val="24"/>
          <w:highlight w:val="none"/>
          <w:lang w:val="en-US" w:eastAsia="zh-CN" w:bidi="ar-SA"/>
        </w:rPr>
        <w:t>供应商应提供2022年度</w:t>
      </w:r>
      <w:r>
        <w:rPr>
          <w:rFonts w:hint="eastAsia" w:cs="宋体"/>
          <w:color w:val="auto"/>
          <w:kern w:val="2"/>
          <w:sz w:val="21"/>
          <w:szCs w:val="24"/>
          <w:highlight w:val="none"/>
          <w:lang w:val="en-US" w:eastAsia="zh-CN" w:bidi="ar-SA"/>
        </w:rPr>
        <w:t>或2023年度</w:t>
      </w:r>
      <w:r>
        <w:rPr>
          <w:rFonts w:hint="eastAsia" w:ascii="宋体" w:hAnsi="宋体" w:eastAsia="宋体" w:cs="宋体"/>
          <w:color w:val="auto"/>
          <w:kern w:val="2"/>
          <w:sz w:val="21"/>
          <w:szCs w:val="24"/>
          <w:highlight w:val="none"/>
          <w:lang w:val="en-US" w:eastAsia="zh-CN" w:bidi="ar-SA"/>
        </w:rPr>
        <w:t>经审计的财务报告或者其基本开户银行出具的资信证明；采购活动近</w:t>
      </w:r>
      <w:r>
        <w:rPr>
          <w:rFonts w:hint="eastAsia" w:cs="宋体"/>
          <w:color w:val="auto"/>
          <w:kern w:val="2"/>
          <w:sz w:val="21"/>
          <w:szCs w:val="24"/>
          <w:highlight w:val="none"/>
          <w:lang w:val="en-US" w:eastAsia="zh-CN" w:bidi="ar-SA"/>
        </w:rPr>
        <w:t>六</w:t>
      </w:r>
      <w:r>
        <w:rPr>
          <w:rFonts w:hint="eastAsia" w:ascii="宋体" w:hAnsi="宋体" w:eastAsia="宋体" w:cs="宋体"/>
          <w:color w:val="auto"/>
          <w:kern w:val="2"/>
          <w:sz w:val="21"/>
          <w:szCs w:val="24"/>
          <w:highlight w:val="none"/>
          <w:lang w:val="en-US" w:eastAsia="zh-CN" w:bidi="ar-SA"/>
        </w:rPr>
        <w:t>个月任意一个月的依法缴纳税收的凭据和缴纳社会保险的凭据；依法免税或不需要缴纳社会保障资金的供应商，应提供相应文件证明其依法免税或不需要缴纳社会保障资金。（新成立企业从成立之日起计算）；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4.3 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4.4 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val="en-US" w:eastAsia="zh-CN"/>
        </w:rPr>
        <w:t>4.</w:t>
      </w:r>
      <w:r>
        <w:rPr>
          <w:rFonts w:hint="eastAsia" w:ascii="宋体" w:hAnsi="宋体" w:cs="宋体"/>
          <w:color w:val="auto"/>
          <w:highlight w:val="none"/>
          <w:lang w:val="en-US" w:eastAsia="zh-CN"/>
        </w:rPr>
        <w:t>5</w:t>
      </w:r>
      <w:r>
        <w:rPr>
          <w:rFonts w:hint="eastAsia" w:ascii="宋体" w:hAnsi="宋体" w:eastAsia="宋体" w:cs="宋体"/>
          <w:color w:val="auto"/>
          <w:highlight w:val="none"/>
          <w:lang w:val="en-US" w:eastAsia="zh-CN"/>
        </w:rPr>
        <w:t xml:space="preserve"> </w:t>
      </w:r>
      <w:r>
        <w:rPr>
          <w:rFonts w:hint="eastAsia" w:cs="宋体"/>
          <w:color w:val="auto"/>
          <w:kern w:val="2"/>
          <w:sz w:val="21"/>
          <w:szCs w:val="24"/>
          <w:highlight w:val="none"/>
          <w:lang w:val="en-US" w:eastAsia="zh-CN" w:bidi="ar-SA"/>
        </w:rPr>
        <w:t>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r>
        <w:rPr>
          <w:rFonts w:hint="eastAsia" w:ascii="宋体" w:hAnsi="宋体" w:eastAsia="宋体" w:cs="宋体"/>
          <w:color w:val="auto"/>
          <w:kern w:val="2"/>
          <w:sz w:val="21"/>
          <w:szCs w:val="24"/>
          <w:highlight w:val="none"/>
          <w:lang w:val="en-US" w:eastAsia="zh-CN" w:bidi="ar-SA"/>
        </w:rPr>
        <w:t>；</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4.6 单位负责人为同一人或者存在直接控股、管理关系的不同供应商，不得参加同一合同项下的投标（提供书面声明函）。一经发现，将导致投标同时被拒绝</w:t>
      </w:r>
      <w:r>
        <w:rPr>
          <w:rFonts w:hint="eastAsia" w:cs="宋体"/>
          <w:color w:val="auto"/>
          <w:kern w:val="2"/>
          <w:sz w:val="21"/>
          <w:szCs w:val="24"/>
          <w:highlight w:val="none"/>
          <w:lang w:val="en-US" w:eastAsia="zh-CN" w:bidi="ar-SA"/>
        </w:rPr>
        <w:t>。</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default" w:cs="宋体"/>
          <w:color w:val="auto"/>
          <w:kern w:val="2"/>
          <w:sz w:val="21"/>
          <w:szCs w:val="24"/>
          <w:highlight w:val="none"/>
          <w:lang w:val="en-US" w:eastAsia="zh-CN" w:bidi="ar-SA"/>
        </w:rPr>
      </w:pPr>
      <w:r>
        <w:rPr>
          <w:rFonts w:hint="eastAsia" w:cs="宋体"/>
          <w:color w:val="auto"/>
          <w:kern w:val="2"/>
          <w:sz w:val="21"/>
          <w:szCs w:val="24"/>
          <w:highlight w:val="none"/>
          <w:lang w:val="en-US" w:eastAsia="zh-CN" w:bidi="ar-SA"/>
        </w:rPr>
        <w:t>4.7 谈判公告要求的其他资格证明材料</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5.投标费用</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不论投标结果如何，</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均应自行承担所有与投标有关的全部费用。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6.联合体投标：本项目不接受联合体投标。</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7.关联企业投标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7.1 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cs="宋体"/>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8.转包与分包</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8.1本项目不允许采取转包方式履行合同。</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8.2本项目不允许采取分包方式履行合同。</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9.特别说明：</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9.1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投标所使用的资格、信誉、荣誉、业绩与企业认证必须为本法人所拥有。  </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9.2</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代表只能接受一个</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的委托参加投标。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9.3《政府采购法》第二十二条第五款“参加政府采购活动前三年内，在经营活动中没有重大违法记录”，“重大违法记录”包括</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9.4</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10.质疑和投诉</w:t>
      </w:r>
    </w:p>
    <w:p>
      <w:pPr>
        <w:keepNext w:val="0"/>
        <w:keepLines w:val="0"/>
        <w:pageBreakBefore w:val="0"/>
        <w:widowControl/>
        <w:kinsoku/>
        <w:wordWrap/>
        <w:overflowPunct/>
        <w:topLinePunct w:val="0"/>
        <w:bidi w:val="0"/>
        <w:snapToGrid w:val="0"/>
        <w:spacing w:line="360" w:lineRule="auto"/>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10.1 </w:t>
      </w:r>
      <w:r>
        <w:rPr>
          <w:rFonts w:hint="eastAsia" w:ascii="宋体" w:hAnsi="宋体" w:cs="宋体"/>
          <w:bCs/>
          <w:color w:val="auto"/>
          <w:kern w:val="0"/>
          <w:szCs w:val="21"/>
          <w:highlight w:val="none"/>
        </w:rPr>
        <w:t>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p>
      <w:pPr>
        <w:keepNext w:val="0"/>
        <w:keepLines w:val="0"/>
        <w:pageBreakBefore w:val="0"/>
        <w:widowControl/>
        <w:shd w:val="clear" w:color="auto" w:fill="FFFFFF"/>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10.2 </w:t>
      </w:r>
      <w:r>
        <w:rPr>
          <w:rFonts w:hint="eastAsia" w:ascii="宋体" w:hAnsi="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11.</w:t>
      </w:r>
      <w:r>
        <w:rPr>
          <w:rFonts w:hint="eastAsia" w:ascii="宋体" w:hAnsi="宋体" w:cs="宋体"/>
          <w:b/>
          <w:bCs/>
          <w:color w:val="auto"/>
          <w:kern w:val="0"/>
          <w:szCs w:val="21"/>
          <w:highlight w:val="none"/>
          <w:lang w:eastAsia="zh-CN"/>
        </w:rPr>
        <w:t>供应商</w:t>
      </w:r>
      <w:r>
        <w:rPr>
          <w:rFonts w:hint="eastAsia" w:ascii="宋体" w:hAnsi="宋体" w:cs="宋体"/>
          <w:b/>
          <w:bCs/>
          <w:color w:val="auto"/>
          <w:kern w:val="0"/>
          <w:szCs w:val="21"/>
          <w:highlight w:val="none"/>
        </w:rPr>
        <w:t>的风险</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没有按照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文件要求提供全部资料，或者</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没有对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文件在各方面都作出实质性响应是</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的风险，并可能导致其投标被拒绝。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二、</w:t>
      </w:r>
      <w:r>
        <w:rPr>
          <w:rFonts w:hint="eastAsia" w:ascii="黑体" w:hAnsi="宋体" w:eastAsia="黑体" w:cs="宋体"/>
          <w:b/>
          <w:bCs/>
          <w:color w:val="auto"/>
          <w:kern w:val="0"/>
          <w:sz w:val="32"/>
          <w:szCs w:val="32"/>
          <w:highlight w:val="none"/>
          <w:lang w:val="en-US" w:eastAsia="zh-CN"/>
        </w:rPr>
        <w:t>采购</w:t>
      </w:r>
      <w:r>
        <w:rPr>
          <w:rFonts w:hint="eastAsia" w:ascii="黑体" w:hAnsi="宋体" w:eastAsia="黑体" w:cs="宋体"/>
          <w:b/>
          <w:bCs/>
          <w:color w:val="auto"/>
          <w:kern w:val="0"/>
          <w:sz w:val="32"/>
          <w:szCs w:val="32"/>
          <w:highlight w:val="none"/>
        </w:rPr>
        <w:t>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12.</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文件的构成。本</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文件由以下部分组成：</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12.1 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需求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12.3 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12.4 评标办法</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12.5 合同主要条款</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12.6 投标文件格式</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auto"/>
          <w:kern w:val="0"/>
          <w:szCs w:val="21"/>
          <w:highlight w:val="none"/>
        </w:rPr>
      </w:pPr>
      <w:r>
        <w:rPr>
          <w:rFonts w:hint="eastAsia" w:ascii="宋体" w:hAnsi="宋体" w:cs="宋体"/>
          <w:b/>
          <w:bCs/>
          <w:color w:val="auto"/>
          <w:kern w:val="0"/>
          <w:szCs w:val="21"/>
          <w:highlight w:val="none"/>
        </w:rPr>
        <w:t>13.</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文件的澄清与修改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13.1 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对已发出的</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文件进行必要澄清、修改或补充的，应当在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文件要求提交投标文件截止时间</w:t>
      </w:r>
      <w:r>
        <w:rPr>
          <w:rFonts w:hint="eastAsia" w:ascii="宋体" w:hAnsi="宋体" w:cs="宋体"/>
          <w:color w:val="auto"/>
          <w:kern w:val="0"/>
          <w:szCs w:val="21"/>
          <w:highlight w:val="none"/>
          <w:lang w:val="en-US" w:eastAsia="zh-CN"/>
        </w:rPr>
        <w:t>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前，在</w:t>
      </w:r>
      <w:r>
        <w:rPr>
          <w:rFonts w:hint="eastAsia" w:ascii="宋体" w:hAnsi="宋体" w:cs="宋体"/>
          <w:color w:val="auto"/>
          <w:kern w:val="0"/>
          <w:szCs w:val="21"/>
          <w:highlight w:val="none"/>
          <w:lang w:val="en-US" w:eastAsia="zh-CN"/>
        </w:rPr>
        <w:t>原采购公告发布</w:t>
      </w:r>
      <w:r>
        <w:rPr>
          <w:rFonts w:hint="eastAsia" w:ascii="宋体" w:hAnsi="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文件公示期间对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文件进行的澄清、修改或补充不受上述限制。</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文件澄清、修改或补充的内容为</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文件的组成部分。</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13.3 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文件的澄清、修改或补充都应以法定形式发布。采购人未对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文件进行的澄清、修改或补充无效，评标时不予认可。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13.4 </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可以视招标具体情况延长投标截止时间和开标时间，但至少应当在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文件要求提交投标文件的截止时间3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前，将变更时间</w:t>
      </w:r>
      <w:r>
        <w:rPr>
          <w:rFonts w:hint="eastAsia" w:ascii="宋体" w:hAnsi="宋体" w:cs="宋体"/>
          <w:color w:val="auto"/>
          <w:kern w:val="0"/>
          <w:szCs w:val="21"/>
          <w:highlight w:val="none"/>
          <w:lang w:val="en-US" w:eastAsia="zh-CN"/>
        </w:rPr>
        <w:t>通知所有潜在供应商</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三</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投标文件的编制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14.要求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14.1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应仔细阅读</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文件的所有内容，按照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文件提供的格式编写投标文件，不得缺少或留空任何</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文件要求填写的表格或提交的资料。</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文件提供格式的按格式填列，未提供格式的可自行拟定。投标文件应对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文件的要求作出实质性响应（包括</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资格要求、技术要求、商务要求和投标文件格式中对投标的要求），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对所提供的全部资料的合法性、真实性负责。</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14.2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应完整签署投标文件格式附件中《投标书》和《抵制商业贿赂承诺》，不得增减或修改内容。否则视为对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15.投标文件的语言和计量单位</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15.1投标文件以及</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与采购人就有关投标事宜的所有来往函电均应使用简体中文书写。</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15.2 关于投标计量单位，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文件已有明确规定的，使用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文件规定的计量单位；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文件没有规定的，应采用中华人民共和国法定计量单位。否则视为对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15.3 原版为外文的证书类文件，以及由外国人做出的本人签名、外国公司的名称或外国印章等可以是外文，但应当提供中文翻译文件并加盖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公章。必要时</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可以要求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16.投标文件的组成</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投标文件应包括下列部分：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16.1、投标书及开标一览表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16.2、</w:t>
      </w:r>
      <w:r>
        <w:rPr>
          <w:rFonts w:hint="eastAsia" w:ascii="宋体" w:hAnsi="宋体" w:cs="宋体"/>
          <w:color w:val="auto"/>
          <w:kern w:val="0"/>
          <w:szCs w:val="21"/>
          <w:highlight w:val="none"/>
        </w:rPr>
        <w:t>报价明细表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、技术响应表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、商务响应表</w:t>
      </w:r>
    </w:p>
    <w:p>
      <w:pPr>
        <w:keepNext w:val="0"/>
        <w:keepLines w:val="0"/>
        <w:pageBreakBefore w:val="0"/>
        <w:widowControl/>
        <w:kinsoku/>
        <w:wordWrap/>
        <w:overflowPunct/>
        <w:topLinePunct w:val="0"/>
        <w:bidi w:val="0"/>
        <w:snapToGrid w:val="0"/>
        <w:spacing w:line="360" w:lineRule="auto"/>
        <w:ind w:left="208" w:leftChars="99"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、法定代表人身份证明</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、法定代表人授权书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、证明文件</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、抵制商业贿赂承诺</w:t>
      </w:r>
    </w:p>
    <w:p>
      <w:pPr>
        <w:pStyle w:val="16"/>
        <w:keepNext w:val="0"/>
        <w:keepLines w:val="0"/>
        <w:pageBreakBefore w:val="0"/>
        <w:kinsoku/>
        <w:wordWrap/>
        <w:overflowPunct/>
        <w:topLinePunct w:val="0"/>
        <w:bidi w:val="0"/>
        <w:snapToGrid w:val="0"/>
        <w:spacing w:beforeAutospacing="0" w:afterAutospacing="0" w:line="360" w:lineRule="auto"/>
        <w:rPr>
          <w:color w:val="auto"/>
          <w:sz w:val="21"/>
          <w:szCs w:val="21"/>
          <w:highlight w:val="none"/>
        </w:rPr>
      </w:pPr>
      <w:r>
        <w:rPr>
          <w:rFonts w:hint="eastAsia"/>
          <w:color w:val="auto"/>
          <w:sz w:val="21"/>
          <w:szCs w:val="21"/>
          <w:highlight w:val="none"/>
        </w:rPr>
        <w:t>16.</w:t>
      </w:r>
      <w:r>
        <w:rPr>
          <w:rFonts w:hint="eastAsia"/>
          <w:color w:val="auto"/>
          <w:sz w:val="21"/>
          <w:szCs w:val="21"/>
          <w:highlight w:val="none"/>
          <w:lang w:val="en-US" w:eastAsia="zh-CN"/>
        </w:rPr>
        <w:t>9</w:t>
      </w:r>
      <w:r>
        <w:rPr>
          <w:rFonts w:hint="eastAsia"/>
          <w:color w:val="auto"/>
          <w:sz w:val="21"/>
          <w:szCs w:val="21"/>
          <w:highlight w:val="none"/>
        </w:rPr>
        <w:t>、</w:t>
      </w:r>
      <w:r>
        <w:rPr>
          <w:rFonts w:hint="eastAsia"/>
          <w:color w:val="auto"/>
          <w:sz w:val="21"/>
          <w:szCs w:val="21"/>
          <w:highlight w:val="none"/>
          <w:lang w:eastAsia="zh-CN"/>
        </w:rPr>
        <w:t>供应商</w:t>
      </w:r>
      <w:r>
        <w:rPr>
          <w:rFonts w:hint="eastAsia"/>
          <w:color w:val="auto"/>
          <w:sz w:val="21"/>
          <w:szCs w:val="21"/>
          <w:highlight w:val="none"/>
        </w:rPr>
        <w:t>认为有必要的其他资料</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17.投标有效期</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 投标文件从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公告所规定的投标截止期之后开始生效，在</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须知前附表</w:t>
      </w:r>
      <w:r>
        <w:rPr>
          <w:rFonts w:hint="eastAsia" w:ascii="宋体" w:hAnsi="宋体" w:cs="宋体"/>
          <w:color w:val="auto"/>
          <w:kern w:val="0"/>
          <w:szCs w:val="21"/>
          <w:highlight w:val="none"/>
        </w:rPr>
        <w:t>第16项所规定的期限内保持有效。有效期不足将导致其投标文件被拒绝。</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的投标文件有效期至合同完全履行止。</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17.2特殊情况下</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可于投标有效期满之前书面要求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同意延长有效期，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应在</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规定的期限内以书面形式予以答复。</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可以拒绝上述要求。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答复不明确或者逾期未答复的，均视为拒绝上述要求。对于接受该要求的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，既不要求也不允许其修改投标文件。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18.投标报价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18.1 所有投标报价均以人民币元为计算单位。</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要按开标一览表的内容填写。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18.3 </w:t>
      </w:r>
      <w:r>
        <w:rPr>
          <w:rFonts w:hint="eastAsia" w:ascii="宋体" w:hAnsi="宋体" w:cs="宋体"/>
          <w:color w:val="auto"/>
          <w:spacing w:val="10"/>
          <w:kern w:val="0"/>
          <w:szCs w:val="21"/>
          <w:highlight w:val="none"/>
          <w:lang w:eastAsia="zh-CN"/>
        </w:rPr>
        <w:t>供应商</w:t>
      </w:r>
      <w:r>
        <w:rPr>
          <w:rFonts w:hint="eastAsia" w:ascii="宋体" w:hAnsi="宋体" w:cs="宋体"/>
          <w:color w:val="auto"/>
          <w:spacing w:val="10"/>
          <w:kern w:val="0"/>
          <w:szCs w:val="21"/>
          <w:highlight w:val="none"/>
        </w:rPr>
        <w:t>投报多标包的，应对每标包分别报价并分别填报开标一览表。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18.4 开标一览表中标明的价格在政府采购合同执行过程中是固定不变的，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不得以任何理由予以变更。以可调整的价格提交的投标将被作为无效投标处理。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18.5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不接受可选择的投标报价。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18.6 对于</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cs="宋体"/>
          <w:b/>
          <w:color w:val="auto"/>
          <w:kern w:val="0"/>
          <w:szCs w:val="21"/>
          <w:highlight w:val="none"/>
        </w:rPr>
        <w:t>19.投标保证金</w:t>
      </w:r>
      <w:r>
        <w:rPr>
          <w:rFonts w:hint="eastAsia" w:ascii="宋体" w:hAnsi="宋体" w:cs="宋体"/>
          <w:b/>
          <w:color w:val="auto"/>
          <w:kern w:val="0"/>
          <w:szCs w:val="21"/>
          <w:highlight w:val="none"/>
          <w:lang w:eastAsia="zh-CN"/>
        </w:rPr>
        <w:t>（</w:t>
      </w:r>
      <w:r>
        <w:rPr>
          <w:rFonts w:hint="eastAsia" w:ascii="宋体" w:hAnsi="宋体" w:cs="宋体"/>
          <w:b/>
          <w:color w:val="auto"/>
          <w:kern w:val="0"/>
          <w:szCs w:val="21"/>
          <w:highlight w:val="none"/>
          <w:lang w:val="en-US" w:eastAsia="zh-CN"/>
        </w:rPr>
        <w:t>详见采购公告</w:t>
      </w:r>
      <w:r>
        <w:rPr>
          <w:rFonts w:hint="eastAsia" w:ascii="宋体" w:hAnsi="宋体" w:cs="宋体"/>
          <w:b/>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17" w:firstLineChars="198"/>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20.投标文件的签署</w:t>
      </w:r>
      <w:r>
        <w:rPr>
          <w:rFonts w:hint="eastAsia" w:ascii="宋体" w:hAnsi="宋体" w:cs="宋体"/>
          <w:b/>
          <w:color w:val="auto"/>
          <w:kern w:val="0"/>
          <w:szCs w:val="21"/>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.2 投标文件应当对</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cs="宋体"/>
          <w:color w:val="auto"/>
          <w:kern w:val="0"/>
          <w:szCs w:val="21"/>
          <w:highlight w:val="none"/>
          <w:lang w:val="en-US" w:eastAsia="zh-CN"/>
        </w:rPr>
        <w:t>交货期</w:t>
      </w:r>
      <w:r>
        <w:rPr>
          <w:rFonts w:hint="eastAsia" w:ascii="宋体" w:hAnsi="宋体" w:eastAsia="宋体" w:cs="宋体"/>
          <w:color w:val="auto"/>
          <w:kern w:val="0"/>
          <w:szCs w:val="21"/>
          <w:highlight w:val="none"/>
        </w:rPr>
        <w:t>、投标有效期、</w:t>
      </w:r>
      <w:r>
        <w:rPr>
          <w:rFonts w:hint="eastAsia" w:ascii="宋体" w:hAnsi="宋体" w:cs="宋体"/>
          <w:color w:val="auto"/>
          <w:kern w:val="0"/>
          <w:szCs w:val="21"/>
          <w:highlight w:val="none"/>
          <w:lang w:val="en-US" w:eastAsia="zh-CN"/>
        </w:rPr>
        <w:t>质量</w:t>
      </w:r>
      <w:r>
        <w:rPr>
          <w:rFonts w:hint="eastAsia" w:ascii="宋体" w:hAnsi="宋体" w:eastAsia="宋体" w:cs="宋体"/>
          <w:color w:val="auto"/>
          <w:kern w:val="0"/>
          <w:szCs w:val="21"/>
          <w:highlight w:val="none"/>
        </w:rPr>
        <w:t>要求、技术标准和要求、</w:t>
      </w:r>
      <w:r>
        <w:rPr>
          <w:rFonts w:hint="eastAsia" w:ascii="宋体" w:hAnsi="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的法定代表人盖章或盖单位公章；投标文件应尽量避免涂改、行间插字或删除，如果出现上述情况，改动之处应加盖单位公章或由</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ascii="黑体" w:hAnsi="宋体" w:eastAsia="黑体" w:cs="宋体"/>
          <w:b/>
          <w:color w:val="auto"/>
          <w:kern w:val="0"/>
          <w:sz w:val="32"/>
          <w:szCs w:val="32"/>
          <w:highlight w:val="none"/>
        </w:rPr>
      </w:pPr>
      <w:r>
        <w:rPr>
          <w:rFonts w:hint="eastAsia" w:ascii="黑体" w:hAnsi="宋体" w:eastAsia="黑体" w:cs="宋体"/>
          <w:b/>
          <w:color w:val="auto"/>
          <w:kern w:val="0"/>
          <w:sz w:val="32"/>
          <w:szCs w:val="32"/>
          <w:highlight w:val="none"/>
        </w:rPr>
        <w:t>四、投标文件的递交</w:t>
      </w:r>
    </w:p>
    <w:p>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21. 投标文件的密封、标记</w:t>
      </w:r>
    </w:p>
    <w:p>
      <w:pPr>
        <w:keepNext w:val="0"/>
        <w:keepLines w:val="0"/>
        <w:pageBreakBefore w:val="0"/>
        <w:kinsoku/>
        <w:wordWrap/>
        <w:overflowPunct/>
        <w:topLinePunct w:val="0"/>
        <w:autoSpaceDE/>
        <w:autoSpaceDN/>
        <w:bidi w:val="0"/>
        <w:adjustRightInd/>
        <w:spacing w:line="360" w:lineRule="auto"/>
        <w:ind w:firstLine="424" w:firstLineChars="202"/>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21.1</w:t>
      </w:r>
      <w:r>
        <w:rPr>
          <w:color w:val="auto"/>
          <w:highlight w:val="none"/>
        </w:rPr>
        <w:t>响应文件应密封包装，并在封套的封口处加盖供应商单位章或由供应商的法定代表人（单位负责人）或其授权的代理人签字。</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color w:val="auto"/>
          <w:highlight w:val="none"/>
          <w:lang w:eastAsia="zh-CN"/>
        </w:rPr>
      </w:pPr>
      <w:r>
        <w:rPr>
          <w:rFonts w:hint="eastAsia"/>
          <w:color w:val="auto"/>
          <w:highlight w:val="none"/>
          <w:lang w:eastAsia="zh-CN"/>
        </w:rPr>
        <w:t>2</w:t>
      </w:r>
      <w:r>
        <w:rPr>
          <w:rFonts w:hint="eastAsia"/>
          <w:color w:val="auto"/>
          <w:highlight w:val="none"/>
          <w:lang w:val="en-US" w:eastAsia="zh-CN"/>
        </w:rPr>
        <w:t>1</w:t>
      </w: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 xml:space="preserve"> 未按本章第2</w:t>
      </w:r>
      <w:r>
        <w:rPr>
          <w:rFonts w:hint="eastAsia"/>
          <w:color w:val="auto"/>
          <w:highlight w:val="none"/>
          <w:lang w:val="en-US" w:eastAsia="zh-CN"/>
        </w:rPr>
        <w:t>1</w:t>
      </w:r>
      <w:r>
        <w:rPr>
          <w:rFonts w:hint="eastAsia"/>
          <w:color w:val="auto"/>
          <w:highlight w:val="none"/>
          <w:lang w:eastAsia="zh-CN"/>
        </w:rPr>
        <w:t>.1项要求密封的投标文件，采购人不予受理。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22. 投标文件的递交</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 xml:space="preserve">.1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应在规定的投标截止时间前</w:t>
      </w:r>
      <w:r>
        <w:rPr>
          <w:rFonts w:hint="eastAsia" w:ascii="宋体" w:hAnsi="宋体" w:cs="宋体"/>
          <w:color w:val="auto"/>
          <w:kern w:val="0"/>
          <w:szCs w:val="21"/>
          <w:highlight w:val="none"/>
          <w:lang w:eastAsia="zh-CN"/>
        </w:rPr>
        <w:t>递交</w:t>
      </w:r>
      <w:r>
        <w:rPr>
          <w:rFonts w:hint="eastAsia" w:ascii="宋体" w:hAnsi="宋体" w:cs="宋体"/>
          <w:color w:val="auto"/>
          <w:kern w:val="0"/>
          <w:szCs w:val="21"/>
          <w:highlight w:val="none"/>
        </w:rPr>
        <w:t>投标文件。</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递交投标文件的地点：见</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 除</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须知前附表另有规定外，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所递交的投标文件不予退还。</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23. 投标文件的修改和撤回</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23.1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在投标截止时间前，可以对所提交的投标文件进行补充、修改或者撤回，并书面通知</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color w:val="auto"/>
          <w:kern w:val="0"/>
          <w:szCs w:val="21"/>
          <w:highlight w:val="none"/>
        </w:rPr>
        <w:t xml:space="preserve">23.2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在投标截止期后不得修改、撤回投标文件。</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在投标截止期后修改投标文件的，其投标将被拒绝。</w:t>
      </w:r>
    </w:p>
    <w:p>
      <w:pPr>
        <w:keepNext w:val="0"/>
        <w:keepLines w:val="0"/>
        <w:pageBreakBefore w:val="0"/>
        <w:widowControl/>
        <w:kinsoku/>
        <w:wordWrap/>
        <w:overflowPunct/>
        <w:topLinePunct w:val="0"/>
        <w:bidi w:val="0"/>
        <w:snapToGrid w:val="0"/>
        <w:spacing w:line="360" w:lineRule="auto"/>
        <w:jc w:val="center"/>
        <w:outlineLvl w:val="1"/>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五</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评标</w:t>
      </w:r>
    </w:p>
    <w:p>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 组建</w:t>
      </w:r>
      <w:r>
        <w:rPr>
          <w:rFonts w:hint="eastAsia" w:ascii="宋体" w:hAnsi="宋体" w:cs="宋体"/>
          <w:b/>
          <w:bCs/>
          <w:color w:val="auto"/>
          <w:kern w:val="0"/>
          <w:szCs w:val="21"/>
          <w:highlight w:val="none"/>
          <w:lang w:eastAsia="zh-CN"/>
        </w:rPr>
        <w:t>磋商小组</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.1 </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由采购人代表和评审专家组成。成员由</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人以上单数组成。</w:t>
      </w:r>
      <w:r>
        <w:rPr>
          <w:rFonts w:hint="eastAsia" w:ascii="宋体" w:hAnsi="宋体" w:cs="宋体"/>
          <w:color w:val="auto"/>
          <w:szCs w:val="21"/>
          <w:highlight w:val="none"/>
        </w:rPr>
        <w:t>在开标后由</w:t>
      </w: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对投标文件进行审查、质疑、评估和比较，并做合理的建议。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成员要依法独立评审，并对评审意见承担个人责任。</w:t>
      </w: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成员对需要共同认定的事项存在争议的，按照少数服从多数的原则</w:t>
      </w:r>
      <w:r>
        <w:rPr>
          <w:rFonts w:hint="eastAsia" w:ascii="宋体" w:hAnsi="宋体" w:cs="宋体"/>
          <w:color w:val="auto"/>
          <w:kern w:val="0"/>
          <w:szCs w:val="21"/>
          <w:highlight w:val="none"/>
        </w:rPr>
        <w:t>做</w:t>
      </w:r>
      <w:r>
        <w:rPr>
          <w:rFonts w:hint="eastAsia" w:ascii="宋体" w:hAnsi="宋体" w:cs="宋体"/>
          <w:color w:val="auto"/>
          <w:szCs w:val="21"/>
          <w:highlight w:val="none"/>
        </w:rPr>
        <w:t>出结论。持不同意见的</w:t>
      </w: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成员应当在评标报告上签署不同意见</w:t>
      </w:r>
      <w:r>
        <w:rPr>
          <w:rFonts w:hint="eastAsia" w:ascii="宋体" w:hAnsi="宋体" w:cs="宋体"/>
          <w:color w:val="auto"/>
          <w:kern w:val="0"/>
          <w:szCs w:val="21"/>
          <w:highlight w:val="none"/>
        </w:rPr>
        <w:t>并说明</w:t>
      </w:r>
      <w:r>
        <w:rPr>
          <w:rFonts w:hint="eastAsia" w:ascii="宋体" w:hAnsi="宋体" w:cs="宋体"/>
          <w:color w:val="auto"/>
          <w:szCs w:val="21"/>
          <w:highlight w:val="none"/>
        </w:rPr>
        <w:t>理由，否则视为同意。</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投标文件的初审</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.1对所有</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的评估，都采用相同的程序和标准。评标过程将严格按照</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文件的要求和条件进行。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.2 </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ascii="宋体" w:hAnsi="宋体" w:cs="宋体"/>
          <w:color w:val="auto"/>
          <w:kern w:val="0"/>
          <w:szCs w:val="21"/>
          <w:highlight w:val="none"/>
        </w:rPr>
        <w:t>.</w:t>
      </w:r>
      <w:r>
        <w:rPr>
          <w:rFonts w:hint="eastAsia" w:ascii="宋体" w:hAnsi="宋体" w:cs="宋体"/>
          <w:color w:val="auto"/>
          <w:kern w:val="0"/>
          <w:szCs w:val="21"/>
          <w:highlight w:val="none"/>
        </w:rPr>
        <w:t>3</w:t>
      </w:r>
      <w:r>
        <w:rPr>
          <w:rFonts w:ascii="宋体" w:hAnsi="宋体" w:cs="宋体"/>
          <w:color w:val="auto"/>
          <w:kern w:val="0"/>
          <w:szCs w:val="21"/>
          <w:highlight w:val="none"/>
        </w:rPr>
        <w:t> </w:t>
      </w:r>
      <w:r>
        <w:rPr>
          <w:rFonts w:hint="eastAsia"/>
          <w:color w:val="auto"/>
          <w:kern w:val="0"/>
          <w:szCs w:val="21"/>
          <w:highlight w:val="none"/>
        </w:rPr>
        <w:t>投标文件报价出现前后不一致的，除</w:t>
      </w:r>
      <w:r>
        <w:rPr>
          <w:rFonts w:hint="eastAsia"/>
          <w:color w:val="auto"/>
          <w:kern w:val="0"/>
          <w:szCs w:val="21"/>
          <w:highlight w:val="none"/>
          <w:lang w:val="en-US" w:eastAsia="zh-CN"/>
        </w:rPr>
        <w:t>采购</w:t>
      </w:r>
      <w:r>
        <w:rPr>
          <w:rFonts w:hint="eastAsia"/>
          <w:color w:val="auto"/>
          <w:kern w:val="0"/>
          <w:szCs w:val="21"/>
          <w:highlight w:val="none"/>
        </w:rPr>
        <w:t>文件另有规定外，</w:t>
      </w:r>
      <w:r>
        <w:rPr>
          <w:rFonts w:hint="eastAsia" w:cs="宋体"/>
          <w:color w:val="auto"/>
          <w:kern w:val="0"/>
          <w:szCs w:val="21"/>
          <w:highlight w:val="none"/>
        </w:rPr>
        <w:t>修正错误的原则如下：</w:t>
      </w:r>
    </w:p>
    <w:p>
      <w:pPr>
        <w:pStyle w:val="30"/>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.3.1</w:t>
      </w:r>
      <w:r>
        <w:rPr>
          <w:rFonts w:hint="eastAsia" w:ascii="宋体" w:hAnsi="宋体" w:cs="宋体"/>
          <w:color w:val="auto"/>
          <w:sz w:val="21"/>
          <w:szCs w:val="21"/>
          <w:highlight w:val="none"/>
          <w:shd w:val="clear" w:color="auto" w:fill="FFFFFF"/>
        </w:rPr>
        <w:t>投标文件开标一览表（报价表）内容与投标文件中相应内容不一致的，以开标一览表（报价表）为准；</w:t>
      </w:r>
    </w:p>
    <w:p>
      <w:pPr>
        <w:pStyle w:val="30"/>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.3.2</w:t>
      </w:r>
      <w:r>
        <w:rPr>
          <w:rFonts w:hint="eastAsia" w:ascii="宋体" w:hAnsi="宋体" w:cs="宋体"/>
          <w:color w:val="auto"/>
          <w:sz w:val="21"/>
          <w:szCs w:val="21"/>
          <w:highlight w:val="none"/>
          <w:shd w:val="clear" w:color="auto" w:fill="FFFFFF"/>
        </w:rPr>
        <w:t>大写金额</w:t>
      </w:r>
      <w:r>
        <w:rPr>
          <w:rFonts w:hint="eastAsia" w:ascii="宋体" w:hAnsi="宋体" w:cs="宋体"/>
          <w:color w:val="auto"/>
          <w:sz w:val="21"/>
          <w:szCs w:val="21"/>
          <w:highlight w:val="none"/>
        </w:rPr>
        <w:t>与</w:t>
      </w:r>
      <w:r>
        <w:rPr>
          <w:rFonts w:hint="eastAsia" w:ascii="宋体" w:hAnsi="宋体" w:cs="宋体"/>
          <w:color w:val="auto"/>
          <w:sz w:val="21"/>
          <w:szCs w:val="21"/>
          <w:highlight w:val="none"/>
          <w:shd w:val="clear" w:color="auto" w:fill="FFFFFF"/>
        </w:rPr>
        <w:t>小写金额不一致的，以大写金额为准；</w:t>
      </w:r>
    </w:p>
    <w:p>
      <w:pPr>
        <w:pStyle w:val="30"/>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.3.3</w:t>
      </w:r>
      <w:r>
        <w:rPr>
          <w:rFonts w:hint="eastAsia" w:ascii="宋体" w:hAnsi="宋体" w:cs="宋体"/>
          <w:color w:val="auto"/>
          <w:sz w:val="21"/>
          <w:szCs w:val="21"/>
          <w:highlight w:val="none"/>
          <w:shd w:val="clear" w:color="auto" w:fill="FFFFFF"/>
        </w:rPr>
        <w:t>单价金额小数点或者百分比有明显错位的，以开标一览表的总价为准，并修改单价；</w:t>
      </w:r>
    </w:p>
    <w:p>
      <w:pPr>
        <w:pStyle w:val="30"/>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.3.4</w:t>
      </w:r>
      <w:r>
        <w:rPr>
          <w:rFonts w:hint="eastAsia" w:ascii="宋体" w:hAnsi="宋体" w:cs="宋体"/>
          <w:color w:val="auto"/>
          <w:sz w:val="21"/>
          <w:szCs w:val="21"/>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.3.6 同时出现两种以上不一致的，按照前款规定的顺序修正。修正后的报价按照财政部87号令第五十一条第二款的规定经</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确认后产生约束力，</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不确认的，其投标无效。</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 资格性检查和符合性检查。</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w:t>
      </w:r>
      <w:r>
        <w:rPr>
          <w:rFonts w:hint="eastAsia" w:ascii="宋体" w:hAnsi="宋体"/>
          <w:color w:val="auto"/>
          <w:szCs w:val="21"/>
          <w:highlight w:val="none"/>
        </w:rPr>
        <w:t>资格性检查。依据法规政策和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文件的规定，在对投标文件详细评估之前，采购人将依据</w:t>
      </w:r>
      <w:r>
        <w:rPr>
          <w:rFonts w:hint="eastAsia" w:ascii="宋体" w:hAnsi="宋体"/>
          <w:color w:val="auto"/>
          <w:szCs w:val="21"/>
          <w:highlight w:val="none"/>
          <w:lang w:eastAsia="zh-CN"/>
        </w:rPr>
        <w:t>供应商</w:t>
      </w:r>
      <w:r>
        <w:rPr>
          <w:rFonts w:hint="eastAsia" w:ascii="宋体" w:hAnsi="宋体"/>
          <w:color w:val="auto"/>
          <w:szCs w:val="21"/>
          <w:highlight w:val="none"/>
        </w:rPr>
        <w:t>提交的投标文件按</w:t>
      </w:r>
      <w:r>
        <w:rPr>
          <w:rFonts w:hint="eastAsia" w:ascii="宋体" w:hAnsi="宋体"/>
          <w:color w:val="auto"/>
          <w:szCs w:val="21"/>
          <w:highlight w:val="none"/>
          <w:lang w:val="en-US" w:eastAsia="zh-CN"/>
        </w:rPr>
        <w:t>采购</w:t>
      </w:r>
      <w:r>
        <w:rPr>
          <w:rFonts w:hint="eastAsia" w:ascii="宋体" w:hAnsi="宋体"/>
          <w:color w:val="auto"/>
          <w:szCs w:val="21"/>
          <w:highlight w:val="none"/>
        </w:rPr>
        <w:t>公告第二项和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文件第三章4.</w:t>
      </w:r>
      <w:r>
        <w:rPr>
          <w:rFonts w:hint="eastAsia" w:ascii="宋体" w:hAnsi="宋体"/>
          <w:color w:val="auto"/>
          <w:szCs w:val="21"/>
          <w:highlight w:val="none"/>
          <w:lang w:eastAsia="zh-CN"/>
        </w:rPr>
        <w:t>供应商</w:t>
      </w:r>
      <w:r>
        <w:rPr>
          <w:rFonts w:hint="eastAsia" w:ascii="宋体" w:hAnsi="宋体"/>
          <w:color w:val="auto"/>
          <w:szCs w:val="21"/>
          <w:highlight w:val="none"/>
        </w:rPr>
        <w:t>应提交的证明文件所述的资格标准对</w:t>
      </w:r>
      <w:r>
        <w:rPr>
          <w:rFonts w:hint="eastAsia" w:ascii="宋体" w:hAnsi="宋体"/>
          <w:color w:val="auto"/>
          <w:szCs w:val="21"/>
          <w:highlight w:val="none"/>
          <w:lang w:eastAsia="zh-CN"/>
        </w:rPr>
        <w:t>供应商</w:t>
      </w:r>
      <w:r>
        <w:rPr>
          <w:rFonts w:hint="eastAsia" w:ascii="宋体" w:hAnsi="宋体"/>
          <w:color w:val="auto"/>
          <w:szCs w:val="21"/>
          <w:highlight w:val="none"/>
        </w:rPr>
        <w:t>进行资格审查,以确定其是否具备投标资格。如果</w:t>
      </w:r>
      <w:r>
        <w:rPr>
          <w:rFonts w:hint="eastAsia" w:ascii="宋体" w:hAnsi="宋体"/>
          <w:color w:val="auto"/>
          <w:szCs w:val="21"/>
          <w:highlight w:val="none"/>
          <w:lang w:eastAsia="zh-CN"/>
        </w:rPr>
        <w:t>供应商</w:t>
      </w:r>
      <w:r>
        <w:rPr>
          <w:rFonts w:hint="eastAsia" w:ascii="宋体" w:hAnsi="宋体"/>
          <w:color w:val="auto"/>
          <w:szCs w:val="21"/>
          <w:highlight w:val="none"/>
        </w:rPr>
        <w:t>不具备投标资格、不满足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文件所规定的资格标准或提供资格证明文件不全,其投标将被作为无效投标。</w:t>
      </w:r>
      <w:r>
        <w:rPr>
          <w:rFonts w:hint="eastAsia" w:ascii="宋体" w:hAnsi="宋体" w:cs="Lucida Sans Unicode"/>
          <w:color w:val="auto"/>
          <w:szCs w:val="21"/>
          <w:highlight w:val="none"/>
        </w:rPr>
        <w:t>在审查过程中，采购人有权要求</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按</w:t>
      </w:r>
      <w:r>
        <w:rPr>
          <w:rFonts w:hint="eastAsia" w:ascii="宋体" w:hAnsi="宋体" w:cs="Lucida Sans Unicode"/>
          <w:color w:val="auto"/>
          <w:szCs w:val="21"/>
          <w:highlight w:val="none"/>
          <w:lang w:val="en-US" w:eastAsia="zh-CN"/>
        </w:rPr>
        <w:t>采购</w:t>
      </w:r>
      <w:r>
        <w:rPr>
          <w:rFonts w:hint="eastAsia" w:ascii="宋体" w:hAnsi="宋体" w:cs="Lucida Sans Unicode"/>
          <w:color w:val="auto"/>
          <w:szCs w:val="21"/>
          <w:highlight w:val="none"/>
        </w:rPr>
        <w:t>文件的规定提供相关资格证明材料的原件以供审查。</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应在规定的时限内提供。</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拒不提供的，或者不能在规定时限内提供的，视为其不具备该资格条件。</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auto"/>
          <w:szCs w:val="21"/>
          <w:highlight w:val="none"/>
        </w:rPr>
      </w:pPr>
      <w:r>
        <w:rPr>
          <w:rFonts w:hint="eastAsia" w:ascii="宋体" w:hAnsi="宋体" w:cs="Lucida Sans Unicode"/>
          <w:color w:val="auto"/>
          <w:szCs w:val="21"/>
          <w:highlight w:val="none"/>
        </w:rPr>
        <w:t>2</w:t>
      </w:r>
      <w:r>
        <w:rPr>
          <w:rFonts w:hint="eastAsia" w:ascii="宋体" w:hAnsi="宋体" w:cs="Lucida Sans Unicode"/>
          <w:color w:val="auto"/>
          <w:szCs w:val="21"/>
          <w:highlight w:val="none"/>
          <w:lang w:val="en-US" w:eastAsia="zh-CN"/>
        </w:rPr>
        <w:t>5</w:t>
      </w:r>
      <w:r>
        <w:rPr>
          <w:rFonts w:hint="eastAsia" w:ascii="宋体" w:hAnsi="宋体" w:cs="Lucida Sans Unicode"/>
          <w:color w:val="auto"/>
          <w:szCs w:val="21"/>
          <w:highlight w:val="none"/>
        </w:rPr>
        <w:t>.4.2 资格审查后合格的</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不足3家的，不得评标。</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 符合性检查。依据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将从投标文件的有效性、完整性和对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文件的响应程度进行审查，以确定是否符合对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eastAsia="zh-CN"/>
        </w:rPr>
        <w:t>供应商</w:t>
      </w:r>
      <w:r>
        <w:rPr>
          <w:rFonts w:hint="eastAsia" w:ascii="宋体" w:hAnsi="宋体"/>
          <w:color w:val="auto"/>
          <w:szCs w:val="21"/>
          <w:highlight w:val="none"/>
        </w:rPr>
        <w:t>未能出具有效身份证明，或与身份不符的。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（3）资格证明文件不全的，或不符合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文件标明的资格要求的。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（4）投标有效期、</w:t>
      </w:r>
      <w:r>
        <w:rPr>
          <w:rFonts w:hint="eastAsia" w:ascii="宋体" w:hAnsi="宋体"/>
          <w:color w:val="auto"/>
          <w:szCs w:val="21"/>
          <w:highlight w:val="none"/>
          <w:lang w:val="en-US" w:eastAsia="zh-CN"/>
        </w:rPr>
        <w:t>合同履行期限</w:t>
      </w:r>
      <w:r>
        <w:rPr>
          <w:rFonts w:hint="eastAsia" w:ascii="宋体" w:hAnsi="宋体"/>
          <w:color w:val="auto"/>
          <w:szCs w:val="21"/>
          <w:highlight w:val="none"/>
        </w:rPr>
        <w:t>、</w:t>
      </w:r>
      <w:r>
        <w:rPr>
          <w:rFonts w:hint="eastAsia" w:ascii="宋体" w:hAnsi="宋体"/>
          <w:color w:val="auto"/>
          <w:szCs w:val="21"/>
          <w:highlight w:val="none"/>
          <w:lang w:eastAsia="zh-CN"/>
        </w:rPr>
        <w:t>质量</w:t>
      </w:r>
      <w:r>
        <w:rPr>
          <w:rFonts w:hint="eastAsia" w:ascii="宋体" w:hAnsi="宋体"/>
          <w:color w:val="auto"/>
          <w:szCs w:val="21"/>
          <w:highlight w:val="none"/>
        </w:rPr>
        <w:t>等不满足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（5）未按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（6）投标文件的实质性内容未使用中文表述，或意思表述不明确，或前后矛盾，或使用计量单位不符合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olor w:val="auto"/>
          <w:szCs w:val="21"/>
          <w:highlight w:val="none"/>
        </w:rPr>
        <w:t>（8）投标文件内容未按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文件响应的。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（9）不符合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决定投标的响应性只根据投标文件本身的内容，而不寻求其他的外部证据。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.4.4 对资格性检查和符合性检查不合格的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，将</w:t>
      </w:r>
      <w:r>
        <w:rPr>
          <w:rFonts w:hint="eastAsia" w:ascii="宋体" w:hAnsi="宋体" w:cs="宋体"/>
          <w:color w:val="auto"/>
          <w:kern w:val="0"/>
          <w:szCs w:val="21"/>
          <w:highlight w:val="none"/>
          <w:lang w:val="en-US" w:eastAsia="zh-CN"/>
        </w:rPr>
        <w:t>通过评标系统</w:t>
      </w:r>
      <w:r>
        <w:rPr>
          <w:rFonts w:hint="eastAsia" w:ascii="宋体" w:hAnsi="宋体" w:cs="宋体"/>
          <w:color w:val="auto"/>
          <w:kern w:val="0"/>
          <w:szCs w:val="21"/>
          <w:highlight w:val="none"/>
        </w:rPr>
        <w:t>告知其理由。</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rPr>
        <w:t>.5 在评审过程中，</w:t>
      </w:r>
      <w:r>
        <w:rPr>
          <w:rFonts w:hint="eastAsia" w:ascii="宋体" w:hAnsi="宋体" w:cs="宋体"/>
          <w:color w:val="auto"/>
          <w:sz w:val="21"/>
          <w:szCs w:val="21"/>
          <w:highlight w:val="none"/>
          <w:lang w:eastAsia="zh-CN"/>
        </w:rPr>
        <w:t>磋商小组</w:t>
      </w:r>
      <w:r>
        <w:rPr>
          <w:rFonts w:hint="eastAsia" w:ascii="宋体" w:hAnsi="宋体" w:cs="宋体"/>
          <w:color w:val="auto"/>
          <w:sz w:val="21"/>
          <w:szCs w:val="21"/>
          <w:highlight w:val="none"/>
        </w:rPr>
        <w:t>发现</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有下列情形之一的，视为</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串通投标，其投标无效：</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.5.1不同</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的投标文件异常一致。</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.5.2不同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的投标文件由同一单位或者个人编制；</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.5.3不同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委托同一单位或者个人办理投标事宜；</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.5.4不同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.5.5不同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的投标文件相互混装；</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.5.6不同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的投标保证金从同一单位或者个人的账户转出（若收取）。</w:t>
      </w:r>
    </w:p>
    <w:p>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.5.7 有证据证明</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串通投标的其他情形的；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.5.8 不同</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的投标文件制作机器码一致；</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 xml:space="preserve">.5.9 </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认定的其他串通投标情形。</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 投标文件的澄清</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对投标文件中含义不明确、同类问题表述不一致或者有明显文字和计算错误的内容，</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可以书面形式要求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作出必要的澄清。</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的澄清应当在</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规定的时间内以书面形式作出，由其</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代表签字。但澄清事项不得超出投标文件的范围，不得实质性改变投标文件的内容，不得通过澄清等方式对</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实行差别对待。</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不得接受</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主动提出的澄清和解释。</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7</w:t>
      </w:r>
      <w:r>
        <w:rPr>
          <w:rFonts w:hint="eastAsia" w:ascii="宋体" w:hAnsi="宋体" w:cs="宋体"/>
          <w:b/>
          <w:bCs/>
          <w:color w:val="auto"/>
          <w:kern w:val="0"/>
          <w:szCs w:val="21"/>
          <w:highlight w:val="none"/>
        </w:rPr>
        <w:t>. 比较与评价</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 xml:space="preserve">.1 </w:t>
      </w:r>
      <w:r>
        <w:rPr>
          <w:rFonts w:hint="eastAsia" w:ascii="宋体" w:hAnsi="宋体" w:cs="宋体"/>
          <w:color w:val="auto"/>
          <w:sz w:val="21"/>
          <w:szCs w:val="21"/>
          <w:highlight w:val="none"/>
          <w:lang w:eastAsia="zh-CN"/>
        </w:rPr>
        <w:t>磋商小组</w:t>
      </w:r>
      <w:r>
        <w:rPr>
          <w:rFonts w:hint="eastAsia" w:ascii="宋体" w:hAnsi="宋体" w:cs="宋体"/>
          <w:color w:val="auto"/>
          <w:sz w:val="21"/>
          <w:szCs w:val="21"/>
          <w:highlight w:val="none"/>
        </w:rPr>
        <w:t>将按本</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文件规定的评标方法与标准，对资格性检查和符合性检查合格的投标文件进行商务和技术评估，综合比较与评价。</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.2对漏（缺）报项的处理：</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文件中要求列入报价的费用（含配置、功能），漏（缺）报的视同已含在投标总价中。</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b/>
          <w:bCs/>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.3</w:t>
      </w:r>
      <w:r>
        <w:rPr>
          <w:rFonts w:hint="eastAsia" w:ascii="宋体" w:hAnsi="宋体" w:cs="宋体"/>
          <w:color w:val="auto"/>
          <w:sz w:val="21"/>
          <w:szCs w:val="21"/>
          <w:highlight w:val="none"/>
          <w:lang w:eastAsia="zh-CN"/>
        </w:rPr>
        <w:t>磋商小组</w:t>
      </w:r>
      <w:r>
        <w:rPr>
          <w:rFonts w:hint="eastAsia" w:ascii="宋体" w:hAnsi="宋体" w:cs="宋体"/>
          <w:color w:val="auto"/>
          <w:sz w:val="21"/>
          <w:szCs w:val="21"/>
          <w:highlight w:val="none"/>
        </w:rPr>
        <w:t>认为</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的报价明显低于其他通过符合性审查</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的报价，有可能影响产品质量或者不能诚信履约的，应当要求其在评标现场合理的时间内提供书面说明，必要时提交相关证明材料；</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不能证明其报价合理性的，</w:t>
      </w:r>
      <w:r>
        <w:rPr>
          <w:rFonts w:hint="eastAsia" w:ascii="宋体" w:hAnsi="宋体" w:cs="宋体"/>
          <w:color w:val="auto"/>
          <w:sz w:val="21"/>
          <w:szCs w:val="21"/>
          <w:highlight w:val="none"/>
          <w:lang w:eastAsia="zh-CN"/>
        </w:rPr>
        <w:t>磋商小组</w:t>
      </w:r>
      <w:r>
        <w:rPr>
          <w:rFonts w:hint="eastAsia" w:ascii="宋体" w:hAnsi="宋体" w:cs="宋体"/>
          <w:color w:val="auto"/>
          <w:sz w:val="21"/>
          <w:szCs w:val="21"/>
          <w:highlight w:val="none"/>
        </w:rPr>
        <w:t>应当将其作为无效投标处理。</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8</w:t>
      </w:r>
      <w:r>
        <w:rPr>
          <w:rFonts w:hint="eastAsia" w:ascii="宋体" w:hAnsi="宋体" w:cs="宋体"/>
          <w:b/>
          <w:bCs/>
          <w:color w:val="auto"/>
          <w:kern w:val="0"/>
          <w:szCs w:val="21"/>
          <w:highlight w:val="none"/>
        </w:rPr>
        <w:t>. 评标过程及保密原则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.1 凡与本次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有关人员对属于审查、澄清、评价和比较投标的有关资料以及定标意向等，均不得向</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或其他人员透露。否则,将按有关规定追究相关人员的责任。</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.2 在评标期间，</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29</w:t>
      </w:r>
      <w:r>
        <w:rPr>
          <w:rFonts w:hint="eastAsia" w:ascii="宋体" w:hAnsi="宋体" w:cs="宋体"/>
          <w:b/>
          <w:color w:val="auto"/>
          <w:kern w:val="0"/>
          <w:szCs w:val="21"/>
          <w:highlight w:val="none"/>
        </w:rPr>
        <w:t>.评标异议登记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工作人员对评审专家等相关人员在评审过程中发现、提出的异议进行逐项登记。</w:t>
      </w:r>
    </w:p>
    <w:p>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六</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定标</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0</w:t>
      </w:r>
      <w:r>
        <w:rPr>
          <w:rFonts w:hint="eastAsia" w:ascii="宋体" w:hAnsi="宋体" w:cs="宋体"/>
          <w:b/>
          <w:bCs/>
          <w:color w:val="auto"/>
          <w:kern w:val="0"/>
          <w:szCs w:val="21"/>
          <w:highlight w:val="none"/>
        </w:rPr>
        <w:t>. 定标原则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.1 最低投标价不作为中标的保证。</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文件且满足下列条件的为</w:t>
      </w:r>
      <w:r>
        <w:rPr>
          <w:rFonts w:hint="eastAsia" w:ascii="宋体" w:hAnsi="宋体" w:cs="宋体"/>
          <w:bCs/>
          <w:color w:val="auto"/>
          <w:kern w:val="0"/>
          <w:szCs w:val="21"/>
          <w:highlight w:val="none"/>
          <w:lang w:eastAsia="zh-CN"/>
        </w:rPr>
        <w:t>成交候选人</w:t>
      </w:r>
      <w:r>
        <w:rPr>
          <w:rFonts w:hint="eastAsia" w:ascii="宋体" w:hAnsi="宋体" w:cs="宋体"/>
          <w:bCs/>
          <w:color w:val="auto"/>
          <w:kern w:val="0"/>
          <w:szCs w:val="21"/>
          <w:highlight w:val="none"/>
        </w:rPr>
        <w:t>（或</w:t>
      </w:r>
      <w:r>
        <w:rPr>
          <w:rFonts w:hint="eastAsia" w:ascii="宋体" w:hAnsi="宋体" w:cs="宋体"/>
          <w:bCs/>
          <w:color w:val="auto"/>
          <w:kern w:val="0"/>
          <w:szCs w:val="21"/>
          <w:highlight w:val="none"/>
          <w:lang w:eastAsia="zh-CN"/>
        </w:rPr>
        <w:t>成交人</w:t>
      </w:r>
      <w:r>
        <w:rPr>
          <w:rFonts w:hint="eastAsia" w:ascii="宋体" w:hAnsi="宋体" w:cs="宋体"/>
          <w:bCs/>
          <w:color w:val="auto"/>
          <w:kern w:val="0"/>
          <w:szCs w:val="21"/>
          <w:highlight w:val="none"/>
        </w:rPr>
        <w:t>）</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bookmarkStart w:id="39" w:name="_Toc32200"/>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.2.1</w:t>
      </w:r>
      <w:bookmarkEnd w:id="39"/>
      <w:r>
        <w:rPr>
          <w:rFonts w:hint="eastAsia" w:ascii="宋体" w:hAnsi="宋体" w:cs="宋体"/>
          <w:bCs/>
          <w:color w:val="auto"/>
          <w:kern w:val="0"/>
          <w:szCs w:val="21"/>
          <w:highlight w:val="none"/>
        </w:rPr>
        <w:t>本次评标采用</w:t>
      </w:r>
      <w:r>
        <w:rPr>
          <w:rFonts w:hint="eastAsia" w:ascii="宋体" w:hAnsi="宋体" w:cs="宋体"/>
          <w:color w:val="auto"/>
          <w:szCs w:val="21"/>
          <w:highlight w:val="none"/>
        </w:rPr>
        <w:t>综合评分法，是指响应文件满足采购文件全部实质性要求，且按照评审因素的量化指标评审得分最高的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为</w:t>
      </w:r>
      <w:r>
        <w:rPr>
          <w:rFonts w:hint="eastAsia" w:ascii="宋体" w:hAnsi="宋体" w:cs="宋体"/>
          <w:color w:val="auto"/>
          <w:szCs w:val="21"/>
          <w:highlight w:val="none"/>
          <w:lang w:eastAsia="zh-CN"/>
        </w:rPr>
        <w:t>成交候选人</w:t>
      </w:r>
      <w:r>
        <w:rPr>
          <w:rFonts w:hint="eastAsia" w:ascii="宋体" w:hAnsi="宋体" w:cs="宋体"/>
          <w:color w:val="auto"/>
          <w:szCs w:val="21"/>
          <w:highlight w:val="none"/>
        </w:rPr>
        <w:t>的评标方法。</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采用综合评分法的，评标结果按评审后得分由高到低顺序排列。投标文件满足</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文件全部实质性要求，且按照评审因素的量化指标评审得分最高的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为排名第一的</w:t>
      </w:r>
      <w:r>
        <w:rPr>
          <w:rFonts w:hint="eastAsia" w:ascii="宋体" w:hAnsi="宋体" w:cs="宋体"/>
          <w:color w:val="auto"/>
          <w:szCs w:val="21"/>
          <w:highlight w:val="none"/>
          <w:lang w:eastAsia="zh-CN"/>
        </w:rPr>
        <w:t>成交候选人</w:t>
      </w:r>
      <w:r>
        <w:rPr>
          <w:rFonts w:hint="eastAsia" w:ascii="宋体" w:hAnsi="宋体" w:cs="宋体"/>
          <w:color w:val="auto"/>
          <w:szCs w:val="21"/>
          <w:highlight w:val="none"/>
        </w:rPr>
        <w:t>，以此类推。得分相同的，按投标报价由低到高顺序排列。得分且投标报价相同的，按技术部分得分顺序排列。得分与技术指标优劣均相同的，通过随机抽取产生。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rPr>
        <w:t>. 确定</w:t>
      </w:r>
      <w:r>
        <w:rPr>
          <w:rFonts w:hint="eastAsia" w:ascii="宋体" w:hAnsi="宋体" w:cs="宋体"/>
          <w:b/>
          <w:bCs/>
          <w:color w:val="auto"/>
          <w:kern w:val="0"/>
          <w:szCs w:val="21"/>
          <w:highlight w:val="none"/>
          <w:lang w:eastAsia="zh-CN"/>
        </w:rPr>
        <w:t>成交人</w:t>
      </w:r>
      <w:r>
        <w:rPr>
          <w:rFonts w:hint="eastAsia" w:ascii="宋体" w:hAnsi="宋体" w:cs="宋体"/>
          <w:b/>
          <w:bCs/>
          <w:color w:val="auto"/>
          <w:kern w:val="0"/>
          <w:szCs w:val="21"/>
          <w:highlight w:val="none"/>
        </w:rPr>
        <w:t>和</w:t>
      </w:r>
      <w:r>
        <w:rPr>
          <w:rFonts w:hint="eastAsia" w:ascii="宋体" w:hAnsi="宋体" w:cs="宋体"/>
          <w:b/>
          <w:bCs/>
          <w:color w:val="auto"/>
          <w:kern w:val="0"/>
          <w:szCs w:val="21"/>
          <w:highlight w:val="none"/>
          <w:lang w:eastAsia="zh-CN"/>
        </w:rPr>
        <w:t>成交候选人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bCs/>
          <w:color w:val="auto"/>
          <w:kern w:val="0"/>
          <w:szCs w:val="21"/>
          <w:highlight w:val="none"/>
        </w:rPr>
        <w:t>本项目由采购人授权</w:t>
      </w:r>
      <w:r>
        <w:rPr>
          <w:rFonts w:hint="eastAsia" w:ascii="宋体" w:hAnsi="宋体" w:cs="宋体"/>
          <w:bCs/>
          <w:color w:val="auto"/>
          <w:kern w:val="0"/>
          <w:szCs w:val="21"/>
          <w:highlight w:val="none"/>
          <w:lang w:eastAsia="zh-CN"/>
        </w:rPr>
        <w:t>磋商小组</w:t>
      </w:r>
      <w:r>
        <w:rPr>
          <w:rFonts w:hint="eastAsia" w:ascii="宋体" w:hAnsi="宋体" w:cs="宋体"/>
          <w:bCs/>
          <w:color w:val="auto"/>
          <w:kern w:val="0"/>
          <w:szCs w:val="21"/>
          <w:highlight w:val="none"/>
        </w:rPr>
        <w:t>确定一名</w:t>
      </w:r>
      <w:r>
        <w:rPr>
          <w:rFonts w:hint="eastAsia" w:ascii="宋体" w:hAnsi="宋体" w:cs="宋体"/>
          <w:bCs/>
          <w:color w:val="auto"/>
          <w:kern w:val="0"/>
          <w:szCs w:val="21"/>
          <w:highlight w:val="none"/>
          <w:lang w:eastAsia="zh-CN"/>
        </w:rPr>
        <w:t>成交人</w:t>
      </w:r>
      <w:r>
        <w:rPr>
          <w:rFonts w:hint="eastAsia" w:ascii="宋体" w:hAnsi="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cs="宋体"/>
          <w:bCs/>
          <w:color w:val="auto"/>
          <w:kern w:val="0"/>
          <w:szCs w:val="21"/>
          <w:highlight w:val="none"/>
        </w:rPr>
        <w:t>名</w:t>
      </w:r>
      <w:r>
        <w:rPr>
          <w:rFonts w:hint="eastAsia" w:ascii="宋体" w:hAnsi="宋体" w:cs="宋体"/>
          <w:bCs/>
          <w:color w:val="auto"/>
          <w:kern w:val="0"/>
          <w:szCs w:val="21"/>
          <w:highlight w:val="none"/>
          <w:lang w:eastAsia="zh-CN"/>
        </w:rPr>
        <w:t>成交候选人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rPr>
        <w:t xml:space="preserve">. </w:t>
      </w:r>
      <w:r>
        <w:rPr>
          <w:rFonts w:hint="eastAsia" w:ascii="宋体" w:hAnsi="宋体" w:cs="宋体"/>
          <w:b/>
          <w:bCs/>
          <w:color w:val="auto"/>
          <w:kern w:val="0"/>
          <w:szCs w:val="21"/>
          <w:highlight w:val="none"/>
          <w:lang w:eastAsia="zh-CN"/>
        </w:rPr>
        <w:t>成交通知书</w:t>
      </w:r>
      <w:r>
        <w:rPr>
          <w:rFonts w:hint="eastAsia" w:ascii="宋体" w:hAnsi="宋体" w:cs="宋体"/>
          <w:b/>
          <w:bCs/>
          <w:color w:val="auto"/>
          <w:kern w:val="0"/>
          <w:szCs w:val="21"/>
          <w:highlight w:val="none"/>
        </w:rPr>
        <w:t>及中标公告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.1评审结束后，</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人将</w:t>
      </w:r>
      <w:r>
        <w:rPr>
          <w:rFonts w:hint="eastAsia" w:ascii="宋体" w:hAnsi="宋体" w:cs="宋体"/>
          <w:color w:val="auto"/>
          <w:kern w:val="0"/>
          <w:szCs w:val="21"/>
          <w:highlight w:val="none"/>
          <w:lang w:eastAsia="zh-CN"/>
        </w:rPr>
        <w:t>成交候选人</w:t>
      </w:r>
      <w:r>
        <w:rPr>
          <w:rFonts w:hint="eastAsia" w:ascii="宋体" w:hAnsi="宋体" w:cs="宋体"/>
          <w:color w:val="auto"/>
          <w:kern w:val="0"/>
          <w:szCs w:val="21"/>
          <w:highlight w:val="none"/>
        </w:rPr>
        <w:t>的情况在本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项目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公告发布的同一媒介予以公示，公示</w:t>
      </w:r>
      <w:r>
        <w:rPr>
          <w:rFonts w:hint="eastAsia" w:ascii="宋体" w:hAnsi="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个工作日</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发出</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在规定的时间内不领取</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的，视为中标后自动放弃中标资格；</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对采购人和</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具有同等法律效力。</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发出后，采购人改变中标结果，或者</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放弃中标，应按相关法律、规章、规范性文件的要求承担相应的法律责任。</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bCs/>
          <w:color w:val="auto"/>
          <w:kern w:val="0"/>
          <w:szCs w:val="21"/>
          <w:highlight w:val="none"/>
        </w:rPr>
        <w:t>.4</w:t>
      </w:r>
      <w:r>
        <w:rPr>
          <w:rFonts w:hint="eastAsia" w:ascii="宋体" w:hAnsi="宋体" w:cs="宋体"/>
          <w:bCs/>
          <w:color w:val="auto"/>
          <w:kern w:val="0"/>
          <w:szCs w:val="21"/>
          <w:highlight w:val="none"/>
          <w:lang w:eastAsia="zh-CN"/>
        </w:rPr>
        <w:t>成交通知书</w:t>
      </w:r>
      <w:r>
        <w:rPr>
          <w:rFonts w:hint="eastAsia" w:ascii="宋体" w:hAnsi="宋体" w:cs="宋体"/>
          <w:bCs/>
          <w:color w:val="auto"/>
          <w:kern w:val="0"/>
          <w:szCs w:val="21"/>
          <w:highlight w:val="none"/>
        </w:rPr>
        <w:t>将作为签订合同的依据。合同签订后，</w:t>
      </w:r>
      <w:r>
        <w:rPr>
          <w:rFonts w:hint="eastAsia" w:ascii="宋体" w:hAnsi="宋体" w:cs="宋体"/>
          <w:bCs/>
          <w:color w:val="auto"/>
          <w:kern w:val="0"/>
          <w:szCs w:val="21"/>
          <w:highlight w:val="none"/>
          <w:lang w:eastAsia="zh-CN"/>
        </w:rPr>
        <w:t>成交通知书</w:t>
      </w:r>
      <w:r>
        <w:rPr>
          <w:rFonts w:hint="eastAsia" w:ascii="宋体" w:hAnsi="宋体" w:cs="宋体"/>
          <w:bCs/>
          <w:color w:val="auto"/>
          <w:kern w:val="0"/>
          <w:szCs w:val="21"/>
          <w:highlight w:val="none"/>
        </w:rPr>
        <w:t>成为合同的一部分。</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rPr>
        <w:t>. 采购人宣布废标的权利</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.1出现下列情况之一时，采购人有权宣布废标，并将理由通知所有</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.1.1出现影响采购公正的违法、违规行为的。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.1.2</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的报价均超过了</w:t>
      </w:r>
      <w:r>
        <w:rPr>
          <w:rFonts w:hint="eastAsia" w:ascii="宋体" w:hAnsi="宋体" w:cs="宋体"/>
          <w:bCs/>
          <w:color w:val="auto"/>
          <w:kern w:val="0"/>
          <w:szCs w:val="21"/>
          <w:highlight w:val="none"/>
          <w:lang w:val="en-US" w:eastAsia="zh-CN"/>
        </w:rPr>
        <w:t>采购预算金额</w:t>
      </w:r>
      <w:r>
        <w:rPr>
          <w:rFonts w:hint="eastAsia" w:ascii="宋体" w:hAnsi="宋体" w:cs="宋体"/>
          <w:bCs/>
          <w:color w:val="auto"/>
          <w:kern w:val="0"/>
          <w:szCs w:val="21"/>
          <w:highlight w:val="none"/>
        </w:rPr>
        <w:t>，采购人不能支付的。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.1.3因重大变故，采购任务取消的。</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color w:val="auto"/>
          <w:kern w:val="0"/>
          <w:szCs w:val="21"/>
          <w:highlight w:val="none"/>
        </w:rPr>
        <w:t xml:space="preserve">.2 </w:t>
      </w:r>
      <w:r>
        <w:rPr>
          <w:rFonts w:hint="eastAsia" w:ascii="宋体" w:hAnsi="宋体" w:cs="宋体"/>
          <w:color w:val="auto"/>
          <w:szCs w:val="21"/>
          <w:highlight w:val="none"/>
        </w:rPr>
        <w:t>投标截止后</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不足3家或通过资格性检查或符合性检查的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不足3家的，除采购任务取消情形外，按照以下方式处理：</w:t>
      </w:r>
    </w:p>
    <w:p>
      <w:pPr>
        <w:keepNext w:val="0"/>
        <w:keepLines w:val="0"/>
        <w:pageBreakBefore w:val="0"/>
        <w:numPr>
          <w:ilvl w:val="0"/>
          <w:numId w:val="2"/>
        </w:numPr>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line="360" w:lineRule="auto"/>
        <w:ind w:firstLine="420" w:firstLineChars="200"/>
        <w:rPr>
          <w:rFonts w:ascii="宋体" w:hAnsi="宋体" w:cs="宋体"/>
          <w:b/>
          <w:color w:val="auto"/>
          <w:kern w:val="0"/>
          <w:sz w:val="52"/>
          <w:szCs w:val="52"/>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七</w:t>
      </w:r>
      <w:r>
        <w:rPr>
          <w:rFonts w:hint="eastAsia" w:ascii="黑体" w:hAnsi="宋体" w:eastAsia="黑体" w:cs="宋体"/>
          <w:b/>
          <w:bCs/>
          <w:color w:val="auto"/>
          <w:kern w:val="0"/>
          <w:sz w:val="32"/>
          <w:szCs w:val="32"/>
          <w:highlight w:val="none"/>
        </w:rPr>
        <w:t>、合同授予</w:t>
      </w:r>
    </w:p>
    <w:p>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.合同签订</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u w:val="single"/>
        </w:rPr>
      </w:pPr>
      <w:bookmarkStart w:id="40" w:name="_Toc8594"/>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采购人、</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自</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发出之日起，在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文件第三章《</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须知前附表》规定的时间内，根据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文件确定的事项和</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投标文件签订合同。双方所签订的合同不得对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文件和</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投标文件作实质性修改。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文件的修改文件、</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的投标文件、补充或修改的文件及澄清或承诺文件等，均为双方签订合同的组成部分，并与合同一并作为本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.3 </w:t>
      </w:r>
      <w:r>
        <w:rPr>
          <w:rFonts w:hint="eastAsia" w:ascii="宋体" w:hAnsi="宋体" w:cs="宋体"/>
          <w:color w:val="auto"/>
          <w:kern w:val="0"/>
          <w:szCs w:val="21"/>
          <w:highlight w:val="none"/>
          <w:lang w:eastAsia="zh-CN"/>
        </w:rPr>
        <w:t>成交人</w:t>
      </w:r>
      <w:r>
        <w:rPr>
          <w:rFonts w:hint="eastAsia" w:cs="宋体"/>
          <w:color w:val="auto"/>
          <w:kern w:val="0"/>
          <w:szCs w:val="21"/>
          <w:highlight w:val="none"/>
        </w:rPr>
        <w:t>放弃中标、因不可抗力不能履行合同、不按照</w:t>
      </w:r>
      <w:r>
        <w:rPr>
          <w:rFonts w:hint="eastAsia" w:cs="宋体"/>
          <w:color w:val="auto"/>
          <w:kern w:val="0"/>
          <w:szCs w:val="21"/>
          <w:highlight w:val="none"/>
          <w:lang w:val="en-US" w:eastAsia="zh-CN"/>
        </w:rPr>
        <w:t>采购</w:t>
      </w:r>
      <w:r>
        <w:rPr>
          <w:rFonts w:hint="eastAsia" w:cs="宋体"/>
          <w:color w:val="auto"/>
          <w:kern w:val="0"/>
          <w:szCs w:val="21"/>
          <w:highlight w:val="none"/>
        </w:rPr>
        <w:t>文件要求提交履约保证金，或者被查实存在影响中标结果的违法行为等情形，不符合中标条件的，</w:t>
      </w:r>
      <w:r>
        <w:rPr>
          <w:rFonts w:hint="eastAsia" w:ascii="宋体" w:hAnsi="宋体" w:cs="宋体"/>
          <w:color w:val="auto"/>
          <w:kern w:val="0"/>
          <w:szCs w:val="21"/>
          <w:highlight w:val="none"/>
        </w:rPr>
        <w:t>采购人可以</w:t>
      </w:r>
      <w:r>
        <w:rPr>
          <w:rFonts w:hint="eastAsia" w:cs="宋体"/>
          <w:color w:val="auto"/>
          <w:kern w:val="0"/>
          <w:szCs w:val="21"/>
          <w:highlight w:val="none"/>
        </w:rPr>
        <w:t>按照</w:t>
      </w:r>
      <w:r>
        <w:rPr>
          <w:rFonts w:hint="eastAsia" w:cs="宋体"/>
          <w:color w:val="auto"/>
          <w:kern w:val="0"/>
          <w:szCs w:val="21"/>
          <w:highlight w:val="none"/>
          <w:lang w:eastAsia="zh-CN"/>
        </w:rPr>
        <w:t>磋商小组</w:t>
      </w:r>
      <w:r>
        <w:rPr>
          <w:rFonts w:hint="eastAsia" w:cs="宋体"/>
          <w:color w:val="auto"/>
          <w:kern w:val="0"/>
          <w:szCs w:val="21"/>
          <w:highlight w:val="none"/>
        </w:rPr>
        <w:t>提出的</w:t>
      </w:r>
      <w:r>
        <w:rPr>
          <w:rFonts w:hint="eastAsia" w:cs="宋体"/>
          <w:color w:val="auto"/>
          <w:kern w:val="0"/>
          <w:szCs w:val="21"/>
          <w:highlight w:val="none"/>
          <w:lang w:eastAsia="zh-CN"/>
        </w:rPr>
        <w:t>成交候选人</w:t>
      </w:r>
      <w:r>
        <w:rPr>
          <w:rFonts w:hint="eastAsia" w:cs="宋体"/>
          <w:color w:val="auto"/>
          <w:kern w:val="0"/>
          <w:szCs w:val="21"/>
          <w:highlight w:val="none"/>
        </w:rPr>
        <w:t>名单排序依次确定其他</w:t>
      </w:r>
      <w:r>
        <w:rPr>
          <w:rFonts w:hint="eastAsia" w:cs="宋体"/>
          <w:color w:val="auto"/>
          <w:kern w:val="0"/>
          <w:szCs w:val="21"/>
          <w:highlight w:val="none"/>
          <w:lang w:eastAsia="zh-CN"/>
        </w:rPr>
        <w:t>成交候选人</w:t>
      </w:r>
      <w:r>
        <w:rPr>
          <w:rFonts w:hint="eastAsia" w:cs="宋体"/>
          <w:color w:val="auto"/>
          <w:kern w:val="0"/>
          <w:szCs w:val="21"/>
          <w:highlight w:val="none"/>
        </w:rPr>
        <w:t>为</w:t>
      </w:r>
      <w:r>
        <w:rPr>
          <w:rFonts w:hint="eastAsia" w:cs="宋体"/>
          <w:color w:val="auto"/>
          <w:kern w:val="0"/>
          <w:szCs w:val="21"/>
          <w:highlight w:val="none"/>
          <w:lang w:eastAsia="zh-CN"/>
        </w:rPr>
        <w:t>成交人</w:t>
      </w:r>
      <w:r>
        <w:rPr>
          <w:rFonts w:hint="eastAsia" w:cs="宋体"/>
          <w:color w:val="auto"/>
          <w:kern w:val="0"/>
          <w:szCs w:val="21"/>
          <w:highlight w:val="none"/>
        </w:rPr>
        <w:t>，也可以重新招标。</w:t>
      </w:r>
    </w:p>
    <w:bookmarkEnd w:id="40"/>
    <w:p>
      <w:pPr>
        <w:rPr>
          <w:color w:val="auto"/>
          <w:highlight w:val="none"/>
        </w:rPr>
      </w:pPr>
      <w:bookmarkStart w:id="41" w:name="_Toc4700"/>
      <w:bookmarkStart w:id="42" w:name="_Toc16669"/>
      <w:r>
        <w:rPr>
          <w:color w:val="auto"/>
          <w:highlight w:val="none"/>
        </w:rPr>
        <w:br w:type="page"/>
      </w: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ascii="宋体" w:hAnsi="宋体" w:cs="宋体"/>
          <w:color w:val="auto"/>
          <w:kern w:val="0"/>
          <w:sz w:val="24"/>
          <w:highlight w:val="none"/>
        </w:rPr>
      </w:pPr>
      <w:bookmarkStart w:id="43" w:name="_Toc16473"/>
      <w:r>
        <w:rPr>
          <w:rFonts w:hint="eastAsia" w:ascii="黑体" w:hAnsi="宋体" w:eastAsia="黑体" w:cs="宋体"/>
          <w:b/>
          <w:bCs/>
          <w:color w:val="auto"/>
          <w:kern w:val="0"/>
          <w:sz w:val="32"/>
          <w:szCs w:val="32"/>
          <w:highlight w:val="none"/>
        </w:rPr>
        <w:t>第四章  评标办法及评分标准</w:t>
      </w:r>
      <w:bookmarkEnd w:id="41"/>
      <w:bookmarkEnd w:id="43"/>
    </w:p>
    <w:p>
      <w:pPr>
        <w:rPr>
          <w:color w:val="auto"/>
          <w:highlight w:val="none"/>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为第一</w:t>
      </w:r>
      <w:r>
        <w:rPr>
          <w:rFonts w:hint="eastAsia" w:ascii="宋体" w:hAnsi="宋体" w:cs="宋体"/>
          <w:b w:val="0"/>
          <w:bCs w:val="0"/>
          <w:color w:val="auto"/>
          <w:sz w:val="21"/>
          <w:szCs w:val="21"/>
          <w:highlight w:val="none"/>
          <w:lang w:eastAsia="zh-CN"/>
        </w:rPr>
        <w:t>成交候选人</w:t>
      </w:r>
      <w:r>
        <w:rPr>
          <w:rFonts w:hint="eastAsia" w:ascii="宋体" w:hAnsi="宋体" w:eastAsia="宋体" w:cs="宋体"/>
          <w:b w:val="0"/>
          <w:bCs w:val="0"/>
          <w:color w:val="auto"/>
          <w:sz w:val="21"/>
          <w:szCs w:val="21"/>
          <w:highlight w:val="none"/>
        </w:rPr>
        <w:t>。</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1" w:hRule="atLeast"/>
          <w:jc w:val="center"/>
        </w:trPr>
        <w:tc>
          <w:tcPr>
            <w:tcW w:w="9482" w:type="dxa"/>
            <w:gridSpan w:val="3"/>
            <w:noWrap w:val="0"/>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hAnsi="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的投标报价明显低于其他投标报价，使其投标报价可能低于其个别成本的，</w:t>
            </w:r>
            <w:r>
              <w:rPr>
                <w:rFonts w:hint="eastAsia" w:hAnsi="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hAnsi="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应按无效投标处理。</w:t>
            </w:r>
          </w:p>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pPr>
              <w:rPr>
                <w:rFonts w:hint="eastAsia" w:ascii="宋体" w:hAnsi="宋体" w:eastAsia="宋体" w:cs="宋体"/>
                <w:highlight w:val="none"/>
                <w:lang w:val="en-US" w:eastAsia="zh-CN"/>
              </w:rPr>
            </w:pPr>
            <w:r>
              <w:rPr>
                <w:rFonts w:hint="eastAsia" w:ascii="宋体" w:hAnsi="宋体" w:eastAsia="宋体" w:cs="宋体"/>
                <w:b w:val="0"/>
                <w:bCs w:val="0"/>
                <w:color w:val="auto"/>
                <w:sz w:val="21"/>
                <w:szCs w:val="21"/>
                <w:highlight w:val="none"/>
              </w:rPr>
              <w:t>投标报价得分=（评标基准价/有效投标报价）×3</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239" w:type="dxa"/>
            <w:vMerge w:val="restart"/>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服务质量</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4</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1.产品技术参数（2</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对“第二章  采购需求</w:t>
            </w:r>
            <w:r>
              <w:rPr>
                <w:rFonts w:hint="eastAsia" w:ascii="宋体" w:hAnsi="宋体" w:cs="宋体"/>
                <w:b w:val="0"/>
                <w:bCs w:val="0"/>
                <w:color w:val="auto"/>
                <w:sz w:val="21"/>
                <w:szCs w:val="21"/>
                <w:highlight w:val="none"/>
                <w:lang w:val="en-US" w:eastAsia="zh-CN"/>
              </w:rPr>
              <w:t xml:space="preserve"> </w:t>
            </w:r>
            <w:r>
              <w:rPr>
                <w:rFonts w:hint="eastAsia" w:ascii="宋体" w:hAnsi="宋体" w:cs="宋体"/>
                <w:b w:val="0"/>
                <w:bCs w:val="0"/>
                <w:color w:val="auto"/>
                <w:kern w:val="2"/>
                <w:sz w:val="21"/>
                <w:szCs w:val="24"/>
                <w:highlight w:val="none"/>
                <w:lang w:val="en-US" w:eastAsia="zh-CN" w:bidi="ar-SA"/>
              </w:rPr>
              <w:t>三、技术要求</w:t>
            </w:r>
            <w:r>
              <w:rPr>
                <w:rFonts w:hint="eastAsia" w:ascii="宋体" w:hAnsi="宋体" w:eastAsia="宋体" w:cs="宋体"/>
                <w:b w:val="0"/>
                <w:bCs w:val="0"/>
                <w:color w:val="auto"/>
                <w:sz w:val="21"/>
                <w:szCs w:val="21"/>
                <w:highlight w:val="none"/>
              </w:rPr>
              <w:t>”的响应，所投</w:t>
            </w:r>
            <w:r>
              <w:rPr>
                <w:rFonts w:hint="eastAsia" w:ascii="宋体" w:hAnsi="宋体" w:cs="宋体"/>
                <w:b w:val="0"/>
                <w:bCs w:val="0"/>
                <w:color w:val="auto"/>
                <w:sz w:val="21"/>
                <w:szCs w:val="21"/>
                <w:highlight w:val="none"/>
                <w:lang w:val="en-US" w:eastAsia="zh-CN"/>
              </w:rPr>
              <w:t>产品规格型号</w:t>
            </w:r>
            <w:r>
              <w:rPr>
                <w:rFonts w:hint="eastAsia" w:ascii="宋体" w:hAnsi="宋体" w:eastAsia="宋体" w:cs="宋体"/>
                <w:b w:val="0"/>
                <w:bCs w:val="0"/>
                <w:color w:val="auto"/>
                <w:sz w:val="21"/>
                <w:szCs w:val="21"/>
                <w:highlight w:val="none"/>
              </w:rPr>
              <w:t>全部满足磋商文件要求得</w:t>
            </w:r>
            <w:r>
              <w:rPr>
                <w:rFonts w:hint="eastAsia" w:ascii="宋体" w:hAnsi="宋体" w:eastAsia="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分，一项不满足扣</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分</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如得分为0，则投标无效。</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1）供应商需提供参数偏离表，并标注偏离情况。</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2）提供相关证明文件，并对响应技术参数部分做出明显标注。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kern w:val="0"/>
                <w:sz w:val="21"/>
                <w:szCs w:val="21"/>
                <w:highlight w:val="none"/>
                <w:lang w:val="en-US" w:eastAsia="zh-CN"/>
              </w:rPr>
              <w:t>2.产品综合评议</w:t>
            </w: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t>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评委根据供应商对所提供产品的价格、品牌知名度及市场占有率、产品耐用性及稳定性等进行打分</w:t>
            </w:r>
            <w:r>
              <w:rPr>
                <w:rFonts w:hint="eastAsia" w:ascii="宋体" w:hAnsi="宋体" w:cs="宋体"/>
                <w:color w:val="auto"/>
                <w:sz w:val="21"/>
                <w:szCs w:val="21"/>
                <w:highlight w:val="none"/>
                <w:lang w:val="en-US" w:eastAsia="zh-CN"/>
              </w:rPr>
              <w:t>。</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产品的价格优惠、品牌知名度及市场占有率高、产品耐用性及稳定性的强的得6分；产品的价格较优惠、品牌知名度及市场占有率较高、产品耐用性及稳定性的较强的得3分；产品的价格一般、品牌知名度及市场占有率、产品耐用性及稳定性一般的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kern w:val="0"/>
                <w:sz w:val="21"/>
                <w:szCs w:val="21"/>
                <w:highlight w:val="none"/>
                <w:lang w:val="en-US" w:eastAsia="zh-CN"/>
              </w:rPr>
              <w:t>3</w:t>
            </w:r>
            <w:r>
              <w:rPr>
                <w:rFonts w:hint="eastAsia" w:ascii="宋体" w:hAnsi="宋体" w:eastAsia="宋体" w:cs="宋体"/>
                <w:b w:val="0"/>
                <w:bCs w:val="0"/>
                <w:color w:val="auto"/>
                <w:kern w:val="0"/>
                <w:sz w:val="21"/>
                <w:szCs w:val="21"/>
                <w:highlight w:val="none"/>
                <w:lang w:val="en-US" w:eastAsia="zh-CN"/>
              </w:rPr>
              <w:t>.</w:t>
            </w:r>
            <w:r>
              <w:rPr>
                <w:rFonts w:hint="eastAsia" w:ascii="宋体" w:hAnsi="宋体" w:cs="宋体"/>
                <w:b w:val="0"/>
                <w:bCs w:val="0"/>
                <w:color w:val="auto"/>
                <w:kern w:val="0"/>
                <w:sz w:val="21"/>
                <w:szCs w:val="21"/>
                <w:highlight w:val="none"/>
                <w:lang w:val="en-US" w:eastAsia="zh-CN"/>
              </w:rPr>
              <w:t>服务</w:t>
            </w:r>
            <w:r>
              <w:rPr>
                <w:rFonts w:hint="eastAsia" w:ascii="宋体" w:hAnsi="宋体" w:eastAsia="宋体" w:cs="宋体"/>
                <w:b w:val="0"/>
                <w:bCs w:val="0"/>
                <w:color w:val="auto"/>
                <w:kern w:val="0"/>
                <w:sz w:val="21"/>
                <w:szCs w:val="21"/>
                <w:highlight w:val="none"/>
                <w:lang w:val="en-US" w:eastAsia="zh-CN"/>
              </w:rPr>
              <w:t>方案（1</w:t>
            </w:r>
            <w:r>
              <w:rPr>
                <w:rFonts w:hint="eastAsia" w:ascii="宋体" w:hAnsi="宋体" w:cs="宋体"/>
                <w:b w:val="0"/>
                <w:bCs w:val="0"/>
                <w:color w:val="auto"/>
                <w:kern w:val="0"/>
                <w:sz w:val="21"/>
                <w:szCs w:val="21"/>
                <w:highlight w:val="none"/>
                <w:lang w:val="en-US" w:eastAsia="zh-CN"/>
              </w:rPr>
              <w:t>5</w:t>
            </w:r>
            <w:r>
              <w:rPr>
                <w:rFonts w:hint="eastAsia" w:ascii="宋体" w:hAnsi="宋体" w:eastAsia="宋体" w:cs="宋体"/>
                <w:b w:val="0"/>
                <w:bCs w:val="0"/>
                <w:color w:val="auto"/>
                <w:kern w:val="0"/>
                <w:sz w:val="21"/>
                <w:szCs w:val="21"/>
                <w:highlight w:val="none"/>
                <w:lang w:val="en-US" w:eastAsia="zh-CN"/>
              </w:rPr>
              <w:t>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评委根据</w:t>
            </w:r>
            <w:r>
              <w:rPr>
                <w:rFonts w:hint="eastAsia" w:ascii="宋体" w:hAnsi="宋体" w:eastAsia="宋体" w:cs="宋体"/>
                <w:b w:val="0"/>
                <w:bCs w:val="0"/>
                <w:color w:val="auto"/>
                <w:sz w:val="21"/>
                <w:szCs w:val="21"/>
                <w:highlight w:val="none"/>
              </w:rPr>
              <w:t>供应商</w:t>
            </w:r>
            <w:r>
              <w:rPr>
                <w:rFonts w:hint="eastAsia" w:ascii="宋体" w:hAnsi="宋体" w:cs="宋体"/>
                <w:b w:val="0"/>
                <w:bCs w:val="0"/>
                <w:color w:val="auto"/>
                <w:kern w:val="2"/>
                <w:sz w:val="21"/>
                <w:szCs w:val="21"/>
                <w:highlight w:val="none"/>
                <w:lang w:val="en-US" w:eastAsia="zh-CN"/>
              </w:rPr>
              <w:t>提供的</w:t>
            </w:r>
            <w:r>
              <w:rPr>
                <w:rFonts w:hint="eastAsia" w:ascii="宋体" w:hAnsi="宋体" w:cs="宋体"/>
                <w:b w:val="0"/>
                <w:bCs w:val="0"/>
                <w:color w:val="auto"/>
                <w:sz w:val="21"/>
                <w:szCs w:val="21"/>
                <w:highlight w:val="none"/>
                <w:lang w:eastAsia="zh-CN"/>
              </w:rPr>
              <w:t>供货</w:t>
            </w:r>
            <w:r>
              <w:rPr>
                <w:rFonts w:hint="eastAsia" w:ascii="宋体" w:hAnsi="宋体" w:eastAsia="宋体" w:cs="宋体"/>
                <w:b w:val="0"/>
                <w:bCs w:val="0"/>
                <w:color w:val="auto"/>
                <w:sz w:val="21"/>
                <w:szCs w:val="21"/>
                <w:highlight w:val="none"/>
              </w:rPr>
              <w:t>方案，包括</w:t>
            </w:r>
            <w:r>
              <w:rPr>
                <w:rFonts w:hint="eastAsia" w:ascii="宋体" w:hAnsi="宋体" w:cs="宋体"/>
                <w:b w:val="0"/>
                <w:bCs w:val="0"/>
                <w:color w:val="auto"/>
                <w:sz w:val="21"/>
                <w:szCs w:val="21"/>
                <w:highlight w:val="none"/>
                <w:lang w:eastAsia="zh-CN"/>
              </w:rPr>
              <w:t>供货计划、</w:t>
            </w:r>
            <w:r>
              <w:rPr>
                <w:rFonts w:hint="eastAsia" w:ascii="宋体" w:hAnsi="宋体" w:cs="宋体"/>
                <w:b w:val="0"/>
                <w:bCs w:val="0"/>
                <w:color w:val="auto"/>
                <w:sz w:val="21"/>
                <w:szCs w:val="21"/>
                <w:highlight w:val="none"/>
                <w:lang w:val="en-US" w:eastAsia="zh-CN"/>
              </w:rPr>
              <w:t>货物密封方式、人员安排计划、</w:t>
            </w:r>
            <w:r>
              <w:rPr>
                <w:rFonts w:hint="eastAsia" w:ascii="宋体" w:hAnsi="宋体" w:cs="宋体"/>
                <w:b w:val="0"/>
                <w:bCs w:val="0"/>
                <w:color w:val="auto"/>
                <w:sz w:val="21"/>
                <w:szCs w:val="21"/>
                <w:highlight w:val="none"/>
                <w:lang w:eastAsia="zh-CN"/>
              </w:rPr>
              <w:t>验收</w:t>
            </w:r>
            <w:r>
              <w:rPr>
                <w:rFonts w:hint="eastAsia" w:ascii="宋体" w:hAnsi="宋体" w:eastAsia="宋体" w:cs="宋体"/>
                <w:b w:val="0"/>
                <w:bCs w:val="0"/>
                <w:color w:val="auto"/>
                <w:sz w:val="21"/>
                <w:szCs w:val="21"/>
                <w:highlight w:val="none"/>
              </w:rPr>
              <w:t>方案</w:t>
            </w:r>
            <w:r>
              <w:rPr>
                <w:rFonts w:hint="eastAsia" w:ascii="宋体" w:hAnsi="宋体" w:eastAsia="宋体" w:cs="宋体"/>
                <w:b w:val="0"/>
                <w:bCs w:val="0"/>
                <w:color w:val="auto"/>
                <w:sz w:val="21"/>
                <w:szCs w:val="21"/>
                <w:highlight w:val="none"/>
                <w:lang w:val="en-US" w:eastAsia="zh-CN"/>
              </w:rPr>
              <w:t>等进行打分</w:t>
            </w:r>
            <w:r>
              <w:rPr>
                <w:rFonts w:hint="eastAsia" w:ascii="宋体" w:hAnsi="宋体" w:cs="宋体"/>
                <w:b w:val="0"/>
                <w:bCs w:val="0"/>
                <w:color w:val="auto"/>
                <w:sz w:val="21"/>
                <w:szCs w:val="21"/>
                <w:highlight w:val="none"/>
                <w:lang w:val="en-US" w:eastAsia="zh-CN"/>
              </w:rPr>
              <w:t>。</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b w:val="0"/>
                <w:bCs w:val="0"/>
                <w:color w:val="auto"/>
                <w:sz w:val="21"/>
                <w:szCs w:val="21"/>
                <w:highlight w:val="none"/>
              </w:rPr>
              <w:t>方案</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方案</w:t>
            </w:r>
            <w:r>
              <w:rPr>
                <w:rFonts w:hint="eastAsia" w:ascii="宋体" w:hAnsi="宋体" w:eastAsia="宋体" w:cs="Times New Roman"/>
                <w:szCs w:val="21"/>
                <w:highlight w:val="none"/>
                <w:lang w:bidi="ar"/>
              </w:rPr>
              <w:t>较</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方案</w:t>
            </w:r>
            <w:r>
              <w:rPr>
                <w:rFonts w:hint="eastAsia" w:ascii="宋体" w:hAnsi="宋体" w:eastAsia="宋体" w:cs="Times New Roman"/>
                <w:szCs w:val="21"/>
                <w:highlight w:val="none"/>
                <w:lang w:bidi="ar"/>
              </w:rPr>
              <w:t>较</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w:t>
            </w:r>
            <w:r>
              <w:rPr>
                <w:rFonts w:hint="eastAsia" w:ascii="宋体" w:hAnsi="宋体" w:eastAsia="宋体" w:cs="Times New Roman"/>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分；方案内容不</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w:t>
            </w:r>
            <w:r>
              <w:rPr>
                <w:rFonts w:hint="eastAsia" w:ascii="宋体" w:hAnsi="宋体" w:eastAsia="宋体" w:cs="宋体"/>
                <w:b w:val="0"/>
                <w:bCs w:val="0"/>
                <w:color w:val="auto"/>
                <w:sz w:val="21"/>
                <w:szCs w:val="21"/>
                <w:highlight w:val="none"/>
                <w:lang w:val="en-US" w:eastAsia="zh-CN"/>
              </w:rPr>
              <w:t>差的得</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cs="宋体"/>
                <w:b w:val="0"/>
                <w:bCs w:val="0"/>
                <w:color w:val="auto"/>
                <w:kern w:val="0"/>
                <w:sz w:val="21"/>
                <w:szCs w:val="21"/>
                <w:highlight w:val="none"/>
                <w:lang w:val="en-US" w:eastAsia="zh-CN"/>
              </w:rPr>
            </w:pP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评委根据</w:t>
            </w:r>
            <w:r>
              <w:rPr>
                <w:rFonts w:hint="eastAsia" w:ascii="宋体" w:hAnsi="宋体" w:eastAsia="宋体" w:cs="宋体"/>
                <w:b w:val="0"/>
                <w:bCs w:val="0"/>
                <w:color w:val="auto"/>
                <w:sz w:val="21"/>
                <w:szCs w:val="21"/>
                <w:highlight w:val="none"/>
              </w:rPr>
              <w:t>供应商</w:t>
            </w:r>
            <w:r>
              <w:rPr>
                <w:rFonts w:hint="eastAsia" w:ascii="宋体" w:hAnsi="宋体" w:cs="宋体"/>
                <w:b w:val="0"/>
                <w:bCs w:val="0"/>
                <w:color w:val="auto"/>
                <w:kern w:val="2"/>
                <w:sz w:val="21"/>
                <w:szCs w:val="21"/>
                <w:highlight w:val="none"/>
                <w:lang w:val="en-US" w:eastAsia="zh-CN"/>
              </w:rPr>
              <w:t>提供的供货保障措施</w:t>
            </w:r>
            <w:r>
              <w:rPr>
                <w:rFonts w:hint="eastAsia" w:ascii="宋体" w:hAnsi="宋体" w:eastAsia="宋体" w:cs="宋体"/>
                <w:b w:val="0"/>
                <w:bCs w:val="0"/>
                <w:color w:val="auto"/>
                <w:sz w:val="21"/>
                <w:szCs w:val="21"/>
                <w:highlight w:val="none"/>
              </w:rPr>
              <w:t>，包括</w:t>
            </w:r>
            <w:r>
              <w:rPr>
                <w:rFonts w:hint="eastAsia" w:ascii="宋体" w:hAnsi="宋体" w:cs="宋体"/>
                <w:b w:val="0"/>
                <w:bCs w:val="0"/>
                <w:color w:val="auto"/>
                <w:sz w:val="21"/>
                <w:szCs w:val="21"/>
                <w:highlight w:val="none"/>
                <w:lang w:eastAsia="zh-CN"/>
              </w:rPr>
              <w:t>货源保障措施、</w:t>
            </w:r>
            <w:r>
              <w:rPr>
                <w:rFonts w:hint="eastAsia" w:ascii="宋体" w:hAnsi="宋体" w:eastAsia="宋体" w:cs="宋体"/>
                <w:b w:val="0"/>
                <w:bCs w:val="0"/>
                <w:color w:val="auto"/>
                <w:sz w:val="21"/>
                <w:szCs w:val="21"/>
                <w:highlight w:val="none"/>
              </w:rPr>
              <w:t>交货期保证措施</w:t>
            </w:r>
            <w:r>
              <w:rPr>
                <w:rFonts w:hint="eastAsia" w:ascii="宋体" w:hAnsi="宋体" w:eastAsia="宋体" w:cs="宋体"/>
                <w:b w:val="0"/>
                <w:bCs w:val="0"/>
                <w:color w:val="auto"/>
                <w:sz w:val="21"/>
                <w:szCs w:val="21"/>
                <w:highlight w:val="none"/>
                <w:lang w:val="en-US" w:eastAsia="zh-CN"/>
              </w:rPr>
              <w:t>等进行打分</w:t>
            </w:r>
            <w:r>
              <w:rPr>
                <w:rFonts w:hint="eastAsia" w:ascii="宋体" w:hAnsi="宋体" w:cs="宋体"/>
                <w:b w:val="0"/>
                <w:bCs w:val="0"/>
                <w:color w:val="auto"/>
                <w:sz w:val="21"/>
                <w:szCs w:val="21"/>
                <w:highlight w:val="none"/>
                <w:lang w:val="en-US" w:eastAsia="zh-CN"/>
              </w:rPr>
              <w:t>。</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方案</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方案</w:t>
            </w:r>
            <w:r>
              <w:rPr>
                <w:rFonts w:hint="eastAsia" w:ascii="宋体" w:hAnsi="宋体" w:eastAsia="宋体" w:cs="Times New Roman"/>
                <w:szCs w:val="21"/>
                <w:highlight w:val="none"/>
                <w:lang w:bidi="ar"/>
              </w:rPr>
              <w:t>较</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方案</w:t>
            </w:r>
            <w:r>
              <w:rPr>
                <w:rFonts w:hint="eastAsia" w:ascii="宋体" w:hAnsi="宋体" w:eastAsia="宋体" w:cs="Times New Roman"/>
                <w:szCs w:val="21"/>
                <w:highlight w:val="none"/>
                <w:lang w:bidi="ar"/>
              </w:rPr>
              <w:t>较</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w:t>
            </w:r>
            <w:r>
              <w:rPr>
                <w:rFonts w:hint="eastAsia" w:ascii="宋体" w:hAnsi="宋体" w:eastAsia="宋体" w:cs="Times New Roman"/>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分；方案内容不</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w:t>
            </w:r>
            <w:r>
              <w:rPr>
                <w:rFonts w:hint="eastAsia" w:ascii="宋体" w:hAnsi="宋体" w:eastAsia="宋体" w:cs="宋体"/>
                <w:b w:val="0"/>
                <w:bCs w:val="0"/>
                <w:color w:val="auto"/>
                <w:sz w:val="21"/>
                <w:szCs w:val="21"/>
                <w:highlight w:val="none"/>
                <w:lang w:val="en-US" w:eastAsia="zh-CN"/>
              </w:rPr>
              <w:t>差的得</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cs="宋体"/>
                <w:b w:val="0"/>
                <w:bCs w:val="0"/>
                <w:color w:val="auto"/>
                <w:kern w:val="0"/>
                <w:sz w:val="21"/>
                <w:szCs w:val="21"/>
                <w:highlight w:val="none"/>
                <w:lang w:val="en-US" w:eastAsia="zh-CN"/>
              </w:rPr>
            </w:pP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根据</w:t>
            </w:r>
            <w:r>
              <w:rPr>
                <w:rFonts w:hint="eastAsia" w:ascii="宋体" w:hAnsi="宋体" w:eastAsia="宋体" w:cs="宋体"/>
                <w:b w:val="0"/>
                <w:bCs w:val="0"/>
                <w:color w:val="auto"/>
                <w:sz w:val="21"/>
                <w:szCs w:val="21"/>
                <w:highlight w:val="none"/>
                <w:lang w:val="en-US" w:eastAsia="zh-CN"/>
              </w:rPr>
              <w:t>供应商针对突发情况提供应急服务方案及保障措施</w:t>
            </w:r>
            <w:r>
              <w:rPr>
                <w:rFonts w:hint="eastAsia" w:ascii="宋体" w:hAnsi="宋体" w:cs="宋体"/>
                <w:b w:val="0"/>
                <w:bCs w:val="0"/>
                <w:color w:val="auto"/>
                <w:sz w:val="21"/>
                <w:szCs w:val="21"/>
                <w:highlight w:val="none"/>
                <w:lang w:val="en-US" w:eastAsia="zh-CN"/>
              </w:rPr>
              <w:t>进行打分</w:t>
            </w:r>
            <w:r>
              <w:rPr>
                <w:rFonts w:hint="eastAsia" w:ascii="宋体" w:hAnsi="宋体" w:eastAsia="宋体" w:cs="宋体"/>
                <w:b w:val="0"/>
                <w:bCs w:val="0"/>
                <w:color w:val="auto"/>
                <w:sz w:val="21"/>
                <w:szCs w:val="21"/>
                <w:highlight w:val="none"/>
                <w:lang w:val="en-US" w:eastAsia="zh-CN"/>
              </w:rPr>
              <w:t>，包含（但不限于）以下内容：应急响应流程及响应时间</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应急保障措施（人员、车辆等）。</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方案</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方案</w:t>
            </w:r>
            <w:r>
              <w:rPr>
                <w:rFonts w:hint="eastAsia" w:ascii="宋体" w:hAnsi="宋体" w:eastAsia="宋体" w:cs="Times New Roman"/>
                <w:szCs w:val="21"/>
                <w:highlight w:val="none"/>
                <w:lang w:bidi="ar"/>
              </w:rPr>
              <w:t>较</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方案</w:t>
            </w:r>
            <w:r>
              <w:rPr>
                <w:rFonts w:hint="eastAsia" w:ascii="宋体" w:hAnsi="宋体" w:eastAsia="宋体" w:cs="Times New Roman"/>
                <w:szCs w:val="21"/>
                <w:highlight w:val="none"/>
                <w:lang w:bidi="ar"/>
              </w:rPr>
              <w:t>较</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w:t>
            </w:r>
            <w:r>
              <w:rPr>
                <w:rFonts w:hint="eastAsia" w:ascii="宋体" w:hAnsi="宋体" w:eastAsia="宋体" w:cs="Times New Roman"/>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分；方案内容不</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w:t>
            </w:r>
            <w:r>
              <w:rPr>
                <w:rFonts w:hint="eastAsia" w:ascii="宋体" w:hAnsi="宋体" w:eastAsia="宋体" w:cs="宋体"/>
                <w:b w:val="0"/>
                <w:bCs w:val="0"/>
                <w:color w:val="auto"/>
                <w:sz w:val="21"/>
                <w:szCs w:val="21"/>
                <w:highlight w:val="none"/>
                <w:lang w:val="en-US" w:eastAsia="zh-CN"/>
              </w:rPr>
              <w:t>差的得</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9" w:type="dxa"/>
            <w:vMerge w:val="restart"/>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20</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rPr>
              <w:t>1、</w:t>
            </w:r>
            <w:r>
              <w:rPr>
                <w:rFonts w:hint="eastAsia" w:ascii="宋体" w:hAnsi="宋体" w:cs="宋体"/>
                <w:b w:val="0"/>
                <w:bCs w:val="0"/>
                <w:color w:val="auto"/>
                <w:kern w:val="0"/>
                <w:sz w:val="21"/>
                <w:szCs w:val="21"/>
                <w:highlight w:val="none"/>
                <w:lang w:eastAsia="zh-CN"/>
              </w:rPr>
              <w:t>优惠承诺</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lang w:val="en-US" w:eastAsia="zh-CN"/>
              </w:rPr>
              <w:t>6分</w:t>
            </w:r>
            <w:r>
              <w:rPr>
                <w:rFonts w:hint="eastAsia" w:ascii="宋体" w:hAnsi="宋体" w:eastAsia="宋体" w:cs="宋体"/>
                <w:b w:val="0"/>
                <w:bCs w:val="0"/>
                <w:color w:val="auto"/>
                <w:kern w:val="0"/>
                <w:sz w:val="21"/>
                <w:szCs w:val="21"/>
                <w:highlight w:val="none"/>
                <w:lang w:eastAsia="zh-CN"/>
              </w:rPr>
              <w:t>）</w:t>
            </w:r>
          </w:p>
        </w:tc>
        <w:tc>
          <w:tcPr>
            <w:tcW w:w="6770" w:type="dxa"/>
            <w:noWrap w:val="0"/>
            <w:vAlign w:val="top"/>
          </w:tcPr>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根据投标人在满足</w:t>
            </w:r>
            <w:r>
              <w:rPr>
                <w:rFonts w:hint="eastAsia" w:ascii="宋体" w:hAnsi="宋体" w:cs="宋体"/>
                <w:b w:val="0"/>
                <w:bCs w:val="0"/>
                <w:color w:val="auto"/>
                <w:kern w:val="0"/>
                <w:sz w:val="21"/>
                <w:szCs w:val="21"/>
                <w:highlight w:val="none"/>
                <w:lang w:val="en-US" w:eastAsia="zh-CN"/>
              </w:rPr>
              <w:t>采购</w:t>
            </w:r>
            <w:r>
              <w:rPr>
                <w:rFonts w:hint="eastAsia" w:ascii="宋体" w:hAnsi="宋体" w:eastAsia="宋体" w:cs="宋体"/>
                <w:b w:val="0"/>
                <w:bCs w:val="0"/>
                <w:color w:val="auto"/>
                <w:kern w:val="0"/>
                <w:sz w:val="21"/>
                <w:szCs w:val="21"/>
                <w:highlight w:val="none"/>
                <w:lang w:val="en-US" w:eastAsia="zh-CN"/>
              </w:rPr>
              <w:t>文件基本要求的基础上提供的实质性优惠承诺。</w:t>
            </w:r>
          </w:p>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每提供一项对采购人有利的、切实可行的实质性优惠承诺得</w:t>
            </w:r>
            <w:r>
              <w:rPr>
                <w:rFonts w:hint="eastAsia" w:ascii="宋体" w:hAnsi="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lang w:val="en-US" w:eastAsia="zh-CN"/>
              </w:rPr>
              <w:t>分，最多得</w:t>
            </w:r>
            <w:r>
              <w:rPr>
                <w:rFonts w:hint="eastAsia" w:ascii="宋体" w:hAnsi="宋体" w:cs="宋体"/>
                <w:b w:val="0"/>
                <w:bCs w:val="0"/>
                <w:color w:val="auto"/>
                <w:kern w:val="0"/>
                <w:sz w:val="21"/>
                <w:szCs w:val="21"/>
                <w:highlight w:val="none"/>
                <w:lang w:val="en-US" w:eastAsia="zh-CN"/>
              </w:rPr>
              <w:t>6</w:t>
            </w:r>
            <w:r>
              <w:rPr>
                <w:rFonts w:hint="eastAsia" w:ascii="宋体" w:hAnsi="宋体" w:eastAsia="宋体" w:cs="宋体"/>
                <w:b w:val="0"/>
                <w:bCs w:val="0"/>
                <w:color w:val="auto"/>
                <w:kern w:val="0"/>
                <w:sz w:val="21"/>
                <w:szCs w:val="21"/>
                <w:highlight w:val="none"/>
                <w:lang w:val="en-US" w:eastAsia="zh-CN"/>
              </w:rPr>
              <w:t xml:space="preserve">分。未提供者不得分。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2.类似业绩（4分）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自2021年1月1日以来具有的类似项目(以合同文件为准），每提供一份得2分，最多得4分。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vMerge w:val="restart"/>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3.售后服务</w:t>
            </w:r>
            <w:r>
              <w:rPr>
                <w:rFonts w:hint="eastAsia" w:ascii="宋体" w:hAnsi="宋体" w:cs="宋体"/>
                <w:b w:val="0"/>
                <w:bCs w:val="0"/>
                <w:color w:val="auto"/>
                <w:kern w:val="2"/>
                <w:sz w:val="21"/>
                <w:szCs w:val="21"/>
                <w:highlight w:val="none"/>
                <w:lang w:val="en-US" w:eastAsia="zh-CN"/>
              </w:rPr>
              <w:t>方案</w:t>
            </w:r>
            <w:r>
              <w:rPr>
                <w:rFonts w:hint="eastAsia" w:ascii="宋体" w:hAnsi="宋体" w:eastAsia="宋体" w:cs="宋体"/>
                <w:b w:val="0"/>
                <w:bCs w:val="0"/>
                <w:color w:val="auto"/>
                <w:kern w:val="2"/>
                <w:sz w:val="21"/>
                <w:szCs w:val="21"/>
                <w:highlight w:val="none"/>
                <w:lang w:val="en-US" w:eastAsia="zh-CN"/>
              </w:rPr>
              <w:t>（1</w:t>
            </w:r>
            <w:r>
              <w:rPr>
                <w:rFonts w:hint="eastAsia" w:ascii="宋体" w:hAnsi="宋体" w:cs="宋体"/>
                <w:b w:val="0"/>
                <w:bCs w:val="0"/>
                <w:color w:val="auto"/>
                <w:kern w:val="2"/>
                <w:sz w:val="21"/>
                <w:szCs w:val="21"/>
                <w:highlight w:val="none"/>
                <w:lang w:val="en-US" w:eastAsia="zh-CN"/>
              </w:rPr>
              <w:t>0</w:t>
            </w:r>
            <w:r>
              <w:rPr>
                <w:rFonts w:hint="eastAsia" w:ascii="宋体" w:hAnsi="宋体" w:eastAsia="宋体" w:cs="宋体"/>
                <w:b w:val="0"/>
                <w:bCs w:val="0"/>
                <w:color w:val="auto"/>
                <w:kern w:val="2"/>
                <w:sz w:val="21"/>
                <w:szCs w:val="21"/>
                <w:highlight w:val="none"/>
                <w:lang w:val="en-US" w:eastAsia="zh-CN"/>
              </w:rPr>
              <w:t>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cs="宋体"/>
                <w:b w:val="0"/>
                <w:bCs w:val="0"/>
                <w:color w:val="auto"/>
                <w:kern w:val="2"/>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评委根据</w:t>
            </w:r>
            <w:r>
              <w:rPr>
                <w:rFonts w:hint="eastAsia" w:ascii="宋体" w:hAnsi="宋体" w:cs="宋体"/>
                <w:b w:val="0"/>
                <w:bCs w:val="0"/>
                <w:color w:val="auto"/>
                <w:kern w:val="2"/>
                <w:sz w:val="21"/>
                <w:szCs w:val="21"/>
                <w:highlight w:val="none"/>
                <w:lang w:val="en-US" w:eastAsia="zh-CN"/>
              </w:rPr>
              <w:t>供应商提供的售后服务</w:t>
            </w:r>
            <w:r>
              <w:rPr>
                <w:rFonts w:hint="eastAsia" w:ascii="宋体" w:hAnsi="宋体" w:eastAsia="宋体" w:cs="宋体"/>
                <w:b w:val="0"/>
                <w:bCs w:val="0"/>
                <w:color w:val="auto"/>
                <w:kern w:val="2"/>
                <w:sz w:val="21"/>
                <w:szCs w:val="21"/>
                <w:highlight w:val="none"/>
                <w:lang w:val="en-US" w:eastAsia="zh-CN"/>
              </w:rPr>
              <w:t>体系</w:t>
            </w:r>
            <w:r>
              <w:rPr>
                <w:rFonts w:hint="eastAsia" w:ascii="宋体" w:hAnsi="宋体" w:cs="宋体"/>
                <w:b w:val="0"/>
                <w:bCs w:val="0"/>
                <w:color w:val="auto"/>
                <w:kern w:val="2"/>
                <w:sz w:val="21"/>
                <w:szCs w:val="21"/>
                <w:highlight w:val="none"/>
                <w:lang w:val="en-US" w:eastAsia="zh-CN"/>
              </w:rPr>
              <w:t>，包括售后响应流程、问题反馈、时效、服务方式、服务地点等</w:t>
            </w:r>
            <w:r>
              <w:rPr>
                <w:rFonts w:hint="eastAsia" w:ascii="宋体" w:hAnsi="宋体" w:eastAsia="宋体" w:cs="宋体"/>
                <w:b w:val="0"/>
                <w:bCs w:val="0"/>
                <w:color w:val="auto"/>
                <w:sz w:val="21"/>
                <w:szCs w:val="21"/>
                <w:highlight w:val="none"/>
                <w:lang w:val="en-US" w:eastAsia="zh-CN"/>
              </w:rPr>
              <w:t>进行打分</w:t>
            </w:r>
            <w:r>
              <w:rPr>
                <w:rFonts w:hint="eastAsia" w:ascii="宋体" w:hAnsi="宋体" w:cs="宋体"/>
                <w:b w:val="0"/>
                <w:bCs w:val="0"/>
                <w:color w:val="auto"/>
                <w:sz w:val="21"/>
                <w:szCs w:val="21"/>
                <w:highlight w:val="none"/>
                <w:lang w:val="en-US" w:eastAsia="zh-CN"/>
              </w:rPr>
              <w:t>。</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highlight w:val="none"/>
              </w:rPr>
            </w:pPr>
            <w:r>
              <w:rPr>
                <w:rFonts w:hint="eastAsia" w:ascii="宋体" w:hAnsi="宋体" w:cs="宋体"/>
                <w:b w:val="0"/>
                <w:bCs w:val="0"/>
                <w:color w:val="auto"/>
                <w:kern w:val="2"/>
                <w:sz w:val="21"/>
                <w:szCs w:val="21"/>
                <w:highlight w:val="none"/>
                <w:lang w:val="en-US" w:eastAsia="zh-CN"/>
              </w:rPr>
              <w:t>服务</w:t>
            </w:r>
            <w:r>
              <w:rPr>
                <w:rFonts w:hint="eastAsia" w:ascii="宋体" w:hAnsi="宋体" w:eastAsia="宋体" w:cs="宋体"/>
                <w:b w:val="0"/>
                <w:bCs w:val="0"/>
                <w:color w:val="auto"/>
                <w:kern w:val="2"/>
                <w:sz w:val="21"/>
                <w:szCs w:val="21"/>
                <w:highlight w:val="none"/>
                <w:lang w:val="en-US" w:eastAsia="zh-CN"/>
              </w:rPr>
              <w:t>体系</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r>
              <w:rPr>
                <w:rFonts w:hint="eastAsia" w:ascii="宋体" w:hAnsi="宋体" w:cs="宋体"/>
                <w:b w:val="0"/>
                <w:bCs w:val="0"/>
                <w:color w:val="auto"/>
                <w:kern w:val="2"/>
                <w:sz w:val="21"/>
                <w:szCs w:val="21"/>
                <w:highlight w:val="none"/>
                <w:lang w:val="en-US" w:eastAsia="zh-CN"/>
              </w:rPr>
              <w:t>服务</w:t>
            </w:r>
            <w:r>
              <w:rPr>
                <w:rFonts w:hint="eastAsia" w:ascii="宋体" w:hAnsi="宋体" w:eastAsia="宋体" w:cs="宋体"/>
                <w:b w:val="0"/>
                <w:bCs w:val="0"/>
                <w:color w:val="auto"/>
                <w:kern w:val="2"/>
                <w:sz w:val="21"/>
                <w:szCs w:val="21"/>
                <w:highlight w:val="none"/>
                <w:lang w:val="en-US" w:eastAsia="zh-CN"/>
              </w:rPr>
              <w:t>体系</w:t>
            </w:r>
            <w:r>
              <w:rPr>
                <w:rFonts w:hint="eastAsia" w:ascii="宋体" w:hAnsi="宋体" w:eastAsia="宋体" w:cs="Times New Roman"/>
                <w:szCs w:val="21"/>
                <w:highlight w:val="none"/>
                <w:lang w:bidi="ar"/>
              </w:rPr>
              <w:t>较</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分；</w:t>
            </w:r>
            <w:r>
              <w:rPr>
                <w:rFonts w:hint="eastAsia" w:ascii="宋体" w:hAnsi="宋体" w:cs="宋体"/>
                <w:b w:val="0"/>
                <w:bCs w:val="0"/>
                <w:color w:val="auto"/>
                <w:kern w:val="2"/>
                <w:sz w:val="21"/>
                <w:szCs w:val="21"/>
                <w:highlight w:val="none"/>
                <w:lang w:val="en-US" w:eastAsia="zh-CN"/>
              </w:rPr>
              <w:t>服务</w:t>
            </w:r>
            <w:r>
              <w:rPr>
                <w:rFonts w:hint="eastAsia" w:ascii="宋体" w:hAnsi="宋体" w:eastAsia="宋体" w:cs="宋体"/>
                <w:b w:val="0"/>
                <w:bCs w:val="0"/>
                <w:color w:val="auto"/>
                <w:kern w:val="2"/>
                <w:sz w:val="21"/>
                <w:szCs w:val="21"/>
                <w:highlight w:val="none"/>
                <w:lang w:val="en-US" w:eastAsia="zh-CN"/>
              </w:rPr>
              <w:t>体系</w:t>
            </w:r>
            <w:r>
              <w:rPr>
                <w:rFonts w:hint="eastAsia" w:ascii="宋体" w:hAnsi="宋体" w:eastAsia="宋体" w:cs="Times New Roman"/>
                <w:szCs w:val="21"/>
                <w:highlight w:val="none"/>
                <w:lang w:bidi="ar"/>
              </w:rPr>
              <w:t>较</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w:t>
            </w:r>
            <w:r>
              <w:rPr>
                <w:rFonts w:hint="eastAsia" w:ascii="宋体" w:hAnsi="宋体" w:eastAsia="宋体" w:cs="Times New Roman"/>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分；</w:t>
            </w:r>
            <w:r>
              <w:rPr>
                <w:rFonts w:hint="eastAsia" w:ascii="宋体" w:hAnsi="宋体" w:cs="宋体"/>
                <w:b w:val="0"/>
                <w:bCs w:val="0"/>
                <w:color w:val="auto"/>
                <w:kern w:val="2"/>
                <w:sz w:val="21"/>
                <w:szCs w:val="21"/>
                <w:highlight w:val="none"/>
                <w:lang w:val="en-US" w:eastAsia="zh-CN"/>
              </w:rPr>
              <w:t>服务</w:t>
            </w:r>
            <w:r>
              <w:rPr>
                <w:rFonts w:hint="eastAsia" w:ascii="宋体" w:hAnsi="宋体" w:eastAsia="宋体" w:cs="宋体"/>
                <w:b w:val="0"/>
                <w:bCs w:val="0"/>
                <w:color w:val="auto"/>
                <w:kern w:val="2"/>
                <w:sz w:val="21"/>
                <w:szCs w:val="21"/>
                <w:highlight w:val="none"/>
                <w:lang w:val="en-US" w:eastAsia="zh-CN"/>
              </w:rPr>
              <w:t>体系</w:t>
            </w:r>
            <w:r>
              <w:rPr>
                <w:rFonts w:hint="eastAsia" w:ascii="宋体" w:hAnsi="宋体" w:eastAsia="宋体" w:cs="宋体"/>
                <w:b w:val="0"/>
                <w:bCs w:val="0"/>
                <w:color w:val="auto"/>
                <w:sz w:val="21"/>
                <w:szCs w:val="21"/>
                <w:highlight w:val="none"/>
                <w:lang w:val="en-US" w:eastAsia="zh-CN"/>
              </w:rPr>
              <w:t>内容不</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w:t>
            </w:r>
            <w:r>
              <w:rPr>
                <w:rFonts w:hint="eastAsia" w:ascii="宋体" w:hAnsi="宋体" w:eastAsia="宋体" w:cs="宋体"/>
                <w:b w:val="0"/>
                <w:bCs w:val="0"/>
                <w:color w:val="auto"/>
                <w:sz w:val="21"/>
                <w:szCs w:val="21"/>
                <w:highlight w:val="none"/>
                <w:lang w:val="en-US" w:eastAsia="zh-CN"/>
              </w:rPr>
              <w:t>差的得</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vMerge w:val="continue"/>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cs="宋体"/>
                <w:b w:val="0"/>
                <w:bCs w:val="0"/>
                <w:color w:val="auto"/>
                <w:kern w:val="2"/>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评委根据</w:t>
            </w:r>
            <w:r>
              <w:rPr>
                <w:rFonts w:hint="eastAsia" w:ascii="宋体" w:hAnsi="宋体" w:cs="宋体"/>
                <w:b w:val="0"/>
                <w:bCs w:val="0"/>
                <w:color w:val="auto"/>
                <w:kern w:val="2"/>
                <w:sz w:val="21"/>
                <w:szCs w:val="21"/>
                <w:highlight w:val="none"/>
                <w:lang w:val="en-US" w:eastAsia="zh-CN"/>
              </w:rPr>
              <w:t>供应商提供的售后服务保障措施，包括企业提供本地化服务的措施、售后人员数量等</w:t>
            </w:r>
            <w:r>
              <w:rPr>
                <w:rFonts w:hint="eastAsia" w:ascii="宋体" w:hAnsi="宋体" w:eastAsia="宋体" w:cs="宋体"/>
                <w:b w:val="0"/>
                <w:bCs w:val="0"/>
                <w:color w:val="auto"/>
                <w:sz w:val="21"/>
                <w:szCs w:val="21"/>
                <w:highlight w:val="none"/>
                <w:lang w:val="en-US" w:eastAsia="zh-CN"/>
              </w:rPr>
              <w:t>进行打分</w:t>
            </w:r>
            <w:r>
              <w:rPr>
                <w:rFonts w:hint="eastAsia" w:ascii="宋体" w:hAnsi="宋体" w:cs="宋体"/>
                <w:b w:val="0"/>
                <w:bCs w:val="0"/>
                <w:color w:val="auto"/>
                <w:sz w:val="21"/>
                <w:szCs w:val="21"/>
                <w:highlight w:val="none"/>
                <w:lang w:val="en-US" w:eastAsia="zh-CN"/>
              </w:rPr>
              <w:t>。</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rPr>
            </w:pPr>
            <w:r>
              <w:rPr>
                <w:rFonts w:hint="eastAsia" w:ascii="宋体" w:hAnsi="宋体" w:cs="宋体"/>
                <w:b w:val="0"/>
                <w:bCs w:val="0"/>
                <w:color w:val="auto"/>
                <w:kern w:val="2"/>
                <w:sz w:val="21"/>
                <w:szCs w:val="21"/>
                <w:highlight w:val="none"/>
                <w:lang w:val="en-US" w:eastAsia="zh-CN"/>
              </w:rPr>
              <w:t>保障措施</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r>
              <w:rPr>
                <w:rFonts w:hint="eastAsia" w:ascii="宋体" w:hAnsi="宋体" w:cs="宋体"/>
                <w:b w:val="0"/>
                <w:bCs w:val="0"/>
                <w:color w:val="auto"/>
                <w:kern w:val="2"/>
                <w:sz w:val="21"/>
                <w:szCs w:val="21"/>
                <w:highlight w:val="none"/>
                <w:lang w:val="en-US" w:eastAsia="zh-CN"/>
              </w:rPr>
              <w:t>服务</w:t>
            </w:r>
            <w:r>
              <w:rPr>
                <w:rFonts w:hint="eastAsia" w:ascii="宋体" w:hAnsi="宋体" w:eastAsia="宋体" w:cs="宋体"/>
                <w:b w:val="0"/>
                <w:bCs w:val="0"/>
                <w:color w:val="auto"/>
                <w:kern w:val="2"/>
                <w:sz w:val="21"/>
                <w:szCs w:val="21"/>
                <w:highlight w:val="none"/>
                <w:lang w:val="en-US" w:eastAsia="zh-CN"/>
              </w:rPr>
              <w:t>体系</w:t>
            </w:r>
            <w:r>
              <w:rPr>
                <w:rFonts w:hint="eastAsia" w:ascii="宋体" w:hAnsi="宋体" w:eastAsia="宋体" w:cs="Times New Roman"/>
                <w:szCs w:val="21"/>
                <w:highlight w:val="none"/>
                <w:lang w:bidi="ar"/>
              </w:rPr>
              <w:t>较</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分；</w:t>
            </w:r>
            <w:r>
              <w:rPr>
                <w:rFonts w:hint="eastAsia" w:ascii="宋体" w:hAnsi="宋体" w:cs="宋体"/>
                <w:b w:val="0"/>
                <w:bCs w:val="0"/>
                <w:color w:val="auto"/>
                <w:kern w:val="2"/>
                <w:sz w:val="21"/>
                <w:szCs w:val="21"/>
                <w:highlight w:val="none"/>
                <w:lang w:val="en-US" w:eastAsia="zh-CN"/>
              </w:rPr>
              <w:t>服务</w:t>
            </w:r>
            <w:r>
              <w:rPr>
                <w:rFonts w:hint="eastAsia" w:ascii="宋体" w:hAnsi="宋体" w:eastAsia="宋体" w:cs="宋体"/>
                <w:b w:val="0"/>
                <w:bCs w:val="0"/>
                <w:color w:val="auto"/>
                <w:kern w:val="2"/>
                <w:sz w:val="21"/>
                <w:szCs w:val="21"/>
                <w:highlight w:val="none"/>
                <w:lang w:val="en-US" w:eastAsia="zh-CN"/>
              </w:rPr>
              <w:t>体系</w:t>
            </w:r>
            <w:r>
              <w:rPr>
                <w:rFonts w:hint="eastAsia" w:ascii="宋体" w:hAnsi="宋体" w:eastAsia="宋体" w:cs="Times New Roman"/>
                <w:szCs w:val="21"/>
                <w:highlight w:val="none"/>
                <w:lang w:bidi="ar"/>
              </w:rPr>
              <w:t>较</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w:t>
            </w:r>
            <w:r>
              <w:rPr>
                <w:rFonts w:hint="eastAsia" w:ascii="宋体" w:hAnsi="宋体" w:eastAsia="宋体" w:cs="Times New Roman"/>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分；</w:t>
            </w:r>
            <w:r>
              <w:rPr>
                <w:rFonts w:hint="eastAsia" w:ascii="宋体" w:hAnsi="宋体" w:cs="宋体"/>
                <w:b w:val="0"/>
                <w:bCs w:val="0"/>
                <w:color w:val="auto"/>
                <w:kern w:val="2"/>
                <w:sz w:val="21"/>
                <w:szCs w:val="21"/>
                <w:highlight w:val="none"/>
                <w:lang w:val="en-US" w:eastAsia="zh-CN"/>
              </w:rPr>
              <w:t>服务</w:t>
            </w:r>
            <w:r>
              <w:rPr>
                <w:rFonts w:hint="eastAsia" w:ascii="宋体" w:hAnsi="宋体" w:eastAsia="宋体" w:cs="宋体"/>
                <w:b w:val="0"/>
                <w:bCs w:val="0"/>
                <w:color w:val="auto"/>
                <w:kern w:val="2"/>
                <w:sz w:val="21"/>
                <w:szCs w:val="21"/>
                <w:highlight w:val="none"/>
                <w:lang w:val="en-US" w:eastAsia="zh-CN"/>
              </w:rPr>
              <w:t>体系</w:t>
            </w:r>
            <w:r>
              <w:rPr>
                <w:rFonts w:hint="eastAsia" w:ascii="宋体" w:hAnsi="宋体" w:eastAsia="宋体" w:cs="宋体"/>
                <w:b w:val="0"/>
                <w:bCs w:val="0"/>
                <w:color w:val="auto"/>
                <w:sz w:val="21"/>
                <w:szCs w:val="21"/>
                <w:highlight w:val="none"/>
                <w:lang w:val="en-US" w:eastAsia="zh-CN"/>
              </w:rPr>
              <w:t>内容不</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w:t>
            </w:r>
            <w:r>
              <w:rPr>
                <w:rFonts w:hint="eastAsia" w:ascii="宋体" w:hAnsi="宋体" w:eastAsia="宋体" w:cs="宋体"/>
                <w:b w:val="0"/>
                <w:bCs w:val="0"/>
                <w:color w:val="auto"/>
                <w:sz w:val="21"/>
                <w:szCs w:val="21"/>
                <w:highlight w:val="none"/>
                <w:lang w:val="en-US" w:eastAsia="zh-CN"/>
              </w:rPr>
              <w:t>差的得</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color w:val="auto"/>
          <w:kern w:val="0"/>
          <w:szCs w:val="21"/>
          <w:highlight w:val="none"/>
        </w:rPr>
      </w:pPr>
    </w:p>
    <w:p>
      <w:pPr>
        <w:rPr>
          <w:b/>
          <w:color w:val="auto"/>
          <w:highlight w:val="none"/>
        </w:rPr>
      </w:pPr>
      <w:r>
        <w:rPr>
          <w:rFonts w:hint="eastAsia"/>
          <w:b/>
          <w:color w:val="auto"/>
          <w:highlight w:val="none"/>
        </w:rPr>
        <w:br w:type="page"/>
      </w:r>
    </w:p>
    <w:bookmarkEnd w:id="42"/>
    <w:p>
      <w:pPr>
        <w:rPr>
          <w:color w:val="auto"/>
          <w:highlight w:val="none"/>
        </w:rPr>
      </w:pPr>
      <w:bookmarkStart w:id="44" w:name="_Toc1947"/>
      <w:bookmarkStart w:id="45" w:name="_Toc1482"/>
      <w:bookmarkStart w:id="46" w:name="_Toc326786897"/>
      <w:bookmarkStart w:id="47" w:name="_Toc256519703"/>
    </w:p>
    <w:p>
      <w:pPr>
        <w:pStyle w:val="2"/>
        <w:snapToGrid w:val="0"/>
        <w:spacing w:before="0" w:after="0" w:line="480" w:lineRule="auto"/>
        <w:jc w:val="center"/>
        <w:rPr>
          <w:color w:val="auto"/>
          <w:sz w:val="28"/>
          <w:szCs w:val="28"/>
          <w:highlight w:val="none"/>
        </w:rPr>
      </w:pPr>
      <w:bookmarkStart w:id="48" w:name="_Toc1638"/>
      <w:r>
        <w:rPr>
          <w:rFonts w:hint="eastAsia"/>
          <w:color w:val="auto"/>
          <w:sz w:val="28"/>
          <w:szCs w:val="28"/>
          <w:highlight w:val="none"/>
        </w:rPr>
        <w:t>第五章  采购合同</w:t>
      </w:r>
      <w:bookmarkEnd w:id="48"/>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以实际合同为准</w:t>
      </w:r>
      <w:r>
        <w:rPr>
          <w:rFonts w:hint="eastAsia" w:ascii="宋体" w:hAnsi="宋体"/>
          <w:color w:val="auto"/>
          <w:sz w:val="21"/>
          <w:szCs w:val="21"/>
          <w:highlight w:val="none"/>
          <w:lang w:eastAsia="zh-CN"/>
        </w:rPr>
        <w:t>）</w:t>
      </w:r>
    </w:p>
    <w:p>
      <w:pPr>
        <w:rPr>
          <w:color w:val="auto"/>
          <w:sz w:val="32"/>
          <w:szCs w:val="32"/>
          <w:highlight w:val="none"/>
        </w:rPr>
      </w:pPr>
    </w:p>
    <w:p>
      <w:pPr>
        <w:rPr>
          <w:color w:val="auto"/>
          <w:highlight w:val="none"/>
        </w:rPr>
      </w:pPr>
      <w:r>
        <w:rPr>
          <w:color w:val="auto"/>
          <w:highlight w:val="none"/>
        </w:rPr>
        <w:br w:type="page"/>
      </w:r>
    </w:p>
    <w:p>
      <w:pPr>
        <w:pStyle w:val="32"/>
        <w:rPr>
          <w:color w:val="auto"/>
          <w:highlight w:val="none"/>
        </w:rPr>
      </w:pPr>
    </w:p>
    <w:p>
      <w:pPr>
        <w:pStyle w:val="2"/>
        <w:jc w:val="center"/>
        <w:rPr>
          <w:rFonts w:ascii="宋体" w:hAnsi="宋体" w:cs="宋体"/>
          <w:color w:val="auto"/>
          <w:kern w:val="0"/>
          <w:highlight w:val="none"/>
        </w:rPr>
      </w:pPr>
      <w:bookmarkStart w:id="49" w:name="_Toc5963"/>
      <w:r>
        <w:rPr>
          <w:rFonts w:hint="eastAsia"/>
          <w:color w:val="auto"/>
          <w:sz w:val="32"/>
          <w:szCs w:val="32"/>
          <w:highlight w:val="none"/>
        </w:rPr>
        <w:t>第六章  投标文件格式</w:t>
      </w:r>
      <w:bookmarkEnd w:id="44"/>
      <w:bookmarkEnd w:id="45"/>
      <w:bookmarkEnd w:id="49"/>
    </w:p>
    <w:p>
      <w:pPr>
        <w:spacing w:line="440" w:lineRule="exact"/>
        <w:rPr>
          <w:color w:val="auto"/>
          <w:sz w:val="24"/>
          <w:highlight w:val="none"/>
        </w:rPr>
      </w:pPr>
    </w:p>
    <w:p>
      <w:pPr>
        <w:jc w:val="center"/>
        <w:rPr>
          <w:b/>
          <w:bCs/>
          <w:color w:val="auto"/>
          <w:sz w:val="32"/>
          <w:szCs w:val="32"/>
          <w:highlight w:val="none"/>
        </w:rPr>
      </w:pPr>
      <w:bookmarkStart w:id="50" w:name="_Toc13604"/>
      <w:r>
        <w:rPr>
          <w:rFonts w:hint="eastAsia"/>
          <w:b/>
          <w:bCs/>
          <w:color w:val="auto"/>
          <w:sz w:val="32"/>
          <w:szCs w:val="32"/>
          <w:highlight w:val="none"/>
        </w:rPr>
        <w:t>目    录</w:t>
      </w:r>
      <w:bookmarkEnd w:id="50"/>
    </w:p>
    <w:p>
      <w:pPr>
        <w:widowControl/>
        <w:wordWrap w:val="0"/>
        <w:spacing w:line="460" w:lineRule="exact"/>
        <w:ind w:firstLine="480" w:firstLineChars="200"/>
        <w:jc w:val="left"/>
        <w:rPr>
          <w:rFonts w:ascii="宋体" w:hAnsi="宋体" w:cs="宋体"/>
          <w:color w:val="auto"/>
          <w:kern w:val="0"/>
          <w:sz w:val="24"/>
          <w:highlight w:val="none"/>
        </w:rPr>
      </w:pPr>
    </w:p>
    <w:p>
      <w:pPr>
        <w:snapToGrid w:val="0"/>
        <w:spacing w:line="360" w:lineRule="auto"/>
        <w:ind w:firstLine="480" w:firstLineChars="200"/>
        <w:rPr>
          <w:color w:val="auto"/>
          <w:sz w:val="24"/>
          <w:highlight w:val="none"/>
        </w:rPr>
      </w:pPr>
      <w:bookmarkStart w:id="51" w:name="_Toc11308"/>
      <w:r>
        <w:rPr>
          <w:rFonts w:hint="eastAsia"/>
          <w:color w:val="auto"/>
          <w:sz w:val="24"/>
          <w:highlight w:val="none"/>
        </w:rPr>
        <w:t>附件1投标文件封面（格式）</w:t>
      </w:r>
      <w:bookmarkEnd w:id="51"/>
    </w:p>
    <w:p>
      <w:pPr>
        <w:snapToGrid w:val="0"/>
        <w:spacing w:line="360" w:lineRule="auto"/>
        <w:ind w:firstLine="480" w:firstLineChars="200"/>
        <w:rPr>
          <w:color w:val="auto"/>
          <w:sz w:val="24"/>
          <w:highlight w:val="none"/>
        </w:rPr>
      </w:pPr>
      <w:bookmarkStart w:id="52" w:name="_Toc25345"/>
      <w:r>
        <w:rPr>
          <w:rFonts w:hint="eastAsia"/>
          <w:color w:val="auto"/>
          <w:sz w:val="24"/>
          <w:highlight w:val="none"/>
        </w:rPr>
        <w:t>附件2 投标书（格式）</w:t>
      </w:r>
      <w:bookmarkEnd w:id="52"/>
    </w:p>
    <w:p>
      <w:pPr>
        <w:snapToGrid w:val="0"/>
        <w:spacing w:line="360" w:lineRule="auto"/>
        <w:ind w:firstLine="480" w:firstLineChars="200"/>
        <w:rPr>
          <w:color w:val="auto"/>
          <w:sz w:val="24"/>
          <w:highlight w:val="none"/>
        </w:rPr>
      </w:pPr>
      <w:bookmarkStart w:id="53" w:name="_Toc10217"/>
      <w:r>
        <w:rPr>
          <w:rFonts w:hint="eastAsia"/>
          <w:color w:val="auto"/>
          <w:sz w:val="24"/>
          <w:highlight w:val="none"/>
        </w:rPr>
        <w:t>附件3 开标一览表（格式）</w:t>
      </w:r>
      <w:bookmarkEnd w:id="53"/>
    </w:p>
    <w:p>
      <w:pPr>
        <w:snapToGrid w:val="0"/>
        <w:spacing w:line="360" w:lineRule="auto"/>
        <w:ind w:firstLine="480" w:firstLineChars="200"/>
        <w:rPr>
          <w:rFonts w:hint="default"/>
          <w:color w:val="auto"/>
          <w:sz w:val="24"/>
          <w:highlight w:val="none"/>
          <w:lang w:val="en-US"/>
        </w:rPr>
      </w:pPr>
      <w:bookmarkStart w:id="54" w:name="_Toc9579"/>
      <w:r>
        <w:rPr>
          <w:rFonts w:hint="eastAsia"/>
          <w:color w:val="auto"/>
          <w:sz w:val="24"/>
          <w:highlight w:val="none"/>
        </w:rPr>
        <w:t xml:space="preserve">附件4 </w:t>
      </w:r>
      <w:bookmarkEnd w:id="54"/>
      <w:r>
        <w:rPr>
          <w:rFonts w:hint="eastAsia"/>
          <w:color w:val="auto"/>
          <w:sz w:val="24"/>
          <w:highlight w:val="none"/>
          <w:lang w:val="en-US" w:eastAsia="zh-CN"/>
        </w:rPr>
        <w:t>报价明细表（格式）</w:t>
      </w:r>
    </w:p>
    <w:p>
      <w:pPr>
        <w:snapToGrid w:val="0"/>
        <w:spacing w:line="360" w:lineRule="auto"/>
        <w:ind w:firstLine="480" w:firstLineChars="200"/>
        <w:rPr>
          <w:rFonts w:hint="default"/>
          <w:color w:val="auto"/>
          <w:sz w:val="24"/>
          <w:highlight w:val="none"/>
          <w:lang w:val="en-US"/>
        </w:rPr>
      </w:pPr>
      <w:bookmarkStart w:id="55" w:name="_Toc28392"/>
      <w:r>
        <w:rPr>
          <w:rFonts w:hint="eastAsia"/>
          <w:color w:val="auto"/>
          <w:sz w:val="24"/>
          <w:highlight w:val="none"/>
        </w:rPr>
        <w:t>附件5</w:t>
      </w:r>
      <w:r>
        <w:rPr>
          <w:rFonts w:hint="eastAsia"/>
          <w:color w:val="auto"/>
          <w:sz w:val="24"/>
          <w:highlight w:val="none"/>
          <w:lang w:val="en-US" w:eastAsia="zh-CN"/>
        </w:rPr>
        <w:t xml:space="preserve"> </w:t>
      </w:r>
      <w:r>
        <w:rPr>
          <w:rFonts w:hint="eastAsia"/>
          <w:color w:val="auto"/>
          <w:sz w:val="24"/>
          <w:highlight w:val="none"/>
        </w:rPr>
        <w:t>技术</w:t>
      </w:r>
      <w:r>
        <w:rPr>
          <w:rFonts w:hint="eastAsia"/>
          <w:color w:val="auto"/>
          <w:sz w:val="24"/>
          <w:highlight w:val="none"/>
          <w:lang w:val="en-US" w:eastAsia="zh-CN"/>
        </w:rPr>
        <w:t>响应</w:t>
      </w:r>
      <w:bookmarkEnd w:id="55"/>
      <w:r>
        <w:rPr>
          <w:rFonts w:hint="eastAsia"/>
          <w:color w:val="auto"/>
          <w:sz w:val="24"/>
          <w:highlight w:val="none"/>
          <w:lang w:val="en-US" w:eastAsia="zh-CN"/>
        </w:rPr>
        <w:t>表（格式）</w:t>
      </w:r>
    </w:p>
    <w:p>
      <w:pPr>
        <w:snapToGrid w:val="0"/>
        <w:spacing w:line="360" w:lineRule="auto"/>
        <w:ind w:firstLine="480" w:firstLineChars="200"/>
        <w:rPr>
          <w:rFonts w:hint="default" w:eastAsia="宋体"/>
          <w:color w:val="auto"/>
          <w:sz w:val="24"/>
          <w:highlight w:val="none"/>
          <w:lang w:val="en-US" w:eastAsia="zh-CN"/>
        </w:rPr>
      </w:pPr>
      <w:bookmarkStart w:id="56" w:name="_Toc6234"/>
      <w:r>
        <w:rPr>
          <w:rFonts w:hint="eastAsia"/>
          <w:color w:val="auto"/>
          <w:sz w:val="24"/>
          <w:highlight w:val="none"/>
        </w:rPr>
        <w:t>附件6 商务</w:t>
      </w:r>
      <w:bookmarkEnd w:id="56"/>
      <w:r>
        <w:rPr>
          <w:rFonts w:hint="eastAsia"/>
          <w:color w:val="auto"/>
          <w:sz w:val="24"/>
          <w:highlight w:val="none"/>
          <w:lang w:val="en-US" w:eastAsia="zh-CN"/>
        </w:rPr>
        <w:t>响应</w:t>
      </w:r>
    </w:p>
    <w:p>
      <w:pPr>
        <w:snapToGrid w:val="0"/>
        <w:spacing w:line="360" w:lineRule="auto"/>
        <w:ind w:firstLine="480" w:firstLineChars="200"/>
        <w:rPr>
          <w:color w:val="auto"/>
          <w:sz w:val="24"/>
          <w:highlight w:val="none"/>
        </w:rPr>
      </w:pPr>
      <w:bookmarkStart w:id="57" w:name="_Toc26231"/>
      <w:r>
        <w:rPr>
          <w:rFonts w:hint="eastAsia"/>
          <w:color w:val="auto"/>
          <w:sz w:val="24"/>
          <w:highlight w:val="none"/>
        </w:rPr>
        <w:t>附件7</w:t>
      </w:r>
      <w:r>
        <w:rPr>
          <w:rFonts w:hint="eastAsia"/>
          <w:color w:val="auto"/>
          <w:sz w:val="24"/>
          <w:highlight w:val="none"/>
          <w:lang w:val="en-US" w:eastAsia="zh-CN"/>
        </w:rPr>
        <w:t xml:space="preserve"> </w:t>
      </w:r>
      <w:r>
        <w:rPr>
          <w:rFonts w:hint="eastAsia"/>
          <w:color w:val="auto"/>
          <w:sz w:val="24"/>
          <w:highlight w:val="none"/>
        </w:rPr>
        <w:t>法定代表人身份证明（格式）</w:t>
      </w:r>
      <w:bookmarkEnd w:id="57"/>
    </w:p>
    <w:p>
      <w:pPr>
        <w:snapToGrid w:val="0"/>
        <w:spacing w:line="360" w:lineRule="auto"/>
        <w:ind w:firstLine="480" w:firstLineChars="200"/>
        <w:rPr>
          <w:color w:val="auto"/>
          <w:sz w:val="24"/>
          <w:highlight w:val="none"/>
        </w:rPr>
      </w:pPr>
      <w:bookmarkStart w:id="58" w:name="_Toc18484"/>
      <w:r>
        <w:rPr>
          <w:rFonts w:hint="eastAsia"/>
          <w:color w:val="auto"/>
          <w:sz w:val="24"/>
          <w:highlight w:val="none"/>
        </w:rPr>
        <w:t>附件8</w:t>
      </w:r>
      <w:r>
        <w:rPr>
          <w:rFonts w:hint="eastAsia"/>
          <w:color w:val="auto"/>
          <w:sz w:val="24"/>
          <w:highlight w:val="none"/>
          <w:lang w:val="en-US" w:eastAsia="zh-CN"/>
        </w:rPr>
        <w:t xml:space="preserve"> </w:t>
      </w:r>
      <w:r>
        <w:rPr>
          <w:rFonts w:hint="eastAsia"/>
          <w:color w:val="auto"/>
          <w:sz w:val="24"/>
          <w:highlight w:val="none"/>
        </w:rPr>
        <w:t>法定代表人授权书（格式）</w:t>
      </w:r>
      <w:bookmarkEnd w:id="58"/>
    </w:p>
    <w:p>
      <w:pPr>
        <w:snapToGrid w:val="0"/>
        <w:spacing w:line="360" w:lineRule="auto"/>
        <w:ind w:firstLine="480" w:firstLineChars="200"/>
        <w:rPr>
          <w:color w:val="auto"/>
          <w:sz w:val="24"/>
          <w:highlight w:val="none"/>
        </w:rPr>
      </w:pPr>
      <w:bookmarkStart w:id="59" w:name="_Toc31857"/>
      <w:r>
        <w:rPr>
          <w:rFonts w:hint="eastAsia"/>
          <w:color w:val="auto"/>
          <w:sz w:val="24"/>
          <w:highlight w:val="none"/>
        </w:rPr>
        <w:t>附件9 证明文件</w:t>
      </w:r>
      <w:bookmarkEnd w:id="59"/>
    </w:p>
    <w:p>
      <w:pPr>
        <w:snapToGrid w:val="0"/>
        <w:spacing w:line="360" w:lineRule="auto"/>
        <w:ind w:firstLine="480" w:firstLineChars="200"/>
        <w:rPr>
          <w:rFonts w:hint="eastAsia"/>
          <w:color w:val="auto"/>
          <w:sz w:val="24"/>
          <w:highlight w:val="none"/>
        </w:rPr>
      </w:pPr>
      <w:bookmarkStart w:id="60" w:name="_Toc23116"/>
      <w:r>
        <w:rPr>
          <w:rFonts w:hint="eastAsia"/>
          <w:color w:val="auto"/>
          <w:sz w:val="24"/>
          <w:highlight w:val="none"/>
        </w:rPr>
        <w:t>附件10 供应商承诺书（格式）</w:t>
      </w:r>
      <w:bookmarkEnd w:id="60"/>
    </w:p>
    <w:p>
      <w:pPr>
        <w:snapToGrid w:val="0"/>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附件11 供应商信用承诺函（格式）</w:t>
      </w:r>
    </w:p>
    <w:p>
      <w:pPr>
        <w:pStyle w:val="32"/>
        <w:rPr>
          <w:rFonts w:hint="eastAsia"/>
          <w:color w:val="auto"/>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pStyle w:val="3"/>
        <w:rPr>
          <w:rFonts w:ascii="宋体" w:hAnsi="宋体" w:cs="宋体"/>
          <w:b/>
          <w:bCs/>
          <w:color w:val="auto"/>
          <w:kern w:val="0"/>
          <w:sz w:val="24"/>
          <w:highlight w:val="none"/>
        </w:rPr>
      </w:pPr>
    </w:p>
    <w:p>
      <w:pPr>
        <w:pStyle w:val="4"/>
        <w:rPr>
          <w:rFonts w:hAnsi="宋体"/>
          <w:b/>
          <w:bCs/>
          <w:color w:val="auto"/>
          <w:highlight w:val="none"/>
        </w:rPr>
      </w:pPr>
    </w:p>
    <w:p>
      <w:pPr>
        <w:pStyle w:val="4"/>
        <w:rPr>
          <w:rFonts w:hAnsi="宋体"/>
          <w:b/>
          <w:bCs/>
          <w:color w:val="auto"/>
          <w:highlight w:val="none"/>
        </w:rPr>
      </w:pPr>
    </w:p>
    <w:p>
      <w:pPr>
        <w:rPr>
          <w:color w:val="auto"/>
          <w:highlight w:val="none"/>
        </w:rPr>
      </w:pPr>
      <w:r>
        <w:rPr>
          <w:rFonts w:hint="eastAsia"/>
          <w:color w:val="auto"/>
          <w:highlight w:val="none"/>
        </w:rPr>
        <w:br w:type="page"/>
      </w:r>
    </w:p>
    <w:p>
      <w:pPr>
        <w:pStyle w:val="27"/>
        <w:rPr>
          <w:color w:val="auto"/>
          <w:highlight w:val="none"/>
        </w:rPr>
      </w:pPr>
    </w:p>
    <w:p>
      <w:pPr>
        <w:pStyle w:val="6"/>
        <w:rPr>
          <w:color w:val="auto"/>
          <w:highlight w:val="none"/>
        </w:rPr>
      </w:pPr>
      <w:bookmarkStart w:id="61" w:name="_Toc31798"/>
      <w:bookmarkStart w:id="62" w:name="_Toc24743"/>
      <w:r>
        <w:rPr>
          <w:rFonts w:hint="eastAsia"/>
          <w:color w:val="auto"/>
          <w:highlight w:val="none"/>
        </w:rPr>
        <w:t>附件1               投标文件封面（格式）</w:t>
      </w:r>
      <w:bookmarkEnd w:id="61"/>
      <w:bookmarkEnd w:id="62"/>
    </w:p>
    <w:p>
      <w:pPr>
        <w:widowControl/>
        <w:wordWrap w:val="0"/>
        <w:spacing w:line="460" w:lineRule="exact"/>
        <w:ind w:firstLine="482" w:firstLineChars="200"/>
        <w:jc w:val="center"/>
        <w:rPr>
          <w:rFonts w:ascii="宋体" w:hAnsi="宋体" w:cs="宋体"/>
          <w:b/>
          <w:color w:val="auto"/>
          <w:kern w:val="0"/>
          <w:sz w:val="24"/>
          <w:highlight w:val="none"/>
        </w:rPr>
      </w:pP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w:t>
      </w:r>
      <w:r>
        <w:rPr>
          <w:rFonts w:hint="eastAsia" w:ascii="宋体" w:hAnsi="宋体" w:cs="宋体"/>
          <w:b/>
          <w:snapToGrid w:val="0"/>
          <w:color w:val="auto"/>
          <w:spacing w:val="0"/>
          <w:kern w:val="0"/>
          <w:sz w:val="44"/>
          <w:szCs w:val="44"/>
          <w:highlight w:val="none"/>
          <w:u w:val="none"/>
          <w:lang w:val="en-US" w:eastAsia="zh-CN"/>
        </w:rPr>
        <w:t>市</w:t>
      </w:r>
      <w:r>
        <w:rPr>
          <w:rFonts w:hint="eastAsia" w:ascii="宋体" w:hAnsi="宋体" w:eastAsia="宋体" w:cs="宋体"/>
          <w:b/>
          <w:snapToGrid w:val="0"/>
          <w:color w:val="auto"/>
          <w:spacing w:val="0"/>
          <w:kern w:val="0"/>
          <w:sz w:val="44"/>
          <w:szCs w:val="44"/>
          <w:highlight w:val="none"/>
          <w:u w:val="none"/>
          <w:lang w:val="en-US" w:eastAsia="zh-CN"/>
        </w:rPr>
        <w:t>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spacing w:line="360" w:lineRule="auto"/>
        <w:rPr>
          <w:rFonts w:hint="eastAsia" w:ascii="宋体" w:hAnsi="宋体" w:eastAsia="宋体" w:cs="宋体"/>
          <w:color w:val="auto"/>
          <w:sz w:val="28"/>
          <w:highlight w:val="none"/>
        </w:rPr>
      </w:pPr>
    </w:p>
    <w:p>
      <w:pPr>
        <w:pStyle w:val="4"/>
        <w:spacing w:line="360" w:lineRule="auto"/>
        <w:rPr>
          <w:rFonts w:hint="eastAsia" w:ascii="宋体" w:hAnsi="宋体" w:eastAsia="宋体" w:cs="宋体"/>
          <w:color w:val="auto"/>
          <w:highlight w:val="none"/>
        </w:rPr>
      </w:pPr>
    </w:p>
    <w:p>
      <w:pPr>
        <w:pStyle w:val="4"/>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eastAsia="zh-CN"/>
        </w:rPr>
        <w:t>全称并</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cs="宋体"/>
          <w:color w:val="auto"/>
          <w:sz w:val="28"/>
          <w:szCs w:val="28"/>
          <w:highlight w:val="none"/>
          <w:lang w:val="en-US" w:eastAsia="zh-CN"/>
        </w:rPr>
        <w:t>签字或</w:t>
      </w:r>
      <w:r>
        <w:rPr>
          <w:rFonts w:hint="eastAsia" w:ascii="宋体" w:hAnsi="宋体" w:eastAsia="宋体" w:cs="宋体"/>
          <w:color w:val="auto"/>
          <w:sz w:val="28"/>
          <w:szCs w:val="28"/>
          <w:highlight w:val="none"/>
          <w:lang w:eastAsia="zh-CN"/>
        </w:rPr>
        <w:t>盖</w:t>
      </w:r>
      <w:r>
        <w:rPr>
          <w:rFonts w:hint="eastAsia" w:ascii="宋体" w:hAnsi="宋体" w:cs="宋体"/>
          <w:color w:val="auto"/>
          <w:sz w:val="28"/>
          <w:szCs w:val="28"/>
          <w:highlight w:val="none"/>
          <w:lang w:val="en-US" w:eastAsia="zh-CN"/>
        </w:rPr>
        <w:t>章</w:t>
      </w:r>
      <w:r>
        <w:rPr>
          <w:rFonts w:hint="eastAsia" w:ascii="宋体" w:hAnsi="宋体" w:eastAsia="宋体" w:cs="宋体"/>
          <w:color w:val="auto"/>
          <w:sz w:val="28"/>
          <w:szCs w:val="28"/>
          <w:highlight w:val="none"/>
        </w:rPr>
        <w:t>）</w:t>
      </w:r>
    </w:p>
    <w:p>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pPr>
        <w:widowControl/>
        <w:wordWrap w:val="0"/>
        <w:spacing w:line="460" w:lineRule="exact"/>
        <w:ind w:firstLine="482" w:firstLineChars="200"/>
        <w:jc w:val="left"/>
        <w:rPr>
          <w:rFonts w:ascii="宋体" w:hAnsi="宋体" w:cs="宋体"/>
          <w:b/>
          <w:color w:val="auto"/>
          <w:kern w:val="0"/>
          <w:sz w:val="24"/>
          <w:highlight w:val="none"/>
        </w:rPr>
      </w:pPr>
    </w:p>
    <w:p>
      <w:pPr>
        <w:pStyle w:val="3"/>
        <w:rPr>
          <w:rFonts w:ascii="宋体" w:hAnsi="宋体" w:cs="宋体"/>
          <w:b/>
          <w:color w:val="auto"/>
          <w:kern w:val="0"/>
          <w:sz w:val="24"/>
          <w:highlight w:val="none"/>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pStyle w:val="6"/>
        <w:rPr>
          <w:color w:val="auto"/>
          <w:highlight w:val="none"/>
        </w:rPr>
      </w:pPr>
      <w:bookmarkStart w:id="63" w:name="_Toc8818"/>
      <w:bookmarkStart w:id="64" w:name="_Toc14560"/>
      <w:r>
        <w:rPr>
          <w:rFonts w:hint="eastAsia"/>
          <w:color w:val="auto"/>
          <w:highlight w:val="none"/>
        </w:rPr>
        <w:t>附件2               投  标  书（格式）</w:t>
      </w:r>
      <w:bookmarkEnd w:id="63"/>
      <w:bookmarkEnd w:id="64"/>
    </w:p>
    <w:p>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w:t>
      </w:r>
      <w:r>
        <w:rPr>
          <w:rFonts w:hint="eastAsia" w:ascii="宋体" w:hAnsi="宋体" w:cs="宋体"/>
          <w:color w:val="auto"/>
          <w:kern w:val="0"/>
          <w:szCs w:val="21"/>
          <w:highlight w:val="none"/>
          <w:u w:val="single"/>
          <w:lang w:eastAsia="zh-CN"/>
        </w:rPr>
        <w:t>供应商</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2、报价明细表。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4、技术响应表。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、商务响应表。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、证明文件。</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须知第9.3项所述情况，同意被认定为在经营活动中有重大违法记录。</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认定我方的行为属于串通投标的行为，并自愿接受监管部门的处罚。</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并缴纳服务费。否则，视为我方中标后自动放弃中标资格，承担由此引起的一切后果。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之日起</w:t>
      </w:r>
      <w:r>
        <w:rPr>
          <w:rFonts w:hint="eastAsia" w:ascii="宋体" w:hAnsi="宋体" w:cs="宋体"/>
          <w:color w:val="auto"/>
          <w:kern w:val="0"/>
          <w:szCs w:val="21"/>
          <w:highlight w:val="none"/>
          <w:u w:val="single"/>
          <w:lang w:val="en-US" w:eastAsia="zh-CN"/>
        </w:rPr>
        <w:t xml:space="preserve"> 30  </w:t>
      </w:r>
      <w:r>
        <w:rPr>
          <w:rFonts w:hint="eastAsia" w:ascii="宋体" w:hAnsi="宋体" w:cs="宋体"/>
          <w:color w:val="auto"/>
          <w:kern w:val="0"/>
          <w:szCs w:val="21"/>
          <w:highlight w:val="none"/>
        </w:rPr>
        <w:t>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14、我方最近3年内的被公开披露或查处的违法违规行为有：</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p>
    <w:p>
      <w:pPr>
        <w:widowControl/>
        <w:tabs>
          <w:tab w:val="left" w:pos="939"/>
        </w:tabs>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pPr>
        <w:widowControl/>
        <w:wordWrap w:val="0"/>
        <w:spacing w:line="460" w:lineRule="exact"/>
        <w:ind w:firstLine="420" w:firstLineChars="200"/>
        <w:jc w:val="left"/>
        <w:rPr>
          <w:rFonts w:ascii="宋体" w:hAnsi="宋体" w:cs="宋体"/>
          <w:color w:val="auto"/>
          <w:kern w:val="0"/>
          <w:szCs w:val="21"/>
          <w:highlight w:val="none"/>
        </w:rPr>
      </w:pPr>
    </w:p>
    <w:p>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w:t>
      </w:r>
      <w:r>
        <w:rPr>
          <w:rFonts w:hint="eastAsia" w:ascii="宋体" w:hAnsi="宋体" w:cs="宋体"/>
          <w:color w:val="auto"/>
          <w:kern w:val="0"/>
          <w:szCs w:val="21"/>
          <w:highlight w:val="none"/>
          <w:lang w:val="en-US" w:eastAsia="zh-CN"/>
        </w:rPr>
        <w:t>或盖章</w:t>
      </w:r>
      <w:r>
        <w:rPr>
          <w:rFonts w:hint="eastAsia" w:ascii="宋体" w:hAnsi="宋体" w:cs="宋体"/>
          <w:color w:val="auto"/>
          <w:kern w:val="0"/>
          <w:szCs w:val="21"/>
          <w:highlight w:val="none"/>
        </w:rPr>
        <w:t xml:space="preserve">： </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：（全称并加盖公章）</w:t>
      </w:r>
    </w:p>
    <w:p>
      <w:pPr>
        <w:widowControl/>
        <w:wordWrap w:val="0"/>
        <w:spacing w:line="460" w:lineRule="exact"/>
        <w:ind w:firstLine="420" w:firstLineChars="200"/>
        <w:jc w:val="left"/>
        <w:rPr>
          <w:rFonts w:ascii="宋体" w:hAnsi="宋体" w:cs="宋体"/>
          <w:color w:val="auto"/>
          <w:kern w:val="0"/>
          <w:szCs w:val="21"/>
          <w:highlight w:val="none"/>
        </w:rPr>
      </w:pPr>
    </w:p>
    <w:p>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pPr>
        <w:widowControl/>
        <w:wordWrap w:val="0"/>
        <w:snapToGrid w:val="0"/>
        <w:spacing w:before="50" w:after="50" w:line="480" w:lineRule="auto"/>
        <w:jc w:val="left"/>
        <w:rPr>
          <w:rFonts w:ascii="宋体" w:hAnsi="宋体" w:cs="宋体"/>
          <w:b/>
          <w:color w:val="auto"/>
          <w:kern w:val="0"/>
          <w:sz w:val="24"/>
          <w:highlight w:val="none"/>
        </w:rPr>
      </w:pPr>
    </w:p>
    <w:p>
      <w:pPr>
        <w:widowControl/>
        <w:wordWrap w:val="0"/>
        <w:snapToGrid w:val="0"/>
        <w:spacing w:before="50" w:after="50" w:line="480" w:lineRule="auto"/>
        <w:jc w:val="left"/>
        <w:rPr>
          <w:rFonts w:ascii="宋体" w:hAnsi="宋体" w:cs="宋体"/>
          <w:b/>
          <w:color w:val="auto"/>
          <w:kern w:val="0"/>
          <w:sz w:val="24"/>
          <w:highlight w:val="none"/>
        </w:rPr>
      </w:pPr>
    </w:p>
    <w:p>
      <w:pPr>
        <w:spacing w:line="500" w:lineRule="exact"/>
        <w:jc w:val="center"/>
        <w:rPr>
          <w:rFonts w:ascii="宋体" w:hAnsi="宋体"/>
          <w:b/>
          <w:bCs/>
          <w:color w:val="auto"/>
          <w:sz w:val="24"/>
          <w:highlight w:val="none"/>
        </w:rPr>
      </w:pPr>
    </w:p>
    <w:p>
      <w:pPr>
        <w:rPr>
          <w:color w:val="auto"/>
          <w:sz w:val="28"/>
          <w:szCs w:val="28"/>
          <w:highlight w:val="none"/>
        </w:rPr>
      </w:pPr>
      <w:r>
        <w:rPr>
          <w:rFonts w:hint="eastAsia"/>
          <w:color w:val="auto"/>
          <w:sz w:val="28"/>
          <w:szCs w:val="28"/>
          <w:highlight w:val="none"/>
        </w:rPr>
        <w:br w:type="page"/>
      </w:r>
    </w:p>
    <w:p>
      <w:pPr>
        <w:rPr>
          <w:color w:val="auto"/>
          <w:highlight w:val="none"/>
        </w:rPr>
      </w:pPr>
    </w:p>
    <w:p>
      <w:pPr>
        <w:pStyle w:val="6"/>
        <w:spacing w:before="20" w:after="20"/>
        <w:rPr>
          <w:rFonts w:hint="eastAsia" w:eastAsia="黑体"/>
          <w:color w:val="auto"/>
          <w:highlight w:val="none"/>
          <w:lang w:eastAsia="zh-CN"/>
        </w:rPr>
      </w:pPr>
      <w:bookmarkStart w:id="65" w:name="_Toc7838"/>
      <w:r>
        <w:rPr>
          <w:rFonts w:hint="eastAsia"/>
          <w:color w:val="auto"/>
          <w:highlight w:val="none"/>
        </w:rPr>
        <w:t>附件3               开标一览表</w:t>
      </w:r>
      <w:bookmarkEnd w:id="65"/>
      <w:r>
        <w:rPr>
          <w:rFonts w:hint="eastAsia"/>
          <w:color w:val="auto"/>
          <w:highlight w:val="none"/>
          <w:lang w:eastAsia="zh-CN"/>
        </w:rPr>
        <w:t>（</w:t>
      </w:r>
      <w:r>
        <w:rPr>
          <w:rFonts w:hint="eastAsia"/>
          <w:color w:val="auto"/>
          <w:highlight w:val="none"/>
          <w:lang w:val="en-US" w:eastAsia="zh-CN"/>
        </w:rPr>
        <w:t>格式</w:t>
      </w:r>
      <w:r>
        <w:rPr>
          <w:rFonts w:hint="eastAsia"/>
          <w:color w:val="auto"/>
          <w:highlight w:val="none"/>
          <w:lang w:eastAsia="zh-CN"/>
        </w:rPr>
        <w:t>）</w:t>
      </w:r>
    </w:p>
    <w:p>
      <w:pPr>
        <w:spacing w:line="239" w:lineRule="auto"/>
        <w:jc w:val="right"/>
        <w:rPr>
          <w:rFonts w:hint="default" w:ascii="宋体" w:hAnsi="宋体"/>
          <w:color w:val="auto"/>
          <w:sz w:val="24"/>
          <w:highlight w:val="none"/>
          <w:lang w:val="en-US"/>
        </w:rPr>
      </w:pPr>
      <w:r>
        <w:rPr>
          <w:rFonts w:ascii="宋体" w:hAnsi="宋体"/>
          <w:color w:val="auto"/>
          <w:sz w:val="24"/>
          <w:highlight w:val="none"/>
        </w:rPr>
        <w:t>单位：人民币</w:t>
      </w:r>
      <w:r>
        <w:rPr>
          <w:rFonts w:hint="eastAsia"/>
          <w:color w:val="auto"/>
          <w:sz w:val="24"/>
          <w:highlight w:val="none"/>
          <w:lang w:val="en-US" w:eastAsia="zh-CN"/>
        </w:rPr>
        <w:t>元</w:t>
      </w:r>
    </w:p>
    <w:p>
      <w:pPr>
        <w:rPr>
          <w:color w:val="auto"/>
          <w:highlight w:val="none"/>
        </w:rPr>
      </w:pPr>
    </w:p>
    <w:tbl>
      <w:tblPr>
        <w:tblStyle w:val="3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noWrap/>
            <w:vAlign w:val="center"/>
          </w:tcPr>
          <w:p>
            <w:pP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名称</w:t>
            </w:r>
          </w:p>
        </w:tc>
        <w:tc>
          <w:tcPr>
            <w:tcW w:w="7708" w:type="dxa"/>
            <w:noWrap/>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pPr>
              <w:jc w:val="center"/>
              <w:rPr>
                <w:rFonts w:hint="eastAsia" w:ascii="宋体" w:hAnsi="宋体"/>
                <w:color w:val="auto"/>
                <w:szCs w:val="21"/>
                <w:highlight w:val="none"/>
              </w:rPr>
            </w:pPr>
            <w:r>
              <w:rPr>
                <w:rFonts w:hint="eastAsia" w:ascii="宋体" w:hAnsi="宋体"/>
                <w:color w:val="auto"/>
                <w:szCs w:val="21"/>
                <w:highlight w:val="none"/>
              </w:rPr>
              <w:t>投标报价</w:t>
            </w:r>
          </w:p>
          <w:p>
            <w:pPr>
              <w:jc w:val="center"/>
              <w:rPr>
                <w:rFonts w:hint="eastAsia" w:ascii="宋体" w:hAnsi="宋体" w:eastAsia="宋体"/>
                <w:color w:val="auto"/>
                <w:spacing w:val="-20"/>
                <w:szCs w:val="21"/>
                <w:highlight w:val="none"/>
                <w:lang w:eastAsia="zh-CN"/>
              </w:rPr>
            </w:pPr>
            <w:r>
              <w:rPr>
                <w:rFonts w:hint="eastAsia" w:ascii="宋体" w:hAnsi="宋体"/>
                <w:color w:val="auto"/>
                <w:spacing w:val="-20"/>
                <w:szCs w:val="21"/>
                <w:highlight w:val="none"/>
                <w:lang w:eastAsia="zh-CN"/>
              </w:rPr>
              <w:t>（</w:t>
            </w:r>
            <w:r>
              <w:rPr>
                <w:rFonts w:hint="eastAsia" w:ascii="宋体" w:hAnsi="宋体"/>
                <w:color w:val="auto"/>
                <w:spacing w:val="-20"/>
                <w:szCs w:val="21"/>
                <w:highlight w:val="none"/>
                <w:lang w:val="en-US" w:eastAsia="zh-CN"/>
              </w:rPr>
              <w:t>合计单价</w:t>
            </w:r>
            <w:r>
              <w:rPr>
                <w:rFonts w:hint="eastAsia" w:ascii="宋体" w:hAnsi="宋体"/>
                <w:color w:val="auto"/>
                <w:spacing w:val="-20"/>
                <w:szCs w:val="21"/>
                <w:highlight w:val="none"/>
                <w:lang w:eastAsia="zh-CN"/>
              </w:rPr>
              <w:t>）</w:t>
            </w:r>
          </w:p>
        </w:tc>
        <w:tc>
          <w:tcPr>
            <w:tcW w:w="7708" w:type="dxa"/>
            <w:noWrap/>
            <w:vAlign w:val="center"/>
          </w:tcPr>
          <w:p>
            <w:pPr>
              <w:rPr>
                <w:rFonts w:hint="default"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 xml:space="preserve">大写：        </w:t>
            </w:r>
          </w:p>
          <w:p>
            <w:pPr>
              <w:rPr>
                <w:rFonts w:hint="default" w:ascii="宋体" w:hAnsi="宋体"/>
                <w:color w:val="auto"/>
                <w:szCs w:val="21"/>
                <w:highlight w:val="none"/>
                <w:lang w:val="en-US" w:eastAsia="zh-CN"/>
              </w:rPr>
            </w:pPr>
            <w:r>
              <w:rPr>
                <w:rFonts w:hint="eastAsia" w:ascii="宋体" w:hAnsi="宋体"/>
                <w:color w:val="000000" w:themeColor="text1"/>
                <w:szCs w:val="21"/>
                <w:highlight w:val="none"/>
                <w:lang w:val="en-US" w:eastAsia="zh-CN"/>
                <w14:textFill>
                  <w14:solidFill>
                    <w14:schemeClr w14:val="tx1"/>
                  </w14:solidFill>
                </w14:textFill>
              </w:rPr>
              <w:t xml:space="preserve">小写：       </w:t>
            </w:r>
            <w:r>
              <w:rPr>
                <w:rFonts w:hint="eastAsia" w:ascii="宋体" w:hAnsi="宋体"/>
                <w:color w:val="000000" w:themeColor="text1"/>
                <w:sz w:val="21"/>
                <w:szCs w:val="21"/>
                <w:highlight w:val="none"/>
                <w:lang w:val="en-US" w:eastAsia="zh-CN"/>
                <w14:textFill>
                  <w14:solidFill>
                    <w14:schemeClr w14:val="tx1"/>
                  </w14:solidFill>
                </w14:textFill>
              </w:rPr>
              <w:t xml:space="preserve"> </w:t>
            </w:r>
            <w:r>
              <w:rPr>
                <w:rFonts w:hint="eastAsia"/>
                <w:color w:val="000000" w:themeColor="text1"/>
                <w:sz w:val="21"/>
                <w:szCs w:val="21"/>
                <w:highlight w:val="none"/>
                <w:lang w:val="en-US" w:eastAsia="zh-CN"/>
                <w14:textFill>
                  <w14:solidFill>
                    <w14:schemeClr w14:val="tx1"/>
                  </w14:solidFill>
                </w14:textFill>
              </w:rPr>
              <w:t>元</w:t>
            </w:r>
            <w:r>
              <w:rPr>
                <w:rFonts w:hint="eastAsia" w:ascii="宋体" w:hAnsi="宋体"/>
                <w:color w:val="000000" w:themeColor="text1"/>
                <w:szCs w:val="21"/>
                <w:highlight w:val="none"/>
                <w:lang w:val="en-US" w:eastAsia="zh-CN"/>
                <w14:textFill>
                  <w14:solidFill>
                    <w14:schemeClr w14:val="tx1"/>
                  </w14:solidFill>
                </w14:textFill>
              </w:rPr>
              <w:t>（详见报价明细表）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olor w:val="auto"/>
                <w:szCs w:val="21"/>
                <w:highlight w:val="none"/>
                <w:lang w:val="en-US" w:eastAsia="zh-CN"/>
              </w:rPr>
              <w:t>交货</w:t>
            </w:r>
            <w:r>
              <w:rPr>
                <w:rFonts w:hint="eastAsia" w:ascii="宋体" w:hAnsi="宋体"/>
                <w:color w:val="auto"/>
                <w:szCs w:val="21"/>
                <w:highlight w:val="none"/>
              </w:rPr>
              <w:t>地点</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服务期限</w:t>
            </w:r>
          </w:p>
        </w:tc>
        <w:tc>
          <w:tcPr>
            <w:tcW w:w="7708" w:type="dxa"/>
            <w:noWrap/>
            <w:vAlign w:val="bottom"/>
          </w:tcPr>
          <w:p>
            <w:pPr>
              <w:spacing w:line="360" w:lineRule="auto"/>
              <w:ind w:firstLine="1155" w:firstLineChars="550"/>
              <w:rPr>
                <w:rFonts w:ascii="宋体" w:hAnsi="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质量</w:t>
            </w:r>
          </w:p>
        </w:tc>
        <w:tc>
          <w:tcPr>
            <w:tcW w:w="7708" w:type="dxa"/>
            <w:noWrap/>
            <w:vAlign w:val="bottom"/>
          </w:tcPr>
          <w:p>
            <w:pPr>
              <w:spacing w:line="360" w:lineRule="auto"/>
              <w:ind w:firstLine="1155" w:firstLineChars="550"/>
              <w:rPr>
                <w:rFonts w:ascii="宋体" w:hAnsi="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noWrap/>
            <w:vAlign w:val="center"/>
          </w:tcPr>
          <w:p>
            <w:pPr>
              <w:pStyle w:val="21"/>
              <w:ind w:left="0" w:leftChars="0"/>
              <w:rPr>
                <w:color w:val="auto"/>
                <w:sz w:val="21"/>
                <w:szCs w:val="21"/>
                <w:highlight w:val="none"/>
              </w:rPr>
            </w:pPr>
          </w:p>
        </w:tc>
      </w:tr>
    </w:tbl>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代表签字或盖章，否则其投标作无效标处理。</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2、以上报价应与“报价明细表”中的报价相一致。</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pPr>
        <w:spacing w:line="360" w:lineRule="auto"/>
        <w:ind w:firstLine="420" w:firstLineChars="200"/>
        <w:rPr>
          <w:color w:val="auto"/>
          <w:highlight w:val="none"/>
        </w:rPr>
      </w:pPr>
      <w:r>
        <w:rPr>
          <w:rFonts w:hint="eastAsia" w:ascii="宋体" w:hAnsi="宋体" w:cs="宋体"/>
          <w:color w:val="auto"/>
          <w:kern w:val="0"/>
          <w:szCs w:val="21"/>
          <w:highlight w:val="none"/>
        </w:rPr>
        <w:t>4、</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按格式填列，不得自行更改。否则引起的不利后果由</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承担。</w:t>
      </w:r>
    </w:p>
    <w:p>
      <w:pPr>
        <w:spacing w:line="360" w:lineRule="auto"/>
        <w:ind w:firstLine="420" w:firstLineChars="200"/>
        <w:jc w:val="center"/>
        <w:rPr>
          <w:rFonts w:ascii="宋体" w:hAnsi="宋体"/>
          <w:color w:val="auto"/>
          <w:szCs w:val="21"/>
          <w:highlight w:val="none"/>
        </w:rPr>
      </w:pPr>
      <w:bookmarkStart w:id="66" w:name="_Toc20877"/>
      <w:bookmarkStart w:id="67" w:name="_Toc11620"/>
      <w:r>
        <w:rPr>
          <w:rFonts w:hint="eastAsia" w:ascii="宋体" w:hAnsi="宋体"/>
          <w:color w:val="auto"/>
          <w:szCs w:val="21"/>
          <w:highlight w:val="none"/>
          <w:lang w:eastAsia="zh-CN"/>
        </w:rPr>
        <w:t>供应商</w:t>
      </w:r>
      <w:r>
        <w:rPr>
          <w:rFonts w:hint="eastAsia" w:ascii="宋体" w:hAnsi="宋体"/>
          <w:color w:val="auto"/>
          <w:szCs w:val="21"/>
          <w:highlight w:val="none"/>
        </w:rPr>
        <w:t>（全称并加盖公章）：</w:t>
      </w:r>
      <w:bookmarkEnd w:id="66"/>
      <w:bookmarkEnd w:id="67"/>
    </w:p>
    <w:p>
      <w:pPr>
        <w:spacing w:line="360" w:lineRule="auto"/>
        <w:ind w:firstLine="420" w:firstLineChars="200"/>
        <w:jc w:val="center"/>
        <w:rPr>
          <w:rFonts w:ascii="宋体" w:hAnsi="宋体"/>
          <w:color w:val="auto"/>
          <w:szCs w:val="21"/>
          <w:highlight w:val="none"/>
          <w:u w:val="single"/>
        </w:rPr>
      </w:pPr>
      <w:bookmarkStart w:id="68" w:name="_Toc625"/>
      <w:bookmarkStart w:id="69" w:name="_Toc12222"/>
      <w:r>
        <w:rPr>
          <w:rFonts w:hint="eastAsia" w:ascii="宋体" w:hAnsi="宋体"/>
          <w:color w:val="auto"/>
          <w:szCs w:val="21"/>
          <w:highlight w:val="none"/>
        </w:rPr>
        <w:t>法定代表人或其委托代理人（签字</w:t>
      </w:r>
      <w:r>
        <w:rPr>
          <w:rFonts w:hint="eastAsia" w:ascii="宋体" w:hAnsi="宋体" w:cs="宋体"/>
          <w:color w:val="auto"/>
          <w:kern w:val="0"/>
          <w:szCs w:val="21"/>
          <w:highlight w:val="none"/>
          <w:lang w:val="en-US" w:eastAsia="zh-CN"/>
        </w:rPr>
        <w:t>或盖章</w:t>
      </w:r>
      <w:r>
        <w:rPr>
          <w:rFonts w:hint="eastAsia" w:ascii="宋体" w:hAnsi="宋体"/>
          <w:color w:val="auto"/>
          <w:szCs w:val="21"/>
          <w:highlight w:val="none"/>
        </w:rPr>
        <w:t>）：</w:t>
      </w:r>
      <w:bookmarkEnd w:id="68"/>
      <w:bookmarkEnd w:id="69"/>
    </w:p>
    <w:p>
      <w:pPr>
        <w:jc w:val="center"/>
        <w:rPr>
          <w:rFonts w:ascii="宋体" w:hAnsi="宋体"/>
          <w:color w:val="auto"/>
          <w:szCs w:val="21"/>
          <w:highlight w:val="none"/>
        </w:rPr>
      </w:pPr>
    </w:p>
    <w:p>
      <w:pPr>
        <w:spacing w:line="360" w:lineRule="auto"/>
        <w:ind w:firstLine="420" w:firstLineChars="200"/>
        <w:jc w:val="center"/>
        <w:rPr>
          <w:color w:val="auto"/>
          <w:highlight w:val="none"/>
        </w:rPr>
      </w:pPr>
      <w:bookmarkStart w:id="70" w:name="_Toc1330"/>
      <w:bookmarkStart w:id="71" w:name="_Toc9950"/>
      <w:r>
        <w:rPr>
          <w:rFonts w:hint="eastAsia" w:ascii="宋体" w:hAnsi="宋体"/>
          <w:color w:val="auto"/>
          <w:szCs w:val="21"/>
          <w:highlight w:val="none"/>
        </w:rPr>
        <w:t>年  月  日</w:t>
      </w:r>
      <w:bookmarkEnd w:id="70"/>
      <w:bookmarkEnd w:id="71"/>
    </w:p>
    <w:p>
      <w:pPr>
        <w:rPr>
          <w:color w:val="auto"/>
          <w:highlight w:val="none"/>
        </w:rPr>
      </w:pPr>
    </w:p>
    <w:bookmarkEnd w:id="46"/>
    <w:bookmarkEnd w:id="47"/>
    <w:p>
      <w:pPr>
        <w:spacing w:before="20" w:after="20"/>
        <w:outlineLvl w:val="9"/>
        <w:rPr>
          <w:rFonts w:hint="eastAsia" w:eastAsia="黑体"/>
          <w:color w:val="auto"/>
          <w:highlight w:val="none"/>
          <w:lang w:eastAsia="zh-CN"/>
        </w:rPr>
      </w:pPr>
      <w:bookmarkStart w:id="72" w:name="_Toc22004"/>
      <w:bookmarkStart w:id="73" w:name="_Toc24984"/>
    </w:p>
    <w:p>
      <w:pPr>
        <w:outlineLvl w:val="9"/>
        <w:rPr>
          <w:rFonts w:hint="eastAsia"/>
          <w:color w:val="auto"/>
          <w:highlight w:val="none"/>
          <w:lang w:eastAsia="zh-CN"/>
        </w:rPr>
      </w:pPr>
    </w:p>
    <w:p>
      <w:pPr>
        <w:rPr>
          <w:rFonts w:hint="eastAsia"/>
          <w:color w:val="auto"/>
          <w:highlight w:val="none"/>
        </w:rPr>
      </w:pPr>
      <w:r>
        <w:rPr>
          <w:rFonts w:hint="eastAsia"/>
          <w:color w:val="auto"/>
          <w:highlight w:val="none"/>
        </w:rPr>
        <w:br w:type="page"/>
      </w:r>
    </w:p>
    <w:p>
      <w:pPr>
        <w:pStyle w:val="6"/>
        <w:spacing w:before="20" w:after="20"/>
        <w:rPr>
          <w:rFonts w:hint="eastAsia" w:eastAsia="黑体"/>
          <w:color w:val="auto"/>
          <w:highlight w:val="none"/>
          <w:lang w:eastAsia="zh-CN"/>
        </w:rPr>
      </w:pPr>
      <w:r>
        <w:rPr>
          <w:rFonts w:hint="eastAsia"/>
          <w:color w:val="auto"/>
          <w:highlight w:val="none"/>
        </w:rPr>
        <w:t xml:space="preserve">附件4               </w:t>
      </w:r>
      <w:bookmarkEnd w:id="72"/>
      <w:bookmarkEnd w:id="73"/>
      <w:r>
        <w:rPr>
          <w:rFonts w:hint="eastAsia"/>
          <w:color w:val="auto"/>
          <w:highlight w:val="none"/>
        </w:rPr>
        <w:t>报价明细表</w:t>
      </w:r>
      <w:r>
        <w:rPr>
          <w:rFonts w:hint="eastAsia"/>
          <w:color w:val="auto"/>
          <w:highlight w:val="none"/>
          <w:lang w:eastAsia="zh-CN"/>
        </w:rPr>
        <w:t>（</w:t>
      </w:r>
      <w:r>
        <w:rPr>
          <w:rFonts w:hint="eastAsia"/>
          <w:color w:val="auto"/>
          <w:highlight w:val="none"/>
          <w:lang w:val="en-US" w:eastAsia="zh-CN"/>
        </w:rPr>
        <w:t>格式</w:t>
      </w:r>
      <w:r>
        <w:rPr>
          <w:rFonts w:hint="eastAsia"/>
          <w:color w:val="auto"/>
          <w:highlight w:val="none"/>
          <w:lang w:eastAsia="zh-CN"/>
        </w:rPr>
        <w:t>）</w:t>
      </w:r>
    </w:p>
    <w:p>
      <w:pPr>
        <w:keepNext w:val="0"/>
        <w:keepLines w:val="0"/>
        <w:pageBreakBefore w:val="0"/>
        <w:widowControl/>
        <w:kinsoku/>
        <w:wordWrap w:val="0"/>
        <w:overflowPunct/>
        <w:topLinePunct w:val="0"/>
        <w:autoSpaceDE/>
        <w:autoSpaceDN/>
        <w:bidi w:val="0"/>
        <w:adjustRightInd/>
        <w:snapToGrid w:val="0"/>
        <w:spacing w:before="50" w:after="50" w:line="400" w:lineRule="exact"/>
        <w:ind w:left="88" w:leftChars="42" w:right="-817" w:rightChars="-389" w:firstLine="4161" w:firstLineChars="1734"/>
        <w:jc w:val="center"/>
        <w:textAlignment w:val="auto"/>
        <w:rPr>
          <w:rFonts w:ascii="宋体" w:hAnsi="宋体" w:cs="宋体"/>
          <w:color w:val="auto"/>
          <w:kern w:val="0"/>
          <w:sz w:val="24"/>
          <w:highlight w:val="none"/>
        </w:rPr>
      </w:pPr>
      <w:r>
        <w:rPr>
          <w:rFonts w:hint="eastAsia" w:ascii="宋体" w:hAnsi="宋体" w:cs="宋体"/>
          <w:color w:val="auto"/>
          <w:kern w:val="0"/>
          <w:sz w:val="24"/>
          <w:highlight w:val="none"/>
        </w:rPr>
        <w:t>金额单位：人民币（元）</w:t>
      </w:r>
    </w:p>
    <w:tbl>
      <w:tblPr>
        <w:tblStyle w:val="33"/>
        <w:tblpPr w:leftFromText="180" w:rightFromText="180" w:vertAnchor="text" w:horzAnchor="page" w:tblpX="1095" w:tblpY="449"/>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1686"/>
        <w:gridCol w:w="1394"/>
        <w:gridCol w:w="1464"/>
        <w:gridCol w:w="1377"/>
        <w:gridCol w:w="796"/>
        <w:gridCol w:w="1145"/>
        <w:gridCol w:w="137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643" w:type="dxa"/>
            <w:tcBorders>
              <w:top w:val="single" w:color="auto" w:sz="4" w:space="0"/>
              <w:left w:val="single" w:color="auto" w:sz="4" w:space="0"/>
              <w:bottom w:val="nil"/>
              <w:right w:val="single" w:color="auto" w:sz="4" w:space="0"/>
            </w:tcBorders>
            <w:vAlign w:val="center"/>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1686" w:type="dxa"/>
            <w:tcBorders>
              <w:top w:val="single" w:color="auto" w:sz="4" w:space="0"/>
              <w:left w:val="single" w:color="auto" w:sz="4" w:space="0"/>
              <w:bottom w:val="nil"/>
              <w:right w:val="single" w:color="auto" w:sz="4" w:space="0"/>
            </w:tcBorders>
            <w:vAlign w:val="center"/>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lang w:val="en-US" w:eastAsia="zh-CN" w:bidi="ar-SA"/>
              </w:rPr>
              <w:t>名称</w:t>
            </w:r>
          </w:p>
        </w:tc>
        <w:tc>
          <w:tcPr>
            <w:tcW w:w="1394" w:type="dxa"/>
            <w:tcBorders>
              <w:top w:val="single" w:color="auto" w:sz="4" w:space="0"/>
              <w:left w:val="single" w:color="auto" w:sz="4" w:space="0"/>
              <w:bottom w:val="nil"/>
              <w:right w:val="single" w:color="auto" w:sz="4" w:space="0"/>
            </w:tcBorders>
            <w:vAlign w:val="center"/>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品牌</w:t>
            </w:r>
          </w:p>
        </w:tc>
        <w:tc>
          <w:tcPr>
            <w:tcW w:w="1464" w:type="dxa"/>
            <w:tcBorders>
              <w:top w:val="single" w:color="auto" w:sz="4" w:space="0"/>
              <w:left w:val="single" w:color="auto" w:sz="4" w:space="0"/>
              <w:bottom w:val="nil"/>
              <w:right w:val="single" w:color="auto" w:sz="4" w:space="0"/>
            </w:tcBorders>
            <w:vAlign w:val="center"/>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规格型号</w:t>
            </w:r>
          </w:p>
        </w:tc>
        <w:tc>
          <w:tcPr>
            <w:tcW w:w="1377" w:type="dxa"/>
            <w:tcBorders>
              <w:top w:val="single" w:color="auto" w:sz="4" w:space="0"/>
              <w:left w:val="single" w:color="auto" w:sz="4" w:space="0"/>
              <w:bottom w:val="nil"/>
              <w:right w:val="single" w:color="auto" w:sz="4" w:space="0"/>
            </w:tcBorders>
            <w:vAlign w:val="center"/>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产地</w:t>
            </w:r>
          </w:p>
        </w:tc>
        <w:tc>
          <w:tcPr>
            <w:tcW w:w="796" w:type="dxa"/>
            <w:tcBorders>
              <w:top w:val="single" w:color="auto" w:sz="4" w:space="0"/>
              <w:left w:val="single" w:color="auto" w:sz="4" w:space="0"/>
              <w:bottom w:val="nil"/>
              <w:right w:val="single" w:color="auto" w:sz="4" w:space="0"/>
            </w:tcBorders>
            <w:vAlign w:val="center"/>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单位</w:t>
            </w:r>
          </w:p>
        </w:tc>
        <w:tc>
          <w:tcPr>
            <w:tcW w:w="1145" w:type="dxa"/>
            <w:tcBorders>
              <w:top w:val="single" w:color="auto" w:sz="4" w:space="0"/>
              <w:left w:val="single" w:color="auto" w:sz="4" w:space="0"/>
              <w:bottom w:val="nil"/>
              <w:right w:val="single" w:color="auto" w:sz="4" w:space="0"/>
            </w:tcBorders>
            <w:vAlign w:val="center"/>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lang w:val="en-US" w:eastAsia="zh-CN"/>
              </w:rPr>
              <w:t>控制价</w:t>
            </w:r>
            <w:r>
              <w:rPr>
                <w:rFonts w:hint="eastAsia" w:ascii="宋体" w:hAnsi="宋体" w:cs="宋体"/>
                <w:color w:val="auto"/>
                <w:spacing w:val="20"/>
                <w:kern w:val="0"/>
                <w:sz w:val="24"/>
                <w:highlight w:val="none"/>
                <w:lang w:val="en-US" w:eastAsia="zh-CN"/>
              </w:rPr>
              <w:t>（元）</w:t>
            </w:r>
          </w:p>
        </w:tc>
        <w:tc>
          <w:tcPr>
            <w:tcW w:w="13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highlight w:val="none"/>
                <w:lang w:val="en-US" w:eastAsia="zh-CN"/>
              </w:rPr>
              <w:t>报价（元）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1</w:t>
            </w:r>
          </w:p>
        </w:tc>
        <w:tc>
          <w:tcPr>
            <w:tcW w:w="168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异物钳</w:t>
            </w:r>
          </w:p>
        </w:tc>
        <w:tc>
          <w:tcPr>
            <w:tcW w:w="139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2"/>
                <w:sz w:val="21"/>
                <w:szCs w:val="21"/>
                <w:vertAlign w:val="baseline"/>
                <w:lang w:val="en-US" w:eastAsia="zh-CN" w:bidi="ar-SA"/>
              </w:rPr>
            </w:pPr>
          </w:p>
        </w:tc>
        <w:tc>
          <w:tcPr>
            <w:tcW w:w="146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2"/>
                <w:sz w:val="21"/>
                <w:szCs w:val="21"/>
                <w:vertAlign w:val="baseline"/>
                <w:lang w:val="en-US" w:eastAsia="zh-CN" w:bidi="ar-SA"/>
              </w:rPr>
            </w:pPr>
          </w:p>
        </w:tc>
        <w:tc>
          <w:tcPr>
            <w:tcW w:w="137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7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个</w:t>
            </w:r>
          </w:p>
        </w:tc>
        <w:tc>
          <w:tcPr>
            <w:tcW w:w="11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2200</w:t>
            </w:r>
          </w:p>
        </w:tc>
        <w:tc>
          <w:tcPr>
            <w:tcW w:w="137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2</w:t>
            </w:r>
          </w:p>
        </w:tc>
        <w:tc>
          <w:tcPr>
            <w:tcW w:w="168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取石网篮</w:t>
            </w:r>
          </w:p>
        </w:tc>
        <w:tc>
          <w:tcPr>
            <w:tcW w:w="139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2"/>
                <w:sz w:val="21"/>
                <w:szCs w:val="21"/>
                <w:vertAlign w:val="baseline"/>
                <w:lang w:val="en-US" w:eastAsia="zh-CN" w:bidi="ar-SA"/>
              </w:rPr>
            </w:pPr>
          </w:p>
        </w:tc>
        <w:tc>
          <w:tcPr>
            <w:tcW w:w="146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2"/>
                <w:sz w:val="21"/>
                <w:szCs w:val="21"/>
                <w:vertAlign w:val="baseline"/>
                <w:lang w:val="en-US" w:eastAsia="zh-CN" w:bidi="ar-SA"/>
              </w:rPr>
            </w:pPr>
          </w:p>
        </w:tc>
        <w:tc>
          <w:tcPr>
            <w:tcW w:w="137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7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个</w:t>
            </w:r>
          </w:p>
        </w:tc>
        <w:tc>
          <w:tcPr>
            <w:tcW w:w="11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3100</w:t>
            </w:r>
          </w:p>
        </w:tc>
        <w:tc>
          <w:tcPr>
            <w:tcW w:w="137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3</w:t>
            </w:r>
          </w:p>
        </w:tc>
        <w:tc>
          <w:tcPr>
            <w:tcW w:w="168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胆道镜三通</w:t>
            </w:r>
          </w:p>
        </w:tc>
        <w:tc>
          <w:tcPr>
            <w:tcW w:w="139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2"/>
                <w:sz w:val="21"/>
                <w:szCs w:val="21"/>
                <w:vertAlign w:val="baseline"/>
                <w:lang w:val="en-US" w:eastAsia="zh-CN" w:bidi="ar-SA"/>
              </w:rPr>
            </w:pPr>
          </w:p>
        </w:tc>
        <w:tc>
          <w:tcPr>
            <w:tcW w:w="146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2"/>
                <w:sz w:val="21"/>
                <w:szCs w:val="21"/>
                <w:vertAlign w:val="baseline"/>
                <w:lang w:val="en-US" w:eastAsia="zh-CN" w:bidi="ar-SA"/>
              </w:rPr>
            </w:pPr>
          </w:p>
        </w:tc>
        <w:tc>
          <w:tcPr>
            <w:tcW w:w="137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7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个</w:t>
            </w:r>
          </w:p>
        </w:tc>
        <w:tc>
          <w:tcPr>
            <w:tcW w:w="11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3100</w:t>
            </w:r>
          </w:p>
        </w:tc>
        <w:tc>
          <w:tcPr>
            <w:tcW w:w="137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sz w:val="21"/>
                <w:szCs w:val="21"/>
                <w:vertAlign w:val="baseline"/>
                <w:lang w:val="en-US" w:eastAsia="zh-CN"/>
              </w:rPr>
            </w:pPr>
          </w:p>
        </w:tc>
        <w:tc>
          <w:tcPr>
            <w:tcW w:w="1686"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合计</w:t>
            </w:r>
          </w:p>
        </w:tc>
        <w:tc>
          <w:tcPr>
            <w:tcW w:w="1394"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sz w:val="21"/>
                <w:szCs w:val="21"/>
                <w:vertAlign w:val="baseline"/>
                <w:lang w:val="en-US" w:eastAsia="zh-CN"/>
              </w:rPr>
            </w:pPr>
          </w:p>
        </w:tc>
        <w:tc>
          <w:tcPr>
            <w:tcW w:w="1464"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sz w:val="21"/>
                <w:szCs w:val="21"/>
                <w:vertAlign w:val="baseline"/>
                <w:lang w:val="en-US" w:eastAsia="zh-CN"/>
              </w:rPr>
            </w:pPr>
          </w:p>
        </w:tc>
        <w:tc>
          <w:tcPr>
            <w:tcW w:w="1377"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sz w:val="21"/>
                <w:szCs w:val="21"/>
                <w:vertAlign w:val="baseline"/>
                <w:lang w:val="en-US" w:eastAsia="zh-CN"/>
              </w:rPr>
            </w:pPr>
          </w:p>
        </w:tc>
        <w:tc>
          <w:tcPr>
            <w:tcW w:w="796"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sz w:val="21"/>
                <w:szCs w:val="21"/>
                <w:vertAlign w:val="baseline"/>
                <w:lang w:val="en-US" w:eastAsia="zh-CN"/>
              </w:rPr>
            </w:pPr>
          </w:p>
        </w:tc>
        <w:tc>
          <w:tcPr>
            <w:tcW w:w="1145"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sz w:val="21"/>
                <w:szCs w:val="21"/>
                <w:vertAlign w:val="baseline"/>
                <w:lang w:val="en-US" w:eastAsia="zh-CN"/>
              </w:rPr>
            </w:pPr>
          </w:p>
        </w:tc>
        <w:tc>
          <w:tcPr>
            <w:tcW w:w="1375"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w:t>
            </w:r>
          </w:p>
        </w:tc>
        <w:tc>
          <w:tcPr>
            <w:tcW w:w="9237" w:type="dxa"/>
            <w:gridSpan w:val="7"/>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eastAsia="宋体" w:cs="宋体"/>
                <w:sz w:val="21"/>
                <w:szCs w:val="21"/>
                <w:vertAlign w:val="baseline"/>
                <w:lang w:val="en-US" w:eastAsia="zh-CN"/>
              </w:rPr>
            </w:pPr>
            <w:r>
              <w:rPr>
                <w:rFonts w:hint="eastAsia" w:ascii="宋体" w:hAnsi="宋体" w:cs="宋体"/>
                <w:color w:val="000000" w:themeColor="text1"/>
                <w:spacing w:val="20"/>
                <w:kern w:val="0"/>
                <w:sz w:val="21"/>
                <w:szCs w:val="21"/>
                <w:highlight w:val="none"/>
                <w14:textFill>
                  <w14:solidFill>
                    <w14:schemeClr w14:val="tx1"/>
                  </w14:solidFill>
                </w14:textFill>
              </w:rPr>
              <w:t>投标</w:t>
            </w:r>
            <w:r>
              <w:rPr>
                <w:rFonts w:hint="eastAsia" w:ascii="宋体" w:hAnsi="宋体" w:cs="宋体"/>
                <w:color w:val="000000" w:themeColor="text1"/>
                <w:spacing w:val="20"/>
                <w:kern w:val="0"/>
                <w:sz w:val="21"/>
                <w:szCs w:val="21"/>
                <w:highlight w:val="none"/>
                <w:lang w:val="en-US" w:eastAsia="zh-CN"/>
                <w14:textFill>
                  <w14:solidFill>
                    <w14:schemeClr w14:val="tx1"/>
                  </w14:solidFill>
                </w14:textFill>
              </w:rPr>
              <w:t>总</w:t>
            </w:r>
            <w:r>
              <w:rPr>
                <w:rFonts w:hint="eastAsia" w:ascii="宋体" w:hAnsi="宋体" w:cs="宋体"/>
                <w:color w:val="000000" w:themeColor="text1"/>
                <w:spacing w:val="20"/>
                <w:kern w:val="0"/>
                <w:sz w:val="21"/>
                <w:szCs w:val="21"/>
                <w:highlight w:val="none"/>
                <w14:textFill>
                  <w14:solidFill>
                    <w14:schemeClr w14:val="tx1"/>
                  </w14:solidFill>
                </w14:textFill>
              </w:rPr>
              <w:t>价(</w:t>
            </w:r>
            <w:r>
              <w:rPr>
                <w:rFonts w:hint="eastAsia" w:ascii="宋体" w:hAnsi="宋体" w:cs="宋体"/>
                <w:color w:val="000000" w:themeColor="text1"/>
                <w:kern w:val="0"/>
                <w:sz w:val="21"/>
                <w:szCs w:val="21"/>
                <w:highlight w:val="none"/>
                <w14:textFill>
                  <w14:solidFill>
                    <w14:schemeClr w14:val="tx1"/>
                  </w14:solidFill>
                </w14:textFill>
              </w:rPr>
              <w:t>大写)：</w:t>
            </w:r>
            <w:r>
              <w:rPr>
                <w:rFonts w:hint="eastAsia" w:ascii="宋体" w:hAnsi="宋体" w:cs="宋体"/>
                <w:color w:val="000000" w:themeColor="text1"/>
                <w:kern w:val="0"/>
                <w:sz w:val="21"/>
                <w:szCs w:val="21"/>
                <w:highlight w:val="none"/>
                <w:lang w:val="en-US" w:eastAsia="zh-CN"/>
                <w14:textFill>
                  <w14:solidFill>
                    <w14:schemeClr w14:val="tx1"/>
                  </w14:solidFill>
                </w14:textFill>
              </w:rPr>
              <w:t xml:space="preserve">                 </w:t>
            </w:r>
            <w:r>
              <w:rPr>
                <w:rFonts w:hint="eastAsia" w:ascii="宋体" w:hAnsi="宋体" w:cs="宋体"/>
                <w:color w:val="000000" w:themeColor="text1"/>
                <w:kern w:val="0"/>
                <w:sz w:val="21"/>
                <w:szCs w:val="21"/>
                <w:highlight w:val="none"/>
                <w14:textFill>
                  <w14:solidFill>
                    <w14:schemeClr w14:val="tx1"/>
                  </w14:solidFill>
                </w14:textFill>
              </w:rPr>
              <w:t>￥</w:t>
            </w:r>
            <w:r>
              <w:rPr>
                <w:rFonts w:hint="eastAsia" w:ascii="宋体" w:hAnsi="宋体" w:cs="宋体"/>
                <w:color w:val="000000" w:themeColor="text1"/>
                <w:kern w:val="0"/>
                <w:sz w:val="21"/>
                <w:szCs w:val="21"/>
                <w:highlight w:val="none"/>
                <w:lang w:eastAsia="zh-CN"/>
                <w14:textFill>
                  <w14:solidFill>
                    <w14:schemeClr w14:val="tx1"/>
                  </w14:solidFill>
                </w14:textFill>
              </w:rPr>
              <w:t>：</w:t>
            </w:r>
            <w:r>
              <w:rPr>
                <w:rFonts w:hint="eastAsia" w:ascii="宋体" w:hAnsi="宋体" w:cs="宋体"/>
                <w:color w:val="000000" w:themeColor="text1"/>
                <w:kern w:val="0"/>
                <w:sz w:val="2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1"/>
                <w:szCs w:val="21"/>
                <w:highlight w:val="none"/>
                <w:u w:val="none"/>
                <w:lang w:val="en-US" w:eastAsia="zh-CN"/>
                <w14:textFill>
                  <w14:solidFill>
                    <w14:schemeClr w14:val="tx1"/>
                  </w14:solidFill>
                </w14:textFill>
              </w:rPr>
              <w:t>（小写）</w:t>
            </w:r>
          </w:p>
        </w:tc>
      </w:tr>
    </w:tbl>
    <w:p>
      <w:pPr>
        <w:keepNext w:val="0"/>
        <w:keepLines w:val="0"/>
        <w:pageBreakBefore w:val="0"/>
        <w:widowControl/>
        <w:kinsoku/>
        <w:wordWrap w:val="0"/>
        <w:overflowPunct/>
        <w:topLinePunct w:val="0"/>
        <w:autoSpaceDE/>
        <w:autoSpaceDN/>
        <w:bidi w:val="0"/>
        <w:adjustRightInd/>
        <w:spacing w:line="400" w:lineRule="exact"/>
        <w:jc w:val="left"/>
        <w:textAlignment w:val="auto"/>
        <w:rPr>
          <w:rFonts w:ascii="宋体" w:hAnsi="宋体" w:cs="宋体"/>
          <w:color w:val="auto"/>
          <w:kern w:val="0"/>
          <w:sz w:val="24"/>
          <w:highlight w:val="none"/>
        </w:rPr>
      </w:pPr>
    </w:p>
    <w:p>
      <w:pPr>
        <w:widowControl/>
        <w:shd w:val="clear" w:color="auto" w:fill="FFFFFF"/>
        <w:spacing w:line="360" w:lineRule="auto"/>
        <w:ind w:left="1418" w:hanging="567"/>
        <w:jc w:val="both"/>
        <w:rPr>
          <w:rFonts w:hint="eastAsia" w:ascii="宋体" w:hAnsi="宋体" w:cs="宋体"/>
          <w:color w:val="auto"/>
          <w:kern w:val="0"/>
          <w:sz w:val="24"/>
          <w:highlight w:val="none"/>
        </w:rPr>
      </w:pPr>
    </w:p>
    <w:p>
      <w:pPr>
        <w:pStyle w:val="32"/>
        <w:rPr>
          <w:rFonts w:hint="eastAsia"/>
          <w:color w:val="auto"/>
          <w:highlight w:val="none"/>
        </w:rPr>
      </w:pPr>
    </w:p>
    <w:p>
      <w:pPr>
        <w:widowControl/>
        <w:shd w:val="clear" w:color="auto" w:fill="FFFFFF"/>
        <w:spacing w:line="360" w:lineRule="auto"/>
        <w:ind w:left="1418" w:hanging="567"/>
        <w:jc w:val="both"/>
        <w:rPr>
          <w:rFonts w:hint="eastAsia" w:ascii="宋体" w:hAnsi="宋体" w:cs="宋体"/>
          <w:color w:val="auto"/>
          <w:kern w:val="0"/>
          <w:sz w:val="24"/>
          <w:highlight w:val="none"/>
        </w:rPr>
      </w:pPr>
      <w:r>
        <w:rPr>
          <w:rFonts w:hint="eastAsia" w:ascii="宋体" w:hAnsi="宋体" w:cs="宋体"/>
          <w:color w:val="auto"/>
          <w:kern w:val="0"/>
          <w:sz w:val="24"/>
          <w:highlight w:val="none"/>
        </w:rPr>
        <w:t>供应商法定代表人</w:t>
      </w:r>
      <w:r>
        <w:rPr>
          <w:rFonts w:hint="eastAsia" w:ascii="宋体" w:hAnsi="宋体" w:cs="宋体"/>
          <w:color w:val="auto"/>
          <w:kern w:val="0"/>
          <w:sz w:val="24"/>
          <w:highlight w:val="none"/>
          <w:lang w:eastAsia="zh-CN"/>
        </w:rPr>
        <w:t>或</w:t>
      </w:r>
      <w:r>
        <w:rPr>
          <w:rFonts w:hint="eastAsia" w:ascii="宋体" w:hAnsi="宋体" w:cs="宋体"/>
          <w:color w:val="auto"/>
          <w:kern w:val="0"/>
          <w:sz w:val="24"/>
          <w:highlight w:val="none"/>
        </w:rPr>
        <w:t>其授权代表签字：</w:t>
      </w:r>
      <w:r>
        <w:rPr>
          <w:rFonts w:hint="eastAsia" w:ascii="宋体" w:hAnsi="宋体" w:cs="宋体"/>
          <w:color w:val="auto"/>
          <w:kern w:val="0"/>
          <w:sz w:val="24"/>
          <w:highlight w:val="none"/>
          <w:u w:val="single"/>
        </w:rPr>
        <w:t xml:space="preserve">              </w:t>
      </w:r>
    </w:p>
    <w:p>
      <w:pPr>
        <w:widowControl/>
        <w:shd w:val="clear" w:color="auto" w:fill="FFFFFF"/>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       供应商名称：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（全称并加盖公章）</w:t>
      </w:r>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2880" w:firstLineChars="1200"/>
        <w:jc w:val="left"/>
        <w:rPr>
          <w:color w:val="auto"/>
          <w:highlight w:val="none"/>
        </w:rPr>
      </w:pPr>
      <w:r>
        <w:rPr>
          <w:rFonts w:hint="eastAsia" w:ascii="宋体" w:hAnsi="宋体" w:cs="宋体"/>
          <w:color w:val="auto"/>
          <w:kern w:val="0"/>
          <w:sz w:val="24"/>
          <w:highlight w:val="none"/>
        </w:rPr>
        <w:t>年    月    日</w:t>
      </w:r>
    </w:p>
    <w:p>
      <w:pPr>
        <w:widowControl/>
        <w:wordWrap w:val="0"/>
        <w:spacing w:line="460" w:lineRule="exact"/>
        <w:ind w:firstLine="4800" w:firstLineChars="20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w:t>
      </w:r>
    </w:p>
    <w:p>
      <w:pPr>
        <w:pStyle w:val="15"/>
        <w:rPr>
          <w:rFonts w:hint="eastAsia" w:ascii="宋体" w:hAnsi="宋体" w:cs="宋体"/>
          <w:color w:val="auto"/>
          <w:kern w:val="0"/>
          <w:sz w:val="24"/>
          <w:highlight w:val="none"/>
        </w:rPr>
      </w:pPr>
    </w:p>
    <w:p>
      <w:pPr>
        <w:pStyle w:val="24"/>
        <w:rPr>
          <w:rFonts w:hint="eastAsia" w:ascii="宋体" w:hAnsi="宋体" w:cs="宋体"/>
          <w:color w:val="auto"/>
          <w:kern w:val="0"/>
          <w:sz w:val="24"/>
          <w:highlight w:val="none"/>
        </w:rPr>
      </w:pPr>
    </w:p>
    <w:p>
      <w:pPr>
        <w:pStyle w:val="24"/>
        <w:rPr>
          <w:rFonts w:hint="eastAsia" w:ascii="宋体" w:hAnsi="宋体" w:cs="宋体"/>
          <w:color w:val="auto"/>
          <w:kern w:val="0"/>
          <w:sz w:val="24"/>
          <w:highlight w:val="none"/>
        </w:rPr>
      </w:pPr>
    </w:p>
    <w:p>
      <w:pPr>
        <w:pStyle w:val="24"/>
        <w:rPr>
          <w:rFonts w:hint="eastAsia" w:ascii="宋体" w:hAnsi="宋体" w:cs="宋体"/>
          <w:color w:val="auto"/>
          <w:kern w:val="0"/>
          <w:sz w:val="24"/>
          <w:highlight w:val="none"/>
        </w:rPr>
      </w:pPr>
    </w:p>
    <w:p>
      <w:pPr>
        <w:pStyle w:val="24"/>
        <w:rPr>
          <w:rFonts w:hint="eastAsia" w:ascii="宋体" w:hAnsi="宋体" w:cs="宋体"/>
          <w:color w:val="auto"/>
          <w:kern w:val="0"/>
          <w:sz w:val="24"/>
          <w:highlight w:val="none"/>
        </w:rPr>
      </w:pPr>
    </w:p>
    <w:p>
      <w:pPr>
        <w:pStyle w:val="24"/>
        <w:rPr>
          <w:rFonts w:hint="eastAsia" w:ascii="宋体" w:hAnsi="宋体" w:cs="宋体"/>
          <w:color w:val="auto"/>
          <w:kern w:val="0"/>
          <w:sz w:val="24"/>
          <w:highlight w:val="none"/>
        </w:rPr>
      </w:pPr>
    </w:p>
    <w:p>
      <w:pPr>
        <w:pStyle w:val="24"/>
        <w:rPr>
          <w:rFonts w:hint="eastAsia" w:ascii="宋体" w:hAnsi="宋体" w:cs="宋体"/>
          <w:color w:val="auto"/>
          <w:kern w:val="0"/>
          <w:sz w:val="24"/>
          <w:highlight w:val="none"/>
        </w:rPr>
      </w:pPr>
    </w:p>
    <w:p>
      <w:pPr>
        <w:pStyle w:val="24"/>
        <w:rPr>
          <w:rFonts w:hint="eastAsia" w:ascii="宋体" w:hAnsi="宋体" w:cs="宋体"/>
          <w:color w:val="auto"/>
          <w:kern w:val="0"/>
          <w:sz w:val="24"/>
          <w:highlight w:val="none"/>
        </w:rPr>
      </w:pPr>
    </w:p>
    <w:p>
      <w:pPr>
        <w:pStyle w:val="24"/>
        <w:rPr>
          <w:rFonts w:hint="eastAsia" w:ascii="宋体" w:hAnsi="宋体" w:cs="宋体"/>
          <w:color w:val="auto"/>
          <w:kern w:val="0"/>
          <w:sz w:val="24"/>
          <w:highlight w:val="none"/>
        </w:rPr>
      </w:pPr>
    </w:p>
    <w:p>
      <w:pPr>
        <w:pStyle w:val="24"/>
        <w:rPr>
          <w:rFonts w:hint="eastAsia" w:ascii="宋体" w:hAnsi="宋体" w:cs="宋体"/>
          <w:color w:val="auto"/>
          <w:kern w:val="0"/>
          <w:sz w:val="24"/>
          <w:highlight w:val="none"/>
        </w:rPr>
      </w:pPr>
    </w:p>
    <w:p>
      <w:pPr>
        <w:pStyle w:val="24"/>
        <w:rPr>
          <w:rFonts w:hint="eastAsia" w:ascii="宋体" w:hAnsi="宋体" w:cs="宋体"/>
          <w:color w:val="auto"/>
          <w:kern w:val="0"/>
          <w:sz w:val="24"/>
          <w:highlight w:val="none"/>
        </w:rPr>
        <w:sectPr>
          <w:footerReference r:id="rId5" w:type="default"/>
          <w:pgSz w:w="11906" w:h="16838"/>
          <w:pgMar w:top="1417" w:right="1474" w:bottom="1417" w:left="1474" w:header="851" w:footer="624" w:gutter="0"/>
          <w:pgNumType w:fmt="decimal"/>
          <w:cols w:space="720" w:num="1"/>
          <w:docGrid w:type="lines" w:linePitch="319" w:charSpace="0"/>
        </w:sectPr>
      </w:pPr>
    </w:p>
    <w:p>
      <w:pPr>
        <w:pStyle w:val="6"/>
        <w:rPr>
          <w:rFonts w:hint="eastAsia" w:eastAsia="黑体"/>
          <w:color w:val="auto"/>
          <w:highlight w:val="none"/>
          <w:lang w:val="en-US" w:eastAsia="zh-CN"/>
        </w:rPr>
      </w:pPr>
      <w:bookmarkStart w:id="74" w:name="_Toc15804"/>
      <w:bookmarkStart w:id="75" w:name="_Toc226"/>
      <w:r>
        <w:rPr>
          <w:rFonts w:hint="eastAsia"/>
          <w:color w:val="auto"/>
          <w:highlight w:val="none"/>
        </w:rPr>
        <w:t xml:space="preserve">附件5         </w:t>
      </w:r>
      <w:bookmarkEnd w:id="74"/>
      <w:bookmarkEnd w:id="75"/>
      <w:r>
        <w:rPr>
          <w:rFonts w:hint="eastAsia"/>
          <w:color w:val="auto"/>
          <w:highlight w:val="none"/>
        </w:rPr>
        <w:t xml:space="preserve">     技术响应</w:t>
      </w:r>
      <w:r>
        <w:rPr>
          <w:rFonts w:hint="eastAsia"/>
          <w:color w:val="auto"/>
          <w:highlight w:val="none"/>
          <w:lang w:val="en-US" w:eastAsia="zh-CN"/>
        </w:rPr>
        <w:t>表（格式）</w:t>
      </w:r>
    </w:p>
    <w:tbl>
      <w:tblPr>
        <w:tblStyle w:val="90"/>
        <w:tblW w:w="8831"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244"/>
        <w:gridCol w:w="2264"/>
        <w:gridCol w:w="3329"/>
        <w:gridCol w:w="122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244"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2264"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rPr>
              <w:t>文件要求</w:t>
            </w:r>
          </w:p>
        </w:tc>
        <w:tc>
          <w:tcPr>
            <w:tcW w:w="3329"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文件响应</w:t>
            </w:r>
          </w:p>
        </w:tc>
        <w:tc>
          <w:tcPr>
            <w:tcW w:w="122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244"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264"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3329"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22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244"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264"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3329"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22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244"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264"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3329"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22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bl>
    <w:p>
      <w:pPr>
        <w:widowControl/>
        <w:wordWrap w:val="0"/>
        <w:spacing w:line="460" w:lineRule="exact"/>
        <w:ind w:firstLine="643" w:firstLineChars="200"/>
        <w:jc w:val="left"/>
        <w:rPr>
          <w:rFonts w:hint="eastAsia" w:ascii="宋体" w:hAnsi="宋体" w:cs="宋体"/>
          <w:b/>
          <w:color w:val="auto"/>
          <w:kern w:val="0"/>
          <w:sz w:val="32"/>
          <w:szCs w:val="32"/>
          <w:highlight w:val="none"/>
          <w:lang w:val="en-US" w:eastAsia="zh-CN"/>
        </w:rPr>
      </w:pPr>
    </w:p>
    <w:p>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注：供应商必须如实完整填写表格，“偏离情况”是指“正偏离”、“负偏离”或“无偏离”。</w:t>
      </w:r>
    </w:p>
    <w:p>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p>
    <w:p>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（全称并加盖公章）</w:t>
      </w:r>
    </w:p>
    <w:p>
      <w:pPr>
        <w:widowControl/>
        <w:wordWrap w:val="0"/>
        <w:spacing w:line="460" w:lineRule="exact"/>
        <w:ind w:firstLine="1920" w:firstLineChars="800"/>
        <w:jc w:val="left"/>
        <w:rPr>
          <w:rFonts w:hint="eastAsia" w:ascii="宋体" w:hAnsi="宋体" w:cs="宋体"/>
          <w:b/>
          <w:color w:val="auto"/>
          <w:kern w:val="0"/>
          <w:sz w:val="32"/>
          <w:szCs w:val="32"/>
          <w:highlight w:val="none"/>
          <w:lang w:val="en-US" w:eastAsia="zh-CN"/>
        </w:rPr>
      </w:pPr>
      <w:r>
        <w:rPr>
          <w:rFonts w:hint="eastAsia" w:ascii="宋体" w:hAnsi="宋体" w:eastAsia="宋体" w:cs="宋体"/>
          <w:color w:val="auto"/>
          <w:sz w:val="24"/>
          <w:szCs w:val="24"/>
          <w:highlight w:val="none"/>
        </w:rPr>
        <w:t>年    月    日</w:t>
      </w:r>
    </w:p>
    <w:p>
      <w:pPr>
        <w:widowControl/>
        <w:wordWrap w:val="0"/>
        <w:spacing w:line="460" w:lineRule="exact"/>
        <w:ind w:firstLine="643" w:firstLineChars="200"/>
        <w:jc w:val="left"/>
        <w:rPr>
          <w:rFonts w:hint="eastAsia" w:ascii="宋体" w:hAnsi="宋体" w:cs="宋体"/>
          <w:b/>
          <w:color w:val="auto"/>
          <w:kern w:val="0"/>
          <w:sz w:val="32"/>
          <w:szCs w:val="32"/>
          <w:highlight w:val="none"/>
          <w:lang w:val="en-US" w:eastAsia="zh-CN"/>
        </w:rPr>
      </w:pPr>
    </w:p>
    <w:p>
      <w:pPr>
        <w:widowControl/>
        <w:wordWrap w:val="0"/>
        <w:spacing w:line="460" w:lineRule="exact"/>
        <w:ind w:firstLine="643" w:firstLineChars="200"/>
        <w:jc w:val="left"/>
        <w:rPr>
          <w:rFonts w:hint="eastAsia" w:ascii="宋体" w:hAnsi="宋体" w:cs="宋体"/>
          <w:b/>
          <w:color w:val="auto"/>
          <w:kern w:val="0"/>
          <w:sz w:val="32"/>
          <w:szCs w:val="32"/>
          <w:highlight w:val="none"/>
          <w:lang w:val="en-US" w:eastAsia="zh-CN"/>
        </w:rPr>
      </w:pPr>
    </w:p>
    <w:p>
      <w:pPr>
        <w:widowControl/>
        <w:wordWrap w:val="0"/>
        <w:spacing w:line="460" w:lineRule="exact"/>
        <w:ind w:firstLine="643" w:firstLineChars="200"/>
        <w:jc w:val="left"/>
        <w:rPr>
          <w:rFonts w:hint="eastAsia" w:ascii="宋体" w:hAnsi="宋体" w:cs="宋体"/>
          <w:b/>
          <w:color w:val="auto"/>
          <w:kern w:val="0"/>
          <w:sz w:val="32"/>
          <w:szCs w:val="32"/>
          <w:highlight w:val="none"/>
          <w:lang w:val="en-US" w:eastAsia="zh-CN"/>
        </w:rPr>
      </w:pPr>
    </w:p>
    <w:p>
      <w:pPr>
        <w:widowControl/>
        <w:wordWrap w:val="0"/>
        <w:spacing w:line="460" w:lineRule="exact"/>
        <w:ind w:firstLine="643" w:firstLineChars="200"/>
        <w:jc w:val="left"/>
        <w:rPr>
          <w:rFonts w:hint="eastAsia" w:ascii="宋体" w:hAnsi="宋体" w:cs="宋体"/>
          <w:b/>
          <w:color w:val="auto"/>
          <w:kern w:val="0"/>
          <w:sz w:val="32"/>
          <w:szCs w:val="32"/>
          <w:highlight w:val="none"/>
          <w:lang w:val="en-US" w:eastAsia="zh-CN"/>
        </w:rPr>
      </w:pPr>
    </w:p>
    <w:p>
      <w:pPr>
        <w:widowControl/>
        <w:wordWrap w:val="0"/>
        <w:spacing w:line="460" w:lineRule="exact"/>
        <w:ind w:firstLine="643" w:firstLineChars="200"/>
        <w:jc w:val="left"/>
        <w:rPr>
          <w:rFonts w:hint="eastAsia" w:ascii="宋体" w:hAnsi="宋体" w:cs="宋体"/>
          <w:b/>
          <w:color w:val="auto"/>
          <w:kern w:val="0"/>
          <w:sz w:val="32"/>
          <w:szCs w:val="32"/>
          <w:highlight w:val="none"/>
          <w:lang w:val="en-US" w:eastAsia="zh-CN"/>
        </w:rPr>
      </w:pPr>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pStyle w:val="6"/>
        <w:rPr>
          <w:rFonts w:hint="eastAsia" w:cs="Times New Roman"/>
          <w:color w:val="auto"/>
          <w:highlight w:val="none"/>
          <w:lang w:val="en-US" w:eastAsia="zh-CN"/>
        </w:rPr>
      </w:pPr>
      <w:bookmarkStart w:id="76" w:name="_Toc24168"/>
      <w:bookmarkStart w:id="77" w:name="_Toc29960"/>
      <w:bookmarkStart w:id="78" w:name="_Toc20420"/>
      <w:r>
        <w:rPr>
          <w:rFonts w:hint="eastAsia" w:cs="Times New Roman"/>
          <w:color w:val="auto"/>
          <w:highlight w:val="none"/>
        </w:rPr>
        <w:t>附件6               商务响应</w:t>
      </w:r>
      <w:bookmarkEnd w:id="76"/>
      <w:bookmarkEnd w:id="77"/>
      <w:bookmarkEnd w:id="78"/>
      <w:r>
        <w:rPr>
          <w:rFonts w:hint="eastAsia" w:cs="Times New Roman"/>
          <w:color w:val="auto"/>
          <w:highlight w:val="none"/>
          <w:lang w:val="en-US" w:eastAsia="zh-CN"/>
        </w:rPr>
        <w:t>表（格式）</w:t>
      </w:r>
    </w:p>
    <w:p>
      <w:pPr>
        <w:widowControl/>
        <w:wordWrap w:val="0"/>
        <w:spacing w:line="460" w:lineRule="exact"/>
        <w:jc w:val="left"/>
        <w:rPr>
          <w:rFonts w:hint="eastAsia" w:ascii="宋体" w:hAnsi="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 xml:space="preserve">  </w:t>
      </w:r>
    </w:p>
    <w:tbl>
      <w:tblPr>
        <w:tblStyle w:val="90"/>
        <w:tblW w:w="9340" w:type="dxa"/>
        <w:tblInd w:w="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196"/>
        <w:gridCol w:w="2054"/>
        <w:gridCol w:w="1866"/>
        <w:gridCol w:w="1612"/>
        <w:gridCol w:w="161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1" w:hRule="atLeast"/>
        </w:trPr>
        <w:tc>
          <w:tcPr>
            <w:tcW w:w="2196"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2054"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rPr>
              <w:t>文件要求</w:t>
            </w:r>
          </w:p>
        </w:tc>
        <w:tc>
          <w:tcPr>
            <w:tcW w:w="1866"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投标文件</w:t>
            </w:r>
          </w:p>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响应情况</w:t>
            </w:r>
          </w:p>
        </w:tc>
        <w:tc>
          <w:tcPr>
            <w:tcW w:w="161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对采购文件</w:t>
            </w:r>
          </w:p>
          <w:p>
            <w:pPr>
              <w:pageBreakBefore w:val="0"/>
              <w:widowControl/>
              <w:wordWrap/>
              <w:overflowPunct/>
              <w:topLinePunct w:val="0"/>
              <w:bidi w:val="0"/>
              <w:spacing w:line="360" w:lineRule="auto"/>
              <w:jc w:val="center"/>
              <w:textAlignment w:val="baseline"/>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偏差</w:t>
            </w:r>
          </w:p>
        </w:tc>
        <w:tc>
          <w:tcPr>
            <w:tcW w:w="1612" w:type="dxa"/>
            <w:noWrap w:val="0"/>
            <w:vAlign w:val="center"/>
          </w:tcPr>
          <w:p>
            <w:pPr>
              <w:pageBreakBefore w:val="0"/>
              <w:widowControl/>
              <w:wordWrap/>
              <w:overflowPunct/>
              <w:topLinePunct w:val="0"/>
              <w:bidi w:val="0"/>
              <w:spacing w:line="360" w:lineRule="auto"/>
              <w:jc w:val="center"/>
              <w:textAlignment w:val="baseline"/>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pPr>
              <w:pStyle w:val="15"/>
              <w:ind w:left="0" w:leftChars="0"/>
              <w:jc w:val="center"/>
              <w:rPr>
                <w:rFonts w:hint="eastAsia" w:ascii="宋体" w:hAnsi="宋体" w:eastAsia="宋体" w:cs="宋体"/>
                <w:color w:val="auto"/>
                <w:sz w:val="24"/>
                <w:szCs w:val="24"/>
                <w:highlight w:val="none"/>
              </w:rPr>
            </w:pPr>
          </w:p>
        </w:tc>
        <w:tc>
          <w:tcPr>
            <w:tcW w:w="2054"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pPr>
              <w:pStyle w:val="15"/>
              <w:ind w:left="0" w:leftChars="0"/>
              <w:jc w:val="center"/>
              <w:rPr>
                <w:rFonts w:hint="eastAsia" w:ascii="宋体" w:hAnsi="宋体" w:eastAsia="宋体" w:cs="宋体"/>
                <w:color w:val="auto"/>
                <w:sz w:val="24"/>
                <w:szCs w:val="24"/>
                <w:highlight w:val="none"/>
                <w:lang w:val="en-US" w:eastAsia="zh-CN"/>
              </w:rPr>
            </w:pPr>
          </w:p>
        </w:tc>
        <w:tc>
          <w:tcPr>
            <w:tcW w:w="2054"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pPr>
              <w:pStyle w:val="15"/>
              <w:ind w:left="0" w:leftChars="0"/>
              <w:jc w:val="center"/>
              <w:rPr>
                <w:rFonts w:hint="eastAsia" w:ascii="宋体" w:hAnsi="宋体" w:eastAsia="宋体" w:cs="宋体"/>
                <w:color w:val="auto"/>
                <w:sz w:val="24"/>
                <w:szCs w:val="24"/>
                <w:highlight w:val="none"/>
              </w:rPr>
            </w:pPr>
          </w:p>
        </w:tc>
        <w:tc>
          <w:tcPr>
            <w:tcW w:w="2054"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pPr>
              <w:pStyle w:val="15"/>
              <w:ind w:left="0" w:leftChars="0"/>
              <w:jc w:val="center"/>
              <w:rPr>
                <w:rFonts w:hint="eastAsia" w:ascii="宋体" w:hAnsi="宋体" w:eastAsia="宋体" w:cs="宋体"/>
                <w:color w:val="auto"/>
                <w:sz w:val="24"/>
                <w:szCs w:val="24"/>
                <w:highlight w:val="none"/>
              </w:rPr>
            </w:pPr>
          </w:p>
        </w:tc>
        <w:tc>
          <w:tcPr>
            <w:tcW w:w="2054"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pPr>
              <w:pStyle w:val="15"/>
              <w:ind w:left="0" w:leftChars="0"/>
              <w:jc w:val="center"/>
              <w:rPr>
                <w:rFonts w:hint="eastAsia" w:ascii="宋体" w:hAnsi="宋体" w:eastAsia="宋体" w:cs="宋体"/>
                <w:color w:val="auto"/>
                <w:sz w:val="24"/>
                <w:szCs w:val="24"/>
                <w:highlight w:val="none"/>
              </w:rPr>
            </w:pPr>
          </w:p>
        </w:tc>
        <w:tc>
          <w:tcPr>
            <w:tcW w:w="2054"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pPr>
              <w:pStyle w:val="15"/>
              <w:ind w:left="0" w:leftChars="0"/>
              <w:jc w:val="center"/>
              <w:rPr>
                <w:rFonts w:hint="eastAsia" w:ascii="宋体" w:hAnsi="宋体" w:eastAsia="宋体" w:cs="宋体"/>
                <w:color w:val="auto"/>
                <w:sz w:val="24"/>
                <w:szCs w:val="24"/>
                <w:highlight w:val="none"/>
              </w:rPr>
            </w:pPr>
          </w:p>
        </w:tc>
        <w:tc>
          <w:tcPr>
            <w:tcW w:w="2054"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pPr>
              <w:pStyle w:val="15"/>
              <w:ind w:left="0" w:leftChars="0"/>
              <w:jc w:val="center"/>
              <w:rPr>
                <w:rFonts w:hint="eastAsia" w:ascii="宋体" w:hAnsi="宋体" w:eastAsia="宋体" w:cs="宋体"/>
                <w:color w:val="auto"/>
                <w:sz w:val="24"/>
                <w:szCs w:val="24"/>
                <w:highlight w:val="none"/>
              </w:rPr>
            </w:pPr>
          </w:p>
        </w:tc>
        <w:tc>
          <w:tcPr>
            <w:tcW w:w="2054"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bl>
    <w:p>
      <w:pPr>
        <w:rPr>
          <w:rFonts w:cs="宋体"/>
          <w:b/>
          <w:color w:val="auto"/>
          <w:kern w:val="0"/>
          <w:sz w:val="24"/>
          <w:highlight w:val="none"/>
        </w:rPr>
      </w:pPr>
    </w:p>
    <w:p>
      <w:pPr>
        <w:pStyle w:val="32"/>
        <w:rPr>
          <w:color w:val="auto"/>
          <w:highlight w:val="none"/>
        </w:rPr>
      </w:pPr>
    </w:p>
    <w:p>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（全称并加盖公章）</w:t>
      </w:r>
    </w:p>
    <w:p>
      <w:pPr>
        <w:pageBreakBefore w:val="0"/>
        <w:widowControl/>
        <w:wordWrap/>
        <w:overflowPunct/>
        <w:topLinePunct w:val="0"/>
        <w:bidi w:val="0"/>
        <w:spacing w:line="360" w:lineRule="auto"/>
        <w:ind w:firstLine="1440" w:firstLineChars="6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pPr>
        <w:outlineLvl w:val="9"/>
        <w:rPr>
          <w:color w:val="auto"/>
          <w:highlight w:val="none"/>
        </w:rPr>
      </w:pPr>
    </w:p>
    <w:p>
      <w:pPr>
        <w:outlineLvl w:val="9"/>
        <w:rPr>
          <w:color w:val="auto"/>
          <w:highlight w:val="none"/>
        </w:rPr>
      </w:pPr>
    </w:p>
    <w:p>
      <w:pPr>
        <w:outlineLvl w:val="9"/>
        <w:rPr>
          <w:color w:val="auto"/>
          <w:highlight w:val="none"/>
        </w:rPr>
      </w:pPr>
    </w:p>
    <w:p>
      <w:pPr>
        <w:outlineLvl w:val="9"/>
        <w:rPr>
          <w:color w:val="auto"/>
          <w:highlight w:val="none"/>
        </w:rPr>
      </w:pPr>
    </w:p>
    <w:p>
      <w:pPr>
        <w:outlineLvl w:val="9"/>
        <w:rPr>
          <w:color w:val="auto"/>
          <w:highlight w:val="none"/>
        </w:rPr>
      </w:pPr>
    </w:p>
    <w:p>
      <w:pPr>
        <w:outlineLvl w:val="9"/>
        <w:rPr>
          <w:color w:val="auto"/>
          <w:highlight w:val="none"/>
        </w:rPr>
      </w:pPr>
    </w:p>
    <w:p>
      <w:pPr>
        <w:outlineLvl w:val="9"/>
        <w:rPr>
          <w:color w:val="auto"/>
          <w:highlight w:val="none"/>
        </w:rPr>
      </w:pPr>
    </w:p>
    <w:p>
      <w:pPr>
        <w:outlineLvl w:val="9"/>
        <w:rPr>
          <w:color w:val="auto"/>
          <w:highlight w:val="none"/>
        </w:rPr>
      </w:pPr>
    </w:p>
    <w:p>
      <w:pPr>
        <w:outlineLvl w:val="9"/>
        <w:rPr>
          <w:color w:val="auto"/>
          <w:highlight w:val="none"/>
        </w:rPr>
      </w:pPr>
    </w:p>
    <w:p>
      <w:pPr>
        <w:outlineLvl w:val="9"/>
        <w:rPr>
          <w:color w:val="auto"/>
          <w:highlight w:val="none"/>
        </w:rPr>
      </w:pPr>
    </w:p>
    <w:p>
      <w:pPr>
        <w:outlineLvl w:val="9"/>
        <w:rPr>
          <w:color w:val="auto"/>
          <w:highlight w:val="none"/>
        </w:rPr>
      </w:pPr>
    </w:p>
    <w:p>
      <w:pPr>
        <w:outlineLvl w:val="9"/>
        <w:rPr>
          <w:color w:val="auto"/>
          <w:highlight w:val="none"/>
        </w:rPr>
      </w:pPr>
    </w:p>
    <w:p>
      <w:pPr>
        <w:outlineLvl w:val="9"/>
        <w:rPr>
          <w:color w:val="auto"/>
          <w:highlight w:val="none"/>
        </w:rPr>
      </w:pPr>
    </w:p>
    <w:p>
      <w:pPr>
        <w:outlineLvl w:val="9"/>
        <w:rPr>
          <w:color w:val="auto"/>
          <w:highlight w:val="none"/>
        </w:rPr>
      </w:pPr>
    </w:p>
    <w:p>
      <w:pPr>
        <w:outlineLvl w:val="9"/>
        <w:rPr>
          <w:color w:val="auto"/>
          <w:highlight w:val="none"/>
        </w:rPr>
      </w:pPr>
    </w:p>
    <w:p>
      <w:pPr>
        <w:rPr>
          <w:rFonts w:hint="eastAsia" w:ascii="Arial" w:hAnsi="Arial" w:eastAsia="新宋体"/>
          <w:b/>
          <w:color w:val="auto"/>
          <w:sz w:val="28"/>
          <w:highlight w:val="none"/>
        </w:rPr>
      </w:pPr>
      <w:bookmarkStart w:id="79" w:name="_Toc28621"/>
      <w:bookmarkStart w:id="80" w:name="_Toc31526"/>
      <w:r>
        <w:rPr>
          <w:rFonts w:hint="eastAsia" w:ascii="Arial" w:hAnsi="Arial" w:eastAsia="新宋体"/>
          <w:b/>
          <w:color w:val="auto"/>
          <w:sz w:val="28"/>
          <w:highlight w:val="none"/>
        </w:rPr>
        <w:br w:type="page"/>
      </w:r>
    </w:p>
    <w:p>
      <w:pPr>
        <w:widowControl/>
        <w:wordWrap w:val="0"/>
        <w:spacing w:line="460" w:lineRule="exact"/>
        <w:jc w:val="left"/>
        <w:outlineLvl w:val="0"/>
        <w:rPr>
          <w:rFonts w:hint="eastAsia" w:ascii="黑体" w:hAnsi="黑体" w:eastAsia="黑体" w:cs="黑体"/>
          <w:b w:val="0"/>
          <w:bCs/>
          <w:color w:val="auto"/>
          <w:sz w:val="32"/>
          <w:szCs w:val="28"/>
          <w:highlight w:val="none"/>
        </w:rPr>
      </w:pPr>
      <w:bookmarkStart w:id="81" w:name="_Toc29406"/>
      <w:r>
        <w:rPr>
          <w:rFonts w:hint="eastAsia" w:ascii="黑体" w:hAnsi="黑体" w:eastAsia="黑体" w:cs="黑体"/>
          <w:b w:val="0"/>
          <w:bCs/>
          <w:color w:val="auto"/>
          <w:sz w:val="32"/>
          <w:szCs w:val="28"/>
          <w:highlight w:val="none"/>
        </w:rPr>
        <w:t xml:space="preserve">附件7     </w:t>
      </w:r>
      <w:r>
        <w:rPr>
          <w:rFonts w:hint="eastAsia" w:ascii="黑体" w:hAnsi="黑体" w:eastAsia="黑体" w:cs="黑体"/>
          <w:b w:val="0"/>
          <w:bCs/>
          <w:color w:val="auto"/>
          <w:sz w:val="32"/>
          <w:szCs w:val="28"/>
          <w:highlight w:val="none"/>
          <w:lang w:val="en-US" w:eastAsia="zh-CN"/>
        </w:rPr>
        <w:t xml:space="preserve">   </w:t>
      </w:r>
      <w:r>
        <w:rPr>
          <w:rFonts w:hint="eastAsia" w:ascii="黑体" w:hAnsi="黑体" w:eastAsia="黑体" w:cs="黑体"/>
          <w:b w:val="0"/>
          <w:bCs/>
          <w:color w:val="auto"/>
          <w:sz w:val="32"/>
          <w:szCs w:val="28"/>
          <w:highlight w:val="none"/>
        </w:rPr>
        <w:t xml:space="preserve">   法定代表人身份证明（格式）</w:t>
      </w:r>
      <w:bookmarkEnd w:id="79"/>
      <w:bookmarkEnd w:id="80"/>
      <w:bookmarkEnd w:id="81"/>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名称：</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w:t>
      </w:r>
      <w:r>
        <w:rPr>
          <w:rFonts w:hint="eastAsia" w:ascii="宋体" w:hAnsi="宋体" w:cs="宋体"/>
          <w:color w:val="auto"/>
          <w:kern w:val="0"/>
          <w:sz w:val="24"/>
          <w:szCs w:val="20"/>
          <w:highlight w:val="none"/>
          <w:lang w:eastAsia="zh-CN"/>
        </w:rPr>
        <w:t>供应商</w:t>
      </w:r>
      <w:r>
        <w:rPr>
          <w:rFonts w:hint="eastAsia" w:ascii="宋体" w:hAnsi="宋体" w:cs="宋体"/>
          <w:color w:val="auto"/>
          <w:kern w:val="0"/>
          <w:sz w:val="24"/>
          <w:szCs w:val="20"/>
          <w:highlight w:val="none"/>
        </w:rPr>
        <w:t>名称）的法定代表人。</w:t>
      </w:r>
    </w:p>
    <w:p>
      <w:pPr>
        <w:widowControl/>
        <w:wordWrap w:val="0"/>
        <w:spacing w:line="460" w:lineRule="exact"/>
        <w:jc w:val="left"/>
        <w:rPr>
          <w:rFonts w:ascii="宋体" w:hAnsi="宋体" w:cs="宋体"/>
          <w:color w:val="auto"/>
          <w:kern w:val="0"/>
          <w:sz w:val="24"/>
          <w:szCs w:val="20"/>
          <w:highlight w:val="none"/>
        </w:rPr>
      </w:pP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pPr>
        <w:widowControl/>
        <w:wordWrap w:val="0"/>
        <w:spacing w:line="460" w:lineRule="exact"/>
        <w:jc w:val="left"/>
        <w:rPr>
          <w:rFonts w:ascii="宋体" w:hAnsi="宋体" w:cs="宋体"/>
          <w:color w:val="auto"/>
          <w:kern w:val="0"/>
          <w:sz w:val="24"/>
          <w:szCs w:val="20"/>
          <w:highlight w:val="none"/>
        </w:rPr>
      </w:pPr>
    </w:p>
    <w:p>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pPr>
              <w:widowControl/>
              <w:spacing w:line="480" w:lineRule="exact"/>
              <w:jc w:val="left"/>
              <w:rPr>
                <w:rFonts w:ascii="仿宋_GB2312" w:hAnsi="Lucida Sans Unicode" w:eastAsia="仿宋_GB2312" w:cs="Lucida Sans Unicode"/>
                <w:color w:val="auto"/>
                <w:kern w:val="0"/>
                <w:sz w:val="24"/>
                <w:highlight w:val="none"/>
              </w:rPr>
            </w:pPr>
          </w:p>
          <w:p>
            <w:pPr>
              <w:widowControl/>
              <w:spacing w:line="480" w:lineRule="exact"/>
              <w:jc w:val="left"/>
              <w:rPr>
                <w:rFonts w:ascii="仿宋_GB2312" w:hAnsi="Lucida Sans Unicode" w:eastAsia="仿宋_GB2312" w:cs="Lucida Sans Unicode"/>
                <w:color w:val="auto"/>
                <w:kern w:val="0"/>
                <w:sz w:val="24"/>
                <w:highlight w:val="none"/>
              </w:rPr>
            </w:pPr>
          </w:p>
        </w:tc>
      </w:tr>
    </w:tbl>
    <w:p>
      <w:pPr>
        <w:widowControl/>
        <w:wordWrap w:val="0"/>
        <w:spacing w:beforeLines="100" w:afterLines="100" w:line="480" w:lineRule="exact"/>
        <w:jc w:val="center"/>
        <w:rPr>
          <w:rFonts w:ascii="宋体" w:hAnsi="宋体" w:cs="Lucida Sans Unicode"/>
          <w:b/>
          <w:color w:val="auto"/>
          <w:kern w:val="0"/>
          <w:sz w:val="24"/>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color w:val="auto"/>
          <w:highlight w:val="none"/>
        </w:rPr>
      </w:pPr>
    </w:p>
    <w:p>
      <w:pPr>
        <w:rPr>
          <w:color w:val="auto"/>
          <w:highlight w:val="none"/>
        </w:rPr>
      </w:pPr>
      <w:r>
        <w:rPr>
          <w:color w:val="auto"/>
          <w:highlight w:val="none"/>
        </w:rPr>
        <w:br w:type="page"/>
      </w:r>
    </w:p>
    <w:p>
      <w:pPr>
        <w:widowControl/>
        <w:wordWrap w:val="0"/>
        <w:spacing w:line="460" w:lineRule="exact"/>
        <w:jc w:val="left"/>
        <w:outlineLvl w:val="0"/>
        <w:rPr>
          <w:rFonts w:hint="eastAsia" w:ascii="黑体" w:hAnsi="黑体" w:eastAsia="黑体" w:cs="黑体"/>
          <w:b/>
          <w:color w:val="auto"/>
          <w:sz w:val="32"/>
          <w:szCs w:val="28"/>
          <w:highlight w:val="none"/>
        </w:rPr>
      </w:pPr>
      <w:bookmarkStart w:id="82" w:name="_Toc12939"/>
      <w:bookmarkStart w:id="83" w:name="_Toc13976"/>
      <w:bookmarkStart w:id="84" w:name="_Toc30519"/>
      <w:r>
        <w:rPr>
          <w:rFonts w:hint="eastAsia" w:ascii="黑体" w:hAnsi="黑体" w:eastAsia="黑体" w:cs="黑体"/>
          <w:b/>
          <w:color w:val="auto"/>
          <w:sz w:val="32"/>
          <w:szCs w:val="28"/>
          <w:highlight w:val="none"/>
        </w:rPr>
        <w:t>附件8             法定代表人授权书（格式）</w:t>
      </w:r>
      <w:bookmarkEnd w:id="82"/>
      <w:bookmarkEnd w:id="83"/>
      <w:bookmarkEnd w:id="84"/>
    </w:p>
    <w:p>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 xml:space="preserve">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pPr>
        <w:widowControl/>
        <w:wordWrap w:val="0"/>
        <w:snapToGrid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pPr>
        <w:widowControl/>
        <w:wordWrap w:val="0"/>
        <w:spacing w:line="360" w:lineRule="auto"/>
        <w:jc w:val="center"/>
        <w:rPr>
          <w:rFonts w:ascii="仿宋_GB2312" w:hAnsi="Lucida Sans Unicode" w:eastAsia="仿宋_GB2312" w:cs="Lucida Sans Unicode"/>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widowControl/>
        <w:spacing w:line="360" w:lineRule="auto"/>
        <w:ind w:firstLine="7228" w:firstLineChars="2250"/>
        <w:jc w:val="left"/>
        <w:rPr>
          <w:rFonts w:ascii="宋体" w:hAnsi="宋体" w:cs="宋体"/>
          <w:b/>
          <w:color w:val="auto"/>
          <w:kern w:val="0"/>
          <w:sz w:val="32"/>
          <w:szCs w:val="32"/>
          <w:highlight w:val="none"/>
        </w:rPr>
      </w:pPr>
    </w:p>
    <w:p>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widowControl/>
        <w:snapToGrid w:val="0"/>
        <w:spacing w:before="156" w:after="156" w:line="360" w:lineRule="auto"/>
        <w:jc w:val="left"/>
        <w:outlineLvl w:val="0"/>
        <w:rPr>
          <w:rFonts w:hint="eastAsia" w:ascii="黑体" w:hAnsi="黑体" w:eastAsia="黑体" w:cs="黑体"/>
          <w:b/>
          <w:bCs w:val="0"/>
          <w:color w:val="auto"/>
          <w:kern w:val="0"/>
          <w:sz w:val="32"/>
          <w:szCs w:val="32"/>
          <w:highlight w:val="none"/>
        </w:rPr>
      </w:pPr>
      <w:bookmarkStart w:id="85" w:name="_Toc24693"/>
      <w:bookmarkStart w:id="86" w:name="_Toc18105"/>
      <w:bookmarkStart w:id="87" w:name="_Toc3342"/>
      <w:r>
        <w:rPr>
          <w:rFonts w:hint="eastAsia" w:ascii="黑体" w:hAnsi="黑体" w:eastAsia="黑体" w:cs="黑体"/>
          <w:b/>
          <w:bCs w:val="0"/>
          <w:color w:val="auto"/>
          <w:sz w:val="32"/>
          <w:szCs w:val="32"/>
          <w:highlight w:val="none"/>
        </w:rPr>
        <w:t>附件9               证明文件</w:t>
      </w:r>
      <w:bookmarkEnd w:id="85"/>
      <w:bookmarkEnd w:id="86"/>
      <w:bookmarkEnd w:id="87"/>
    </w:p>
    <w:p>
      <w:pPr>
        <w:pStyle w:val="11"/>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pPr>
        <w:pStyle w:val="11"/>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lang w:val="en-US" w:eastAsia="zh-CN"/>
        </w:rPr>
        <w:t>9.2产品技术参数支持资料</w:t>
      </w:r>
    </w:p>
    <w:p>
      <w:pPr>
        <w:pStyle w:val="11"/>
        <w:spacing w:beforeAutospacing="0" w:afterAutospacing="0" w:line="480" w:lineRule="auto"/>
        <w:ind w:firstLine="470" w:firstLineChars="224"/>
        <w:jc w:val="both"/>
        <w:rPr>
          <w:rFonts w:hint="eastAsia"/>
          <w:bCs/>
          <w:color w:val="auto"/>
          <w:sz w:val="21"/>
          <w:szCs w:val="21"/>
          <w:highlight w:val="none"/>
          <w:lang w:val="en-US" w:eastAsia="zh-CN"/>
        </w:rPr>
      </w:pPr>
      <w:r>
        <w:rPr>
          <w:rFonts w:hint="eastAsia"/>
          <w:bCs/>
          <w:color w:val="auto"/>
          <w:sz w:val="21"/>
          <w:szCs w:val="21"/>
          <w:highlight w:val="none"/>
        </w:rPr>
        <w:t>9.3</w:t>
      </w:r>
      <w:r>
        <w:rPr>
          <w:rFonts w:hint="eastAsia"/>
          <w:bCs/>
          <w:color w:val="auto"/>
          <w:sz w:val="21"/>
          <w:szCs w:val="21"/>
          <w:highlight w:val="none"/>
          <w:lang w:val="en-US" w:eastAsia="zh-CN"/>
        </w:rPr>
        <w:t xml:space="preserve"> </w:t>
      </w:r>
      <w:bookmarkStart w:id="88" w:name="_Toc17966"/>
      <w:r>
        <w:rPr>
          <w:rFonts w:hint="eastAsia"/>
          <w:bCs/>
          <w:color w:val="auto"/>
          <w:sz w:val="21"/>
          <w:szCs w:val="21"/>
          <w:highlight w:val="none"/>
          <w:lang w:val="en-US" w:eastAsia="zh-CN"/>
        </w:rPr>
        <w:t>评分标准中需提供的证明材料</w:t>
      </w:r>
    </w:p>
    <w:p>
      <w:pPr>
        <w:pStyle w:val="11"/>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4 供应商认为其他需要提供的证明材料</w:t>
      </w:r>
      <w:r>
        <w:rPr>
          <w:rFonts w:hint="eastAsia"/>
          <w:bCs/>
          <w:color w:val="auto"/>
          <w:sz w:val="21"/>
          <w:szCs w:val="21"/>
          <w:highlight w:val="none"/>
        </w:rPr>
        <w:t>。</w:t>
      </w:r>
    </w:p>
    <w:p>
      <w:pPr>
        <w:pStyle w:val="11"/>
        <w:spacing w:beforeAutospacing="0" w:afterAutospacing="0" w:line="480" w:lineRule="auto"/>
        <w:ind w:firstLine="540" w:firstLineChars="224"/>
        <w:jc w:val="both"/>
        <w:rPr>
          <w:b/>
          <w:bCs/>
          <w:color w:val="auto"/>
          <w:highlight w:val="none"/>
        </w:rPr>
      </w:pPr>
    </w:p>
    <w:p>
      <w:pPr>
        <w:pStyle w:val="11"/>
        <w:spacing w:beforeAutospacing="0" w:afterAutospacing="0" w:line="480" w:lineRule="auto"/>
        <w:ind w:firstLine="540" w:firstLineChars="224"/>
        <w:jc w:val="both"/>
        <w:rPr>
          <w:b/>
          <w:bCs/>
          <w:color w:val="auto"/>
          <w:highlight w:val="none"/>
        </w:rPr>
      </w:pPr>
    </w:p>
    <w:p>
      <w:pPr>
        <w:pStyle w:val="11"/>
        <w:spacing w:beforeAutospacing="0" w:afterAutospacing="0" w:line="480" w:lineRule="auto"/>
        <w:ind w:firstLine="540" w:firstLineChars="224"/>
        <w:jc w:val="both"/>
        <w:rPr>
          <w:b/>
          <w:bCs/>
          <w:color w:val="auto"/>
          <w:highlight w:val="none"/>
        </w:rPr>
      </w:pPr>
    </w:p>
    <w:p>
      <w:pPr>
        <w:pStyle w:val="11"/>
        <w:spacing w:beforeAutospacing="0" w:afterAutospacing="0" w:line="480" w:lineRule="auto"/>
        <w:ind w:firstLine="540" w:firstLineChars="224"/>
        <w:jc w:val="both"/>
        <w:rPr>
          <w:b/>
          <w:bCs/>
          <w:color w:val="auto"/>
          <w:highlight w:val="none"/>
        </w:rPr>
      </w:pPr>
    </w:p>
    <w:p>
      <w:pPr>
        <w:pStyle w:val="11"/>
        <w:spacing w:beforeAutospacing="0" w:afterAutospacing="0" w:line="480" w:lineRule="auto"/>
        <w:ind w:firstLine="540" w:firstLineChars="224"/>
        <w:jc w:val="both"/>
        <w:rPr>
          <w:b/>
          <w:bCs/>
          <w:color w:val="auto"/>
          <w:highlight w:val="none"/>
        </w:rPr>
      </w:pPr>
    </w:p>
    <w:p>
      <w:pPr>
        <w:pStyle w:val="11"/>
        <w:spacing w:beforeAutospacing="0" w:afterAutospacing="0" w:line="480" w:lineRule="auto"/>
        <w:ind w:firstLine="540" w:firstLineChars="224"/>
        <w:jc w:val="both"/>
        <w:rPr>
          <w:b/>
          <w:bCs/>
          <w:color w:val="auto"/>
          <w:highlight w:val="none"/>
        </w:rPr>
      </w:pPr>
    </w:p>
    <w:p>
      <w:pPr>
        <w:pStyle w:val="11"/>
        <w:spacing w:beforeAutospacing="0" w:afterAutospacing="0" w:line="480" w:lineRule="auto"/>
        <w:ind w:firstLine="540" w:firstLineChars="224"/>
        <w:jc w:val="both"/>
        <w:rPr>
          <w:b/>
          <w:bCs/>
          <w:color w:val="auto"/>
          <w:highlight w:val="none"/>
        </w:rPr>
      </w:pPr>
    </w:p>
    <w:p>
      <w:pPr>
        <w:pStyle w:val="11"/>
        <w:spacing w:beforeAutospacing="0" w:afterAutospacing="0" w:line="480" w:lineRule="auto"/>
        <w:ind w:firstLine="540" w:firstLineChars="224"/>
        <w:jc w:val="both"/>
        <w:rPr>
          <w:b/>
          <w:bCs/>
          <w:color w:val="auto"/>
          <w:highlight w:val="none"/>
        </w:rPr>
      </w:pPr>
    </w:p>
    <w:p>
      <w:pPr>
        <w:pStyle w:val="11"/>
        <w:spacing w:beforeAutospacing="0" w:afterAutospacing="0" w:line="480" w:lineRule="auto"/>
        <w:ind w:firstLine="540" w:firstLineChars="224"/>
        <w:jc w:val="both"/>
        <w:rPr>
          <w:b/>
          <w:bCs/>
          <w:color w:val="auto"/>
          <w:highlight w:val="none"/>
        </w:rPr>
      </w:pPr>
    </w:p>
    <w:p>
      <w:pPr>
        <w:pStyle w:val="11"/>
        <w:spacing w:beforeAutospacing="0" w:afterAutospacing="0" w:line="480" w:lineRule="auto"/>
        <w:ind w:firstLine="540" w:firstLineChars="224"/>
        <w:jc w:val="both"/>
        <w:rPr>
          <w:b/>
          <w:bCs/>
          <w:color w:val="auto"/>
          <w:highlight w:val="none"/>
        </w:rPr>
      </w:pPr>
    </w:p>
    <w:p>
      <w:pPr>
        <w:pStyle w:val="11"/>
        <w:spacing w:beforeAutospacing="0" w:afterAutospacing="0" w:line="480" w:lineRule="auto"/>
        <w:ind w:firstLine="540" w:firstLineChars="224"/>
        <w:jc w:val="both"/>
        <w:rPr>
          <w:b/>
          <w:bCs/>
          <w:color w:val="auto"/>
          <w:highlight w:val="none"/>
        </w:rPr>
      </w:pPr>
    </w:p>
    <w:p>
      <w:pPr>
        <w:pStyle w:val="11"/>
        <w:spacing w:beforeAutospacing="0" w:afterAutospacing="0" w:line="480" w:lineRule="auto"/>
        <w:ind w:firstLine="540" w:firstLineChars="224"/>
        <w:jc w:val="both"/>
        <w:rPr>
          <w:b/>
          <w:bCs/>
          <w:color w:val="auto"/>
          <w:highlight w:val="none"/>
        </w:rPr>
      </w:pPr>
    </w:p>
    <w:p>
      <w:pPr>
        <w:pStyle w:val="11"/>
        <w:spacing w:beforeAutospacing="0" w:afterAutospacing="0" w:line="480" w:lineRule="auto"/>
        <w:ind w:firstLine="540" w:firstLineChars="224"/>
        <w:jc w:val="both"/>
        <w:rPr>
          <w:b/>
          <w:bCs/>
          <w:color w:val="auto"/>
          <w:highlight w:val="none"/>
        </w:rPr>
      </w:pPr>
    </w:p>
    <w:p>
      <w:pPr>
        <w:pStyle w:val="11"/>
        <w:spacing w:beforeAutospacing="0" w:afterAutospacing="0" w:line="480" w:lineRule="auto"/>
        <w:ind w:firstLine="540" w:firstLineChars="224"/>
        <w:jc w:val="both"/>
        <w:rPr>
          <w:b/>
          <w:bCs/>
          <w:color w:val="auto"/>
          <w:highlight w:val="none"/>
        </w:rPr>
      </w:pPr>
    </w:p>
    <w:p>
      <w:pPr>
        <w:pStyle w:val="11"/>
        <w:spacing w:beforeAutospacing="0" w:afterAutospacing="0" w:line="480" w:lineRule="auto"/>
        <w:ind w:firstLine="540" w:firstLineChars="224"/>
        <w:jc w:val="both"/>
        <w:rPr>
          <w:b/>
          <w:bCs/>
          <w:color w:val="auto"/>
          <w:highlight w:val="none"/>
        </w:rPr>
      </w:pPr>
    </w:p>
    <w:p>
      <w:pPr>
        <w:pStyle w:val="11"/>
        <w:spacing w:beforeAutospacing="0" w:afterAutospacing="0" w:line="480" w:lineRule="auto"/>
        <w:ind w:firstLine="540" w:firstLineChars="224"/>
        <w:jc w:val="both"/>
        <w:rPr>
          <w:b/>
          <w:bCs/>
          <w:color w:val="auto"/>
          <w:highlight w:val="none"/>
        </w:rPr>
      </w:pPr>
    </w:p>
    <w:p>
      <w:pPr>
        <w:rPr>
          <w:rFonts w:hint="eastAsia" w:ascii="黑体" w:hAnsi="黑体" w:eastAsia="黑体" w:cs="黑体"/>
          <w:b/>
          <w:bCs w:val="0"/>
          <w:color w:val="auto"/>
          <w:kern w:val="0"/>
          <w:sz w:val="32"/>
          <w:szCs w:val="32"/>
          <w:highlight w:val="none"/>
        </w:rPr>
      </w:pPr>
      <w:bookmarkStart w:id="89" w:name="_Toc16083"/>
      <w:bookmarkStart w:id="90" w:name="_Toc13726"/>
      <w:bookmarkStart w:id="91" w:name="_Toc12888"/>
      <w:r>
        <w:rPr>
          <w:rFonts w:hint="eastAsia" w:ascii="黑体" w:hAnsi="黑体" w:eastAsia="黑体" w:cs="黑体"/>
          <w:b/>
          <w:bCs w:val="0"/>
          <w:color w:val="auto"/>
          <w:kern w:val="0"/>
          <w:sz w:val="32"/>
          <w:szCs w:val="32"/>
          <w:highlight w:val="none"/>
        </w:rPr>
        <w:t xml:space="preserve">附件10        </w:t>
      </w:r>
      <w:bookmarkEnd w:id="88"/>
      <w:r>
        <w:rPr>
          <w:rFonts w:hint="eastAsia" w:ascii="黑体" w:hAnsi="黑体" w:eastAsia="黑体" w:cs="黑体"/>
          <w:b/>
          <w:bCs w:val="0"/>
          <w:color w:val="auto"/>
          <w:kern w:val="0"/>
          <w:sz w:val="32"/>
          <w:szCs w:val="32"/>
          <w:highlight w:val="none"/>
        </w:rPr>
        <w:t>供 应 商 承 诺 书</w:t>
      </w:r>
      <w:r>
        <w:rPr>
          <w:rFonts w:hint="eastAsia" w:ascii="黑体" w:hAnsi="黑体" w:eastAsia="黑体" w:cs="黑体"/>
          <w:b/>
          <w:bCs w:val="0"/>
          <w:color w:val="auto"/>
          <w:kern w:val="0"/>
          <w:sz w:val="32"/>
          <w:szCs w:val="32"/>
          <w:highlight w:val="none"/>
          <w:lang w:val="en-US" w:eastAsia="zh-CN"/>
        </w:rPr>
        <w:t xml:space="preserve"> </w:t>
      </w:r>
      <w:r>
        <w:rPr>
          <w:rFonts w:hint="eastAsia" w:ascii="黑体" w:hAnsi="黑体" w:eastAsia="黑体" w:cs="黑体"/>
          <w:b/>
          <w:bCs w:val="0"/>
          <w:color w:val="auto"/>
          <w:kern w:val="0"/>
          <w:sz w:val="32"/>
          <w:szCs w:val="32"/>
          <w:highlight w:val="none"/>
        </w:rPr>
        <w:t>（格式）</w:t>
      </w:r>
      <w:bookmarkEnd w:id="89"/>
      <w:bookmarkEnd w:id="90"/>
      <w:bookmarkEnd w:id="91"/>
    </w:p>
    <w:p>
      <w:pPr>
        <w:bidi w:val="0"/>
        <w:rPr>
          <w:color w:val="auto"/>
          <w:highlight w:val="none"/>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公司名称</w:t>
      </w:r>
      <w:r>
        <w:rPr>
          <w:rFonts w:hint="eastAsia" w:ascii="宋体" w:hAnsi="宋体" w:eastAsia="宋体" w:cs="宋体"/>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color w:val="auto"/>
          <w:sz w:val="28"/>
          <w:szCs w:val="28"/>
          <w:highlight w:val="none"/>
        </w:rPr>
      </w:pPr>
      <w:r>
        <w:rPr>
          <w:rFonts w:hint="eastAsia" w:ascii="宋体" w:hAnsi="宋体" w:eastAsia="宋体" w:cs="宋体"/>
          <w:color w:val="auto"/>
          <w:sz w:val="24"/>
          <w:szCs w:val="24"/>
          <w:highlight w:val="none"/>
        </w:rPr>
        <w:t>法定代表人或委托人（签字）：                   年   月   日</w:t>
      </w:r>
    </w:p>
    <w:p>
      <w:pPr>
        <w:widowControl/>
        <w:spacing w:line="360" w:lineRule="auto"/>
        <w:ind w:firstLine="4305" w:firstLineChars="2050"/>
        <w:jc w:val="left"/>
        <w:rPr>
          <w:rFonts w:ascii="宋体" w:hAnsi="宋体" w:cs="宋体"/>
          <w:color w:val="auto"/>
          <w:kern w:val="0"/>
          <w:szCs w:val="21"/>
          <w:highlight w:val="none"/>
        </w:rPr>
      </w:pPr>
    </w:p>
    <w:p>
      <w:pPr>
        <w:pStyle w:val="32"/>
        <w:rPr>
          <w:rFonts w:ascii="宋体" w:hAnsi="宋体" w:cs="宋体"/>
          <w:color w:val="auto"/>
          <w:kern w:val="0"/>
          <w:szCs w:val="21"/>
          <w:highlight w:val="none"/>
        </w:rPr>
      </w:pPr>
    </w:p>
    <w:p>
      <w:pPr>
        <w:pStyle w:val="16"/>
        <w:rPr>
          <w:rFonts w:ascii="宋体" w:hAnsi="宋体" w:cs="宋体"/>
          <w:color w:val="auto"/>
          <w:kern w:val="0"/>
          <w:szCs w:val="21"/>
          <w:highlight w:val="none"/>
        </w:rPr>
      </w:pPr>
    </w:p>
    <w:p>
      <w:pPr>
        <w:pStyle w:val="11"/>
        <w:rPr>
          <w:color w:val="auto"/>
          <w:highlight w:val="none"/>
        </w:rPr>
      </w:pPr>
    </w:p>
    <w:p>
      <w:pPr>
        <w:jc w:val="center"/>
        <w:rPr>
          <w:rFonts w:hint="eastAsia" w:ascii="黑体" w:hAnsi="黑体" w:eastAsia="黑体" w:cs="黑体"/>
          <w:b/>
          <w:bCs/>
          <w:color w:val="auto"/>
          <w:kern w:val="2"/>
          <w:sz w:val="28"/>
          <w:szCs w:val="18"/>
          <w:highlight w:val="none"/>
          <w:lang w:val="en-US" w:eastAsia="zh-CN" w:bidi="ar-SA"/>
        </w:rPr>
      </w:pPr>
      <w:r>
        <w:rPr>
          <w:rFonts w:hint="eastAsia" w:ascii="黑体" w:hAnsi="黑体" w:eastAsia="黑体" w:cs="黑体"/>
          <w:b/>
          <w:bCs/>
          <w:color w:val="auto"/>
          <w:kern w:val="2"/>
          <w:sz w:val="28"/>
          <w:szCs w:val="18"/>
          <w:highlight w:val="none"/>
          <w:lang w:val="en-US" w:eastAsia="zh-CN" w:bidi="ar-SA"/>
        </w:rPr>
        <w:t>附件11     供应商信用承诺函（格式）</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w:t>
      </w: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pPr>
        <w:pStyle w:val="11"/>
        <w:spacing w:beforeAutospacing="0" w:afterAutospacing="0" w:line="460" w:lineRule="atLeast"/>
        <w:jc w:val="both"/>
        <w:rPr>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pPr>
        <w:bidi w:val="0"/>
        <w:rPr>
          <w:rFonts w:hint="eastAsia"/>
          <w:color w:val="auto"/>
          <w:highlight w:val="none"/>
          <w:lang w:eastAsia="zh-CN"/>
        </w:rPr>
      </w:pPr>
      <w:bookmarkStart w:id="92" w:name="_Toc23394"/>
      <w:bookmarkStart w:id="93" w:name="_Toc31685"/>
      <w:bookmarkStart w:id="94" w:name="_Toc25094"/>
    </w:p>
    <w:p>
      <w:pPr>
        <w:widowControl/>
        <w:snapToGrid w:val="0"/>
        <w:spacing w:line="360" w:lineRule="auto"/>
        <w:jc w:val="center"/>
        <w:outlineLvl w:val="0"/>
        <w:rPr>
          <w:rFonts w:ascii="宋体" w:hAnsi="宋体" w:cs="Lucida Sans Unicode"/>
          <w:b/>
          <w:color w:val="auto"/>
          <w:kern w:val="0"/>
          <w:sz w:val="24"/>
          <w:highlight w:val="none"/>
        </w:rPr>
      </w:pPr>
      <w:r>
        <w:rPr>
          <w:rFonts w:hint="eastAsia" w:ascii="宋体" w:hAnsi="宋体" w:cs="Lucida Sans Unicode"/>
          <w:b/>
          <w:color w:val="auto"/>
          <w:kern w:val="0"/>
          <w:sz w:val="24"/>
          <w:highlight w:val="none"/>
          <w:lang w:eastAsia="zh-CN"/>
        </w:rPr>
        <w:t>供应商</w:t>
      </w:r>
      <w:r>
        <w:rPr>
          <w:rFonts w:hint="eastAsia" w:ascii="宋体" w:hAnsi="宋体" w:cs="Lucida Sans Unicode"/>
          <w:b/>
          <w:color w:val="auto"/>
          <w:kern w:val="0"/>
          <w:sz w:val="24"/>
          <w:highlight w:val="none"/>
        </w:rPr>
        <w:t>认为有必要的其他资料</w:t>
      </w:r>
      <w:bookmarkEnd w:id="92"/>
      <w:bookmarkEnd w:id="93"/>
      <w:bookmarkEnd w:id="94"/>
    </w:p>
    <w:p>
      <w:pPr>
        <w:widowControl/>
        <w:spacing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w:t>
      </w:r>
      <w:r>
        <w:rPr>
          <w:rFonts w:hint="eastAsia" w:ascii="宋体" w:hAnsi="宋体" w:cs="Lucida Sans Unicode"/>
          <w:color w:val="auto"/>
          <w:kern w:val="0"/>
          <w:szCs w:val="21"/>
          <w:highlight w:val="none"/>
          <w:lang w:eastAsia="zh-CN"/>
        </w:rPr>
        <w:t>供应商</w:t>
      </w:r>
      <w:r>
        <w:rPr>
          <w:rFonts w:hint="eastAsia" w:ascii="宋体" w:hAnsi="宋体" w:cs="Lucida Sans Unicode"/>
          <w:color w:val="auto"/>
          <w:kern w:val="0"/>
          <w:szCs w:val="21"/>
          <w:highlight w:val="none"/>
        </w:rPr>
        <w:t>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w:t>
      </w:r>
      <w:r>
        <w:rPr>
          <w:rFonts w:hint="eastAsia" w:ascii="宋体" w:hAnsi="宋体" w:cs="Lucida Sans Unicode"/>
          <w:color w:val="auto"/>
          <w:kern w:val="0"/>
          <w:szCs w:val="21"/>
          <w:highlight w:val="none"/>
          <w:lang w:eastAsia="zh-CN"/>
        </w:rPr>
        <w:t>供应商</w:t>
      </w:r>
      <w:r>
        <w:rPr>
          <w:rFonts w:hint="eastAsia" w:ascii="宋体" w:hAnsi="宋体" w:cs="Lucida Sans Unicode"/>
          <w:color w:val="auto"/>
          <w:kern w:val="0"/>
          <w:szCs w:val="21"/>
          <w:highlight w:val="none"/>
        </w:rPr>
        <w:t>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w:t>
      </w:r>
      <w:r>
        <w:rPr>
          <w:rFonts w:hint="eastAsia" w:ascii="宋体" w:hAnsi="宋体" w:cs="Lucida Sans Unicode"/>
          <w:color w:val="auto"/>
          <w:kern w:val="0"/>
          <w:szCs w:val="21"/>
          <w:highlight w:val="none"/>
          <w:lang w:eastAsia="zh-CN"/>
        </w:rPr>
        <w:t>供应商</w:t>
      </w:r>
      <w:r>
        <w:rPr>
          <w:rFonts w:hint="eastAsia" w:ascii="宋体" w:hAnsi="宋体" w:cs="Lucida Sans Unicode"/>
          <w:color w:val="auto"/>
          <w:kern w:val="0"/>
          <w:szCs w:val="21"/>
          <w:highlight w:val="none"/>
        </w:rPr>
        <w:t>未能提供相关证明文件，将有可能导致废标或者无法得分。</w:t>
      </w:r>
    </w:p>
    <w:p>
      <w:pPr>
        <w:pStyle w:val="11"/>
        <w:spacing w:beforeAutospacing="0" w:afterAutospacing="0" w:line="460" w:lineRule="atLeast"/>
        <w:jc w:val="both"/>
        <w:rPr>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hint="eastAsia"/>
      </w:rPr>
    </w:pPr>
    <w:r>
      <w:rPr>
        <w:rFonts w:hint="eastAsia" w:ascii="宋体" w:hAnsi="宋体" w:cs="宋体"/>
        <w:color w:val="auto"/>
        <w:szCs w:val="21"/>
        <w:highlight w:val="none"/>
        <w:u w:val="none"/>
        <w:shd w:val="clear" w:color="auto" w:fill="FFFFFF"/>
        <w:lang w:val="en-US" w:eastAsia="zh-CN"/>
      </w:rPr>
      <w:t>驻马店市中心医院手术器械（异物钳、取石网篮、胆道镜三通）供货采购项目购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59B6410A"/>
    <w:multiLevelType w:val="singleLevel"/>
    <w:tmpl w:val="59B6410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wMjRmYTY4OTJhZjc1NTA1MGQwNDc0NzZhNTkwMmU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E6D95"/>
    <w:rsid w:val="018D0058"/>
    <w:rsid w:val="01976717"/>
    <w:rsid w:val="01CE517F"/>
    <w:rsid w:val="01D715BE"/>
    <w:rsid w:val="01EB45BC"/>
    <w:rsid w:val="01F04981"/>
    <w:rsid w:val="01F9035B"/>
    <w:rsid w:val="01FA63A5"/>
    <w:rsid w:val="02011C7D"/>
    <w:rsid w:val="02035523"/>
    <w:rsid w:val="021C6E40"/>
    <w:rsid w:val="02222FF2"/>
    <w:rsid w:val="02384FF4"/>
    <w:rsid w:val="023F67A9"/>
    <w:rsid w:val="0247575A"/>
    <w:rsid w:val="025235B1"/>
    <w:rsid w:val="0262674D"/>
    <w:rsid w:val="02747B01"/>
    <w:rsid w:val="027619AC"/>
    <w:rsid w:val="02890D36"/>
    <w:rsid w:val="02D92EF7"/>
    <w:rsid w:val="02DA4665"/>
    <w:rsid w:val="02F40325"/>
    <w:rsid w:val="02FA082F"/>
    <w:rsid w:val="031126C4"/>
    <w:rsid w:val="034733B8"/>
    <w:rsid w:val="03475E56"/>
    <w:rsid w:val="035E4919"/>
    <w:rsid w:val="036A009A"/>
    <w:rsid w:val="037A734D"/>
    <w:rsid w:val="03844805"/>
    <w:rsid w:val="03845791"/>
    <w:rsid w:val="039447DF"/>
    <w:rsid w:val="03A011E9"/>
    <w:rsid w:val="03AE7F27"/>
    <w:rsid w:val="03BD2BCD"/>
    <w:rsid w:val="03CC058D"/>
    <w:rsid w:val="03E017D2"/>
    <w:rsid w:val="03F447E2"/>
    <w:rsid w:val="03F77068"/>
    <w:rsid w:val="03FB660C"/>
    <w:rsid w:val="042E37DB"/>
    <w:rsid w:val="04416C20"/>
    <w:rsid w:val="047968B1"/>
    <w:rsid w:val="04870542"/>
    <w:rsid w:val="04B30F7A"/>
    <w:rsid w:val="050E236F"/>
    <w:rsid w:val="054C0111"/>
    <w:rsid w:val="05545DD3"/>
    <w:rsid w:val="056E2AD6"/>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446B44"/>
    <w:rsid w:val="06560AED"/>
    <w:rsid w:val="066469C9"/>
    <w:rsid w:val="066646A1"/>
    <w:rsid w:val="068E7B23"/>
    <w:rsid w:val="06983B20"/>
    <w:rsid w:val="069A3B66"/>
    <w:rsid w:val="06A869D6"/>
    <w:rsid w:val="06A9264E"/>
    <w:rsid w:val="06B31420"/>
    <w:rsid w:val="06B91765"/>
    <w:rsid w:val="06CA2AD2"/>
    <w:rsid w:val="06CE3071"/>
    <w:rsid w:val="06D33DBA"/>
    <w:rsid w:val="06E13F9F"/>
    <w:rsid w:val="06E17D3B"/>
    <w:rsid w:val="06FB0AC5"/>
    <w:rsid w:val="070D2D5D"/>
    <w:rsid w:val="07111B8D"/>
    <w:rsid w:val="072C5514"/>
    <w:rsid w:val="0737768A"/>
    <w:rsid w:val="074A5B92"/>
    <w:rsid w:val="075D0147"/>
    <w:rsid w:val="075E3193"/>
    <w:rsid w:val="078E18EB"/>
    <w:rsid w:val="07B10EA5"/>
    <w:rsid w:val="07CD6512"/>
    <w:rsid w:val="07CE3FA1"/>
    <w:rsid w:val="07EC2ECB"/>
    <w:rsid w:val="07FE66CB"/>
    <w:rsid w:val="080B4D47"/>
    <w:rsid w:val="081B727D"/>
    <w:rsid w:val="08321601"/>
    <w:rsid w:val="08326375"/>
    <w:rsid w:val="083D5C91"/>
    <w:rsid w:val="0847191F"/>
    <w:rsid w:val="08591DC3"/>
    <w:rsid w:val="08672793"/>
    <w:rsid w:val="08695E80"/>
    <w:rsid w:val="087C4541"/>
    <w:rsid w:val="087E5595"/>
    <w:rsid w:val="08BC0A60"/>
    <w:rsid w:val="08C52D6F"/>
    <w:rsid w:val="08EF0201"/>
    <w:rsid w:val="08F41DE8"/>
    <w:rsid w:val="094840A2"/>
    <w:rsid w:val="09737462"/>
    <w:rsid w:val="099156C3"/>
    <w:rsid w:val="09A53F39"/>
    <w:rsid w:val="09A60E13"/>
    <w:rsid w:val="09A82D92"/>
    <w:rsid w:val="09AB2883"/>
    <w:rsid w:val="09CD0A4B"/>
    <w:rsid w:val="09D206F0"/>
    <w:rsid w:val="0A321AC2"/>
    <w:rsid w:val="0A343D4E"/>
    <w:rsid w:val="0A3E6D2E"/>
    <w:rsid w:val="0A4232E4"/>
    <w:rsid w:val="0A4F145F"/>
    <w:rsid w:val="0A8455AD"/>
    <w:rsid w:val="0AD13A85"/>
    <w:rsid w:val="0AE0655C"/>
    <w:rsid w:val="0B091954"/>
    <w:rsid w:val="0B3B7D65"/>
    <w:rsid w:val="0B434C20"/>
    <w:rsid w:val="0B5F0822"/>
    <w:rsid w:val="0B637D77"/>
    <w:rsid w:val="0B7006C4"/>
    <w:rsid w:val="0B726646"/>
    <w:rsid w:val="0B7606E8"/>
    <w:rsid w:val="0B924545"/>
    <w:rsid w:val="0BAC324F"/>
    <w:rsid w:val="0BC11EE9"/>
    <w:rsid w:val="0BF16C73"/>
    <w:rsid w:val="0BF72F1E"/>
    <w:rsid w:val="0C3152C1"/>
    <w:rsid w:val="0C3957A5"/>
    <w:rsid w:val="0C507E2F"/>
    <w:rsid w:val="0C626DA7"/>
    <w:rsid w:val="0C6876AE"/>
    <w:rsid w:val="0C71390F"/>
    <w:rsid w:val="0C720EC8"/>
    <w:rsid w:val="0C942042"/>
    <w:rsid w:val="0C9D50DC"/>
    <w:rsid w:val="0CA5271D"/>
    <w:rsid w:val="0CAC4D10"/>
    <w:rsid w:val="0CC72121"/>
    <w:rsid w:val="0CEE5A21"/>
    <w:rsid w:val="0D05268E"/>
    <w:rsid w:val="0D0646E7"/>
    <w:rsid w:val="0D0C38CA"/>
    <w:rsid w:val="0D206810"/>
    <w:rsid w:val="0D4861FD"/>
    <w:rsid w:val="0D735465"/>
    <w:rsid w:val="0DC577E0"/>
    <w:rsid w:val="0DDC6319"/>
    <w:rsid w:val="0DFE4F67"/>
    <w:rsid w:val="0E0C0D4C"/>
    <w:rsid w:val="0E115DA1"/>
    <w:rsid w:val="0E162D6D"/>
    <w:rsid w:val="0E541CA2"/>
    <w:rsid w:val="0E594756"/>
    <w:rsid w:val="0E95596D"/>
    <w:rsid w:val="0EAE6205"/>
    <w:rsid w:val="0EAE6579"/>
    <w:rsid w:val="0EAF71BF"/>
    <w:rsid w:val="0ECE6257"/>
    <w:rsid w:val="0EE4129D"/>
    <w:rsid w:val="0F171032"/>
    <w:rsid w:val="0F335E69"/>
    <w:rsid w:val="0F372614"/>
    <w:rsid w:val="0F3D59C9"/>
    <w:rsid w:val="0F4C0664"/>
    <w:rsid w:val="0F516D5A"/>
    <w:rsid w:val="0F565B36"/>
    <w:rsid w:val="0F684933"/>
    <w:rsid w:val="0F821E7D"/>
    <w:rsid w:val="0FCA42ED"/>
    <w:rsid w:val="0FE7592C"/>
    <w:rsid w:val="0FFC17A5"/>
    <w:rsid w:val="0FFD20F0"/>
    <w:rsid w:val="10142F30"/>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3329E7"/>
    <w:rsid w:val="113F294C"/>
    <w:rsid w:val="11437C85"/>
    <w:rsid w:val="11575085"/>
    <w:rsid w:val="1166372C"/>
    <w:rsid w:val="11700D10"/>
    <w:rsid w:val="1178125A"/>
    <w:rsid w:val="118441E0"/>
    <w:rsid w:val="1196056D"/>
    <w:rsid w:val="11CD20A0"/>
    <w:rsid w:val="11D34654"/>
    <w:rsid w:val="12010480"/>
    <w:rsid w:val="120E707F"/>
    <w:rsid w:val="121D0051"/>
    <w:rsid w:val="12413D84"/>
    <w:rsid w:val="127A7D1C"/>
    <w:rsid w:val="12836D8B"/>
    <w:rsid w:val="12AB0349"/>
    <w:rsid w:val="12B66520"/>
    <w:rsid w:val="12CD57F1"/>
    <w:rsid w:val="12CE5941"/>
    <w:rsid w:val="12CE7AFA"/>
    <w:rsid w:val="12D67466"/>
    <w:rsid w:val="13036052"/>
    <w:rsid w:val="13272A5D"/>
    <w:rsid w:val="133C40E3"/>
    <w:rsid w:val="13493108"/>
    <w:rsid w:val="134A4EBA"/>
    <w:rsid w:val="13733928"/>
    <w:rsid w:val="13857CA0"/>
    <w:rsid w:val="13920D68"/>
    <w:rsid w:val="139C16C9"/>
    <w:rsid w:val="13A5238E"/>
    <w:rsid w:val="13B63CE1"/>
    <w:rsid w:val="13BC6684"/>
    <w:rsid w:val="13C72B3A"/>
    <w:rsid w:val="13D12EE6"/>
    <w:rsid w:val="13DF575E"/>
    <w:rsid w:val="13E470BD"/>
    <w:rsid w:val="13EE3A98"/>
    <w:rsid w:val="13F3280A"/>
    <w:rsid w:val="142123F7"/>
    <w:rsid w:val="142A11D8"/>
    <w:rsid w:val="144B544C"/>
    <w:rsid w:val="145B7B45"/>
    <w:rsid w:val="14717443"/>
    <w:rsid w:val="14825F8A"/>
    <w:rsid w:val="148C70AD"/>
    <w:rsid w:val="148D52E3"/>
    <w:rsid w:val="14992B90"/>
    <w:rsid w:val="149F10C7"/>
    <w:rsid w:val="14AF1856"/>
    <w:rsid w:val="14AF19A3"/>
    <w:rsid w:val="14B53957"/>
    <w:rsid w:val="14C53ECE"/>
    <w:rsid w:val="14CF6CB0"/>
    <w:rsid w:val="14DC5FE6"/>
    <w:rsid w:val="14E002E6"/>
    <w:rsid w:val="14FC36BD"/>
    <w:rsid w:val="14FF5EA7"/>
    <w:rsid w:val="151E3A0F"/>
    <w:rsid w:val="152534E9"/>
    <w:rsid w:val="153A36AA"/>
    <w:rsid w:val="15477903"/>
    <w:rsid w:val="1557566D"/>
    <w:rsid w:val="15785B3E"/>
    <w:rsid w:val="15811F1B"/>
    <w:rsid w:val="15A30135"/>
    <w:rsid w:val="15A34015"/>
    <w:rsid w:val="15BB487B"/>
    <w:rsid w:val="15CE086D"/>
    <w:rsid w:val="15E2236F"/>
    <w:rsid w:val="15FC2FFC"/>
    <w:rsid w:val="16005D04"/>
    <w:rsid w:val="161D09ED"/>
    <w:rsid w:val="162323A3"/>
    <w:rsid w:val="162F30B1"/>
    <w:rsid w:val="1650762F"/>
    <w:rsid w:val="16510F12"/>
    <w:rsid w:val="166448F9"/>
    <w:rsid w:val="1677211D"/>
    <w:rsid w:val="167954F9"/>
    <w:rsid w:val="169F0A33"/>
    <w:rsid w:val="169F7296"/>
    <w:rsid w:val="16A060BA"/>
    <w:rsid w:val="16A57EAF"/>
    <w:rsid w:val="16AC6E3F"/>
    <w:rsid w:val="16C872D5"/>
    <w:rsid w:val="16D54FA3"/>
    <w:rsid w:val="16D84D9F"/>
    <w:rsid w:val="16E94D3E"/>
    <w:rsid w:val="170D06E0"/>
    <w:rsid w:val="17332185"/>
    <w:rsid w:val="17475951"/>
    <w:rsid w:val="175C542D"/>
    <w:rsid w:val="17793FC0"/>
    <w:rsid w:val="179F2E61"/>
    <w:rsid w:val="17A06264"/>
    <w:rsid w:val="17BE19D3"/>
    <w:rsid w:val="17C227C0"/>
    <w:rsid w:val="17D66D7C"/>
    <w:rsid w:val="17EE5BFF"/>
    <w:rsid w:val="18097740"/>
    <w:rsid w:val="184055B9"/>
    <w:rsid w:val="184A2082"/>
    <w:rsid w:val="185D3C42"/>
    <w:rsid w:val="185F38AF"/>
    <w:rsid w:val="188F0211"/>
    <w:rsid w:val="18AD1BEB"/>
    <w:rsid w:val="18B3004A"/>
    <w:rsid w:val="18B31B6D"/>
    <w:rsid w:val="18B96080"/>
    <w:rsid w:val="18DB2CD8"/>
    <w:rsid w:val="18F67868"/>
    <w:rsid w:val="190B2D88"/>
    <w:rsid w:val="190E6B63"/>
    <w:rsid w:val="19123928"/>
    <w:rsid w:val="19194264"/>
    <w:rsid w:val="19283048"/>
    <w:rsid w:val="19420786"/>
    <w:rsid w:val="19427EC0"/>
    <w:rsid w:val="195711D7"/>
    <w:rsid w:val="195D2A3F"/>
    <w:rsid w:val="198310E9"/>
    <w:rsid w:val="198D747A"/>
    <w:rsid w:val="19A15638"/>
    <w:rsid w:val="19A74DFE"/>
    <w:rsid w:val="19A753EF"/>
    <w:rsid w:val="1A125525"/>
    <w:rsid w:val="1A5F4342"/>
    <w:rsid w:val="1A616E2C"/>
    <w:rsid w:val="1A7F369B"/>
    <w:rsid w:val="1A8C5D82"/>
    <w:rsid w:val="1A994988"/>
    <w:rsid w:val="1A9B546C"/>
    <w:rsid w:val="1AA3511F"/>
    <w:rsid w:val="1AAE3B54"/>
    <w:rsid w:val="1AC10987"/>
    <w:rsid w:val="1AEB6F83"/>
    <w:rsid w:val="1AF423FA"/>
    <w:rsid w:val="1B0C5B32"/>
    <w:rsid w:val="1B0D3E82"/>
    <w:rsid w:val="1B1652AB"/>
    <w:rsid w:val="1B181CD5"/>
    <w:rsid w:val="1B265306"/>
    <w:rsid w:val="1B4346C9"/>
    <w:rsid w:val="1B4F2450"/>
    <w:rsid w:val="1B530868"/>
    <w:rsid w:val="1B6573E8"/>
    <w:rsid w:val="1B8C18B7"/>
    <w:rsid w:val="1BB73AE1"/>
    <w:rsid w:val="1BDA6D68"/>
    <w:rsid w:val="1BF14125"/>
    <w:rsid w:val="1C002CEE"/>
    <w:rsid w:val="1C555978"/>
    <w:rsid w:val="1C6554A1"/>
    <w:rsid w:val="1C7971B7"/>
    <w:rsid w:val="1C917D91"/>
    <w:rsid w:val="1CAB2820"/>
    <w:rsid w:val="1CD402EC"/>
    <w:rsid w:val="1CED16EF"/>
    <w:rsid w:val="1CF02333"/>
    <w:rsid w:val="1D0C33A2"/>
    <w:rsid w:val="1D113E6E"/>
    <w:rsid w:val="1D114E5E"/>
    <w:rsid w:val="1D1F0050"/>
    <w:rsid w:val="1D214EDE"/>
    <w:rsid w:val="1D2222DC"/>
    <w:rsid w:val="1D5144F7"/>
    <w:rsid w:val="1D5B3CDE"/>
    <w:rsid w:val="1D6E2950"/>
    <w:rsid w:val="1D98209B"/>
    <w:rsid w:val="1DA23746"/>
    <w:rsid w:val="1DAA14B9"/>
    <w:rsid w:val="1DD04513"/>
    <w:rsid w:val="1DDD2BCB"/>
    <w:rsid w:val="1E0345E3"/>
    <w:rsid w:val="1E1B7B7F"/>
    <w:rsid w:val="1E443370"/>
    <w:rsid w:val="1E656063"/>
    <w:rsid w:val="1E6B06A5"/>
    <w:rsid w:val="1E7F7D9E"/>
    <w:rsid w:val="1E840DA4"/>
    <w:rsid w:val="1EA5444C"/>
    <w:rsid w:val="1EB350EF"/>
    <w:rsid w:val="1EC21749"/>
    <w:rsid w:val="1EEB7C4E"/>
    <w:rsid w:val="1F072441"/>
    <w:rsid w:val="1F171B83"/>
    <w:rsid w:val="1F2D491A"/>
    <w:rsid w:val="1F66355F"/>
    <w:rsid w:val="1F7369C7"/>
    <w:rsid w:val="1F9113A9"/>
    <w:rsid w:val="1F94547B"/>
    <w:rsid w:val="1FA47700"/>
    <w:rsid w:val="1FAF308C"/>
    <w:rsid w:val="1FB64FF9"/>
    <w:rsid w:val="1FC11109"/>
    <w:rsid w:val="1FDA3223"/>
    <w:rsid w:val="1FEF08C8"/>
    <w:rsid w:val="1FF72E6A"/>
    <w:rsid w:val="1FFB6F12"/>
    <w:rsid w:val="201B3ED4"/>
    <w:rsid w:val="20230F6D"/>
    <w:rsid w:val="20310B02"/>
    <w:rsid w:val="206F0406"/>
    <w:rsid w:val="20784063"/>
    <w:rsid w:val="207E346A"/>
    <w:rsid w:val="208E12C3"/>
    <w:rsid w:val="209502A3"/>
    <w:rsid w:val="2100305C"/>
    <w:rsid w:val="210F579E"/>
    <w:rsid w:val="21163FF0"/>
    <w:rsid w:val="212550B5"/>
    <w:rsid w:val="21592B62"/>
    <w:rsid w:val="2172049B"/>
    <w:rsid w:val="21747CD2"/>
    <w:rsid w:val="219263AA"/>
    <w:rsid w:val="219E5782"/>
    <w:rsid w:val="21D10545"/>
    <w:rsid w:val="21E72B0B"/>
    <w:rsid w:val="21EE607E"/>
    <w:rsid w:val="21F66F4C"/>
    <w:rsid w:val="221F2D96"/>
    <w:rsid w:val="22246DB1"/>
    <w:rsid w:val="22440067"/>
    <w:rsid w:val="225A6017"/>
    <w:rsid w:val="22631AF5"/>
    <w:rsid w:val="227A5532"/>
    <w:rsid w:val="22843A03"/>
    <w:rsid w:val="228E5C2C"/>
    <w:rsid w:val="22A338AB"/>
    <w:rsid w:val="22AD37A2"/>
    <w:rsid w:val="22B31E8A"/>
    <w:rsid w:val="22C05285"/>
    <w:rsid w:val="22C735BD"/>
    <w:rsid w:val="22D729A8"/>
    <w:rsid w:val="22F06957"/>
    <w:rsid w:val="23057681"/>
    <w:rsid w:val="23122833"/>
    <w:rsid w:val="231D4917"/>
    <w:rsid w:val="23223458"/>
    <w:rsid w:val="23225D32"/>
    <w:rsid w:val="23357BE6"/>
    <w:rsid w:val="2342574E"/>
    <w:rsid w:val="2377331D"/>
    <w:rsid w:val="237D43DE"/>
    <w:rsid w:val="23940114"/>
    <w:rsid w:val="23B57016"/>
    <w:rsid w:val="23C4797E"/>
    <w:rsid w:val="23D4764B"/>
    <w:rsid w:val="23EC3718"/>
    <w:rsid w:val="24044EF2"/>
    <w:rsid w:val="2407139D"/>
    <w:rsid w:val="240B04F4"/>
    <w:rsid w:val="240E369A"/>
    <w:rsid w:val="242A0646"/>
    <w:rsid w:val="2435301D"/>
    <w:rsid w:val="243A0633"/>
    <w:rsid w:val="243D6E1A"/>
    <w:rsid w:val="24453D05"/>
    <w:rsid w:val="24607F91"/>
    <w:rsid w:val="246C581B"/>
    <w:rsid w:val="247C52A2"/>
    <w:rsid w:val="24CC106B"/>
    <w:rsid w:val="24D00598"/>
    <w:rsid w:val="24D725E9"/>
    <w:rsid w:val="25045F70"/>
    <w:rsid w:val="250474F1"/>
    <w:rsid w:val="25056E93"/>
    <w:rsid w:val="25092EBA"/>
    <w:rsid w:val="250E5D48"/>
    <w:rsid w:val="25241020"/>
    <w:rsid w:val="25302410"/>
    <w:rsid w:val="257572C3"/>
    <w:rsid w:val="25790E85"/>
    <w:rsid w:val="25972C60"/>
    <w:rsid w:val="25974C6F"/>
    <w:rsid w:val="259D1676"/>
    <w:rsid w:val="25A353EB"/>
    <w:rsid w:val="25B87B65"/>
    <w:rsid w:val="25CB78C3"/>
    <w:rsid w:val="25D54390"/>
    <w:rsid w:val="261879A7"/>
    <w:rsid w:val="261A071C"/>
    <w:rsid w:val="264B0BA4"/>
    <w:rsid w:val="264F4111"/>
    <w:rsid w:val="265E0AEC"/>
    <w:rsid w:val="2661459D"/>
    <w:rsid w:val="268C5256"/>
    <w:rsid w:val="268E455B"/>
    <w:rsid w:val="26912B30"/>
    <w:rsid w:val="269772F0"/>
    <w:rsid w:val="26997893"/>
    <w:rsid w:val="26A30712"/>
    <w:rsid w:val="26AC0C27"/>
    <w:rsid w:val="26C807A6"/>
    <w:rsid w:val="26D1527F"/>
    <w:rsid w:val="26DB67BA"/>
    <w:rsid w:val="26E311CD"/>
    <w:rsid w:val="26EF24ED"/>
    <w:rsid w:val="26F1408A"/>
    <w:rsid w:val="26F96584"/>
    <w:rsid w:val="27015370"/>
    <w:rsid w:val="270B421F"/>
    <w:rsid w:val="27337CE7"/>
    <w:rsid w:val="274E2228"/>
    <w:rsid w:val="27517A93"/>
    <w:rsid w:val="275E53AF"/>
    <w:rsid w:val="276658E8"/>
    <w:rsid w:val="276F6846"/>
    <w:rsid w:val="277E30D2"/>
    <w:rsid w:val="27803F2A"/>
    <w:rsid w:val="27983FEE"/>
    <w:rsid w:val="27A34941"/>
    <w:rsid w:val="27EE3A7B"/>
    <w:rsid w:val="282E4F00"/>
    <w:rsid w:val="283C23DF"/>
    <w:rsid w:val="283D69F1"/>
    <w:rsid w:val="284C16F5"/>
    <w:rsid w:val="28570AB5"/>
    <w:rsid w:val="285F2CDC"/>
    <w:rsid w:val="28622C36"/>
    <w:rsid w:val="288C2D07"/>
    <w:rsid w:val="289E7E22"/>
    <w:rsid w:val="28C2534B"/>
    <w:rsid w:val="28C5525A"/>
    <w:rsid w:val="28D14B96"/>
    <w:rsid w:val="28FB48E2"/>
    <w:rsid w:val="29020C46"/>
    <w:rsid w:val="290240C7"/>
    <w:rsid w:val="291713AF"/>
    <w:rsid w:val="291A2B97"/>
    <w:rsid w:val="29274EE0"/>
    <w:rsid w:val="294F692F"/>
    <w:rsid w:val="295029E3"/>
    <w:rsid w:val="29543A59"/>
    <w:rsid w:val="2969197F"/>
    <w:rsid w:val="29746E87"/>
    <w:rsid w:val="297C03C2"/>
    <w:rsid w:val="299573AB"/>
    <w:rsid w:val="29BE5BD0"/>
    <w:rsid w:val="29C01572"/>
    <w:rsid w:val="29CA4207"/>
    <w:rsid w:val="29E74CE2"/>
    <w:rsid w:val="2A133E00"/>
    <w:rsid w:val="2A241B69"/>
    <w:rsid w:val="2A306A36"/>
    <w:rsid w:val="2A457300"/>
    <w:rsid w:val="2A5372C6"/>
    <w:rsid w:val="2A5B03D8"/>
    <w:rsid w:val="2A6F6D07"/>
    <w:rsid w:val="2A882500"/>
    <w:rsid w:val="2AA35184"/>
    <w:rsid w:val="2AAB4E76"/>
    <w:rsid w:val="2AB63ABC"/>
    <w:rsid w:val="2AB63D0A"/>
    <w:rsid w:val="2AEA74E5"/>
    <w:rsid w:val="2B003D00"/>
    <w:rsid w:val="2B074D5E"/>
    <w:rsid w:val="2B100BA9"/>
    <w:rsid w:val="2B1B5825"/>
    <w:rsid w:val="2B1E3AFC"/>
    <w:rsid w:val="2B8D373E"/>
    <w:rsid w:val="2B9E4F56"/>
    <w:rsid w:val="2BDB5A88"/>
    <w:rsid w:val="2BE91C37"/>
    <w:rsid w:val="2BEC3F72"/>
    <w:rsid w:val="2C083572"/>
    <w:rsid w:val="2C185F94"/>
    <w:rsid w:val="2C1F1AC4"/>
    <w:rsid w:val="2C2945BA"/>
    <w:rsid w:val="2C2E71FC"/>
    <w:rsid w:val="2C3F3A41"/>
    <w:rsid w:val="2C4431C4"/>
    <w:rsid w:val="2C62059F"/>
    <w:rsid w:val="2C6634FA"/>
    <w:rsid w:val="2C7843EE"/>
    <w:rsid w:val="2CA25191"/>
    <w:rsid w:val="2CAC022C"/>
    <w:rsid w:val="2CC11807"/>
    <w:rsid w:val="2CF16074"/>
    <w:rsid w:val="2CF81D1B"/>
    <w:rsid w:val="2D3F2453"/>
    <w:rsid w:val="2D835174"/>
    <w:rsid w:val="2D9331F9"/>
    <w:rsid w:val="2DD90B7B"/>
    <w:rsid w:val="2DDD3FC1"/>
    <w:rsid w:val="2DEA131C"/>
    <w:rsid w:val="2DF701D8"/>
    <w:rsid w:val="2DF970A1"/>
    <w:rsid w:val="2E085834"/>
    <w:rsid w:val="2E0F1CF7"/>
    <w:rsid w:val="2E1034F8"/>
    <w:rsid w:val="2E112405"/>
    <w:rsid w:val="2E120D8E"/>
    <w:rsid w:val="2E443652"/>
    <w:rsid w:val="2E505773"/>
    <w:rsid w:val="2E742F70"/>
    <w:rsid w:val="2E9A689E"/>
    <w:rsid w:val="2ED61D9E"/>
    <w:rsid w:val="2EDC2A13"/>
    <w:rsid w:val="2EFD7DB9"/>
    <w:rsid w:val="2F1A081D"/>
    <w:rsid w:val="2F1C72B3"/>
    <w:rsid w:val="2F1E3DC0"/>
    <w:rsid w:val="2F2D326E"/>
    <w:rsid w:val="2F3112DE"/>
    <w:rsid w:val="2F3B6922"/>
    <w:rsid w:val="2F3D7B25"/>
    <w:rsid w:val="2F506C6D"/>
    <w:rsid w:val="2F512253"/>
    <w:rsid w:val="2F51291F"/>
    <w:rsid w:val="2F55758A"/>
    <w:rsid w:val="2F7F15AE"/>
    <w:rsid w:val="2F912594"/>
    <w:rsid w:val="2FA54796"/>
    <w:rsid w:val="2FA674E2"/>
    <w:rsid w:val="2FFE7D49"/>
    <w:rsid w:val="3002294D"/>
    <w:rsid w:val="3011153D"/>
    <w:rsid w:val="30142680"/>
    <w:rsid w:val="302A11B1"/>
    <w:rsid w:val="302A5C42"/>
    <w:rsid w:val="30662043"/>
    <w:rsid w:val="3083092C"/>
    <w:rsid w:val="30930D2E"/>
    <w:rsid w:val="30B8125D"/>
    <w:rsid w:val="30BF439A"/>
    <w:rsid w:val="30CF6A37"/>
    <w:rsid w:val="30D250CF"/>
    <w:rsid w:val="31002970"/>
    <w:rsid w:val="311016AD"/>
    <w:rsid w:val="3136622A"/>
    <w:rsid w:val="3139422E"/>
    <w:rsid w:val="31496359"/>
    <w:rsid w:val="314D19A6"/>
    <w:rsid w:val="316177A4"/>
    <w:rsid w:val="31700E4B"/>
    <w:rsid w:val="3172683C"/>
    <w:rsid w:val="317C672F"/>
    <w:rsid w:val="319475D5"/>
    <w:rsid w:val="31A359FC"/>
    <w:rsid w:val="31AD0D61"/>
    <w:rsid w:val="31CD297B"/>
    <w:rsid w:val="31CD73BD"/>
    <w:rsid w:val="31D66571"/>
    <w:rsid w:val="31DB4220"/>
    <w:rsid w:val="31DC56CD"/>
    <w:rsid w:val="31E63B94"/>
    <w:rsid w:val="31F27AF7"/>
    <w:rsid w:val="31FA74CA"/>
    <w:rsid w:val="32176602"/>
    <w:rsid w:val="322A7699"/>
    <w:rsid w:val="322B25C6"/>
    <w:rsid w:val="32422E70"/>
    <w:rsid w:val="325E56C6"/>
    <w:rsid w:val="3275698A"/>
    <w:rsid w:val="32943B86"/>
    <w:rsid w:val="32A93829"/>
    <w:rsid w:val="32B943EC"/>
    <w:rsid w:val="32DC63A0"/>
    <w:rsid w:val="32E429C1"/>
    <w:rsid w:val="330503EE"/>
    <w:rsid w:val="334045BE"/>
    <w:rsid w:val="334A3B2A"/>
    <w:rsid w:val="3365592E"/>
    <w:rsid w:val="336A31F3"/>
    <w:rsid w:val="336F6533"/>
    <w:rsid w:val="337E5E2F"/>
    <w:rsid w:val="3384610D"/>
    <w:rsid w:val="33AA5979"/>
    <w:rsid w:val="33C03E90"/>
    <w:rsid w:val="33C96649"/>
    <w:rsid w:val="33CC3D88"/>
    <w:rsid w:val="33D939C5"/>
    <w:rsid w:val="33DD0306"/>
    <w:rsid w:val="33FD722F"/>
    <w:rsid w:val="3400362D"/>
    <w:rsid w:val="340B09C5"/>
    <w:rsid w:val="341E4CAB"/>
    <w:rsid w:val="34584EE2"/>
    <w:rsid w:val="347A1C51"/>
    <w:rsid w:val="347D373F"/>
    <w:rsid w:val="34922A93"/>
    <w:rsid w:val="34956481"/>
    <w:rsid w:val="34A35871"/>
    <w:rsid w:val="34C06C9D"/>
    <w:rsid w:val="34DF24AE"/>
    <w:rsid w:val="351C4931"/>
    <w:rsid w:val="351C4EAC"/>
    <w:rsid w:val="351D4C26"/>
    <w:rsid w:val="352E7D40"/>
    <w:rsid w:val="35361A77"/>
    <w:rsid w:val="35461A22"/>
    <w:rsid w:val="35483CC9"/>
    <w:rsid w:val="356E46AA"/>
    <w:rsid w:val="357235B0"/>
    <w:rsid w:val="3578502D"/>
    <w:rsid w:val="35A815CB"/>
    <w:rsid w:val="35A85BD0"/>
    <w:rsid w:val="35AA1B9C"/>
    <w:rsid w:val="35D501BC"/>
    <w:rsid w:val="35DB09A6"/>
    <w:rsid w:val="36080591"/>
    <w:rsid w:val="3609472F"/>
    <w:rsid w:val="36203B2D"/>
    <w:rsid w:val="369B4CF0"/>
    <w:rsid w:val="36D62629"/>
    <w:rsid w:val="36D76172"/>
    <w:rsid w:val="36D84407"/>
    <w:rsid w:val="36E833BB"/>
    <w:rsid w:val="36EB1E1B"/>
    <w:rsid w:val="36F17F0D"/>
    <w:rsid w:val="37224581"/>
    <w:rsid w:val="3735197D"/>
    <w:rsid w:val="373756A2"/>
    <w:rsid w:val="375E0DA6"/>
    <w:rsid w:val="377639AE"/>
    <w:rsid w:val="378B61A6"/>
    <w:rsid w:val="37B90F0B"/>
    <w:rsid w:val="37CD3F98"/>
    <w:rsid w:val="37DF75BA"/>
    <w:rsid w:val="37E148E2"/>
    <w:rsid w:val="37F848EE"/>
    <w:rsid w:val="37F912FC"/>
    <w:rsid w:val="38304889"/>
    <w:rsid w:val="3836588A"/>
    <w:rsid w:val="38382675"/>
    <w:rsid w:val="383B7B0D"/>
    <w:rsid w:val="3848553B"/>
    <w:rsid w:val="3851700B"/>
    <w:rsid w:val="385246B6"/>
    <w:rsid w:val="3876113B"/>
    <w:rsid w:val="38A53DB7"/>
    <w:rsid w:val="38BF3388"/>
    <w:rsid w:val="38CC268D"/>
    <w:rsid w:val="38DF1FDA"/>
    <w:rsid w:val="38EC2960"/>
    <w:rsid w:val="39030CF9"/>
    <w:rsid w:val="39091F35"/>
    <w:rsid w:val="392536E2"/>
    <w:rsid w:val="39465F15"/>
    <w:rsid w:val="39505209"/>
    <w:rsid w:val="396453C5"/>
    <w:rsid w:val="39922CCF"/>
    <w:rsid w:val="39A65327"/>
    <w:rsid w:val="39A65C9B"/>
    <w:rsid w:val="39B12384"/>
    <w:rsid w:val="39BC5ED6"/>
    <w:rsid w:val="39D27231"/>
    <w:rsid w:val="39EB39E0"/>
    <w:rsid w:val="39EF02D4"/>
    <w:rsid w:val="3A11342A"/>
    <w:rsid w:val="3A153110"/>
    <w:rsid w:val="3A2149EA"/>
    <w:rsid w:val="3A2507C0"/>
    <w:rsid w:val="3A285AD8"/>
    <w:rsid w:val="3A393FA7"/>
    <w:rsid w:val="3A3A5A22"/>
    <w:rsid w:val="3A524858"/>
    <w:rsid w:val="3A64203E"/>
    <w:rsid w:val="3A663D00"/>
    <w:rsid w:val="3A7428D0"/>
    <w:rsid w:val="3A923AE4"/>
    <w:rsid w:val="3AA50E25"/>
    <w:rsid w:val="3AC566E3"/>
    <w:rsid w:val="3AD6747A"/>
    <w:rsid w:val="3AD95C48"/>
    <w:rsid w:val="3ADF5D0A"/>
    <w:rsid w:val="3B312338"/>
    <w:rsid w:val="3B3C5B77"/>
    <w:rsid w:val="3B3D0FF2"/>
    <w:rsid w:val="3B521A18"/>
    <w:rsid w:val="3B721899"/>
    <w:rsid w:val="3B8D2B96"/>
    <w:rsid w:val="3B923660"/>
    <w:rsid w:val="3BCA44BE"/>
    <w:rsid w:val="3C061F3A"/>
    <w:rsid w:val="3C0A04F9"/>
    <w:rsid w:val="3C495480"/>
    <w:rsid w:val="3C4C3A42"/>
    <w:rsid w:val="3C6F0167"/>
    <w:rsid w:val="3C71667B"/>
    <w:rsid w:val="3C914F3B"/>
    <w:rsid w:val="3CC17F13"/>
    <w:rsid w:val="3CD50B40"/>
    <w:rsid w:val="3CE320A3"/>
    <w:rsid w:val="3CE9196C"/>
    <w:rsid w:val="3CF15105"/>
    <w:rsid w:val="3D0C04B9"/>
    <w:rsid w:val="3D1414C5"/>
    <w:rsid w:val="3D1C763E"/>
    <w:rsid w:val="3D201AA5"/>
    <w:rsid w:val="3D2B37EA"/>
    <w:rsid w:val="3D2F7FF3"/>
    <w:rsid w:val="3D3D1507"/>
    <w:rsid w:val="3D62085B"/>
    <w:rsid w:val="3D6B12FD"/>
    <w:rsid w:val="3D7B4622"/>
    <w:rsid w:val="3D8E5820"/>
    <w:rsid w:val="3D942E29"/>
    <w:rsid w:val="3DA53531"/>
    <w:rsid w:val="3DB315F8"/>
    <w:rsid w:val="3DB54E0C"/>
    <w:rsid w:val="3DB900C1"/>
    <w:rsid w:val="3DE91725"/>
    <w:rsid w:val="3DF159B1"/>
    <w:rsid w:val="3E135D25"/>
    <w:rsid w:val="3E1A106E"/>
    <w:rsid w:val="3E36303B"/>
    <w:rsid w:val="3E526044"/>
    <w:rsid w:val="3E5C591E"/>
    <w:rsid w:val="3E6C2B3A"/>
    <w:rsid w:val="3E8C5311"/>
    <w:rsid w:val="3E8E7E55"/>
    <w:rsid w:val="3EB61473"/>
    <w:rsid w:val="3EC66011"/>
    <w:rsid w:val="3ED75B7F"/>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3A6E40"/>
    <w:rsid w:val="40425879"/>
    <w:rsid w:val="405C1C05"/>
    <w:rsid w:val="40765D15"/>
    <w:rsid w:val="407B4FC1"/>
    <w:rsid w:val="407F2DE9"/>
    <w:rsid w:val="40920B61"/>
    <w:rsid w:val="40991379"/>
    <w:rsid w:val="409B3C3D"/>
    <w:rsid w:val="40F701DF"/>
    <w:rsid w:val="40FD480A"/>
    <w:rsid w:val="412A32F8"/>
    <w:rsid w:val="415376D6"/>
    <w:rsid w:val="417F433E"/>
    <w:rsid w:val="419C4043"/>
    <w:rsid w:val="41B7239D"/>
    <w:rsid w:val="41D852BC"/>
    <w:rsid w:val="41FF3845"/>
    <w:rsid w:val="421104A9"/>
    <w:rsid w:val="42143B88"/>
    <w:rsid w:val="42164586"/>
    <w:rsid w:val="425B5DD1"/>
    <w:rsid w:val="4260300C"/>
    <w:rsid w:val="42755200"/>
    <w:rsid w:val="42772802"/>
    <w:rsid w:val="427C799E"/>
    <w:rsid w:val="42800B9B"/>
    <w:rsid w:val="4281223D"/>
    <w:rsid w:val="42A06B6C"/>
    <w:rsid w:val="42A27996"/>
    <w:rsid w:val="42AA04E2"/>
    <w:rsid w:val="42EA5650"/>
    <w:rsid w:val="431408DA"/>
    <w:rsid w:val="4331401E"/>
    <w:rsid w:val="43486FC5"/>
    <w:rsid w:val="43591DDA"/>
    <w:rsid w:val="435A0DF2"/>
    <w:rsid w:val="436C42E1"/>
    <w:rsid w:val="437C210F"/>
    <w:rsid w:val="43847F02"/>
    <w:rsid w:val="438F113C"/>
    <w:rsid w:val="439E7EFB"/>
    <w:rsid w:val="43B1568A"/>
    <w:rsid w:val="43B64E08"/>
    <w:rsid w:val="43BD7F58"/>
    <w:rsid w:val="43D43ECA"/>
    <w:rsid w:val="43DD452F"/>
    <w:rsid w:val="43DE6CD4"/>
    <w:rsid w:val="43E51150"/>
    <w:rsid w:val="43EF28BB"/>
    <w:rsid w:val="43EF56D3"/>
    <w:rsid w:val="43F47D80"/>
    <w:rsid w:val="44095C00"/>
    <w:rsid w:val="440A6FD2"/>
    <w:rsid w:val="44366C11"/>
    <w:rsid w:val="444946CA"/>
    <w:rsid w:val="444B3F54"/>
    <w:rsid w:val="4476661F"/>
    <w:rsid w:val="447E3AC5"/>
    <w:rsid w:val="44805ED4"/>
    <w:rsid w:val="448E5DEE"/>
    <w:rsid w:val="44A90BAA"/>
    <w:rsid w:val="44B24A20"/>
    <w:rsid w:val="44BC0BEE"/>
    <w:rsid w:val="44BF6C07"/>
    <w:rsid w:val="44C55A88"/>
    <w:rsid w:val="44FB1C9C"/>
    <w:rsid w:val="45392A13"/>
    <w:rsid w:val="453E3FCF"/>
    <w:rsid w:val="454F1836"/>
    <w:rsid w:val="45887B45"/>
    <w:rsid w:val="458B66DF"/>
    <w:rsid w:val="45940F0E"/>
    <w:rsid w:val="45AC5DBA"/>
    <w:rsid w:val="45C647AF"/>
    <w:rsid w:val="45DD529D"/>
    <w:rsid w:val="45E57886"/>
    <w:rsid w:val="45E945CC"/>
    <w:rsid w:val="46003076"/>
    <w:rsid w:val="46026F63"/>
    <w:rsid w:val="46177E29"/>
    <w:rsid w:val="46205B7F"/>
    <w:rsid w:val="465D501C"/>
    <w:rsid w:val="466367DB"/>
    <w:rsid w:val="46686D18"/>
    <w:rsid w:val="466D15DA"/>
    <w:rsid w:val="46BF7E28"/>
    <w:rsid w:val="46C3037C"/>
    <w:rsid w:val="46FF15E0"/>
    <w:rsid w:val="4700581C"/>
    <w:rsid w:val="4702516A"/>
    <w:rsid w:val="4724600B"/>
    <w:rsid w:val="472C4A6C"/>
    <w:rsid w:val="474A4B33"/>
    <w:rsid w:val="47665A15"/>
    <w:rsid w:val="47677941"/>
    <w:rsid w:val="477F1660"/>
    <w:rsid w:val="4788232A"/>
    <w:rsid w:val="478B0398"/>
    <w:rsid w:val="478F5D0B"/>
    <w:rsid w:val="479D5A47"/>
    <w:rsid w:val="47A31F5F"/>
    <w:rsid w:val="47A84BA6"/>
    <w:rsid w:val="47B52444"/>
    <w:rsid w:val="47B8724E"/>
    <w:rsid w:val="47ED7BCA"/>
    <w:rsid w:val="48016F34"/>
    <w:rsid w:val="480556DB"/>
    <w:rsid w:val="48185C56"/>
    <w:rsid w:val="48450F81"/>
    <w:rsid w:val="484E729D"/>
    <w:rsid w:val="48566773"/>
    <w:rsid w:val="485A23C2"/>
    <w:rsid w:val="48A16B62"/>
    <w:rsid w:val="48BC6222"/>
    <w:rsid w:val="48C245E9"/>
    <w:rsid w:val="48DB312A"/>
    <w:rsid w:val="48DF49D9"/>
    <w:rsid w:val="492108CC"/>
    <w:rsid w:val="49413F52"/>
    <w:rsid w:val="494F6304"/>
    <w:rsid w:val="4A05334F"/>
    <w:rsid w:val="4A244932"/>
    <w:rsid w:val="4A2922C8"/>
    <w:rsid w:val="4A4117B2"/>
    <w:rsid w:val="4A4A6F73"/>
    <w:rsid w:val="4A7A4350"/>
    <w:rsid w:val="4A7E2497"/>
    <w:rsid w:val="4A896826"/>
    <w:rsid w:val="4ABF5E17"/>
    <w:rsid w:val="4ACF7478"/>
    <w:rsid w:val="4AD52CE0"/>
    <w:rsid w:val="4AE01A66"/>
    <w:rsid w:val="4AE104D6"/>
    <w:rsid w:val="4AE724D1"/>
    <w:rsid w:val="4AE77140"/>
    <w:rsid w:val="4AEA4061"/>
    <w:rsid w:val="4AED707B"/>
    <w:rsid w:val="4AFA2F07"/>
    <w:rsid w:val="4B015D61"/>
    <w:rsid w:val="4B0B7979"/>
    <w:rsid w:val="4B1530DD"/>
    <w:rsid w:val="4B520DF4"/>
    <w:rsid w:val="4B603107"/>
    <w:rsid w:val="4B7A5635"/>
    <w:rsid w:val="4B8E10E1"/>
    <w:rsid w:val="4B9802B0"/>
    <w:rsid w:val="4B9E65BE"/>
    <w:rsid w:val="4B9F33A8"/>
    <w:rsid w:val="4BA80AFD"/>
    <w:rsid w:val="4BB033BA"/>
    <w:rsid w:val="4BB469AD"/>
    <w:rsid w:val="4BC06040"/>
    <w:rsid w:val="4BF441D2"/>
    <w:rsid w:val="4C1C2A09"/>
    <w:rsid w:val="4C284AD9"/>
    <w:rsid w:val="4C423098"/>
    <w:rsid w:val="4C694192"/>
    <w:rsid w:val="4C7964D9"/>
    <w:rsid w:val="4C9269F6"/>
    <w:rsid w:val="4CB75F07"/>
    <w:rsid w:val="4CC84335"/>
    <w:rsid w:val="4CE9350A"/>
    <w:rsid w:val="4D225F85"/>
    <w:rsid w:val="4D297BF3"/>
    <w:rsid w:val="4D2D0EAF"/>
    <w:rsid w:val="4D795A49"/>
    <w:rsid w:val="4D7F0082"/>
    <w:rsid w:val="4D952FD9"/>
    <w:rsid w:val="4D970662"/>
    <w:rsid w:val="4D9A1FBF"/>
    <w:rsid w:val="4DB33393"/>
    <w:rsid w:val="4DBC3CE3"/>
    <w:rsid w:val="4DCB51C5"/>
    <w:rsid w:val="4DCF1E0D"/>
    <w:rsid w:val="4DD632D9"/>
    <w:rsid w:val="4DE05D9E"/>
    <w:rsid w:val="4DE05DF9"/>
    <w:rsid w:val="4DE44800"/>
    <w:rsid w:val="4DEE0709"/>
    <w:rsid w:val="4DFC14EA"/>
    <w:rsid w:val="4DFF6815"/>
    <w:rsid w:val="4E0A3427"/>
    <w:rsid w:val="4E2423AC"/>
    <w:rsid w:val="4E287F63"/>
    <w:rsid w:val="4E304B5D"/>
    <w:rsid w:val="4E611B8B"/>
    <w:rsid w:val="4E6279D7"/>
    <w:rsid w:val="4E682F8C"/>
    <w:rsid w:val="4E6A7BB7"/>
    <w:rsid w:val="4E9133C2"/>
    <w:rsid w:val="4EB23220"/>
    <w:rsid w:val="4F0773B4"/>
    <w:rsid w:val="4F241019"/>
    <w:rsid w:val="4F307BB1"/>
    <w:rsid w:val="4F336227"/>
    <w:rsid w:val="4F3D562D"/>
    <w:rsid w:val="4F5C4EE0"/>
    <w:rsid w:val="4F6E1972"/>
    <w:rsid w:val="4F943166"/>
    <w:rsid w:val="4F9C19A5"/>
    <w:rsid w:val="4FBA02A1"/>
    <w:rsid w:val="4FE7106E"/>
    <w:rsid w:val="4FF82FCD"/>
    <w:rsid w:val="50053943"/>
    <w:rsid w:val="50374A3C"/>
    <w:rsid w:val="50550E55"/>
    <w:rsid w:val="50901457"/>
    <w:rsid w:val="509F43E4"/>
    <w:rsid w:val="50A54D3E"/>
    <w:rsid w:val="50B82E88"/>
    <w:rsid w:val="50BB32A7"/>
    <w:rsid w:val="50F1402B"/>
    <w:rsid w:val="50FD2AD9"/>
    <w:rsid w:val="51081E85"/>
    <w:rsid w:val="51097D9A"/>
    <w:rsid w:val="51237D2E"/>
    <w:rsid w:val="515B06D0"/>
    <w:rsid w:val="51764AF1"/>
    <w:rsid w:val="51996737"/>
    <w:rsid w:val="51B408B8"/>
    <w:rsid w:val="51B80848"/>
    <w:rsid w:val="51CC0868"/>
    <w:rsid w:val="51D5340F"/>
    <w:rsid w:val="52382F2A"/>
    <w:rsid w:val="52386E3D"/>
    <w:rsid w:val="523A7DD1"/>
    <w:rsid w:val="523B7711"/>
    <w:rsid w:val="5271774C"/>
    <w:rsid w:val="528D7B65"/>
    <w:rsid w:val="52DE008D"/>
    <w:rsid w:val="52EE341E"/>
    <w:rsid w:val="52F37FE6"/>
    <w:rsid w:val="52FC1CAF"/>
    <w:rsid w:val="52FE08FA"/>
    <w:rsid w:val="530B071F"/>
    <w:rsid w:val="531A330F"/>
    <w:rsid w:val="532B6CAF"/>
    <w:rsid w:val="53350D91"/>
    <w:rsid w:val="53412644"/>
    <w:rsid w:val="53433903"/>
    <w:rsid w:val="53517A72"/>
    <w:rsid w:val="5361549D"/>
    <w:rsid w:val="536220DA"/>
    <w:rsid w:val="53650637"/>
    <w:rsid w:val="537155BE"/>
    <w:rsid w:val="53757C6B"/>
    <w:rsid w:val="537E1075"/>
    <w:rsid w:val="53A44D07"/>
    <w:rsid w:val="53A46AC8"/>
    <w:rsid w:val="53AB7F1F"/>
    <w:rsid w:val="53AC6F7B"/>
    <w:rsid w:val="53EB297B"/>
    <w:rsid w:val="53EC4BF7"/>
    <w:rsid w:val="53F758A1"/>
    <w:rsid w:val="540D5A7F"/>
    <w:rsid w:val="542E2BC2"/>
    <w:rsid w:val="54352A96"/>
    <w:rsid w:val="54447390"/>
    <w:rsid w:val="544B514D"/>
    <w:rsid w:val="545E1D01"/>
    <w:rsid w:val="54674051"/>
    <w:rsid w:val="54935B8F"/>
    <w:rsid w:val="54CC6227"/>
    <w:rsid w:val="54D10F9B"/>
    <w:rsid w:val="54D97871"/>
    <w:rsid w:val="551D586C"/>
    <w:rsid w:val="55200298"/>
    <w:rsid w:val="55335E1B"/>
    <w:rsid w:val="554B7EF0"/>
    <w:rsid w:val="556F3D99"/>
    <w:rsid w:val="55720837"/>
    <w:rsid w:val="55860894"/>
    <w:rsid w:val="558F6181"/>
    <w:rsid w:val="55B02DF1"/>
    <w:rsid w:val="55DC290C"/>
    <w:rsid w:val="55E71B19"/>
    <w:rsid w:val="55EA5D64"/>
    <w:rsid w:val="55F01FA1"/>
    <w:rsid w:val="55FC19B9"/>
    <w:rsid w:val="56130B60"/>
    <w:rsid w:val="562A703E"/>
    <w:rsid w:val="56990B7C"/>
    <w:rsid w:val="569E1126"/>
    <w:rsid w:val="56A8690E"/>
    <w:rsid w:val="56B679AB"/>
    <w:rsid w:val="56B80DEB"/>
    <w:rsid w:val="56E0560F"/>
    <w:rsid w:val="56E06E61"/>
    <w:rsid w:val="56F653FE"/>
    <w:rsid w:val="574448FC"/>
    <w:rsid w:val="57561D39"/>
    <w:rsid w:val="575B7AFD"/>
    <w:rsid w:val="57660D3F"/>
    <w:rsid w:val="5785783C"/>
    <w:rsid w:val="57D10760"/>
    <w:rsid w:val="57D1153D"/>
    <w:rsid w:val="57D77297"/>
    <w:rsid w:val="57FA3774"/>
    <w:rsid w:val="58084A3C"/>
    <w:rsid w:val="582772A7"/>
    <w:rsid w:val="58531B77"/>
    <w:rsid w:val="585D2975"/>
    <w:rsid w:val="585E3492"/>
    <w:rsid w:val="585F64F9"/>
    <w:rsid w:val="587E3341"/>
    <w:rsid w:val="587F428B"/>
    <w:rsid w:val="58B31855"/>
    <w:rsid w:val="58CF56D8"/>
    <w:rsid w:val="58D31010"/>
    <w:rsid w:val="58D6741E"/>
    <w:rsid w:val="58DB0535"/>
    <w:rsid w:val="58E62E0E"/>
    <w:rsid w:val="58EA3D0E"/>
    <w:rsid w:val="58F24A5D"/>
    <w:rsid w:val="58F71269"/>
    <w:rsid w:val="58FE045E"/>
    <w:rsid w:val="59014CEF"/>
    <w:rsid w:val="59561946"/>
    <w:rsid w:val="59670F51"/>
    <w:rsid w:val="596A44F9"/>
    <w:rsid w:val="596C19BB"/>
    <w:rsid w:val="59790BDB"/>
    <w:rsid w:val="597E3F42"/>
    <w:rsid w:val="598653AC"/>
    <w:rsid w:val="59AC3C86"/>
    <w:rsid w:val="59B817D3"/>
    <w:rsid w:val="59C11856"/>
    <w:rsid w:val="59C153AB"/>
    <w:rsid w:val="59D42FDA"/>
    <w:rsid w:val="59DA4E01"/>
    <w:rsid w:val="59F64E82"/>
    <w:rsid w:val="5A0A5DD6"/>
    <w:rsid w:val="5A10435C"/>
    <w:rsid w:val="5A2654CC"/>
    <w:rsid w:val="5A323A44"/>
    <w:rsid w:val="5A395E66"/>
    <w:rsid w:val="5A476FBE"/>
    <w:rsid w:val="5A484352"/>
    <w:rsid w:val="5A5321A5"/>
    <w:rsid w:val="5A8734AF"/>
    <w:rsid w:val="5A9D3E45"/>
    <w:rsid w:val="5AA4101D"/>
    <w:rsid w:val="5AB17576"/>
    <w:rsid w:val="5ABD68E6"/>
    <w:rsid w:val="5ABF73D2"/>
    <w:rsid w:val="5ACB3D8A"/>
    <w:rsid w:val="5AE1508F"/>
    <w:rsid w:val="5AF80256"/>
    <w:rsid w:val="5B110CC9"/>
    <w:rsid w:val="5B1F7B5D"/>
    <w:rsid w:val="5B585171"/>
    <w:rsid w:val="5B585B78"/>
    <w:rsid w:val="5B6D62B9"/>
    <w:rsid w:val="5B746CFA"/>
    <w:rsid w:val="5B9A2B59"/>
    <w:rsid w:val="5BC0085A"/>
    <w:rsid w:val="5BE03293"/>
    <w:rsid w:val="5BF03D58"/>
    <w:rsid w:val="5BF20AFB"/>
    <w:rsid w:val="5C1A6BB2"/>
    <w:rsid w:val="5C37233A"/>
    <w:rsid w:val="5C5355FE"/>
    <w:rsid w:val="5C5A49A5"/>
    <w:rsid w:val="5C6715FE"/>
    <w:rsid w:val="5C6F4105"/>
    <w:rsid w:val="5CBB7F6F"/>
    <w:rsid w:val="5CC248CE"/>
    <w:rsid w:val="5D042FB1"/>
    <w:rsid w:val="5D442CB4"/>
    <w:rsid w:val="5D7C3F11"/>
    <w:rsid w:val="5D971C5A"/>
    <w:rsid w:val="5D9D49E0"/>
    <w:rsid w:val="5DDF1821"/>
    <w:rsid w:val="5DE2656A"/>
    <w:rsid w:val="5DEA2F91"/>
    <w:rsid w:val="5DF94AE0"/>
    <w:rsid w:val="5DFA5883"/>
    <w:rsid w:val="5E3146A3"/>
    <w:rsid w:val="5E442F62"/>
    <w:rsid w:val="5E6C2C5B"/>
    <w:rsid w:val="5E6E2DD8"/>
    <w:rsid w:val="5E7251A2"/>
    <w:rsid w:val="5E7C3591"/>
    <w:rsid w:val="5E9D0E18"/>
    <w:rsid w:val="5EA26F25"/>
    <w:rsid w:val="5EA341D7"/>
    <w:rsid w:val="5EA755DE"/>
    <w:rsid w:val="5ED35F0E"/>
    <w:rsid w:val="5EDF7832"/>
    <w:rsid w:val="5EFC1390"/>
    <w:rsid w:val="5EFC3EB6"/>
    <w:rsid w:val="5F03335D"/>
    <w:rsid w:val="5F0368C7"/>
    <w:rsid w:val="5F1544E7"/>
    <w:rsid w:val="5F197EE8"/>
    <w:rsid w:val="5F312D8D"/>
    <w:rsid w:val="5F3C4923"/>
    <w:rsid w:val="5F4160B0"/>
    <w:rsid w:val="5F5A7800"/>
    <w:rsid w:val="5F6368E9"/>
    <w:rsid w:val="5F7811D3"/>
    <w:rsid w:val="5F9A65E6"/>
    <w:rsid w:val="5F9B2627"/>
    <w:rsid w:val="5FAC7B1F"/>
    <w:rsid w:val="5FB80E3D"/>
    <w:rsid w:val="5FB831B4"/>
    <w:rsid w:val="5FD40999"/>
    <w:rsid w:val="5FE5522B"/>
    <w:rsid w:val="5FF03F08"/>
    <w:rsid w:val="5FF2548E"/>
    <w:rsid w:val="5FF313D3"/>
    <w:rsid w:val="602610FD"/>
    <w:rsid w:val="602808B2"/>
    <w:rsid w:val="602C2F4B"/>
    <w:rsid w:val="603814FF"/>
    <w:rsid w:val="604109A8"/>
    <w:rsid w:val="605D2617"/>
    <w:rsid w:val="60616CDC"/>
    <w:rsid w:val="60624E53"/>
    <w:rsid w:val="606319E5"/>
    <w:rsid w:val="607A77D8"/>
    <w:rsid w:val="607B3C50"/>
    <w:rsid w:val="608B6567"/>
    <w:rsid w:val="60902A4E"/>
    <w:rsid w:val="60AA3E6F"/>
    <w:rsid w:val="60FF21D9"/>
    <w:rsid w:val="611E37D0"/>
    <w:rsid w:val="613021B3"/>
    <w:rsid w:val="61306A6A"/>
    <w:rsid w:val="613253FD"/>
    <w:rsid w:val="61421F29"/>
    <w:rsid w:val="61712185"/>
    <w:rsid w:val="618B7207"/>
    <w:rsid w:val="61907E69"/>
    <w:rsid w:val="61A90D68"/>
    <w:rsid w:val="61B43A15"/>
    <w:rsid w:val="62065A1D"/>
    <w:rsid w:val="6213792C"/>
    <w:rsid w:val="621775E2"/>
    <w:rsid w:val="621C0D9D"/>
    <w:rsid w:val="622F7552"/>
    <w:rsid w:val="6250406E"/>
    <w:rsid w:val="627D6831"/>
    <w:rsid w:val="62811B1C"/>
    <w:rsid w:val="62A20409"/>
    <w:rsid w:val="62B54B44"/>
    <w:rsid w:val="62E045DA"/>
    <w:rsid w:val="62E454A1"/>
    <w:rsid w:val="62F36E4C"/>
    <w:rsid w:val="62F47F8F"/>
    <w:rsid w:val="62F7233F"/>
    <w:rsid w:val="631F3FB4"/>
    <w:rsid w:val="63364F75"/>
    <w:rsid w:val="6340438B"/>
    <w:rsid w:val="6353238E"/>
    <w:rsid w:val="63612AB8"/>
    <w:rsid w:val="6379289B"/>
    <w:rsid w:val="637D0978"/>
    <w:rsid w:val="638906B4"/>
    <w:rsid w:val="638968B0"/>
    <w:rsid w:val="638A282C"/>
    <w:rsid w:val="63A75341"/>
    <w:rsid w:val="63A85E90"/>
    <w:rsid w:val="63A962DB"/>
    <w:rsid w:val="63AB1A91"/>
    <w:rsid w:val="63B75221"/>
    <w:rsid w:val="63B82D47"/>
    <w:rsid w:val="63C74D38"/>
    <w:rsid w:val="63EE4692"/>
    <w:rsid w:val="63FD622D"/>
    <w:rsid w:val="64177A6E"/>
    <w:rsid w:val="643F32F9"/>
    <w:rsid w:val="64582686"/>
    <w:rsid w:val="64673C87"/>
    <w:rsid w:val="64877733"/>
    <w:rsid w:val="64A170D2"/>
    <w:rsid w:val="64A251DD"/>
    <w:rsid w:val="64BC182A"/>
    <w:rsid w:val="650242F0"/>
    <w:rsid w:val="65365B2B"/>
    <w:rsid w:val="653F447E"/>
    <w:rsid w:val="65542778"/>
    <w:rsid w:val="655829AF"/>
    <w:rsid w:val="656B70C3"/>
    <w:rsid w:val="658F4798"/>
    <w:rsid w:val="659B1EBA"/>
    <w:rsid w:val="65A83379"/>
    <w:rsid w:val="65B461E9"/>
    <w:rsid w:val="65BE39A8"/>
    <w:rsid w:val="65CA1F57"/>
    <w:rsid w:val="65FB3FBE"/>
    <w:rsid w:val="66247D11"/>
    <w:rsid w:val="66736112"/>
    <w:rsid w:val="667F5B5B"/>
    <w:rsid w:val="6694262A"/>
    <w:rsid w:val="66990381"/>
    <w:rsid w:val="66B31B01"/>
    <w:rsid w:val="66CE1E80"/>
    <w:rsid w:val="66E362F9"/>
    <w:rsid w:val="66E47FD9"/>
    <w:rsid w:val="66F127F8"/>
    <w:rsid w:val="67071922"/>
    <w:rsid w:val="672A5D0A"/>
    <w:rsid w:val="673B73C0"/>
    <w:rsid w:val="674743C8"/>
    <w:rsid w:val="675608B6"/>
    <w:rsid w:val="67754402"/>
    <w:rsid w:val="677D54ED"/>
    <w:rsid w:val="678B726C"/>
    <w:rsid w:val="67B25E27"/>
    <w:rsid w:val="67B4646D"/>
    <w:rsid w:val="67B464CA"/>
    <w:rsid w:val="67C4383B"/>
    <w:rsid w:val="67D35E1A"/>
    <w:rsid w:val="67D839B8"/>
    <w:rsid w:val="67F35317"/>
    <w:rsid w:val="680201B7"/>
    <w:rsid w:val="68362BFB"/>
    <w:rsid w:val="683D085A"/>
    <w:rsid w:val="683F1130"/>
    <w:rsid w:val="684456A1"/>
    <w:rsid w:val="685E1363"/>
    <w:rsid w:val="687731D1"/>
    <w:rsid w:val="6878475E"/>
    <w:rsid w:val="688E1089"/>
    <w:rsid w:val="68993219"/>
    <w:rsid w:val="68A026F3"/>
    <w:rsid w:val="68AF6C13"/>
    <w:rsid w:val="68F25680"/>
    <w:rsid w:val="69074555"/>
    <w:rsid w:val="690E07C7"/>
    <w:rsid w:val="69236A65"/>
    <w:rsid w:val="692E469B"/>
    <w:rsid w:val="69315C48"/>
    <w:rsid w:val="694019EC"/>
    <w:rsid w:val="694841AF"/>
    <w:rsid w:val="69584DB4"/>
    <w:rsid w:val="696C3D80"/>
    <w:rsid w:val="698A5EE4"/>
    <w:rsid w:val="69C811ED"/>
    <w:rsid w:val="69D33070"/>
    <w:rsid w:val="69E97E75"/>
    <w:rsid w:val="69FB5D9E"/>
    <w:rsid w:val="69FF6FDA"/>
    <w:rsid w:val="6A1A3007"/>
    <w:rsid w:val="6A1E645E"/>
    <w:rsid w:val="6A417049"/>
    <w:rsid w:val="6A7903E5"/>
    <w:rsid w:val="6A8219B9"/>
    <w:rsid w:val="6AA03032"/>
    <w:rsid w:val="6AA86FEC"/>
    <w:rsid w:val="6ACB20F7"/>
    <w:rsid w:val="6ADA6AC4"/>
    <w:rsid w:val="6ADB11D6"/>
    <w:rsid w:val="6B1A2C3C"/>
    <w:rsid w:val="6B221F4E"/>
    <w:rsid w:val="6B31644D"/>
    <w:rsid w:val="6B486C86"/>
    <w:rsid w:val="6B554C72"/>
    <w:rsid w:val="6B774DF2"/>
    <w:rsid w:val="6B847AD7"/>
    <w:rsid w:val="6B961F07"/>
    <w:rsid w:val="6B9A2DF9"/>
    <w:rsid w:val="6BA56BC7"/>
    <w:rsid w:val="6BAC4619"/>
    <w:rsid w:val="6BC60150"/>
    <w:rsid w:val="6BCD2823"/>
    <w:rsid w:val="6BDD15DD"/>
    <w:rsid w:val="6BDF2966"/>
    <w:rsid w:val="6BE86A5F"/>
    <w:rsid w:val="6C234DED"/>
    <w:rsid w:val="6C29198B"/>
    <w:rsid w:val="6C3A67D1"/>
    <w:rsid w:val="6C3D2D5C"/>
    <w:rsid w:val="6C4800AA"/>
    <w:rsid w:val="6C4D28F8"/>
    <w:rsid w:val="6C573E9C"/>
    <w:rsid w:val="6C5C23DC"/>
    <w:rsid w:val="6C6D1126"/>
    <w:rsid w:val="6C986334"/>
    <w:rsid w:val="6CA35B3A"/>
    <w:rsid w:val="6CA41A5D"/>
    <w:rsid w:val="6CA479DF"/>
    <w:rsid w:val="6CA60B56"/>
    <w:rsid w:val="6CAF588C"/>
    <w:rsid w:val="6CB4638E"/>
    <w:rsid w:val="6CBF3C6A"/>
    <w:rsid w:val="6CBF5306"/>
    <w:rsid w:val="6CD930DF"/>
    <w:rsid w:val="6CDC1854"/>
    <w:rsid w:val="6CE70FA1"/>
    <w:rsid w:val="6CF05300"/>
    <w:rsid w:val="6CFA6351"/>
    <w:rsid w:val="6CFC3C40"/>
    <w:rsid w:val="6D2F6F7D"/>
    <w:rsid w:val="6D480984"/>
    <w:rsid w:val="6DB13E57"/>
    <w:rsid w:val="6DC245A2"/>
    <w:rsid w:val="6DC71662"/>
    <w:rsid w:val="6DCD5126"/>
    <w:rsid w:val="6DDB6CB0"/>
    <w:rsid w:val="6DE21877"/>
    <w:rsid w:val="6DE52ACD"/>
    <w:rsid w:val="6DFC0B44"/>
    <w:rsid w:val="6E0458E7"/>
    <w:rsid w:val="6E212037"/>
    <w:rsid w:val="6E3B221B"/>
    <w:rsid w:val="6E475779"/>
    <w:rsid w:val="6E51424D"/>
    <w:rsid w:val="6E663C68"/>
    <w:rsid w:val="6E7764EF"/>
    <w:rsid w:val="6EAD447C"/>
    <w:rsid w:val="6EAE5472"/>
    <w:rsid w:val="6EBC069A"/>
    <w:rsid w:val="6ECD7F59"/>
    <w:rsid w:val="6ECF449B"/>
    <w:rsid w:val="6EED7C80"/>
    <w:rsid w:val="6EF773A4"/>
    <w:rsid w:val="6F1E2E65"/>
    <w:rsid w:val="6F2F2D9E"/>
    <w:rsid w:val="6F4147D9"/>
    <w:rsid w:val="6F581F47"/>
    <w:rsid w:val="6F5B0D5A"/>
    <w:rsid w:val="6F5C35EA"/>
    <w:rsid w:val="6F6B6A15"/>
    <w:rsid w:val="6F947E4B"/>
    <w:rsid w:val="6FA30BDA"/>
    <w:rsid w:val="6FB21D4C"/>
    <w:rsid w:val="6FB80698"/>
    <w:rsid w:val="701021F4"/>
    <w:rsid w:val="701C29A6"/>
    <w:rsid w:val="7024611F"/>
    <w:rsid w:val="70637B96"/>
    <w:rsid w:val="70797317"/>
    <w:rsid w:val="7099044B"/>
    <w:rsid w:val="709D518F"/>
    <w:rsid w:val="70C759D3"/>
    <w:rsid w:val="70CD7E32"/>
    <w:rsid w:val="70CF2B23"/>
    <w:rsid w:val="70D70CB1"/>
    <w:rsid w:val="710952C1"/>
    <w:rsid w:val="713F70AB"/>
    <w:rsid w:val="71452CD8"/>
    <w:rsid w:val="71583F2D"/>
    <w:rsid w:val="7158683A"/>
    <w:rsid w:val="715B2F52"/>
    <w:rsid w:val="7167680B"/>
    <w:rsid w:val="71764F23"/>
    <w:rsid w:val="71946576"/>
    <w:rsid w:val="71967E84"/>
    <w:rsid w:val="7197629F"/>
    <w:rsid w:val="71A61873"/>
    <w:rsid w:val="71AF4936"/>
    <w:rsid w:val="71B12351"/>
    <w:rsid w:val="71D07496"/>
    <w:rsid w:val="71D75D0F"/>
    <w:rsid w:val="721919B3"/>
    <w:rsid w:val="721A6098"/>
    <w:rsid w:val="721D18D3"/>
    <w:rsid w:val="72310D1A"/>
    <w:rsid w:val="725D6B54"/>
    <w:rsid w:val="72986FA0"/>
    <w:rsid w:val="72A17C99"/>
    <w:rsid w:val="72A5093A"/>
    <w:rsid w:val="72AD7197"/>
    <w:rsid w:val="72AF6F7E"/>
    <w:rsid w:val="72CD226C"/>
    <w:rsid w:val="73047904"/>
    <w:rsid w:val="73253EFA"/>
    <w:rsid w:val="734C1A6A"/>
    <w:rsid w:val="735663B7"/>
    <w:rsid w:val="735C5949"/>
    <w:rsid w:val="73671287"/>
    <w:rsid w:val="73737DA5"/>
    <w:rsid w:val="73740A39"/>
    <w:rsid w:val="73783823"/>
    <w:rsid w:val="73887B3E"/>
    <w:rsid w:val="73892412"/>
    <w:rsid w:val="73AF2114"/>
    <w:rsid w:val="73E96BCA"/>
    <w:rsid w:val="73EE4A6E"/>
    <w:rsid w:val="741048BC"/>
    <w:rsid w:val="742E78D4"/>
    <w:rsid w:val="74317498"/>
    <w:rsid w:val="74335A84"/>
    <w:rsid w:val="743A6A13"/>
    <w:rsid w:val="74676A28"/>
    <w:rsid w:val="747E40B6"/>
    <w:rsid w:val="74AC3224"/>
    <w:rsid w:val="74B21065"/>
    <w:rsid w:val="74BB2C83"/>
    <w:rsid w:val="74C33758"/>
    <w:rsid w:val="74DE4E5F"/>
    <w:rsid w:val="74EB54AB"/>
    <w:rsid w:val="74F0689A"/>
    <w:rsid w:val="74FF6D43"/>
    <w:rsid w:val="750201A2"/>
    <w:rsid w:val="751A76AF"/>
    <w:rsid w:val="75241FEA"/>
    <w:rsid w:val="75250574"/>
    <w:rsid w:val="754459E0"/>
    <w:rsid w:val="7550443E"/>
    <w:rsid w:val="755F0BCC"/>
    <w:rsid w:val="7561323F"/>
    <w:rsid w:val="756F17F9"/>
    <w:rsid w:val="757E5B9F"/>
    <w:rsid w:val="75825461"/>
    <w:rsid w:val="75916599"/>
    <w:rsid w:val="759926FC"/>
    <w:rsid w:val="75A24276"/>
    <w:rsid w:val="75AA231D"/>
    <w:rsid w:val="75AD6340"/>
    <w:rsid w:val="75DF5F11"/>
    <w:rsid w:val="75E8633A"/>
    <w:rsid w:val="76393874"/>
    <w:rsid w:val="763F09AA"/>
    <w:rsid w:val="764F3FCC"/>
    <w:rsid w:val="7650339F"/>
    <w:rsid w:val="76603C9A"/>
    <w:rsid w:val="766B00E5"/>
    <w:rsid w:val="76832D41"/>
    <w:rsid w:val="768B2C28"/>
    <w:rsid w:val="76BB1CAB"/>
    <w:rsid w:val="76C04050"/>
    <w:rsid w:val="76D67314"/>
    <w:rsid w:val="76E00193"/>
    <w:rsid w:val="76E65049"/>
    <w:rsid w:val="77076007"/>
    <w:rsid w:val="77413F7E"/>
    <w:rsid w:val="77464076"/>
    <w:rsid w:val="7758241F"/>
    <w:rsid w:val="777A7D22"/>
    <w:rsid w:val="777E28EC"/>
    <w:rsid w:val="77835654"/>
    <w:rsid w:val="7797109C"/>
    <w:rsid w:val="779A2A38"/>
    <w:rsid w:val="77AC5D3F"/>
    <w:rsid w:val="77B4450A"/>
    <w:rsid w:val="77B46E73"/>
    <w:rsid w:val="77E37A12"/>
    <w:rsid w:val="77FE3468"/>
    <w:rsid w:val="78250553"/>
    <w:rsid w:val="784E2046"/>
    <w:rsid w:val="78546F0C"/>
    <w:rsid w:val="786778FE"/>
    <w:rsid w:val="78B65E3A"/>
    <w:rsid w:val="78EE1C79"/>
    <w:rsid w:val="78F85605"/>
    <w:rsid w:val="78FA66FA"/>
    <w:rsid w:val="79424F6E"/>
    <w:rsid w:val="797239CC"/>
    <w:rsid w:val="797D616D"/>
    <w:rsid w:val="797F54AB"/>
    <w:rsid w:val="79831473"/>
    <w:rsid w:val="79983E9C"/>
    <w:rsid w:val="7999527A"/>
    <w:rsid w:val="79AF76C5"/>
    <w:rsid w:val="79C25EE1"/>
    <w:rsid w:val="79CE2967"/>
    <w:rsid w:val="79E34934"/>
    <w:rsid w:val="79EA664C"/>
    <w:rsid w:val="79F9627A"/>
    <w:rsid w:val="79FF6948"/>
    <w:rsid w:val="7A2F3BBF"/>
    <w:rsid w:val="7A2F459A"/>
    <w:rsid w:val="7A322A39"/>
    <w:rsid w:val="7A517022"/>
    <w:rsid w:val="7A6F5001"/>
    <w:rsid w:val="7A9635B3"/>
    <w:rsid w:val="7AA2343E"/>
    <w:rsid w:val="7AD60EB8"/>
    <w:rsid w:val="7ADA73A4"/>
    <w:rsid w:val="7AE66B99"/>
    <w:rsid w:val="7AF34646"/>
    <w:rsid w:val="7AFE508C"/>
    <w:rsid w:val="7B0A3BCA"/>
    <w:rsid w:val="7B0D354C"/>
    <w:rsid w:val="7B345AA9"/>
    <w:rsid w:val="7B4048C1"/>
    <w:rsid w:val="7B4C5DF7"/>
    <w:rsid w:val="7B73082F"/>
    <w:rsid w:val="7B7B492E"/>
    <w:rsid w:val="7B9A3D1D"/>
    <w:rsid w:val="7BB46FBD"/>
    <w:rsid w:val="7BC62E00"/>
    <w:rsid w:val="7BC73B55"/>
    <w:rsid w:val="7BE35E2A"/>
    <w:rsid w:val="7BF538C2"/>
    <w:rsid w:val="7BF66C24"/>
    <w:rsid w:val="7BFA1CC7"/>
    <w:rsid w:val="7BFB70B3"/>
    <w:rsid w:val="7C0251DA"/>
    <w:rsid w:val="7C0E41D1"/>
    <w:rsid w:val="7C1052F2"/>
    <w:rsid w:val="7C21292C"/>
    <w:rsid w:val="7C2668D9"/>
    <w:rsid w:val="7C32497F"/>
    <w:rsid w:val="7C3C69AE"/>
    <w:rsid w:val="7C691974"/>
    <w:rsid w:val="7C8A6570"/>
    <w:rsid w:val="7C8B7390"/>
    <w:rsid w:val="7C9B0D0E"/>
    <w:rsid w:val="7CA42B03"/>
    <w:rsid w:val="7CCC5441"/>
    <w:rsid w:val="7CD2318A"/>
    <w:rsid w:val="7CD2702A"/>
    <w:rsid w:val="7CD34C42"/>
    <w:rsid w:val="7CD46B29"/>
    <w:rsid w:val="7CDE3FF9"/>
    <w:rsid w:val="7CE26EBF"/>
    <w:rsid w:val="7CEE3130"/>
    <w:rsid w:val="7CFC08E8"/>
    <w:rsid w:val="7D1F6674"/>
    <w:rsid w:val="7D480B34"/>
    <w:rsid w:val="7D777A3E"/>
    <w:rsid w:val="7D9005BC"/>
    <w:rsid w:val="7D9F0AD0"/>
    <w:rsid w:val="7DD12BB7"/>
    <w:rsid w:val="7DF223A2"/>
    <w:rsid w:val="7DFF0955"/>
    <w:rsid w:val="7E0B750E"/>
    <w:rsid w:val="7E1939E8"/>
    <w:rsid w:val="7E2400E7"/>
    <w:rsid w:val="7E2822EA"/>
    <w:rsid w:val="7E2A20CE"/>
    <w:rsid w:val="7E355A7B"/>
    <w:rsid w:val="7E455322"/>
    <w:rsid w:val="7E6E3E85"/>
    <w:rsid w:val="7E9C184B"/>
    <w:rsid w:val="7EA72948"/>
    <w:rsid w:val="7EB31EDB"/>
    <w:rsid w:val="7EE70CC0"/>
    <w:rsid w:val="7EEB48DB"/>
    <w:rsid w:val="7EF27444"/>
    <w:rsid w:val="7F185A04"/>
    <w:rsid w:val="7F265C58"/>
    <w:rsid w:val="7F4C4618"/>
    <w:rsid w:val="7F4D13A6"/>
    <w:rsid w:val="7F582CF2"/>
    <w:rsid w:val="7F951B40"/>
    <w:rsid w:val="7FA501CC"/>
    <w:rsid w:val="7FA820A8"/>
    <w:rsid w:val="7FB90D5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6">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autoRedefine/>
    <w:qFormat/>
    <w:uiPriority w:val="0"/>
    <w:pPr>
      <w:keepNext/>
      <w:keepLines/>
      <w:spacing w:before="260" w:after="260" w:line="416" w:lineRule="auto"/>
      <w:outlineLvl w:val="2"/>
    </w:pPr>
    <w:rPr>
      <w:b/>
      <w:bCs/>
      <w:sz w:val="32"/>
      <w:szCs w:val="32"/>
    </w:rPr>
  </w:style>
  <w:style w:type="paragraph" w:styleId="8">
    <w:name w:val="heading 4"/>
    <w:basedOn w:val="1"/>
    <w:next w:val="1"/>
    <w:autoRedefine/>
    <w:qFormat/>
    <w:uiPriority w:val="0"/>
    <w:pPr>
      <w:keepNext/>
      <w:keepLines/>
      <w:spacing w:line="360" w:lineRule="auto"/>
      <w:outlineLvl w:val="3"/>
    </w:pPr>
    <w:rPr>
      <w:rFonts w:ascii="Arial" w:hAnsi="Arial"/>
      <w:b/>
      <w:bCs/>
      <w:szCs w:val="28"/>
    </w:rPr>
  </w:style>
  <w:style w:type="paragraph" w:styleId="9">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4"/>
    <w:autoRedefine/>
    <w:qFormat/>
    <w:uiPriority w:val="0"/>
  </w:style>
  <w:style w:type="paragraph" w:customStyle="1" w:styleId="4">
    <w:name w:val="Default"/>
    <w:next w:val="5"/>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List Number"/>
    <w:basedOn w:val="1"/>
    <w:autoRedefine/>
    <w:qFormat/>
    <w:uiPriority w:val="0"/>
    <w:pPr>
      <w:widowControl/>
      <w:spacing w:beforeAutospacing="1" w:afterAutospacing="1"/>
      <w:jc w:val="left"/>
    </w:pPr>
    <w:rPr>
      <w:rFonts w:ascii="宋体" w:hAnsi="宋体" w:cs="宋体"/>
      <w:kern w:val="0"/>
      <w:sz w:val="24"/>
    </w:rPr>
  </w:style>
  <w:style w:type="paragraph" w:styleId="11">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2">
    <w:name w:val="Document Map"/>
    <w:basedOn w:val="1"/>
    <w:link w:val="76"/>
    <w:autoRedefine/>
    <w:qFormat/>
    <w:uiPriority w:val="0"/>
    <w:rPr>
      <w:rFonts w:ascii="宋体" w:hAnsi="Calibri"/>
      <w:sz w:val="18"/>
      <w:szCs w:val="18"/>
    </w:rPr>
  </w:style>
  <w:style w:type="paragraph" w:styleId="13">
    <w:name w:val="annotation text"/>
    <w:basedOn w:val="1"/>
    <w:autoRedefine/>
    <w:qFormat/>
    <w:uiPriority w:val="0"/>
    <w:pPr>
      <w:jc w:val="left"/>
    </w:pPr>
  </w:style>
  <w:style w:type="paragraph" w:styleId="14">
    <w:name w:val="Body Text 3"/>
    <w:basedOn w:val="1"/>
    <w:autoRedefine/>
    <w:qFormat/>
    <w:uiPriority w:val="0"/>
    <w:rPr>
      <w:sz w:val="16"/>
      <w:szCs w:val="16"/>
    </w:rPr>
  </w:style>
  <w:style w:type="paragraph" w:styleId="15">
    <w:name w:val="Body Text Indent"/>
    <w:basedOn w:val="1"/>
    <w:next w:val="16"/>
    <w:autoRedefine/>
    <w:qFormat/>
    <w:uiPriority w:val="0"/>
    <w:pPr>
      <w:widowControl/>
      <w:spacing w:beforeAutospacing="1" w:afterAutospacing="1"/>
      <w:jc w:val="left"/>
    </w:pPr>
    <w:rPr>
      <w:rFonts w:ascii="宋体" w:hAnsi="宋体" w:cs="宋体"/>
      <w:kern w:val="0"/>
      <w:sz w:val="24"/>
    </w:rPr>
  </w:style>
  <w:style w:type="paragraph" w:styleId="16">
    <w:name w:val="Body Text First Indent 2"/>
    <w:basedOn w:val="15"/>
    <w:autoRedefine/>
    <w:qFormat/>
    <w:uiPriority w:val="0"/>
    <w:pPr>
      <w:ind w:firstLine="420" w:firstLineChars="200"/>
    </w:p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toc 1"/>
    <w:basedOn w:val="1"/>
    <w:next w:val="1"/>
    <w:autoRedefine/>
    <w:qFormat/>
    <w:uiPriority w:val="0"/>
  </w:style>
  <w:style w:type="paragraph" w:styleId="26">
    <w:name w:val="List"/>
    <w:basedOn w:val="1"/>
    <w:autoRedefine/>
    <w:qFormat/>
    <w:uiPriority w:val="0"/>
    <w:pPr>
      <w:ind w:left="200" w:hanging="200" w:hangingChars="200"/>
    </w:pPr>
  </w:style>
  <w:style w:type="paragraph" w:styleId="27">
    <w:name w:val="Body Text 2"/>
    <w:basedOn w:val="1"/>
    <w:next w:val="3"/>
    <w:autoRedefine/>
    <w:qFormat/>
    <w:uiPriority w:val="0"/>
    <w:pPr>
      <w:spacing w:line="480" w:lineRule="auto"/>
    </w:pPr>
  </w:style>
  <w:style w:type="paragraph" w:styleId="28">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autoRedefine/>
    <w:qFormat/>
    <w:uiPriority w:val="99"/>
    <w:pPr>
      <w:spacing w:before="100" w:beforeAutospacing="1" w:after="100" w:afterAutospacing="1"/>
      <w:jc w:val="left"/>
    </w:pPr>
    <w:rPr>
      <w:kern w:val="0"/>
      <w:sz w:val="24"/>
    </w:rPr>
  </w:style>
  <w:style w:type="paragraph" w:styleId="31">
    <w:name w:val="Title"/>
    <w:basedOn w:val="1"/>
    <w:autoRedefine/>
    <w:qFormat/>
    <w:uiPriority w:val="0"/>
    <w:pPr>
      <w:jc w:val="center"/>
      <w:outlineLvl w:val="0"/>
    </w:pPr>
    <w:rPr>
      <w:rFonts w:ascii="Arial" w:hAnsi="Arial" w:cs="Arial"/>
      <w:b/>
      <w:bCs/>
      <w:sz w:val="32"/>
      <w:szCs w:val="32"/>
    </w:rPr>
  </w:style>
  <w:style w:type="paragraph" w:styleId="32">
    <w:name w:val="Body Text First Indent"/>
    <w:basedOn w:val="3"/>
    <w:next w:val="16"/>
    <w:autoRedefine/>
    <w:qFormat/>
    <w:uiPriority w:val="0"/>
    <w:pPr>
      <w:spacing w:line="360" w:lineRule="auto"/>
      <w:ind w:firstLine="420" w:firstLineChars="100"/>
    </w:pPr>
    <w:rPr>
      <w:szCs w:val="21"/>
    </w:r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0">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1">
    <w:name w:val="No Spacing1"/>
    <w:basedOn w:val="1"/>
    <w:autoRedefine/>
    <w:qFormat/>
    <w:uiPriority w:val="0"/>
    <w:pPr>
      <w:spacing w:line="400" w:lineRule="exact"/>
    </w:pPr>
    <w:rPr>
      <w:sz w:val="24"/>
    </w:rPr>
  </w:style>
  <w:style w:type="paragraph" w:customStyle="1" w:styleId="52">
    <w:name w:val="大标题"/>
    <w:basedOn w:val="1"/>
    <w:next w:val="16"/>
    <w:autoRedefine/>
    <w:qFormat/>
    <w:uiPriority w:val="0"/>
    <w:pPr>
      <w:jc w:val="center"/>
    </w:pPr>
    <w:rPr>
      <w:rFonts w:ascii="Arial" w:hAnsi="Arial"/>
      <w:b/>
      <w:sz w:val="28"/>
    </w:rPr>
  </w:style>
  <w:style w:type="paragraph" w:customStyle="1" w:styleId="53">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4">
    <w:name w:val="Char"/>
    <w:basedOn w:val="1"/>
    <w:autoRedefine/>
    <w:qFormat/>
    <w:uiPriority w:val="0"/>
  </w:style>
  <w:style w:type="paragraph" w:customStyle="1" w:styleId="55">
    <w:name w:val="正文缩进1"/>
    <w:basedOn w:val="1"/>
    <w:autoRedefine/>
    <w:qFormat/>
    <w:uiPriority w:val="0"/>
    <w:pPr>
      <w:widowControl/>
      <w:ind w:firstLine="420"/>
      <w:jc w:val="left"/>
    </w:pPr>
    <w:rPr>
      <w:kern w:val="0"/>
      <w:szCs w:val="20"/>
    </w:rPr>
  </w:style>
  <w:style w:type="paragraph" w:customStyle="1" w:styleId="56">
    <w:name w:val="列出段落2"/>
    <w:basedOn w:val="1"/>
    <w:autoRedefine/>
    <w:qFormat/>
    <w:uiPriority w:val="34"/>
    <w:pPr>
      <w:ind w:firstLine="420" w:firstLineChars="200"/>
    </w:pPr>
  </w:style>
  <w:style w:type="paragraph" w:customStyle="1" w:styleId="57">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8">
    <w:name w:val="1"/>
    <w:basedOn w:val="1"/>
    <w:autoRedefine/>
    <w:qFormat/>
    <w:uiPriority w:val="0"/>
    <w:pPr>
      <w:widowControl/>
      <w:spacing w:beforeAutospacing="1" w:afterAutospacing="1"/>
      <w:jc w:val="left"/>
    </w:pPr>
    <w:rPr>
      <w:rFonts w:ascii="宋体" w:hAnsi="宋体" w:cs="宋体"/>
      <w:kern w:val="0"/>
      <w:sz w:val="24"/>
    </w:rPr>
  </w:style>
  <w:style w:type="paragraph" w:styleId="59">
    <w:name w:val="No Spacing"/>
    <w:autoRedefine/>
    <w:qFormat/>
    <w:uiPriority w:val="1"/>
    <w:rPr>
      <w:rFonts w:ascii="Calibri" w:hAnsi="Calibri" w:eastAsia="宋体" w:cs="Times New Roman"/>
      <w:sz w:val="22"/>
      <w:szCs w:val="22"/>
      <w:lang w:val="en-US" w:eastAsia="zh-CN" w:bidi="ar-SA"/>
    </w:rPr>
  </w:style>
  <w:style w:type="paragraph" w:customStyle="1" w:styleId="60">
    <w:name w:val="_Style 2"/>
    <w:basedOn w:val="1"/>
    <w:autoRedefine/>
    <w:qFormat/>
    <w:uiPriority w:val="34"/>
    <w:pPr>
      <w:ind w:firstLine="420" w:firstLineChars="200"/>
    </w:pPr>
    <w:rPr>
      <w:rFonts w:ascii="Calibri" w:hAnsi="Calibri"/>
    </w:rPr>
  </w:style>
  <w:style w:type="paragraph" w:customStyle="1" w:styleId="61">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2">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3">
    <w:name w:val="Char1"/>
    <w:basedOn w:val="1"/>
    <w:autoRedefine/>
    <w:qFormat/>
    <w:uiPriority w:val="0"/>
  </w:style>
  <w:style w:type="paragraph" w:customStyle="1" w:styleId="64">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5">
    <w:name w:val="Table Paragraph"/>
    <w:basedOn w:val="1"/>
    <w:autoRedefine/>
    <w:qFormat/>
    <w:uiPriority w:val="1"/>
    <w:pPr>
      <w:jc w:val="left"/>
    </w:pPr>
    <w:rPr>
      <w:rFonts w:ascii="宋体" w:hAnsi="宋体" w:cs="宋体"/>
      <w:kern w:val="0"/>
      <w:sz w:val="22"/>
      <w:szCs w:val="22"/>
      <w:lang w:eastAsia="en-US"/>
    </w:rPr>
  </w:style>
  <w:style w:type="paragraph" w:customStyle="1" w:styleId="66">
    <w:name w:val="无间隔1"/>
    <w:basedOn w:val="1"/>
    <w:autoRedefine/>
    <w:qFormat/>
    <w:uiPriority w:val="1"/>
    <w:pPr>
      <w:spacing w:line="400" w:lineRule="exact"/>
    </w:pPr>
    <w:rPr>
      <w:sz w:val="24"/>
    </w:rPr>
  </w:style>
  <w:style w:type="paragraph" w:customStyle="1" w:styleId="67">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8">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69">
    <w:name w:val="列出段落1"/>
    <w:basedOn w:val="1"/>
    <w:autoRedefine/>
    <w:qFormat/>
    <w:uiPriority w:val="34"/>
    <w:pPr>
      <w:ind w:firstLine="420" w:firstLineChars="200"/>
    </w:pPr>
  </w:style>
  <w:style w:type="paragraph" w:customStyle="1" w:styleId="70">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1">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2">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列出段落11"/>
    <w:basedOn w:val="1"/>
    <w:autoRedefine/>
    <w:qFormat/>
    <w:uiPriority w:val="0"/>
    <w:pPr>
      <w:ind w:firstLine="420" w:firstLineChars="200"/>
    </w:pPr>
    <w:rPr>
      <w:rFonts w:ascii="Calibri" w:hAnsi="Calibri"/>
      <w:szCs w:val="22"/>
    </w:rPr>
  </w:style>
  <w:style w:type="character" w:customStyle="1" w:styleId="74">
    <w:name w:val="正文文本 Char"/>
    <w:basedOn w:val="35"/>
    <w:link w:val="3"/>
    <w:autoRedefine/>
    <w:qFormat/>
    <w:uiPriority w:val="0"/>
  </w:style>
  <w:style w:type="character" w:customStyle="1" w:styleId="75">
    <w:name w:val="apple-converted-space"/>
    <w:basedOn w:val="35"/>
    <w:autoRedefine/>
    <w:qFormat/>
    <w:uiPriority w:val="0"/>
  </w:style>
  <w:style w:type="character" w:customStyle="1" w:styleId="76">
    <w:name w:val="文档结构图 Char"/>
    <w:link w:val="12"/>
    <w:autoRedefine/>
    <w:qFormat/>
    <w:uiPriority w:val="0"/>
    <w:rPr>
      <w:rFonts w:ascii="宋体"/>
      <w:kern w:val="2"/>
      <w:sz w:val="18"/>
      <w:szCs w:val="18"/>
    </w:rPr>
  </w:style>
  <w:style w:type="character" w:customStyle="1" w:styleId="77">
    <w:name w:val="不明显强调1"/>
    <w:autoRedefine/>
    <w:qFormat/>
    <w:uiPriority w:val="19"/>
    <w:rPr>
      <w:i/>
      <w:iCs/>
      <w:color w:val="7F7F7F"/>
      <w:szCs w:val="24"/>
    </w:rPr>
  </w:style>
  <w:style w:type="character" w:customStyle="1" w:styleId="78">
    <w:name w:val="font71"/>
    <w:autoRedefine/>
    <w:qFormat/>
    <w:uiPriority w:val="0"/>
    <w:rPr>
      <w:rFonts w:hint="eastAsia" w:ascii="宋体" w:hAnsi="宋体" w:eastAsia="宋体" w:cs="宋体"/>
      <w:color w:val="000000"/>
      <w:sz w:val="28"/>
      <w:szCs w:val="28"/>
      <w:u w:val="none"/>
    </w:rPr>
  </w:style>
  <w:style w:type="character" w:customStyle="1" w:styleId="79">
    <w:name w:val="font21"/>
    <w:autoRedefine/>
    <w:qFormat/>
    <w:uiPriority w:val="0"/>
    <w:rPr>
      <w:rFonts w:hint="default" w:ascii="Calibri" w:hAnsi="Calibri" w:cs="Calibri"/>
      <w:color w:val="000000"/>
      <w:sz w:val="28"/>
      <w:szCs w:val="28"/>
      <w:u w:val="none"/>
    </w:rPr>
  </w:style>
  <w:style w:type="character" w:customStyle="1" w:styleId="80">
    <w:name w:val="17"/>
    <w:autoRedefine/>
    <w:qFormat/>
    <w:uiPriority w:val="0"/>
    <w:rPr>
      <w:rFonts w:hint="eastAsia" w:ascii="宋体" w:hAnsi="宋体" w:eastAsia="宋体"/>
      <w:color w:val="000000"/>
    </w:rPr>
  </w:style>
  <w:style w:type="character" w:customStyle="1" w:styleId="81">
    <w:name w:val="font91"/>
    <w:autoRedefine/>
    <w:qFormat/>
    <w:uiPriority w:val="0"/>
    <w:rPr>
      <w:rFonts w:hint="eastAsia" w:ascii="宋体" w:hAnsi="宋体" w:eastAsia="宋体" w:cs="宋体"/>
      <w:color w:val="FF0000"/>
      <w:sz w:val="28"/>
      <w:szCs w:val="28"/>
      <w:u w:val="none"/>
    </w:rPr>
  </w:style>
  <w:style w:type="paragraph" w:customStyle="1" w:styleId="82">
    <w:name w:val="p"/>
    <w:basedOn w:val="1"/>
    <w:autoRedefine/>
    <w:qFormat/>
    <w:uiPriority w:val="0"/>
    <w:pPr>
      <w:widowControl/>
      <w:spacing w:line="432" w:lineRule="auto"/>
      <w:jc w:val="left"/>
    </w:pPr>
    <w:rPr>
      <w:rFonts w:ascii="宋体" w:hAnsi="宋体" w:cs="宋体"/>
      <w:kern w:val="0"/>
      <w:sz w:val="24"/>
    </w:rPr>
  </w:style>
  <w:style w:type="paragraph" w:customStyle="1" w:styleId="83">
    <w:name w:val="WPSOffice手动目录 1"/>
    <w:autoRedefine/>
    <w:qFormat/>
    <w:uiPriority w:val="0"/>
    <w:rPr>
      <w:rFonts w:ascii="Times New Roman" w:hAnsi="Times New Roman" w:eastAsia="宋体" w:cs="Times New Roman"/>
      <w:lang w:val="en-US" w:eastAsia="zh-CN" w:bidi="ar-SA"/>
    </w:rPr>
  </w:style>
  <w:style w:type="paragraph" w:customStyle="1" w:styleId="84">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5">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6">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7">
    <w:name w:val="列表段落1"/>
    <w:basedOn w:val="1"/>
    <w:autoRedefine/>
    <w:qFormat/>
    <w:uiPriority w:val="34"/>
    <w:pPr>
      <w:widowControl/>
      <w:ind w:firstLine="420"/>
      <w:jc w:val="left"/>
    </w:pPr>
    <w:rPr>
      <w:kern w:val="0"/>
    </w:rPr>
  </w:style>
  <w:style w:type="paragraph" w:styleId="88">
    <w:name w:val="List Paragraph"/>
    <w:basedOn w:val="1"/>
    <w:autoRedefine/>
    <w:qFormat/>
    <w:uiPriority w:val="34"/>
    <w:pPr>
      <w:ind w:firstLine="420" w:firstLineChars="200"/>
    </w:pPr>
  </w:style>
  <w:style w:type="character" w:customStyle="1" w:styleId="89">
    <w:name w:val="hover18"/>
    <w:basedOn w:val="35"/>
    <w:autoRedefine/>
    <w:qFormat/>
    <w:uiPriority w:val="0"/>
  </w:style>
  <w:style w:type="table" w:customStyle="1" w:styleId="90">
    <w:name w:val="Table Normal"/>
    <w:autoRedefine/>
    <w:qFormat/>
    <w:uiPriority w:val="0"/>
    <w:tblPr>
      <w:tblCellMar>
        <w:top w:w="0" w:type="dxa"/>
        <w:left w:w="0" w:type="dxa"/>
        <w:bottom w:w="0" w:type="dxa"/>
        <w:right w:w="0" w:type="dxa"/>
      </w:tblCellMar>
    </w:tblPr>
  </w:style>
  <w:style w:type="paragraph" w:customStyle="1" w:styleId="91">
    <w:name w:val="Table Text"/>
    <w:basedOn w:val="1"/>
    <w:autoRedefine/>
    <w:semiHidden/>
    <w:qFormat/>
    <w:uiPriority w:val="0"/>
    <w:rPr>
      <w:rFonts w:ascii="宋体" w:hAnsi="宋体" w:eastAsia="宋体" w:cs="宋体"/>
      <w:sz w:val="45"/>
      <w:szCs w:val="45"/>
      <w:lang w:val="en-US" w:eastAsia="en-US" w:bidi="ar-SA"/>
    </w:rPr>
  </w:style>
  <w:style w:type="character" w:customStyle="1" w:styleId="92">
    <w:name w:val="font11"/>
    <w:basedOn w:val="35"/>
    <w:autoRedefine/>
    <w:qFormat/>
    <w:uiPriority w:val="0"/>
    <w:rPr>
      <w:rFonts w:ascii="Calibri" w:hAnsi="Calibri" w:cs="Calibri"/>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33</Pages>
  <Words>15873</Words>
  <Characters>16594</Characters>
  <Lines>50</Lines>
  <Paragraphs>68</Paragraphs>
  <TotalTime>2</TotalTime>
  <ScaleCrop>false</ScaleCrop>
  <LinksUpToDate>false</LinksUpToDate>
  <CharactersWithSpaces>17613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陈壹</cp:lastModifiedBy>
  <cp:lastPrinted>2021-09-30T00:46:00Z</cp:lastPrinted>
  <dcterms:modified xsi:type="dcterms:W3CDTF">2024-06-27T02:30:58Z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6B4FDCA957CB4E82998C2E32247B97ED_13</vt:lpwstr>
  </property>
</Properties>
</file>