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u w:val="none"/>
          <w:lang w:val="en-US" w:eastAsia="zh-CN"/>
        </w:rPr>
      </w:pPr>
      <w:r>
        <w:rPr>
          <w:rFonts w:hint="eastAsia" w:ascii="宋体" w:hAnsi="宋体" w:eastAsia="宋体" w:cs="宋体"/>
          <w:b/>
          <w:bCs/>
          <w:color w:val="auto"/>
          <w:sz w:val="44"/>
          <w:szCs w:val="44"/>
          <w:highlight w:val="none"/>
          <w:lang w:val="en-US" w:eastAsia="zh-CN"/>
        </w:rPr>
        <w:t>驻马店市中心医院</w:t>
      </w:r>
      <w:r>
        <w:rPr>
          <w:rFonts w:hint="eastAsia" w:ascii="宋体" w:hAnsi="宋体" w:eastAsia="宋体" w:cs="宋体"/>
          <w:b/>
          <w:bCs/>
          <w:color w:val="auto"/>
          <w:sz w:val="44"/>
          <w:szCs w:val="44"/>
          <w:highlight w:val="none"/>
          <w:u w:val="none"/>
          <w:lang w:val="en-US" w:eastAsia="zh-CN"/>
        </w:rPr>
        <w:t>磁刺激仪、全温控监测数字化血浆解冻仪</w:t>
      </w:r>
      <w:r>
        <w:rPr>
          <w:rFonts w:hint="eastAsia" w:cs="宋体"/>
          <w:b/>
          <w:bCs/>
          <w:color w:val="auto"/>
          <w:sz w:val="44"/>
          <w:szCs w:val="44"/>
          <w:highlight w:val="none"/>
          <w:u w:val="none"/>
          <w:lang w:val="en-US" w:eastAsia="zh-CN"/>
        </w:rPr>
        <w:t>采购项目</w:t>
      </w:r>
    </w:p>
    <w:p w14:paraId="0610F71D">
      <w:pPr>
        <w:pStyle w:val="19"/>
        <w:bidi w:val="0"/>
        <w:jc w:val="center"/>
        <w:rPr>
          <w:rStyle w:val="43"/>
          <w:rFonts w:hint="eastAsia" w:ascii="宋体" w:hAnsi="宋体" w:eastAsia="宋体" w:cs="宋体"/>
          <w:b/>
          <w:bCs/>
          <w:color w:val="auto"/>
          <w:sz w:val="48"/>
          <w:szCs w:val="48"/>
          <w:highlight w:val="none"/>
        </w:rPr>
      </w:pPr>
    </w:p>
    <w:p w14:paraId="158E927F">
      <w:pPr>
        <w:pStyle w:val="19"/>
        <w:bidi w:val="0"/>
        <w:jc w:val="center"/>
        <w:rPr>
          <w:rStyle w:val="43"/>
          <w:rFonts w:hint="eastAsia" w:ascii="宋体" w:hAnsi="宋体" w:eastAsia="宋体" w:cs="宋体"/>
          <w:b/>
          <w:bCs/>
          <w:color w:val="auto"/>
          <w:sz w:val="48"/>
          <w:szCs w:val="48"/>
          <w:highlight w:val="none"/>
        </w:rPr>
      </w:pPr>
    </w:p>
    <w:p w14:paraId="5ABC8E99">
      <w:pPr>
        <w:pStyle w:val="19"/>
        <w:bidi w:val="0"/>
        <w:jc w:val="center"/>
        <w:rPr>
          <w:rStyle w:val="43"/>
          <w:rFonts w:hint="eastAsia" w:ascii="宋体" w:hAnsi="宋体" w:eastAsia="宋体" w:cs="宋体"/>
          <w:b/>
          <w:bCs/>
          <w:color w:val="auto"/>
          <w:sz w:val="48"/>
          <w:szCs w:val="48"/>
          <w:highlight w:val="none"/>
        </w:rPr>
      </w:pPr>
    </w:p>
    <w:p w14:paraId="20826E73">
      <w:pPr>
        <w:pStyle w:val="19"/>
        <w:bidi w:val="0"/>
        <w:jc w:val="center"/>
        <w:rPr>
          <w:rStyle w:val="43"/>
          <w:rFonts w:hint="eastAsia" w:ascii="宋体" w:hAnsi="宋体" w:eastAsia="宋体" w:cs="宋体"/>
          <w:b/>
          <w:bCs/>
          <w:color w:val="auto"/>
          <w:sz w:val="48"/>
          <w:szCs w:val="48"/>
          <w:highlight w:val="none"/>
        </w:rPr>
      </w:pPr>
    </w:p>
    <w:p w14:paraId="12179BBF">
      <w:pPr>
        <w:pStyle w:val="19"/>
        <w:bidi w:val="0"/>
        <w:jc w:val="center"/>
        <w:rPr>
          <w:rStyle w:val="43"/>
          <w:rFonts w:hint="eastAsia" w:ascii="宋体" w:hAnsi="宋体" w:eastAsia="宋体" w:cs="宋体"/>
          <w:b/>
          <w:bCs/>
          <w:color w:val="auto"/>
          <w:szCs w:val="44"/>
          <w:highlight w:val="none"/>
        </w:rPr>
      </w:pPr>
      <w:r>
        <w:rPr>
          <w:rStyle w:val="43"/>
          <w:rFonts w:hint="eastAsia" w:ascii="宋体" w:hAnsi="宋体" w:eastAsia="宋体" w:cs="宋体"/>
          <w:b/>
          <w:bCs/>
          <w:color w:val="auto"/>
          <w:sz w:val="72"/>
          <w:szCs w:val="72"/>
          <w:highlight w:val="none"/>
          <w:lang w:val="en-US" w:eastAsia="zh-CN"/>
        </w:rPr>
        <w:t>采购</w:t>
      </w:r>
      <w:r>
        <w:rPr>
          <w:rStyle w:val="43"/>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0"/>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7</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_Toc26528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8C5A8E5">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_Toc19124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bCs/>
          <w:color w:val="auto"/>
          <w:szCs w:val="32"/>
          <w:highlight w:val="none"/>
        </w:rPr>
        <w:fldChar w:fldCharType="end"/>
      </w:r>
    </w:p>
    <w:p w14:paraId="2B55758C">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_Toc8501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cs="宋体"/>
          <w:lang w:val="en-US" w:eastAsia="zh-CN"/>
        </w:rPr>
        <w:t>7</w:t>
      </w:r>
      <w:r>
        <w:rPr>
          <w:rFonts w:hint="eastAsia" w:ascii="宋体" w:hAnsi="宋体" w:eastAsia="宋体" w:cs="宋体"/>
          <w:bCs/>
          <w:color w:val="auto"/>
          <w:szCs w:val="32"/>
          <w:highlight w:val="none"/>
        </w:rPr>
        <w:fldChar w:fldCharType="end"/>
      </w:r>
    </w:p>
    <w:p w14:paraId="31D52CE9">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lang w:val="en-US" w:eastAsia="zh-CN"/>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_Toc31399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cs="宋体"/>
          <w:lang w:val="en-US" w:eastAsia="zh-CN"/>
        </w:rPr>
        <w:t>1</w:t>
      </w:r>
      <w:r>
        <w:rPr>
          <w:rFonts w:hint="eastAsia" w:ascii="宋体" w:hAnsi="宋体" w:eastAsia="宋体" w:cs="宋体"/>
          <w:bCs/>
          <w:color w:val="auto"/>
          <w:szCs w:val="32"/>
          <w:highlight w:val="none"/>
        </w:rPr>
        <w:fldChar w:fldCharType="end"/>
      </w:r>
      <w:r>
        <w:rPr>
          <w:rFonts w:hint="eastAsia" w:ascii="宋体" w:hAnsi="宋体" w:cs="宋体"/>
          <w:bCs/>
          <w:color w:val="auto"/>
          <w:szCs w:val="32"/>
          <w:highlight w:val="none"/>
          <w:lang w:val="en-US" w:eastAsia="zh-CN"/>
        </w:rPr>
        <w:t>7</w:t>
      </w:r>
    </w:p>
    <w:p w14:paraId="5C59EEF9">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lang w:val="en-US" w:eastAsia="zh-CN"/>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_Toc11904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cs="宋体"/>
          <w:lang w:val="en-US" w:eastAsia="zh-CN"/>
        </w:rPr>
        <w:t>1</w:t>
      </w:r>
      <w:r>
        <w:rPr>
          <w:rFonts w:hint="eastAsia" w:ascii="宋体" w:hAnsi="宋体" w:eastAsia="宋体" w:cs="宋体"/>
          <w:bCs/>
          <w:color w:val="auto"/>
          <w:szCs w:val="32"/>
          <w:highlight w:val="none"/>
        </w:rPr>
        <w:fldChar w:fldCharType="end"/>
      </w:r>
      <w:r>
        <w:rPr>
          <w:rFonts w:hint="eastAsia" w:ascii="宋体" w:hAnsi="宋体" w:cs="宋体"/>
          <w:bCs/>
          <w:color w:val="auto"/>
          <w:szCs w:val="32"/>
          <w:highlight w:val="none"/>
          <w:lang w:val="en-US" w:eastAsia="zh-CN"/>
        </w:rPr>
        <w:t>9</w:t>
      </w:r>
    </w:p>
    <w:p w14:paraId="399D6560">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eastAsia="宋体"/>
          <w:lang w:val="en-US" w:eastAsia="zh-CN"/>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_Toc18702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bCs/>
          <w:color w:val="auto"/>
          <w:szCs w:val="32"/>
          <w:highlight w:val="none"/>
        </w:rPr>
        <w:fldChar w:fldCharType="end"/>
      </w:r>
      <w:r>
        <w:rPr>
          <w:rFonts w:hint="eastAsia" w:ascii="宋体" w:hAnsi="宋体" w:cs="宋体"/>
          <w:bCs/>
          <w:color w:val="auto"/>
          <w:szCs w:val="32"/>
          <w:highlight w:val="none"/>
          <w:lang w:val="en-US" w:eastAsia="zh-CN"/>
        </w:rPr>
        <w:t>0</w:t>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eastAsia="宋体" w:cs="宋体"/>
          <w:b/>
          <w:bCs w:val="0"/>
          <w:color w:val="auto"/>
          <w:kern w:val="0"/>
          <w:sz w:val="28"/>
          <w:szCs w:val="28"/>
          <w:u w:val="none"/>
          <w:lang w:val="en-US" w:eastAsia="zh-CN"/>
        </w:rPr>
        <w:t>驻马店市中心医院</w:t>
      </w:r>
      <w:r>
        <w:rPr>
          <w:rFonts w:hint="eastAsia" w:ascii="宋体" w:hAnsi="宋体" w:cs="宋体"/>
          <w:b/>
          <w:bCs w:val="0"/>
          <w:color w:val="auto"/>
          <w:kern w:val="0"/>
          <w:sz w:val="28"/>
          <w:szCs w:val="28"/>
          <w:u w:val="none"/>
          <w:lang w:val="en-US" w:eastAsia="zh-CN"/>
        </w:rPr>
        <w:t>磁刺激仪、全温控监测数字化血浆解冻仪采购项目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磁刺激仪、全温控监测数字化血浆解冻仪采购项目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w:t>
      </w:r>
      <w:r>
        <w:rPr>
          <w:rFonts w:hint="eastAsia" w:ascii="宋体" w:hAnsi="宋体" w:cs="宋体"/>
          <w:color w:val="auto"/>
          <w:szCs w:val="21"/>
          <w:highlight w:val="none"/>
          <w:shd w:val="clear" w:color="auto" w:fill="FFFFFF"/>
          <w:lang w:val="en-US" w:eastAsia="zh-CN"/>
        </w:rPr>
        <w:t>磁刺激仪、全温控监测数字化血浆解冻仪采购项目</w:t>
      </w:r>
      <w:r>
        <w:rPr>
          <w:rFonts w:hint="eastAsia" w:ascii="宋体" w:hAnsi="宋体" w:eastAsia="宋体" w:cs="宋体"/>
          <w:color w:val="auto"/>
          <w:szCs w:val="21"/>
          <w:highlight w:val="none"/>
          <w:shd w:val="clear" w:color="auto" w:fill="FFFFFF"/>
          <w:lang w:eastAsia="zh-CN"/>
        </w:rPr>
        <w:t>；</w:t>
      </w:r>
    </w:p>
    <w:p w14:paraId="11201D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1A7993A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w:t>
      </w:r>
      <w:bookmarkStart w:id="3" w:name="_Toc26725"/>
      <w:r>
        <w:rPr>
          <w:rFonts w:hint="eastAsia" w:ascii="宋体" w:hAnsi="宋体" w:eastAsia="宋体" w:cs="宋体"/>
          <w:color w:val="auto"/>
          <w:szCs w:val="21"/>
          <w:highlight w:val="none"/>
          <w:shd w:val="clear" w:color="auto" w:fill="FFFFFF"/>
          <w:lang w:val="en-US" w:eastAsia="zh-CN"/>
        </w:rPr>
        <w:t xml:space="preserve">、预算金额：29.5万元     </w:t>
      </w:r>
    </w:p>
    <w:p w14:paraId="1D8810C2">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A</w:t>
      </w:r>
      <w:r>
        <w:rPr>
          <w:rFonts w:hint="eastAsia" w:ascii="宋体" w:hAnsi="宋体" w:eastAsia="宋体" w:cs="宋体"/>
          <w:color w:val="auto"/>
          <w:szCs w:val="21"/>
          <w:highlight w:val="none"/>
          <w:shd w:val="clear" w:color="auto" w:fill="FFFFFF"/>
          <w:lang w:val="en-US" w:eastAsia="zh-CN"/>
        </w:rPr>
        <w:t>包</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 xml:space="preserve">磁刺激仪预算金额16.5万元    </w:t>
      </w:r>
    </w:p>
    <w:p w14:paraId="68AFAAB4">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B</w:t>
      </w:r>
      <w:r>
        <w:rPr>
          <w:rFonts w:hint="eastAsia" w:ascii="宋体" w:hAnsi="宋体" w:eastAsia="宋体" w:cs="宋体"/>
          <w:color w:val="auto"/>
          <w:szCs w:val="21"/>
          <w:highlight w:val="none"/>
          <w:shd w:val="clear" w:color="auto" w:fill="FFFFFF"/>
          <w:lang w:val="en-US" w:eastAsia="zh-CN"/>
        </w:rPr>
        <w:t>包</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全温控监测数字化血浆解冻仪预算金额13万元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4、交货期：合同签订后30日内交货，最终以合同约定内容为准。</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、质量要求：符合国家现行验收规范和标准，满足采购人的相关要求</w:t>
      </w:r>
    </w:p>
    <w:p w14:paraId="03CB21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2" w:firstLineChars="200"/>
        <w:jc w:val="left"/>
        <w:textAlignment w:val="auto"/>
        <w:rPr>
          <w:rFonts w:hint="eastAsia"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pPr>
      <w:bookmarkStart w:id="4" w:name="_Toc23626"/>
      <w:bookmarkStart w:id="5" w:name="_Toc18607"/>
      <w:bookmarkStart w:id="6" w:name="_Toc27704"/>
      <w:bookmarkStart w:id="7" w:name="_Toc16639"/>
      <w:r>
        <w:rPr>
          <w:rFonts w:hint="eastAsia"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23395"/>
      <w:bookmarkStart w:id="9" w:name="_Toc30643"/>
      <w:bookmarkStart w:id="10" w:name="_Toc7823"/>
      <w:bookmarkStart w:id="11" w:name="_Toc30971"/>
      <w:bookmarkStart w:id="12" w:name="_Toc9562"/>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DE724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A46D6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、特定资格要求：</w:t>
      </w:r>
    </w:p>
    <w:p w14:paraId="4037D2CC">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6712085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0DCEAE0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2D0CFA5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22</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17339659056@163.com,并标明磁刺激仪、全温控监测数字化血浆解冻仪公司磁刺激仪、全温控监测数字化血浆解冻仪</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15111"/>
      <w:bookmarkStart w:id="15" w:name="_Toc27480"/>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30918"/>
      <w:bookmarkStart w:id="20" w:name="_Toc29784"/>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31928"/>
      <w:bookmarkStart w:id="26" w:name="_Toc27370"/>
      <w:bookmarkStart w:id="27" w:name="_Toc16291"/>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采购代理机构：河南顺成建设工程管理有限公司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地址：河南省驻马店市文明大道与慎阳路交叉口向西50米路南置地天中第一大街C座1102室</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 xml:space="preserve">：王女士 </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联系方式：17339659056</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28"/>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bookmarkStart w:id="101" w:name="_GoBack"/>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bookmarkEnd w:id="101"/>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w:t>
      </w:r>
      <w:r>
        <w:rPr>
          <w:rFonts w:hint="eastAsia" w:ascii="宋体" w:hAnsi="宋体" w:cs="宋体"/>
          <w:b w:val="0"/>
          <w:bCs w:val="0"/>
          <w:i w:val="0"/>
          <w:iCs/>
          <w:color w:val="auto"/>
          <w:sz w:val="21"/>
          <w:szCs w:val="21"/>
          <w:highlight w:val="none"/>
          <w:u w:val="none"/>
          <w:lang w:val="en-US" w:eastAsia="zh-CN"/>
        </w:rPr>
        <w:t>磁刺激仪、全温控监测数字化血浆解冻仪采购项目</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
        <w:gridCol w:w="2134"/>
        <w:gridCol w:w="850"/>
        <w:gridCol w:w="967"/>
        <w:gridCol w:w="1541"/>
        <w:gridCol w:w="953"/>
        <w:gridCol w:w="5"/>
        <w:gridCol w:w="1240"/>
        <w:gridCol w:w="5"/>
      </w:tblGrid>
      <w:tr w14:paraId="03E0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jc w:val="center"/>
        </w:trPr>
        <w:tc>
          <w:tcPr>
            <w:tcW w:w="900" w:type="dxa"/>
            <w:vAlign w:val="center"/>
          </w:tcPr>
          <w:p w14:paraId="32F2EAA5">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包号</w:t>
            </w:r>
          </w:p>
        </w:tc>
        <w:tc>
          <w:tcPr>
            <w:tcW w:w="2139" w:type="dxa"/>
            <w:gridSpan w:val="2"/>
            <w:vAlign w:val="center"/>
          </w:tcPr>
          <w:p w14:paraId="66434C00">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标的名称</w:t>
            </w:r>
          </w:p>
        </w:tc>
        <w:tc>
          <w:tcPr>
            <w:tcW w:w="850" w:type="dxa"/>
            <w:vAlign w:val="center"/>
          </w:tcPr>
          <w:p w14:paraId="4C37635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单位</w:t>
            </w:r>
          </w:p>
        </w:tc>
        <w:tc>
          <w:tcPr>
            <w:tcW w:w="967" w:type="dxa"/>
            <w:vAlign w:val="center"/>
          </w:tcPr>
          <w:p w14:paraId="427B312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数量</w:t>
            </w:r>
          </w:p>
        </w:tc>
        <w:tc>
          <w:tcPr>
            <w:tcW w:w="1541" w:type="dxa"/>
            <w:vAlign w:val="center"/>
          </w:tcPr>
          <w:p w14:paraId="140CB7C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资金</w:t>
            </w:r>
          </w:p>
          <w:p w14:paraId="7E65FA13">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预算</w:t>
            </w:r>
          </w:p>
        </w:tc>
        <w:tc>
          <w:tcPr>
            <w:tcW w:w="953" w:type="dxa"/>
            <w:vAlign w:val="center"/>
          </w:tcPr>
          <w:p w14:paraId="58949D34">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资金</w:t>
            </w:r>
          </w:p>
          <w:p w14:paraId="0EC7EA75">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性质</w:t>
            </w:r>
          </w:p>
        </w:tc>
        <w:tc>
          <w:tcPr>
            <w:tcW w:w="1245" w:type="dxa"/>
            <w:gridSpan w:val="2"/>
            <w:vAlign w:val="center"/>
          </w:tcPr>
          <w:p w14:paraId="66104704">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国产/</w:t>
            </w:r>
          </w:p>
          <w:p w14:paraId="5E16B72C">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jc w:val="center"/>
        </w:trPr>
        <w:tc>
          <w:tcPr>
            <w:tcW w:w="900" w:type="dxa"/>
            <w:vAlign w:val="center"/>
          </w:tcPr>
          <w:p w14:paraId="32D389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A包</w:t>
            </w:r>
          </w:p>
        </w:tc>
        <w:tc>
          <w:tcPr>
            <w:tcW w:w="2139" w:type="dxa"/>
            <w:gridSpan w:val="2"/>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2"/>
                <w:szCs w:val="22"/>
              </w:rPr>
              <w:t>磁刺激仪</w:t>
            </w:r>
          </w:p>
        </w:tc>
        <w:tc>
          <w:tcPr>
            <w:tcW w:w="850"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台</w:t>
            </w:r>
          </w:p>
        </w:tc>
        <w:tc>
          <w:tcPr>
            <w:tcW w:w="967"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541" w:type="dxa"/>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16.5万元</w:t>
            </w:r>
          </w:p>
        </w:tc>
        <w:tc>
          <w:tcPr>
            <w:tcW w:w="953"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自筹</w:t>
            </w:r>
          </w:p>
        </w:tc>
        <w:tc>
          <w:tcPr>
            <w:tcW w:w="1245" w:type="dxa"/>
            <w:gridSpan w:val="2"/>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国产</w:t>
            </w:r>
          </w:p>
        </w:tc>
      </w:tr>
      <w:tr w14:paraId="349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jc w:val="center"/>
        </w:trPr>
        <w:tc>
          <w:tcPr>
            <w:tcW w:w="900" w:type="dxa"/>
            <w:vAlign w:val="center"/>
          </w:tcPr>
          <w:p w14:paraId="148FA8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B包</w:t>
            </w:r>
          </w:p>
        </w:tc>
        <w:tc>
          <w:tcPr>
            <w:tcW w:w="2139" w:type="dxa"/>
            <w:gridSpan w:val="2"/>
            <w:vAlign w:val="center"/>
          </w:tcPr>
          <w:p w14:paraId="574485F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2"/>
                <w:szCs w:val="22"/>
                <w:lang w:val="en-US" w:eastAsia="zh-CN"/>
              </w:rPr>
              <w:t>全温控监测数字化血浆解冻仪</w:t>
            </w:r>
          </w:p>
        </w:tc>
        <w:tc>
          <w:tcPr>
            <w:tcW w:w="850" w:type="dxa"/>
            <w:vAlign w:val="center"/>
          </w:tcPr>
          <w:p w14:paraId="37ED93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台</w:t>
            </w:r>
          </w:p>
        </w:tc>
        <w:tc>
          <w:tcPr>
            <w:tcW w:w="967" w:type="dxa"/>
            <w:vAlign w:val="center"/>
          </w:tcPr>
          <w:p w14:paraId="0DA1B1C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541" w:type="dxa"/>
            <w:vAlign w:val="center"/>
          </w:tcPr>
          <w:p w14:paraId="3CE94A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13万元</w:t>
            </w:r>
          </w:p>
        </w:tc>
        <w:tc>
          <w:tcPr>
            <w:tcW w:w="953" w:type="dxa"/>
            <w:vAlign w:val="center"/>
          </w:tcPr>
          <w:p w14:paraId="7D8483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自筹</w:t>
            </w:r>
          </w:p>
        </w:tc>
        <w:tc>
          <w:tcPr>
            <w:tcW w:w="1245" w:type="dxa"/>
            <w:gridSpan w:val="2"/>
            <w:vAlign w:val="center"/>
          </w:tcPr>
          <w:p w14:paraId="16EC9A8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国产</w:t>
            </w:r>
          </w:p>
        </w:tc>
      </w:tr>
      <w:tr w14:paraId="65D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jc w:val="center"/>
        </w:trPr>
        <w:tc>
          <w:tcPr>
            <w:tcW w:w="900" w:type="dxa"/>
            <w:vAlign w:val="center"/>
          </w:tcPr>
          <w:p w14:paraId="66575CA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2139" w:type="dxa"/>
            <w:gridSpan w:val="2"/>
            <w:vAlign w:val="center"/>
          </w:tcPr>
          <w:p w14:paraId="6573089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850" w:type="dxa"/>
            <w:vAlign w:val="center"/>
          </w:tcPr>
          <w:p w14:paraId="6314551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67" w:type="dxa"/>
            <w:vAlign w:val="center"/>
          </w:tcPr>
          <w:p w14:paraId="40FFEBF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1541" w:type="dxa"/>
            <w:vAlign w:val="center"/>
          </w:tcPr>
          <w:p w14:paraId="6D940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14:paraId="4ACD1F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1245" w:type="dxa"/>
            <w:gridSpan w:val="2"/>
            <w:vAlign w:val="center"/>
          </w:tcPr>
          <w:p w14:paraId="49334A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r>
      <w:tr w14:paraId="6053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jc w:val="center"/>
        </w:trPr>
        <w:tc>
          <w:tcPr>
            <w:tcW w:w="905" w:type="dxa"/>
            <w:gridSpan w:val="2"/>
            <w:vAlign w:val="center"/>
          </w:tcPr>
          <w:p w14:paraId="1C31F66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合计</w:t>
            </w:r>
          </w:p>
        </w:tc>
        <w:tc>
          <w:tcPr>
            <w:tcW w:w="2134" w:type="dxa"/>
            <w:vAlign w:val="center"/>
          </w:tcPr>
          <w:p w14:paraId="419D6CB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67"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p>
        </w:tc>
        <w:tc>
          <w:tcPr>
            <w:tcW w:w="1541"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29.5万元</w:t>
            </w:r>
          </w:p>
        </w:tc>
        <w:tc>
          <w:tcPr>
            <w:tcW w:w="958" w:type="dxa"/>
            <w:gridSpan w:val="2"/>
            <w:vAlign w:val="center"/>
          </w:tcPr>
          <w:p w14:paraId="6C7B11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240" w:type="dxa"/>
            <w:vAlign w:val="center"/>
          </w:tcPr>
          <w:p w14:paraId="267847C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sz w:val="24"/>
                <w:szCs w:val="24"/>
                <w:vertAlign w:val="baseline"/>
                <w:lang w:val="en-US" w:eastAsia="zh-CN"/>
              </w:rPr>
            </w:pPr>
          </w:p>
        </w:tc>
      </w:tr>
      <w:tr w14:paraId="5F6C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gridSpan w:val="2"/>
            <w:vAlign w:val="center"/>
          </w:tcPr>
          <w:p w14:paraId="58BD34D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c>
          <w:tcPr>
            <w:tcW w:w="7695" w:type="dxa"/>
            <w:gridSpan w:val="8"/>
            <w:vAlign w:val="center"/>
          </w:tcPr>
          <w:p w14:paraId="1246D6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r>
    </w:tbl>
    <w:p w14:paraId="7C7D7F18">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592C2868">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2" w:firstLineChars="200"/>
        <w:jc w:val="left"/>
        <w:textAlignment w:val="auto"/>
        <w:rPr>
          <w:rFonts w:hint="default" w:ascii="宋体" w:hAnsi="宋体" w:eastAsia="宋体" w:cs="宋体"/>
          <w:b/>
          <w:bCs/>
          <w:color w:val="auto"/>
          <w:kern w:val="0"/>
          <w:sz w:val="21"/>
          <w:szCs w:val="21"/>
          <w:highlight w:val="none"/>
          <w:shd w:val="clear" w:color="auto" w:fill="FFFFFF"/>
          <w:lang w:val="en-US" w:eastAsia="zh-CN" w:bidi="ar-SA"/>
        </w:rPr>
      </w:pPr>
      <w:r>
        <w:rPr>
          <w:rFonts w:hint="eastAsia" w:ascii="宋体" w:hAnsi="宋体" w:cs="宋体"/>
          <w:b/>
          <w:bCs/>
          <w:color w:val="auto"/>
          <w:kern w:val="0"/>
          <w:sz w:val="21"/>
          <w:szCs w:val="21"/>
          <w:highlight w:val="none"/>
          <w:shd w:val="clear" w:color="auto" w:fill="FFFFFF"/>
          <w:lang w:val="en-US" w:eastAsia="zh-CN" w:bidi="ar-SA"/>
        </w:rPr>
        <w:t>（一）技术参数</w:t>
      </w:r>
    </w:p>
    <w:p w14:paraId="3FC0BF39">
      <w:pPr>
        <w:pStyle w:val="88"/>
        <w:numPr>
          <w:ilvl w:val="0"/>
          <w:numId w:val="0"/>
        </w:numPr>
        <w:spacing w:line="360" w:lineRule="auto"/>
        <w:ind w:leftChars="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A包：</w:t>
      </w:r>
      <w:r>
        <w:rPr>
          <w:rFonts w:hint="eastAsia" w:asciiTheme="minorEastAsia" w:hAnsiTheme="minorEastAsia" w:eastAsiaTheme="minorEastAsia" w:cstheme="minorEastAsia"/>
          <w:b/>
          <w:bCs/>
          <w:sz w:val="32"/>
          <w:szCs w:val="32"/>
        </w:rPr>
        <w:t>磁刺激仪</w:t>
      </w:r>
      <w:r>
        <w:rPr>
          <w:rFonts w:hint="eastAsia" w:asciiTheme="minorEastAsia" w:hAnsiTheme="minorEastAsia" w:eastAsiaTheme="minorEastAsia" w:cstheme="minorEastAsia"/>
          <w:b/>
          <w:bCs/>
          <w:sz w:val="32"/>
          <w:szCs w:val="32"/>
          <w:lang w:eastAsia="zh-CN"/>
        </w:rPr>
        <w:t>技术参数</w:t>
      </w:r>
    </w:p>
    <w:p w14:paraId="495C5A7E">
      <w:pPr>
        <w:pStyle w:val="88"/>
        <w:numPr>
          <w:ilvl w:val="0"/>
          <w:numId w:val="0"/>
        </w:numPr>
        <w:spacing w:line="240" w:lineRule="auto"/>
        <w:ind w:leftChars="0"/>
        <w:rPr>
          <w:rFonts w:hint="eastAsia" w:ascii="等线" w:hAnsi="等线"/>
          <w:sz w:val="24"/>
          <w:szCs w:val="24"/>
        </w:rPr>
      </w:pPr>
      <w:r>
        <w:rPr>
          <w:rFonts w:hint="eastAsia" w:ascii="等线" w:hAnsi="等线"/>
          <w:b/>
          <w:bCs/>
          <w:sz w:val="24"/>
          <w:szCs w:val="24"/>
          <w:lang w:val="en-US" w:eastAsia="zh-CN"/>
        </w:rPr>
        <w:t>一、</w:t>
      </w:r>
      <w:r>
        <w:rPr>
          <w:rFonts w:hint="eastAsia" w:ascii="等线" w:hAnsi="等线"/>
          <w:b/>
          <w:bCs/>
          <w:sz w:val="24"/>
          <w:szCs w:val="24"/>
        </w:rPr>
        <w:t>适用范围</w:t>
      </w:r>
      <w:r>
        <w:rPr>
          <w:rFonts w:hint="eastAsia" w:ascii="等线" w:hAnsi="等线"/>
          <w:sz w:val="24"/>
          <w:szCs w:val="24"/>
        </w:rPr>
        <w:t>：</w:t>
      </w:r>
      <w:r>
        <w:rPr>
          <w:rFonts w:hint="eastAsia" w:ascii="宋体" w:hAnsi="宋体" w:eastAsia="宋体" w:cs="宋体"/>
          <w:color w:val="auto"/>
          <w:kern w:val="0"/>
          <w:sz w:val="21"/>
          <w:szCs w:val="21"/>
          <w:highlight w:val="none"/>
          <w:shd w:val="clear" w:color="auto" w:fill="FFFFFF"/>
          <w:lang w:val="en-US" w:eastAsia="zh-CN" w:bidi="ar-SA"/>
        </w:rPr>
        <w:t>刺激人体中枢神经和外周神经，用于人体中枢神经和外周神经功能的检测、评定。</w:t>
      </w:r>
    </w:p>
    <w:p w14:paraId="5FDE3956">
      <w:pPr>
        <w:pStyle w:val="88"/>
        <w:numPr>
          <w:ilvl w:val="0"/>
          <w:numId w:val="0"/>
        </w:numPr>
        <w:spacing w:line="240" w:lineRule="auto"/>
        <w:ind w:leftChars="0"/>
        <w:rPr>
          <w:rFonts w:hint="eastAsia" w:ascii="等线" w:hAnsi="等线"/>
          <w:sz w:val="24"/>
          <w:szCs w:val="24"/>
        </w:rPr>
      </w:pPr>
      <w:r>
        <w:rPr>
          <w:rFonts w:hint="eastAsia" w:ascii="等线" w:hAnsi="等线"/>
          <w:b/>
          <w:bCs/>
          <w:sz w:val="24"/>
          <w:szCs w:val="24"/>
          <w:lang w:val="en-US" w:eastAsia="zh-CN"/>
        </w:rPr>
        <w:t>二、</w:t>
      </w:r>
      <w:r>
        <w:rPr>
          <w:rFonts w:hint="eastAsia" w:ascii="等线" w:hAnsi="等线"/>
          <w:b/>
          <w:bCs/>
          <w:sz w:val="24"/>
          <w:szCs w:val="24"/>
        </w:rPr>
        <w:t>硬件性能</w:t>
      </w:r>
      <w:r>
        <w:rPr>
          <w:rFonts w:hint="eastAsia" w:ascii="等线" w:hAnsi="等线"/>
          <w:sz w:val="24"/>
          <w:szCs w:val="24"/>
        </w:rPr>
        <w:t>：</w:t>
      </w:r>
    </w:p>
    <w:p w14:paraId="40BF37A5">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磁场强度：1.6T～6T（峰峰值）允差±20%。</w:t>
      </w:r>
    </w:p>
    <w:p w14:paraId="23462388">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2、单边脉冲宽度：166μs～190μs，允差±10%。</w:t>
      </w:r>
    </w:p>
    <w:p w14:paraId="3C818F3F">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3、保护功能：线圈具备独立的保护装置，当线圈发生故障时，应停止磁场输出，有视觉及听觉提示。</w:t>
      </w:r>
    </w:p>
    <w:p w14:paraId="7FB9D668">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4、触发接口：设备拥有外部触发接口，可兼容国内外主流的肌电图，和院内现有肌电图软件进行对接，发出触发信号给肌电图仪，信号触发和接收接口具备隔离功能，保证设备安全性及电磁兼容性。</w:t>
      </w:r>
    </w:p>
    <w:p w14:paraId="7375A248">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等线" w:hAnsi="等线"/>
          <w:sz w:val="24"/>
          <w:szCs w:val="24"/>
        </w:rPr>
      </w:pPr>
      <w:r>
        <w:rPr>
          <w:rFonts w:hint="eastAsia" w:ascii="宋体" w:hAnsi="宋体" w:eastAsia="宋体" w:cs="宋体"/>
          <w:color w:val="auto"/>
          <w:kern w:val="0"/>
          <w:sz w:val="21"/>
          <w:szCs w:val="21"/>
          <w:highlight w:val="none"/>
          <w:shd w:val="clear" w:color="auto" w:fill="FFFFFF"/>
          <w:lang w:val="en-US" w:eastAsia="zh-CN" w:bidi="ar-SA"/>
        </w:rPr>
        <w:t>5、线圈自检测功能，系统自动检测线圈的在位情况，无需关机即可更换不同的线圈。</w:t>
      </w:r>
    </w:p>
    <w:p w14:paraId="274078F4">
      <w:pPr>
        <w:pStyle w:val="88"/>
        <w:spacing w:line="240" w:lineRule="auto"/>
        <w:ind w:firstLine="0" w:firstLineChars="0"/>
        <w:rPr>
          <w:rFonts w:hint="eastAsia" w:ascii="等线" w:hAnsi="等线"/>
          <w:b/>
          <w:bCs/>
          <w:sz w:val="24"/>
          <w:szCs w:val="24"/>
        </w:rPr>
      </w:pPr>
      <w:r>
        <w:rPr>
          <w:rFonts w:hint="eastAsia" w:ascii="等线" w:hAnsi="等线"/>
          <w:b/>
          <w:bCs/>
          <w:sz w:val="24"/>
          <w:szCs w:val="24"/>
          <w:lang w:val="en-US" w:eastAsia="zh-CN"/>
        </w:rPr>
        <w:t>三</w:t>
      </w:r>
      <w:r>
        <w:rPr>
          <w:rFonts w:hint="eastAsia" w:ascii="等线" w:hAnsi="等线"/>
          <w:b/>
          <w:bCs/>
          <w:sz w:val="24"/>
          <w:szCs w:val="24"/>
        </w:rPr>
        <w:t>、软件功能</w:t>
      </w:r>
    </w:p>
    <w:p w14:paraId="422DBED8">
      <w:pPr>
        <w:pStyle w:val="88"/>
        <w:spacing w:line="240" w:lineRule="auto"/>
        <w:ind w:firstLine="420" w:firstLineChars="200"/>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磁刺激仪具有嵌入式液晶显示屏，液晶屏显示刺激强度、线圈温度及连接状态。</w:t>
      </w:r>
    </w:p>
    <w:p w14:paraId="0C152F14">
      <w:pPr>
        <w:pStyle w:val="22"/>
        <w:spacing w:line="240" w:lineRule="auto"/>
        <w:ind w:firstLine="482" w:firstLineChars="200"/>
        <w:rPr>
          <w:rFonts w:hint="default" w:ascii="宋体" w:hAnsi="宋体" w:eastAsia="宋体" w:cs="宋体"/>
          <w:color w:val="auto"/>
          <w:kern w:val="0"/>
          <w:sz w:val="21"/>
          <w:szCs w:val="21"/>
          <w:highlight w:val="none"/>
          <w:shd w:val="clear" w:color="auto" w:fill="FFFFFF"/>
          <w:lang w:val="en-US" w:eastAsia="zh-CN" w:bidi="ar-SA"/>
        </w:rPr>
      </w:pPr>
      <w:r>
        <w:rPr>
          <w:rFonts w:hint="eastAsia"/>
          <w:b/>
          <w:bCs/>
          <w:color w:val="auto"/>
          <w:sz w:val="24"/>
          <w:szCs w:val="24"/>
          <w:lang w:val="en-US" w:eastAsia="zh-CN"/>
        </w:rPr>
        <w:t>配置清单（包含但不限于）：</w:t>
      </w:r>
      <w:r>
        <w:rPr>
          <w:rFonts w:hint="eastAsia" w:ascii="宋体" w:hAnsi="宋体" w:eastAsia="宋体" w:cs="宋体"/>
          <w:color w:val="auto"/>
          <w:kern w:val="0"/>
          <w:sz w:val="21"/>
          <w:szCs w:val="21"/>
          <w:highlight w:val="none"/>
          <w:shd w:val="clear" w:color="auto" w:fill="FFFFFF"/>
          <w:lang w:val="en-US" w:eastAsia="zh-CN" w:bidi="ar-SA"/>
        </w:rPr>
        <w:t>磁刺激仪1台，脚踏开关1个，刺激线圈1套。</w:t>
      </w:r>
    </w:p>
    <w:p w14:paraId="6C53FF2E">
      <w:pPr>
        <w:pStyle w:val="22"/>
        <w:rPr>
          <w:rFonts w:hint="eastAsia" w:eastAsiaTheme="minorEastAsia"/>
          <w:color w:val="FF0000"/>
          <w:lang w:val="en-US" w:eastAsia="zh-CN"/>
        </w:rPr>
      </w:pPr>
    </w:p>
    <w:p w14:paraId="1BB5C326">
      <w:pPr>
        <w:pStyle w:val="22"/>
        <w:rPr>
          <w:rFonts w:hint="eastAsia" w:eastAsiaTheme="minorEastAsia"/>
          <w:color w:val="FF0000"/>
          <w:lang w:val="en-US" w:eastAsia="zh-CN"/>
        </w:rPr>
      </w:pPr>
    </w:p>
    <w:p w14:paraId="1D14006F">
      <w:pPr>
        <w:pStyle w:val="22"/>
        <w:rPr>
          <w:rFonts w:hint="eastAsia" w:eastAsiaTheme="minorEastAsia"/>
          <w:color w:val="FF0000"/>
          <w:lang w:val="en-US" w:eastAsia="zh-CN"/>
        </w:rPr>
      </w:pPr>
    </w:p>
    <w:p w14:paraId="43FFE85A">
      <w:pPr>
        <w:pStyle w:val="22"/>
        <w:rPr>
          <w:rFonts w:hint="eastAsia" w:eastAsiaTheme="minorEastAsia"/>
          <w:color w:val="FF0000"/>
          <w:lang w:val="en-US" w:eastAsia="zh-CN"/>
        </w:rPr>
      </w:pPr>
    </w:p>
    <w:p w14:paraId="18CA6E4F">
      <w:pPr>
        <w:pStyle w:val="22"/>
        <w:rPr>
          <w:rFonts w:hint="eastAsia" w:eastAsiaTheme="minorEastAsia"/>
          <w:color w:val="FF0000"/>
          <w:lang w:val="en-US" w:eastAsia="zh-CN"/>
        </w:rPr>
      </w:pPr>
    </w:p>
    <w:p w14:paraId="7A163E29">
      <w:pPr>
        <w:pStyle w:val="22"/>
        <w:rPr>
          <w:rFonts w:hint="eastAsia" w:eastAsiaTheme="minorEastAsia"/>
          <w:color w:val="FF0000"/>
          <w:lang w:val="en-US" w:eastAsia="zh-CN"/>
        </w:rPr>
      </w:pPr>
    </w:p>
    <w:p w14:paraId="48043550">
      <w:pPr>
        <w:pStyle w:val="88"/>
        <w:numPr>
          <w:ilvl w:val="0"/>
          <w:numId w:val="0"/>
        </w:numPr>
        <w:spacing w:line="360" w:lineRule="auto"/>
        <w:ind w:leftChars="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B包：全温控监测数字化血浆解冻仪技术参数</w:t>
      </w:r>
    </w:p>
    <w:p w14:paraId="5DF1CC35">
      <w:pPr>
        <w:pStyle w:val="89"/>
        <w:keepNext w:val="0"/>
        <w:keepLines w:val="0"/>
        <w:pageBreakBefore w:val="0"/>
        <w:numPr>
          <w:ilvl w:val="0"/>
          <w:numId w:val="0"/>
        </w:numPr>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1.融浆方式：恒温循环式;采用上下水箱恒温循环方式。</w:t>
      </w:r>
    </w:p>
    <w:p w14:paraId="777BF70D">
      <w:pPr>
        <w:pStyle w:val="89"/>
        <w:keepNext w:val="0"/>
        <w:keepLines w:val="0"/>
        <w:pageBreakBefore w:val="0"/>
        <w:numPr>
          <w:ilvl w:val="0"/>
          <w:numId w:val="0"/>
        </w:numPr>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2.温度控制：范围30~41℃，控制精度±1℃。</w:t>
      </w:r>
    </w:p>
    <w:p w14:paraId="35075F9C">
      <w:pPr>
        <w:pStyle w:val="89"/>
        <w:keepNext w:val="0"/>
        <w:keepLines w:val="0"/>
        <w:pageBreakBefore w:val="0"/>
        <w:numPr>
          <w:ilvl w:val="0"/>
          <w:numId w:val="0"/>
        </w:numPr>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3.最大化浆量≥28袋，全负荷解冻时间＜30min。</w:t>
      </w:r>
    </w:p>
    <w:p w14:paraId="7C5C4079">
      <w:pPr>
        <w:pStyle w:val="89"/>
        <w:keepNext w:val="0"/>
        <w:keepLines w:val="0"/>
        <w:pageBreakBefore w:val="0"/>
        <w:numPr>
          <w:ilvl w:val="0"/>
          <w:numId w:val="0"/>
        </w:numPr>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4.摆动频率：血浆解冻时解冻框的摆动频率≥25次/min。</w:t>
      </w:r>
    </w:p>
    <w:p w14:paraId="318109F0">
      <w:pPr>
        <w:pStyle w:val="89"/>
        <w:keepNext w:val="0"/>
        <w:keepLines w:val="0"/>
        <w:pageBreakBefore w:val="0"/>
        <w:numPr>
          <w:ilvl w:val="0"/>
          <w:numId w:val="0"/>
        </w:numPr>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5.清洗：可自动注水、预热、加温、排水，具备循环清洗、自动净化功能。</w:t>
      </w:r>
    </w:p>
    <w:p w14:paraId="1E5385C8">
      <w:pPr>
        <w:pStyle w:val="89"/>
        <w:keepNext w:val="0"/>
        <w:keepLines w:val="0"/>
        <w:pageBreakBefore w:val="0"/>
        <w:numPr>
          <w:ilvl w:val="0"/>
          <w:numId w:val="0"/>
        </w:numPr>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6.血浆解冻质控方式：需采用模拟血浆质控袋方式，可实现血浆解冻质控朔源。</w:t>
      </w:r>
    </w:p>
    <w:p w14:paraId="6623F0BC">
      <w:pPr>
        <w:pStyle w:val="89"/>
        <w:keepNext w:val="0"/>
        <w:keepLines w:val="0"/>
        <w:pageBreakBefore w:val="0"/>
        <w:numPr>
          <w:ilvl w:val="0"/>
          <w:numId w:val="0"/>
        </w:numPr>
        <w:tabs>
          <w:tab w:val="center" w:pos="4153"/>
        </w:tabs>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7.解冻数据记录存储：存储容量≥4G,能记录处理并存储数据2000组以上。</w:t>
      </w:r>
    </w:p>
    <w:p w14:paraId="0E3CD7D9">
      <w:pPr>
        <w:pStyle w:val="89"/>
        <w:keepNext w:val="0"/>
        <w:keepLines w:val="0"/>
        <w:pageBreakBefore w:val="0"/>
        <w:numPr>
          <w:ilvl w:val="0"/>
          <w:numId w:val="0"/>
        </w:numPr>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8.多种解冻模式：具有常规解冻、浮动终点解冻、程序降温、手控、急诊模式等可选。</w:t>
      </w:r>
    </w:p>
    <w:p w14:paraId="48EE7F5F">
      <w:pPr>
        <w:pStyle w:val="89"/>
        <w:keepNext w:val="0"/>
        <w:keepLines w:val="0"/>
        <w:pageBreakBefore w:val="0"/>
        <w:numPr>
          <w:ilvl w:val="0"/>
          <w:numId w:val="0"/>
        </w:numPr>
        <w:kinsoku/>
        <w:wordWrap/>
        <w:overflowPunct/>
        <w:topLinePunct w:val="0"/>
        <w:autoSpaceDE/>
        <w:autoSpaceDN/>
        <w:bidi w:val="0"/>
        <w:adjustRightInd/>
        <w:spacing w:line="324"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9.解冻框：解冻仪工作水箱须配备解冻框，且解冻框内有格栅式的独立解冻卡位。</w:t>
      </w:r>
    </w:p>
    <w:p w14:paraId="26A4044A">
      <w:pPr>
        <w:pStyle w:val="22"/>
        <w:keepNext w:val="0"/>
        <w:keepLines w:val="0"/>
        <w:pageBreakBefore w:val="0"/>
        <w:kinsoku/>
        <w:wordWrap/>
        <w:overflowPunct/>
        <w:topLinePunct w:val="0"/>
        <w:autoSpaceDE/>
        <w:autoSpaceDN/>
        <w:bidi w:val="0"/>
        <w:adjustRightInd/>
        <w:spacing w:line="324" w:lineRule="auto"/>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eastAsia="宋体" w:cs="Times New Roman"/>
          <w:b/>
          <w:bCs/>
          <w:color w:val="auto"/>
          <w:sz w:val="24"/>
          <w:szCs w:val="24"/>
          <w:lang w:val="en-US" w:eastAsia="zh-CN"/>
        </w:rPr>
        <w:t>配置清单（包含但不限于）：</w:t>
      </w:r>
      <w:r>
        <w:rPr>
          <w:rFonts w:hint="eastAsia" w:ascii="宋体" w:hAnsi="宋体" w:eastAsia="宋体" w:cs="宋体"/>
          <w:color w:val="auto"/>
          <w:kern w:val="0"/>
          <w:sz w:val="21"/>
          <w:szCs w:val="21"/>
          <w:highlight w:val="none"/>
          <w:shd w:val="clear" w:color="auto" w:fill="FFFFFF"/>
          <w:lang w:val="en-US" w:eastAsia="zh-CN" w:bidi="ar-SA"/>
        </w:rPr>
        <w:t>血浆解冻仪1台，模拟血浆袋≥5袋，一次性套袋≥200个。</w:t>
      </w:r>
    </w:p>
    <w:p w14:paraId="1D2989EB">
      <w:pPr>
        <w:pStyle w:val="22"/>
        <w:keepNext w:val="0"/>
        <w:keepLines w:val="0"/>
        <w:pageBreakBefore w:val="0"/>
        <w:kinsoku/>
        <w:wordWrap/>
        <w:overflowPunct/>
        <w:topLinePunct w:val="0"/>
        <w:autoSpaceDE/>
        <w:autoSpaceDN/>
        <w:bidi w:val="0"/>
        <w:adjustRightInd/>
        <w:spacing w:line="324" w:lineRule="auto"/>
        <w:textAlignment w:val="auto"/>
        <w:rPr>
          <w:rFonts w:hint="eastAsia" w:ascii="宋体" w:hAnsi="宋体" w:cs="宋体"/>
          <w:color w:val="auto"/>
          <w:kern w:val="0"/>
          <w:sz w:val="21"/>
          <w:szCs w:val="21"/>
          <w:highlight w:val="none"/>
          <w:shd w:val="clear" w:color="auto" w:fill="FFFFFF"/>
          <w:lang w:val="en-US" w:eastAsia="zh-CN" w:bidi="ar-SA"/>
        </w:rPr>
      </w:pPr>
    </w:p>
    <w:p w14:paraId="733679C0">
      <w:pPr>
        <w:pStyle w:val="22"/>
        <w:keepNext w:val="0"/>
        <w:keepLines w:val="0"/>
        <w:pageBreakBefore w:val="0"/>
        <w:kinsoku/>
        <w:wordWrap/>
        <w:overflowPunct/>
        <w:topLinePunct w:val="0"/>
        <w:autoSpaceDE/>
        <w:autoSpaceDN/>
        <w:bidi w:val="0"/>
        <w:adjustRightInd/>
        <w:spacing w:line="324" w:lineRule="auto"/>
        <w:textAlignment w:val="auto"/>
        <w:rPr>
          <w:rFonts w:hint="default" w:ascii="宋体" w:hAnsi="宋体" w:eastAsia="宋体" w:cs="宋体"/>
          <w:b/>
          <w:bCs/>
          <w:color w:val="auto"/>
          <w:kern w:val="0"/>
          <w:sz w:val="21"/>
          <w:szCs w:val="21"/>
          <w:highlight w:val="none"/>
          <w:shd w:val="clear" w:color="auto" w:fill="FFFFFF"/>
          <w:lang w:val="en-US" w:eastAsia="zh-CN" w:bidi="ar-SA"/>
        </w:rPr>
      </w:pPr>
      <w:r>
        <w:rPr>
          <w:rFonts w:hint="eastAsia" w:ascii="宋体" w:hAnsi="宋体" w:cs="宋体"/>
          <w:b/>
          <w:bCs/>
          <w:color w:val="auto"/>
          <w:kern w:val="0"/>
          <w:sz w:val="21"/>
          <w:szCs w:val="21"/>
          <w:highlight w:val="none"/>
          <w:shd w:val="clear" w:color="auto" w:fill="FFFFFF"/>
          <w:lang w:val="en-US" w:eastAsia="zh-CN" w:bidi="ar-SA"/>
        </w:rPr>
        <w:t>（二）其他要求</w:t>
      </w:r>
    </w:p>
    <w:p w14:paraId="400E217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1、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 </w:t>
      </w:r>
    </w:p>
    <w:p w14:paraId="29A1AB3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1A41D4D9">
      <w:pPr>
        <w:pStyle w:val="22"/>
        <w:keepNext w:val="0"/>
        <w:keepLines w:val="0"/>
        <w:pageBreakBefore w:val="0"/>
        <w:kinsoku/>
        <w:wordWrap/>
        <w:overflowPunct/>
        <w:topLinePunct w:val="0"/>
        <w:autoSpaceDE/>
        <w:autoSpaceDN/>
        <w:bidi w:val="0"/>
        <w:adjustRightInd/>
        <w:spacing w:line="324" w:lineRule="auto"/>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、商品包装和快递包装应符合《商品包装政府采购需求标准（试行）》和《快递包装政府采购需求标准（试行）》规定。</w:t>
      </w:r>
    </w:p>
    <w:p w14:paraId="652AC7D6">
      <w:pPr>
        <w:pStyle w:val="22"/>
        <w:keepNext w:val="0"/>
        <w:keepLines w:val="0"/>
        <w:pageBreakBefore w:val="0"/>
        <w:kinsoku/>
        <w:wordWrap/>
        <w:overflowPunct/>
        <w:topLinePunct w:val="0"/>
        <w:autoSpaceDE/>
        <w:autoSpaceDN/>
        <w:bidi w:val="0"/>
        <w:adjustRightInd/>
        <w:spacing w:line="324" w:lineRule="auto"/>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bidi="ar-SA"/>
        </w:rPr>
      </w:pPr>
    </w:p>
    <w:p w14:paraId="63C33596">
      <w:pPr>
        <w:pStyle w:val="22"/>
        <w:keepNext w:val="0"/>
        <w:keepLines w:val="0"/>
        <w:pageBreakBefore w:val="0"/>
        <w:kinsoku/>
        <w:wordWrap/>
        <w:overflowPunct/>
        <w:topLinePunct w:val="0"/>
        <w:autoSpaceDE/>
        <w:autoSpaceDN/>
        <w:bidi w:val="0"/>
        <w:adjustRightInd/>
        <w:spacing w:line="324" w:lineRule="auto"/>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67455351">
      <w:pPr>
        <w:pStyle w:val="22"/>
        <w:keepNext w:val="0"/>
        <w:keepLines w:val="0"/>
        <w:pageBreakBefore w:val="0"/>
        <w:kinsoku/>
        <w:wordWrap/>
        <w:overflowPunct/>
        <w:topLinePunct w:val="0"/>
        <w:autoSpaceDE/>
        <w:autoSpaceDN/>
        <w:bidi w:val="0"/>
        <w:adjustRightInd/>
        <w:spacing w:line="324" w:lineRule="auto"/>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bidi="ar-SA"/>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合同签订后30日内交货，最终以合同约定内容为准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符合国家现行验收规范和标准，满足采购人的相关要求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4592F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3149C48">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0F3CC99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质保期内应当为采购人提供以下技术支持和服务：</w:t>
            </w:r>
          </w:p>
          <w:p w14:paraId="3A2F314A">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a、现场响应：供应商应保证在12小时内对用户提出的问题或故障予以响应及处理。可提供备用设备或核心部件应急使用。</w:t>
            </w:r>
          </w:p>
          <w:p w14:paraId="2F2BFE55">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b、中标人应当应每季度对该设备进行保养不少于一次,并出具保养报告，具体保养内容见合同。</w:t>
            </w:r>
          </w:p>
          <w:p w14:paraId="4FFFCAC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c、质保期内该设备应保证大于95%（含）的开机率，如达不到要求，每少于一天质保期顺延7天，如造成严重损失需赔偿用户经济损失或换货或退货。</w:t>
            </w:r>
          </w:p>
          <w:p w14:paraId="09746A5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d、技术升级，如果制造商的产品技术升级，中标人应及时通知采购人，如采购人有相应要求，中标人和制造商应对采购人购买的产品进行免费升级服务。</w:t>
            </w:r>
          </w:p>
          <w:p w14:paraId="7F0D1F55">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e、投标人交付设备时，应按照《国家食品药品监督管理总局》第18号令第17条的要求提供相应的维护手册、维修手册、软件备份、故障代码表、备件清单、零部件、维修密码等维护维修必需的材料和信息。</w:t>
            </w:r>
          </w:p>
          <w:p w14:paraId="532A3B4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f、除火灾、洪水、地震等天灾外，在保修期内，由于货物故障所产生的所有费用均由供应商负责。                                  </w:t>
            </w:r>
          </w:p>
          <w:p w14:paraId="6A785EFE">
            <w:pPr>
              <w:widowControl/>
              <w:snapToGrid w:val="0"/>
              <w:spacing w:line="360" w:lineRule="auto"/>
              <w:rPr>
                <w:rFonts w:hint="eastAsia"/>
                <w:lang w:val="en-US" w:eastAsia="zh-CN"/>
              </w:rPr>
            </w:pPr>
            <w:r>
              <w:rPr>
                <w:rFonts w:hint="eastAsia" w:ascii="宋体" w:hAnsi="宋体" w:cs="宋体"/>
                <w:color w:val="auto"/>
                <w:highlight w:val="none"/>
                <w:lang w:val="en-US" w:eastAsia="zh-CN"/>
              </w:rPr>
              <w:t>g</w:t>
            </w:r>
            <w:r>
              <w:rPr>
                <w:rFonts w:hint="eastAsia" w:ascii="宋体" w:hAnsi="宋体" w:eastAsia="宋体" w:cs="宋体"/>
                <w:color w:val="auto"/>
                <w:highlight w:val="none"/>
                <w:lang w:val="en-US" w:eastAsia="zh-CN"/>
              </w:rPr>
              <w:t xml:space="preserve">、所有设备按照医院实际要求免费开放端口，免费为医院对接院内信息系统。质保期内免费进行软件升级。                          </w:t>
            </w:r>
          </w:p>
        </w:tc>
      </w:tr>
      <w:tr w14:paraId="4BB2B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2EDB4AD">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培训</w:t>
            </w:r>
          </w:p>
        </w:tc>
        <w:tc>
          <w:tcPr>
            <w:tcW w:w="7354" w:type="dxa"/>
            <w:tcBorders>
              <w:top w:val="single" w:color="auto" w:sz="4" w:space="0"/>
              <w:left w:val="single" w:color="auto" w:sz="4" w:space="0"/>
              <w:bottom w:val="single" w:color="auto" w:sz="4" w:space="0"/>
              <w:right w:val="single" w:color="auto" w:sz="4" w:space="0"/>
            </w:tcBorders>
            <w:noWrap/>
            <w:vAlign w:val="center"/>
          </w:tcPr>
          <w:p w14:paraId="0B008DCF">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免费提供操作培训和维修培训。</w:t>
            </w:r>
          </w:p>
        </w:tc>
      </w:tr>
      <w:tr w14:paraId="01DF1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ED51583">
            <w:pPr>
              <w:pStyle w:val="15"/>
              <w:ind w:left="0" w:left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3C9E102B">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要求设备为最新出厂设备，出厂日期不得早于招标日期6个月。</w:t>
            </w:r>
          </w:p>
        </w:tc>
      </w:tr>
    </w:tbl>
    <w:p w14:paraId="4A9AACB3">
      <w:pPr>
        <w:pStyle w:val="22"/>
        <w:rPr>
          <w:rFonts w:hint="eastAsia" w:ascii="宋体" w:hAnsi="宋体" w:eastAsia="宋体" w:cs="宋体"/>
          <w:color w:val="auto"/>
          <w:highlight w:val="none"/>
        </w:rPr>
        <w:sectPr>
          <w:pgSz w:w="11906" w:h="16838"/>
          <w:pgMar w:top="1417" w:right="1474" w:bottom="1417" w:left="1474" w:header="851" w:footer="624" w:gutter="0"/>
          <w:pgNumType w:fmt="decimal"/>
          <w:cols w:space="720" w:num="1"/>
          <w:docGrid w:type="lines" w:linePitch="319" w:charSpace="0"/>
        </w:sectPr>
      </w:pPr>
    </w:p>
    <w:p w14:paraId="0D77607B">
      <w:pPr>
        <w:pStyle w:val="22"/>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9566"/>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w:t>
            </w:r>
            <w:r>
              <w:rPr>
                <w:rFonts w:hint="eastAsia" w:ascii="宋体" w:hAnsi="宋体" w:cs="宋体"/>
                <w:color w:val="auto"/>
                <w:highlight w:val="none"/>
                <w:lang w:val="en-US" w:eastAsia="zh-CN"/>
              </w:rPr>
              <w:t>磁刺激仪、全温控监测数字化血浆解冻仪采购项目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4541"/>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6822C2">
            <w:pPr>
              <w:widowControl/>
              <w:snapToGrid w:val="0"/>
              <w:spacing w:line="440" w:lineRule="exact"/>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采购预算：</w:t>
            </w:r>
            <w:r>
              <w:rPr>
                <w:rFonts w:hint="eastAsia" w:ascii="宋体" w:hAnsi="宋体" w:eastAsia="宋体" w:cs="宋体"/>
                <w:b/>
                <w:bCs/>
                <w:color w:val="auto"/>
                <w:kern w:val="0"/>
                <w:szCs w:val="21"/>
                <w:highlight w:val="none"/>
                <w:lang w:val="en-US" w:eastAsia="zh-CN"/>
              </w:rPr>
              <w:t>29.5万元</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lang w:val="en-US" w:eastAsia="zh-CN"/>
              </w:rPr>
              <w:t>A</w:t>
            </w:r>
            <w:r>
              <w:rPr>
                <w:rFonts w:hint="eastAsia" w:ascii="宋体" w:hAnsi="宋体" w:eastAsia="宋体" w:cs="宋体"/>
                <w:b/>
                <w:bCs/>
                <w:color w:val="auto"/>
                <w:kern w:val="0"/>
                <w:szCs w:val="21"/>
                <w:highlight w:val="none"/>
                <w:lang w:val="en-US" w:eastAsia="zh-CN"/>
              </w:rPr>
              <w:t>包</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 xml:space="preserve">：16.5万元     </w:t>
            </w:r>
            <w:r>
              <w:rPr>
                <w:rFonts w:hint="eastAsia" w:ascii="宋体" w:hAnsi="宋体" w:cs="宋体"/>
                <w:b/>
                <w:bCs/>
                <w:color w:val="auto"/>
                <w:kern w:val="0"/>
                <w:szCs w:val="21"/>
                <w:highlight w:val="none"/>
                <w:lang w:val="en-US" w:eastAsia="zh-CN"/>
              </w:rPr>
              <w:t>B</w:t>
            </w:r>
            <w:r>
              <w:rPr>
                <w:rFonts w:hint="eastAsia" w:ascii="宋体" w:hAnsi="宋体" w:eastAsia="宋体" w:cs="宋体"/>
                <w:b/>
                <w:bCs/>
                <w:color w:val="auto"/>
                <w:kern w:val="0"/>
                <w:szCs w:val="21"/>
                <w:highlight w:val="none"/>
                <w:lang w:val="en-US" w:eastAsia="zh-CN"/>
              </w:rPr>
              <w:t>包</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：13万元</w:t>
            </w:r>
          </w:p>
          <w:p w14:paraId="7AFDFAB9">
            <w:pPr>
              <w:widowControl/>
              <w:snapToGrid w:val="0"/>
              <w:spacing w:line="440" w:lineRule="exact"/>
              <w:jc w:val="left"/>
              <w:outlineLvl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 本项目</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以人民币报价。</w:t>
            </w:r>
          </w:p>
          <w:p w14:paraId="25F0BC31">
            <w:pPr>
              <w:widowControl/>
              <w:snapToGrid w:val="0"/>
              <w:spacing w:line="440" w:lineRule="exact"/>
              <w:jc w:val="left"/>
              <w:outlineLvl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3.2 供应商的报价超过采购预算，采购人不能支付的，按废标处理。</w:t>
            </w:r>
          </w:p>
          <w:p w14:paraId="2834DD74">
            <w:pPr>
              <w:widowControl/>
              <w:snapToGrid w:val="0"/>
              <w:spacing w:line="440" w:lineRule="exact"/>
              <w:jc w:val="left"/>
              <w:outlineLvl w:val="0"/>
              <w:rPr>
                <w:rFonts w:hint="eastAsia" w:ascii="宋体" w:hAnsi="宋体" w:eastAsia="宋体" w:cs="宋体"/>
                <w:b/>
                <w:bCs/>
                <w:color w:val="auto"/>
                <w:kern w:val="0"/>
                <w:szCs w:val="21"/>
                <w:highlight w:val="none"/>
                <w:lang w:eastAsia="zh-CN"/>
              </w:rPr>
            </w:pPr>
            <w:r>
              <w:rPr>
                <w:rFonts w:hint="eastAsia" w:ascii="宋体" w:hAnsi="宋体" w:eastAsia="宋体" w:cs="宋体"/>
                <w:color w:val="auto"/>
                <w:highlight w:val="none"/>
                <w:lang w:eastAsia="zh-CN"/>
              </w:rPr>
              <w:t>3.3 本项目</w:t>
            </w:r>
            <w:r>
              <w:rPr>
                <w:rFonts w:hint="eastAsia" w:ascii="宋体" w:hAnsi="宋体" w:eastAsia="宋体" w:cs="宋体"/>
                <w:color w:val="auto"/>
                <w:highlight w:val="none"/>
                <w:lang w:val="en-US" w:eastAsia="zh-CN"/>
              </w:rPr>
              <w:t>由成交供应商缴纳</w:t>
            </w:r>
            <w:r>
              <w:rPr>
                <w:rFonts w:hint="eastAsia" w:ascii="宋体" w:hAnsi="宋体" w:eastAsia="宋体" w:cs="宋体"/>
                <w:color w:val="auto"/>
                <w:highlight w:val="none"/>
                <w:lang w:eastAsia="zh-CN"/>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5D4AB12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29.5 万元</w:t>
      </w:r>
      <w:r>
        <w:rPr>
          <w:rFonts w:hint="eastAsia" w:ascii="宋体" w:hAnsi="宋体" w:eastAsia="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 xml:space="preserve">   A</w:t>
      </w:r>
      <w:r>
        <w:rPr>
          <w:rFonts w:hint="eastAsia" w:ascii="宋体" w:hAnsi="宋体" w:eastAsia="宋体" w:cs="宋体"/>
          <w:b/>
          <w:bCs/>
          <w:color w:val="auto"/>
          <w:kern w:val="0"/>
          <w:szCs w:val="21"/>
          <w:highlight w:val="none"/>
          <w:lang w:val="en-US" w:eastAsia="zh-CN"/>
        </w:rPr>
        <w:t>包</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 xml:space="preserve">：16.5万元     </w:t>
      </w:r>
      <w:r>
        <w:rPr>
          <w:rFonts w:hint="eastAsia" w:ascii="宋体" w:hAnsi="宋体" w:cs="宋体"/>
          <w:b/>
          <w:bCs/>
          <w:color w:val="auto"/>
          <w:kern w:val="0"/>
          <w:szCs w:val="21"/>
          <w:highlight w:val="none"/>
          <w:lang w:val="en-US" w:eastAsia="zh-CN"/>
        </w:rPr>
        <w:t>B</w:t>
      </w:r>
      <w:r>
        <w:rPr>
          <w:rFonts w:hint="eastAsia" w:ascii="宋体" w:hAnsi="宋体" w:eastAsia="宋体" w:cs="宋体"/>
          <w:b/>
          <w:bCs/>
          <w:color w:val="auto"/>
          <w:kern w:val="0"/>
          <w:szCs w:val="21"/>
          <w:highlight w:val="none"/>
          <w:lang w:val="en-US" w:eastAsia="zh-CN"/>
        </w:rPr>
        <w:t>包</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：13万元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950CEA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393097D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2F25D36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31"/>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28"/>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28"/>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28"/>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28"/>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28"/>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28"/>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28"/>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28"/>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28"/>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1.产品技术参数（</w:t>
            </w:r>
            <w:r>
              <w:rPr>
                <w:rFonts w:hint="eastAsia" w:hAnsi="宋体" w:cs="宋体"/>
                <w:b w:val="0"/>
                <w:bCs w:val="0"/>
                <w:color w:val="auto"/>
                <w:sz w:val="21"/>
                <w:szCs w:val="21"/>
                <w:highlight w:val="none"/>
                <w:u w:val="none"/>
                <w:lang w:val="en-US" w:eastAsia="zh-CN"/>
              </w:rPr>
              <w:t>30</w:t>
            </w:r>
            <w:r>
              <w:rPr>
                <w:rFonts w:hint="eastAsia" w:ascii="宋体" w:hAnsi="宋体" w:eastAsia="宋体" w:cs="宋体"/>
                <w:b w:val="0"/>
                <w:bCs w:val="0"/>
                <w:color w:val="auto"/>
                <w:sz w:val="21"/>
                <w:szCs w:val="21"/>
                <w:highlight w:val="none"/>
                <w:u w:val="none"/>
                <w:lang w:val="en-US" w:eastAsia="zh-CN"/>
              </w:rPr>
              <w:t>分）</w:t>
            </w:r>
          </w:p>
        </w:tc>
        <w:tc>
          <w:tcPr>
            <w:tcW w:w="6770" w:type="dxa"/>
            <w:noWrap w:val="0"/>
            <w:vAlign w:val="center"/>
          </w:tcPr>
          <w:p w14:paraId="4E662D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三、技术要求”响应，全部满足磋商文件要求得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分，一项不满足扣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扣完为止；如得分为0，则磋商无效。</w:t>
            </w:r>
          </w:p>
          <w:p w14:paraId="0FE0C4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4BC0163D">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w:t>
            </w:r>
          </w:p>
          <w:p w14:paraId="6F517B6E">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）需提供产品注册检验报告及响应技术参数条款的技术白皮书和彩页等相关文件，并对响应技术参数部分做出明显标注。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000000"/>
                <w:sz w:val="24"/>
                <w:szCs w:val="24"/>
              </w:rPr>
              <w:t>投标产品制造工艺、稳定性较好</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安全性较高的得 </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rPr>
              <w:t xml:space="preserve">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具体详实，完全满足采购需求的得4分；有较具体的供货保障措施，基本满足采购需求的得2分；供货保障措施不完备，不能满足采购需求的得1分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48"/>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7021B8FA">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人员专业能力强、措施详尽、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0"/>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0"/>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49"/>
        <w:rPr>
          <w:rFonts w:hint="eastAsia" w:ascii="宋体" w:hAnsi="宋体" w:eastAsia="宋体" w:cs="宋体"/>
          <w:b/>
          <w:bCs/>
          <w:color w:val="auto"/>
          <w:highlight w:val="none"/>
        </w:rPr>
      </w:pPr>
    </w:p>
    <w:p w14:paraId="7C048156">
      <w:pPr>
        <w:pStyle w:val="49"/>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5"/>
        <w:rPr>
          <w:rFonts w:hint="eastAsia" w:ascii="宋体" w:hAnsi="宋体" w:eastAsia="宋体" w:cs="宋体"/>
          <w:color w:val="auto"/>
          <w:highlight w:val="none"/>
        </w:rPr>
      </w:pPr>
    </w:p>
    <w:p w14:paraId="67FE75CD">
      <w:pPr>
        <w:pStyle w:val="6"/>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5D34B248">
      <w:pPr>
        <w:pStyle w:val="6"/>
        <w:rPr>
          <w:rFonts w:hint="eastAsia" w:ascii="宋体" w:hAnsi="宋体" w:eastAsia="宋体" w:cs="宋体"/>
          <w:b/>
          <w:color w:val="auto"/>
          <w:spacing w:val="90"/>
          <w:sz w:val="52"/>
          <w:szCs w:val="52"/>
          <w:highlight w:val="none"/>
        </w:rPr>
      </w:pPr>
    </w:p>
    <w:p w14:paraId="3E18B93C">
      <w:pPr>
        <w:rPr>
          <w:rFonts w:hint="eastAsia"/>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20AC8B70">
      <w:pPr>
        <w:spacing w:line="360" w:lineRule="auto"/>
        <w:rPr>
          <w:rFonts w:hint="eastAsia" w:ascii="宋体" w:hAnsi="宋体" w:eastAsia="宋体" w:cs="宋体"/>
          <w:color w:val="auto"/>
          <w:sz w:val="28"/>
          <w:highlight w:val="none"/>
        </w:rPr>
      </w:pPr>
    </w:p>
    <w:p w14:paraId="596DC1AB">
      <w:pPr>
        <w:pStyle w:val="49"/>
        <w:spacing w:line="360" w:lineRule="auto"/>
        <w:rPr>
          <w:rFonts w:hint="eastAsia" w:ascii="宋体" w:hAnsi="宋体" w:eastAsia="宋体" w:cs="宋体"/>
          <w:color w:val="auto"/>
          <w:highlight w:val="none"/>
        </w:rPr>
      </w:pPr>
    </w:p>
    <w:p w14:paraId="51E48B65">
      <w:pPr>
        <w:pStyle w:val="49"/>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6"/>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包</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253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57ABD96">
            <w:pPr>
              <w:widowControl/>
              <w:snapToGrid w:val="0"/>
              <w:spacing w:before="50" w:after="5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包号</w:t>
            </w:r>
          </w:p>
        </w:tc>
        <w:tc>
          <w:tcPr>
            <w:tcW w:w="7708" w:type="dxa"/>
            <w:noWrap/>
            <w:vAlign w:val="center"/>
          </w:tcPr>
          <w:p w14:paraId="091B4E6A">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2"/>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0"/>
        <w:ind w:firstLine="3990" w:firstLineChars="1900"/>
        <w:rPr>
          <w:rFonts w:hint="eastAsia" w:ascii="宋体" w:hAnsi="宋体" w:eastAsia="宋体" w:cs="宋体"/>
          <w:color w:val="auto"/>
          <w:sz w:val="21"/>
          <w:szCs w:val="21"/>
          <w:highlight w:val="none"/>
          <w:lang w:eastAsia="zh-CN"/>
        </w:rPr>
      </w:pPr>
    </w:p>
    <w:p w14:paraId="3C53A5A9">
      <w:pPr>
        <w:pStyle w:val="30"/>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2"/>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568848E2">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15804"/>
      <w:bookmarkStart w:id="81" w:name="_Toc226"/>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0420"/>
      <w:bookmarkStart w:id="83" w:name="_Toc24168"/>
      <w:bookmarkStart w:id="84" w:name="_Toc2996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87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729"/>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133"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w:t>
            </w:r>
          </w:p>
        </w:tc>
        <w:tc>
          <w:tcPr>
            <w:tcW w:w="2517"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410" w:type="dxa"/>
            <w:noWrap w:val="0"/>
            <w:vAlign w:val="top"/>
          </w:tcPr>
          <w:p w14:paraId="433E3ED6">
            <w:pPr>
              <w:widowControl/>
              <w:shd w:val="clear" w:color="auto" w:fill="auto"/>
              <w:snapToGrid w:val="0"/>
              <w:spacing w:before="156" w:beforeLines="50"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4"/>
                <w:highlight w:val="none"/>
              </w:rPr>
              <w:t>响应情况</w:t>
            </w:r>
          </w:p>
        </w:tc>
        <w:tc>
          <w:tcPr>
            <w:tcW w:w="1729" w:type="dxa"/>
            <w:noWrap w:val="0"/>
            <w:vAlign w:val="top"/>
          </w:tcPr>
          <w:p w14:paraId="76FA13D4">
            <w:pPr>
              <w:widowControl/>
              <w:shd w:val="clear" w:color="auto" w:fill="auto"/>
              <w:snapToGrid w:val="0"/>
              <w:spacing w:before="156" w:beforeLines="50"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4"/>
                <w:highlight w:val="none"/>
              </w:rPr>
              <w:t>供应商的承诺或说明</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33" w:type="dxa"/>
            <w:noWrap w:val="0"/>
            <w:vAlign w:val="center"/>
          </w:tcPr>
          <w:p w14:paraId="7A24A9AD">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2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p>
        </w:tc>
        <w:tc>
          <w:tcPr>
            <w:tcW w:w="2517"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2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133" w:type="dxa"/>
            <w:noWrap w:val="0"/>
            <w:vAlign w:val="center"/>
          </w:tcPr>
          <w:p w14:paraId="5FBC217B">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2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72B55C4B">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2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446CD0C">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2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AAABEAA">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2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06A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127A961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18ABAF5A">
            <w:pPr>
              <w:pStyle w:val="15"/>
              <w:ind w:left="0" w:leftChars="0"/>
              <w:jc w:val="center"/>
              <w:rPr>
                <w:rFonts w:hint="eastAsia" w:ascii="宋体" w:hAnsi="宋体" w:eastAsia="宋体" w:cs="宋体"/>
                <w:color w:val="auto"/>
                <w:sz w:val="21"/>
                <w:szCs w:val="21"/>
                <w:highlight w:val="none"/>
              </w:rPr>
            </w:pPr>
          </w:p>
        </w:tc>
        <w:tc>
          <w:tcPr>
            <w:tcW w:w="2517" w:type="dxa"/>
            <w:noWrap w:val="0"/>
            <w:vAlign w:val="center"/>
          </w:tcPr>
          <w:p w14:paraId="768890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F7A6DC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29" w:type="dxa"/>
            <w:noWrap w:val="0"/>
            <w:vAlign w:val="center"/>
          </w:tcPr>
          <w:p w14:paraId="2CB3108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9E346E5">
      <w:pPr>
        <w:rPr>
          <w:rFonts w:hint="eastAsia" w:ascii="宋体" w:hAnsi="宋体" w:eastAsia="宋体" w:cs="宋体"/>
          <w:b/>
          <w:color w:val="auto"/>
          <w:kern w:val="0"/>
          <w:sz w:val="21"/>
          <w:szCs w:val="21"/>
          <w:highlight w:val="none"/>
        </w:rPr>
      </w:pPr>
    </w:p>
    <w:p w14:paraId="3FD13902">
      <w:pPr>
        <w:pStyle w:val="30"/>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30519"/>
      <w:bookmarkStart w:id="90" w:name="_Toc13976"/>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包</w:t>
      </w:r>
      <w:r>
        <w:rPr>
          <w:rFonts w:hint="eastAsia" w:ascii="宋体" w:hAnsi="宋体" w:eastAsia="宋体" w:cs="宋体"/>
          <w:color w:val="auto"/>
          <w:kern w:val="0"/>
          <w:sz w:val="24"/>
          <w:highlight w:val="none"/>
        </w:rPr>
        <w:t>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342"/>
      <w:bookmarkStart w:id="92" w:name="_Toc18105"/>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技术参数</w:t>
      </w:r>
      <w:r>
        <w:rPr>
          <w:rFonts w:hint="eastAsia" w:cs="宋体"/>
          <w:bCs/>
          <w:color w:val="auto"/>
          <w:sz w:val="21"/>
          <w:szCs w:val="21"/>
          <w:highlight w:val="none"/>
          <w:lang w:val="en-US" w:eastAsia="zh-CN"/>
        </w:rPr>
        <w:t>证明</w:t>
      </w:r>
      <w:r>
        <w:rPr>
          <w:rFonts w:hint="eastAsia" w:ascii="宋体" w:hAnsi="宋体" w:eastAsia="宋体" w:cs="宋体"/>
          <w:bCs/>
          <w:color w:val="auto"/>
          <w:sz w:val="21"/>
          <w:szCs w:val="21"/>
          <w:highlight w:val="none"/>
          <w:lang w:val="en-US" w:eastAsia="zh-CN"/>
        </w:rPr>
        <w:t>资料</w:t>
      </w:r>
    </w:p>
    <w:p w14:paraId="00828F39">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2888"/>
      <w:bookmarkStart w:id="96" w:name="_Toc16083"/>
      <w:bookmarkStart w:id="97" w:name="_Toc13726"/>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0"/>
        <w:rPr>
          <w:rFonts w:hint="eastAsia" w:ascii="宋体" w:hAnsi="宋体" w:eastAsia="宋体" w:cs="宋体"/>
          <w:color w:val="auto"/>
          <w:kern w:val="0"/>
          <w:szCs w:val="21"/>
          <w:highlight w:val="none"/>
        </w:rPr>
      </w:pPr>
    </w:p>
    <w:p w14:paraId="7C0BDA51">
      <w:pPr>
        <w:pStyle w:val="31"/>
        <w:rPr>
          <w:rFonts w:hint="eastAsia" w:ascii="宋体" w:hAnsi="宋体" w:eastAsia="宋体" w:cs="宋体"/>
          <w:color w:val="auto"/>
          <w:kern w:val="0"/>
          <w:szCs w:val="21"/>
          <w:highlight w:val="none"/>
        </w:rPr>
      </w:pPr>
    </w:p>
    <w:p w14:paraId="7CC90B0D">
      <w:pPr>
        <w:pStyle w:val="11"/>
        <w:rPr>
          <w:rFonts w:hint="eastAsia" w:ascii="宋体" w:hAnsi="宋体" w:eastAsia="宋体" w:cs="宋体"/>
          <w:color w:val="auto"/>
          <w:highlight w:val="none"/>
        </w:rPr>
      </w:pPr>
    </w:p>
    <w:p w14:paraId="5CAC53F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31685"/>
      <w:bookmarkStart w:id="99" w:name="_Toc25094"/>
      <w:bookmarkStart w:id="100" w:name="_Toc23394"/>
    </w:p>
    <w:p w14:paraId="24DE6E5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3"/>
      <w:jc w:val="right"/>
      <w:rPr>
        <w:rFonts w:hint="eastAsia"/>
      </w:rPr>
    </w:pPr>
    <w:r>
      <w:rPr>
        <w:rFonts w:hint="eastAsia" w:ascii="宋体" w:hAnsi="宋体" w:cs="宋体"/>
        <w:color w:val="auto"/>
        <w:szCs w:val="21"/>
        <w:highlight w:val="none"/>
        <w:u w:val="none"/>
        <w:shd w:val="clear" w:color="auto" w:fill="FFFFFF"/>
        <w:lang w:val="en-US" w:eastAsia="zh-CN"/>
      </w:rPr>
      <w:t>驻马店市中心医院</w:t>
    </w:r>
    <w:r>
      <w:rPr>
        <w:rFonts w:hint="eastAsia" w:ascii="宋体" w:hAnsi="宋体" w:eastAsia="宋体" w:cs="宋体"/>
        <w:color w:val="auto"/>
        <w:szCs w:val="21"/>
        <w:highlight w:val="none"/>
        <w:u w:val="none"/>
        <w:shd w:val="clear" w:color="auto" w:fill="FFFFFF"/>
        <w:lang w:val="en-US" w:eastAsia="zh-CN"/>
      </w:rPr>
      <w:t>磁刺激仪、全温控监测数字化血浆解冻仪</w:t>
    </w:r>
    <w:r>
      <w:rPr>
        <w:rFonts w:hint="eastAsia" w:ascii="宋体" w:hAnsi="宋体" w:cs="宋体"/>
        <w:color w:val="auto"/>
        <w:szCs w:val="21"/>
        <w:highlight w:val="none"/>
        <w:u w:val="none"/>
        <w:shd w:val="clear" w:color="auto" w:fill="FFFFFF"/>
        <w:lang w:val="en-US" w:eastAsia="zh-CN"/>
      </w:rPr>
      <w:t>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1E74"/>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D92EF7"/>
    <w:rsid w:val="02DA4665"/>
    <w:rsid w:val="02F40325"/>
    <w:rsid w:val="02FA082F"/>
    <w:rsid w:val="02FE20CD"/>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4D10EA"/>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1D2"/>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2D54BA"/>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2D4304"/>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3801A8"/>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6218ED"/>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9B03F3"/>
    <w:rsid w:val="1EA5444C"/>
    <w:rsid w:val="1EB350EF"/>
    <w:rsid w:val="1EC21749"/>
    <w:rsid w:val="1EE73F05"/>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30749E"/>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395046"/>
    <w:rsid w:val="264B0BA4"/>
    <w:rsid w:val="264F4111"/>
    <w:rsid w:val="265E0AEC"/>
    <w:rsid w:val="2661459D"/>
    <w:rsid w:val="266B71CA"/>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004A2"/>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52EBC"/>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662043"/>
    <w:rsid w:val="306D3B35"/>
    <w:rsid w:val="307153DD"/>
    <w:rsid w:val="3083092C"/>
    <w:rsid w:val="30930D2E"/>
    <w:rsid w:val="30B8125D"/>
    <w:rsid w:val="30B87D63"/>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881A53"/>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5E0DA6"/>
    <w:rsid w:val="377639AE"/>
    <w:rsid w:val="378142CB"/>
    <w:rsid w:val="378B61A6"/>
    <w:rsid w:val="37B90F0B"/>
    <w:rsid w:val="37CD3F98"/>
    <w:rsid w:val="37DF75BA"/>
    <w:rsid w:val="37E148E2"/>
    <w:rsid w:val="37F848EE"/>
    <w:rsid w:val="37F912FC"/>
    <w:rsid w:val="38037262"/>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9823B7"/>
    <w:rsid w:val="3BCA44BE"/>
    <w:rsid w:val="3C061F3A"/>
    <w:rsid w:val="3C0A04F9"/>
    <w:rsid w:val="3C495480"/>
    <w:rsid w:val="3C4C3A42"/>
    <w:rsid w:val="3C557EA4"/>
    <w:rsid w:val="3C6F0167"/>
    <w:rsid w:val="3C71667B"/>
    <w:rsid w:val="3C761FCB"/>
    <w:rsid w:val="3C7C75E3"/>
    <w:rsid w:val="3C914F3B"/>
    <w:rsid w:val="3CAD7766"/>
    <w:rsid w:val="3CC17F13"/>
    <w:rsid w:val="3CD15B81"/>
    <w:rsid w:val="3CD4567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1B17E0"/>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05784A"/>
    <w:rsid w:val="4724600B"/>
    <w:rsid w:val="472E597E"/>
    <w:rsid w:val="474A4B33"/>
    <w:rsid w:val="47665A15"/>
    <w:rsid w:val="47677941"/>
    <w:rsid w:val="477C3AE3"/>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80AFD"/>
    <w:rsid w:val="4BB033BA"/>
    <w:rsid w:val="4BB469AD"/>
    <w:rsid w:val="4BB5041C"/>
    <w:rsid w:val="4BC06040"/>
    <w:rsid w:val="4BC66ACD"/>
    <w:rsid w:val="4BC845F3"/>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E42FC"/>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EF6035F"/>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D715BF"/>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6752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935B8F"/>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4319B4"/>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D1897"/>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46E95"/>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D042FB1"/>
    <w:rsid w:val="5D442CB4"/>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14E82"/>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1EC3CCE"/>
    <w:rsid w:val="61F335F4"/>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034519"/>
    <w:rsid w:val="64177A6E"/>
    <w:rsid w:val="642F4DB7"/>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770F9"/>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417049"/>
    <w:rsid w:val="6A576E16"/>
    <w:rsid w:val="6A7903E5"/>
    <w:rsid w:val="6A8219B9"/>
    <w:rsid w:val="6A8641F2"/>
    <w:rsid w:val="6A9701A5"/>
    <w:rsid w:val="6AA03032"/>
    <w:rsid w:val="6AA86FEC"/>
    <w:rsid w:val="6ACB20F7"/>
    <w:rsid w:val="6ADA6AC4"/>
    <w:rsid w:val="6ADB11D6"/>
    <w:rsid w:val="6B1348BC"/>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7517D5"/>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CF01A8"/>
    <w:rsid w:val="75DF5F11"/>
    <w:rsid w:val="75E8633A"/>
    <w:rsid w:val="76360227"/>
    <w:rsid w:val="76393874"/>
    <w:rsid w:val="763F09AA"/>
    <w:rsid w:val="764F3FCC"/>
    <w:rsid w:val="7650339F"/>
    <w:rsid w:val="765A3F35"/>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1902FB"/>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3B58F3"/>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styleId="5">
    <w:name w:val="Body Text 2"/>
    <w:basedOn w:val="1"/>
    <w:next w:val="4"/>
    <w:autoRedefine/>
    <w:qFormat/>
    <w:uiPriority w:val="0"/>
    <w:pPr>
      <w:spacing w:line="480" w:lineRule="auto"/>
    </w:p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7"/>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4"/>
    <w:next w:val="31"/>
    <w:autoRedefine/>
    <w:qFormat/>
    <w:uiPriority w:val="0"/>
    <w:pPr>
      <w:spacing w:line="360" w:lineRule="auto"/>
      <w:ind w:firstLine="420" w:firstLineChars="100"/>
    </w:pPr>
    <w:rPr>
      <w:szCs w:val="21"/>
    </w:rPr>
  </w:style>
  <w:style w:type="paragraph" w:styleId="31">
    <w:name w:val="Body Text First Indent 2"/>
    <w:basedOn w:val="15"/>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正文文本缩进 21"/>
    <w:basedOn w:val="1"/>
    <w:autoRedefine/>
    <w:qFormat/>
    <w:uiPriority w:val="0"/>
    <w:pPr>
      <w:ind w:firstLine="570"/>
    </w:pPr>
    <w:rPr>
      <w:sz w:val="32"/>
    </w:rPr>
  </w:style>
  <w:style w:type="paragraph" w:customStyle="1" w:styleId="49">
    <w:name w:val="Default"/>
    <w:next w:val="50"/>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1"/>
    <w:autoRedefine/>
    <w:qFormat/>
    <w:uiPriority w:val="0"/>
    <w:pPr>
      <w:jc w:val="center"/>
    </w:pPr>
    <w:rPr>
      <w:rFonts w:ascii="Arial" w:hAnsi="Arial"/>
      <w:b/>
      <w:sz w:val="28"/>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4"/>
    <w:link w:val="4"/>
    <w:autoRedefine/>
    <w:qFormat/>
    <w:uiPriority w:val="0"/>
  </w:style>
  <w:style w:type="character" w:customStyle="1" w:styleId="76">
    <w:name w:val="apple-converted-space"/>
    <w:basedOn w:val="34"/>
    <w:autoRedefine/>
    <w:qFormat/>
    <w:uiPriority w:val="0"/>
  </w:style>
  <w:style w:type="character" w:customStyle="1" w:styleId="77">
    <w:name w:val="文档结构图 Char"/>
    <w:link w:val="12"/>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4"/>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4"/>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4"/>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4"/>
    <w:qFormat/>
    <w:uiPriority w:val="0"/>
    <w:rPr>
      <w:rFonts w:ascii="宋体" w:hAnsi="宋体" w:eastAsia="宋体" w:cs="宋体"/>
      <w:color w:val="000000"/>
      <w:sz w:val="24"/>
      <w:szCs w:val="24"/>
      <w:u w:val="none"/>
    </w:rPr>
  </w:style>
  <w:style w:type="character" w:customStyle="1" w:styleId="96">
    <w:name w:val="font81"/>
    <w:basedOn w:val="3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15809</Words>
  <Characters>16554</Characters>
  <Lines>50</Lines>
  <Paragraphs>68</Paragraphs>
  <TotalTime>1</TotalTime>
  <ScaleCrop>false</ScaleCrop>
  <LinksUpToDate>false</LinksUpToDate>
  <CharactersWithSpaces>17175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2025-07-17T01:39:37Z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57AFC29B92534F048E3DAC534950870F_13</vt:lpwstr>
  </property>
  <property fmtid="{D5CDD505-2E9C-101B-9397-08002B2CF9AE}" pid="4" name="KSOTemplateDocerSaveRecord">
    <vt:lpwstr>eyJoZGlkIjoiYzIwMjRmYTY4OTJhZjc1NTA1MGQwNDc0NzZhNTkwMmUiLCJ1c2VySWQiOiIxNjg0NTc5MjM2In0=</vt:lpwstr>
  </property>
</Properties>
</file>