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610F71D">
      <w:pPr>
        <w:pStyle w:val="20"/>
        <w:bidi w:val="0"/>
        <w:jc w:val="center"/>
        <w:rPr>
          <w:rStyle w:val="45"/>
          <w:rFonts w:hint="eastAsia" w:ascii="宋体" w:hAnsi="宋体" w:eastAsia="宋体" w:cs="宋体"/>
          <w:b/>
          <w:bCs/>
          <w:color w:val="auto"/>
          <w:sz w:val="48"/>
          <w:szCs w:val="48"/>
          <w:highlight w:val="none"/>
        </w:rPr>
      </w:pPr>
      <w:r>
        <w:rPr>
          <w:rFonts w:hint="eastAsia" w:ascii="宋体" w:hAnsi="宋体" w:eastAsia="宋体" w:cs="宋体"/>
          <w:b/>
          <w:bCs/>
          <w:color w:val="auto"/>
          <w:sz w:val="44"/>
          <w:szCs w:val="44"/>
          <w:highlight w:val="none"/>
          <w:lang w:val="en-US" w:eastAsia="zh-CN"/>
        </w:rPr>
        <w:t xml:space="preserve">驻马店市中心医院遥测监护系统采购项目 </w:t>
      </w: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_Toc26528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_Toc19124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_Toc8501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_Toc31399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_Toc11904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_Toc18702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eastAsia="宋体" w:cs="宋体"/>
          <w:b/>
          <w:bCs w:val="0"/>
          <w:color w:val="auto"/>
          <w:kern w:val="0"/>
          <w:sz w:val="28"/>
          <w:szCs w:val="28"/>
          <w:highlight w:val="none"/>
          <w:u w:val="none"/>
          <w:lang w:val="en-US" w:eastAsia="zh-CN"/>
        </w:rPr>
        <w:t xml:space="preserve">驻马店市中心医院遥测监护系统采购项目 </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bookmarkStart w:id="101" w:name="_GoBack"/>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遥测监护系统采购项目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驻马店市中心医院遥测监护系统采购项目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详见第二章采购需求</w:t>
      </w:r>
    </w:p>
    <w:p w14:paraId="5C0825C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30.9万元</w:t>
      </w:r>
    </w:p>
    <w:tbl>
      <w:tblPr>
        <w:tblStyle w:val="34"/>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53"/>
        <w:gridCol w:w="1365"/>
        <w:gridCol w:w="1605"/>
        <w:gridCol w:w="1481"/>
      </w:tblGrid>
      <w:tr w14:paraId="7FBF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9944AAF">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包号</w:t>
            </w:r>
          </w:p>
        </w:tc>
        <w:tc>
          <w:tcPr>
            <w:tcW w:w="2853" w:type="dxa"/>
            <w:tcBorders>
              <w:top w:val="single" w:color="auto" w:sz="4" w:space="0"/>
              <w:left w:val="nil"/>
              <w:bottom w:val="single" w:color="auto" w:sz="4" w:space="0"/>
              <w:right w:val="single" w:color="auto" w:sz="4" w:space="0"/>
            </w:tcBorders>
            <w:vAlign w:val="center"/>
          </w:tcPr>
          <w:p w14:paraId="7C28EC05">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采购内容（包名称）</w:t>
            </w:r>
          </w:p>
        </w:tc>
        <w:tc>
          <w:tcPr>
            <w:tcW w:w="1365" w:type="dxa"/>
            <w:tcBorders>
              <w:top w:val="single" w:color="auto" w:sz="4" w:space="0"/>
              <w:left w:val="nil"/>
              <w:bottom w:val="single" w:color="auto" w:sz="4" w:space="0"/>
              <w:right w:val="single" w:color="auto" w:sz="4" w:space="0"/>
            </w:tcBorders>
            <w:vAlign w:val="center"/>
          </w:tcPr>
          <w:p w14:paraId="2310AF80">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数量单位</w:t>
            </w:r>
          </w:p>
        </w:tc>
        <w:tc>
          <w:tcPr>
            <w:tcW w:w="1605" w:type="dxa"/>
            <w:tcBorders>
              <w:top w:val="single" w:color="auto" w:sz="4" w:space="0"/>
              <w:left w:val="nil"/>
              <w:bottom w:val="single" w:color="auto" w:sz="4" w:space="0"/>
              <w:right w:val="single" w:color="auto" w:sz="4" w:space="0"/>
            </w:tcBorders>
            <w:vAlign w:val="center"/>
          </w:tcPr>
          <w:p w14:paraId="0952CC64">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预算金额</w:t>
            </w:r>
          </w:p>
        </w:tc>
        <w:tc>
          <w:tcPr>
            <w:tcW w:w="1481" w:type="dxa"/>
            <w:tcBorders>
              <w:top w:val="single" w:color="auto" w:sz="4" w:space="0"/>
              <w:left w:val="nil"/>
              <w:bottom w:val="single" w:color="auto" w:sz="4" w:space="0"/>
              <w:right w:val="single" w:color="auto" w:sz="4" w:space="0"/>
            </w:tcBorders>
            <w:vAlign w:val="center"/>
          </w:tcPr>
          <w:p w14:paraId="55FDBE0D">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包最高限价</w:t>
            </w:r>
          </w:p>
        </w:tc>
      </w:tr>
      <w:tr w14:paraId="5BFB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03E7465F">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包</w:t>
            </w:r>
            <w:r>
              <w:rPr>
                <w:rFonts w:hint="eastAsia" w:ascii="宋体" w:hAnsi="宋体" w:cs="宋体"/>
                <w:color w:val="auto"/>
                <w:kern w:val="0"/>
                <w:sz w:val="21"/>
                <w:szCs w:val="21"/>
                <w:highlight w:val="none"/>
                <w:shd w:val="clear" w:color="auto" w:fill="FFFFFF"/>
                <w:lang w:val="en-US" w:eastAsia="zh-CN" w:bidi="ar-SA"/>
              </w:rPr>
              <w:t>1</w:t>
            </w:r>
          </w:p>
        </w:tc>
        <w:tc>
          <w:tcPr>
            <w:tcW w:w="2853" w:type="dxa"/>
            <w:tcBorders>
              <w:top w:val="single" w:color="auto" w:sz="4" w:space="0"/>
              <w:left w:val="nil"/>
              <w:bottom w:val="single" w:color="auto" w:sz="4" w:space="0"/>
              <w:right w:val="single" w:color="auto" w:sz="4" w:space="0"/>
            </w:tcBorders>
            <w:vAlign w:val="center"/>
          </w:tcPr>
          <w:p w14:paraId="3926E446">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中央遥测监护仪（一拖八）</w:t>
            </w:r>
          </w:p>
        </w:tc>
        <w:tc>
          <w:tcPr>
            <w:tcW w:w="1365" w:type="dxa"/>
            <w:tcBorders>
              <w:top w:val="single" w:color="auto" w:sz="4" w:space="0"/>
              <w:left w:val="nil"/>
              <w:bottom w:val="single" w:color="auto" w:sz="4" w:space="0"/>
              <w:right w:val="single" w:color="auto" w:sz="4" w:space="0"/>
            </w:tcBorders>
            <w:vAlign w:val="center"/>
          </w:tcPr>
          <w:p w14:paraId="72E03ABE">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1套</w:t>
            </w:r>
          </w:p>
        </w:tc>
        <w:tc>
          <w:tcPr>
            <w:tcW w:w="1605" w:type="dxa"/>
            <w:tcBorders>
              <w:top w:val="single" w:color="auto" w:sz="4" w:space="0"/>
              <w:left w:val="nil"/>
              <w:bottom w:val="single" w:color="auto" w:sz="4" w:space="0"/>
              <w:right w:val="single" w:color="auto" w:sz="4" w:space="0"/>
            </w:tcBorders>
            <w:vAlign w:val="center"/>
          </w:tcPr>
          <w:p w14:paraId="6549D623">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15.9万元</w:t>
            </w:r>
          </w:p>
        </w:tc>
        <w:tc>
          <w:tcPr>
            <w:tcW w:w="1481" w:type="dxa"/>
            <w:tcBorders>
              <w:top w:val="single" w:color="auto" w:sz="4" w:space="0"/>
              <w:left w:val="nil"/>
              <w:bottom w:val="single" w:color="auto" w:sz="4" w:space="0"/>
              <w:right w:val="single" w:color="auto" w:sz="4" w:space="0"/>
            </w:tcBorders>
            <w:vAlign w:val="center"/>
          </w:tcPr>
          <w:p w14:paraId="28757866">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15.9万元</w:t>
            </w:r>
          </w:p>
        </w:tc>
      </w:tr>
      <w:tr w14:paraId="598E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4E176FD6">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包</w:t>
            </w:r>
            <w:r>
              <w:rPr>
                <w:rFonts w:hint="eastAsia" w:ascii="宋体" w:hAnsi="宋体" w:cs="宋体"/>
                <w:color w:val="auto"/>
                <w:kern w:val="0"/>
                <w:sz w:val="21"/>
                <w:szCs w:val="21"/>
                <w:highlight w:val="none"/>
                <w:shd w:val="clear" w:color="auto" w:fill="FFFFFF"/>
                <w:lang w:val="en-US" w:eastAsia="zh-CN" w:bidi="ar-SA"/>
              </w:rPr>
              <w:t>2</w:t>
            </w:r>
          </w:p>
        </w:tc>
        <w:tc>
          <w:tcPr>
            <w:tcW w:w="2853" w:type="dxa"/>
            <w:tcBorders>
              <w:top w:val="single" w:color="auto" w:sz="4" w:space="0"/>
              <w:left w:val="nil"/>
              <w:bottom w:val="single" w:color="auto" w:sz="4" w:space="0"/>
              <w:right w:val="single" w:color="auto" w:sz="4" w:space="0"/>
            </w:tcBorders>
            <w:vAlign w:val="center"/>
          </w:tcPr>
          <w:p w14:paraId="17432A5B">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遥测监护系统（一拖十）</w:t>
            </w:r>
          </w:p>
        </w:tc>
        <w:tc>
          <w:tcPr>
            <w:tcW w:w="1365" w:type="dxa"/>
            <w:tcBorders>
              <w:top w:val="single" w:color="auto" w:sz="4" w:space="0"/>
              <w:left w:val="nil"/>
              <w:bottom w:val="single" w:color="auto" w:sz="4" w:space="0"/>
              <w:right w:val="single" w:color="auto" w:sz="4" w:space="0"/>
            </w:tcBorders>
            <w:vAlign w:val="center"/>
          </w:tcPr>
          <w:p w14:paraId="4A0A4DF9">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1套</w:t>
            </w:r>
          </w:p>
        </w:tc>
        <w:tc>
          <w:tcPr>
            <w:tcW w:w="1605" w:type="dxa"/>
            <w:tcBorders>
              <w:top w:val="single" w:color="auto" w:sz="4" w:space="0"/>
              <w:left w:val="nil"/>
              <w:bottom w:val="single" w:color="auto" w:sz="4" w:space="0"/>
              <w:right w:val="single" w:color="auto" w:sz="4" w:space="0"/>
            </w:tcBorders>
            <w:vAlign w:val="center"/>
          </w:tcPr>
          <w:p w14:paraId="34168C47">
            <w:pPr>
              <w:keepNext w:val="0"/>
              <w:keepLines w:val="0"/>
              <w:widowControl/>
              <w:suppressLineNumbers w:val="0"/>
              <w:jc w:val="center"/>
              <w:textAlignment w:val="center"/>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15万元</w:t>
            </w:r>
          </w:p>
        </w:tc>
        <w:tc>
          <w:tcPr>
            <w:tcW w:w="1481" w:type="dxa"/>
            <w:tcBorders>
              <w:top w:val="single" w:color="auto" w:sz="4" w:space="0"/>
              <w:left w:val="nil"/>
              <w:bottom w:val="single" w:color="auto" w:sz="4" w:space="0"/>
              <w:right w:val="single" w:color="auto" w:sz="4" w:space="0"/>
            </w:tcBorders>
            <w:vAlign w:val="center"/>
          </w:tcPr>
          <w:p w14:paraId="7869221D">
            <w:pPr>
              <w:keepNext w:val="0"/>
              <w:keepLines w:val="0"/>
              <w:widowControl/>
              <w:suppressLineNumbers w:val="0"/>
              <w:jc w:val="center"/>
              <w:textAlignment w:val="center"/>
              <w:rPr>
                <w:rFonts w:hint="eastAsia"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15万元</w:t>
            </w:r>
          </w:p>
        </w:tc>
      </w:tr>
    </w:tbl>
    <w:p w14:paraId="4682A4EA">
      <w:pPr>
        <w:keepNext w:val="0"/>
        <w:keepLines w:val="0"/>
        <w:pageBreakBefore w:val="0"/>
        <w:widowControl/>
        <w:tabs>
          <w:tab w:val="left" w:pos="840"/>
        </w:tabs>
        <w:kinsoku/>
        <w:overflowPunct/>
        <w:topLinePunct w:val="0"/>
        <w:autoSpaceDE/>
        <w:autoSpaceDN/>
        <w:bidi w:val="0"/>
        <w:snapToGrid w:val="0"/>
        <w:spacing w:line="360" w:lineRule="auto"/>
        <w:ind w:firstLine="840" w:firstLineChars="400"/>
        <w:jc w:val="left"/>
        <w:textAlignment w:val="auto"/>
        <w:rPr>
          <w:rFonts w:hint="eastAsia" w:ascii="宋体" w:hAnsi="宋体" w:eastAsia="宋体" w:cs="宋体"/>
          <w:color w:val="auto"/>
          <w:szCs w:val="21"/>
          <w:highlight w:val="none"/>
          <w:shd w:val="clear" w:color="auto" w:fill="FFFFFF"/>
          <w:lang w:val="en-US" w:eastAsia="zh-CN"/>
        </w:rPr>
      </w:pP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：合同签订后30日内交货，最终以合同约定内容为准</w:t>
      </w:r>
      <w:r>
        <w:rPr>
          <w:rFonts w:hint="eastAsia" w:ascii="宋体" w:hAnsi="宋体" w:cs="宋体"/>
          <w:color w:val="auto"/>
          <w:szCs w:val="21"/>
          <w:highlight w:val="none"/>
          <w:shd w:val="clear" w:color="auto" w:fill="FFFFFF"/>
          <w:lang w:val="en-US" w:eastAsia="zh-CN"/>
        </w:rPr>
        <w:t>。</w:t>
      </w:r>
    </w:p>
    <w:p w14:paraId="3A1F96F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须提供符合国家质量标准、部颁标准、行业标准或本</w:t>
      </w:r>
      <w:r>
        <w:rPr>
          <w:rFonts w:hint="eastAsia" w:ascii="宋体" w:hAnsi="宋体" w:cs="宋体"/>
          <w:color w:val="auto"/>
          <w:szCs w:val="21"/>
          <w:highlight w:val="none"/>
          <w:shd w:val="clear" w:color="auto" w:fill="FFFFFF"/>
          <w:lang w:val="en-US" w:eastAsia="zh-CN"/>
        </w:rPr>
        <w:t>磋商</w:t>
      </w:r>
      <w:r>
        <w:rPr>
          <w:rFonts w:hint="eastAsia" w:ascii="宋体" w:hAnsi="宋体" w:eastAsia="宋体" w:cs="宋体"/>
          <w:color w:val="auto"/>
          <w:szCs w:val="21"/>
          <w:highlight w:val="none"/>
          <w:shd w:val="clear" w:color="auto" w:fill="FFFFFF"/>
          <w:lang w:val="en-US" w:eastAsia="zh-CN"/>
        </w:rPr>
        <w:t>文件规定</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标准</w:t>
      </w:r>
      <w:r>
        <w:rPr>
          <w:rFonts w:hint="eastAsia" w:ascii="宋体" w:hAnsi="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bookmarkStart w:id="4" w:name="_Toc18607"/>
      <w:bookmarkStart w:id="5" w:name="_Toc16639"/>
      <w:bookmarkStart w:id="6" w:name="_Toc27704"/>
      <w:bookmarkStart w:id="7" w:name="_Toc23626"/>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23395"/>
      <w:bookmarkStart w:id="9" w:name="_Toc7823"/>
      <w:bookmarkStart w:id="10" w:name="_Toc30643"/>
      <w:bookmarkStart w:id="11" w:name="_Toc30971"/>
      <w:bookmarkStart w:id="12" w:name="_Toc9562"/>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highlight w:val="none"/>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F2CE4D9">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cs="宋体"/>
          <w:szCs w:val="21"/>
          <w:highlight w:val="none"/>
          <w:shd w:val="clear" w:color="auto" w:fill="FFFFFF"/>
        </w:rPr>
        <w:t>特定资格要求：</w:t>
      </w:r>
    </w:p>
    <w:p w14:paraId="6B639239">
      <w:pPr>
        <w:widowControl/>
        <w:tabs>
          <w:tab w:val="left" w:pos="840"/>
        </w:tabs>
        <w:snapToGrid w:val="0"/>
        <w:spacing w:line="324"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cs="宋体"/>
          <w:highlight w:val="none"/>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6BE761B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7901BB6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F162DC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highlight w:val="none"/>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 xml:space="preserve"> 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22日</w:t>
      </w:r>
      <w:r>
        <w:rPr>
          <w:rFonts w:hint="eastAsia" w:ascii="宋体" w:hAnsi="宋体" w:eastAsia="宋体" w:cs="宋体"/>
          <w:color w:val="auto"/>
          <w:szCs w:val="21"/>
          <w:highlight w:val="none"/>
          <w:shd w:val="clear" w:color="auto" w:fill="FFFFFF"/>
        </w:rPr>
        <w:t>，上</w:t>
      </w:r>
      <w:r>
        <w:rPr>
          <w:rFonts w:hint="eastAsia" w:ascii="宋体" w:hAnsi="宋体" w:eastAsia="宋体" w:cs="宋体"/>
          <w:color w:val="000000" w:themeColor="text1"/>
          <w:szCs w:val="21"/>
          <w:highlight w:val="none"/>
          <w:shd w:val="clear" w:color="auto" w:fill="FFFFFF"/>
          <w14:textFill>
            <w14:solidFill>
              <w14:schemeClr w14:val="tx1"/>
            </w14:solidFill>
          </w14:textFill>
        </w:rPr>
        <w:t>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1763895067@qq.com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35"/>
      <w:bookmarkStart w:id="14" w:name="_Toc27480"/>
      <w:bookmarkStart w:id="15" w:name="_Toc15111"/>
      <w:bookmarkStart w:id="16" w:name="_Toc25869"/>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20287"/>
      <w:bookmarkStart w:id="20" w:name="_Toc30918"/>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3604"/>
      <w:bookmarkStart w:id="26" w:name="_Toc24274"/>
      <w:bookmarkStart w:id="27" w:name="_Toc31928"/>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采购代理机构：河南省光大建设管理有限公司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地址：郑州市金水区北环路6号9号楼9层91号</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：张女士</w:t>
      </w:r>
    </w:p>
    <w:p w14:paraId="50BC114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联系方式：18135680455　　0371-86610696</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 xml:space="preserve">17 </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bookmarkEnd w:id="101"/>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color w:val="auto"/>
          <w:szCs w:val="21"/>
          <w:highlight w:val="none"/>
          <w:shd w:val="clear" w:color="auto" w:fill="FFFFFF"/>
          <w:lang w:val="en-US" w:eastAsia="zh-CN"/>
        </w:rPr>
        <w:t>驻马店市中心医院遥测监护系统采购项目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957"/>
        <w:gridCol w:w="2650"/>
        <w:gridCol w:w="764"/>
        <w:gridCol w:w="793"/>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2"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包号</w:t>
            </w:r>
          </w:p>
        </w:tc>
        <w:tc>
          <w:tcPr>
            <w:tcW w:w="957"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2650" w:type="dxa"/>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cs="宋体"/>
                <w:b/>
                <w:bCs/>
                <w:sz w:val="21"/>
                <w:szCs w:val="21"/>
                <w:highlight w:val="none"/>
                <w:lang w:val="en-US" w:eastAsia="zh-CN"/>
              </w:rPr>
              <w:t>包</w:t>
            </w:r>
            <w:r>
              <w:rPr>
                <w:rFonts w:hint="eastAsia" w:ascii="宋体" w:hAnsi="宋体" w:eastAsia="宋体" w:cs="宋体"/>
                <w:b/>
                <w:bCs/>
                <w:sz w:val="21"/>
                <w:szCs w:val="21"/>
                <w:highlight w:val="none"/>
              </w:rPr>
              <w:t>名称</w:t>
            </w:r>
          </w:p>
        </w:tc>
        <w:tc>
          <w:tcPr>
            <w:tcW w:w="764"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793"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38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预算</w:t>
            </w:r>
          </w:p>
        </w:tc>
        <w:tc>
          <w:tcPr>
            <w:tcW w:w="1110"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性质</w:t>
            </w:r>
          </w:p>
        </w:tc>
        <w:tc>
          <w:tcPr>
            <w:tcW w:w="1245"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包1</w:t>
            </w:r>
          </w:p>
        </w:tc>
        <w:tc>
          <w:tcPr>
            <w:tcW w:w="957"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650"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中央遥测监护仪（一拖八）</w:t>
            </w:r>
          </w:p>
        </w:tc>
        <w:tc>
          <w:tcPr>
            <w:tcW w:w="764"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793"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15.9万元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国产</w:t>
            </w:r>
          </w:p>
        </w:tc>
      </w:tr>
      <w:tr w14:paraId="0282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CD1DD2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包2</w:t>
            </w:r>
          </w:p>
        </w:tc>
        <w:tc>
          <w:tcPr>
            <w:tcW w:w="957" w:type="dxa"/>
            <w:shd w:val="clear" w:color="auto" w:fill="auto"/>
            <w:vAlign w:val="center"/>
          </w:tcPr>
          <w:p w14:paraId="08BA1E3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650" w:type="dxa"/>
            <w:shd w:val="clear" w:color="auto" w:fill="auto"/>
            <w:vAlign w:val="center"/>
          </w:tcPr>
          <w:p w14:paraId="61F1793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遥测监护系统（一拖十）</w:t>
            </w:r>
          </w:p>
        </w:tc>
        <w:tc>
          <w:tcPr>
            <w:tcW w:w="764" w:type="dxa"/>
            <w:shd w:val="clear" w:color="auto" w:fill="auto"/>
            <w:vAlign w:val="center"/>
          </w:tcPr>
          <w:p w14:paraId="60B8C0F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c>
          <w:tcPr>
            <w:tcW w:w="793" w:type="dxa"/>
            <w:shd w:val="clear" w:color="auto" w:fill="auto"/>
            <w:vAlign w:val="center"/>
          </w:tcPr>
          <w:p w14:paraId="34C7F99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384" w:type="dxa"/>
            <w:shd w:val="clear" w:color="auto" w:fill="auto"/>
            <w:vAlign w:val="center"/>
          </w:tcPr>
          <w:p w14:paraId="6B5ABA0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15万元</w:t>
            </w:r>
          </w:p>
        </w:tc>
        <w:tc>
          <w:tcPr>
            <w:tcW w:w="1110" w:type="dxa"/>
            <w:shd w:val="clear" w:color="auto" w:fill="auto"/>
            <w:vAlign w:val="center"/>
          </w:tcPr>
          <w:p w14:paraId="0F57D8B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自筹</w:t>
            </w:r>
          </w:p>
        </w:tc>
        <w:tc>
          <w:tcPr>
            <w:tcW w:w="1245" w:type="dxa"/>
            <w:shd w:val="clear" w:color="auto" w:fill="auto"/>
            <w:vAlign w:val="center"/>
          </w:tcPr>
          <w:p w14:paraId="6F83511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7946"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30.9万元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w:t>
            </w:r>
          </w:p>
        </w:tc>
        <w:tc>
          <w:tcPr>
            <w:tcW w:w="7946"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w:t>
            </w:r>
          </w:p>
        </w:tc>
      </w:tr>
    </w:tbl>
    <w:p w14:paraId="4C896015">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63820FF6">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40B21195">
      <w:pPr>
        <w:pStyle w:val="2"/>
        <w:rPr>
          <w:rFonts w:hint="default"/>
          <w:highlight w:val="none"/>
          <w:lang w:val="en-US" w:eastAsia="zh-CN"/>
        </w:rPr>
      </w:pPr>
      <w:r>
        <w:rPr>
          <w:rFonts w:hint="eastAsia" w:ascii="宋体" w:hAnsi="宋体" w:eastAsia="宋体" w:cs="宋体"/>
          <w:b/>
          <w:bCs/>
          <w:color w:val="auto"/>
          <w:kern w:val="2"/>
          <w:sz w:val="21"/>
          <w:szCs w:val="24"/>
          <w:highlight w:val="none"/>
          <w:lang w:val="en-US" w:eastAsia="zh-CN" w:bidi="ar-SA"/>
        </w:rPr>
        <w:t>（一）技术参数</w:t>
      </w:r>
    </w:p>
    <w:p w14:paraId="7C6CEA6A">
      <w:pPr>
        <w:pStyle w:val="50"/>
        <w:spacing w:line="360" w:lineRule="auto"/>
        <w:ind w:left="0" w:leftChars="0" w:firstLine="0" w:firstLineChars="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 xml:space="preserve">  </w:t>
      </w:r>
      <w:r>
        <w:rPr>
          <w:rFonts w:hint="eastAsia" w:ascii="宋体" w:hAnsi="宋体" w:eastAsia="宋体" w:cs="宋体"/>
          <w:b/>
          <w:bCs/>
          <w:color w:val="auto"/>
          <w:kern w:val="2"/>
          <w:sz w:val="21"/>
          <w:szCs w:val="24"/>
          <w:highlight w:val="none"/>
          <w:lang w:val="en-US" w:eastAsia="zh-CN" w:bidi="ar-SA"/>
        </w:rPr>
        <w:t xml:space="preserve">              </w:t>
      </w:r>
      <w:r>
        <w:rPr>
          <w:rFonts w:hint="eastAsia" w:ascii="宋体" w:hAnsi="宋体" w:cs="宋体"/>
          <w:b/>
          <w:bCs/>
          <w:color w:val="auto"/>
          <w:kern w:val="2"/>
          <w:sz w:val="21"/>
          <w:szCs w:val="24"/>
          <w:highlight w:val="none"/>
          <w:lang w:val="en-US" w:eastAsia="zh-CN" w:bidi="ar-SA"/>
        </w:rPr>
        <w:t xml:space="preserve">   </w:t>
      </w:r>
      <w:r>
        <w:rPr>
          <w:rFonts w:hint="eastAsia" w:ascii="宋体" w:hAnsi="宋体" w:eastAsia="宋体" w:cs="宋体"/>
          <w:b/>
          <w:bCs/>
          <w:color w:val="auto"/>
          <w:kern w:val="2"/>
          <w:sz w:val="21"/>
          <w:szCs w:val="24"/>
          <w:highlight w:val="none"/>
          <w:lang w:val="en-US" w:eastAsia="zh-CN" w:bidi="ar-SA"/>
        </w:rPr>
        <w:t xml:space="preserve">    </w:t>
      </w:r>
      <w:r>
        <w:rPr>
          <w:rFonts w:hint="eastAsia" w:ascii="宋体" w:hAnsi="宋体" w:eastAsia="宋体" w:cs="宋体"/>
          <w:b/>
          <w:bCs/>
          <w:color w:val="auto"/>
          <w:kern w:val="0"/>
          <w:sz w:val="21"/>
          <w:szCs w:val="21"/>
          <w:highlight w:val="none"/>
          <w:shd w:val="clear" w:color="auto" w:fill="FFFFFF"/>
          <w:lang w:val="en-US" w:eastAsia="zh-CN" w:bidi="ar-SA"/>
        </w:rPr>
        <w:t>包</w:t>
      </w:r>
      <w:r>
        <w:rPr>
          <w:rFonts w:hint="eastAsia" w:ascii="宋体" w:hAnsi="宋体" w:cs="宋体"/>
          <w:b/>
          <w:bCs/>
          <w:color w:val="auto"/>
          <w:kern w:val="0"/>
          <w:sz w:val="21"/>
          <w:szCs w:val="21"/>
          <w:highlight w:val="none"/>
          <w:shd w:val="clear" w:color="auto" w:fill="FFFFFF"/>
          <w:lang w:val="en-US" w:eastAsia="zh-CN" w:bidi="ar-SA"/>
        </w:rPr>
        <w:t>1：</w:t>
      </w:r>
      <w:r>
        <w:rPr>
          <w:rFonts w:hint="eastAsia" w:ascii="宋体" w:hAnsi="宋体" w:eastAsia="宋体" w:cs="宋体"/>
          <w:b/>
          <w:bCs/>
          <w:color w:val="auto"/>
          <w:kern w:val="2"/>
          <w:sz w:val="21"/>
          <w:szCs w:val="24"/>
          <w:highlight w:val="none"/>
          <w:lang w:val="en-US" w:eastAsia="zh-CN" w:bidi="ar-SA"/>
        </w:rPr>
        <w:t>中央遥测监护仪（一拖八）技术参数</w:t>
      </w:r>
    </w:p>
    <w:p w14:paraId="4EC94DA6">
      <w:pPr>
        <w:pStyle w:val="50"/>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1、中央监护系统中央站</w:t>
      </w:r>
    </w:p>
    <w:p w14:paraId="74FE437A">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硬件配置</w:t>
      </w:r>
    </w:p>
    <w:p w14:paraId="07A761AA">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1.1.1</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主机：&gt;=500G硬盘，&gt;=4G内存,电源：220V,50HZ;</w:t>
      </w:r>
    </w:p>
    <w:p w14:paraId="2BD56FD0">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1.1.2</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显示器：&gt;=22寸液晶显示器</w:t>
      </w:r>
    </w:p>
    <w:p w14:paraId="7E8D3FEB">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1.1.3</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打印机：激光打印机</w:t>
      </w:r>
    </w:p>
    <w:p w14:paraId="23266717">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系统参数</w:t>
      </w:r>
    </w:p>
    <w:p w14:paraId="5EB1E739">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★1.2.1具备全中文操作界面；具有无线或远程联网功能</w:t>
      </w:r>
    </w:p>
    <w:p w14:paraId="48270DD9">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1.2.2</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中央站与遥测盒或监护仪（遥测/远程）具备双向识别、双向通讯、双向操作功能（中央站可控制遥测盒病人信息、启停血压测量、调整血压测量间隔时间，调整增益方式，控制报警参数范围和级别等）</w:t>
      </w:r>
    </w:p>
    <w:p w14:paraId="702F6E51">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1.2.3</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数据存储与回顾：全参数趋势回顾600小时，20000例病人全信息数据存储</w:t>
      </w:r>
    </w:p>
    <w:p w14:paraId="579E78D5">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1.2.4</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具有患者信息管理功能，具有患者信息建档、查询、编辑、调用和比较功能</w:t>
      </w:r>
    </w:p>
    <w:p w14:paraId="73510E51">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1.2.5</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单机联网通道1-16床同屏显示，32-64床多屏显示，多画面同步切换显示功能</w:t>
      </w:r>
    </w:p>
    <w:p w14:paraId="7A12FD27">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1.2.6</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报警功能：全参数报警设置及声光双重报警</w:t>
      </w:r>
    </w:p>
    <w:p w14:paraId="4DC9E371">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1.2.7</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滤波功能：具有心电自适应滤波功能，抗高频、基线漂移、肌电、除颤等干扰</w:t>
      </w:r>
    </w:p>
    <w:p w14:paraId="5C902329">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1.2.8</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打印功能：具有分时打印、连续打印、当前心电波形打印及全屏心电波形打印</w:t>
      </w:r>
    </w:p>
    <w:p w14:paraId="6F04AB20">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1.2.9</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具有对无线联网设备在线设置与测试：频点，设备号，信号场强等功能</w:t>
      </w:r>
    </w:p>
    <w:p w14:paraId="4D18F449">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★1.2.10</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具有全数字TDMA独立自建无线遥测联网通信功能。</w:t>
      </w:r>
    </w:p>
    <w:p w14:paraId="354F7463">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1.2.11</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具有1-90分钟间隔定时启动监护血压功能</w:t>
      </w:r>
    </w:p>
    <w:p w14:paraId="39A5DD48">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1.2.12</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可实现重点监护显示，在一屏同时显示：全参数波形，半小时短趋势图，多参数数字显示</w:t>
      </w:r>
    </w:p>
    <w:p w14:paraId="27D68AF7">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1.2.13</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产品适用范围：中央站可对患者心电（心率）、脉搏、血压、血氧、呼吸、体温等进行生理信息监测</w:t>
      </w:r>
    </w:p>
    <w:p w14:paraId="5C4637FA">
      <w:pPr>
        <w:pStyle w:val="50"/>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2、遥测盒参数</w:t>
      </w:r>
    </w:p>
    <w:p w14:paraId="478CC4BB">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★2.1遥测盒功能：具有心电、血压、血氧、脉搏、呼吸、体温测量功能，</w:t>
      </w:r>
    </w:p>
    <w:p w14:paraId="174A37CC">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2.2 ≥ 3寸液晶屏幕显示，数据清晰、准确</w:t>
      </w:r>
    </w:p>
    <w:p w14:paraId="1A4A25F6">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2.3</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具有护士呼叫功能</w:t>
      </w:r>
    </w:p>
    <w:p w14:paraId="6E680C34">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2.4</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 xml:space="preserve">心率测量范围：(30～250)次/分 </w:t>
      </w:r>
    </w:p>
    <w:p w14:paraId="2C94D951">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2.5</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心率测量精度：±3次/分</w:t>
      </w:r>
    </w:p>
    <w:p w14:paraId="761BADA7">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2.6</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血压测量范围0kPa(0mmHg) ～40kPa(300mmHg)</w:t>
      </w:r>
    </w:p>
    <w:p w14:paraId="5F482A63">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2.7</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血氧饱和度测量范围：0%～100%</w:t>
      </w:r>
    </w:p>
    <w:p w14:paraId="5F02C3EF">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2.8</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 xml:space="preserve">脉搏测量范围：(10～250)次/分  </w:t>
      </w:r>
    </w:p>
    <w:p w14:paraId="1B536297">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2.9</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呼吸测量范围：(5～99) 次/分</w:t>
      </w:r>
    </w:p>
    <w:p w14:paraId="14A3996E">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2.10体温测量范围：25℃～45℃</w:t>
      </w:r>
    </w:p>
    <w:p w14:paraId="58064AD2">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 11 电池工作：配备充电电池，可连续使用36小时以上。</w:t>
      </w:r>
    </w:p>
    <w:p w14:paraId="2C6AA60B">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2.12  遥测盒为一体机设计，有独立产品注册证。</w:t>
      </w:r>
    </w:p>
    <w:p w14:paraId="173CE3D0">
      <w:pPr>
        <w:pStyle w:val="50"/>
        <w:spacing w:line="36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3</w:t>
      </w:r>
      <w:r>
        <w:rPr>
          <w:rFonts w:hint="eastAsia" w:ascii="宋体" w:hAnsi="宋体" w:eastAsia="宋体" w:cs="宋体"/>
          <w:b/>
          <w:bCs/>
          <w:color w:val="auto"/>
          <w:kern w:val="2"/>
          <w:sz w:val="21"/>
          <w:szCs w:val="24"/>
          <w:highlight w:val="none"/>
          <w:lang w:val="en-US" w:eastAsia="zh-CN" w:bidi="ar-SA"/>
        </w:rPr>
        <w:t>、配置清单（包含但不限于）：</w:t>
      </w:r>
    </w:p>
    <w:p w14:paraId="2FE0BDA4">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1、中央站主机  1套</w:t>
      </w:r>
    </w:p>
    <w:p w14:paraId="361D0A81">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2、遥测盒      8个</w:t>
      </w:r>
    </w:p>
    <w:p w14:paraId="6F9A0803">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3、心电电缆    8根</w:t>
      </w:r>
    </w:p>
    <w:p w14:paraId="496FBEEC">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4、血氧        8根</w:t>
      </w:r>
    </w:p>
    <w:p w14:paraId="30A76B11">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5、血压        8根</w:t>
      </w:r>
    </w:p>
    <w:p w14:paraId="34D22C05">
      <w:pPr>
        <w:pStyle w:val="50"/>
        <w:spacing w:line="360" w:lineRule="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6、体温探头    8根</w:t>
      </w:r>
    </w:p>
    <w:p w14:paraId="219ACFB5">
      <w:pPr>
        <w:pStyle w:val="50"/>
        <w:spacing w:line="360" w:lineRule="auto"/>
        <w:jc w:val="center"/>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包2：</w:t>
      </w:r>
      <w:r>
        <w:rPr>
          <w:rFonts w:hint="eastAsia" w:ascii="宋体" w:hAnsi="宋体" w:eastAsia="宋体" w:cs="宋体"/>
          <w:b/>
          <w:bCs/>
          <w:color w:val="auto"/>
          <w:kern w:val="2"/>
          <w:sz w:val="21"/>
          <w:szCs w:val="24"/>
          <w:highlight w:val="none"/>
          <w:lang w:val="en-US" w:eastAsia="zh-CN" w:bidi="ar-SA"/>
        </w:rPr>
        <w:t>遥测监护系统技术参数</w:t>
      </w:r>
    </w:p>
    <w:p w14:paraId="49CFBC84">
      <w:pPr>
        <w:pStyle w:val="5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一、整机性能</w:t>
      </w:r>
    </w:p>
    <w:p w14:paraId="06B6FC4A">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1.产品适用于对成人、小儿的监测</w:t>
      </w:r>
    </w:p>
    <w:p w14:paraId="15C52AEE">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2.遥测发射盒采用触摸幕，屏幕尺寸≥2.6英寸</w:t>
      </w:r>
    </w:p>
    <w:p w14:paraId="4DDF46C7">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3.遥测发射盒具备IP24防水等级</w:t>
      </w:r>
    </w:p>
    <w:p w14:paraId="30523D58">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遥测发射盒通过≥1.5米跌落测试，电击防护等级CF（包括ECG、SpO2）</w:t>
      </w:r>
    </w:p>
    <w:p w14:paraId="0DE9B8AD">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5.遥测发射盒重量≤140克（含锂电池）</w:t>
      </w:r>
    </w:p>
    <w:p w14:paraId="5DC9FC76">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6.遥测发射盒能正确识别心电导联类型、血氧探头，自动切换为相应的界面</w:t>
      </w:r>
    </w:p>
    <w:p w14:paraId="3742B62C">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7.更换电池后，主机自动开机。</w:t>
      </w:r>
    </w:p>
    <w:p w14:paraId="0A259090">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8.配备便携式背带和腕带</w:t>
      </w:r>
    </w:p>
    <w:p w14:paraId="3F89A92B">
      <w:pPr>
        <w:pStyle w:val="5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二、监测参数</w:t>
      </w:r>
    </w:p>
    <w:p w14:paraId="13CD7300">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标配心电、呼吸、血氧监测</w:t>
      </w:r>
    </w:p>
    <w:p w14:paraId="7B447A57">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2.心电(ECG)：3导心电监测，HR测量范围：成人：10bpm ～ 300bpm，小儿：10bpm ～ 350bpm</w:t>
      </w:r>
    </w:p>
    <w:p w14:paraId="250B1E42">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3.心电滤波模式：0.05-40Hz，0.5-40Hz，1-25Hz</w:t>
      </w:r>
    </w:p>
    <w:p w14:paraId="7C1BC141">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4.呼吸（Resp）：测量范围0 rpm ～ 150 rpm，分辨率：1rpm，精度：±2rpm</w:t>
      </w:r>
    </w:p>
    <w:p w14:paraId="713AA5A2">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5.血氧饱和度（SpO2）：测量范围：0-100%，分辨率：1%，精度：70%～100%（±2%）</w:t>
      </w:r>
    </w:p>
    <w:p w14:paraId="7DC56AE2">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6.脉搏（PR）：测量范围：25～300 bpm，分辨率：1bpm，精度：±3bpm</w:t>
      </w:r>
    </w:p>
    <w:p w14:paraId="03E9A8A9">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7.灌注指数（PI）：测量范围：0.05～20.00%，分辨率：0.01%</w:t>
      </w:r>
    </w:p>
    <w:p w14:paraId="16F6FBFA">
      <w:pPr>
        <w:pStyle w:val="5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三、系统功能</w:t>
      </w:r>
    </w:p>
    <w:p w14:paraId="16255AF1">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1.采用数字化无线联网技术，实现监测数据的传输</w:t>
      </w:r>
    </w:p>
    <w:p w14:paraId="3DC6CAC0">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2.锂电池工作时间不小于70小时，全参数监测时间不小于60小时</w:t>
      </w:r>
    </w:p>
    <w:p w14:paraId="18005FBF">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集中充电桩具有IP22防水等级，能同时提供≥10块电池同时充电，每个充电位都提供电池充电状态指示灯</w:t>
      </w:r>
    </w:p>
    <w:p w14:paraId="17C200EA">
      <w:pPr>
        <w:pStyle w:val="5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四、中央监护系统</w:t>
      </w:r>
    </w:p>
    <w:p w14:paraId="1F567A7D">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1.显示器≥19英寸，分辨率≥1920×1080，配备外接鼠标、键盘</w:t>
      </w:r>
    </w:p>
    <w:p w14:paraId="4A52D61A">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2.操作系统:Win7/Win10操作系统（32位/64位）</w:t>
      </w:r>
    </w:p>
    <w:p w14:paraId="08BEEB8D">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3.具备通过无线网络对遥测设备进行远程控制，包括管理病人信息、参数配置。</w:t>
      </w:r>
    </w:p>
    <w:p w14:paraId="709E8BB9">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4.具有起搏开关指示、无线信号强度指示、遥测设备电池电量指示、生理报警、技术报警</w:t>
      </w:r>
    </w:p>
    <w:p w14:paraId="5AE790C9">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5.具备单床观察和多床观察功能</w:t>
      </w:r>
    </w:p>
    <w:p w14:paraId="28DE019F">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具备≥240小时全息心电波形存储及回顾</w:t>
      </w:r>
    </w:p>
    <w:p w14:paraId="17E645AA">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7.具备300个病人的数据存储与回顾</w:t>
      </w:r>
    </w:p>
    <w:p w14:paraId="69787C6F">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8.具有报警静音功能，具有高、种、低三级报警功能，支持灯光、声音、颜色、文字报警，可远程控制报警暂停和报警复位</w:t>
      </w:r>
    </w:p>
    <w:p w14:paraId="4F67F649">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9.报警列表及回顾：有单独的报警事件列表，一键回顾报警事件功能</w:t>
      </w:r>
    </w:p>
    <w:p w14:paraId="0EB58950">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10.打印机要求：配备打印机，标准A4报告输出，可输出报告</w:t>
      </w:r>
    </w:p>
    <w:p w14:paraId="160A0B67">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配置清单（包含但不限于）：遥测发射盒（含锂电池）10台，3导心电导联线10套；心电电极片10包，儿童指套血氧探头10个，可重复使用便携包10个，遥测监护系统1套，交换机1个，无线接收器1个，无线中继器≥7个。</w:t>
      </w:r>
    </w:p>
    <w:p w14:paraId="5A8DEA5F">
      <w:pPr>
        <w:pStyle w:val="50"/>
        <w:spacing w:line="360" w:lineRule="auto"/>
        <w:rPr>
          <w:rFonts w:hint="eastAsia" w:ascii="宋体" w:hAnsi="宋体" w:eastAsia="宋体" w:cs="宋体"/>
          <w:b w:val="0"/>
          <w:bCs w:val="0"/>
          <w:color w:val="auto"/>
          <w:kern w:val="2"/>
          <w:sz w:val="21"/>
          <w:szCs w:val="21"/>
          <w:highlight w:val="none"/>
          <w:lang w:val="en-US" w:eastAsia="zh-CN" w:bidi="ar-SA"/>
        </w:rPr>
      </w:pPr>
    </w:p>
    <w:p w14:paraId="2C8E88B2">
      <w:pPr>
        <w:pStyle w:val="50"/>
        <w:spacing w:line="360" w:lineRule="auto"/>
        <w:rPr>
          <w:rFonts w:hint="eastAsia" w:ascii="宋体" w:hAnsi="宋体" w:eastAsia="宋体" w:cs="宋体"/>
          <w:b w:val="0"/>
          <w:bCs w:val="0"/>
          <w:color w:val="auto"/>
          <w:kern w:val="2"/>
          <w:sz w:val="21"/>
          <w:szCs w:val="21"/>
          <w:highlight w:val="none"/>
          <w:lang w:val="en-US" w:eastAsia="zh-CN" w:bidi="ar-SA"/>
        </w:rPr>
      </w:pPr>
    </w:p>
    <w:p w14:paraId="5C70B08A">
      <w:pPr>
        <w:numPr>
          <w:ilvl w:val="0"/>
          <w:numId w:val="2"/>
        </w:numPr>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其他要求</w:t>
      </w:r>
    </w:p>
    <w:p w14:paraId="671934A3">
      <w:pPr>
        <w:pStyle w:val="50"/>
        <w:numPr>
          <w:ilvl w:val="0"/>
          <w:numId w:val="3"/>
        </w:num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2DA4AE77">
      <w:pPr>
        <w:pStyle w:val="50"/>
        <w:numPr>
          <w:ilvl w:val="0"/>
          <w:numId w:val="3"/>
        </w:num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3F07660F">
      <w:pPr>
        <w:pStyle w:val="50"/>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3.商品包装和快递包装应符合《商品包装政府采购需求标准（试行）》和《快递包装政府采购需求标准（试行）》规定。</w:t>
      </w:r>
    </w:p>
    <w:p w14:paraId="0C229FDD">
      <w:pPr>
        <w:pStyle w:val="2"/>
        <w:numPr>
          <w:ilvl w:val="0"/>
          <w:numId w:val="0"/>
        </w:numPr>
        <w:rPr>
          <w:rFonts w:hint="default"/>
          <w:highlight w:val="none"/>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p>
    <w:p w14:paraId="6978F8FE">
      <w:pPr>
        <w:rPr>
          <w:rFonts w:hint="default"/>
          <w:highlight w:val="none"/>
          <w:lang w:val="en-US" w:eastAsia="zh-CN"/>
        </w:rPr>
      </w:pPr>
    </w:p>
    <w:p w14:paraId="106ADFC5">
      <w:pPr>
        <w:jc w:val="center"/>
        <w:rPr>
          <w:rFonts w:hint="eastAsia" w:ascii="宋体" w:hAnsi="宋体" w:cs="宋体"/>
          <w:b/>
          <w:bCs/>
          <w:color w:val="auto"/>
          <w:sz w:val="30"/>
          <w:szCs w:val="30"/>
          <w:highlight w:val="none"/>
          <w:lang w:eastAsia="zh-CN"/>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14:paraId="5A433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6942FC19">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vAlign w:val="center"/>
          </w:tcPr>
          <w:p w14:paraId="37A44C6A">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自成交通知书发出之日起30日内。</w:t>
            </w:r>
          </w:p>
        </w:tc>
      </w:tr>
      <w:tr w14:paraId="2550F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4CC32EB3">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vAlign w:val="center"/>
          </w:tcPr>
          <w:p w14:paraId="42E059C0">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highlight w:val="none"/>
                <w:lang w:val="en-US" w:eastAsia="zh-CN"/>
              </w:rPr>
              <w:t>采购人指定地点</w:t>
            </w:r>
          </w:p>
        </w:tc>
      </w:tr>
      <w:tr w14:paraId="50283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62FDBBE6">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vAlign w:val="center"/>
          </w:tcPr>
          <w:p w14:paraId="6E7E8614">
            <w:pPr>
              <w:pageBreakBefore w:val="0"/>
              <w:widowControl/>
              <w:kinsoku/>
              <w:wordWrap/>
              <w:overflowPunct/>
              <w:topLinePunct w:val="0"/>
              <w:bidi w:val="0"/>
              <w:snapToGrid w:val="0"/>
              <w:spacing w:beforeAutospacing="0" w:afterAutospacing="0" w:line="5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从产品入库之日起，整机保修三年，附件一年，出具相关服务承诺书。</w:t>
            </w:r>
          </w:p>
        </w:tc>
      </w:tr>
      <w:tr w14:paraId="2DEA4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50D4F531">
            <w:pPr>
              <w:pageBreakBefore w:val="0"/>
              <w:widowControl/>
              <w:kinsoku/>
              <w:wordWrap/>
              <w:overflowPunct/>
              <w:topLinePunct w:val="0"/>
              <w:bidi w:val="0"/>
              <w:snapToGrid w:val="0"/>
              <w:spacing w:beforeAutospacing="0" w:afterAutospacing="0" w:line="500" w:lineRule="exact"/>
              <w:jc w:val="center"/>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交货期</w:t>
            </w:r>
          </w:p>
        </w:tc>
        <w:tc>
          <w:tcPr>
            <w:tcW w:w="7009" w:type="dxa"/>
            <w:tcBorders>
              <w:top w:val="single" w:color="auto" w:sz="4" w:space="0"/>
              <w:left w:val="single" w:color="auto" w:sz="4" w:space="0"/>
              <w:bottom w:val="single" w:color="auto" w:sz="4" w:space="0"/>
              <w:right w:val="single" w:color="auto" w:sz="4" w:space="0"/>
            </w:tcBorders>
            <w:vAlign w:val="center"/>
          </w:tcPr>
          <w:p w14:paraId="1A3C3388">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highlight w:val="none"/>
                <w:lang w:val="en-US" w:eastAsia="zh-CN"/>
              </w:rPr>
              <w:t>合同签订后30日内交货，最终以合同约定内容为准</w:t>
            </w:r>
          </w:p>
        </w:tc>
      </w:tr>
      <w:tr w14:paraId="2B7F8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3F7C1BAD">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vAlign w:val="center"/>
          </w:tcPr>
          <w:p w14:paraId="45B22D8E">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供应商须提供符合国家质量标准、部颁标准、行业标准或本磋商文件规定的标准。</w:t>
            </w:r>
          </w:p>
        </w:tc>
      </w:tr>
      <w:tr w14:paraId="4790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5F24A8D0">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vAlign w:val="center"/>
          </w:tcPr>
          <w:p w14:paraId="6B6A43E3">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14:paraId="5CA3F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172BFEC5">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售后服务</w:t>
            </w:r>
          </w:p>
        </w:tc>
        <w:tc>
          <w:tcPr>
            <w:tcW w:w="7009" w:type="dxa"/>
            <w:tcBorders>
              <w:top w:val="single" w:color="auto" w:sz="4" w:space="0"/>
              <w:left w:val="single" w:color="auto" w:sz="4" w:space="0"/>
              <w:bottom w:val="single" w:color="auto" w:sz="4" w:space="0"/>
              <w:right w:val="single" w:color="auto" w:sz="4" w:space="0"/>
            </w:tcBorders>
            <w:vAlign w:val="center"/>
          </w:tcPr>
          <w:p w14:paraId="65138070">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质保期内应当为采购人提供以下技术支持和服务：</w:t>
            </w:r>
          </w:p>
          <w:p w14:paraId="170230EB">
            <w:pPr>
              <w:widowControl/>
              <w:numPr>
                <w:ilvl w:val="0"/>
                <w:numId w:val="4"/>
              </w:num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现场响应：供应商应保证在12小时内对用户提出的问题或故障予以响应及处理。可提供备用设备或核心部件应急使用。</w:t>
            </w:r>
          </w:p>
          <w:p w14:paraId="0E0A2DF6">
            <w:pPr>
              <w:pageBreakBefore w:val="0"/>
              <w:widowControl/>
              <w:numPr>
                <w:ilvl w:val="0"/>
                <w:numId w:val="4"/>
              </w:numPr>
              <w:kinsoku/>
              <w:wordWrap/>
              <w:overflowPunct/>
              <w:topLinePunct w:val="0"/>
              <w:autoSpaceDE/>
              <w:autoSpaceDN/>
              <w:bidi w:val="0"/>
              <w:adjustRightInd/>
              <w:snapToGrid w:val="0"/>
              <w:spacing w:line="324"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中标人应当应每季度对该设备进行保养不少于一次,并出具保养报告，具体保养内容见合同。</w:t>
            </w:r>
          </w:p>
          <w:p w14:paraId="7AD6FA41">
            <w:pPr>
              <w:pageBreakBefore w:val="0"/>
              <w:widowControl/>
              <w:numPr>
                <w:ilvl w:val="0"/>
                <w:numId w:val="4"/>
              </w:numPr>
              <w:kinsoku/>
              <w:wordWrap/>
              <w:overflowPunct/>
              <w:topLinePunct w:val="0"/>
              <w:autoSpaceDE/>
              <w:autoSpaceDN/>
              <w:bidi w:val="0"/>
              <w:adjustRightInd/>
              <w:snapToGrid w:val="0"/>
              <w:spacing w:line="324"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质保期内该设备应保证大于95%（含）的开机率，如达不到要求，每少于一天质保期顺延7天，如造成严重损失需赔偿用户经济损失或换货或退货。</w:t>
            </w:r>
          </w:p>
          <w:p w14:paraId="2AB856A9">
            <w:pPr>
              <w:pageBreakBefore w:val="0"/>
              <w:widowControl/>
              <w:numPr>
                <w:ilvl w:val="0"/>
                <w:numId w:val="4"/>
              </w:numPr>
              <w:kinsoku/>
              <w:wordWrap/>
              <w:overflowPunct/>
              <w:topLinePunct w:val="0"/>
              <w:autoSpaceDE/>
              <w:autoSpaceDN/>
              <w:bidi w:val="0"/>
              <w:adjustRightInd/>
              <w:snapToGrid w:val="0"/>
              <w:spacing w:line="324"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技术升级，如果制造商的产品技术升级，中标人应及时通知采购人，如采购人有相应要求，中标人和制造商应对采购人购买的产品进行免费升级服务。</w:t>
            </w:r>
          </w:p>
          <w:p w14:paraId="10F7C1B3">
            <w:pPr>
              <w:pageBreakBefore w:val="0"/>
              <w:widowControl/>
              <w:numPr>
                <w:ilvl w:val="0"/>
                <w:numId w:val="4"/>
              </w:numPr>
              <w:kinsoku/>
              <w:wordWrap/>
              <w:overflowPunct/>
              <w:topLinePunct w:val="0"/>
              <w:autoSpaceDE/>
              <w:autoSpaceDN/>
              <w:bidi w:val="0"/>
              <w:adjustRightInd/>
              <w:snapToGrid w:val="0"/>
              <w:spacing w:line="324"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投标人交付设备时，应按照《国家食品药品监督管理总局》第18号令第17条的要求提供相应的维护手册、维修手册、软件备份、故障代码表、备件清单、零部件、维修密码等维护维修必需的材料和信息。</w:t>
            </w:r>
          </w:p>
          <w:p w14:paraId="72695DF5">
            <w:pPr>
              <w:pageBreakBefore w:val="0"/>
              <w:widowControl/>
              <w:numPr>
                <w:ilvl w:val="0"/>
                <w:numId w:val="4"/>
              </w:numPr>
              <w:kinsoku/>
              <w:wordWrap/>
              <w:overflowPunct/>
              <w:topLinePunct w:val="0"/>
              <w:autoSpaceDE/>
              <w:autoSpaceDN/>
              <w:bidi w:val="0"/>
              <w:adjustRightInd/>
              <w:snapToGrid w:val="0"/>
              <w:spacing w:line="324"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除火灾、洪水、地震等天灾外，在保修期内，由于货物故障所产生的所有费用均由供应商负责。</w:t>
            </w:r>
          </w:p>
          <w:p w14:paraId="7982C511">
            <w:pPr>
              <w:pStyle w:val="2"/>
              <w:pageBreakBefore w:val="0"/>
              <w:numPr>
                <w:ilvl w:val="0"/>
                <w:numId w:val="0"/>
              </w:numPr>
              <w:kinsoku/>
              <w:wordWrap/>
              <w:overflowPunct/>
              <w:topLinePunct w:val="0"/>
              <w:autoSpaceDE/>
              <w:autoSpaceDN/>
              <w:bidi w:val="0"/>
              <w:adjustRightInd/>
              <w:spacing w:before="0" w:after="0" w:line="324" w:lineRule="auto"/>
              <w:ind w:leftChars="0"/>
              <w:textAlignment w:val="auto"/>
              <w:rPr>
                <w:rFonts w:hint="eastAsia"/>
                <w:highlight w:val="none"/>
              </w:rPr>
            </w:pPr>
            <w:r>
              <w:rPr>
                <w:rFonts w:hint="eastAsia" w:ascii="宋体" w:hAnsi="宋体" w:eastAsia="宋体" w:cs="宋体"/>
                <w:b w:val="0"/>
                <w:bCs w:val="0"/>
                <w:color w:val="auto"/>
                <w:kern w:val="2"/>
                <w:sz w:val="21"/>
                <w:szCs w:val="24"/>
                <w:highlight w:val="none"/>
                <w:lang w:val="en-US" w:eastAsia="zh-CN" w:bidi="ar-SA"/>
              </w:rPr>
              <w:t>g、所有设备按照医院实际要求免费开放端口，免费为医院对接院内信息系统。质保期内免费进行软件升级。</w:t>
            </w:r>
          </w:p>
        </w:tc>
      </w:tr>
      <w:tr w14:paraId="38B15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5EC465D3">
            <w:pPr>
              <w:widowControl/>
              <w:snapToGrid w:val="0"/>
              <w:spacing w:line="360"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培训</w:t>
            </w:r>
          </w:p>
        </w:tc>
        <w:tc>
          <w:tcPr>
            <w:tcW w:w="7009" w:type="dxa"/>
            <w:tcBorders>
              <w:top w:val="single" w:color="auto" w:sz="4" w:space="0"/>
              <w:left w:val="single" w:color="auto" w:sz="4" w:space="0"/>
              <w:bottom w:val="single" w:color="auto" w:sz="4" w:space="0"/>
              <w:right w:val="single" w:color="auto" w:sz="4" w:space="0"/>
            </w:tcBorders>
            <w:vAlign w:val="center"/>
          </w:tcPr>
          <w:p w14:paraId="65CAC374">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免费提供操作培训和维修培训</w:t>
            </w:r>
          </w:p>
        </w:tc>
      </w:tr>
      <w:tr w14:paraId="69AE4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14:paraId="3971C349">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其他要求</w:t>
            </w:r>
          </w:p>
        </w:tc>
        <w:tc>
          <w:tcPr>
            <w:tcW w:w="7009" w:type="dxa"/>
            <w:tcBorders>
              <w:top w:val="single" w:color="auto" w:sz="4" w:space="0"/>
              <w:left w:val="single" w:color="auto" w:sz="4" w:space="0"/>
              <w:bottom w:val="single" w:color="auto" w:sz="4" w:space="0"/>
              <w:right w:val="single" w:color="auto" w:sz="4" w:space="0"/>
            </w:tcBorders>
            <w:vAlign w:val="center"/>
          </w:tcPr>
          <w:p w14:paraId="27730ED8">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 xml:space="preserve">要求设备为最新出厂设备，出厂日期不得早于招标日期6个月。 </w:t>
            </w:r>
          </w:p>
        </w:tc>
      </w:tr>
    </w:tbl>
    <w:p w14:paraId="06DEBB38">
      <w:pPr>
        <w:pStyle w:val="24"/>
        <w:spacing w:line="360" w:lineRule="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7671DF63">
      <w:pPr>
        <w:widowControl/>
        <w:numPr>
          <w:ilvl w:val="0"/>
          <w:numId w:val="0"/>
        </w:num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5"/>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4746086">
            <w:pPr>
              <w:widowControl/>
              <w:snapToGrid w:val="0"/>
              <w:spacing w:line="360" w:lineRule="auto"/>
              <w:rPr>
                <w:rFonts w:hint="default" w:cs="Times New Roman"/>
                <w:highlight w:val="none"/>
                <w:lang w:val="en-US" w:eastAsia="zh-CN"/>
              </w:rPr>
            </w:pPr>
            <w:r>
              <w:rPr>
                <w:rFonts w:hint="eastAsia" w:ascii="宋体" w:hAnsi="宋体" w:eastAsia="宋体" w:cs="宋体"/>
                <w:color w:val="auto"/>
                <w:highlight w:val="none"/>
                <w:lang w:val="en-US" w:eastAsia="zh-CN"/>
              </w:rPr>
              <w:t>4、</w:t>
            </w:r>
            <w:r>
              <w:rPr>
                <w:rFonts w:hint="eastAsia" w:cs="Times New Roman"/>
                <w:highlight w:val="none"/>
                <w:lang w:val="en-US" w:eastAsia="zh-CN"/>
              </w:rPr>
              <w:t>采购人使用成交供应商中标的货物、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76A22E2">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 xml:space="preserve">驻马店市中心医院遥测监护系统采购项目 </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832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包1：15.9万元，包2：15万元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包1</w:t>
            </w:r>
            <w:r>
              <w:rPr>
                <w:rFonts w:hint="eastAsia" w:ascii="宋体" w:hAnsi="宋体" w:eastAsia="宋体" w:cs="宋体"/>
                <w:color w:val="auto"/>
                <w:kern w:val="0"/>
                <w:szCs w:val="21"/>
                <w:highlight w:val="none"/>
                <w:lang w:val="en-US" w:eastAsia="zh-CN"/>
              </w:rPr>
              <w:t>：15.9万元，</w:t>
            </w:r>
            <w:r>
              <w:rPr>
                <w:rFonts w:hint="eastAsia" w:ascii="宋体" w:hAnsi="宋体" w:cs="宋体"/>
                <w:color w:val="auto"/>
                <w:kern w:val="0"/>
                <w:szCs w:val="21"/>
                <w:highlight w:val="none"/>
                <w:lang w:val="en-US" w:eastAsia="zh-CN"/>
              </w:rPr>
              <w:t>包2</w:t>
            </w:r>
            <w:r>
              <w:rPr>
                <w:rFonts w:hint="eastAsia" w:ascii="宋体" w:hAnsi="宋体" w:eastAsia="宋体" w:cs="宋体"/>
                <w:color w:val="auto"/>
                <w:kern w:val="0"/>
                <w:szCs w:val="21"/>
                <w:highlight w:val="none"/>
                <w:lang w:val="en-US" w:eastAsia="zh-CN"/>
              </w:rPr>
              <w:t>：15万元</w:t>
            </w:r>
            <w:r>
              <w:rPr>
                <w:rFonts w:hint="eastAsia" w:ascii="宋体" w:hAnsi="宋体" w:cs="宋体"/>
                <w:color w:val="auto"/>
                <w:kern w:val="0"/>
                <w:szCs w:val="21"/>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cs="宋体"/>
                <w:color w:val="auto"/>
                <w:szCs w:val="21"/>
                <w:highlight w:val="none"/>
                <w:lang w:val="en-US" w:eastAsia="zh-CN"/>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包1</w:t>
      </w:r>
      <w:r>
        <w:rPr>
          <w:rFonts w:hint="eastAsia" w:ascii="宋体" w:hAnsi="宋体" w:eastAsia="宋体" w:cs="宋体"/>
          <w:b/>
          <w:bCs/>
          <w:color w:val="auto"/>
          <w:kern w:val="0"/>
          <w:szCs w:val="21"/>
          <w:highlight w:val="none"/>
          <w:lang w:val="en-US" w:eastAsia="zh-CN"/>
        </w:rPr>
        <w:t>：15.9万元，</w:t>
      </w:r>
      <w:r>
        <w:rPr>
          <w:rFonts w:hint="eastAsia" w:ascii="宋体" w:hAnsi="宋体" w:cs="宋体"/>
          <w:b/>
          <w:bCs/>
          <w:color w:val="auto"/>
          <w:kern w:val="0"/>
          <w:szCs w:val="21"/>
          <w:highlight w:val="none"/>
          <w:lang w:val="en-US" w:eastAsia="zh-CN"/>
        </w:rPr>
        <w:t>包2</w:t>
      </w:r>
      <w:r>
        <w:rPr>
          <w:rFonts w:hint="eastAsia" w:ascii="宋体" w:hAnsi="宋体" w:eastAsia="宋体" w:cs="宋体"/>
          <w:b/>
          <w:bCs/>
          <w:color w:val="auto"/>
          <w:kern w:val="0"/>
          <w:szCs w:val="21"/>
          <w:highlight w:val="none"/>
          <w:lang w:val="en-US" w:eastAsia="zh-CN"/>
        </w:rPr>
        <w:t>：15万元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包1</w:t>
      </w:r>
      <w:r>
        <w:rPr>
          <w:rFonts w:hint="eastAsia" w:ascii="宋体" w:hAnsi="宋体" w:eastAsia="宋体" w:cs="宋体"/>
          <w:b/>
          <w:bCs/>
          <w:color w:val="auto"/>
          <w:kern w:val="0"/>
          <w:szCs w:val="21"/>
          <w:highlight w:val="none"/>
          <w:lang w:val="en-US" w:eastAsia="zh-CN"/>
        </w:rPr>
        <w:t>：15.9万元，</w:t>
      </w:r>
      <w:r>
        <w:rPr>
          <w:rFonts w:hint="eastAsia" w:ascii="宋体" w:hAnsi="宋体" w:cs="宋体"/>
          <w:b/>
          <w:bCs/>
          <w:color w:val="auto"/>
          <w:kern w:val="0"/>
          <w:szCs w:val="21"/>
          <w:highlight w:val="none"/>
          <w:lang w:val="en-US" w:eastAsia="zh-CN"/>
        </w:rPr>
        <w:t>包2</w:t>
      </w:r>
      <w:r>
        <w:rPr>
          <w:rFonts w:hint="eastAsia" w:ascii="宋体" w:hAnsi="宋体" w:eastAsia="宋体" w:cs="宋体"/>
          <w:b/>
          <w:bCs/>
          <w:color w:val="auto"/>
          <w:kern w:val="0"/>
          <w:szCs w:val="21"/>
          <w:highlight w:val="none"/>
          <w:lang w:val="en-US" w:eastAsia="zh-CN"/>
        </w:rPr>
        <w:t>：15万元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99193B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A672C70">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9A58EAD">
      <w:pPr>
        <w:widowControl/>
        <w:tabs>
          <w:tab w:val="left" w:pos="840"/>
        </w:tabs>
        <w:snapToGrid w:val="0"/>
        <w:spacing w:line="324" w:lineRule="auto"/>
        <w:ind w:firstLine="420" w:firstLineChars="200"/>
        <w:jc w:val="left"/>
        <w:rPr>
          <w:rFonts w:hint="eastAsia" w:ascii="宋体" w:hAnsi="宋体" w:cs="宋体"/>
          <w:szCs w:val="21"/>
          <w:highlight w:val="none"/>
          <w:shd w:val="clear" w:color="auto" w:fill="FFFFFF"/>
        </w:rPr>
      </w:pPr>
      <w:r>
        <w:rPr>
          <w:rFonts w:hint="eastAsia" w:ascii="宋体" w:hAnsi="宋体" w:cs="宋体"/>
          <w:highlight w:val="none"/>
          <w:lang w:val="en-US" w:eastAsia="zh-CN"/>
        </w:rPr>
        <w:t>4.5</w:t>
      </w:r>
      <w:r>
        <w:rPr>
          <w:rFonts w:hint="eastAsia" w:ascii="宋体" w:hAnsi="宋体" w:cs="宋体"/>
          <w:szCs w:val="21"/>
          <w:highlight w:val="none"/>
          <w:shd w:val="clear" w:color="auto" w:fill="FFFFFF"/>
        </w:rPr>
        <w:t>特定资格要求：</w:t>
      </w:r>
    </w:p>
    <w:p w14:paraId="6FB6D055">
      <w:pPr>
        <w:widowControl/>
        <w:tabs>
          <w:tab w:val="left" w:pos="840"/>
        </w:tabs>
        <w:snapToGrid w:val="0"/>
        <w:spacing w:line="324" w:lineRule="auto"/>
        <w:ind w:firstLine="420" w:firstLineChars="200"/>
        <w:jc w:val="left"/>
        <w:rPr>
          <w:rFonts w:hint="eastAsia"/>
          <w:highlight w:val="none"/>
          <w:lang w:val="en-US" w:eastAsia="zh-CN"/>
        </w:rPr>
      </w:pPr>
      <w:r>
        <w:rPr>
          <w:rFonts w:hint="eastAsia" w:ascii="宋体" w:hAnsi="宋体" w:cs="宋体"/>
          <w:highlight w:val="none"/>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5CCF067">
      <w:pPr>
        <w:keepNext w:val="0"/>
        <w:keepLines w:val="0"/>
        <w:pageBreakBefore w:val="0"/>
        <w:widowControl w:val="0"/>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cs="宋体"/>
          <w:color w:val="000000" w:themeColor="text1"/>
          <w:kern w:val="0"/>
          <w:szCs w:val="21"/>
          <w:highlight w:val="none"/>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6"/>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三、技术要求”的响应，所投产品全部满足磋商文件要求得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lang w:val="en-US" w:eastAsia="zh-CN"/>
              </w:rPr>
              <w:t>分，带“★”号的技术参数为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 xml:space="preserve">技术参数，有一项不满足的扣5分，扣完为止；不带“★”号的技术参数为一般性技术参数，有一项不满足的扣3分，扣完为止；如得分为0，则磋商无效。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4BC0163D">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p>
          <w:p w14:paraId="033DDA3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）需提供产品注册检验报告及响应技术参数条款的技术白皮书和彩页等相关文件，并对响应技术参数部分做出明显标注。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投标产品</w:t>
            </w:r>
            <w:r>
              <w:rPr>
                <w:rFonts w:hint="eastAsia" w:ascii="宋体" w:hAnsi="宋体" w:eastAsia="宋体" w:cs="宋体"/>
                <w:color w:val="auto"/>
                <w:sz w:val="21"/>
                <w:szCs w:val="21"/>
                <w:highlight w:val="none"/>
                <w:lang w:val="en-US" w:eastAsia="zh-CN"/>
              </w:rPr>
              <w:t>的制造工艺、稳定性进行打分</w:t>
            </w:r>
            <w:r>
              <w:rPr>
                <w:rFonts w:hint="eastAsia" w:ascii="宋体" w:hAnsi="宋体" w:cs="宋体"/>
                <w:color w:val="auto"/>
                <w:sz w:val="21"/>
                <w:szCs w:val="21"/>
                <w:highlight w:val="none"/>
                <w:lang w:val="en-US" w:eastAsia="zh-CN"/>
              </w:rPr>
              <w:t>：</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产品制造工艺、稳定性好、</w:t>
            </w:r>
            <w:r>
              <w:rPr>
                <w:rFonts w:hint="eastAsia" w:ascii="宋体" w:hAnsi="宋体" w:cs="宋体"/>
                <w:color w:val="auto"/>
                <w:sz w:val="21"/>
                <w:szCs w:val="21"/>
                <w:highlight w:val="none"/>
                <w:lang w:val="en-US" w:eastAsia="zh-CN"/>
              </w:rPr>
              <w:t>安全性高的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b w:val="0"/>
                <w:bCs w:val="0"/>
                <w:color w:val="000000"/>
                <w:sz w:val="21"/>
                <w:szCs w:val="21"/>
                <w:highlight w:val="none"/>
              </w:rPr>
              <w:t>投标产品制造工艺、稳定性较好</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 xml:space="preserve">安全性较高的得 </w:t>
            </w:r>
            <w:r>
              <w:rPr>
                <w:rFonts w:hint="eastAsia" w:ascii="宋体" w:hAnsi="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rPr>
              <w:t xml:space="preserve">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具体详实，完全满足采购需求的得3分；有较具体的供货保障措施，基本满足采购需求的得2分；供货保障措施不完备，不能满足采购需求的得1分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6</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服务承诺符合本项目特点，故障响应时间快、应急维修措施预案较合理，有较具体的培训方案的得 </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 xml:space="preserve"> 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 xml:space="preserve">驻马店市中心医院遥测监护系统采购项目 </w:t>
      </w:r>
    </w:p>
    <w:p w14:paraId="1745A891">
      <w:pPr>
        <w:snapToGrid w:val="0"/>
        <w:spacing w:line="360" w:lineRule="auto"/>
        <w:jc w:val="center"/>
        <w:rPr>
          <w:rFonts w:hint="eastAsia" w:ascii="宋体" w:hAnsi="宋体" w:cs="宋体"/>
          <w:b/>
          <w:snapToGrid w:val="0"/>
          <w:color w:val="auto"/>
          <w:spacing w:val="0"/>
          <w:kern w:val="0"/>
          <w:sz w:val="36"/>
          <w:szCs w:val="36"/>
          <w:highlight w:val="none"/>
          <w:u w:val="single"/>
          <w:lang w:val="en-US" w:eastAsia="zh-CN"/>
        </w:rPr>
      </w:pPr>
    </w:p>
    <w:p w14:paraId="122C9DDA">
      <w:pPr>
        <w:snapToGrid w:val="0"/>
        <w:spacing w:line="360" w:lineRule="auto"/>
        <w:jc w:val="center"/>
        <w:rPr>
          <w:rFonts w:hint="eastAsia" w:ascii="宋体" w:hAnsi="宋体" w:eastAsia="宋体" w:cs="宋体"/>
          <w:b/>
          <w:color w:val="auto"/>
          <w:spacing w:val="90"/>
          <w:sz w:val="52"/>
          <w:szCs w:val="52"/>
          <w:highlight w:val="none"/>
          <w:lang w:val="en-US" w:eastAsia="zh-CN"/>
        </w:rPr>
      </w:pPr>
    </w:p>
    <w:p w14:paraId="18EE191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71293A14">
      <w:pPr>
        <w:snapToGrid w:val="0"/>
        <w:spacing w:line="360" w:lineRule="auto"/>
        <w:jc w:val="center"/>
        <w:rPr>
          <w:rFonts w:hint="eastAsia" w:ascii="宋体" w:hAnsi="宋体" w:cs="宋体"/>
          <w:b/>
          <w:snapToGrid w:val="0"/>
          <w:color w:val="auto"/>
          <w:spacing w:val="0"/>
          <w:kern w:val="0"/>
          <w:sz w:val="36"/>
          <w:szCs w:val="36"/>
          <w:highlight w:val="none"/>
          <w:u w:val="single"/>
          <w:lang w:val="en-US" w:eastAsia="zh-CN"/>
        </w:rPr>
      </w:pPr>
    </w:p>
    <w:p w14:paraId="2041199D">
      <w:pPr>
        <w:snapToGrid w:val="0"/>
        <w:spacing w:line="360" w:lineRule="auto"/>
        <w:jc w:val="center"/>
        <w:rPr>
          <w:rFonts w:hint="default" w:ascii="宋体" w:hAnsi="宋体" w:eastAsia="宋体" w:cs="宋体"/>
          <w:b/>
          <w:color w:val="auto"/>
          <w:spacing w:val="90"/>
          <w:sz w:val="36"/>
          <w:szCs w:val="36"/>
          <w:highlight w:val="none"/>
          <w:lang w:val="en-US" w:eastAsia="zh-CN"/>
        </w:rPr>
      </w:pPr>
      <w:r>
        <w:rPr>
          <w:rFonts w:hint="eastAsia" w:ascii="宋体" w:hAnsi="宋体" w:cs="宋体"/>
          <w:b/>
          <w:snapToGrid w:val="0"/>
          <w:color w:val="auto"/>
          <w:spacing w:val="0"/>
          <w:kern w:val="0"/>
          <w:sz w:val="36"/>
          <w:szCs w:val="36"/>
          <w:highlight w:val="none"/>
          <w:u w:val="single"/>
          <w:lang w:val="en-US" w:eastAsia="zh-CN"/>
        </w:rPr>
        <w:t xml:space="preserve">     </w:t>
      </w:r>
      <w:r>
        <w:rPr>
          <w:rFonts w:hint="eastAsia" w:ascii="宋体" w:hAnsi="宋体" w:cs="宋体"/>
          <w:b/>
          <w:snapToGrid w:val="0"/>
          <w:color w:val="auto"/>
          <w:spacing w:val="0"/>
          <w:kern w:val="0"/>
          <w:sz w:val="36"/>
          <w:szCs w:val="36"/>
          <w:highlight w:val="none"/>
          <w:u w:val="none"/>
          <w:lang w:val="en-US" w:eastAsia="zh-CN"/>
        </w:rPr>
        <w:t>（</w:t>
      </w:r>
      <w:r>
        <w:rPr>
          <w:rFonts w:hint="eastAsia" w:ascii="宋体" w:hAnsi="宋体" w:eastAsia="宋体" w:cs="宋体"/>
          <w:b/>
          <w:snapToGrid w:val="0"/>
          <w:color w:val="auto"/>
          <w:spacing w:val="0"/>
          <w:kern w:val="0"/>
          <w:sz w:val="36"/>
          <w:szCs w:val="36"/>
          <w:highlight w:val="none"/>
          <w:u w:val="none"/>
          <w:lang w:val="en-US" w:eastAsia="zh-CN"/>
        </w:rPr>
        <w:t>包</w:t>
      </w:r>
      <w:r>
        <w:rPr>
          <w:rFonts w:hint="eastAsia" w:ascii="宋体" w:hAnsi="宋体" w:cs="宋体"/>
          <w:b/>
          <w:snapToGrid w:val="0"/>
          <w:color w:val="auto"/>
          <w:spacing w:val="0"/>
          <w:kern w:val="0"/>
          <w:sz w:val="36"/>
          <w:szCs w:val="36"/>
          <w:highlight w:val="none"/>
          <w:u w:val="none"/>
          <w:lang w:val="en-US" w:eastAsia="zh-CN"/>
        </w:rPr>
        <w:t>号）</w:t>
      </w:r>
      <w:r>
        <w:rPr>
          <w:rFonts w:hint="eastAsia" w:ascii="宋体" w:hAnsi="宋体" w:cs="宋体"/>
          <w:b/>
          <w:snapToGrid w:val="0"/>
          <w:color w:val="auto"/>
          <w:spacing w:val="0"/>
          <w:kern w:val="0"/>
          <w:sz w:val="36"/>
          <w:szCs w:val="36"/>
          <w:highlight w:val="none"/>
          <w:u w:val="single"/>
          <w:lang w:val="en-US" w:eastAsia="zh-CN"/>
        </w:rPr>
        <w:t xml:space="preserve">        </w:t>
      </w:r>
      <w:r>
        <w:rPr>
          <w:rFonts w:hint="eastAsia" w:ascii="宋体" w:hAnsi="宋体" w:cs="宋体"/>
          <w:b/>
          <w:snapToGrid w:val="0"/>
          <w:color w:val="auto"/>
          <w:spacing w:val="0"/>
          <w:kern w:val="0"/>
          <w:sz w:val="36"/>
          <w:szCs w:val="36"/>
          <w:highlight w:val="none"/>
          <w:u w:val="none"/>
          <w:lang w:val="en-US" w:eastAsia="zh-CN"/>
        </w:rPr>
        <w:t>（包名称）</w:t>
      </w:r>
    </w:p>
    <w:p w14:paraId="7571BD46">
      <w:pPr>
        <w:spacing w:line="360" w:lineRule="auto"/>
        <w:rPr>
          <w:rFonts w:hint="eastAsia" w:ascii="宋体" w:hAnsi="宋体" w:eastAsia="宋体" w:cs="宋体"/>
          <w:color w:val="auto"/>
          <w:sz w:val="28"/>
          <w:highlight w:val="none"/>
        </w:rPr>
      </w:pPr>
    </w:p>
    <w:p w14:paraId="68E25744">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8397D7">
      <w:pPr>
        <w:ind w:firstLine="1680" w:firstLineChars="600"/>
        <w:rPr>
          <w:rFonts w:hint="eastAsia" w:ascii="宋体" w:hAnsi="宋体" w:eastAsia="宋体" w:cs="宋体"/>
          <w:color w:val="auto"/>
          <w:sz w:val="28"/>
          <w:szCs w:val="28"/>
          <w:highlight w:val="none"/>
          <w:lang w:val="en-US" w:eastAsia="zh-CN"/>
        </w:rPr>
      </w:pPr>
      <w:bookmarkStart w:id="69" w:name="_Toc14560"/>
      <w:bookmarkStart w:id="70" w:name="_Toc8818"/>
    </w:p>
    <w:p w14:paraId="1AA54C7C">
      <w:pPr>
        <w:ind w:firstLine="1680" w:firstLineChars="6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项目名称及包号）</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4B95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402DA62">
            <w:pPr>
              <w:widowControl/>
              <w:snapToGrid w:val="0"/>
              <w:spacing w:before="50" w:after="5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包号</w:t>
            </w:r>
          </w:p>
        </w:tc>
        <w:tc>
          <w:tcPr>
            <w:tcW w:w="7708" w:type="dxa"/>
            <w:noWrap/>
            <w:vAlign w:val="center"/>
          </w:tcPr>
          <w:p w14:paraId="7B4864FE">
            <w:pPr>
              <w:rPr>
                <w:rFonts w:hint="eastAsia" w:ascii="宋体" w:hAnsi="宋体" w:eastAsia="宋体" w:cs="宋体"/>
                <w:bCs/>
                <w:color w:val="auto"/>
                <w:szCs w:val="21"/>
                <w:highlight w:val="none"/>
              </w:rPr>
            </w:pPr>
          </w:p>
        </w:tc>
      </w:tr>
      <w:tr w14:paraId="18AB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DF51534">
            <w:pPr>
              <w:widowControl/>
              <w:snapToGrid w:val="0"/>
              <w:spacing w:before="50" w:after="5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包名称</w:t>
            </w:r>
          </w:p>
        </w:tc>
        <w:tc>
          <w:tcPr>
            <w:tcW w:w="7708" w:type="dxa"/>
            <w:noWrap/>
            <w:vAlign w:val="center"/>
          </w:tcPr>
          <w:p w14:paraId="37529B6F">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4872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31A8048">
            <w:pPr>
              <w:jc w:val="center"/>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lang w:val="en-US" w:eastAsia="zh-CN"/>
              </w:rPr>
              <w:t>交货期</w:t>
            </w:r>
          </w:p>
        </w:tc>
        <w:tc>
          <w:tcPr>
            <w:tcW w:w="7708" w:type="dxa"/>
            <w:noWrap/>
            <w:vAlign w:val="center"/>
          </w:tcPr>
          <w:p w14:paraId="0FA1683F">
            <w:pPr>
              <w:pStyle w:val="21"/>
              <w:ind w:left="0" w:leftChars="0"/>
              <w:rPr>
                <w:rFonts w:hint="eastAsia" w:ascii="宋体" w:hAnsi="宋体" w:eastAsia="宋体" w:cs="宋体"/>
                <w:color w:val="auto"/>
                <w:kern w:val="0"/>
                <w:sz w:val="21"/>
                <w:szCs w:val="21"/>
                <w:highlight w:val="none"/>
                <w:lang w:val="en-US" w:eastAsia="zh-CN" w:bidi="ar-SA"/>
              </w:rPr>
            </w:pPr>
          </w:p>
        </w:tc>
      </w:tr>
      <w:tr w14:paraId="36B5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86C5AA6">
            <w:pPr>
              <w:widowControl/>
              <w:snapToGrid w:val="0"/>
              <w:spacing w:before="50" w:after="5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交货地点</w:t>
            </w:r>
          </w:p>
        </w:tc>
        <w:tc>
          <w:tcPr>
            <w:tcW w:w="7708" w:type="dxa"/>
            <w:noWrap/>
            <w:vAlign w:val="center"/>
          </w:tcPr>
          <w:p w14:paraId="06A78499">
            <w:pPr>
              <w:pStyle w:val="21"/>
              <w:ind w:left="0" w:leftChars="0"/>
              <w:rPr>
                <w:rFonts w:hint="eastAsia" w:ascii="宋体" w:hAnsi="宋体" w:eastAsia="宋体" w:cs="宋体"/>
                <w:color w:val="auto"/>
                <w:kern w:val="0"/>
                <w:sz w:val="21"/>
                <w:szCs w:val="21"/>
                <w:highlight w:val="none"/>
                <w:lang w:val="en-US" w:eastAsia="zh-CN" w:bidi="ar-SA"/>
              </w:rPr>
            </w:pPr>
          </w:p>
        </w:tc>
      </w:tr>
      <w:tr w14:paraId="75CA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570E5DB">
            <w:pPr>
              <w:widowControl/>
              <w:snapToGrid w:val="0"/>
              <w:spacing w:before="50" w:after="50"/>
              <w:jc w:val="center"/>
              <w:rPr>
                <w:rFonts w:hint="eastAsia" w:ascii="宋体" w:hAnsi="宋体" w:eastAsia="宋体" w:cs="宋体"/>
                <w:color w:val="auto"/>
                <w:kern w:val="0"/>
                <w:szCs w:val="21"/>
                <w:highlight w:val="none"/>
                <w:lang w:val="en-US" w:eastAsia="zh-CN"/>
              </w:rPr>
            </w:pPr>
            <w:r>
              <w:rPr>
                <w:rFonts w:hint="eastAsia" w:ascii="宋体" w:hAnsi="宋体"/>
                <w:color w:val="auto"/>
                <w:szCs w:val="21"/>
                <w:highlight w:val="none"/>
              </w:rPr>
              <w:t>质量</w:t>
            </w:r>
            <w:r>
              <w:rPr>
                <w:rFonts w:hint="eastAsia" w:ascii="宋体" w:hAnsi="宋体"/>
                <w:color w:val="auto"/>
                <w:szCs w:val="21"/>
                <w:highlight w:val="none"/>
                <w:lang w:val="en-US" w:eastAsia="zh-CN"/>
              </w:rPr>
              <w:t>要求</w:t>
            </w:r>
          </w:p>
        </w:tc>
        <w:tc>
          <w:tcPr>
            <w:tcW w:w="7708" w:type="dxa"/>
            <w:noWrap/>
            <w:vAlign w:val="center"/>
          </w:tcPr>
          <w:p w14:paraId="34F421D9">
            <w:pPr>
              <w:pStyle w:val="21"/>
              <w:ind w:left="0" w:leftChars="0"/>
              <w:rPr>
                <w:rFonts w:hint="eastAsia" w:ascii="宋体" w:hAnsi="宋体" w:eastAsia="宋体" w:cs="宋体"/>
                <w:color w:val="auto"/>
                <w:kern w:val="0"/>
                <w:sz w:val="21"/>
                <w:szCs w:val="21"/>
                <w:highlight w:val="none"/>
                <w:lang w:val="en-US" w:eastAsia="zh-CN" w:bidi="ar-SA"/>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20877"/>
      <w:bookmarkStart w:id="73"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625"/>
      <w:bookmarkStart w:id="75"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金额单位：人民币（元）</w:t>
      </w:r>
    </w:p>
    <w:p w14:paraId="55A4CDB3">
      <w:pPr>
        <w:pStyle w:val="33"/>
        <w:ind w:left="0" w:leftChars="0" w:firstLine="0" w:firstLineChars="0"/>
        <w:rPr>
          <w:rFonts w:hint="eastAsia"/>
          <w:highlight w:val="none"/>
          <w:lang w:val="en-US" w:eastAsia="zh-CN"/>
        </w:rPr>
      </w:pPr>
      <w:r>
        <w:rPr>
          <w:rFonts w:hint="eastAsia" w:ascii="宋体" w:hAnsi="宋体" w:cs="宋体"/>
          <w:b w:val="0"/>
          <w:bCs w:val="0"/>
          <w:color w:val="auto"/>
          <w:kern w:val="0"/>
          <w:szCs w:val="21"/>
          <w:highlight w:val="none"/>
          <w:lang w:val="en-US" w:eastAsia="zh-CN"/>
        </w:rPr>
        <w:t>包号：</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5986FE19">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4.1 产品配置清单一览表</w:t>
      </w:r>
    </w:p>
    <w:p w14:paraId="0D5C1B1D">
      <w:pPr>
        <w:rPr>
          <w:rFonts w:hint="default"/>
          <w:sz w:val="20"/>
          <w:szCs w:val="22"/>
          <w:highlight w:val="none"/>
          <w:lang w:val="en-US" w:eastAsia="zh-CN"/>
        </w:rPr>
      </w:pPr>
      <w:r>
        <w:rPr>
          <w:rFonts w:hint="eastAsia" w:ascii="宋体" w:hAnsi="宋体" w:cs="宋体"/>
          <w:color w:val="auto"/>
          <w:sz w:val="24"/>
          <w:szCs w:val="24"/>
          <w:highlight w:val="none"/>
          <w:lang w:val="en-US" w:eastAsia="zh-CN"/>
        </w:rPr>
        <w:t>包号：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sz w:val="24"/>
                <w:szCs w:val="24"/>
                <w:highlight w:val="none"/>
                <w:vertAlign w:val="baseline"/>
                <w:lang w:val="en-US" w:eastAsia="zh-CN"/>
              </w:rPr>
            </w:pPr>
            <w:r>
              <w:rPr>
                <w:rFonts w:hint="eastAsia" w:asciiTheme="majorEastAsia" w:hAnsiTheme="majorEastAsia" w:eastAsiaTheme="majorEastAsia" w:cstheme="majorEastAsia"/>
                <w:b/>
                <w:bCs/>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highlight w:val="none"/>
                <w:vertAlign w:val="baseline"/>
                <w:lang w:val="en-US" w:eastAsia="zh-CN"/>
              </w:rPr>
            </w:pPr>
          </w:p>
        </w:tc>
        <w:tc>
          <w:tcPr>
            <w:tcW w:w="1676" w:type="dxa"/>
            <w:vAlign w:val="center"/>
          </w:tcPr>
          <w:p w14:paraId="2B2FB324">
            <w:pPr>
              <w:widowControl w:val="0"/>
              <w:jc w:val="center"/>
              <w:rPr>
                <w:rFonts w:hint="default"/>
                <w:highlight w:val="none"/>
                <w:vertAlign w:val="baseline"/>
                <w:lang w:val="en-US" w:eastAsia="zh-CN"/>
              </w:rPr>
            </w:pPr>
          </w:p>
        </w:tc>
        <w:tc>
          <w:tcPr>
            <w:tcW w:w="1238" w:type="dxa"/>
            <w:vAlign w:val="center"/>
          </w:tcPr>
          <w:p w14:paraId="3FFED3C5">
            <w:pPr>
              <w:widowControl w:val="0"/>
              <w:jc w:val="center"/>
              <w:rPr>
                <w:rFonts w:hint="default"/>
                <w:highlight w:val="none"/>
                <w:vertAlign w:val="baseline"/>
                <w:lang w:val="en-US" w:eastAsia="zh-CN"/>
              </w:rPr>
            </w:pPr>
          </w:p>
        </w:tc>
        <w:tc>
          <w:tcPr>
            <w:tcW w:w="1238" w:type="dxa"/>
            <w:vAlign w:val="center"/>
          </w:tcPr>
          <w:p w14:paraId="1FC676C2">
            <w:pPr>
              <w:widowControl w:val="0"/>
              <w:jc w:val="center"/>
              <w:rPr>
                <w:rFonts w:hint="default"/>
                <w:highlight w:val="none"/>
                <w:vertAlign w:val="baseline"/>
                <w:lang w:val="en-US" w:eastAsia="zh-CN"/>
              </w:rPr>
            </w:pPr>
          </w:p>
        </w:tc>
        <w:tc>
          <w:tcPr>
            <w:tcW w:w="1238" w:type="dxa"/>
            <w:vAlign w:val="center"/>
          </w:tcPr>
          <w:p w14:paraId="25AACED3">
            <w:pPr>
              <w:widowControl w:val="0"/>
              <w:jc w:val="center"/>
              <w:rPr>
                <w:rFonts w:hint="default"/>
                <w:highlight w:val="none"/>
                <w:vertAlign w:val="baseline"/>
                <w:lang w:val="en-US" w:eastAsia="zh-CN"/>
              </w:rPr>
            </w:pPr>
          </w:p>
        </w:tc>
        <w:tc>
          <w:tcPr>
            <w:tcW w:w="1023" w:type="dxa"/>
            <w:vAlign w:val="center"/>
          </w:tcPr>
          <w:p w14:paraId="749D014C">
            <w:pPr>
              <w:widowControl w:val="0"/>
              <w:jc w:val="center"/>
              <w:rPr>
                <w:rFonts w:hint="default"/>
                <w:highlight w:val="none"/>
                <w:vertAlign w:val="baseline"/>
                <w:lang w:val="en-US" w:eastAsia="zh-CN"/>
              </w:rPr>
            </w:pPr>
          </w:p>
        </w:tc>
        <w:tc>
          <w:tcPr>
            <w:tcW w:w="1800" w:type="dxa"/>
            <w:vAlign w:val="center"/>
          </w:tcPr>
          <w:p w14:paraId="05134611">
            <w:pPr>
              <w:widowControl w:val="0"/>
              <w:jc w:val="center"/>
              <w:rPr>
                <w:rFonts w:hint="default"/>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highlight w:val="none"/>
                <w:vertAlign w:val="baseline"/>
                <w:lang w:val="en-US" w:eastAsia="zh-CN"/>
              </w:rPr>
            </w:pPr>
          </w:p>
        </w:tc>
        <w:tc>
          <w:tcPr>
            <w:tcW w:w="1676" w:type="dxa"/>
            <w:vAlign w:val="center"/>
          </w:tcPr>
          <w:p w14:paraId="31FB795C">
            <w:pPr>
              <w:widowControl w:val="0"/>
              <w:jc w:val="center"/>
              <w:rPr>
                <w:rFonts w:hint="default"/>
                <w:highlight w:val="none"/>
                <w:vertAlign w:val="baseline"/>
                <w:lang w:val="en-US" w:eastAsia="zh-CN"/>
              </w:rPr>
            </w:pPr>
          </w:p>
        </w:tc>
        <w:tc>
          <w:tcPr>
            <w:tcW w:w="1238" w:type="dxa"/>
            <w:vAlign w:val="center"/>
          </w:tcPr>
          <w:p w14:paraId="3DDF1F3E">
            <w:pPr>
              <w:widowControl w:val="0"/>
              <w:jc w:val="center"/>
              <w:rPr>
                <w:rFonts w:hint="default"/>
                <w:highlight w:val="none"/>
                <w:vertAlign w:val="baseline"/>
                <w:lang w:val="en-US" w:eastAsia="zh-CN"/>
              </w:rPr>
            </w:pPr>
          </w:p>
        </w:tc>
        <w:tc>
          <w:tcPr>
            <w:tcW w:w="1238" w:type="dxa"/>
            <w:vAlign w:val="center"/>
          </w:tcPr>
          <w:p w14:paraId="1AE826AF">
            <w:pPr>
              <w:widowControl w:val="0"/>
              <w:jc w:val="center"/>
              <w:rPr>
                <w:rFonts w:hint="default"/>
                <w:highlight w:val="none"/>
                <w:vertAlign w:val="baseline"/>
                <w:lang w:val="en-US" w:eastAsia="zh-CN"/>
              </w:rPr>
            </w:pPr>
          </w:p>
        </w:tc>
        <w:tc>
          <w:tcPr>
            <w:tcW w:w="1238" w:type="dxa"/>
            <w:vAlign w:val="center"/>
          </w:tcPr>
          <w:p w14:paraId="439C5F96">
            <w:pPr>
              <w:widowControl w:val="0"/>
              <w:jc w:val="center"/>
              <w:rPr>
                <w:rFonts w:hint="default"/>
                <w:highlight w:val="none"/>
                <w:vertAlign w:val="baseline"/>
                <w:lang w:val="en-US" w:eastAsia="zh-CN"/>
              </w:rPr>
            </w:pPr>
          </w:p>
        </w:tc>
        <w:tc>
          <w:tcPr>
            <w:tcW w:w="1023" w:type="dxa"/>
            <w:vAlign w:val="center"/>
          </w:tcPr>
          <w:p w14:paraId="674CDC80">
            <w:pPr>
              <w:widowControl w:val="0"/>
              <w:jc w:val="center"/>
              <w:rPr>
                <w:rFonts w:hint="default"/>
                <w:highlight w:val="none"/>
                <w:vertAlign w:val="baseline"/>
                <w:lang w:val="en-US" w:eastAsia="zh-CN"/>
              </w:rPr>
            </w:pPr>
          </w:p>
        </w:tc>
        <w:tc>
          <w:tcPr>
            <w:tcW w:w="1800" w:type="dxa"/>
            <w:vAlign w:val="center"/>
          </w:tcPr>
          <w:p w14:paraId="1CB5057F">
            <w:pPr>
              <w:widowControl w:val="0"/>
              <w:jc w:val="center"/>
              <w:rPr>
                <w:rFonts w:hint="default"/>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default"/>
                <w:highlight w:val="none"/>
                <w:vertAlign w:val="baseline"/>
                <w:lang w:val="en-US" w:eastAsia="zh-CN"/>
              </w:rPr>
            </w:pPr>
          </w:p>
        </w:tc>
        <w:tc>
          <w:tcPr>
            <w:tcW w:w="1676" w:type="dxa"/>
            <w:vAlign w:val="center"/>
          </w:tcPr>
          <w:p w14:paraId="4953F941">
            <w:pPr>
              <w:widowControl w:val="0"/>
              <w:jc w:val="center"/>
              <w:rPr>
                <w:rFonts w:hint="default"/>
                <w:highlight w:val="none"/>
                <w:vertAlign w:val="baseline"/>
                <w:lang w:val="en-US" w:eastAsia="zh-CN"/>
              </w:rPr>
            </w:pPr>
          </w:p>
        </w:tc>
        <w:tc>
          <w:tcPr>
            <w:tcW w:w="1238" w:type="dxa"/>
            <w:vAlign w:val="center"/>
          </w:tcPr>
          <w:p w14:paraId="60D4163C">
            <w:pPr>
              <w:widowControl w:val="0"/>
              <w:jc w:val="center"/>
              <w:rPr>
                <w:rFonts w:hint="default"/>
                <w:highlight w:val="none"/>
                <w:vertAlign w:val="baseline"/>
                <w:lang w:val="en-US" w:eastAsia="zh-CN"/>
              </w:rPr>
            </w:pPr>
          </w:p>
        </w:tc>
        <w:tc>
          <w:tcPr>
            <w:tcW w:w="1238" w:type="dxa"/>
            <w:vAlign w:val="center"/>
          </w:tcPr>
          <w:p w14:paraId="7F5D0506">
            <w:pPr>
              <w:widowControl w:val="0"/>
              <w:jc w:val="center"/>
              <w:rPr>
                <w:rFonts w:hint="default"/>
                <w:highlight w:val="none"/>
                <w:vertAlign w:val="baseline"/>
                <w:lang w:val="en-US" w:eastAsia="zh-CN"/>
              </w:rPr>
            </w:pPr>
          </w:p>
        </w:tc>
        <w:tc>
          <w:tcPr>
            <w:tcW w:w="1238" w:type="dxa"/>
            <w:vAlign w:val="center"/>
          </w:tcPr>
          <w:p w14:paraId="72E86AD5">
            <w:pPr>
              <w:widowControl w:val="0"/>
              <w:jc w:val="center"/>
              <w:rPr>
                <w:rFonts w:hint="default"/>
                <w:highlight w:val="none"/>
                <w:vertAlign w:val="baseline"/>
                <w:lang w:val="en-US" w:eastAsia="zh-CN"/>
              </w:rPr>
            </w:pPr>
          </w:p>
        </w:tc>
        <w:tc>
          <w:tcPr>
            <w:tcW w:w="1023" w:type="dxa"/>
            <w:vAlign w:val="center"/>
          </w:tcPr>
          <w:p w14:paraId="7134BF0D">
            <w:pPr>
              <w:widowControl w:val="0"/>
              <w:jc w:val="center"/>
              <w:rPr>
                <w:rFonts w:hint="default"/>
                <w:highlight w:val="none"/>
                <w:vertAlign w:val="baseline"/>
                <w:lang w:val="en-US" w:eastAsia="zh-CN"/>
              </w:rPr>
            </w:pPr>
          </w:p>
        </w:tc>
        <w:tc>
          <w:tcPr>
            <w:tcW w:w="1800" w:type="dxa"/>
            <w:vAlign w:val="center"/>
          </w:tcPr>
          <w:p w14:paraId="0EB3CD05">
            <w:pPr>
              <w:widowControl w:val="0"/>
              <w:jc w:val="center"/>
              <w:rPr>
                <w:rFonts w:hint="default"/>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highlight w:val="none"/>
                <w:vertAlign w:val="baseline"/>
                <w:lang w:val="en-US" w:eastAsia="zh-CN"/>
              </w:rPr>
            </w:pPr>
          </w:p>
        </w:tc>
        <w:tc>
          <w:tcPr>
            <w:tcW w:w="1676" w:type="dxa"/>
            <w:vAlign w:val="center"/>
          </w:tcPr>
          <w:p w14:paraId="3A245A35">
            <w:pPr>
              <w:widowControl w:val="0"/>
              <w:jc w:val="center"/>
              <w:rPr>
                <w:rFonts w:hint="default"/>
                <w:highlight w:val="none"/>
                <w:vertAlign w:val="baseline"/>
                <w:lang w:val="en-US" w:eastAsia="zh-CN"/>
              </w:rPr>
            </w:pPr>
          </w:p>
        </w:tc>
        <w:tc>
          <w:tcPr>
            <w:tcW w:w="1238" w:type="dxa"/>
            <w:vAlign w:val="center"/>
          </w:tcPr>
          <w:p w14:paraId="6D057E85">
            <w:pPr>
              <w:widowControl w:val="0"/>
              <w:jc w:val="center"/>
              <w:rPr>
                <w:rFonts w:hint="default"/>
                <w:highlight w:val="none"/>
                <w:vertAlign w:val="baseline"/>
                <w:lang w:val="en-US" w:eastAsia="zh-CN"/>
              </w:rPr>
            </w:pPr>
          </w:p>
        </w:tc>
        <w:tc>
          <w:tcPr>
            <w:tcW w:w="1238" w:type="dxa"/>
            <w:vAlign w:val="center"/>
          </w:tcPr>
          <w:p w14:paraId="515422B7">
            <w:pPr>
              <w:widowControl w:val="0"/>
              <w:jc w:val="center"/>
              <w:rPr>
                <w:rFonts w:hint="default"/>
                <w:highlight w:val="none"/>
                <w:vertAlign w:val="baseline"/>
                <w:lang w:val="en-US" w:eastAsia="zh-CN"/>
              </w:rPr>
            </w:pPr>
          </w:p>
        </w:tc>
        <w:tc>
          <w:tcPr>
            <w:tcW w:w="1238" w:type="dxa"/>
            <w:vAlign w:val="center"/>
          </w:tcPr>
          <w:p w14:paraId="161FB83F">
            <w:pPr>
              <w:widowControl w:val="0"/>
              <w:jc w:val="center"/>
              <w:rPr>
                <w:rFonts w:hint="default"/>
                <w:highlight w:val="none"/>
                <w:vertAlign w:val="baseline"/>
                <w:lang w:val="en-US" w:eastAsia="zh-CN"/>
              </w:rPr>
            </w:pPr>
          </w:p>
        </w:tc>
        <w:tc>
          <w:tcPr>
            <w:tcW w:w="1023" w:type="dxa"/>
            <w:vAlign w:val="center"/>
          </w:tcPr>
          <w:p w14:paraId="77DF5323">
            <w:pPr>
              <w:widowControl w:val="0"/>
              <w:jc w:val="center"/>
              <w:rPr>
                <w:rFonts w:hint="default"/>
                <w:highlight w:val="none"/>
                <w:vertAlign w:val="baseline"/>
                <w:lang w:val="en-US" w:eastAsia="zh-CN"/>
              </w:rPr>
            </w:pPr>
          </w:p>
        </w:tc>
        <w:tc>
          <w:tcPr>
            <w:tcW w:w="1800" w:type="dxa"/>
            <w:vAlign w:val="center"/>
          </w:tcPr>
          <w:p w14:paraId="1D8AAC89">
            <w:pPr>
              <w:widowControl w:val="0"/>
              <w:jc w:val="center"/>
              <w:rPr>
                <w:rFonts w:hint="default"/>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highlight w:val="none"/>
                <w:vertAlign w:val="baseline"/>
                <w:lang w:val="en-US" w:eastAsia="zh-CN"/>
              </w:rPr>
            </w:pPr>
          </w:p>
        </w:tc>
        <w:tc>
          <w:tcPr>
            <w:tcW w:w="1676" w:type="dxa"/>
            <w:vAlign w:val="center"/>
          </w:tcPr>
          <w:p w14:paraId="6E777249">
            <w:pPr>
              <w:widowControl w:val="0"/>
              <w:jc w:val="center"/>
              <w:rPr>
                <w:rFonts w:hint="default"/>
                <w:highlight w:val="none"/>
                <w:vertAlign w:val="baseline"/>
                <w:lang w:val="en-US" w:eastAsia="zh-CN"/>
              </w:rPr>
            </w:pPr>
          </w:p>
        </w:tc>
        <w:tc>
          <w:tcPr>
            <w:tcW w:w="1238" w:type="dxa"/>
            <w:vAlign w:val="center"/>
          </w:tcPr>
          <w:p w14:paraId="4DE2A82B">
            <w:pPr>
              <w:widowControl w:val="0"/>
              <w:jc w:val="center"/>
              <w:rPr>
                <w:rFonts w:hint="default"/>
                <w:highlight w:val="none"/>
                <w:vertAlign w:val="baseline"/>
                <w:lang w:val="en-US" w:eastAsia="zh-CN"/>
              </w:rPr>
            </w:pPr>
          </w:p>
        </w:tc>
        <w:tc>
          <w:tcPr>
            <w:tcW w:w="1238" w:type="dxa"/>
            <w:vAlign w:val="center"/>
          </w:tcPr>
          <w:p w14:paraId="7C5B0392">
            <w:pPr>
              <w:widowControl w:val="0"/>
              <w:jc w:val="center"/>
              <w:rPr>
                <w:rFonts w:hint="default"/>
                <w:highlight w:val="none"/>
                <w:vertAlign w:val="baseline"/>
                <w:lang w:val="en-US" w:eastAsia="zh-CN"/>
              </w:rPr>
            </w:pPr>
          </w:p>
        </w:tc>
        <w:tc>
          <w:tcPr>
            <w:tcW w:w="1238" w:type="dxa"/>
            <w:vAlign w:val="center"/>
          </w:tcPr>
          <w:p w14:paraId="17137530">
            <w:pPr>
              <w:widowControl w:val="0"/>
              <w:jc w:val="center"/>
              <w:rPr>
                <w:rFonts w:hint="default"/>
                <w:highlight w:val="none"/>
                <w:vertAlign w:val="baseline"/>
                <w:lang w:val="en-US" w:eastAsia="zh-CN"/>
              </w:rPr>
            </w:pPr>
          </w:p>
        </w:tc>
        <w:tc>
          <w:tcPr>
            <w:tcW w:w="1023" w:type="dxa"/>
            <w:vAlign w:val="center"/>
          </w:tcPr>
          <w:p w14:paraId="1138018C">
            <w:pPr>
              <w:widowControl w:val="0"/>
              <w:jc w:val="center"/>
              <w:rPr>
                <w:rFonts w:hint="default"/>
                <w:highlight w:val="none"/>
                <w:vertAlign w:val="baseline"/>
                <w:lang w:val="en-US" w:eastAsia="zh-CN"/>
              </w:rPr>
            </w:pPr>
          </w:p>
        </w:tc>
        <w:tc>
          <w:tcPr>
            <w:tcW w:w="1800" w:type="dxa"/>
            <w:vAlign w:val="center"/>
          </w:tcPr>
          <w:p w14:paraId="4CA32857">
            <w:pPr>
              <w:widowControl w:val="0"/>
              <w:jc w:val="center"/>
              <w:rPr>
                <w:rFonts w:hint="default"/>
                <w:highlight w:val="none"/>
                <w:vertAlign w:val="baseline"/>
                <w:lang w:val="en-US" w:eastAsia="zh-CN"/>
              </w:rPr>
            </w:pPr>
          </w:p>
        </w:tc>
      </w:tr>
    </w:tbl>
    <w:p w14:paraId="4690C867">
      <w:pPr>
        <w:rPr>
          <w:rFonts w:hint="default"/>
          <w:highlight w:val="none"/>
          <w:lang w:val="en-US" w:eastAsia="zh-CN"/>
        </w:rPr>
      </w:pPr>
    </w:p>
    <w:p w14:paraId="3F22E3BC">
      <w:pPr>
        <w:keepNext w:val="0"/>
        <w:keepLines w:val="0"/>
        <w:widowControl/>
        <w:suppressLineNumbers w:val="0"/>
        <w:jc w:val="left"/>
        <w:rPr>
          <w:rFonts w:hint="default"/>
          <w:highlight w:val="none"/>
          <w:lang w:val="en-US" w:eastAsia="zh-CN"/>
        </w:rPr>
      </w:pPr>
      <w:r>
        <w:rPr>
          <w:rFonts w:hint="eastAsia" w:ascii="宋体" w:hAnsi="宋体" w:eastAsia="宋体" w:cs="宋体"/>
          <w:b/>
          <w:bCs/>
          <w:snapToGrid w:val="0"/>
          <w:color w:val="000000"/>
          <w:kern w:val="0"/>
          <w:sz w:val="24"/>
          <w:szCs w:val="24"/>
          <w:highlight w:val="none"/>
          <w:lang w:val="en-US" w:eastAsia="zh-CN" w:bidi="ar"/>
        </w:rPr>
        <w:t>备注：</w:t>
      </w:r>
    </w:p>
    <w:p w14:paraId="57F16B7F">
      <w:pPr>
        <w:keepNext w:val="0"/>
        <w:keepLines w:val="0"/>
        <w:widowControl/>
        <w:suppressLineNumbers w:val="0"/>
        <w:jc w:val="left"/>
        <w:rPr>
          <w:highlight w:val="none"/>
        </w:rPr>
      </w:pPr>
      <w:r>
        <w:rPr>
          <w:rFonts w:hint="eastAsia" w:ascii="宋体" w:hAnsi="宋体" w:eastAsia="宋体" w:cs="宋体"/>
          <w:b/>
          <w:bCs/>
          <w:snapToGrid w:val="0"/>
          <w:color w:val="000000"/>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highlight w:val="none"/>
        </w:rPr>
      </w:pPr>
      <w:r>
        <w:rPr>
          <w:rFonts w:hint="eastAsia" w:ascii="宋体" w:hAnsi="宋体" w:eastAsia="宋体" w:cs="宋体"/>
          <w:b/>
          <w:bCs/>
          <w:snapToGrid w:val="0"/>
          <w:color w:val="000000"/>
          <w:kern w:val="0"/>
          <w:sz w:val="24"/>
          <w:szCs w:val="24"/>
          <w:highlight w:val="none"/>
          <w:lang w:val="en-US" w:eastAsia="zh-CN" w:bidi="ar"/>
        </w:rPr>
        <w:t xml:space="preserve">牌为准； </w:t>
      </w:r>
    </w:p>
    <w:p w14:paraId="71CBFEA7">
      <w:pPr>
        <w:keepNext w:val="0"/>
        <w:keepLines w:val="0"/>
        <w:widowControl/>
        <w:suppressLineNumbers w:val="0"/>
        <w:jc w:val="left"/>
        <w:rPr>
          <w:highlight w:val="none"/>
        </w:rPr>
      </w:pPr>
      <w:r>
        <w:rPr>
          <w:rFonts w:hint="eastAsia" w:ascii="宋体" w:hAnsi="宋体" w:eastAsia="宋体" w:cs="宋体"/>
          <w:b/>
          <w:bCs/>
          <w:snapToGrid w:val="0"/>
          <w:color w:val="000000"/>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highlight w:val="none"/>
          <w:lang w:val="en-US" w:eastAsia="zh-CN"/>
        </w:rPr>
      </w:pPr>
    </w:p>
    <w:p w14:paraId="591F39DF">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0C409640">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1C9EAA97">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21B00144">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2A74BFB0">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3EF3AB43">
      <w:pPr>
        <w:pStyle w:val="24"/>
        <w:rPr>
          <w:rFonts w:hint="eastAsia" w:ascii="宋体" w:hAnsi="宋体" w:cs="宋体"/>
          <w:color w:val="000000" w:themeColor="text1"/>
          <w:kern w:val="0"/>
          <w:sz w:val="24"/>
          <w:highlight w:val="none"/>
          <w:lang w:val="en-US" w:eastAsia="zh-CN"/>
          <w14:textFill>
            <w14:solidFill>
              <w14:schemeClr w14:val="tx1"/>
            </w14:solidFill>
          </w14:textFill>
        </w:rPr>
      </w:pPr>
    </w:p>
    <w:p w14:paraId="4AAC264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C2F6EB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1FCD9D6">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E63C69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2</w:t>
      </w:r>
      <w:r>
        <w:rPr>
          <w:rFonts w:hint="eastAsia" w:ascii="宋体" w:hAnsi="宋体" w:eastAsia="宋体" w:cs="宋体"/>
          <w:b/>
          <w:bCs/>
          <w:color w:val="auto"/>
          <w:kern w:val="2"/>
          <w:sz w:val="28"/>
          <w:szCs w:val="28"/>
          <w:highlight w:val="none"/>
          <w:lang w:val="en-US" w:eastAsia="zh-CN" w:bidi="ar-SA"/>
        </w:rPr>
        <w:t xml:space="preserve"> 质保期满后易损件、配件一览表</w:t>
      </w:r>
    </w:p>
    <w:p w14:paraId="2B439C84">
      <w:pPr>
        <w:pStyle w:val="24"/>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包号：</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p w14:paraId="0AD92120">
      <w:pPr>
        <w:rPr>
          <w:rFonts w:hint="default"/>
          <w:sz w:val="20"/>
          <w:szCs w:val="22"/>
          <w:highlight w:val="none"/>
          <w:lang w:val="en-US" w:eastAsia="zh-CN"/>
        </w:rPr>
      </w:pPr>
      <w:r>
        <w:rPr>
          <w:rFonts w:hint="eastAsia" w:ascii="宋体" w:hAnsi="宋体" w:cs="宋体"/>
          <w:color w:val="auto"/>
          <w:sz w:val="24"/>
          <w:szCs w:val="24"/>
          <w:highlight w:val="none"/>
          <w:lang w:val="en-US" w:eastAsia="zh-CN"/>
        </w:rPr>
        <w:t>包号：</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9960"/>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default"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r>
        <w:rPr>
          <w:rFonts w:hint="eastAsia" w:ascii="宋体" w:hAnsi="宋体" w:cs="宋体"/>
          <w:b w:val="0"/>
          <w:bCs/>
          <w:color w:val="auto"/>
          <w:kern w:val="0"/>
          <w:sz w:val="24"/>
          <w:szCs w:val="24"/>
          <w:highlight w:val="none"/>
          <w:lang w:val="en-US" w:eastAsia="zh-CN"/>
        </w:rPr>
        <w:t>包号：</w:t>
      </w:r>
    </w:p>
    <w:tbl>
      <w:tblPr>
        <w:tblStyle w:val="91"/>
        <w:tblW w:w="8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517"/>
        <w:gridCol w:w="1410"/>
        <w:gridCol w:w="1575"/>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133"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517"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410" w:type="dxa"/>
            <w:noWrap w:val="0"/>
            <w:vAlign w:val="center"/>
          </w:tcPr>
          <w:p w14:paraId="433E3ED6">
            <w:pPr>
              <w:widowControl/>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响应情况</w:t>
            </w:r>
          </w:p>
        </w:tc>
        <w:tc>
          <w:tcPr>
            <w:tcW w:w="1575" w:type="dxa"/>
            <w:noWrap w:val="0"/>
            <w:vAlign w:val="center"/>
          </w:tcPr>
          <w:p w14:paraId="76FA13D4">
            <w:pPr>
              <w:widowControl/>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2"/>
                <w:szCs w:val="22"/>
                <w:highlight w:val="none"/>
              </w:rPr>
              <w:t>投标人的承诺或说明</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33" w:type="dxa"/>
            <w:noWrap w:val="0"/>
            <w:vAlign w:val="center"/>
          </w:tcPr>
          <w:p w14:paraId="7A24A9AD">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75"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32D265A2">
            <w:pPr>
              <w:pStyle w:val="8"/>
              <w:ind w:left="0" w:leftChars="0"/>
              <w:jc w:val="center"/>
              <w:rPr>
                <w:rFonts w:hint="eastAsia" w:ascii="宋体" w:hAnsi="宋体" w:eastAsia="宋体" w:cs="宋体"/>
                <w:color w:val="auto"/>
                <w:sz w:val="21"/>
                <w:szCs w:val="21"/>
                <w:highlight w:val="none"/>
                <w:lang w:val="en-US" w:eastAsia="zh-CN"/>
              </w:rPr>
            </w:pPr>
          </w:p>
        </w:tc>
        <w:tc>
          <w:tcPr>
            <w:tcW w:w="2517"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75"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133" w:type="dxa"/>
            <w:noWrap w:val="0"/>
            <w:vAlign w:val="center"/>
          </w:tcPr>
          <w:p w14:paraId="5FBC217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75"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72B55C4B">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75"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446CD0C">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75"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133" w:type="dxa"/>
            <w:noWrap w:val="0"/>
            <w:vAlign w:val="center"/>
          </w:tcPr>
          <w:p w14:paraId="4AAABEAA">
            <w:pPr>
              <w:pStyle w:val="8"/>
              <w:ind w:left="0" w:leftChars="0"/>
              <w:jc w:val="center"/>
              <w:rPr>
                <w:rFonts w:hint="eastAsia" w:ascii="宋体" w:hAnsi="宋体" w:eastAsia="宋体" w:cs="宋体"/>
                <w:color w:val="auto"/>
                <w:sz w:val="21"/>
                <w:szCs w:val="21"/>
                <w:highlight w:val="none"/>
              </w:rPr>
            </w:pPr>
          </w:p>
        </w:tc>
        <w:tc>
          <w:tcPr>
            <w:tcW w:w="2517"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1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575"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2424A1B1">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2939"/>
      <w:bookmarkStart w:id="89" w:name="_Toc13976"/>
      <w:bookmarkStart w:id="90" w:name="_Toc3051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项目名称及包号）</w:t>
      </w:r>
      <w:r>
        <w:rPr>
          <w:rFonts w:hint="eastAsia" w:ascii="宋体" w:hAnsi="宋体" w:eastAsia="宋体" w:cs="宋体"/>
          <w:color w:val="auto"/>
          <w:kern w:val="0"/>
          <w:sz w:val="24"/>
          <w:highlight w:val="none"/>
        </w:rPr>
        <w:t>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技术参数</w:t>
      </w:r>
      <w:r>
        <w:rPr>
          <w:rFonts w:hint="eastAsia" w:cs="宋体"/>
          <w:bCs/>
          <w:color w:val="auto"/>
          <w:sz w:val="21"/>
          <w:szCs w:val="21"/>
          <w:highlight w:val="none"/>
          <w:lang w:val="en-US" w:eastAsia="zh-CN"/>
        </w:rPr>
        <w:t>证明</w:t>
      </w:r>
      <w:r>
        <w:rPr>
          <w:rFonts w:hint="eastAsia" w:ascii="宋体" w:hAnsi="宋体" w:eastAsia="宋体" w:cs="宋体"/>
          <w:bCs/>
          <w:color w:val="auto"/>
          <w:sz w:val="21"/>
          <w:szCs w:val="21"/>
          <w:highlight w:val="none"/>
          <w:lang w:val="en-US" w:eastAsia="zh-CN"/>
        </w:rPr>
        <w:t>资料</w:t>
      </w:r>
    </w:p>
    <w:p w14:paraId="00828F39">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31685"/>
      <w:bookmarkStart w:id="99" w:name="_Toc25094"/>
      <w:bookmarkStart w:id="100"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驻马店市中心医院遥测监护系统采购项目采购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495FBEDE"/>
    <w:multiLevelType w:val="singleLevel"/>
    <w:tmpl w:val="495FBEDE"/>
    <w:lvl w:ilvl="0" w:tentative="0">
      <w:start w:val="1"/>
      <w:numFmt w:val="lowerLetter"/>
      <w:suff w:val="nothing"/>
      <w:lvlText w:val="%1、"/>
      <w:lvlJc w:val="left"/>
    </w:lvl>
  </w:abstractNum>
  <w:abstractNum w:abstractNumId="3">
    <w:nsid w:val="527CF57E"/>
    <w:multiLevelType w:val="singleLevel"/>
    <w:tmpl w:val="527CF57E"/>
    <w:lvl w:ilvl="0" w:tentative="0">
      <w:start w:val="1"/>
      <w:numFmt w:val="decimal"/>
      <w:lvlText w:val="%1."/>
      <w:lvlJc w:val="left"/>
      <w:pPr>
        <w:tabs>
          <w:tab w:val="left" w:pos="312"/>
        </w:tabs>
      </w:pPr>
    </w:lvl>
  </w:abstractNum>
  <w:abstractNum w:abstractNumId="4">
    <w:nsid w:val="59B6410A"/>
    <w:multiLevelType w:val="singleLevel"/>
    <w:tmpl w:val="59B6410A"/>
    <w:lvl w:ilvl="0" w:tentative="0">
      <w:start w:val="1"/>
      <w:numFmt w:val="decimal"/>
      <w:suff w:val="nothing"/>
      <w:lvlText w:val="（%1）"/>
      <w:lvlJc w:val="left"/>
    </w:lvl>
  </w:abstractNum>
  <w:abstractNum w:abstractNumId="5">
    <w:nsid w:val="7A20C1DD"/>
    <w:multiLevelType w:val="singleLevel"/>
    <w:tmpl w:val="7A20C1DD"/>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0126"/>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9849B2"/>
    <w:rsid w:val="03A011E9"/>
    <w:rsid w:val="03AE3834"/>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46745"/>
    <w:rsid w:val="0737768A"/>
    <w:rsid w:val="074A5B92"/>
    <w:rsid w:val="075D0147"/>
    <w:rsid w:val="075E3193"/>
    <w:rsid w:val="078E18EB"/>
    <w:rsid w:val="079A613C"/>
    <w:rsid w:val="07AA2823"/>
    <w:rsid w:val="07AB6C58"/>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CF17044"/>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534B6"/>
    <w:rsid w:val="0E460DCC"/>
    <w:rsid w:val="0E541CA2"/>
    <w:rsid w:val="0E594756"/>
    <w:rsid w:val="0E95596D"/>
    <w:rsid w:val="0EAE6205"/>
    <w:rsid w:val="0EAE6579"/>
    <w:rsid w:val="0EAF71BF"/>
    <w:rsid w:val="0ECE6257"/>
    <w:rsid w:val="0EE4129D"/>
    <w:rsid w:val="0EF12AE6"/>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2E6273"/>
    <w:rsid w:val="113329E7"/>
    <w:rsid w:val="113F294C"/>
    <w:rsid w:val="11437C85"/>
    <w:rsid w:val="11575085"/>
    <w:rsid w:val="1166372C"/>
    <w:rsid w:val="11700D10"/>
    <w:rsid w:val="11745967"/>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6745A4"/>
    <w:rsid w:val="1A715D02"/>
    <w:rsid w:val="1A7F369B"/>
    <w:rsid w:val="1A8C5D82"/>
    <w:rsid w:val="1A994988"/>
    <w:rsid w:val="1A9B546C"/>
    <w:rsid w:val="1A9E141F"/>
    <w:rsid w:val="1AA3511F"/>
    <w:rsid w:val="1AAC1FB7"/>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11695"/>
    <w:rsid w:val="1B8C18B7"/>
    <w:rsid w:val="1BB73AE1"/>
    <w:rsid w:val="1BDA6D68"/>
    <w:rsid w:val="1BF14125"/>
    <w:rsid w:val="1C002CEE"/>
    <w:rsid w:val="1C4032FE"/>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232E9"/>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6812CD"/>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C53DD2"/>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66F4C"/>
    <w:rsid w:val="221F2D96"/>
    <w:rsid w:val="22246DB1"/>
    <w:rsid w:val="22440067"/>
    <w:rsid w:val="224D0523"/>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74149"/>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9C3FA0"/>
    <w:rsid w:val="27A34941"/>
    <w:rsid w:val="27A97FAA"/>
    <w:rsid w:val="27EE3A7B"/>
    <w:rsid w:val="27FA25B3"/>
    <w:rsid w:val="28033B5E"/>
    <w:rsid w:val="28100029"/>
    <w:rsid w:val="28292E99"/>
    <w:rsid w:val="282B09BF"/>
    <w:rsid w:val="282E4F00"/>
    <w:rsid w:val="283C23DF"/>
    <w:rsid w:val="283D69F1"/>
    <w:rsid w:val="283F090E"/>
    <w:rsid w:val="284C16F5"/>
    <w:rsid w:val="28570AB5"/>
    <w:rsid w:val="285F2CDC"/>
    <w:rsid w:val="28622C36"/>
    <w:rsid w:val="2869172C"/>
    <w:rsid w:val="288C2D07"/>
    <w:rsid w:val="289E7E22"/>
    <w:rsid w:val="28B250E9"/>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86924"/>
    <w:rsid w:val="29DA08EE"/>
    <w:rsid w:val="29DB6414"/>
    <w:rsid w:val="29E74CE2"/>
    <w:rsid w:val="2A133E00"/>
    <w:rsid w:val="2A241B69"/>
    <w:rsid w:val="2A306A36"/>
    <w:rsid w:val="2A457300"/>
    <w:rsid w:val="2A5372C6"/>
    <w:rsid w:val="2A5A558B"/>
    <w:rsid w:val="2A5B03D8"/>
    <w:rsid w:val="2A6F6D07"/>
    <w:rsid w:val="2A724EF5"/>
    <w:rsid w:val="2A852253"/>
    <w:rsid w:val="2A882500"/>
    <w:rsid w:val="2AA35184"/>
    <w:rsid w:val="2AAB4E76"/>
    <w:rsid w:val="2AB63ABC"/>
    <w:rsid w:val="2AB63D0A"/>
    <w:rsid w:val="2AC31382"/>
    <w:rsid w:val="2AD0584D"/>
    <w:rsid w:val="2AD549F8"/>
    <w:rsid w:val="2AEA74E5"/>
    <w:rsid w:val="2AFB4FC0"/>
    <w:rsid w:val="2B0025D7"/>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BE3596"/>
    <w:rsid w:val="2CC11807"/>
    <w:rsid w:val="2CC66CD6"/>
    <w:rsid w:val="2CE327BC"/>
    <w:rsid w:val="2CF16074"/>
    <w:rsid w:val="2CF81D1B"/>
    <w:rsid w:val="2D3F2453"/>
    <w:rsid w:val="2D6F134E"/>
    <w:rsid w:val="2D835174"/>
    <w:rsid w:val="2D9331F9"/>
    <w:rsid w:val="2DB4543B"/>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0D4E4E"/>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1002970"/>
    <w:rsid w:val="311016AD"/>
    <w:rsid w:val="31220DA0"/>
    <w:rsid w:val="31253A1B"/>
    <w:rsid w:val="3136622A"/>
    <w:rsid w:val="31374878"/>
    <w:rsid w:val="31393501"/>
    <w:rsid w:val="3139422E"/>
    <w:rsid w:val="31496359"/>
    <w:rsid w:val="314D19A6"/>
    <w:rsid w:val="31556AAC"/>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112B7"/>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480B4A"/>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8C1176"/>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95A64"/>
    <w:rsid w:val="36EB1E1B"/>
    <w:rsid w:val="36F17F0D"/>
    <w:rsid w:val="36FB00F6"/>
    <w:rsid w:val="36FD3E6E"/>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1A101E"/>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0E4BB3"/>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AB1F0C"/>
    <w:rsid w:val="3FB11738"/>
    <w:rsid w:val="3FB5581B"/>
    <w:rsid w:val="3FC33D05"/>
    <w:rsid w:val="3FF46B18"/>
    <w:rsid w:val="3FF74A2E"/>
    <w:rsid w:val="3FFC36E2"/>
    <w:rsid w:val="4001677D"/>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0096A"/>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45443"/>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A08AC"/>
    <w:rsid w:val="447E3AC5"/>
    <w:rsid w:val="44805ED4"/>
    <w:rsid w:val="448E5DEE"/>
    <w:rsid w:val="449E4142"/>
    <w:rsid w:val="44A90BAA"/>
    <w:rsid w:val="44B24A20"/>
    <w:rsid w:val="44BC0BEE"/>
    <w:rsid w:val="44BF6C07"/>
    <w:rsid w:val="44C24001"/>
    <w:rsid w:val="44C55A88"/>
    <w:rsid w:val="44FB1C9C"/>
    <w:rsid w:val="45285849"/>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30FB8"/>
    <w:rsid w:val="46177E29"/>
    <w:rsid w:val="46205B7F"/>
    <w:rsid w:val="462A6010"/>
    <w:rsid w:val="465D501C"/>
    <w:rsid w:val="466367DB"/>
    <w:rsid w:val="46686D18"/>
    <w:rsid w:val="466D15DA"/>
    <w:rsid w:val="46BF7E28"/>
    <w:rsid w:val="46C3037C"/>
    <w:rsid w:val="46EF26BD"/>
    <w:rsid w:val="46FF15E0"/>
    <w:rsid w:val="4700581C"/>
    <w:rsid w:val="4702516A"/>
    <w:rsid w:val="47107CA8"/>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8E76711"/>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10B61"/>
    <w:rsid w:val="4CB75F07"/>
    <w:rsid w:val="4CC84335"/>
    <w:rsid w:val="4CD22B0F"/>
    <w:rsid w:val="4CDA3E72"/>
    <w:rsid w:val="4CE4545C"/>
    <w:rsid w:val="4CE9350A"/>
    <w:rsid w:val="4D014937"/>
    <w:rsid w:val="4D1E2466"/>
    <w:rsid w:val="4D225F85"/>
    <w:rsid w:val="4D297BF3"/>
    <w:rsid w:val="4D2D0EAF"/>
    <w:rsid w:val="4D2F27AC"/>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B752C"/>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206DA9"/>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DE008D"/>
    <w:rsid w:val="52EE341E"/>
    <w:rsid w:val="52F37FE6"/>
    <w:rsid w:val="52FC1CAF"/>
    <w:rsid w:val="52FE08FA"/>
    <w:rsid w:val="52FF22FE"/>
    <w:rsid w:val="53004672"/>
    <w:rsid w:val="530B071F"/>
    <w:rsid w:val="531A330F"/>
    <w:rsid w:val="531B14AC"/>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935B8F"/>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50239"/>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1C5F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744F7"/>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AC35E9"/>
    <w:rsid w:val="5BC0085A"/>
    <w:rsid w:val="5BE03293"/>
    <w:rsid w:val="5BF03D58"/>
    <w:rsid w:val="5BF20AFB"/>
    <w:rsid w:val="5C1A6BB2"/>
    <w:rsid w:val="5C306D31"/>
    <w:rsid w:val="5C37233A"/>
    <w:rsid w:val="5C5355FE"/>
    <w:rsid w:val="5C5A49A5"/>
    <w:rsid w:val="5C6519EA"/>
    <w:rsid w:val="5C6715FE"/>
    <w:rsid w:val="5C6E089F"/>
    <w:rsid w:val="5C6F4105"/>
    <w:rsid w:val="5CBB7F6F"/>
    <w:rsid w:val="5CBD1826"/>
    <w:rsid w:val="5CC248CE"/>
    <w:rsid w:val="5D042FB1"/>
    <w:rsid w:val="5D442CB4"/>
    <w:rsid w:val="5D7C3F11"/>
    <w:rsid w:val="5D971C5A"/>
    <w:rsid w:val="5D9D49E0"/>
    <w:rsid w:val="5DA01E9E"/>
    <w:rsid w:val="5DAD3649"/>
    <w:rsid w:val="5DC310BE"/>
    <w:rsid w:val="5DDF1821"/>
    <w:rsid w:val="5DE2656A"/>
    <w:rsid w:val="5DEA2F91"/>
    <w:rsid w:val="5DF94AE0"/>
    <w:rsid w:val="5DFA5883"/>
    <w:rsid w:val="5E224037"/>
    <w:rsid w:val="5E3146A3"/>
    <w:rsid w:val="5E442F62"/>
    <w:rsid w:val="5E56783C"/>
    <w:rsid w:val="5E6C2C5B"/>
    <w:rsid w:val="5E6E2DD8"/>
    <w:rsid w:val="5E7251A2"/>
    <w:rsid w:val="5E7C3591"/>
    <w:rsid w:val="5E9842F9"/>
    <w:rsid w:val="5E9D0E18"/>
    <w:rsid w:val="5EA26F25"/>
    <w:rsid w:val="5EA341D7"/>
    <w:rsid w:val="5EA755DE"/>
    <w:rsid w:val="5EAE7678"/>
    <w:rsid w:val="5ED35F0E"/>
    <w:rsid w:val="5EDD1D0C"/>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687CFB"/>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5316E"/>
    <w:rsid w:val="61DA0425"/>
    <w:rsid w:val="62065A1D"/>
    <w:rsid w:val="6213792C"/>
    <w:rsid w:val="621775E2"/>
    <w:rsid w:val="621C0D9D"/>
    <w:rsid w:val="622F7552"/>
    <w:rsid w:val="6250406E"/>
    <w:rsid w:val="62596F60"/>
    <w:rsid w:val="6267666C"/>
    <w:rsid w:val="627D6831"/>
    <w:rsid w:val="62811B1C"/>
    <w:rsid w:val="62A20409"/>
    <w:rsid w:val="62B54B44"/>
    <w:rsid w:val="62E045DA"/>
    <w:rsid w:val="62E454A1"/>
    <w:rsid w:val="62E95123"/>
    <w:rsid w:val="62EF025F"/>
    <w:rsid w:val="62F36E4C"/>
    <w:rsid w:val="62F47F8F"/>
    <w:rsid w:val="62F7233F"/>
    <w:rsid w:val="63165E53"/>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418F8"/>
    <w:rsid w:val="63B75221"/>
    <w:rsid w:val="63B82D47"/>
    <w:rsid w:val="63C74D38"/>
    <w:rsid w:val="63EA73A4"/>
    <w:rsid w:val="63EE4692"/>
    <w:rsid w:val="63F26259"/>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101A71"/>
    <w:rsid w:val="66171FA7"/>
    <w:rsid w:val="66247D11"/>
    <w:rsid w:val="663B3EC9"/>
    <w:rsid w:val="665A1E94"/>
    <w:rsid w:val="666F1DE3"/>
    <w:rsid w:val="66736112"/>
    <w:rsid w:val="667F5B5B"/>
    <w:rsid w:val="6694262A"/>
    <w:rsid w:val="66990381"/>
    <w:rsid w:val="66B31B01"/>
    <w:rsid w:val="66CE1E80"/>
    <w:rsid w:val="66E362F9"/>
    <w:rsid w:val="66E47FD9"/>
    <w:rsid w:val="66E520A5"/>
    <w:rsid w:val="66F04175"/>
    <w:rsid w:val="66F127F8"/>
    <w:rsid w:val="67071922"/>
    <w:rsid w:val="671C2054"/>
    <w:rsid w:val="672E57FA"/>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BB30BE"/>
    <w:rsid w:val="68F25680"/>
    <w:rsid w:val="69074555"/>
    <w:rsid w:val="690E07C7"/>
    <w:rsid w:val="69140A20"/>
    <w:rsid w:val="69236A65"/>
    <w:rsid w:val="692E469B"/>
    <w:rsid w:val="69315C48"/>
    <w:rsid w:val="694019EC"/>
    <w:rsid w:val="694841AF"/>
    <w:rsid w:val="69584DB4"/>
    <w:rsid w:val="695B5B89"/>
    <w:rsid w:val="696C3D80"/>
    <w:rsid w:val="696D7E94"/>
    <w:rsid w:val="698A5EE4"/>
    <w:rsid w:val="69BC38E2"/>
    <w:rsid w:val="69C811ED"/>
    <w:rsid w:val="69D33070"/>
    <w:rsid w:val="69E97E75"/>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1E5B86"/>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27B28"/>
    <w:rsid w:val="6C053C7D"/>
    <w:rsid w:val="6C0D357A"/>
    <w:rsid w:val="6C2076DB"/>
    <w:rsid w:val="6C234DED"/>
    <w:rsid w:val="6C29198B"/>
    <w:rsid w:val="6C3A67D1"/>
    <w:rsid w:val="6C3D2D5C"/>
    <w:rsid w:val="6C462D96"/>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5E6CDC"/>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BB11B0"/>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90958"/>
    <w:rsid w:val="7A2F3BBF"/>
    <w:rsid w:val="7A2F459A"/>
    <w:rsid w:val="7A322A39"/>
    <w:rsid w:val="7A517022"/>
    <w:rsid w:val="7A6F5001"/>
    <w:rsid w:val="7A7720A0"/>
    <w:rsid w:val="7A9635B3"/>
    <w:rsid w:val="7A9E639B"/>
    <w:rsid w:val="7AA2343E"/>
    <w:rsid w:val="7AD60EB8"/>
    <w:rsid w:val="7ADA73A4"/>
    <w:rsid w:val="7AE66B99"/>
    <w:rsid w:val="7AF34646"/>
    <w:rsid w:val="7AFE508C"/>
    <w:rsid w:val="7B0A3BCA"/>
    <w:rsid w:val="7B1C0EF4"/>
    <w:rsid w:val="7B345AA9"/>
    <w:rsid w:val="7B4048C1"/>
    <w:rsid w:val="7B4C5DF7"/>
    <w:rsid w:val="7B6A1701"/>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2329B"/>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13F95"/>
    <w:rsid w:val="7D9F0AD0"/>
    <w:rsid w:val="7DB22BDF"/>
    <w:rsid w:val="7DD12BB7"/>
    <w:rsid w:val="7DF223A2"/>
    <w:rsid w:val="7DFF0955"/>
    <w:rsid w:val="7E0B750E"/>
    <w:rsid w:val="7E1939E8"/>
    <w:rsid w:val="7E2400E7"/>
    <w:rsid w:val="7E2822EA"/>
    <w:rsid w:val="7E2A20CE"/>
    <w:rsid w:val="7E355A7B"/>
    <w:rsid w:val="7E455322"/>
    <w:rsid w:val="7E682F48"/>
    <w:rsid w:val="7E6E3E85"/>
    <w:rsid w:val="7E747B3F"/>
    <w:rsid w:val="7E991353"/>
    <w:rsid w:val="7E9C184B"/>
    <w:rsid w:val="7EA72948"/>
    <w:rsid w:val="7EB31EDB"/>
    <w:rsid w:val="7ED61132"/>
    <w:rsid w:val="7EE70CC0"/>
    <w:rsid w:val="7EEB48DB"/>
    <w:rsid w:val="7EF27444"/>
    <w:rsid w:val="7F185A04"/>
    <w:rsid w:val="7F265C58"/>
    <w:rsid w:val="7F3B240A"/>
    <w:rsid w:val="7F4C4618"/>
    <w:rsid w:val="7F4D13A6"/>
    <w:rsid w:val="7F582CF2"/>
    <w:rsid w:val="7F6779F6"/>
    <w:rsid w:val="7F951B40"/>
    <w:rsid w:val="7FA501CC"/>
    <w:rsid w:val="7FA820A8"/>
    <w:rsid w:val="7FAF2DF8"/>
    <w:rsid w:val="7FB90D50"/>
    <w:rsid w:val="7FBE053E"/>
    <w:rsid w:val="7FBF10B0"/>
    <w:rsid w:val="7FD02F41"/>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16731</Words>
  <Characters>17804</Characters>
  <Lines>50</Lines>
  <Paragraphs>68</Paragraphs>
  <TotalTime>0</TotalTime>
  <ScaleCrop>false</ScaleCrop>
  <LinksUpToDate>false</LinksUpToDate>
  <CharactersWithSpaces>18394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2025-07-17T01:41:37Z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06CBC80FC190421FAC551F30DDF6BCF8_13</vt:lpwstr>
  </property>
  <property fmtid="{D5CDD505-2E9C-101B-9397-08002B2CF9AE}" pid="4" name="KSOTemplateDocerSaveRecord">
    <vt:lpwstr>eyJoZGlkIjoiYzIwMjRmYTY4OTJhZjc1NTA1MGQwNDc0NzZhNTkwMmUiLCJ1c2VySWQiOiIxNjg0NTc5MjM2In0=</vt:lpwstr>
  </property>
</Properties>
</file>