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5ABC8E99">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5"/>
          <w:rFonts w:hint="eastAsia" w:ascii="宋体" w:hAnsi="宋体" w:eastAsia="宋体" w:cs="宋体"/>
          <w:b/>
          <w:bCs/>
          <w:color w:val="auto"/>
          <w:sz w:val="36"/>
          <w:szCs w:val="36"/>
          <w:highlight w:val="none"/>
        </w:rPr>
      </w:pPr>
      <w:r>
        <w:rPr>
          <w:rFonts w:hint="eastAsia" w:cs="宋体"/>
          <w:b/>
          <w:bCs/>
          <w:color w:val="auto"/>
          <w:sz w:val="36"/>
          <w:szCs w:val="36"/>
          <w:highlight w:val="none"/>
          <w:lang w:val="en-US" w:eastAsia="zh-CN"/>
        </w:rPr>
        <w:t>驻马店市中心医院医科达直线加速器全保服务项目</w:t>
      </w:r>
    </w:p>
    <w:p w14:paraId="20826E73">
      <w:pPr>
        <w:pStyle w:val="21"/>
        <w:bidi w:val="0"/>
        <w:jc w:val="center"/>
        <w:rPr>
          <w:rStyle w:val="45"/>
          <w:rFonts w:hint="eastAsia" w:ascii="宋体" w:hAnsi="宋体" w:eastAsia="宋体" w:cs="宋体"/>
          <w:b/>
          <w:bCs/>
          <w:color w:val="auto"/>
          <w:sz w:val="48"/>
          <w:szCs w:val="48"/>
          <w:highlight w:val="none"/>
        </w:rPr>
      </w:pPr>
    </w:p>
    <w:p w14:paraId="41C1ADF0">
      <w:pPr>
        <w:pStyle w:val="21"/>
        <w:bidi w:val="0"/>
        <w:jc w:val="center"/>
        <w:rPr>
          <w:rStyle w:val="45"/>
          <w:rFonts w:hint="eastAsia" w:ascii="宋体" w:hAnsi="宋体" w:eastAsia="宋体" w:cs="宋体"/>
          <w:b/>
          <w:bCs/>
          <w:color w:val="auto"/>
          <w:sz w:val="48"/>
          <w:szCs w:val="48"/>
          <w:highlight w:val="none"/>
        </w:rPr>
      </w:pPr>
    </w:p>
    <w:p w14:paraId="118AEAD3">
      <w:pPr>
        <w:pStyle w:val="21"/>
        <w:bidi w:val="0"/>
        <w:jc w:val="center"/>
        <w:rPr>
          <w:rStyle w:val="45"/>
          <w:rFonts w:hint="eastAsia" w:ascii="宋体" w:hAnsi="宋体" w:eastAsia="宋体" w:cs="宋体"/>
          <w:b/>
          <w:bCs/>
          <w:color w:val="auto"/>
          <w:sz w:val="48"/>
          <w:szCs w:val="48"/>
          <w:highlight w:val="none"/>
        </w:rPr>
      </w:pPr>
    </w:p>
    <w:p w14:paraId="5C1781FE">
      <w:pPr>
        <w:pStyle w:val="21"/>
        <w:bidi w:val="0"/>
        <w:jc w:val="center"/>
        <w:rPr>
          <w:rStyle w:val="45"/>
          <w:rFonts w:hint="eastAsia" w:ascii="宋体" w:hAnsi="宋体" w:eastAsia="宋体" w:cs="宋体"/>
          <w:b/>
          <w:bCs/>
          <w:color w:val="auto"/>
          <w:sz w:val="48"/>
          <w:szCs w:val="48"/>
          <w:highlight w:val="none"/>
        </w:rPr>
      </w:pPr>
    </w:p>
    <w:p w14:paraId="12179BBF">
      <w:pPr>
        <w:pStyle w:val="21"/>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21F3FCCC">
      <w:pPr>
        <w:pStyle w:val="21"/>
        <w:bidi w:val="0"/>
        <w:jc w:val="center"/>
        <w:rPr>
          <w:rStyle w:val="45"/>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9"/>
        <w:rPr>
          <w:rFonts w:hint="eastAsia" w:ascii="宋体" w:hAnsi="宋体" w:eastAsia="宋体" w:cs="宋体"/>
          <w:b/>
          <w:bCs/>
          <w:color w:val="auto"/>
          <w:spacing w:val="-10"/>
          <w:sz w:val="34"/>
          <w:szCs w:val="34"/>
          <w:highlight w:val="none"/>
          <w:lang w:val="en-US" w:eastAsia="zh-CN"/>
        </w:rPr>
      </w:pPr>
    </w:p>
    <w:p w14:paraId="50B80746">
      <w:pPr>
        <w:pStyle w:val="6"/>
        <w:rPr>
          <w:rFonts w:hint="eastAsia" w:ascii="宋体" w:hAnsi="宋体" w:eastAsia="宋体" w:cs="宋体"/>
          <w:color w:val="auto"/>
          <w:highlight w:val="none"/>
        </w:rPr>
      </w:pPr>
    </w:p>
    <w:p w14:paraId="381789A5">
      <w:pPr>
        <w:pStyle w:val="6"/>
        <w:rPr>
          <w:rFonts w:hint="eastAsia" w:ascii="宋体" w:hAnsi="宋体" w:eastAsia="宋体" w:cs="宋体"/>
          <w:color w:val="auto"/>
          <w:highlight w:val="none"/>
        </w:rPr>
      </w:pPr>
    </w:p>
    <w:p w14:paraId="3D7ED8DB">
      <w:pPr>
        <w:pStyle w:val="6"/>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643" w:firstLineChars="2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643" w:firstLineChars="2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采购代理机构：驻马店市晨崴采购代理有限公司</w:t>
      </w:r>
    </w:p>
    <w:p w14:paraId="4FCBE59C">
      <w:pPr>
        <w:tabs>
          <w:tab w:val="left" w:pos="2700"/>
          <w:tab w:val="left" w:pos="2880"/>
          <w:tab w:val="left" w:pos="3060"/>
          <w:tab w:val="left" w:pos="7560"/>
        </w:tabs>
        <w:snapToGrid w:val="0"/>
        <w:spacing w:line="480" w:lineRule="auto"/>
        <w:ind w:firstLine="643" w:firstLineChars="2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07</w:t>
      </w:r>
      <w:r>
        <w:rPr>
          <w:rFonts w:hint="eastAsia" w:ascii="宋体" w:hAnsi="宋体" w:eastAsia="宋体" w:cs="宋体"/>
          <w:b/>
          <w:bCs/>
          <w:color w:val="auto"/>
          <w:spacing w:val="-10"/>
          <w:sz w:val="34"/>
          <w:szCs w:val="34"/>
          <w:highlight w:val="none"/>
          <w:lang w:val="en-US" w:eastAsia="zh-CN"/>
        </w:rPr>
        <w:t>月</w:t>
      </w:r>
    </w:p>
    <w:p w14:paraId="11E7A050">
      <w:pPr>
        <w:pStyle w:val="9"/>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驻马店市中心医院医科达直线加速器全保服务项目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rPr>
        <w:t>医科达直线加速器全保服务</w:t>
      </w:r>
      <w:r>
        <w:rPr>
          <w:rFonts w:hint="eastAsia" w:ascii="宋体" w:hAnsi="宋体" w:cs="宋体"/>
          <w:color w:val="auto"/>
          <w:highlight w:val="none"/>
          <w:u w:val="single"/>
          <w:lang w:val="en-US" w:eastAsia="zh-CN"/>
        </w:rPr>
        <w:t>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驻马店市中心医院医科达直线加速器全保服务项目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42万元；</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4、合同履行期限：</w:t>
      </w:r>
      <w:r>
        <w:rPr>
          <w:rFonts w:hint="eastAsia" w:ascii="宋体" w:hAnsi="宋体" w:cs="宋体"/>
          <w:color w:val="auto"/>
          <w:szCs w:val="21"/>
          <w:highlight w:val="none"/>
          <w:shd w:val="clear" w:color="auto" w:fill="FFFFFF"/>
          <w:lang w:val="en-US" w:eastAsia="zh-CN"/>
        </w:rPr>
        <w:t>一年；</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：符合现行国家、省、市地方相关规范和标准，</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23626"/>
      <w:bookmarkStart w:id="6" w:name="_Toc16639"/>
      <w:bookmarkStart w:id="7" w:name="_Toc18607"/>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7823"/>
      <w:bookmarkStart w:id="9" w:name="_Toc30643"/>
      <w:bookmarkStart w:id="10" w:name="_Toc9562"/>
      <w:bookmarkStart w:id="11" w:name="_Toc30971"/>
      <w:bookmarkStart w:id="12" w:name="_Toc23395"/>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w:t>
      </w:r>
      <w:r>
        <w:rPr>
          <w:rFonts w:hint="eastAsia" w:ascii="宋体" w:hAnsi="宋体" w:eastAsia="宋体" w:cs="宋体"/>
          <w:color w:val="auto"/>
          <w:szCs w:val="21"/>
          <w:highlight w:val="none"/>
          <w:shd w:val="clear" w:color="auto" w:fill="FFFFFF"/>
          <w:lang w:val="en-US" w:eastAsia="zh-CN"/>
        </w:rPr>
        <w:t>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0BD380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须具是在中华人民共和国</w:t>
      </w:r>
      <w:bookmarkStart w:id="101" w:name="_GoBack"/>
      <w:bookmarkEnd w:id="101"/>
      <w:r>
        <w:rPr>
          <w:rFonts w:hint="eastAsia" w:ascii="宋体" w:hAnsi="宋体" w:eastAsia="宋体" w:cs="宋体"/>
          <w:color w:val="auto"/>
          <w:szCs w:val="21"/>
          <w:highlight w:val="none"/>
          <w:shd w:val="clear" w:color="auto" w:fill="FFFFFF"/>
          <w:lang w:val="en-US" w:eastAsia="zh-CN"/>
        </w:rPr>
        <w:t>境内注册的设备原制造厂商或原制造厂商授权的单位或具备相关设备维修能力的单位（提供证明文件）。</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07</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07</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29</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下午18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 凡报名成功的供应商无故不来参与投标的，列入我院黑名单，一年内不得参与我院任何采购活动。成交供应商缴纳相应服务费。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3513508329@qq.com,并标明XX公司XX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0738"/>
      <w:bookmarkStart w:id="15" w:name="_Toc15111"/>
      <w:bookmarkStart w:id="16" w:name="_Toc25869"/>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0287"/>
      <w:bookmarkStart w:id="20" w:name="_Toc29784"/>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3604"/>
      <w:bookmarkStart w:id="26" w:name="_Toc31928"/>
      <w:bookmarkStart w:id="27" w:name="_Toc27370"/>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02C88099">
      <w:pPr>
        <w:keepNext w:val="0"/>
        <w:keepLines w:val="0"/>
        <w:pageBreakBefore w:val="0"/>
        <w:widowControl w:val="0"/>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采购代理机构：驻马店市晨崴采购代理有限公司</w:t>
      </w:r>
    </w:p>
    <w:p w14:paraId="77299AA2">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地址：驻马店市解放路西段天腾盛世20号楼1单元3层 </w:t>
      </w:r>
    </w:p>
    <w:p w14:paraId="3FD7F685">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联系人：胡女士 </w:t>
      </w:r>
    </w:p>
    <w:p w14:paraId="593EEA1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联系方式</w:t>
      </w:r>
      <w:r>
        <w:rPr>
          <w:rFonts w:hint="eastAsia" w:ascii="宋体" w:hAnsi="宋体" w:eastAsia="宋体" w:cs="宋体"/>
          <w:color w:val="auto"/>
          <w:kern w:val="0"/>
          <w:sz w:val="21"/>
          <w:szCs w:val="21"/>
          <w:highlight w:val="none"/>
          <w:shd w:val="clear" w:color="auto" w:fill="FFFFFF"/>
          <w:lang w:val="en-US" w:eastAsia="zh-CN" w:bidi="ar-SA"/>
        </w:rPr>
        <w:t>：0396-2288885</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081CEDA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07</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24</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23610"/>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color w:val="auto"/>
          <w:szCs w:val="21"/>
          <w:highlight w:val="none"/>
          <w:shd w:val="clear" w:color="auto" w:fill="FFFFFF"/>
          <w:lang w:val="en-US" w:eastAsia="zh-CN"/>
        </w:rPr>
        <w:t>驻马店市中心医院医科达直线加速器全保服务项目</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184"/>
        <w:gridCol w:w="850"/>
        <w:gridCol w:w="967"/>
        <w:gridCol w:w="1393"/>
        <w:gridCol w:w="1101"/>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序号</w:t>
            </w:r>
          </w:p>
        </w:tc>
        <w:tc>
          <w:tcPr>
            <w:tcW w:w="3184"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标的名称</w:t>
            </w:r>
          </w:p>
        </w:tc>
        <w:tc>
          <w:tcPr>
            <w:tcW w:w="85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单位</w:t>
            </w:r>
          </w:p>
        </w:tc>
        <w:tc>
          <w:tcPr>
            <w:tcW w:w="967"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数量</w:t>
            </w:r>
          </w:p>
        </w:tc>
        <w:tc>
          <w:tcPr>
            <w:tcW w:w="1393" w:type="dxa"/>
            <w:vAlign w:val="center"/>
          </w:tcPr>
          <w:p w14:paraId="665A7C5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资金</w:t>
            </w:r>
          </w:p>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预算</w:t>
            </w:r>
          </w:p>
        </w:tc>
        <w:tc>
          <w:tcPr>
            <w:tcW w:w="1101" w:type="dxa"/>
            <w:vAlign w:val="center"/>
          </w:tcPr>
          <w:p w14:paraId="0C32BA6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资金</w:t>
            </w:r>
          </w:p>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性质</w:t>
            </w:r>
          </w:p>
        </w:tc>
        <w:tc>
          <w:tcPr>
            <w:tcW w:w="1245" w:type="dxa"/>
            <w:vAlign w:val="center"/>
          </w:tcPr>
          <w:p w14:paraId="0D5173F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国产/</w:t>
            </w:r>
          </w:p>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DE60D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184" w:type="dxa"/>
            <w:vAlign w:val="center"/>
          </w:tcPr>
          <w:p w14:paraId="0DB5E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医科达直线加速器全保</w:t>
            </w:r>
          </w:p>
        </w:tc>
        <w:tc>
          <w:tcPr>
            <w:tcW w:w="850" w:type="dxa"/>
            <w:vAlign w:val="center"/>
          </w:tcPr>
          <w:p w14:paraId="43C7356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年</w:t>
            </w:r>
          </w:p>
        </w:tc>
        <w:tc>
          <w:tcPr>
            <w:tcW w:w="967" w:type="dxa"/>
            <w:vAlign w:val="center"/>
          </w:tcPr>
          <w:p w14:paraId="532C8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393" w:type="dxa"/>
            <w:vAlign w:val="center"/>
          </w:tcPr>
          <w:p w14:paraId="0DDD2F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42万元</w:t>
            </w:r>
          </w:p>
        </w:tc>
        <w:tc>
          <w:tcPr>
            <w:tcW w:w="1101" w:type="dxa"/>
            <w:vAlign w:val="center"/>
          </w:tcPr>
          <w:p w14:paraId="5577EB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自筹</w:t>
            </w:r>
          </w:p>
        </w:tc>
        <w:tc>
          <w:tcPr>
            <w:tcW w:w="1245" w:type="dxa"/>
            <w:vAlign w:val="center"/>
          </w:tcPr>
          <w:p w14:paraId="790268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8740"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设备型号为Infinity</w:t>
            </w:r>
          </w:p>
        </w:tc>
      </w:tr>
    </w:tbl>
    <w:p w14:paraId="028B9CE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color w:val="auto"/>
          <w:highlight w:val="none"/>
          <w:lang w:val="en-US" w:eastAsia="zh-CN"/>
        </w:rPr>
      </w:pPr>
      <w:r>
        <w:rPr>
          <w:rFonts w:hint="eastAsia"/>
          <w:b/>
          <w:bCs/>
          <w:color w:val="auto"/>
          <w:highlight w:val="none"/>
          <w:lang w:val="en-US" w:eastAsia="zh-CN"/>
        </w:rPr>
        <w:t>三、技术要求</w:t>
      </w:r>
    </w:p>
    <w:p w14:paraId="446E67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1、医科达直线加速器全保包括整机维护保养，</w:t>
      </w:r>
      <w:r>
        <w:rPr>
          <w:rFonts w:hint="eastAsia" w:ascii="宋体" w:hAnsi="宋体" w:eastAsia="宋体" w:cs="宋体"/>
          <w:color w:val="auto"/>
          <w:kern w:val="0"/>
          <w:sz w:val="21"/>
          <w:szCs w:val="21"/>
          <w:highlight w:val="none"/>
          <w:lang w:val="zh-CN" w:eastAsia="zh-CN" w:bidi="ar-SA"/>
        </w:rPr>
        <w:t>保修期内每年至少提供4次设备维护保养，包含但不限于如下项目：设备清洁、性能测试及校准、必要的电气环境检测等，使之保持原厂QC标准或国家质量监督部门的标准，并提供保养清单。</w:t>
      </w:r>
    </w:p>
    <w:p w14:paraId="174A60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zh-CN" w:eastAsia="zh-CN" w:bidi="ar-SA"/>
        </w:rPr>
        <w:t>每次维修保养</w:t>
      </w:r>
      <w:r>
        <w:rPr>
          <w:rFonts w:hint="eastAsia" w:ascii="宋体" w:hAnsi="宋体" w:eastAsia="宋体" w:cs="宋体"/>
          <w:color w:val="auto"/>
          <w:kern w:val="0"/>
          <w:sz w:val="21"/>
          <w:szCs w:val="21"/>
          <w:highlight w:val="none"/>
          <w:lang w:val="en-US" w:eastAsia="zh-CN" w:bidi="ar-SA"/>
        </w:rPr>
        <w:t>更换配件</w:t>
      </w:r>
      <w:r>
        <w:rPr>
          <w:rFonts w:hint="eastAsia" w:ascii="宋体" w:hAnsi="宋体" w:eastAsia="宋体" w:cs="宋体"/>
          <w:color w:val="auto"/>
          <w:kern w:val="0"/>
          <w:sz w:val="21"/>
          <w:szCs w:val="21"/>
          <w:highlight w:val="none"/>
          <w:lang w:val="zh-CN" w:eastAsia="zh-CN" w:bidi="ar-SA"/>
        </w:rPr>
        <w:t>时需通知科室及医学装备部，且保修期最后一个月需三方人员（</w:t>
      </w:r>
      <w:r>
        <w:rPr>
          <w:rFonts w:hint="eastAsia" w:ascii="宋体" w:hAnsi="宋体" w:eastAsia="宋体" w:cs="宋体"/>
          <w:color w:val="auto"/>
          <w:kern w:val="0"/>
          <w:sz w:val="21"/>
          <w:szCs w:val="21"/>
          <w:highlight w:val="none"/>
          <w:lang w:val="en-US" w:eastAsia="zh-CN" w:bidi="ar-SA"/>
        </w:rPr>
        <w:t>成交供应商</w:t>
      </w:r>
      <w:r>
        <w:rPr>
          <w:rFonts w:hint="eastAsia" w:ascii="宋体" w:hAnsi="宋体" w:eastAsia="宋体" w:cs="宋体"/>
          <w:color w:val="auto"/>
          <w:kern w:val="0"/>
          <w:sz w:val="21"/>
          <w:szCs w:val="21"/>
          <w:highlight w:val="none"/>
          <w:lang w:val="zh-CN" w:eastAsia="zh-CN" w:bidi="ar-SA"/>
        </w:rPr>
        <w:t>、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14:paraId="63E8A4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为本医院配置具备维修资质的固定工程师不少于2人，本设备维修经验不少于2年，需提供证明材料（培训证书）和承诺函。</w:t>
      </w:r>
    </w:p>
    <w:p w14:paraId="46EE6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zh-CN" w:eastAsia="zh-CN" w:bidi="ar-SA"/>
        </w:rPr>
        <w:t>所换备件必须是全新合格的产品，并满足设备运行要求, 进口配件需提供商检及海关报关单等材料。因所换备件造成的设备故障及医院损失，由</w:t>
      </w:r>
      <w:r>
        <w:rPr>
          <w:rFonts w:hint="eastAsia" w:ascii="宋体" w:hAnsi="宋体" w:eastAsia="宋体" w:cs="宋体"/>
          <w:color w:val="auto"/>
          <w:kern w:val="0"/>
          <w:sz w:val="21"/>
          <w:szCs w:val="21"/>
          <w:highlight w:val="none"/>
          <w:lang w:val="en-US" w:eastAsia="zh-CN" w:bidi="ar-SA"/>
        </w:rPr>
        <w:t>成交供应商</w:t>
      </w:r>
      <w:r>
        <w:rPr>
          <w:rFonts w:hint="eastAsia" w:ascii="宋体" w:hAnsi="宋体" w:eastAsia="宋体" w:cs="宋体"/>
          <w:color w:val="auto"/>
          <w:kern w:val="0"/>
          <w:sz w:val="21"/>
          <w:szCs w:val="21"/>
          <w:highlight w:val="none"/>
          <w:lang w:val="zh-CN" w:eastAsia="zh-CN" w:bidi="ar-SA"/>
        </w:rPr>
        <w:t>全权负责。</w:t>
      </w:r>
    </w:p>
    <w:p w14:paraId="2632F6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软硬件及工作站免费安全升级，并开放维修密码等。</w:t>
      </w:r>
    </w:p>
    <w:p w14:paraId="14A345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zh-CN" w:eastAsia="zh-CN" w:bidi="ar-SA"/>
        </w:rPr>
        <w:t>提供24小时远程技术支持及临床应用支持，签署由</w:t>
      </w:r>
      <w:r>
        <w:rPr>
          <w:rFonts w:hint="eastAsia" w:ascii="宋体" w:hAnsi="宋体" w:eastAsia="宋体" w:cs="宋体"/>
          <w:color w:val="auto"/>
          <w:kern w:val="0"/>
          <w:sz w:val="21"/>
          <w:szCs w:val="21"/>
          <w:highlight w:val="none"/>
          <w:lang w:val="en-US" w:eastAsia="zh-CN" w:bidi="ar-SA"/>
        </w:rPr>
        <w:t>采购人</w:t>
      </w:r>
      <w:r>
        <w:rPr>
          <w:rFonts w:hint="eastAsia" w:ascii="宋体" w:hAnsi="宋体" w:eastAsia="宋体" w:cs="宋体"/>
          <w:color w:val="auto"/>
          <w:kern w:val="0"/>
          <w:sz w:val="21"/>
          <w:szCs w:val="21"/>
          <w:highlight w:val="none"/>
          <w:lang w:val="zh-CN" w:eastAsia="zh-CN" w:bidi="ar-SA"/>
        </w:rPr>
        <w:t>提供的信息系统数据安全保密承诺书。</w:t>
      </w:r>
    </w:p>
    <w:p w14:paraId="34E352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7、包含平板探测器的更换。</w:t>
      </w:r>
    </w:p>
    <w:p w14:paraId="695881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zh-CN" w:eastAsia="zh-CN" w:bidi="ar-SA"/>
        </w:rPr>
        <w:t>须国内有备件库。</w:t>
      </w:r>
    </w:p>
    <w:p w14:paraId="687219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zh-CN" w:eastAsia="zh-CN" w:bidi="ar-SA"/>
        </w:rPr>
        <w:t>如需更换备件，国内备件仓库有货的备件在2个工作日内送达医院，进口配件5个工作日送达；非标件和不可抗力除外。</w:t>
      </w:r>
    </w:p>
    <w:p w14:paraId="176DAE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lang w:val="zh-CN" w:eastAsia="zh-CN" w:bidi="ar-SA"/>
        </w:rPr>
        <w:t>定期进行安全检查及质量保障，保证24h*365天维修热线连接；提供全国400热线服务电话。</w:t>
      </w:r>
    </w:p>
    <w:p w14:paraId="6C27D1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lang w:val="zh-CN" w:eastAsia="zh-CN" w:bidi="ar-SA"/>
        </w:rPr>
        <w:t>紧急人工和工程师现场紧急维修服务。</w:t>
      </w:r>
    </w:p>
    <w:p w14:paraId="1F4007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12、</w:t>
      </w:r>
      <w:r>
        <w:rPr>
          <w:rFonts w:hint="eastAsia" w:ascii="宋体" w:hAnsi="宋体" w:eastAsia="宋体" w:cs="宋体"/>
          <w:color w:val="auto"/>
          <w:kern w:val="0"/>
          <w:sz w:val="21"/>
          <w:szCs w:val="21"/>
          <w:highlight w:val="none"/>
          <w:lang w:val="zh-CN" w:eastAsia="zh-CN" w:bidi="ar-SA"/>
        </w:rPr>
        <w:t>工程师需配备有专用工具，工程师的工具符合国家检测和校准的规定（提供相关校准证明）。</w:t>
      </w:r>
    </w:p>
    <w:p w14:paraId="50FB74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zh-CN" w:eastAsia="zh-CN" w:bidi="ar-SA"/>
        </w:rPr>
        <w:t>保修期最后一个月内更换的配件，</w:t>
      </w:r>
      <w:r>
        <w:rPr>
          <w:rFonts w:hint="eastAsia" w:ascii="宋体" w:hAnsi="宋体" w:eastAsia="宋体" w:cs="宋体"/>
          <w:color w:val="auto"/>
          <w:kern w:val="0"/>
          <w:sz w:val="21"/>
          <w:szCs w:val="21"/>
          <w:highlight w:val="none"/>
          <w:lang w:val="en-US" w:eastAsia="zh-CN" w:bidi="ar-SA"/>
        </w:rPr>
        <w:t>成交供应商</w:t>
      </w:r>
      <w:r>
        <w:rPr>
          <w:rFonts w:hint="eastAsia" w:ascii="宋体" w:hAnsi="宋体" w:eastAsia="宋体" w:cs="宋体"/>
          <w:color w:val="auto"/>
          <w:kern w:val="0"/>
          <w:sz w:val="21"/>
          <w:szCs w:val="21"/>
          <w:highlight w:val="none"/>
          <w:lang w:val="zh-CN" w:eastAsia="zh-CN" w:bidi="ar-SA"/>
        </w:rPr>
        <w:t>应保证自更换之日起三个月内正常使用，如三个月内出现故障，由</w:t>
      </w:r>
      <w:r>
        <w:rPr>
          <w:rFonts w:hint="eastAsia" w:ascii="宋体" w:hAnsi="宋体" w:eastAsia="宋体" w:cs="宋体"/>
          <w:color w:val="auto"/>
          <w:kern w:val="0"/>
          <w:sz w:val="21"/>
          <w:szCs w:val="21"/>
          <w:highlight w:val="none"/>
          <w:lang w:val="en-US" w:eastAsia="zh-CN" w:bidi="ar-SA"/>
        </w:rPr>
        <w:t>成交供应商</w:t>
      </w:r>
      <w:r>
        <w:rPr>
          <w:rFonts w:hint="eastAsia" w:ascii="宋体" w:hAnsi="宋体" w:eastAsia="宋体" w:cs="宋体"/>
          <w:color w:val="auto"/>
          <w:kern w:val="0"/>
          <w:sz w:val="21"/>
          <w:szCs w:val="21"/>
          <w:highlight w:val="none"/>
          <w:lang w:val="zh-CN" w:eastAsia="zh-CN" w:bidi="ar-SA"/>
        </w:rPr>
        <w:t>承担维修费用。</w:t>
      </w:r>
    </w:p>
    <w:p w14:paraId="20B0B2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zh-CN" w:eastAsia="zh-CN" w:bidi="ar-SA"/>
        </w:rPr>
        <w:t>须有具备应用培训工程师且提供原厂认证的培训证书。</w:t>
      </w:r>
    </w:p>
    <w:p w14:paraId="7B6949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zh-CN" w:eastAsia="zh-CN" w:bidi="ar-SA"/>
        </w:rPr>
        <w:t>对我院的维修工程师提供每年至少2人次的专业培训，并提供培训证明材料。</w:t>
      </w:r>
    </w:p>
    <w:p w14:paraId="2366A7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zh-CN" w:eastAsia="zh-CN" w:bidi="ar-SA"/>
        </w:rPr>
        <w:t>每年制定临床使用人员的使用维护培训计划，按计划进行培训并提供记录。</w:t>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5"/>
        <w:gridCol w:w="7511"/>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服务质量</w:t>
            </w:r>
          </w:p>
        </w:tc>
        <w:tc>
          <w:tcPr>
            <w:tcW w:w="7511" w:type="dxa"/>
            <w:tcBorders>
              <w:top w:val="single" w:color="auto" w:sz="4" w:space="0"/>
              <w:left w:val="single" w:color="auto" w:sz="4" w:space="0"/>
              <w:bottom w:val="single" w:color="auto" w:sz="4" w:space="0"/>
              <w:right w:val="single" w:color="auto" w:sz="4" w:space="0"/>
            </w:tcBorders>
            <w:noWrap/>
            <w:vAlign w:val="center"/>
          </w:tcPr>
          <w:p w14:paraId="6A337923">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4"/>
                <w:highlight w:val="none"/>
                <w:lang w:val="en-US" w:eastAsia="zh-CN" w:bidi="ar-SA"/>
              </w:rPr>
              <w:t>符合现行国家、省、市地方相关规范和标准，满足采购人需求</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服务期限</w:t>
            </w:r>
          </w:p>
        </w:tc>
        <w:tc>
          <w:tcPr>
            <w:tcW w:w="7511" w:type="dxa"/>
            <w:tcBorders>
              <w:top w:val="single" w:color="auto" w:sz="4" w:space="0"/>
              <w:left w:val="single" w:color="auto" w:sz="4" w:space="0"/>
              <w:bottom w:val="single" w:color="auto" w:sz="4" w:space="0"/>
              <w:right w:val="single" w:color="auto" w:sz="4" w:space="0"/>
            </w:tcBorders>
            <w:noWrap/>
            <w:vAlign w:val="center"/>
          </w:tcPr>
          <w:p w14:paraId="25DB0019">
            <w:pPr>
              <w:widowControl/>
              <w:spacing w:line="36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服务地点</w:t>
            </w:r>
          </w:p>
        </w:tc>
        <w:tc>
          <w:tcPr>
            <w:tcW w:w="7511" w:type="dxa"/>
            <w:tcBorders>
              <w:top w:val="single" w:color="auto" w:sz="4" w:space="0"/>
              <w:left w:val="single" w:color="auto" w:sz="4" w:space="0"/>
              <w:bottom w:val="single" w:color="auto" w:sz="4" w:space="0"/>
              <w:right w:val="single" w:color="auto" w:sz="4" w:space="0"/>
            </w:tcBorders>
            <w:noWrap/>
            <w:vAlign w:val="center"/>
          </w:tcPr>
          <w:p w14:paraId="62D90186">
            <w:pPr>
              <w:widowControl/>
              <w:spacing w:line="36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eastAsia="zh-CN"/>
              </w:rPr>
              <w:t>采购人指定地点</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14:paraId="481E1749">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付款方式</w:t>
            </w:r>
          </w:p>
        </w:tc>
        <w:tc>
          <w:tcPr>
            <w:tcW w:w="7511" w:type="dxa"/>
            <w:tcBorders>
              <w:top w:val="single" w:color="auto" w:sz="4" w:space="0"/>
              <w:left w:val="single" w:color="auto" w:sz="4" w:space="0"/>
              <w:bottom w:val="single" w:color="auto" w:sz="4" w:space="0"/>
              <w:right w:val="single" w:color="auto" w:sz="4" w:space="0"/>
            </w:tcBorders>
            <w:noWrap/>
            <w:vAlign w:val="center"/>
          </w:tcPr>
          <w:p w14:paraId="426DD86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zh-CN" w:eastAsia="zh-CN" w:bidi="ar-SA"/>
              </w:rPr>
              <w:t>先服务后付款，服务六个月之后支付50%合同款，服务期满后支付余下50%合同款。</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维修</w:t>
            </w:r>
            <w:r>
              <w:rPr>
                <w:rFonts w:hint="eastAsia" w:ascii="宋体" w:hAnsi="宋体" w:eastAsia="宋体" w:cs="宋体"/>
                <w:color w:val="auto"/>
                <w:kern w:val="0"/>
                <w:sz w:val="21"/>
                <w:szCs w:val="21"/>
                <w:highlight w:val="none"/>
              </w:rPr>
              <w:t>响应时间</w:t>
            </w:r>
          </w:p>
        </w:tc>
        <w:tc>
          <w:tcPr>
            <w:tcW w:w="7511" w:type="dxa"/>
            <w:tcBorders>
              <w:top w:val="single" w:color="auto" w:sz="4" w:space="0"/>
              <w:left w:val="single" w:color="auto" w:sz="4" w:space="0"/>
              <w:bottom w:val="single" w:color="auto" w:sz="4" w:space="0"/>
              <w:right w:val="single" w:color="auto" w:sz="4" w:space="0"/>
            </w:tcBorders>
            <w:noWrap/>
            <w:vAlign w:val="center"/>
          </w:tcPr>
          <w:p w14:paraId="05BA77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zh-CN" w:eastAsia="zh-CN" w:bidi="ar-SA"/>
              </w:rPr>
              <w:t>周一至周日，7天24小时包括法定节假日。20分钟内电话响应，2小时内工程师到达现场，一般故障24小时内维修完毕。如需外地专家支持，4小时内响应，24小时内到达现场</w:t>
            </w:r>
            <w:r>
              <w:rPr>
                <w:rFonts w:hint="eastAsia" w:ascii="宋体" w:hAnsi="宋体" w:eastAsia="宋体" w:cs="宋体"/>
                <w:color w:val="auto"/>
                <w:kern w:val="0"/>
                <w:sz w:val="21"/>
                <w:szCs w:val="21"/>
                <w:highlight w:val="none"/>
                <w:lang w:eastAsia="zh-CN"/>
              </w:rPr>
              <w:t>。</w:t>
            </w:r>
          </w:p>
        </w:tc>
      </w:tr>
      <w:tr w14:paraId="4EED2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14:paraId="591783BC">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其他要求</w:t>
            </w:r>
          </w:p>
        </w:tc>
        <w:tc>
          <w:tcPr>
            <w:tcW w:w="7511" w:type="dxa"/>
            <w:tcBorders>
              <w:top w:val="single" w:color="auto" w:sz="4" w:space="0"/>
              <w:left w:val="single" w:color="auto" w:sz="4" w:space="0"/>
              <w:bottom w:val="single" w:color="auto" w:sz="4" w:space="0"/>
              <w:right w:val="single" w:color="auto" w:sz="4" w:space="0"/>
            </w:tcBorders>
            <w:noWrap/>
            <w:vAlign w:val="center"/>
          </w:tcPr>
          <w:p w14:paraId="4AA5A93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成交供应商</w:t>
            </w:r>
            <w:r>
              <w:rPr>
                <w:rFonts w:hint="eastAsia" w:ascii="宋体" w:hAnsi="宋体" w:eastAsia="宋体" w:cs="宋体"/>
                <w:color w:val="auto"/>
                <w:kern w:val="0"/>
                <w:sz w:val="21"/>
                <w:szCs w:val="21"/>
                <w:highlight w:val="none"/>
                <w:lang w:val="zh-CN" w:eastAsia="zh-CN" w:bidi="ar-SA"/>
              </w:rPr>
              <w:t>保证我院保修的设备正常开机率大于95% （一年按365天计算），且单次维修不能超过1天，否则设备维修占用日期每增加一天，保修时间往后顺延七天。</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9566"/>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rPr>
              <w:t>驻马店市中心医院医科达直线加速器全保服务项目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3424"/>
            <w:bookmarkStart w:id="41" w:name="_Toc2940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26199"/>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42万元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42</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4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400" w:lineRule="exact"/>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400" w:lineRule="exact"/>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42万元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42万元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w:t>
      </w:r>
      <w:r>
        <w:rPr>
          <w:rFonts w:hint="eastAsia" w:ascii="宋体" w:hAnsi="宋体" w:eastAsia="宋体" w:cs="宋体"/>
          <w:color w:val="auto"/>
          <w:szCs w:val="21"/>
          <w:highlight w:val="none"/>
          <w:shd w:val="clear" w:color="auto" w:fill="FFFFFF"/>
          <w:lang w:val="en-US" w:eastAsia="zh-CN"/>
        </w:rPr>
        <w:t>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wordWrap/>
        <w:overflowPunct/>
        <w:topLinePunct w:val="0"/>
        <w:autoSpaceDE/>
        <w:autoSpaceDN/>
        <w:bidi w:val="0"/>
        <w:snapToGrid w:val="0"/>
        <w:spacing w:line="400" w:lineRule="exact"/>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7D9C72E">
      <w:pPr>
        <w:keepNext w:val="0"/>
        <w:keepLines w:val="0"/>
        <w:pageBreakBefore w:val="0"/>
        <w:widowControl/>
        <w:tabs>
          <w:tab w:val="left" w:pos="840"/>
        </w:tabs>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D48B700">
      <w:pPr>
        <w:keepNext w:val="0"/>
        <w:keepLines w:val="0"/>
        <w:pageBreakBefore w:val="0"/>
        <w:widowControl/>
        <w:tabs>
          <w:tab w:val="left" w:pos="840"/>
        </w:tabs>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16212257">
      <w:pPr>
        <w:keepNext w:val="0"/>
        <w:keepLines w:val="0"/>
        <w:pageBreakBefore w:val="0"/>
        <w:widowControl/>
        <w:tabs>
          <w:tab w:val="left" w:pos="840"/>
        </w:tabs>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须具是在中华人民共和国境内注册的设备原制造厂商或原制造厂商授权的单位或具备相关设备维修能力的单位（提供证明文件）。</w:t>
      </w:r>
    </w:p>
    <w:p w14:paraId="13292A9E">
      <w:pPr>
        <w:keepNext w:val="0"/>
        <w:keepLines w:val="0"/>
        <w:pageBreakBefore w:val="0"/>
        <w:widowControl w:val="0"/>
        <w:kinsoku/>
        <w:wordWrap/>
        <w:overflowPunct/>
        <w:topLinePunct w:val="0"/>
        <w:bidi w:val="0"/>
        <w:snapToGrid w:val="0"/>
        <w:spacing w:line="400" w:lineRule="exact"/>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400" w:lineRule="exact"/>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40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40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40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40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400" w:lineRule="exact"/>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40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400" w:lineRule="exact"/>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400" w:lineRule="exact"/>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400" w:lineRule="exact"/>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400" w:lineRule="exact"/>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400" w:lineRule="exac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400" w:lineRule="exact"/>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400" w:lineRule="exact"/>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400" w:lineRule="exact"/>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400" w:lineRule="exact"/>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400" w:lineRule="exact"/>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400" w:lineRule="exact"/>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400" w:lineRule="exact"/>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400" w:lineRule="exact"/>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400" w:lineRule="exact"/>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400" w:lineRule="exact"/>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400" w:lineRule="exact"/>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400" w:lineRule="exact"/>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400" w:lineRule="exact"/>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400" w:lineRule="exact"/>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400" w:lineRule="exact"/>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4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63695260">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400" w:lineRule="exact"/>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400" w:lineRule="exact"/>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400" w:lineRule="exact"/>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400" w:lineRule="exact"/>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400" w:lineRule="exact"/>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400" w:lineRule="exact"/>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400" w:lineRule="exact"/>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400" w:lineRule="exact"/>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400" w:lineRule="exact"/>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400" w:lineRule="exact"/>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1"/>
        <w:keepNext w:val="0"/>
        <w:keepLines w:val="0"/>
        <w:pageBreakBefore w:val="0"/>
        <w:widowControl w:val="0"/>
        <w:kinsoku/>
        <w:wordWrap/>
        <w:overflowPunct/>
        <w:topLinePunct w:val="0"/>
        <w:bidi w:val="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1"/>
        <w:keepNext w:val="0"/>
        <w:keepLines w:val="0"/>
        <w:pageBreakBefore w:val="0"/>
        <w:widowControl w:val="0"/>
        <w:kinsoku/>
        <w:wordWrap/>
        <w:overflowPunct/>
        <w:topLinePunct w:val="0"/>
        <w:bidi w:val="0"/>
        <w:snapToGrid w:val="0"/>
        <w:spacing w:before="0" w:beforeAutospacing="0" w:after="0" w:afterAutospacing="0" w:line="400" w:lineRule="exact"/>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400" w:lineRule="exact"/>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40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40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400" w:lineRule="exact"/>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400" w:lineRule="exact"/>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400" w:lineRule="exact"/>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2B44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7180F1B4">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0472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18BD106D">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8284" w:type="dxa"/>
            <w:gridSpan w:val="2"/>
            <w:noWrap w:val="0"/>
            <w:vAlign w:val="center"/>
          </w:tcPr>
          <w:p w14:paraId="5A592EC2">
            <w:pPr>
              <w:pStyle w:val="4"/>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6F165A85">
            <w:pPr>
              <w:pStyle w:val="4"/>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125784CF">
            <w:pPr>
              <w:pStyle w:val="4"/>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w:t>
            </w:r>
            <w:r>
              <w:rPr>
                <w:rFonts w:hint="eastAsia" w:ascii="宋体" w:hAnsi="宋体" w:eastAsia="宋体" w:cs="宋体"/>
                <w:b w:val="0"/>
                <w:bCs w:val="0"/>
                <w:color w:val="auto"/>
                <w:sz w:val="21"/>
                <w:szCs w:val="21"/>
                <w:highlight w:val="none"/>
                <w:lang w:val="en-US" w:eastAsia="zh-CN"/>
              </w:rPr>
              <w:t>审</w:t>
            </w:r>
            <w:r>
              <w:rPr>
                <w:rFonts w:hint="eastAsia" w:ascii="宋体" w:hAnsi="宋体" w:eastAsia="宋体" w:cs="宋体"/>
                <w:b w:val="0"/>
                <w:bCs w:val="0"/>
                <w:color w:val="auto"/>
                <w:sz w:val="21"/>
                <w:szCs w:val="21"/>
                <w:highlight w:val="none"/>
              </w:rPr>
              <w:t>基准价。</w:t>
            </w:r>
          </w:p>
          <w:p w14:paraId="03D0C5EC">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w:t>
            </w:r>
            <w:r>
              <w:rPr>
                <w:rFonts w:hint="eastAsia" w:ascii="宋体" w:hAnsi="宋体" w:eastAsia="宋体" w:cs="宋体"/>
                <w:b w:val="0"/>
                <w:bCs w:val="0"/>
                <w:color w:val="auto"/>
                <w:sz w:val="21"/>
                <w:szCs w:val="21"/>
                <w:highlight w:val="none"/>
                <w:lang w:val="en-US" w:eastAsia="zh-CN"/>
              </w:rPr>
              <w:t>审</w:t>
            </w:r>
            <w:r>
              <w:rPr>
                <w:rFonts w:hint="eastAsia" w:ascii="宋体" w:hAnsi="宋体" w:eastAsia="宋体" w:cs="宋体"/>
                <w:b w:val="0"/>
                <w:bCs w:val="0"/>
                <w:color w:val="auto"/>
                <w:sz w:val="21"/>
                <w:szCs w:val="21"/>
                <w:highlight w:val="none"/>
              </w:rPr>
              <w:t>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r>
      <w:tr w14:paraId="73AD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Merge w:val="restart"/>
            <w:noWrap w:val="0"/>
            <w:vAlign w:val="center"/>
          </w:tcPr>
          <w:p w14:paraId="1B3C08E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分）</w:t>
            </w:r>
          </w:p>
        </w:tc>
        <w:tc>
          <w:tcPr>
            <w:tcW w:w="1362" w:type="dxa"/>
            <w:noWrap w:val="0"/>
            <w:vAlign w:val="center"/>
          </w:tcPr>
          <w:p w14:paraId="3F90E47D">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服务能力</w:t>
            </w:r>
          </w:p>
          <w:p w14:paraId="231E48FB">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响应程度</w:t>
            </w:r>
          </w:p>
          <w:p w14:paraId="7BE86D4D">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4EC4CE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供应商对</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第二章</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采购需求 三、技术要求”响</w:t>
            </w:r>
            <w:r>
              <w:rPr>
                <w:rFonts w:hint="eastAsia" w:ascii="宋体" w:hAnsi="宋体" w:cs="宋体"/>
                <w:b w:val="0"/>
                <w:bCs w:val="0"/>
                <w:color w:val="auto"/>
                <w:sz w:val="21"/>
                <w:szCs w:val="21"/>
                <w:highlight w:val="none"/>
                <w:lang w:val="en-US" w:eastAsia="zh-CN"/>
              </w:rPr>
              <w:t>应，</w:t>
            </w:r>
            <w:r>
              <w:rPr>
                <w:rFonts w:hint="eastAsia" w:ascii="宋体" w:hAnsi="宋体" w:eastAsia="宋体" w:cs="宋体"/>
                <w:color w:val="auto"/>
                <w:sz w:val="21"/>
                <w:szCs w:val="21"/>
                <w:highlight w:val="none"/>
                <w:lang w:val="en-US" w:eastAsia="zh-CN"/>
              </w:rPr>
              <w:t>全部满足磋商文件要求得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分，一项不满足扣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扣完为止；如得分为0，则磋商无效。</w:t>
            </w:r>
          </w:p>
          <w:p w14:paraId="1D09A3A9">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w:t>
            </w:r>
          </w:p>
          <w:p w14:paraId="38FD29F0">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表，并标注偏离情况。</w:t>
            </w:r>
          </w:p>
          <w:p w14:paraId="1AB81857">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val="en-US" w:eastAsia="zh-CN"/>
              </w:rPr>
              <w:t>2）提供相关证明文件，并对响应</w:t>
            </w:r>
            <w:r>
              <w:rPr>
                <w:rFonts w:hint="eastAsia" w:ascii="宋体" w:hAnsi="宋体" w:eastAsia="宋体" w:cs="宋体"/>
                <w:b w:val="0"/>
                <w:bCs w:val="0"/>
                <w:color w:val="auto"/>
                <w:sz w:val="21"/>
                <w:szCs w:val="21"/>
                <w:highlight w:val="none"/>
              </w:rPr>
              <w:t>服务技术指标</w:t>
            </w:r>
            <w:r>
              <w:rPr>
                <w:rFonts w:hint="eastAsia" w:ascii="宋体" w:hAnsi="宋体" w:eastAsia="宋体" w:cs="宋体"/>
                <w:color w:val="auto"/>
                <w:sz w:val="21"/>
                <w:szCs w:val="21"/>
                <w:highlight w:val="none"/>
                <w:lang w:val="en-US" w:eastAsia="zh-CN"/>
              </w:rPr>
              <w:t>部分做出明显标注。</w:t>
            </w:r>
          </w:p>
        </w:tc>
      </w:tr>
      <w:tr w14:paraId="3ED2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98" w:type="dxa"/>
            <w:vMerge w:val="continue"/>
            <w:noWrap w:val="0"/>
            <w:vAlign w:val="center"/>
          </w:tcPr>
          <w:p w14:paraId="49D1533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4446414C">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2.年度服务计划（</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922" w:type="dxa"/>
            <w:shd w:val="clear" w:color="auto" w:fill="auto"/>
            <w:noWrap w:val="0"/>
            <w:vAlign w:val="center"/>
          </w:tcPr>
          <w:p w14:paraId="110C262E">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000000" w:themeColor="text1"/>
                <w:highlight w:val="none"/>
                <w:lang w:val="en-US" w:eastAsia="zh-CN"/>
                <w14:textFill>
                  <w14:solidFill>
                    <w14:schemeClr w14:val="tx1"/>
                  </w14:solidFill>
                </w14:textFill>
              </w:rPr>
              <w:t>制定的年度服务</w:t>
            </w:r>
            <w:r>
              <w:rPr>
                <w:rFonts w:hint="eastAsia" w:ascii="宋体" w:hAnsi="宋体" w:cs="宋体"/>
                <w:color w:val="000000" w:themeColor="text1"/>
                <w:highlight w:val="none"/>
                <w:lang w:val="en-US" w:eastAsia="zh-CN"/>
                <w14:textFill>
                  <w14:solidFill>
                    <w14:schemeClr w14:val="tx1"/>
                  </w14:solidFill>
                </w14:textFill>
              </w:rPr>
              <w:t>计划、日常</w:t>
            </w:r>
            <w:r>
              <w:rPr>
                <w:rFonts w:hint="eastAsia" w:ascii="宋体" w:hAnsi="宋体" w:eastAsia="宋体" w:cs="宋体"/>
                <w:color w:val="000000" w:themeColor="text1"/>
                <w:highlight w:val="none"/>
                <w:lang w:val="en-US" w:eastAsia="zh-CN"/>
                <w14:textFill>
                  <w14:solidFill>
                    <w14:schemeClr w14:val="tx1"/>
                  </w14:solidFill>
                </w14:textFill>
              </w:rPr>
              <w:t>巡检</w:t>
            </w:r>
            <w:r>
              <w:rPr>
                <w:rFonts w:hint="eastAsia" w:ascii="宋体" w:hAnsi="宋体" w:cs="宋体"/>
                <w:color w:val="000000" w:themeColor="text1"/>
                <w:highlight w:val="none"/>
                <w:lang w:val="en-US" w:eastAsia="zh-CN"/>
                <w14:textFill>
                  <w14:solidFill>
                    <w14:schemeClr w14:val="tx1"/>
                  </w14:solidFill>
                </w14:textFill>
              </w:rPr>
              <w:t>计划和内容、维保质量保障措施、</w:t>
            </w:r>
            <w:r>
              <w:rPr>
                <w:rFonts w:hint="eastAsia" w:ascii="宋体" w:hAnsi="宋体" w:eastAsia="宋体" w:cs="宋体"/>
                <w:color w:val="000000" w:themeColor="text1"/>
                <w:highlight w:val="none"/>
                <w:lang w:val="en-US" w:eastAsia="zh-CN"/>
                <w14:textFill>
                  <w14:solidFill>
                    <w14:schemeClr w14:val="tx1"/>
                  </w14:solidFill>
                </w14:textFill>
              </w:rPr>
              <w:t>维修报告</w:t>
            </w:r>
            <w:r>
              <w:rPr>
                <w:rFonts w:hint="eastAsia" w:ascii="宋体" w:hAnsi="宋体" w:cs="宋体"/>
                <w:color w:val="000000" w:themeColor="text1"/>
                <w:highlight w:val="none"/>
                <w:lang w:val="en-US" w:eastAsia="zh-CN"/>
                <w14:textFill>
                  <w14:solidFill>
                    <w14:schemeClr w14:val="tx1"/>
                  </w14:solidFill>
                </w14:textFill>
              </w:rPr>
              <w:t>、现场维修响应时间等进行</w:t>
            </w:r>
            <w:r>
              <w:rPr>
                <w:rFonts w:hint="eastAsia" w:ascii="宋体" w:hAnsi="宋体" w:eastAsia="宋体" w:cs="宋体"/>
                <w:color w:val="000000" w:themeColor="text1"/>
                <w:highlight w:val="none"/>
                <w:lang w:val="en-US" w:eastAsia="zh-CN"/>
                <w14:textFill>
                  <w14:solidFill>
                    <w14:schemeClr w14:val="tx1"/>
                  </w14:solidFill>
                </w14:textFill>
              </w:rPr>
              <w:t>评分</w:t>
            </w:r>
            <w:r>
              <w:rPr>
                <w:rFonts w:hint="eastAsia" w:ascii="宋体" w:hAnsi="宋体" w:cs="宋体"/>
                <w:color w:val="000000" w:themeColor="text1"/>
                <w:highlight w:val="none"/>
                <w:lang w:val="en-US" w:eastAsia="zh-CN"/>
                <w14:textFill>
                  <w14:solidFill>
                    <w14:schemeClr w14:val="tx1"/>
                  </w14:solidFill>
                </w14:textFill>
              </w:rPr>
              <w:t>。</w:t>
            </w:r>
          </w:p>
          <w:p w14:paraId="43273D3D">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1.服务</w:t>
            </w:r>
            <w:r>
              <w:rPr>
                <w:rFonts w:hint="eastAsia" w:ascii="宋体" w:hAnsi="宋体" w:cs="宋体"/>
                <w:color w:val="000000" w:themeColor="text1"/>
                <w:highlight w:val="none"/>
                <w:lang w:val="en-US" w:eastAsia="zh-CN"/>
                <w14:textFill>
                  <w14:solidFill>
                    <w14:schemeClr w14:val="tx1"/>
                  </w14:solidFill>
                </w14:textFill>
              </w:rPr>
              <w:t>计划完善、针对性强，</w:t>
            </w:r>
            <w:r>
              <w:rPr>
                <w:rFonts w:hint="eastAsia" w:ascii="宋体" w:hAnsi="宋体" w:eastAsia="宋体" w:cs="宋体"/>
                <w:color w:val="000000" w:themeColor="text1"/>
                <w:highlight w:val="none"/>
                <w:lang w:val="en-US" w:eastAsia="zh-CN"/>
                <w14:textFill>
                  <w14:solidFill>
                    <w14:schemeClr w14:val="tx1"/>
                  </w14:solidFill>
                </w14:textFill>
              </w:rPr>
              <w:t>完全满足采购需求的得</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val="en-US" w:eastAsia="zh-CN"/>
                <w14:textFill>
                  <w14:solidFill>
                    <w14:schemeClr w14:val="tx1"/>
                  </w14:solidFill>
                </w14:textFill>
              </w:rPr>
              <w:t>分；</w:t>
            </w:r>
          </w:p>
          <w:p w14:paraId="50926F16">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2.服务</w:t>
            </w:r>
            <w:r>
              <w:rPr>
                <w:rFonts w:hint="eastAsia" w:ascii="宋体" w:hAnsi="宋体" w:cs="宋体"/>
                <w:color w:val="000000" w:themeColor="text1"/>
                <w:highlight w:val="none"/>
                <w:lang w:val="en-US" w:eastAsia="zh-CN"/>
                <w14:textFill>
                  <w14:solidFill>
                    <w14:schemeClr w14:val="tx1"/>
                  </w14:solidFill>
                </w14:textFill>
              </w:rPr>
              <w:t>计划基本可行，</w:t>
            </w:r>
            <w:r>
              <w:rPr>
                <w:rFonts w:hint="eastAsia" w:ascii="宋体" w:hAnsi="宋体" w:eastAsia="宋体" w:cs="宋体"/>
                <w:color w:val="000000" w:themeColor="text1"/>
                <w:highlight w:val="none"/>
                <w:lang w:val="en-US" w:eastAsia="zh-CN"/>
                <w14:textFill>
                  <w14:solidFill>
                    <w14:schemeClr w14:val="tx1"/>
                  </w14:solidFill>
                </w14:textFill>
              </w:rPr>
              <w:t>基本满足采购需求的得</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分；</w:t>
            </w:r>
          </w:p>
          <w:p w14:paraId="380C7C59">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3.服务</w:t>
            </w:r>
            <w:r>
              <w:rPr>
                <w:rFonts w:hint="eastAsia" w:ascii="宋体" w:hAnsi="宋体" w:cs="宋体"/>
                <w:color w:val="000000" w:themeColor="text1"/>
                <w:highlight w:val="none"/>
                <w:lang w:val="en-US" w:eastAsia="zh-CN"/>
                <w14:textFill>
                  <w14:solidFill>
                    <w14:schemeClr w14:val="tx1"/>
                  </w14:solidFill>
                </w14:textFill>
              </w:rPr>
              <w:t>计划</w:t>
            </w:r>
            <w:r>
              <w:rPr>
                <w:rFonts w:hint="eastAsia" w:ascii="宋体" w:hAnsi="宋体" w:eastAsia="宋体" w:cs="宋体"/>
                <w:color w:val="000000" w:themeColor="text1"/>
                <w:highlight w:val="none"/>
                <w:lang w:val="en-US" w:eastAsia="zh-CN"/>
                <w14:textFill>
                  <w14:solidFill>
                    <w14:schemeClr w14:val="tx1"/>
                  </w14:solidFill>
                </w14:textFill>
              </w:rPr>
              <w:t>有待完善的得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w:t>
            </w:r>
          </w:p>
          <w:p w14:paraId="616CAA8B">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auto"/>
                <w:kern w:val="2"/>
                <w:sz w:val="21"/>
                <w:szCs w:val="21"/>
                <w:highlight w:val="none"/>
                <w:lang w:val="en-US" w:eastAsia="zh-CN" w:bidi="ar-SA"/>
              </w:rPr>
              <w:t>缺项得0分。</w:t>
            </w:r>
          </w:p>
        </w:tc>
      </w:tr>
      <w:tr w14:paraId="75DD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98" w:type="dxa"/>
            <w:vMerge w:val="continue"/>
            <w:noWrap w:val="0"/>
            <w:vAlign w:val="center"/>
          </w:tcPr>
          <w:p w14:paraId="0932793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3821F12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3.服务团队（10分）</w:t>
            </w:r>
          </w:p>
        </w:tc>
        <w:tc>
          <w:tcPr>
            <w:tcW w:w="6922" w:type="dxa"/>
            <w:shd w:val="clear" w:color="auto" w:fill="auto"/>
            <w:noWrap w:val="0"/>
            <w:vAlign w:val="center"/>
          </w:tcPr>
          <w:p w14:paraId="1E3A3F77">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供应商根据项目要求，提供针对本项目的服务人员配备方案，包括但不限于：拟派团队人员配备安排、岗位职责分配、专业技术资格能力、设备维护经验、主要业绩等。</w:t>
            </w:r>
          </w:p>
          <w:p w14:paraId="2BE18D5E">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1.服务人员配备方案符合采购项目要求，人员安排合理，任务分工和职责明确，专业经验丰富，完全满足服务要求的得10分； </w:t>
            </w:r>
          </w:p>
          <w:p w14:paraId="1DF2C144">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2.服务人员配备方案符合采购项目要求，人员安排基本合理，任务分工和职责基本明确，专业经验基本能满足项目需求，基本满足服务要求的得6分； </w:t>
            </w:r>
          </w:p>
          <w:p w14:paraId="07C25499">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3.服务人员配备方案基本符合采购项目要求，人员基本齐备、分工不够明确、职责界定不清，专业经验欠缺，难以满足服务要求的，每项得2分； </w:t>
            </w:r>
          </w:p>
          <w:p w14:paraId="2DAE4E6D">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2"/>
                <w:sz w:val="21"/>
                <w:szCs w:val="21"/>
                <w:highlight w:val="none"/>
                <w:lang w:val="en-US" w:eastAsia="zh-CN" w:bidi="ar-SA"/>
              </w:rPr>
              <w:t>缺项得0分。</w:t>
            </w:r>
          </w:p>
        </w:tc>
      </w:tr>
      <w:tr w14:paraId="0742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198" w:type="dxa"/>
            <w:vMerge w:val="continue"/>
            <w:noWrap w:val="0"/>
            <w:vAlign w:val="center"/>
          </w:tcPr>
          <w:p w14:paraId="6E0C0C2E">
            <w:pPr>
              <w:keepNext w:val="0"/>
              <w:keepLines w:val="0"/>
              <w:pageBreakBefore w:val="0"/>
              <w:kinsoku/>
              <w:wordWrap/>
              <w:overflowPunct/>
              <w:topLinePunct w:val="0"/>
              <w:bidi w:val="0"/>
              <w:snapToGrid w:val="0"/>
              <w:spacing w:line="340" w:lineRule="exact"/>
              <w:jc w:val="both"/>
              <w:textAlignment w:val="auto"/>
              <w:rPr>
                <w:color w:val="auto"/>
                <w:highlight w:val="none"/>
              </w:rPr>
            </w:pPr>
          </w:p>
        </w:tc>
        <w:tc>
          <w:tcPr>
            <w:tcW w:w="1362" w:type="dxa"/>
            <w:noWrap w:val="0"/>
            <w:vAlign w:val="center"/>
          </w:tcPr>
          <w:p w14:paraId="5A94645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备品备件保障措施</w:t>
            </w:r>
          </w:p>
          <w:p w14:paraId="6053A9D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922" w:type="dxa"/>
            <w:shd w:val="clear" w:color="auto" w:fill="auto"/>
            <w:noWrap w:val="0"/>
            <w:vAlign w:val="center"/>
          </w:tcPr>
          <w:p w14:paraId="4C2A48E3">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针对本项目</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提供的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备件库</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距离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、备件种类及数量情况</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、备件质量保证措施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进行评分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24A0B980">
            <w:pPr>
              <w:keepNext w:val="0"/>
              <w:keepLines w:val="0"/>
              <w:pageBreakBefore w:val="0"/>
              <w:widowControl/>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1.备件库备件种类、数量及方便性完全满足采购人需求的，得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p w14:paraId="4EFDC691">
            <w:pPr>
              <w:keepNext w:val="0"/>
              <w:keepLines w:val="0"/>
              <w:pageBreakBefore w:val="0"/>
              <w:widowControl/>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2.备件库备件种类、数量及方便性基本满足采购人需求的，得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p w14:paraId="37E8D026">
            <w:pPr>
              <w:keepNext w:val="0"/>
              <w:keepLines w:val="0"/>
              <w:pageBreakBefore w:val="0"/>
              <w:widowControl/>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3.备件库备件种类、数量及方便性能不满足采购人需求的，得1分；</w:t>
            </w:r>
          </w:p>
          <w:p w14:paraId="691A9BD9">
            <w:pPr>
              <w:keepNext w:val="0"/>
              <w:keepLines w:val="0"/>
              <w:pageBreakBefore w:val="0"/>
              <w:widowControl/>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auto"/>
                <w:kern w:val="2"/>
                <w:sz w:val="21"/>
                <w:szCs w:val="21"/>
                <w:highlight w:val="none"/>
                <w:lang w:val="en-US" w:eastAsia="zh-CN" w:bidi="ar-SA"/>
              </w:rPr>
              <w:t>缺项得0分。</w:t>
            </w:r>
          </w:p>
          <w:p w14:paraId="7C91B941">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注：需提供备件库租赁或买卖合同，详细备件报价清单</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等资料</w:t>
            </w:r>
          </w:p>
        </w:tc>
      </w:tr>
      <w:tr w14:paraId="348C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198" w:type="dxa"/>
            <w:vMerge w:val="continue"/>
            <w:noWrap w:val="0"/>
            <w:vAlign w:val="center"/>
          </w:tcPr>
          <w:p w14:paraId="540F3068">
            <w:pPr>
              <w:keepNext w:val="0"/>
              <w:keepLines w:val="0"/>
              <w:pageBreakBefore w:val="0"/>
              <w:kinsoku/>
              <w:wordWrap/>
              <w:overflowPunct/>
              <w:topLinePunct w:val="0"/>
              <w:bidi w:val="0"/>
              <w:snapToGrid w:val="0"/>
              <w:spacing w:line="340" w:lineRule="exact"/>
              <w:jc w:val="both"/>
              <w:textAlignment w:val="auto"/>
              <w:rPr>
                <w:color w:val="auto"/>
                <w:highlight w:val="none"/>
              </w:rPr>
            </w:pPr>
          </w:p>
        </w:tc>
        <w:tc>
          <w:tcPr>
            <w:tcW w:w="1362" w:type="dxa"/>
            <w:noWrap w:val="0"/>
            <w:vAlign w:val="center"/>
          </w:tcPr>
          <w:p w14:paraId="262C74F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default" w:eastAsia="宋体"/>
                <w:color w:val="auto"/>
                <w:highlight w:val="none"/>
                <w:lang w:val="en-US" w:eastAsia="zh-CN"/>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应急响应方案（</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922" w:type="dxa"/>
            <w:shd w:val="clear" w:color="auto" w:fill="auto"/>
            <w:noWrap w:val="0"/>
            <w:vAlign w:val="center"/>
          </w:tcPr>
          <w:p w14:paraId="00669176">
            <w:pPr>
              <w:keepNext w:val="0"/>
              <w:keepLines w:val="0"/>
              <w:widowControl/>
              <w:suppressLineNumbers w:val="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根据供应商提供的</w:t>
            </w:r>
            <w:r>
              <w:rPr>
                <w:rFonts w:hint="eastAsia" w:ascii="宋体" w:hAnsi="宋体" w:eastAsia="宋体" w:cs="宋体"/>
                <w:color w:val="000000" w:themeColor="text1"/>
                <w:highlight w:val="none"/>
                <w:lang w:val="en-US" w:eastAsia="zh-CN"/>
                <w14:textFill>
                  <w14:solidFill>
                    <w14:schemeClr w14:val="tx1"/>
                  </w14:solidFill>
                </w14:textFill>
              </w:rPr>
              <w:t>应急响应方案（包括但不限于故障、停机等相关措施）进行评分。</w:t>
            </w:r>
          </w:p>
          <w:p w14:paraId="12848F34">
            <w:pPr>
              <w:keepNext w:val="0"/>
              <w:keepLines w:val="0"/>
              <w:widowControl/>
              <w:numPr>
                <w:ilvl w:val="0"/>
                <w:numId w:val="0"/>
              </w:numPr>
              <w:suppressLineNumbers w:val="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1.应急响应方案全面详尽，应急处理流程、处置方法科学合理、可行的得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分；</w:t>
            </w:r>
          </w:p>
          <w:p w14:paraId="450FDDCA">
            <w:pPr>
              <w:keepNext w:val="0"/>
              <w:keepLines w:val="0"/>
              <w:widowControl/>
              <w:numPr>
                <w:ilvl w:val="0"/>
                <w:numId w:val="0"/>
              </w:numPr>
              <w:suppressLineNumbers w:val="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2.应急响应方案较为详尽，应急处理流程、处置方法基本合理的得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分；3.应急处理流程、处置方法不合理的得1分。</w:t>
            </w:r>
          </w:p>
          <w:p w14:paraId="5554145E">
            <w:pPr>
              <w:keepNext w:val="0"/>
              <w:keepLines w:val="0"/>
              <w:widowControl/>
              <w:numPr>
                <w:ilvl w:val="0"/>
                <w:numId w:val="0"/>
              </w:numPr>
              <w:suppressLineNumbers w:val="0"/>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auto"/>
                <w:kern w:val="2"/>
                <w:sz w:val="21"/>
                <w:szCs w:val="21"/>
                <w:highlight w:val="none"/>
                <w:lang w:val="en-US" w:eastAsia="zh-CN" w:bidi="ar-SA"/>
              </w:rPr>
              <w:t>缺项得0分。</w:t>
            </w:r>
          </w:p>
        </w:tc>
      </w:tr>
      <w:tr w14:paraId="0BA4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98" w:type="dxa"/>
            <w:vMerge w:val="restart"/>
            <w:noWrap w:val="0"/>
            <w:vAlign w:val="center"/>
          </w:tcPr>
          <w:p w14:paraId="3CC3BBB3">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2EC470D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分)</w:t>
            </w:r>
          </w:p>
        </w:tc>
        <w:tc>
          <w:tcPr>
            <w:tcW w:w="1362" w:type="dxa"/>
            <w:tcBorders>
              <w:top w:val="single" w:color="auto" w:sz="4" w:space="0"/>
            </w:tcBorders>
            <w:noWrap w:val="0"/>
            <w:vAlign w:val="center"/>
          </w:tcPr>
          <w:p w14:paraId="417DF883">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类似业绩</w:t>
            </w:r>
          </w:p>
          <w:p w14:paraId="52B742E2">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922" w:type="dxa"/>
            <w:noWrap w:val="0"/>
            <w:vAlign w:val="top"/>
          </w:tcPr>
          <w:p w14:paraId="30951BA6">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6502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vMerge w:val="continue"/>
            <w:noWrap w:val="0"/>
            <w:vAlign w:val="center"/>
          </w:tcPr>
          <w:p w14:paraId="0F174E0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noWrap w:val="0"/>
            <w:vAlign w:val="center"/>
          </w:tcPr>
          <w:p w14:paraId="7E69D485">
            <w:pPr>
              <w:keepNext w:val="0"/>
              <w:keepLines w:val="0"/>
              <w:pageBreakBefore w:val="0"/>
              <w:kinsoku/>
              <w:wordWrap/>
              <w:overflowPunct/>
              <w:topLinePunct w:val="0"/>
              <w:bidi w:val="0"/>
              <w:snapToGrid w:val="0"/>
              <w:spacing w:line="340" w:lineRule="exact"/>
              <w:jc w:val="center"/>
              <w:textAlignment w:val="auto"/>
              <w:rPr>
                <w:rFonts w:hint="eastAsia"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2.增值服务</w:t>
            </w:r>
          </w:p>
          <w:p w14:paraId="1D018811">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（2分）</w:t>
            </w:r>
          </w:p>
        </w:tc>
        <w:tc>
          <w:tcPr>
            <w:tcW w:w="6922" w:type="dxa"/>
            <w:noWrap w:val="0"/>
            <w:vAlign w:val="center"/>
          </w:tcPr>
          <w:p w14:paraId="505E0254">
            <w:pPr>
              <w:pStyle w:val="51"/>
              <w:keepNext w:val="0"/>
              <w:keepLines w:val="0"/>
              <w:pageBreakBefore w:val="0"/>
              <w:kinsoku/>
              <w:wordWrap/>
              <w:overflowPunct/>
              <w:topLinePunct w:val="0"/>
              <w:bidi w:val="0"/>
              <w:spacing w:line="34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根据供应商在满足竞争性磋商文件要求的基础上另外提出的</w:t>
            </w:r>
            <w:r>
              <w:rPr>
                <w:rFonts w:hint="eastAsia" w:ascii="宋体" w:hAnsi="宋体" w:cs="宋体"/>
                <w:color w:val="auto"/>
                <w:kern w:val="2"/>
                <w:sz w:val="21"/>
                <w:szCs w:val="21"/>
                <w:highlight w:val="none"/>
                <w:lang w:val="en-US" w:eastAsia="zh-CN" w:bidi="ar-SA"/>
              </w:rPr>
              <w:t>增值服务</w:t>
            </w:r>
            <w:r>
              <w:rPr>
                <w:rFonts w:hint="eastAsia" w:ascii="宋体" w:hAnsi="宋体" w:eastAsia="宋体" w:cs="宋体"/>
                <w:color w:val="auto"/>
                <w:kern w:val="2"/>
                <w:sz w:val="21"/>
                <w:szCs w:val="21"/>
                <w:highlight w:val="none"/>
                <w:lang w:val="en-US" w:eastAsia="zh-CN" w:bidi="ar-SA"/>
              </w:rPr>
              <w:t>进行评比：每提供一项对采购人有利的、切实可行的实质性</w:t>
            </w:r>
            <w:r>
              <w:rPr>
                <w:rFonts w:hint="eastAsia" w:ascii="宋体" w:hAnsi="宋体" w:cs="宋体"/>
                <w:color w:val="auto"/>
                <w:kern w:val="2"/>
                <w:sz w:val="21"/>
                <w:szCs w:val="21"/>
                <w:highlight w:val="none"/>
                <w:lang w:val="en-US" w:eastAsia="zh-CN" w:bidi="ar-SA"/>
              </w:rPr>
              <w:t>增值服务</w:t>
            </w:r>
            <w:r>
              <w:rPr>
                <w:rFonts w:hint="eastAsia" w:ascii="宋体" w:hAnsi="宋体" w:eastAsia="宋体" w:cs="宋体"/>
                <w:color w:val="auto"/>
                <w:kern w:val="2"/>
                <w:sz w:val="21"/>
                <w:szCs w:val="21"/>
                <w:highlight w:val="none"/>
                <w:lang w:val="en-US" w:eastAsia="zh-CN" w:bidi="ar-SA"/>
              </w:rPr>
              <w:t>得1分，最多得2分。缺项得0分。</w:t>
            </w:r>
          </w:p>
        </w:tc>
      </w:tr>
      <w:tr w14:paraId="1004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vMerge w:val="continue"/>
            <w:noWrap w:val="0"/>
            <w:vAlign w:val="center"/>
          </w:tcPr>
          <w:p w14:paraId="4AF4E861">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noWrap w:val="0"/>
            <w:vAlign w:val="center"/>
          </w:tcPr>
          <w:p w14:paraId="6E42DA28">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3.售后服务</w:t>
            </w:r>
          </w:p>
          <w:p w14:paraId="775D9F21">
            <w:pPr>
              <w:keepNext w:val="0"/>
              <w:keepLines w:val="0"/>
              <w:pageBreakBefore w:val="0"/>
              <w:kinsoku/>
              <w:wordWrap/>
              <w:overflowPunct/>
              <w:topLinePunct w:val="0"/>
              <w:bidi w:val="0"/>
              <w:snapToGrid w:val="0"/>
              <w:spacing w:line="320" w:lineRule="exact"/>
              <w:jc w:val="center"/>
              <w:rPr>
                <w:rFonts w:hint="eastAsia"/>
                <w:color w:val="auto"/>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922" w:type="dxa"/>
            <w:noWrap w:val="0"/>
            <w:vAlign w:val="center"/>
          </w:tcPr>
          <w:p w14:paraId="037A734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根据</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服务网点地址、</w:t>
            </w:r>
            <w:r>
              <w:rPr>
                <w:rFonts w:hint="eastAsia" w:ascii="宋体" w:hAnsi="宋体" w:cs="宋体"/>
                <w:color w:val="000000" w:themeColor="text1"/>
                <w:highlight w:val="none"/>
                <w:lang w:val="en-US" w:eastAsia="zh-CN"/>
                <w14:textFill>
                  <w14:solidFill>
                    <w14:schemeClr w14:val="tx1"/>
                  </w14:solidFill>
                </w14:textFill>
              </w:rPr>
              <w:t>售后服务流程</w:t>
            </w:r>
            <w:r>
              <w:rPr>
                <w:rFonts w:hint="eastAsia" w:ascii="宋体" w:hAnsi="宋体" w:eastAsia="宋体" w:cs="宋体"/>
                <w:color w:val="000000" w:themeColor="text1"/>
                <w:highlight w:val="none"/>
                <w14:textFill>
                  <w14:solidFill>
                    <w14:schemeClr w14:val="tx1"/>
                  </w14:solidFill>
                </w14:textFill>
              </w:rPr>
              <w:t>、服务及时率、</w:t>
            </w:r>
            <w:r>
              <w:rPr>
                <w:rFonts w:hint="eastAsia" w:ascii="宋体" w:hAnsi="宋体" w:cs="宋体"/>
                <w:color w:val="000000" w:themeColor="text1"/>
                <w:highlight w:val="none"/>
                <w:lang w:val="en-US" w:eastAsia="zh-CN"/>
                <w14:textFill>
                  <w14:solidFill>
                    <w14:schemeClr w14:val="tx1"/>
                  </w14:solidFill>
                </w14:textFill>
              </w:rPr>
              <w:t>投诉反馈与处理</w:t>
            </w:r>
            <w:r>
              <w:rPr>
                <w:rFonts w:hint="eastAsia" w:ascii="宋体" w:hAnsi="宋体" w:eastAsia="宋体" w:cs="宋体"/>
                <w:color w:val="000000" w:themeColor="text1"/>
                <w:highlight w:val="none"/>
                <w14:textFill>
                  <w14:solidFill>
                    <w14:schemeClr w14:val="tx1"/>
                  </w14:solidFill>
                </w14:textFill>
              </w:rPr>
              <w:t>等</w:t>
            </w:r>
            <w:r>
              <w:rPr>
                <w:rFonts w:hint="eastAsia" w:ascii="宋体" w:hAnsi="宋体" w:cs="宋体"/>
                <w:color w:val="000000" w:themeColor="text1"/>
                <w:highlight w:val="none"/>
                <w:lang w:val="en-US" w:eastAsia="zh-CN"/>
                <w14:textFill>
                  <w14:solidFill>
                    <w14:schemeClr w14:val="tx1"/>
                  </w14:solidFill>
                </w14:textFill>
              </w:rPr>
              <w:t>进行</w:t>
            </w:r>
            <w:r>
              <w:rPr>
                <w:rFonts w:hint="eastAsia" w:ascii="宋体" w:hAnsi="宋体" w:eastAsia="宋体" w:cs="宋体"/>
                <w:color w:val="000000" w:themeColor="text1"/>
                <w:highlight w:val="none"/>
                <w:lang w:val="en-US" w:eastAsia="zh-CN"/>
                <w14:textFill>
                  <w14:solidFill>
                    <w14:schemeClr w14:val="tx1"/>
                  </w14:solidFill>
                </w14:textFill>
              </w:rPr>
              <w:t>评分</w:t>
            </w:r>
            <w:r>
              <w:rPr>
                <w:rFonts w:hint="eastAsia" w:ascii="宋体" w:hAnsi="宋体" w:eastAsia="宋体" w:cs="宋体"/>
                <w:color w:val="000000" w:themeColor="text1"/>
                <w:highlight w:val="none"/>
                <w14:textFill>
                  <w14:solidFill>
                    <w14:schemeClr w14:val="tx1"/>
                  </w14:solidFill>
                </w14:textFill>
              </w:rPr>
              <w:t>；</w:t>
            </w:r>
          </w:p>
          <w:p w14:paraId="79565BBA">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以上内容具体、完善、合理性程度强得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p>
          <w:p w14:paraId="4FCD9958">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具体、完善、合理性程度</w:t>
            </w:r>
            <w:r>
              <w:rPr>
                <w:rFonts w:hint="eastAsia" w:ascii="宋体" w:hAnsi="宋体" w:eastAsia="宋体" w:cs="宋体"/>
                <w:color w:val="000000" w:themeColor="text1"/>
                <w:highlight w:val="none"/>
                <w:lang w:val="en-US" w:eastAsia="zh-CN"/>
                <w14:textFill>
                  <w14:solidFill>
                    <w14:schemeClr w14:val="tx1"/>
                  </w14:solidFill>
                </w14:textFill>
              </w:rPr>
              <w:t>较强</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p w14:paraId="3AE94BA6">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具体、完善、合理性程度</w:t>
            </w:r>
            <w:r>
              <w:rPr>
                <w:rFonts w:hint="eastAsia" w:ascii="宋体" w:hAnsi="宋体" w:eastAsia="宋体" w:cs="宋体"/>
                <w:color w:val="000000" w:themeColor="text1"/>
                <w:highlight w:val="none"/>
                <w:lang w:val="en-US" w:eastAsia="zh-CN"/>
                <w14:textFill>
                  <w14:solidFill>
                    <w14:schemeClr w14:val="tx1"/>
                  </w14:solidFill>
                </w14:textFill>
              </w:rPr>
              <w:t>一般</w:t>
            </w:r>
            <w:r>
              <w:rPr>
                <w:rFonts w:hint="eastAsia" w:ascii="宋体" w:hAnsi="宋体" w:cs="宋体"/>
                <w:color w:val="000000" w:themeColor="text1"/>
                <w:highlight w:val="none"/>
                <w:lang w:val="en-US" w:eastAsia="zh-CN"/>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val="en-US" w:eastAsia="zh-CN"/>
                <w14:textFill>
                  <w14:solidFill>
                    <w14:schemeClr w14:val="tx1"/>
                  </w14:solidFill>
                </w14:textFill>
              </w:rPr>
              <w:t>。</w:t>
            </w:r>
          </w:p>
          <w:p w14:paraId="47B9ADCF">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缺项得0分。</w:t>
            </w:r>
          </w:p>
        </w:tc>
      </w:tr>
      <w:tr w14:paraId="2E61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vMerge w:val="continue"/>
            <w:noWrap w:val="0"/>
            <w:vAlign w:val="center"/>
          </w:tcPr>
          <w:p w14:paraId="024B5DB9">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noWrap w:val="0"/>
            <w:vAlign w:val="center"/>
          </w:tcPr>
          <w:p w14:paraId="6902C9CB">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4.培训方案（3分）</w:t>
            </w:r>
          </w:p>
        </w:tc>
        <w:tc>
          <w:tcPr>
            <w:tcW w:w="6922" w:type="dxa"/>
            <w:noWrap w:val="0"/>
            <w:vAlign w:val="center"/>
          </w:tcPr>
          <w:p w14:paraId="118DDF89">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供应商应根据医院现状提供针对本项目的培训方案，为医院培养合格的操作人员，方案应包含但不限于：①培训内容；②培训人员安排；③培训计划。</w:t>
            </w:r>
          </w:p>
          <w:p w14:paraId="21E6CFAE">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培训方案内容完整详实，</w:t>
            </w:r>
            <w:r>
              <w:rPr>
                <w:rFonts w:hint="eastAsia" w:ascii="宋体" w:hAnsi="宋体" w:eastAsia="宋体" w:cs="宋体"/>
                <w:b w:val="0"/>
                <w:bCs w:val="0"/>
                <w:color w:val="auto"/>
                <w:sz w:val="21"/>
                <w:szCs w:val="21"/>
                <w:highlight w:val="none"/>
                <w:lang w:val="en-US" w:eastAsia="zh-CN"/>
              </w:rPr>
              <w:t>人员安排合理，计划切实可行，具有很强针对性，完全满足</w:t>
            </w:r>
            <w:r>
              <w:rPr>
                <w:rFonts w:hint="eastAsia" w:ascii="宋体" w:hAnsi="宋体" w:cs="宋体"/>
                <w:b w:val="0"/>
                <w:bCs w:val="0"/>
                <w:color w:val="auto"/>
                <w:sz w:val="21"/>
                <w:szCs w:val="21"/>
                <w:highlight w:val="none"/>
                <w:lang w:val="en-US" w:eastAsia="zh-CN"/>
              </w:rPr>
              <w:t>采购需求</w:t>
            </w:r>
            <w:r>
              <w:rPr>
                <w:rFonts w:hint="eastAsia" w:ascii="宋体" w:hAnsi="宋体" w:eastAsia="宋体" w:cs="宋体"/>
                <w:b w:val="0"/>
                <w:bCs w:val="0"/>
                <w:color w:val="auto"/>
                <w:sz w:val="21"/>
                <w:szCs w:val="21"/>
                <w:highlight w:val="none"/>
                <w:lang w:val="en-US" w:eastAsia="zh-CN"/>
              </w:rPr>
              <w:t>的得3分；</w:t>
            </w:r>
          </w:p>
          <w:p w14:paraId="54D0DAE9">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培训方案内容</w:t>
            </w:r>
            <w:r>
              <w:rPr>
                <w:rFonts w:hint="eastAsia" w:ascii="宋体" w:hAnsi="宋体" w:eastAsia="宋体" w:cs="宋体"/>
                <w:b w:val="0"/>
                <w:bCs w:val="0"/>
                <w:color w:val="auto"/>
                <w:sz w:val="21"/>
                <w:szCs w:val="21"/>
                <w:highlight w:val="none"/>
                <w:lang w:val="en-US" w:eastAsia="zh-CN"/>
              </w:rPr>
              <w:t>基本具备，人员安排比较合理，计划基本可行，具有较强针对性，基本满足</w:t>
            </w:r>
            <w:r>
              <w:rPr>
                <w:rFonts w:hint="eastAsia" w:ascii="宋体" w:hAnsi="宋体" w:cs="宋体"/>
                <w:b w:val="0"/>
                <w:bCs w:val="0"/>
                <w:color w:val="auto"/>
                <w:sz w:val="21"/>
                <w:szCs w:val="21"/>
                <w:highlight w:val="none"/>
                <w:lang w:val="en-US" w:eastAsia="zh-CN"/>
              </w:rPr>
              <w:t>采购需求</w:t>
            </w:r>
            <w:r>
              <w:rPr>
                <w:rFonts w:hint="eastAsia" w:ascii="宋体" w:hAnsi="宋体" w:eastAsia="宋体" w:cs="宋体"/>
                <w:b w:val="0"/>
                <w:bCs w:val="0"/>
                <w:color w:val="auto"/>
                <w:sz w:val="21"/>
                <w:szCs w:val="21"/>
                <w:highlight w:val="none"/>
                <w:lang w:val="en-US" w:eastAsia="zh-CN"/>
              </w:rPr>
              <w:t>的得2分；</w:t>
            </w:r>
          </w:p>
          <w:p w14:paraId="61D4C901">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培训方案泛泛而谈，</w:t>
            </w:r>
            <w:r>
              <w:rPr>
                <w:rFonts w:hint="eastAsia" w:ascii="宋体" w:hAnsi="宋体" w:eastAsia="宋体" w:cs="宋体"/>
                <w:b w:val="0"/>
                <w:bCs w:val="0"/>
                <w:color w:val="auto"/>
                <w:sz w:val="21"/>
                <w:szCs w:val="21"/>
                <w:highlight w:val="none"/>
                <w:lang w:val="en-US" w:eastAsia="zh-CN"/>
              </w:rPr>
              <w:t>人员安排</w:t>
            </w:r>
            <w:r>
              <w:rPr>
                <w:rFonts w:hint="default" w:ascii="宋体" w:hAnsi="宋体" w:eastAsia="宋体" w:cs="宋体"/>
                <w:b w:val="0"/>
                <w:bCs w:val="0"/>
                <w:color w:val="auto"/>
                <w:sz w:val="21"/>
                <w:szCs w:val="21"/>
                <w:highlight w:val="none"/>
                <w:lang w:val="en-US" w:eastAsia="zh-CN"/>
              </w:rPr>
              <w:t>缺乏实际考虑，</w:t>
            </w:r>
            <w:r>
              <w:rPr>
                <w:rFonts w:hint="eastAsia" w:ascii="宋体" w:hAnsi="宋体" w:eastAsia="宋体" w:cs="宋体"/>
                <w:b w:val="0"/>
                <w:bCs w:val="0"/>
                <w:color w:val="auto"/>
                <w:sz w:val="21"/>
                <w:szCs w:val="21"/>
                <w:highlight w:val="none"/>
                <w:lang w:val="en-US" w:eastAsia="zh-CN"/>
              </w:rPr>
              <w:t>计划</w:t>
            </w:r>
            <w:r>
              <w:rPr>
                <w:rFonts w:hint="default" w:ascii="宋体" w:hAnsi="宋体" w:eastAsia="宋体" w:cs="宋体"/>
                <w:b w:val="0"/>
                <w:bCs w:val="0"/>
                <w:color w:val="auto"/>
                <w:sz w:val="21"/>
                <w:szCs w:val="21"/>
                <w:highlight w:val="none"/>
                <w:lang w:val="en-US" w:eastAsia="zh-CN"/>
              </w:rPr>
              <w:t>执行起来有一定困难，</w:t>
            </w:r>
            <w:r>
              <w:rPr>
                <w:rFonts w:hint="eastAsia" w:ascii="宋体" w:hAnsi="宋体" w:eastAsia="宋体" w:cs="宋体"/>
                <w:b w:val="0"/>
                <w:bCs w:val="0"/>
                <w:color w:val="auto"/>
                <w:sz w:val="21"/>
                <w:szCs w:val="21"/>
                <w:highlight w:val="none"/>
                <w:lang w:val="en-US" w:eastAsia="zh-CN"/>
              </w:rPr>
              <w:t>缺乏针对性或不能满足</w:t>
            </w:r>
            <w:r>
              <w:rPr>
                <w:rFonts w:hint="eastAsia" w:ascii="宋体" w:hAnsi="宋体" w:cs="宋体"/>
                <w:b w:val="0"/>
                <w:bCs w:val="0"/>
                <w:color w:val="auto"/>
                <w:sz w:val="21"/>
                <w:szCs w:val="21"/>
                <w:highlight w:val="none"/>
                <w:lang w:val="en-US" w:eastAsia="zh-CN"/>
              </w:rPr>
              <w:t>采购需求</w:t>
            </w:r>
            <w:r>
              <w:rPr>
                <w:rFonts w:hint="eastAsia" w:ascii="宋体" w:hAnsi="宋体" w:eastAsia="宋体" w:cs="宋体"/>
                <w:b w:val="0"/>
                <w:bCs w:val="0"/>
                <w:color w:val="auto"/>
                <w:sz w:val="21"/>
                <w:szCs w:val="21"/>
                <w:highlight w:val="none"/>
                <w:lang w:val="en-US" w:eastAsia="zh-CN"/>
              </w:rPr>
              <w:t>的得1分；</w:t>
            </w:r>
          </w:p>
          <w:p w14:paraId="383D90D9">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color w:val="auto"/>
                <w:kern w:val="2"/>
                <w:sz w:val="21"/>
                <w:szCs w:val="21"/>
                <w:highlight w:val="none"/>
                <w:lang w:val="en-US" w:eastAsia="zh-CN" w:bidi="ar-SA"/>
              </w:rPr>
              <w:t>缺项得0分。</w:t>
            </w:r>
          </w:p>
        </w:tc>
      </w:tr>
      <w:tr w14:paraId="7931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618E859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459AA826">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083C6F8">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57411AC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256519703"/>
      <w:bookmarkStart w:id="53" w:name="_Toc326786897"/>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23FB5989">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5DAFD33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4F6B6869">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43680981">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28392"/>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0"/>
      <w:r>
        <w:rPr>
          <w:rFonts w:hint="eastAsia" w:ascii="宋体" w:hAnsi="宋体" w:eastAsia="宋体" w:cs="宋体"/>
          <w:color w:val="auto"/>
          <w:sz w:val="24"/>
          <w:highlight w:val="none"/>
          <w:lang w:val="en-US" w:eastAsia="zh-CN"/>
        </w:rPr>
        <w:t>表（格式）</w:t>
      </w:r>
    </w:p>
    <w:p w14:paraId="0AC08011">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1" w:name="_Toc6234"/>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 商务</w:t>
      </w:r>
      <w:bookmarkEnd w:id="61"/>
      <w:r>
        <w:rPr>
          <w:rFonts w:hint="eastAsia" w:ascii="宋体" w:hAnsi="宋体" w:eastAsia="宋体" w:cs="宋体"/>
          <w:color w:val="auto"/>
          <w:sz w:val="24"/>
          <w:highlight w:val="none"/>
          <w:lang w:val="en-US" w:eastAsia="zh-CN"/>
        </w:rPr>
        <w:t>响应表（格式）</w:t>
      </w:r>
    </w:p>
    <w:p w14:paraId="5B44FA91">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2" w:name="_Toc26231"/>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2"/>
    </w:p>
    <w:p w14:paraId="5099C9C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18484"/>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3"/>
    </w:p>
    <w:p w14:paraId="3350F05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31857"/>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 证明文件</w:t>
      </w:r>
      <w:bookmarkEnd w:id="64"/>
    </w:p>
    <w:p w14:paraId="17CF521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23116"/>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 xml:space="preserve"> 供应商承诺书（格式）</w:t>
      </w:r>
      <w:bookmarkEnd w:id="65"/>
    </w:p>
    <w:p w14:paraId="6972F837">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 xml:space="preserve">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9"/>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6" w:name="_Toc24743"/>
      <w:bookmarkStart w:id="67"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6"/>
      <w:bookmarkEnd w:id="67"/>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9"/>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8" w:name="_Toc8818"/>
      <w:bookmarkStart w:id="69" w:name="_Toc14560"/>
      <w:r>
        <w:rPr>
          <w:rFonts w:hint="eastAsia" w:ascii="宋体" w:hAnsi="宋体" w:eastAsia="宋体" w:cs="宋体"/>
          <w:color w:val="auto"/>
          <w:sz w:val="28"/>
          <w:szCs w:val="28"/>
          <w:highlight w:val="none"/>
          <w:lang w:val="en-US" w:eastAsia="zh-CN"/>
        </w:rPr>
        <w:t>附件2      竞争性磋商响应书（格式）</w:t>
      </w:r>
      <w:bookmarkEnd w:id="68"/>
      <w:bookmarkEnd w:id="69"/>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0" w:name="_Toc7838"/>
      <w:r>
        <w:rPr>
          <w:rFonts w:hint="eastAsia" w:ascii="宋体" w:hAnsi="宋体" w:eastAsia="宋体" w:cs="宋体"/>
          <w:color w:val="auto"/>
          <w:sz w:val="28"/>
          <w:szCs w:val="28"/>
          <w:highlight w:val="none"/>
          <w:lang w:val="en-US" w:eastAsia="zh-CN"/>
        </w:rPr>
        <w:t>附件3        初次报价一览表</w:t>
      </w:r>
      <w:bookmarkEnd w:id="70"/>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2"/>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1" w:name="_Toc20877"/>
      <w:bookmarkStart w:id="72" w:name="_Toc11620"/>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5DCFBC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3" w:name="_Toc2747"/>
      <w:r>
        <w:rPr>
          <w:rFonts w:hint="eastAsia" w:ascii="宋体" w:hAnsi="宋体" w:eastAsia="宋体" w:cs="宋体"/>
          <w:color w:val="auto"/>
          <w:sz w:val="21"/>
          <w:szCs w:val="21"/>
          <w:highlight w:val="none"/>
          <w:lang w:val="en-US" w:eastAsia="zh-CN"/>
        </w:rPr>
        <w:t>2、</w:t>
      </w:r>
      <w:bookmarkEnd w:id="73"/>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D5BCB5F">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1"/>
      <w:bookmarkEnd w:id="72"/>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8"/>
    <w:bookmarkEnd w:id="79"/>
    <w:p w14:paraId="568848E2">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26"/>
      <w:bookmarkStart w:id="81" w:name="_Toc15804"/>
      <w:r>
        <w:rPr>
          <w:rFonts w:hint="eastAsia" w:ascii="宋体" w:hAnsi="宋体" w:eastAsia="宋体" w:cs="宋体"/>
          <w:color w:val="auto"/>
          <w:sz w:val="28"/>
          <w:szCs w:val="28"/>
          <w:highlight w:val="none"/>
          <w:lang w:val="en-US" w:eastAsia="zh-CN"/>
        </w:rPr>
        <w:t xml:space="preserve">附件4        </w:t>
      </w:r>
      <w:bookmarkEnd w:id="80"/>
      <w:bookmarkEnd w:id="81"/>
      <w:r>
        <w:rPr>
          <w:rFonts w:hint="eastAsia" w:ascii="宋体" w:hAnsi="宋体" w:eastAsia="宋体" w:cs="宋体"/>
          <w:color w:val="auto"/>
          <w:sz w:val="28"/>
          <w:szCs w:val="28"/>
          <w:highlight w:val="none"/>
          <w:lang w:val="en-US" w:eastAsia="zh-CN"/>
        </w:rPr>
        <w:t>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footerReference r:id="rId5" w:type="default"/>
          <w:pgSz w:w="11906" w:h="16838"/>
          <w:pgMar w:top="1417" w:right="1474" w:bottom="1417" w:left="1474" w:header="851" w:footer="624" w:gutter="0"/>
          <w:pgNumType w:fmt="decimal"/>
          <w:cols w:space="720" w:num="1"/>
          <w:docGrid w:type="lines" w:linePitch="319" w:charSpace="0"/>
        </w:sectPr>
      </w:pPr>
    </w:p>
    <w:p w14:paraId="4DAF514B">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附件4.1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4168"/>
      <w:bookmarkStart w:id="83" w:name="_Toc20420"/>
      <w:bookmarkStart w:id="84" w:name="_Toc29960"/>
      <w:r>
        <w:rPr>
          <w:rFonts w:hint="eastAsia" w:ascii="宋体" w:hAnsi="宋体" w:eastAsia="宋体" w:cs="宋体"/>
          <w:color w:val="auto"/>
          <w:sz w:val="28"/>
          <w:szCs w:val="28"/>
          <w:highlight w:val="none"/>
          <w:lang w:val="en-US" w:eastAsia="zh-CN"/>
        </w:rPr>
        <w:t>附件5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01" w:type="dxa"/>
            <w:noWrap w:val="0"/>
            <w:vAlign w:val="center"/>
          </w:tcPr>
          <w:p w14:paraId="7A24A9AD">
            <w:pPr>
              <w:widowControl/>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服务质量</w:t>
            </w: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301" w:type="dxa"/>
            <w:noWrap w:val="0"/>
            <w:vAlign w:val="center"/>
          </w:tcPr>
          <w:p w14:paraId="32D265A2">
            <w:pPr>
              <w:widowControl/>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服务期限</w:t>
            </w: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301" w:type="dxa"/>
            <w:noWrap w:val="0"/>
            <w:vAlign w:val="center"/>
          </w:tcPr>
          <w:p w14:paraId="5FBC217B">
            <w:pPr>
              <w:widowControl/>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服务地点</w:t>
            </w: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301" w:type="dxa"/>
            <w:noWrap w:val="0"/>
            <w:vAlign w:val="center"/>
          </w:tcPr>
          <w:p w14:paraId="72B55C4B">
            <w:pPr>
              <w:widowControl/>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付款方式</w:t>
            </w: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301" w:type="dxa"/>
            <w:noWrap w:val="0"/>
            <w:vAlign w:val="center"/>
          </w:tcPr>
          <w:p w14:paraId="4446CD0C">
            <w:pPr>
              <w:widowControl/>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维修</w:t>
            </w:r>
            <w:r>
              <w:rPr>
                <w:rFonts w:hint="eastAsia" w:ascii="宋体" w:hAnsi="宋体" w:eastAsia="宋体" w:cs="宋体"/>
                <w:color w:val="auto"/>
                <w:kern w:val="0"/>
                <w:sz w:val="21"/>
                <w:szCs w:val="21"/>
                <w:highlight w:val="none"/>
              </w:rPr>
              <w:t>响应时间</w:t>
            </w: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301" w:type="dxa"/>
            <w:noWrap w:val="0"/>
            <w:vAlign w:val="center"/>
          </w:tcPr>
          <w:p w14:paraId="4AAABEAA">
            <w:pPr>
              <w:widowControl/>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其他要求</w:t>
            </w: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74A0B2F">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附件6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3976"/>
      <w:bookmarkStart w:id="89" w:name="_Toc12939"/>
      <w:bookmarkStart w:id="90" w:name="_Toc30519"/>
      <w:r>
        <w:rPr>
          <w:rFonts w:hint="eastAsia" w:ascii="宋体" w:hAnsi="宋体" w:eastAsia="宋体" w:cs="宋体"/>
          <w:color w:val="auto"/>
          <w:sz w:val="28"/>
          <w:szCs w:val="28"/>
          <w:highlight w:val="none"/>
          <w:lang w:val="en-US" w:eastAsia="zh-CN"/>
        </w:rPr>
        <w:t>附件7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693"/>
      <w:bookmarkStart w:id="92" w:name="_Toc3342"/>
      <w:bookmarkStart w:id="93" w:name="_Toc18105"/>
      <w:r>
        <w:rPr>
          <w:rFonts w:hint="eastAsia" w:ascii="宋体" w:hAnsi="宋体" w:eastAsia="宋体" w:cs="宋体"/>
          <w:color w:val="auto"/>
          <w:sz w:val="28"/>
          <w:szCs w:val="28"/>
          <w:highlight w:val="none"/>
          <w:lang w:val="en-US" w:eastAsia="zh-CN"/>
        </w:rPr>
        <w:t>附件8          证明文件</w:t>
      </w:r>
      <w:bookmarkEnd w:id="91"/>
      <w:bookmarkEnd w:id="92"/>
      <w:bookmarkEnd w:id="93"/>
    </w:p>
    <w:p w14:paraId="34A13265">
      <w:pPr>
        <w:pStyle w:val="14"/>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4"/>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lang w:val="en-US" w:eastAsia="zh-CN"/>
        </w:rPr>
        <w:t>.2</w:t>
      </w:r>
      <w:bookmarkStart w:id="94"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4"/>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4"/>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5" w:name="_Toc13726"/>
      <w:bookmarkStart w:id="96" w:name="_Toc12888"/>
      <w:bookmarkStart w:id="97" w:name="_Toc16083"/>
      <w:r>
        <w:rPr>
          <w:rFonts w:hint="eastAsia" w:ascii="宋体" w:hAnsi="宋体" w:eastAsia="宋体" w:cs="宋体"/>
          <w:color w:val="auto"/>
          <w:sz w:val="28"/>
          <w:szCs w:val="28"/>
          <w:highlight w:val="none"/>
          <w:lang w:val="en-US" w:eastAsia="zh-CN"/>
        </w:rPr>
        <w:br w:type="page"/>
      </w:r>
    </w:p>
    <w:p w14:paraId="3BB81C1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附件9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附件10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4"/>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3394"/>
      <w:bookmarkStart w:id="99" w:name="_Toc25094"/>
      <w:bookmarkStart w:id="100" w:name="_Toc31685"/>
    </w:p>
    <w:p w14:paraId="24DE6E5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4"/>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4"/>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4"/>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驻马店市中心医院医科达直线加速器全保服务项目竞争性磋商文件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BE5"/>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4852B3"/>
    <w:rsid w:val="01525212"/>
    <w:rsid w:val="01564054"/>
    <w:rsid w:val="015B6D9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70D3E"/>
    <w:rsid w:val="02FA082F"/>
    <w:rsid w:val="02FC6355"/>
    <w:rsid w:val="031126C4"/>
    <w:rsid w:val="031A4A2D"/>
    <w:rsid w:val="033124A2"/>
    <w:rsid w:val="034733B8"/>
    <w:rsid w:val="03475E56"/>
    <w:rsid w:val="034877EC"/>
    <w:rsid w:val="0353518A"/>
    <w:rsid w:val="035E4919"/>
    <w:rsid w:val="03675F31"/>
    <w:rsid w:val="036A009A"/>
    <w:rsid w:val="037A734D"/>
    <w:rsid w:val="03844805"/>
    <w:rsid w:val="03845791"/>
    <w:rsid w:val="03870314"/>
    <w:rsid w:val="03A011E9"/>
    <w:rsid w:val="03AE7F27"/>
    <w:rsid w:val="03BD2BCD"/>
    <w:rsid w:val="03CC058D"/>
    <w:rsid w:val="03E017D2"/>
    <w:rsid w:val="03F447E2"/>
    <w:rsid w:val="03F77068"/>
    <w:rsid w:val="03FB660C"/>
    <w:rsid w:val="042E37DB"/>
    <w:rsid w:val="04416C20"/>
    <w:rsid w:val="04732647"/>
    <w:rsid w:val="047968B1"/>
    <w:rsid w:val="0486237A"/>
    <w:rsid w:val="04870542"/>
    <w:rsid w:val="04B30F7A"/>
    <w:rsid w:val="050B6D23"/>
    <w:rsid w:val="050E236F"/>
    <w:rsid w:val="054C0111"/>
    <w:rsid w:val="05545DD3"/>
    <w:rsid w:val="05574DA8"/>
    <w:rsid w:val="056A3686"/>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EC26B0"/>
    <w:rsid w:val="05F17CC7"/>
    <w:rsid w:val="061E7D14"/>
    <w:rsid w:val="0624009C"/>
    <w:rsid w:val="062A4F87"/>
    <w:rsid w:val="062F07EF"/>
    <w:rsid w:val="06446B44"/>
    <w:rsid w:val="06560AED"/>
    <w:rsid w:val="066469C9"/>
    <w:rsid w:val="066646A1"/>
    <w:rsid w:val="066E164D"/>
    <w:rsid w:val="06846D8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1F10C6"/>
    <w:rsid w:val="09373D98"/>
    <w:rsid w:val="093D1475"/>
    <w:rsid w:val="093E6584"/>
    <w:rsid w:val="094840A2"/>
    <w:rsid w:val="09523172"/>
    <w:rsid w:val="09644C54"/>
    <w:rsid w:val="09737462"/>
    <w:rsid w:val="099156C3"/>
    <w:rsid w:val="09A33F5B"/>
    <w:rsid w:val="09A53F39"/>
    <w:rsid w:val="09A60E13"/>
    <w:rsid w:val="09A82D92"/>
    <w:rsid w:val="09AB2883"/>
    <w:rsid w:val="09B71227"/>
    <w:rsid w:val="09BC4A90"/>
    <w:rsid w:val="09CD0A4B"/>
    <w:rsid w:val="09D206F0"/>
    <w:rsid w:val="0A20501F"/>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0D3381"/>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CD48BE"/>
    <w:rsid w:val="0CE2480D"/>
    <w:rsid w:val="0CEE5A21"/>
    <w:rsid w:val="0D05268E"/>
    <w:rsid w:val="0D0646E7"/>
    <w:rsid w:val="0D0C38CA"/>
    <w:rsid w:val="0D206810"/>
    <w:rsid w:val="0D444B80"/>
    <w:rsid w:val="0D4861FD"/>
    <w:rsid w:val="0D5F5E5E"/>
    <w:rsid w:val="0D735465"/>
    <w:rsid w:val="0D7A1990"/>
    <w:rsid w:val="0DC577E0"/>
    <w:rsid w:val="0DDC6319"/>
    <w:rsid w:val="0DE1181F"/>
    <w:rsid w:val="0DFA5B87"/>
    <w:rsid w:val="0DFE4F67"/>
    <w:rsid w:val="0E0C0D4C"/>
    <w:rsid w:val="0E115DA1"/>
    <w:rsid w:val="0E1409F6"/>
    <w:rsid w:val="0E162D6D"/>
    <w:rsid w:val="0E460DCC"/>
    <w:rsid w:val="0E541CA2"/>
    <w:rsid w:val="0E546D8A"/>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11EED"/>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252F1A"/>
    <w:rsid w:val="113329E7"/>
    <w:rsid w:val="113F294C"/>
    <w:rsid w:val="11437C85"/>
    <w:rsid w:val="11575085"/>
    <w:rsid w:val="11643A43"/>
    <w:rsid w:val="1166372C"/>
    <w:rsid w:val="11700D10"/>
    <w:rsid w:val="1178125A"/>
    <w:rsid w:val="118441E0"/>
    <w:rsid w:val="1196056D"/>
    <w:rsid w:val="11B322D4"/>
    <w:rsid w:val="11B85B3D"/>
    <w:rsid w:val="11BD10DD"/>
    <w:rsid w:val="11CD20A0"/>
    <w:rsid w:val="11D34654"/>
    <w:rsid w:val="12010480"/>
    <w:rsid w:val="120E707F"/>
    <w:rsid w:val="121D0051"/>
    <w:rsid w:val="122A4C8C"/>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204CA"/>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30AF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32D77"/>
    <w:rsid w:val="16B56AEF"/>
    <w:rsid w:val="16C872D5"/>
    <w:rsid w:val="16D54FA3"/>
    <w:rsid w:val="16D84D9F"/>
    <w:rsid w:val="16DA1B0D"/>
    <w:rsid w:val="16E94D3E"/>
    <w:rsid w:val="170D06E0"/>
    <w:rsid w:val="17233E03"/>
    <w:rsid w:val="172E1B66"/>
    <w:rsid w:val="17332185"/>
    <w:rsid w:val="17475951"/>
    <w:rsid w:val="175C542D"/>
    <w:rsid w:val="175D0ED4"/>
    <w:rsid w:val="17793FC0"/>
    <w:rsid w:val="178F734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63004"/>
    <w:rsid w:val="19DF45AE"/>
    <w:rsid w:val="1A02204B"/>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302BE8"/>
    <w:rsid w:val="1B4346C9"/>
    <w:rsid w:val="1B486183"/>
    <w:rsid w:val="1B4F2450"/>
    <w:rsid w:val="1B50619C"/>
    <w:rsid w:val="1B530868"/>
    <w:rsid w:val="1B6573E8"/>
    <w:rsid w:val="1B6922A5"/>
    <w:rsid w:val="1B721452"/>
    <w:rsid w:val="1B8C18B7"/>
    <w:rsid w:val="1BB73AE1"/>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230C56"/>
    <w:rsid w:val="1D4330A6"/>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7F7C9A"/>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1237A"/>
    <w:rsid w:val="209502A3"/>
    <w:rsid w:val="20E93F65"/>
    <w:rsid w:val="20EA3839"/>
    <w:rsid w:val="2100305C"/>
    <w:rsid w:val="210112AE"/>
    <w:rsid w:val="210F579E"/>
    <w:rsid w:val="21163FF0"/>
    <w:rsid w:val="211B39F2"/>
    <w:rsid w:val="212550B5"/>
    <w:rsid w:val="212B632B"/>
    <w:rsid w:val="21592B62"/>
    <w:rsid w:val="216C24A0"/>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17B2B"/>
    <w:rsid w:val="22631AF5"/>
    <w:rsid w:val="227A5532"/>
    <w:rsid w:val="22843A03"/>
    <w:rsid w:val="228E5C2C"/>
    <w:rsid w:val="22A338AB"/>
    <w:rsid w:val="22AD37A2"/>
    <w:rsid w:val="22B31E8A"/>
    <w:rsid w:val="22C05285"/>
    <w:rsid w:val="22C735BD"/>
    <w:rsid w:val="22CF0F38"/>
    <w:rsid w:val="22D729A8"/>
    <w:rsid w:val="22F06957"/>
    <w:rsid w:val="23057681"/>
    <w:rsid w:val="230C5CE8"/>
    <w:rsid w:val="230E7CB2"/>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961D0D"/>
    <w:rsid w:val="24AE34FB"/>
    <w:rsid w:val="24CC106B"/>
    <w:rsid w:val="24D00598"/>
    <w:rsid w:val="24D725E9"/>
    <w:rsid w:val="24DB3BC4"/>
    <w:rsid w:val="24EC31CF"/>
    <w:rsid w:val="25045F70"/>
    <w:rsid w:val="250474F1"/>
    <w:rsid w:val="25056E93"/>
    <w:rsid w:val="25092EBA"/>
    <w:rsid w:val="250E5D48"/>
    <w:rsid w:val="25241020"/>
    <w:rsid w:val="25302410"/>
    <w:rsid w:val="257572C3"/>
    <w:rsid w:val="25790E85"/>
    <w:rsid w:val="2580476C"/>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95732"/>
    <w:rsid w:val="268C5256"/>
    <w:rsid w:val="268E455B"/>
    <w:rsid w:val="26912B30"/>
    <w:rsid w:val="269772F0"/>
    <w:rsid w:val="26997893"/>
    <w:rsid w:val="26A30712"/>
    <w:rsid w:val="26AC0C27"/>
    <w:rsid w:val="26B4291F"/>
    <w:rsid w:val="26C807A6"/>
    <w:rsid w:val="26D1527F"/>
    <w:rsid w:val="26D23F28"/>
    <w:rsid w:val="26DB67BA"/>
    <w:rsid w:val="26DE3298"/>
    <w:rsid w:val="26E311CD"/>
    <w:rsid w:val="26EF24ED"/>
    <w:rsid w:val="26F1408A"/>
    <w:rsid w:val="26F86CAF"/>
    <w:rsid w:val="26F96584"/>
    <w:rsid w:val="26FC4FA5"/>
    <w:rsid w:val="27015370"/>
    <w:rsid w:val="2702368A"/>
    <w:rsid w:val="270B421F"/>
    <w:rsid w:val="271F6B87"/>
    <w:rsid w:val="274E2228"/>
    <w:rsid w:val="27517A93"/>
    <w:rsid w:val="27565784"/>
    <w:rsid w:val="275E53AF"/>
    <w:rsid w:val="27606603"/>
    <w:rsid w:val="276658E8"/>
    <w:rsid w:val="276F6846"/>
    <w:rsid w:val="277E30D2"/>
    <w:rsid w:val="27803F2A"/>
    <w:rsid w:val="278A18D2"/>
    <w:rsid w:val="278A694F"/>
    <w:rsid w:val="27983FEE"/>
    <w:rsid w:val="279938C3"/>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A1318"/>
    <w:rsid w:val="294F692F"/>
    <w:rsid w:val="295029E3"/>
    <w:rsid w:val="29543A59"/>
    <w:rsid w:val="29670ED3"/>
    <w:rsid w:val="2969197F"/>
    <w:rsid w:val="29746E87"/>
    <w:rsid w:val="297939AC"/>
    <w:rsid w:val="297C03C2"/>
    <w:rsid w:val="299573AB"/>
    <w:rsid w:val="29B05804"/>
    <w:rsid w:val="29BE5BD0"/>
    <w:rsid w:val="29C01572"/>
    <w:rsid w:val="29C25353"/>
    <w:rsid w:val="29CA4207"/>
    <w:rsid w:val="29CB06AB"/>
    <w:rsid w:val="29D82DC8"/>
    <w:rsid w:val="29DA08EE"/>
    <w:rsid w:val="29DB6414"/>
    <w:rsid w:val="29E74CE2"/>
    <w:rsid w:val="2A133E00"/>
    <w:rsid w:val="2A241B69"/>
    <w:rsid w:val="2A306A36"/>
    <w:rsid w:val="2A355B25"/>
    <w:rsid w:val="2A457300"/>
    <w:rsid w:val="2A5372C6"/>
    <w:rsid w:val="2A5A558B"/>
    <w:rsid w:val="2A5B03D8"/>
    <w:rsid w:val="2A6F6D07"/>
    <w:rsid w:val="2A852253"/>
    <w:rsid w:val="2A882500"/>
    <w:rsid w:val="2AA35184"/>
    <w:rsid w:val="2AA44A58"/>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1B46D1"/>
    <w:rsid w:val="2E310CF9"/>
    <w:rsid w:val="2E443652"/>
    <w:rsid w:val="2E505773"/>
    <w:rsid w:val="2E5C0A3D"/>
    <w:rsid w:val="2E717347"/>
    <w:rsid w:val="2E742F70"/>
    <w:rsid w:val="2E8E7EF9"/>
    <w:rsid w:val="2E9077CD"/>
    <w:rsid w:val="2E9574DA"/>
    <w:rsid w:val="2E9A689E"/>
    <w:rsid w:val="2ED61D9E"/>
    <w:rsid w:val="2EDC2A13"/>
    <w:rsid w:val="2EE31FF3"/>
    <w:rsid w:val="2EFD7DB9"/>
    <w:rsid w:val="2F1A081D"/>
    <w:rsid w:val="2F1C72B3"/>
    <w:rsid w:val="2F1E1306"/>
    <w:rsid w:val="2F1E3DC0"/>
    <w:rsid w:val="2F2D326E"/>
    <w:rsid w:val="2F3112DE"/>
    <w:rsid w:val="2F370591"/>
    <w:rsid w:val="2F3B6922"/>
    <w:rsid w:val="2F3D7B25"/>
    <w:rsid w:val="2F480119"/>
    <w:rsid w:val="2F506C6D"/>
    <w:rsid w:val="2F512253"/>
    <w:rsid w:val="2F51291F"/>
    <w:rsid w:val="2F55758A"/>
    <w:rsid w:val="2F68074A"/>
    <w:rsid w:val="2F7F15AE"/>
    <w:rsid w:val="2F912594"/>
    <w:rsid w:val="2F974B8C"/>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31E99"/>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33775"/>
    <w:rsid w:val="322A7699"/>
    <w:rsid w:val="322B25C6"/>
    <w:rsid w:val="323D7C6C"/>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212F0"/>
    <w:rsid w:val="334A3B2A"/>
    <w:rsid w:val="3365592E"/>
    <w:rsid w:val="336A31F3"/>
    <w:rsid w:val="336F6533"/>
    <w:rsid w:val="337E5E2F"/>
    <w:rsid w:val="33811DDB"/>
    <w:rsid w:val="3384610D"/>
    <w:rsid w:val="33AA5979"/>
    <w:rsid w:val="33C03E90"/>
    <w:rsid w:val="33C96649"/>
    <w:rsid w:val="33CC3D88"/>
    <w:rsid w:val="33D939C5"/>
    <w:rsid w:val="33DD0306"/>
    <w:rsid w:val="33F627C9"/>
    <w:rsid w:val="33FD722F"/>
    <w:rsid w:val="3400362D"/>
    <w:rsid w:val="34092494"/>
    <w:rsid w:val="340B09C5"/>
    <w:rsid w:val="341E4CAB"/>
    <w:rsid w:val="34584EE2"/>
    <w:rsid w:val="346559BF"/>
    <w:rsid w:val="346C2A8B"/>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42908"/>
    <w:rsid w:val="356E46AA"/>
    <w:rsid w:val="357235B0"/>
    <w:rsid w:val="3578502D"/>
    <w:rsid w:val="3586192A"/>
    <w:rsid w:val="358625C7"/>
    <w:rsid w:val="3592207D"/>
    <w:rsid w:val="35A815CB"/>
    <w:rsid w:val="35A85BD0"/>
    <w:rsid w:val="35AA1B9C"/>
    <w:rsid w:val="35B71AE4"/>
    <w:rsid w:val="35D501BC"/>
    <w:rsid w:val="35DB09A6"/>
    <w:rsid w:val="36080591"/>
    <w:rsid w:val="3609472F"/>
    <w:rsid w:val="36203B2D"/>
    <w:rsid w:val="36257395"/>
    <w:rsid w:val="363E0457"/>
    <w:rsid w:val="365B4B65"/>
    <w:rsid w:val="36806379"/>
    <w:rsid w:val="369B4CF0"/>
    <w:rsid w:val="36A8221A"/>
    <w:rsid w:val="36B349A1"/>
    <w:rsid w:val="36D62629"/>
    <w:rsid w:val="36D76172"/>
    <w:rsid w:val="36D84407"/>
    <w:rsid w:val="36E833BB"/>
    <w:rsid w:val="36EB1E1B"/>
    <w:rsid w:val="36F17F0D"/>
    <w:rsid w:val="36FB00F6"/>
    <w:rsid w:val="37103BA1"/>
    <w:rsid w:val="37180CA8"/>
    <w:rsid w:val="37224581"/>
    <w:rsid w:val="3735197D"/>
    <w:rsid w:val="373756A2"/>
    <w:rsid w:val="374A416C"/>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B0E4C"/>
    <w:rsid w:val="385E6B8E"/>
    <w:rsid w:val="3876113B"/>
    <w:rsid w:val="38883C0B"/>
    <w:rsid w:val="38A53DB7"/>
    <w:rsid w:val="38BF3388"/>
    <w:rsid w:val="38CC268D"/>
    <w:rsid w:val="38DF1FDA"/>
    <w:rsid w:val="38EC2960"/>
    <w:rsid w:val="390069DD"/>
    <w:rsid w:val="39030CF9"/>
    <w:rsid w:val="39091F35"/>
    <w:rsid w:val="390A4620"/>
    <w:rsid w:val="390A63CE"/>
    <w:rsid w:val="392536E2"/>
    <w:rsid w:val="39465F15"/>
    <w:rsid w:val="39505209"/>
    <w:rsid w:val="396453C5"/>
    <w:rsid w:val="39922CCF"/>
    <w:rsid w:val="39A24859"/>
    <w:rsid w:val="39A65327"/>
    <w:rsid w:val="39A65C9B"/>
    <w:rsid w:val="39BC591B"/>
    <w:rsid w:val="39BC5ED6"/>
    <w:rsid w:val="39D215E2"/>
    <w:rsid w:val="39D2723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4022C"/>
    <w:rsid w:val="3AA50E25"/>
    <w:rsid w:val="3AC566E3"/>
    <w:rsid w:val="3AD6747A"/>
    <w:rsid w:val="3AD95C48"/>
    <w:rsid w:val="3ADF5D0A"/>
    <w:rsid w:val="3AE83F75"/>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8148A4"/>
    <w:rsid w:val="3C90308E"/>
    <w:rsid w:val="3C914F3B"/>
    <w:rsid w:val="3CAD3C40"/>
    <w:rsid w:val="3CC17F13"/>
    <w:rsid w:val="3CD15B81"/>
    <w:rsid w:val="3CD50B40"/>
    <w:rsid w:val="3CE320A3"/>
    <w:rsid w:val="3CE9196C"/>
    <w:rsid w:val="3CF15105"/>
    <w:rsid w:val="3D0C04B9"/>
    <w:rsid w:val="3D0C4E0B"/>
    <w:rsid w:val="3D1414C5"/>
    <w:rsid w:val="3D1C763E"/>
    <w:rsid w:val="3D201AA5"/>
    <w:rsid w:val="3D2B37EA"/>
    <w:rsid w:val="3D2F7FF3"/>
    <w:rsid w:val="3D3B56F0"/>
    <w:rsid w:val="3D3D1507"/>
    <w:rsid w:val="3D62085B"/>
    <w:rsid w:val="3D6469F5"/>
    <w:rsid w:val="3D6B12FD"/>
    <w:rsid w:val="3D7B4622"/>
    <w:rsid w:val="3D8E5820"/>
    <w:rsid w:val="3D8F1598"/>
    <w:rsid w:val="3D942E29"/>
    <w:rsid w:val="3DA53531"/>
    <w:rsid w:val="3DB54E0C"/>
    <w:rsid w:val="3DB900C1"/>
    <w:rsid w:val="3DE51866"/>
    <w:rsid w:val="3DE91725"/>
    <w:rsid w:val="3DF159B1"/>
    <w:rsid w:val="3E0D0E3B"/>
    <w:rsid w:val="3E135D25"/>
    <w:rsid w:val="3E196FEC"/>
    <w:rsid w:val="3E1A106E"/>
    <w:rsid w:val="3E36303B"/>
    <w:rsid w:val="3E3F2FBE"/>
    <w:rsid w:val="3E526044"/>
    <w:rsid w:val="3E5C591E"/>
    <w:rsid w:val="3E6C2B3A"/>
    <w:rsid w:val="3E8C5311"/>
    <w:rsid w:val="3E8E7E55"/>
    <w:rsid w:val="3EB61473"/>
    <w:rsid w:val="3EC66011"/>
    <w:rsid w:val="3ED25BE0"/>
    <w:rsid w:val="3ED75B7F"/>
    <w:rsid w:val="3EF9316D"/>
    <w:rsid w:val="3F067638"/>
    <w:rsid w:val="3F315E6B"/>
    <w:rsid w:val="3F5175E2"/>
    <w:rsid w:val="3F56276A"/>
    <w:rsid w:val="3F6C10E0"/>
    <w:rsid w:val="3F963015"/>
    <w:rsid w:val="3F964D35"/>
    <w:rsid w:val="3FA327ED"/>
    <w:rsid w:val="3FB11738"/>
    <w:rsid w:val="3FB5581B"/>
    <w:rsid w:val="3FC33D05"/>
    <w:rsid w:val="3FF46B18"/>
    <w:rsid w:val="3FF74A2E"/>
    <w:rsid w:val="3FFC36E2"/>
    <w:rsid w:val="400242A3"/>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7F433E"/>
    <w:rsid w:val="418A1D66"/>
    <w:rsid w:val="41913B31"/>
    <w:rsid w:val="419C4043"/>
    <w:rsid w:val="41AF045B"/>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46FAC"/>
    <w:rsid w:val="428B4A24"/>
    <w:rsid w:val="428E62C2"/>
    <w:rsid w:val="42A06B6C"/>
    <w:rsid w:val="42A27996"/>
    <w:rsid w:val="42A45E72"/>
    <w:rsid w:val="42AA04E2"/>
    <w:rsid w:val="42D00689"/>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649E5"/>
    <w:rsid w:val="449E4142"/>
    <w:rsid w:val="44A90BAA"/>
    <w:rsid w:val="44B24A20"/>
    <w:rsid w:val="44BC0BEE"/>
    <w:rsid w:val="44BF6C07"/>
    <w:rsid w:val="44C24001"/>
    <w:rsid w:val="44C55A88"/>
    <w:rsid w:val="44FB1C9C"/>
    <w:rsid w:val="45392A13"/>
    <w:rsid w:val="453E3FCF"/>
    <w:rsid w:val="454F1836"/>
    <w:rsid w:val="45566A25"/>
    <w:rsid w:val="45725A27"/>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DC362C"/>
    <w:rsid w:val="47ED7BCA"/>
    <w:rsid w:val="48016F34"/>
    <w:rsid w:val="480556DB"/>
    <w:rsid w:val="48185C56"/>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032122"/>
    <w:rsid w:val="492108CC"/>
    <w:rsid w:val="49413F52"/>
    <w:rsid w:val="494F6304"/>
    <w:rsid w:val="49555444"/>
    <w:rsid w:val="49792B95"/>
    <w:rsid w:val="49A308A5"/>
    <w:rsid w:val="49F11610"/>
    <w:rsid w:val="4A05334F"/>
    <w:rsid w:val="4A060864"/>
    <w:rsid w:val="4A244932"/>
    <w:rsid w:val="4A2922C8"/>
    <w:rsid w:val="4A4117B2"/>
    <w:rsid w:val="4A4A6F73"/>
    <w:rsid w:val="4A7A4350"/>
    <w:rsid w:val="4A7B1703"/>
    <w:rsid w:val="4A7E2497"/>
    <w:rsid w:val="4A896826"/>
    <w:rsid w:val="4A985F30"/>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5648A3"/>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CF375F"/>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9D5D96"/>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74356A"/>
    <w:rsid w:val="54935B8F"/>
    <w:rsid w:val="549D3677"/>
    <w:rsid w:val="54A87049"/>
    <w:rsid w:val="54B03E76"/>
    <w:rsid w:val="54BF230B"/>
    <w:rsid w:val="54CC6227"/>
    <w:rsid w:val="54D10F9B"/>
    <w:rsid w:val="54D97871"/>
    <w:rsid w:val="550B5550"/>
    <w:rsid w:val="551D586C"/>
    <w:rsid w:val="55200298"/>
    <w:rsid w:val="55335E1B"/>
    <w:rsid w:val="5536079B"/>
    <w:rsid w:val="553E1482"/>
    <w:rsid w:val="554B7EF0"/>
    <w:rsid w:val="55592760"/>
    <w:rsid w:val="556F3D99"/>
    <w:rsid w:val="55720837"/>
    <w:rsid w:val="55860894"/>
    <w:rsid w:val="558F6181"/>
    <w:rsid w:val="55B02DF1"/>
    <w:rsid w:val="55D47A00"/>
    <w:rsid w:val="55D5456D"/>
    <w:rsid w:val="55DC290C"/>
    <w:rsid w:val="55E71B19"/>
    <w:rsid w:val="55EA5D64"/>
    <w:rsid w:val="55F01FA1"/>
    <w:rsid w:val="55FB55C5"/>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21630"/>
    <w:rsid w:val="58CF56D8"/>
    <w:rsid w:val="58D31010"/>
    <w:rsid w:val="58D6741E"/>
    <w:rsid w:val="58DB0535"/>
    <w:rsid w:val="58E467E4"/>
    <w:rsid w:val="58E62E0E"/>
    <w:rsid w:val="58EA3D0E"/>
    <w:rsid w:val="58F24A5D"/>
    <w:rsid w:val="58F71269"/>
    <w:rsid w:val="58FE045E"/>
    <w:rsid w:val="58FE78A6"/>
    <w:rsid w:val="59014CEF"/>
    <w:rsid w:val="59017396"/>
    <w:rsid w:val="591744C4"/>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233C6"/>
    <w:rsid w:val="5A0A5DD6"/>
    <w:rsid w:val="5A0C1B4F"/>
    <w:rsid w:val="5A10435C"/>
    <w:rsid w:val="5A1A070F"/>
    <w:rsid w:val="5A2654CC"/>
    <w:rsid w:val="5A323A44"/>
    <w:rsid w:val="5A395E66"/>
    <w:rsid w:val="5A476FBE"/>
    <w:rsid w:val="5A484352"/>
    <w:rsid w:val="5A4C2893"/>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42116"/>
    <w:rsid w:val="5C6519EA"/>
    <w:rsid w:val="5C6715FE"/>
    <w:rsid w:val="5C6F4105"/>
    <w:rsid w:val="5C936557"/>
    <w:rsid w:val="5CBB7F6F"/>
    <w:rsid w:val="5CBF734C"/>
    <w:rsid w:val="5CC248CE"/>
    <w:rsid w:val="5D042FB1"/>
    <w:rsid w:val="5D080CF3"/>
    <w:rsid w:val="5D3A4C25"/>
    <w:rsid w:val="5D442CB4"/>
    <w:rsid w:val="5D4B5084"/>
    <w:rsid w:val="5D557CB0"/>
    <w:rsid w:val="5D7869AF"/>
    <w:rsid w:val="5D7C3F11"/>
    <w:rsid w:val="5D971C5A"/>
    <w:rsid w:val="5D9D49E0"/>
    <w:rsid w:val="5DA01E9E"/>
    <w:rsid w:val="5DAD3649"/>
    <w:rsid w:val="5DC310BE"/>
    <w:rsid w:val="5DDE524A"/>
    <w:rsid w:val="5DDF1821"/>
    <w:rsid w:val="5DE2656A"/>
    <w:rsid w:val="5DEA2F91"/>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4F46CD"/>
    <w:rsid w:val="5F5A7800"/>
    <w:rsid w:val="5F6368E9"/>
    <w:rsid w:val="5F7811D3"/>
    <w:rsid w:val="5F942D12"/>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EF5D26"/>
    <w:rsid w:val="60FF21D9"/>
    <w:rsid w:val="610C0686"/>
    <w:rsid w:val="610E7EA6"/>
    <w:rsid w:val="611E37D0"/>
    <w:rsid w:val="612C6F7A"/>
    <w:rsid w:val="613021B3"/>
    <w:rsid w:val="61306A6A"/>
    <w:rsid w:val="6131633F"/>
    <w:rsid w:val="613253FD"/>
    <w:rsid w:val="61406361"/>
    <w:rsid w:val="61421F29"/>
    <w:rsid w:val="61637D56"/>
    <w:rsid w:val="61712185"/>
    <w:rsid w:val="618B7207"/>
    <w:rsid w:val="61907E69"/>
    <w:rsid w:val="61A90D68"/>
    <w:rsid w:val="61B43A15"/>
    <w:rsid w:val="61B825BC"/>
    <w:rsid w:val="61D61932"/>
    <w:rsid w:val="61DA0425"/>
    <w:rsid w:val="61F41846"/>
    <w:rsid w:val="62065A1D"/>
    <w:rsid w:val="6213792C"/>
    <w:rsid w:val="621775E2"/>
    <w:rsid w:val="621C0D9D"/>
    <w:rsid w:val="622F7552"/>
    <w:rsid w:val="624125B1"/>
    <w:rsid w:val="6250406E"/>
    <w:rsid w:val="6267666C"/>
    <w:rsid w:val="627D6831"/>
    <w:rsid w:val="62811B1C"/>
    <w:rsid w:val="62A20409"/>
    <w:rsid w:val="62B54B44"/>
    <w:rsid w:val="62C531E2"/>
    <w:rsid w:val="62E045DA"/>
    <w:rsid w:val="62E454A1"/>
    <w:rsid w:val="62E95123"/>
    <w:rsid w:val="62EF025F"/>
    <w:rsid w:val="62F36E4C"/>
    <w:rsid w:val="62F47F8F"/>
    <w:rsid w:val="62F7233F"/>
    <w:rsid w:val="63131838"/>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365B2B"/>
    <w:rsid w:val="653F447E"/>
    <w:rsid w:val="65442AE4"/>
    <w:rsid w:val="65542778"/>
    <w:rsid w:val="655829AF"/>
    <w:rsid w:val="656B70C3"/>
    <w:rsid w:val="658E1FB1"/>
    <w:rsid w:val="658F4798"/>
    <w:rsid w:val="659B1EBA"/>
    <w:rsid w:val="65A11CE5"/>
    <w:rsid w:val="65A823AD"/>
    <w:rsid w:val="65A83379"/>
    <w:rsid w:val="65B461E9"/>
    <w:rsid w:val="65BE39A8"/>
    <w:rsid w:val="65C23A09"/>
    <w:rsid w:val="65FB3FBE"/>
    <w:rsid w:val="66101A71"/>
    <w:rsid w:val="66171FA7"/>
    <w:rsid w:val="66247D11"/>
    <w:rsid w:val="663B3EC9"/>
    <w:rsid w:val="665A1E94"/>
    <w:rsid w:val="6672542F"/>
    <w:rsid w:val="66736112"/>
    <w:rsid w:val="667F5B5B"/>
    <w:rsid w:val="668F1B3D"/>
    <w:rsid w:val="6694262A"/>
    <w:rsid w:val="66990381"/>
    <w:rsid w:val="66B31B01"/>
    <w:rsid w:val="66CE1E80"/>
    <w:rsid w:val="66DB2FD4"/>
    <w:rsid w:val="66E362F9"/>
    <w:rsid w:val="66E47FD9"/>
    <w:rsid w:val="66E520A5"/>
    <w:rsid w:val="66F04175"/>
    <w:rsid w:val="66F127F8"/>
    <w:rsid w:val="67071922"/>
    <w:rsid w:val="673B1CC5"/>
    <w:rsid w:val="673B73C0"/>
    <w:rsid w:val="674743C8"/>
    <w:rsid w:val="675608B6"/>
    <w:rsid w:val="67754402"/>
    <w:rsid w:val="677D54ED"/>
    <w:rsid w:val="678B726C"/>
    <w:rsid w:val="679D472E"/>
    <w:rsid w:val="679E40A4"/>
    <w:rsid w:val="67B25E27"/>
    <w:rsid w:val="67B4646D"/>
    <w:rsid w:val="67B464CA"/>
    <w:rsid w:val="67C4383B"/>
    <w:rsid w:val="67C46F43"/>
    <w:rsid w:val="67D35E1A"/>
    <w:rsid w:val="67D839B8"/>
    <w:rsid w:val="67F35317"/>
    <w:rsid w:val="67F73E3E"/>
    <w:rsid w:val="68016A6B"/>
    <w:rsid w:val="680201B7"/>
    <w:rsid w:val="68040309"/>
    <w:rsid w:val="68060525"/>
    <w:rsid w:val="68362BFB"/>
    <w:rsid w:val="683D085A"/>
    <w:rsid w:val="683F1130"/>
    <w:rsid w:val="684456A1"/>
    <w:rsid w:val="68580655"/>
    <w:rsid w:val="685E1363"/>
    <w:rsid w:val="687731D1"/>
    <w:rsid w:val="6878475E"/>
    <w:rsid w:val="688E1089"/>
    <w:rsid w:val="68993219"/>
    <w:rsid w:val="689E42BA"/>
    <w:rsid w:val="68A026F3"/>
    <w:rsid w:val="68AF6C13"/>
    <w:rsid w:val="68C77CB4"/>
    <w:rsid w:val="68F25680"/>
    <w:rsid w:val="69074555"/>
    <w:rsid w:val="690E07C7"/>
    <w:rsid w:val="69140A20"/>
    <w:rsid w:val="69236A65"/>
    <w:rsid w:val="692E469B"/>
    <w:rsid w:val="69315C48"/>
    <w:rsid w:val="69392234"/>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753FE3"/>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82CEC"/>
    <w:rsid w:val="6D2F6F7D"/>
    <w:rsid w:val="6D480984"/>
    <w:rsid w:val="6D8079F9"/>
    <w:rsid w:val="6D8A5754"/>
    <w:rsid w:val="6D984C28"/>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024FA"/>
    <w:rsid w:val="6E51424D"/>
    <w:rsid w:val="6E663C68"/>
    <w:rsid w:val="6E7764EF"/>
    <w:rsid w:val="6E8403F6"/>
    <w:rsid w:val="6E963C85"/>
    <w:rsid w:val="6EAD447C"/>
    <w:rsid w:val="6EAE5472"/>
    <w:rsid w:val="6EBC069A"/>
    <w:rsid w:val="6EBE7228"/>
    <w:rsid w:val="6EBF4F8A"/>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BB5EDC"/>
    <w:rsid w:val="71CD5C10"/>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404E8"/>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3D707D"/>
    <w:rsid w:val="74620891"/>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566BC"/>
    <w:rsid w:val="764F3FCC"/>
    <w:rsid w:val="7650339F"/>
    <w:rsid w:val="76603C9A"/>
    <w:rsid w:val="766B00E5"/>
    <w:rsid w:val="76832D41"/>
    <w:rsid w:val="768B2C28"/>
    <w:rsid w:val="76977734"/>
    <w:rsid w:val="76AA29C3"/>
    <w:rsid w:val="76BB1CAB"/>
    <w:rsid w:val="76C04050"/>
    <w:rsid w:val="76CC0B8C"/>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1F604F"/>
    <w:rsid w:val="78250553"/>
    <w:rsid w:val="782642CC"/>
    <w:rsid w:val="783B17B1"/>
    <w:rsid w:val="784E2046"/>
    <w:rsid w:val="78546F0C"/>
    <w:rsid w:val="786778FE"/>
    <w:rsid w:val="78830961"/>
    <w:rsid w:val="789D588A"/>
    <w:rsid w:val="78B65E3A"/>
    <w:rsid w:val="78DA2C59"/>
    <w:rsid w:val="78E0091E"/>
    <w:rsid w:val="78EE1C79"/>
    <w:rsid w:val="78F85605"/>
    <w:rsid w:val="78FA66FA"/>
    <w:rsid w:val="79052133"/>
    <w:rsid w:val="79345B6A"/>
    <w:rsid w:val="79424F6E"/>
    <w:rsid w:val="794C1B10"/>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84414"/>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83BA3"/>
    <w:rsid w:val="7CCC5441"/>
    <w:rsid w:val="7CD2318A"/>
    <w:rsid w:val="7CD2702A"/>
    <w:rsid w:val="7CD34C42"/>
    <w:rsid w:val="7CD46B29"/>
    <w:rsid w:val="7CDE3FF9"/>
    <w:rsid w:val="7CE26EBF"/>
    <w:rsid w:val="7CEC5AE4"/>
    <w:rsid w:val="7CEE3130"/>
    <w:rsid w:val="7CF95B0B"/>
    <w:rsid w:val="7CFC08E8"/>
    <w:rsid w:val="7D1B1F25"/>
    <w:rsid w:val="7D1E1A15"/>
    <w:rsid w:val="7D1F6674"/>
    <w:rsid w:val="7D475E29"/>
    <w:rsid w:val="7D480B34"/>
    <w:rsid w:val="7D4A0A5C"/>
    <w:rsid w:val="7D777A3E"/>
    <w:rsid w:val="7D9005BC"/>
    <w:rsid w:val="7D9F0AD0"/>
    <w:rsid w:val="7DB22BDF"/>
    <w:rsid w:val="7DD12BB7"/>
    <w:rsid w:val="7DF223A2"/>
    <w:rsid w:val="7DF764EE"/>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B937A4"/>
    <w:rsid w:val="7ED61132"/>
    <w:rsid w:val="7EE70CC0"/>
    <w:rsid w:val="7EEB48DB"/>
    <w:rsid w:val="7EF27444"/>
    <w:rsid w:val="7F15557D"/>
    <w:rsid w:val="7F185A04"/>
    <w:rsid w:val="7F216DD9"/>
    <w:rsid w:val="7F2257ED"/>
    <w:rsid w:val="7F265C58"/>
    <w:rsid w:val="7F3B240A"/>
    <w:rsid w:val="7F4C4618"/>
    <w:rsid w:val="7F4D13A6"/>
    <w:rsid w:val="7F582CF2"/>
    <w:rsid w:val="7F951B40"/>
    <w:rsid w:val="7FA501CC"/>
    <w:rsid w:val="7FA820A8"/>
    <w:rsid w:val="7FAB3A34"/>
    <w:rsid w:val="7FAF2DF8"/>
    <w:rsid w:val="7FB77791"/>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9">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autoRedefine/>
    <w:qFormat/>
    <w:uiPriority w:val="0"/>
    <w:pPr>
      <w:keepNext/>
      <w:keepLines/>
      <w:spacing w:before="260" w:after="260" w:line="416" w:lineRule="auto"/>
      <w:outlineLvl w:val="2"/>
    </w:pPr>
    <w:rPr>
      <w:b/>
      <w:bCs/>
      <w:sz w:val="32"/>
      <w:szCs w:val="32"/>
    </w:rPr>
  </w:style>
  <w:style w:type="paragraph" w:styleId="11">
    <w:name w:val="heading 4"/>
    <w:basedOn w:val="1"/>
    <w:next w:val="1"/>
    <w:autoRedefine/>
    <w:qFormat/>
    <w:uiPriority w:val="0"/>
    <w:pPr>
      <w:keepNext/>
      <w:keepLines/>
      <w:spacing w:line="360" w:lineRule="auto"/>
      <w:outlineLvl w:val="3"/>
    </w:pPr>
    <w:rPr>
      <w:rFonts w:ascii="Arial" w:hAnsi="Arial"/>
      <w:b/>
      <w:bCs/>
      <w:szCs w:val="28"/>
    </w:rPr>
  </w:style>
  <w:style w:type="paragraph" w:styleId="12">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8"/>
    <w:autoRedefine/>
    <w:qFormat/>
    <w:uiPriority w:val="0"/>
    <w:pPr>
      <w:widowControl/>
      <w:spacing w:beforeAutospacing="1" w:afterAutospacing="1"/>
      <w:jc w:val="left"/>
    </w:pPr>
    <w:rPr>
      <w:rFonts w:ascii="宋体" w:hAnsi="宋体" w:cs="宋体"/>
      <w:kern w:val="0"/>
      <w:sz w:val="24"/>
    </w:rPr>
  </w:style>
  <w:style w:type="paragraph" w:styleId="8">
    <w:name w:val="envelope return"/>
    <w:basedOn w:val="1"/>
    <w:autoRedefine/>
    <w:unhideWhenUsed/>
    <w:qFormat/>
    <w:uiPriority w:val="99"/>
    <w:pPr>
      <w:snapToGrid w:val="0"/>
    </w:pPr>
    <w:rPr>
      <w:rFonts w:ascii="Arial" w:hAnsi="Arial"/>
    </w:rPr>
  </w:style>
  <w:style w:type="paragraph" w:styleId="13">
    <w:name w:val="List Number"/>
    <w:basedOn w:val="1"/>
    <w:autoRedefine/>
    <w:qFormat/>
    <w:uiPriority w:val="0"/>
    <w:pPr>
      <w:widowControl/>
      <w:spacing w:beforeAutospacing="1" w:afterAutospacing="1"/>
      <w:jc w:val="left"/>
    </w:pPr>
    <w:rPr>
      <w:rFonts w:ascii="宋体" w:hAnsi="宋体" w:cs="宋体"/>
      <w:kern w:val="0"/>
      <w:sz w:val="24"/>
    </w:rPr>
  </w:style>
  <w:style w:type="paragraph" w:styleId="14">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5">
    <w:name w:val="Document Map"/>
    <w:basedOn w:val="1"/>
    <w:link w:val="78"/>
    <w:autoRedefine/>
    <w:qFormat/>
    <w:uiPriority w:val="0"/>
    <w:rPr>
      <w:rFonts w:ascii="宋体" w:hAnsi="Calibri"/>
      <w:sz w:val="18"/>
      <w:szCs w:val="18"/>
    </w:rPr>
  </w:style>
  <w:style w:type="paragraph" w:styleId="16">
    <w:name w:val="annotation text"/>
    <w:basedOn w:val="1"/>
    <w:autoRedefine/>
    <w:qFormat/>
    <w:uiPriority w:val="0"/>
    <w:pPr>
      <w:jc w:val="left"/>
    </w:pPr>
  </w:style>
  <w:style w:type="paragraph" w:styleId="17">
    <w:name w:val="Body Text 3"/>
    <w:basedOn w:val="1"/>
    <w:autoRedefine/>
    <w:qFormat/>
    <w:uiPriority w:val="0"/>
    <w:rPr>
      <w:sz w:val="16"/>
      <w:szCs w:val="16"/>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Body Text Indent 2"/>
    <w:basedOn w:val="1"/>
    <w:autoRedefine/>
    <w:qFormat/>
    <w:uiPriority w:val="0"/>
    <w:pPr>
      <w:spacing w:line="480" w:lineRule="auto"/>
      <w:ind w:left="420" w:leftChars="200"/>
    </w:p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表格文字"/>
    <w:basedOn w:val="1"/>
    <w:next w:val="3"/>
    <w:autoRedefine/>
    <w:qFormat/>
    <w:uiPriority w:val="0"/>
    <w:pPr>
      <w:adjustRightInd w:val="0"/>
      <w:spacing w:line="420" w:lineRule="atLeast"/>
      <w:jc w:val="left"/>
      <w:textAlignment w:val="baseline"/>
    </w:pPr>
    <w:rPr>
      <w:kern w:val="0"/>
      <w:szCs w:val="20"/>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6"/>
    <w:link w:val="3"/>
    <w:autoRedefine/>
    <w:qFormat/>
    <w:uiPriority w:val="0"/>
  </w:style>
  <w:style w:type="character" w:customStyle="1" w:styleId="77">
    <w:name w:val="apple-converted-space"/>
    <w:basedOn w:val="36"/>
    <w:autoRedefine/>
    <w:qFormat/>
    <w:uiPriority w:val="0"/>
  </w:style>
  <w:style w:type="character" w:customStyle="1" w:styleId="78">
    <w:name w:val="文档结构图 Char"/>
    <w:link w:val="15"/>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6"/>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16710</Words>
  <Characters>17447</Characters>
  <Lines>50</Lines>
  <Paragraphs>68</Paragraphs>
  <TotalTime>1</TotalTime>
  <ScaleCrop>false</ScaleCrop>
  <LinksUpToDate>false</LinksUpToDate>
  <CharactersWithSpaces>18366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2025-07-23T03:34:00Z</cp:lastPrinted>
  <dcterms:modified xsi:type="dcterms:W3CDTF">2025-07-24T08:08:37Z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1414E5B86CB64A43AF8A20BE87FA3FE2_13</vt:lpwstr>
  </property>
  <property fmtid="{D5CDD505-2E9C-101B-9397-08002B2CF9AE}" pid="4" name="KSOTemplateDocerSaveRecord">
    <vt:lpwstr>eyJoZGlkIjoiMzU0MTZjMjFkMjFjOGMwYTIzNWEzZDljNjYxZWI0MmYiLCJ1c2VySWQiOiIxNjg0NTc5MjM2In0=</vt:lpwstr>
  </property>
</Properties>
</file>