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驻马店市中心医院工会会员新婚贺礼（床上用品）</w:t>
      </w:r>
      <w:r>
        <w:rPr>
          <w:rFonts w:hint="eastAsia" w:cs="宋体"/>
          <w:b/>
          <w:bCs/>
          <w:color w:val="auto"/>
          <w:sz w:val="44"/>
          <w:szCs w:val="44"/>
          <w:highlight w:val="none"/>
          <w:lang w:val="en-US" w:eastAsia="zh-CN"/>
        </w:rPr>
        <w:t>（二次）采购项目</w:t>
      </w:r>
    </w:p>
    <w:p w14:paraId="73B86FE0">
      <w:pPr>
        <w:pStyle w:val="20"/>
        <w:bidi w:val="0"/>
        <w:jc w:val="center"/>
        <w:rPr>
          <w:rStyle w:val="45"/>
          <w:rFonts w:hint="eastAsia" w:cs="宋体"/>
          <w:b/>
          <w:bCs/>
          <w:color w:val="auto"/>
          <w:sz w:val="44"/>
          <w:szCs w:val="44"/>
          <w:highlight w:val="none"/>
          <w:lang w:val="en-US" w:eastAsia="zh-CN"/>
        </w:rPr>
      </w:pPr>
    </w:p>
    <w:p w14:paraId="2F7EBEF2">
      <w:pPr>
        <w:pStyle w:val="20"/>
        <w:bidi w:val="0"/>
        <w:jc w:val="center"/>
        <w:rPr>
          <w:rStyle w:val="45"/>
          <w:rFonts w:hint="eastAsia" w:cs="宋体"/>
          <w:b/>
          <w:bCs/>
          <w:color w:val="auto"/>
          <w:sz w:val="44"/>
          <w:szCs w:val="44"/>
          <w:highlight w:val="none"/>
          <w:lang w:val="en-US" w:eastAsia="zh-CN"/>
        </w:rPr>
      </w:pPr>
    </w:p>
    <w:p w14:paraId="72164425">
      <w:pPr>
        <w:pStyle w:val="20"/>
        <w:bidi w:val="0"/>
        <w:jc w:val="center"/>
        <w:rPr>
          <w:rStyle w:val="45"/>
          <w:rFonts w:hint="eastAsia" w:ascii="宋体" w:hAnsi="宋体" w:eastAsia="宋体" w:cs="宋体"/>
          <w:b/>
          <w:bCs/>
          <w:color w:val="auto"/>
          <w:sz w:val="44"/>
          <w:szCs w:val="44"/>
          <w:highlight w:val="none"/>
        </w:rPr>
      </w:pPr>
      <w:r>
        <w:rPr>
          <w:rStyle w:val="45"/>
          <w:rFonts w:hint="eastAsia"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44E388B3">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w:t>
      </w:r>
      <w:r>
        <w:rPr>
          <w:rFonts w:hint="eastAsia" w:ascii="宋体" w:hAnsi="宋体" w:cs="宋体"/>
          <w:b/>
          <w:bCs/>
          <w:color w:val="auto"/>
          <w:spacing w:val="-10"/>
          <w:sz w:val="34"/>
          <w:szCs w:val="34"/>
          <w:highlight w:val="none"/>
          <w:lang w:val="en-US" w:eastAsia="zh-CN"/>
        </w:rPr>
        <w:t>秉方工程管理有限公司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 xml:space="preserve">日        期：2025年 </w:t>
      </w:r>
      <w:r>
        <w:rPr>
          <w:rFonts w:hint="eastAsia" w:ascii="宋体" w:hAnsi="宋体" w:cs="宋体"/>
          <w:b/>
          <w:bCs/>
          <w:color w:val="auto"/>
          <w:spacing w:val="-10"/>
          <w:sz w:val="34"/>
          <w:szCs w:val="34"/>
          <w:highlight w:val="none"/>
          <w:lang w:val="en-US" w:eastAsia="zh-CN"/>
        </w:rPr>
        <w:t>8</w:t>
      </w:r>
      <w:r>
        <w:rPr>
          <w:rFonts w:hint="eastAsia" w:ascii="宋体" w:hAnsi="宋体" w:eastAsia="宋体" w:cs="宋体"/>
          <w:b/>
          <w:bCs/>
          <w:color w:val="auto"/>
          <w:spacing w:val="-1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rPr>
          <w:rFonts w:hint="eastAsia" w:ascii="宋体" w:hAnsi="宋体" w:eastAsia="宋体" w:cs="宋体"/>
          <w:color w:val="auto"/>
          <w:highlight w:val="none"/>
        </w:rPr>
      </w:pPr>
    </w:p>
    <w:p w14:paraId="5621469A">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1AAB3DF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u w:val="none"/>
          <w:lang w:val="en-US" w:eastAsia="zh-CN"/>
        </w:rPr>
      </w:pPr>
      <w:r>
        <w:rPr>
          <w:rFonts w:hint="eastAsia" w:ascii="宋体" w:hAnsi="宋体" w:eastAsia="宋体" w:cs="宋体"/>
          <w:b/>
          <w:bCs w:val="0"/>
          <w:color w:val="auto"/>
          <w:kern w:val="0"/>
          <w:sz w:val="28"/>
          <w:szCs w:val="28"/>
          <w:highlight w:val="none"/>
          <w:u w:val="none"/>
          <w:lang w:val="en-US" w:eastAsia="zh-CN"/>
        </w:rPr>
        <w:t>驻马店市中心医院工会会员新婚贺礼（床上用品）采购项目</w:t>
      </w:r>
      <w:r>
        <w:rPr>
          <w:rFonts w:hint="eastAsia" w:ascii="宋体" w:hAnsi="宋体" w:cs="宋体"/>
          <w:b/>
          <w:bCs w:val="0"/>
          <w:color w:val="auto"/>
          <w:kern w:val="0"/>
          <w:sz w:val="28"/>
          <w:szCs w:val="28"/>
          <w:highlight w:val="none"/>
          <w:u w:val="none"/>
          <w:lang w:val="en-US" w:eastAsia="zh-CN"/>
        </w:rPr>
        <w:t>（二次）</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eastAsia="宋体" w:cs="宋体"/>
          <w:color w:val="auto"/>
          <w:highlight w:val="none"/>
          <w:lang w:val="en-US" w:eastAsia="zh-CN"/>
        </w:rPr>
        <w:t>驻马店市中心医院工会会员新婚贺礼（床上用品）采购项目</w:t>
      </w:r>
      <w:r>
        <w:rPr>
          <w:rFonts w:hint="eastAsia" w:ascii="宋体" w:hAnsi="宋体" w:cs="宋体"/>
          <w:color w:val="auto"/>
          <w:highlight w:val="none"/>
          <w:lang w:val="en-US" w:eastAsia="zh-CN"/>
        </w:rPr>
        <w:t>（二次）</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驻马店市中心医院工会会员新婚贺礼（床上用品）采购项目</w:t>
      </w:r>
      <w:r>
        <w:rPr>
          <w:rFonts w:hint="eastAsia" w:ascii="宋体" w:hAnsi="宋体" w:cs="宋体"/>
          <w:color w:val="auto"/>
          <w:szCs w:val="21"/>
          <w:highlight w:val="none"/>
          <w:shd w:val="clear" w:color="auto" w:fill="FFFFFF"/>
          <w:lang w:val="en-US" w:eastAsia="zh-CN"/>
        </w:rPr>
        <w:t>（二次）</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5万元；</w:t>
      </w:r>
    </w:p>
    <w:p w14:paraId="317A0B5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：以合同约定内容为准；</w:t>
      </w:r>
    </w:p>
    <w:p w14:paraId="3E64BF7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符合国家有关法律法规及行业标准要求，</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r>
        <w:rPr>
          <w:rFonts w:hint="eastAsia" w:ascii="宋体" w:hAnsi="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16639"/>
      <w:bookmarkStart w:id="5" w:name="_Toc18607"/>
      <w:bookmarkStart w:id="6" w:name="_Toc23626"/>
      <w:bookmarkStart w:id="7" w:name="_Toc27704"/>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30971"/>
      <w:bookmarkStart w:id="9" w:name="_Toc30643"/>
      <w:bookmarkStart w:id="10" w:name="_Toc9562"/>
      <w:bookmarkStart w:id="11" w:name="_Toc23395"/>
      <w:bookmarkStart w:id="12" w:name="_Toc7823"/>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5E6AB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011E7E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8C98F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66A63C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523822FE">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13</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15</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bingfang0371@163.com,并标明XX公司XX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0738"/>
      <w:bookmarkStart w:id="14" w:name="_Toc15111"/>
      <w:bookmarkStart w:id="15" w:name="_Toc27480"/>
      <w:bookmarkStart w:id="16" w:name="_Toc15135"/>
      <w:bookmarkStart w:id="17" w:name="_Toc25869"/>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9784"/>
      <w:bookmarkStart w:id="19" w:name="_Toc30918"/>
      <w:bookmarkStart w:id="20" w:name="_Toc20287"/>
      <w:bookmarkStart w:id="21" w:name="_Toc6523"/>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1928"/>
      <w:bookmarkStart w:id="25" w:name="_Toc3604"/>
      <w:bookmarkStart w:id="26" w:name="_Toc27370"/>
      <w:bookmarkStart w:id="27" w:name="_Toc24274"/>
      <w:bookmarkStart w:id="28" w:name="_Toc16291"/>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4F99A2B8">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采购代理机构：秉方工程管理有限公司</w:t>
      </w:r>
    </w:p>
    <w:p w14:paraId="40173C5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地址：驻马店市团结路与盘古山路交叉口建业十八城8号楼</w:t>
      </w:r>
    </w:p>
    <w:p w14:paraId="0F101FD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联系人：赵女士</w:t>
      </w:r>
    </w:p>
    <w:p w14:paraId="23EDD02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联系方式：18137400820</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34841899">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lang w:val="en-US" w:eastAsia="zh-CN"/>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079054D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08</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12</w:t>
      </w:r>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31536"/>
      <w:bookmarkStart w:id="34" w:name="_Toc9989"/>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eastAsia="宋体" w:cs="宋体"/>
          <w:color w:val="auto"/>
          <w:szCs w:val="21"/>
          <w:highlight w:val="none"/>
          <w:shd w:val="clear" w:color="auto" w:fill="FFFFFF"/>
          <w:lang w:val="en-US" w:eastAsia="zh-CN"/>
        </w:rPr>
        <w:t>驻马店市中心医院工会会员新婚贺礼（床上用品）采购项目</w:t>
      </w:r>
    </w:p>
    <w:p w14:paraId="774013EF">
      <w:pPr>
        <w:pStyle w:val="8"/>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90"/>
        <w:gridCol w:w="5"/>
        <w:gridCol w:w="2134"/>
        <w:gridCol w:w="850"/>
        <w:gridCol w:w="967"/>
        <w:gridCol w:w="1384"/>
        <w:gridCol w:w="1110"/>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52256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990" w:type="dxa"/>
            <w:vAlign w:val="center"/>
          </w:tcPr>
          <w:p w14:paraId="7BB03108">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139" w:type="dxa"/>
            <w:gridSpan w:val="2"/>
            <w:vAlign w:val="center"/>
          </w:tcPr>
          <w:p w14:paraId="1C818719">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850" w:type="dxa"/>
            <w:vAlign w:val="center"/>
          </w:tcPr>
          <w:p w14:paraId="2AF52A7A">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967" w:type="dxa"/>
            <w:vAlign w:val="center"/>
          </w:tcPr>
          <w:p w14:paraId="78A9F1D6">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384" w:type="dxa"/>
            <w:vAlign w:val="center"/>
          </w:tcPr>
          <w:p w14:paraId="665A7C5C">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资金</w:t>
            </w:r>
          </w:p>
          <w:p w14:paraId="2259F43F">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预算</w:t>
            </w:r>
          </w:p>
        </w:tc>
        <w:tc>
          <w:tcPr>
            <w:tcW w:w="1110" w:type="dxa"/>
            <w:vAlign w:val="center"/>
          </w:tcPr>
          <w:p w14:paraId="0C32BA6B">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w:t>
            </w:r>
          </w:p>
          <w:p w14:paraId="0F2FBFFE">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性质</w:t>
            </w:r>
          </w:p>
        </w:tc>
        <w:tc>
          <w:tcPr>
            <w:tcW w:w="1245" w:type="dxa"/>
            <w:vAlign w:val="center"/>
          </w:tcPr>
          <w:p w14:paraId="0D5173FD">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国产/</w:t>
            </w:r>
          </w:p>
          <w:p w14:paraId="5E8880A2">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90"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2139" w:type="dxa"/>
            <w:gridSpan w:val="2"/>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工会会员新婚贺礼（床上用品）</w:t>
            </w:r>
          </w:p>
        </w:tc>
        <w:tc>
          <w:tcPr>
            <w:tcW w:w="850"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人份</w:t>
            </w:r>
          </w:p>
        </w:tc>
        <w:tc>
          <w:tcPr>
            <w:tcW w:w="967"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100</w:t>
            </w:r>
          </w:p>
        </w:tc>
        <w:tc>
          <w:tcPr>
            <w:tcW w:w="1384"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500元/人份</w:t>
            </w:r>
          </w:p>
        </w:tc>
        <w:tc>
          <w:tcPr>
            <w:tcW w:w="1110"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自筹</w:t>
            </w:r>
          </w:p>
        </w:tc>
        <w:tc>
          <w:tcPr>
            <w:tcW w:w="1245"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gridSpan w:val="3"/>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合计</w:t>
            </w:r>
          </w:p>
        </w:tc>
        <w:tc>
          <w:tcPr>
            <w:tcW w:w="7690"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50000元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890"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7695" w:type="dxa"/>
            <w:gridSpan w:val="7"/>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按照500元/人份的标准，以新婚贺礼实际申领人数结算</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本项目拟遴选1家入围供应商，服务期限为一年。</w:t>
            </w:r>
          </w:p>
        </w:tc>
      </w:tr>
    </w:tbl>
    <w:p w14:paraId="5E19B8D7">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p>
    <w:p w14:paraId="10E84755">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技术要求：</w:t>
      </w:r>
    </w:p>
    <w:p w14:paraId="61567CB9">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420" w:firstLineChars="20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1.技术要求</w:t>
      </w:r>
      <w:r>
        <w:rPr>
          <w:rFonts w:hint="eastAsia" w:ascii="宋体" w:hAnsi="宋体" w:cs="宋体"/>
          <w:color w:val="auto"/>
          <w:sz w:val="21"/>
          <w:szCs w:val="21"/>
          <w:highlight w:val="none"/>
          <w:vertAlign w:val="baseline"/>
          <w:lang w:val="en-US" w:eastAsia="zh-CN"/>
        </w:rPr>
        <w:t>及</w:t>
      </w:r>
      <w:r>
        <w:rPr>
          <w:rFonts w:hint="eastAsia" w:ascii="宋体" w:hAnsi="宋体" w:eastAsia="宋体" w:cs="宋体"/>
          <w:color w:val="auto"/>
          <w:sz w:val="21"/>
          <w:szCs w:val="21"/>
          <w:highlight w:val="none"/>
          <w:vertAlign w:val="baseline"/>
          <w:lang w:val="en-US" w:eastAsia="zh-CN"/>
        </w:rPr>
        <w:t>服务条件</w:t>
      </w:r>
    </w:p>
    <w:p w14:paraId="137613CD">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420" w:firstLineChars="20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1.1</w:t>
      </w:r>
      <w:r>
        <w:rPr>
          <w:rFonts w:hint="eastAsia" w:ascii="宋体" w:hAnsi="宋体" w:eastAsia="宋体" w:cs="宋体"/>
          <w:color w:val="auto"/>
          <w:sz w:val="21"/>
          <w:szCs w:val="21"/>
          <w:highlight w:val="none"/>
          <w:vertAlign w:val="baseline"/>
          <w:lang w:val="en-US" w:eastAsia="zh-CN"/>
        </w:rPr>
        <w:t>中标人应提供单张面值不低于500元的专属提货券，券上需注明门店的地址及订购电话。</w:t>
      </w:r>
    </w:p>
    <w:p w14:paraId="3FC54A27">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420" w:firstLineChars="20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r>
        <w:rPr>
          <w:rFonts w:hint="eastAsia" w:ascii="宋体" w:hAnsi="宋体" w:eastAsia="宋体" w:cs="宋体"/>
          <w:color w:val="auto"/>
          <w:sz w:val="21"/>
          <w:szCs w:val="21"/>
          <w:highlight w:val="none"/>
          <w:vertAlign w:val="baseline"/>
          <w:lang w:val="en-US" w:eastAsia="zh-CN"/>
        </w:rPr>
        <w:t>.2质量保证和售后服务：①中标人须保证所供货物是全新的、未使用过的，并完全符合招标文件的合格产品；②中标人有完全责任和义务对招标人提出的供货需求负责，随时做好供货准备；③其他未尽事宜由供需双方在采购合同中详细约定。</w:t>
      </w:r>
    </w:p>
    <w:p w14:paraId="218286C2">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420" w:firstLineChars="20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r>
        <w:rPr>
          <w:rFonts w:hint="eastAsia" w:ascii="宋体" w:hAnsi="宋体" w:eastAsia="宋体" w:cs="宋体"/>
          <w:color w:val="auto"/>
          <w:sz w:val="21"/>
          <w:szCs w:val="21"/>
          <w:highlight w:val="none"/>
          <w:vertAlign w:val="baseline"/>
          <w:lang w:val="en-US" w:eastAsia="zh-CN"/>
        </w:rPr>
        <w:t>.3提货券使用范围应覆盖供应商的所有门市店，无任何提领限制。当提货券遗失时有登记补办机制。</w:t>
      </w:r>
    </w:p>
    <w:p w14:paraId="356BDF8E">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420" w:firstLineChars="20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lang w:val="en-US" w:eastAsia="zh-CN"/>
        </w:rPr>
        <w:t>.其他要求：</w:t>
      </w:r>
    </w:p>
    <w:p w14:paraId="27628787">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420" w:firstLineChars="20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lang w:val="en-US" w:eastAsia="zh-CN"/>
        </w:rPr>
        <w:t>.1合同签订后，中标人按采购方要求分批次供货。</w:t>
      </w:r>
    </w:p>
    <w:p w14:paraId="67DB44D7">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420" w:firstLineChars="20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lang w:val="en-US" w:eastAsia="zh-CN"/>
        </w:rPr>
        <w:t>.2中标人根据采购人的实际采购数量，以中标单价，凭以下有效文件与采购人结算：①采购合同；②中标人开具的正式发票；③签收表。</w:t>
      </w:r>
    </w:p>
    <w:p w14:paraId="55168AF9">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420" w:firstLineChars="20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lang w:val="en-US" w:eastAsia="zh-CN"/>
        </w:rPr>
        <w:t>.3根据采购人需求，定制并发放新婚贺礼（床上用品）领取券（或送货上门），不得限制商品领取券的兑换时间。</w:t>
      </w:r>
    </w:p>
    <w:p w14:paraId="3D1AA05B">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420" w:firstLineChars="20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lang w:val="en-US" w:eastAsia="zh-CN"/>
        </w:rPr>
        <w:t>.4若产品质量及供货日期未达到要求，采购方则有权拒收货物并终止合同，一切损失及后果由供应商承担。</w:t>
      </w:r>
    </w:p>
    <w:p w14:paraId="5C70B08A">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420" w:firstLineChars="200"/>
        <w:jc w:val="both"/>
        <w:textAlignment w:val="auto"/>
        <w:rPr>
          <w:rFonts w:hint="eastAsia" w:ascii="宋体" w:hAnsi="宋体" w:eastAsia="宋体" w:cs="宋体"/>
          <w:b/>
          <w:bCs/>
          <w:color w:val="auto"/>
          <w:sz w:val="30"/>
          <w:szCs w:val="30"/>
          <w:highlight w:val="none"/>
        </w:rPr>
      </w:pPr>
      <w:r>
        <w:rPr>
          <w:rFonts w:hint="eastAsia" w:ascii="宋体" w:hAnsi="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lang w:val="en-US" w:eastAsia="zh-CN"/>
        </w:rPr>
        <w:t>.5因产品质量出现的任何安全问题，一律由供应商自行承担。</w:t>
      </w: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65181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626B1">
            <w:pPr>
              <w:pStyle w:val="8"/>
              <w:ind w:left="0" w:left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45FF8">
            <w:pPr>
              <w:pStyle w:val="8"/>
              <w:ind w:left="0" w:lef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自成交通知书发出之日起30日内。</w:t>
            </w:r>
          </w:p>
        </w:tc>
      </w:tr>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8"/>
              <w:ind w:left="0" w:left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以合同约定内容为准</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符合国家有关法律法规及行业标准要求，满足磋商文件规定标准。</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一年。</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具体内容以双方签订合同为准。</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8"/>
              <w:ind w:left="0" w:lef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所提供货物的免费质量保证期至少12个月。</w:t>
            </w:r>
          </w:p>
        </w:tc>
      </w:tr>
    </w:tbl>
    <w:p w14:paraId="11CD2EC9">
      <w:pPr>
        <w:pStyle w:val="24"/>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D161350">
            <w:pPr>
              <w:widowControl/>
              <w:snapToGrid w:val="0"/>
              <w:spacing w:line="440" w:lineRule="exact"/>
              <w:jc w:val="left"/>
              <w:outlineLvl w:val="0"/>
              <w:rPr>
                <w:rFonts w:hint="eastAsia" w:ascii="宋体" w:hAnsi="宋体" w:eastAsia="宋体" w:cs="宋体"/>
                <w:color w:val="auto"/>
                <w:highlight w:val="none"/>
                <w:lang w:val="en-US"/>
              </w:rPr>
            </w:pPr>
            <w:bookmarkStart w:id="36" w:name="_Toc27817"/>
            <w:bookmarkStart w:id="37" w:name="_Toc9566"/>
            <w:bookmarkStart w:id="38" w:name="_Toc30169"/>
            <w:r>
              <w:rPr>
                <w:rFonts w:hint="eastAsia" w:ascii="宋体" w:hAnsi="宋体" w:eastAsia="宋体" w:cs="宋体"/>
                <w:color w:val="auto"/>
                <w:highlight w:val="none"/>
              </w:rPr>
              <w:t>1.1项目名称：</w:t>
            </w:r>
            <w:bookmarkEnd w:id="36"/>
            <w:bookmarkEnd w:id="37"/>
            <w:bookmarkEnd w:id="38"/>
            <w:r>
              <w:rPr>
                <w:rFonts w:hint="eastAsia" w:ascii="宋体" w:hAnsi="宋体" w:eastAsia="宋体" w:cs="宋体"/>
                <w:color w:val="auto"/>
                <w:highlight w:val="none"/>
                <w:lang w:val="en-US" w:eastAsia="zh-CN"/>
              </w:rPr>
              <w:t>驻马店市中心医院工会会员新婚贺礼（床上用品）采购项目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8320"/>
            <w:bookmarkStart w:id="40" w:name="_Toc29400"/>
            <w:bookmarkStart w:id="41" w:name="_Toc23424"/>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6199"/>
            <w:bookmarkStart w:id="43" w:name="_Toc24541"/>
            <w:bookmarkStart w:id="44" w:name="_Toc314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4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 xml:space="preserve">5万元  </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antXd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B44AAE4">
            <w:pPr>
              <w:widowControl/>
              <w:snapToGrid w:val="0"/>
              <w:spacing w:line="440" w:lineRule="exact"/>
              <w:jc w:val="left"/>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5万元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5万元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7"/>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0EBC0901">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cs="宋体"/>
          <w:color w:val="auto"/>
          <w:sz w:val="21"/>
          <w:szCs w:val="21"/>
          <w:highlight w:val="none"/>
          <w:shd w:val="clear" w:color="auto" w:fill="FFFFFF"/>
          <w:lang w:val="en-US" w:eastAsia="zh-CN"/>
        </w:rPr>
        <w:t>任何一项服务</w:t>
      </w:r>
      <w:r>
        <w:rPr>
          <w:rFonts w:hint="eastAsia" w:ascii="宋体" w:hAnsi="宋体" w:eastAsia="宋体" w:cs="宋体"/>
          <w:color w:val="auto"/>
          <w:szCs w:val="21"/>
          <w:highlight w:val="none"/>
        </w:rPr>
        <w:t>内容未按</w:t>
      </w:r>
      <w:r>
        <w:rPr>
          <w:rFonts w:hint="eastAsia" w:ascii="宋体" w:hAnsi="宋体" w:cs="宋体"/>
          <w:color w:val="auto"/>
          <w:szCs w:val="21"/>
          <w:highlight w:val="none"/>
          <w:lang w:val="en-US" w:eastAsia="zh-CN"/>
        </w:rPr>
        <w:t>“第二章  采购需求 三、技术要求”</w:t>
      </w:r>
      <w:r>
        <w:rPr>
          <w:rFonts w:hint="eastAsia" w:ascii="宋体" w:hAnsi="宋体" w:eastAsia="宋体" w:cs="宋体"/>
          <w:color w:val="auto"/>
          <w:szCs w:val="21"/>
          <w:highlight w:val="none"/>
        </w:rPr>
        <w:t>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w:t>
      </w:r>
      <w:r>
        <w:rPr>
          <w:rFonts w:hint="eastAsia" w:ascii="宋体" w:hAnsi="宋体" w:cs="宋体"/>
          <w:color w:val="auto"/>
          <w:szCs w:val="21"/>
          <w:highlight w:val="none"/>
          <w:lang w:val="en-US" w:eastAsia="zh-CN"/>
        </w:rPr>
        <w:t>修</w:t>
      </w:r>
      <w:r>
        <w:rPr>
          <w:rFonts w:hint="eastAsia" w:ascii="宋体" w:hAnsi="宋体" w:eastAsia="宋体" w:cs="宋体"/>
          <w:color w:val="auto"/>
          <w:szCs w:val="21"/>
          <w:highlight w:val="none"/>
        </w:rPr>
        <w:t>正后依法重新招标；</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tabs>
                <w:tab w:val="left" w:pos="1620"/>
              </w:tabs>
              <w:kinsoku/>
              <w:overflowPunct/>
              <w:topLinePunct w:val="0"/>
              <w:bidi w:val="0"/>
              <w:snapToGrid w:val="0"/>
              <w:spacing w:line="360" w:lineRule="auto"/>
              <w:ind w:firstLine="462" w:firstLineChars="22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0F21E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说明：当磋商小组发现供应商的磋商报价明显低于其他磋商报价，使其磋商报价可能低于其个别成本的，磋商小组可对其质询，并要求该供应商做出书面说明和提供相关的证明材料；该供应商不能合理说明或提供证明材料的，磋商小组应按无效磋商处理。</w:t>
            </w:r>
          </w:p>
          <w:p w14:paraId="1C7B52D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有效磋商报价：磋商报价不高于采购预算价的为有效磋商报价。</w:t>
            </w:r>
          </w:p>
          <w:p w14:paraId="631C2FD4">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评标基准值的确定：满足采购文件要求且磋商价格最低的有效磋商报价为评标基准价。</w:t>
            </w:r>
          </w:p>
          <w:p w14:paraId="34D21739">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磋商报价得分=（评标基准价/有效磋商报价）×30分</w:t>
            </w:r>
          </w:p>
          <w:p w14:paraId="227E9141">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注：因本项目</w:t>
            </w:r>
            <w:r>
              <w:rPr>
                <w:rFonts w:hint="eastAsia" w:ascii="宋体" w:hAnsi="宋体" w:cs="宋体"/>
                <w:b w:val="0"/>
                <w:bCs w:val="0"/>
                <w:color w:val="auto"/>
                <w:sz w:val="21"/>
                <w:szCs w:val="21"/>
                <w:highlight w:val="none"/>
                <w:lang w:val="en-US" w:eastAsia="zh-CN"/>
              </w:rPr>
              <w:t>新婚贺礼</w:t>
            </w:r>
            <w:r>
              <w:rPr>
                <w:rFonts w:hint="eastAsia" w:ascii="宋体" w:hAnsi="宋体" w:eastAsia="宋体" w:cs="宋体"/>
                <w:b w:val="0"/>
                <w:bCs w:val="0"/>
                <w:color w:val="auto"/>
                <w:sz w:val="21"/>
                <w:szCs w:val="21"/>
                <w:highlight w:val="none"/>
                <w:lang w:val="en-US" w:eastAsia="zh-CN"/>
              </w:rPr>
              <w:t>采购按照500元/人份的标准，采购人实际支付500元/人份采购提货券，故本项目为固定报价，即各供应商报价均为 500 元/人</w:t>
            </w:r>
            <w:r>
              <w:rPr>
                <w:rFonts w:hint="eastAsia" w:ascii="宋体" w:hAnsi="宋体" w:cs="宋体"/>
                <w:b w:val="0"/>
                <w:bCs w:val="0"/>
                <w:color w:val="auto"/>
                <w:sz w:val="21"/>
                <w:szCs w:val="21"/>
                <w:highlight w:val="none"/>
                <w:lang w:val="en-US" w:eastAsia="zh-CN"/>
              </w:rPr>
              <w:t>份</w:t>
            </w:r>
            <w:r>
              <w:rPr>
                <w:rFonts w:hint="eastAsia" w:ascii="宋体" w:hAnsi="宋体" w:eastAsia="宋体" w:cs="宋体"/>
                <w:b w:val="0"/>
                <w:bCs w:val="0"/>
                <w:color w:val="auto"/>
                <w:sz w:val="21"/>
                <w:szCs w:val="21"/>
                <w:highlight w:val="none"/>
                <w:lang w:val="en-US" w:eastAsia="zh-CN"/>
              </w:rPr>
              <w:t>，响应报价为500元/人</w:t>
            </w:r>
            <w:r>
              <w:rPr>
                <w:rFonts w:hint="eastAsia" w:ascii="宋体" w:hAnsi="宋体" w:cs="宋体"/>
                <w:b w:val="0"/>
                <w:bCs w:val="0"/>
                <w:color w:val="auto"/>
                <w:sz w:val="21"/>
                <w:szCs w:val="21"/>
                <w:highlight w:val="none"/>
                <w:lang w:val="en-US" w:eastAsia="zh-CN"/>
              </w:rPr>
              <w:t>份</w:t>
            </w:r>
            <w:r>
              <w:rPr>
                <w:rFonts w:hint="eastAsia" w:ascii="宋体" w:hAnsi="宋体" w:eastAsia="宋体" w:cs="宋体"/>
                <w:b w:val="0"/>
                <w:bCs w:val="0"/>
                <w:color w:val="auto"/>
                <w:sz w:val="21"/>
                <w:szCs w:val="21"/>
                <w:highlight w:val="none"/>
                <w:lang w:val="en-US" w:eastAsia="zh-CN"/>
              </w:rPr>
              <w:t>。(500元所购得提货券的实际购买力依据各单位实际情况提供)。</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39" w:type="dxa"/>
            <w:vMerge w:val="restart"/>
            <w:noWrap w:val="0"/>
            <w:vAlign w:val="center"/>
          </w:tcPr>
          <w:p w14:paraId="7D578B06">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1.产品质量（</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4D7EAD74">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评委根据供应商对所提供产品的品牌知名度及市场占有率、产品耐用性及稳定性等进行打分。</w:t>
            </w:r>
          </w:p>
          <w:p w14:paraId="4E44A062">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1.产品的品牌知名度及市场占有率高、产品耐用性及稳定性的强的得</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p w14:paraId="222845A4">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2.产品的品牌知名度及市场占有率较高、产品耐用性及稳定性的较强的得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6CEB8D48">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3.产品的品牌知名度及市场占有率、产品耐用性及稳定性一般的得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p>
          <w:p w14:paraId="72056AE5">
            <w:pPr>
              <w:keepNext w:val="0"/>
              <w:keepLines w:val="0"/>
              <w:pageBreakBefore w:val="0"/>
              <w:numPr>
                <w:ilvl w:val="0"/>
                <w:numId w:val="0"/>
              </w:numPr>
              <w:tabs>
                <w:tab w:val="left" w:pos="1620"/>
              </w:tabs>
              <w:kinsoku/>
              <w:overflowPunct/>
              <w:topLinePunct w:val="0"/>
              <w:bidi w:val="0"/>
              <w:snapToGrid w:val="0"/>
              <w:spacing w:line="360" w:lineRule="auto"/>
              <w:ind w:firstLine="420" w:firstLineChars="200"/>
              <w:textAlignment w:val="auto"/>
              <w:rPr>
                <w:rFonts w:hint="eastAsia"/>
              </w:rPr>
            </w:pPr>
            <w:r>
              <w:rPr>
                <w:rFonts w:hint="eastAsia" w:ascii="宋体" w:hAnsi="宋体" w:eastAsia="宋体" w:cs="宋体"/>
                <w:b w:val="0"/>
                <w:bCs w:val="0"/>
                <w:color w:val="auto"/>
                <w:sz w:val="21"/>
                <w:szCs w:val="21"/>
                <w:highlight w:val="none"/>
                <w:lang w:val="en-US" w:eastAsia="zh-CN"/>
              </w:rPr>
              <w:t>4.产品的品牌知名度及市场占有率、产品耐用性及稳定性差的得1分。</w:t>
            </w:r>
          </w:p>
        </w:tc>
      </w:tr>
      <w:tr w14:paraId="551C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1239" w:type="dxa"/>
            <w:vMerge w:val="continue"/>
            <w:noWrap w:val="0"/>
            <w:vAlign w:val="center"/>
          </w:tcPr>
          <w:p w14:paraId="2E8B65E4">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p>
        </w:tc>
        <w:tc>
          <w:tcPr>
            <w:tcW w:w="1473" w:type="dxa"/>
            <w:noWrap w:val="0"/>
            <w:vAlign w:val="center"/>
          </w:tcPr>
          <w:p w14:paraId="552BB60A">
            <w:pPr>
              <w:pStyle w:val="92"/>
              <w:keepNext w:val="0"/>
              <w:keepLines w:val="0"/>
              <w:pageBreakBefore w:val="0"/>
              <w:kinsoku/>
              <w:wordWrap/>
              <w:overflowPunct/>
              <w:topLinePunct w:val="0"/>
              <w:autoSpaceDE/>
              <w:autoSpaceDN/>
              <w:bidi w:val="0"/>
              <w:spacing w:line="400" w:lineRule="exact"/>
              <w:ind w:left="42" w:leftChars="20" w:right="113"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2.仓储</w:t>
            </w:r>
          </w:p>
          <w:p w14:paraId="37DD71BA">
            <w:pPr>
              <w:pStyle w:val="92"/>
              <w:keepNext w:val="0"/>
              <w:keepLines w:val="0"/>
              <w:pageBreakBefore w:val="0"/>
              <w:kinsoku/>
              <w:wordWrap/>
              <w:overflowPunct/>
              <w:topLinePunct w:val="0"/>
              <w:autoSpaceDE/>
              <w:autoSpaceDN/>
              <w:bidi w:val="0"/>
              <w:spacing w:line="400" w:lineRule="exact"/>
              <w:ind w:left="42" w:leftChars="20" w:right="113" w:rightChars="0" w:firstLine="0" w:firstLine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规模</w:t>
            </w:r>
            <w:r>
              <w:rPr>
                <w:rFonts w:hint="eastAsia" w:ascii="宋体" w:hAnsi="宋体" w:eastAsia="宋体" w:cs="宋体"/>
                <w:b w:val="0"/>
                <w:bCs w:val="0"/>
                <w:color w:val="auto"/>
                <w:sz w:val="21"/>
                <w:szCs w:val="21"/>
                <w:highlight w:val="none"/>
                <w:lang w:val="en-US" w:eastAsia="zh-CN"/>
              </w:rPr>
              <w:t>（7分）</w:t>
            </w:r>
          </w:p>
        </w:tc>
        <w:tc>
          <w:tcPr>
            <w:tcW w:w="6770" w:type="dxa"/>
            <w:noWrap w:val="0"/>
            <w:vAlign w:val="center"/>
          </w:tcPr>
          <w:p w14:paraId="07F6EFB8">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供应商仓储规模在100(不含100)-150 ㎡得2分;150 m²(不含 150)以上得4分;此项最高得4分。(提供租赁合同或房产证明原件扫描件)。</w:t>
            </w:r>
          </w:p>
          <w:p w14:paraId="6A0C2078">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2.投标人承诺在驻马店市区能够供货的门店达到2家（含）以上的，得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分。提供门头照及地址。不提供不得分</w:t>
            </w:r>
          </w:p>
        </w:tc>
      </w:tr>
      <w:tr w14:paraId="48B4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1239" w:type="dxa"/>
            <w:vMerge w:val="continue"/>
            <w:noWrap w:val="0"/>
            <w:vAlign w:val="center"/>
          </w:tcPr>
          <w:p w14:paraId="2254B508">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p>
        </w:tc>
        <w:tc>
          <w:tcPr>
            <w:tcW w:w="1473" w:type="dxa"/>
            <w:noWrap w:val="0"/>
            <w:vAlign w:val="center"/>
          </w:tcPr>
          <w:p w14:paraId="14D9A25A">
            <w:pPr>
              <w:pStyle w:val="92"/>
              <w:keepNext w:val="0"/>
              <w:keepLines w:val="0"/>
              <w:pageBreakBefore w:val="0"/>
              <w:kinsoku/>
              <w:wordWrap/>
              <w:overflowPunct/>
              <w:topLinePunct w:val="0"/>
              <w:autoSpaceDE/>
              <w:autoSpaceDN/>
              <w:bidi w:val="0"/>
              <w:spacing w:line="400" w:lineRule="exact"/>
              <w:ind w:left="42" w:leftChars="20" w:right="113"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3.仓储环境管理方案</w:t>
            </w:r>
            <w:r>
              <w:rPr>
                <w:rFonts w:hint="eastAsia" w:ascii="宋体" w:hAnsi="宋体" w:eastAsia="宋体" w:cs="宋体"/>
                <w:b w:val="0"/>
                <w:bCs w:val="0"/>
                <w:color w:val="auto"/>
                <w:sz w:val="21"/>
                <w:szCs w:val="21"/>
                <w:highlight w:val="none"/>
                <w:lang w:val="en-US" w:eastAsia="zh-CN"/>
              </w:rPr>
              <w:t>（6分）</w:t>
            </w:r>
          </w:p>
        </w:tc>
        <w:tc>
          <w:tcPr>
            <w:tcW w:w="6770" w:type="dxa"/>
            <w:noWrap w:val="0"/>
            <w:vAlign w:val="center"/>
          </w:tcPr>
          <w:p w14:paraId="2D7FDBAE">
            <w:pPr>
              <w:pStyle w:val="92"/>
              <w:keepNext w:val="0"/>
              <w:keepLines w:val="0"/>
              <w:pageBreakBefore w:val="0"/>
              <w:kinsoku/>
              <w:wordWrap/>
              <w:overflowPunct/>
              <w:topLinePunct w:val="0"/>
              <w:autoSpaceDE/>
              <w:autoSpaceDN/>
              <w:bidi w:val="0"/>
              <w:spacing w:line="400" w:lineRule="exact"/>
              <w:ind w:left="42" w:leftChars="20" w:right="113"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供应商提供符合采购需求的仓储环境管理方案包含（但不限于）以下内容：</w:t>
            </w:r>
          </w:p>
          <w:p w14:paraId="75D077D2">
            <w:pPr>
              <w:pStyle w:val="92"/>
              <w:keepNext w:val="0"/>
              <w:keepLines w:val="0"/>
              <w:pageBreakBefore w:val="0"/>
              <w:kinsoku/>
              <w:wordWrap/>
              <w:overflowPunct/>
              <w:topLinePunct w:val="0"/>
              <w:autoSpaceDE/>
              <w:autoSpaceDN/>
              <w:bidi w:val="0"/>
              <w:spacing w:line="400" w:lineRule="exact"/>
              <w:ind w:left="42" w:leftChars="20" w:right="113" w:firstLine="0" w:firstLine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①为保证仓储环境干净整洁提供的仓储管理措施；②仓储环境介绍等。每提供一项得3分，最多得6分，未提供不得分。</w:t>
            </w:r>
          </w:p>
          <w:p w14:paraId="500C4702">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kern w:val="2"/>
                <w:sz w:val="21"/>
                <w:szCs w:val="21"/>
                <w:highlight w:val="none"/>
                <w:lang w:val="en-US" w:eastAsia="zh-CN" w:bidi="ar-SA"/>
              </w:rPr>
            </w:pPr>
          </w:p>
          <w:p w14:paraId="71B9BC8D">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具体内容应当满足采购人采购需求，专门针对本项目或适用于本项目特性的情形，具体内容分项描述完整，不缺少关键节点，具体内容不得套用其他项目方案，方案具体内容前后一致、涉及的规范及标准应当符合相关规定及要求。</w:t>
            </w:r>
          </w:p>
        </w:tc>
      </w:tr>
      <w:tr w14:paraId="61B5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1239" w:type="dxa"/>
            <w:vMerge w:val="continue"/>
            <w:noWrap w:val="0"/>
            <w:vAlign w:val="center"/>
          </w:tcPr>
          <w:p w14:paraId="668D1BAD">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p>
        </w:tc>
        <w:tc>
          <w:tcPr>
            <w:tcW w:w="1473" w:type="dxa"/>
            <w:noWrap w:val="0"/>
            <w:vAlign w:val="center"/>
          </w:tcPr>
          <w:p w14:paraId="28875773">
            <w:pPr>
              <w:pStyle w:val="92"/>
              <w:keepNext w:val="0"/>
              <w:keepLines w:val="0"/>
              <w:pageBreakBefore w:val="0"/>
              <w:kinsoku/>
              <w:wordWrap/>
              <w:overflowPunct/>
              <w:topLinePunct w:val="0"/>
              <w:autoSpaceDE/>
              <w:autoSpaceDN/>
              <w:bidi w:val="0"/>
              <w:spacing w:line="400" w:lineRule="exact"/>
              <w:ind w:left="42" w:leftChars="20" w:right="113"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4.仓储货源充足情况</w:t>
            </w:r>
            <w:r>
              <w:rPr>
                <w:rFonts w:hint="eastAsia" w:ascii="宋体" w:hAnsi="宋体" w:eastAsia="宋体" w:cs="宋体"/>
                <w:b w:val="0"/>
                <w:bCs w:val="0"/>
                <w:color w:val="auto"/>
                <w:sz w:val="21"/>
                <w:szCs w:val="21"/>
                <w:highlight w:val="none"/>
                <w:lang w:val="en-US" w:eastAsia="zh-CN"/>
              </w:rPr>
              <w:t>（4分）</w:t>
            </w:r>
          </w:p>
        </w:tc>
        <w:tc>
          <w:tcPr>
            <w:tcW w:w="6770" w:type="dxa"/>
            <w:noWrap w:val="0"/>
            <w:vAlign w:val="center"/>
          </w:tcPr>
          <w:p w14:paraId="054F74A8">
            <w:pPr>
              <w:pStyle w:val="92"/>
              <w:keepNext w:val="0"/>
              <w:keepLines w:val="0"/>
              <w:pageBreakBefore w:val="0"/>
              <w:kinsoku/>
              <w:wordWrap/>
              <w:overflowPunct/>
              <w:topLinePunct w:val="0"/>
              <w:autoSpaceDE/>
              <w:autoSpaceDN/>
              <w:bidi w:val="0"/>
              <w:spacing w:line="400" w:lineRule="exact"/>
              <w:ind w:left="42" w:leftChars="20" w:right="113"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供应商应提供货源充足的证明材料对仓储货源的充足性进行说明，包含但不限于：真实的仓储图片、进货单等。货源充足，能满足医院员工的提货需求得4分，其他不得分。</w:t>
            </w:r>
          </w:p>
          <w:p w14:paraId="528D2E83">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kern w:val="2"/>
                <w:sz w:val="21"/>
                <w:szCs w:val="21"/>
                <w:highlight w:val="none"/>
                <w:lang w:val="en-US" w:eastAsia="zh-CN" w:bidi="ar-SA"/>
              </w:rPr>
            </w:pPr>
          </w:p>
          <w:p w14:paraId="7F673DD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具体内容应当满足采购人采购需求，专门针对本项目或适用于本项目特性的情形，具体内容分项描述完整，不缺少关键节点，具体内容不得套用其他项目方案，方案具体内容前后一致、涉及的规范及标准应当符合相关规定及要求。</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239" w:type="dxa"/>
            <w:vMerge w:val="continue"/>
            <w:noWrap w:val="0"/>
            <w:vAlign w:val="center"/>
          </w:tcPr>
          <w:p w14:paraId="41275FB9">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08685232">
            <w:pPr>
              <w:pStyle w:val="92"/>
              <w:keepNext w:val="0"/>
              <w:keepLines w:val="0"/>
              <w:pageBreakBefore w:val="0"/>
              <w:kinsoku/>
              <w:wordWrap/>
              <w:overflowPunct/>
              <w:topLinePunct w:val="0"/>
              <w:autoSpaceDE/>
              <w:autoSpaceDN/>
              <w:bidi w:val="0"/>
              <w:spacing w:line="400" w:lineRule="exact"/>
              <w:ind w:left="42" w:leftChars="20" w:right="113"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5.配送人员情况（6分）</w:t>
            </w:r>
          </w:p>
        </w:tc>
        <w:tc>
          <w:tcPr>
            <w:tcW w:w="6770" w:type="dxa"/>
            <w:noWrap w:val="0"/>
            <w:vAlign w:val="center"/>
          </w:tcPr>
          <w:p w14:paraId="085291EA">
            <w:pPr>
              <w:pStyle w:val="92"/>
              <w:keepNext w:val="0"/>
              <w:keepLines w:val="0"/>
              <w:pageBreakBefore w:val="0"/>
              <w:kinsoku/>
              <w:wordWrap/>
              <w:overflowPunct/>
              <w:topLinePunct w:val="0"/>
              <w:autoSpaceDE/>
              <w:autoSpaceDN/>
              <w:bidi w:val="0"/>
              <w:spacing w:line="400" w:lineRule="exact"/>
              <w:ind w:right="113"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供应商所配的专职配送人员在满足采购人的需求上拟投入专职配送人员3人以上5人以下的得3分；5人及以上的得6分；少于3人不得分。（提供专业配送人员的劳动合同扫描件，不提供不得分）。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E9F3738">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37A15399">
            <w:pPr>
              <w:keepNext w:val="0"/>
              <w:keepLines w:val="0"/>
              <w:pageBreakBefore w:val="0"/>
              <w:tabs>
                <w:tab w:val="left" w:pos="1620"/>
              </w:tabs>
              <w:kinsoku/>
              <w:overflowPunct/>
              <w:topLinePunct w:val="0"/>
              <w:bidi w:val="0"/>
              <w:snapToGrid w:val="0"/>
              <w:spacing w:line="360" w:lineRule="auto"/>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6.供货保障措施方案</w:t>
            </w:r>
            <w:r>
              <w:rPr>
                <w:rFonts w:hint="eastAsia" w:ascii="宋体" w:hAnsi="宋体" w:eastAsia="宋体" w:cs="宋体"/>
                <w:b w:val="0"/>
                <w:bCs w:val="0"/>
                <w:color w:val="auto"/>
                <w:sz w:val="21"/>
                <w:szCs w:val="21"/>
                <w:highlight w:val="none"/>
                <w:lang w:val="en-US" w:eastAsia="zh-CN"/>
              </w:rPr>
              <w:t>（7分）</w:t>
            </w:r>
          </w:p>
        </w:tc>
        <w:tc>
          <w:tcPr>
            <w:tcW w:w="6770" w:type="dxa"/>
            <w:noWrap w:val="0"/>
            <w:vAlign w:val="center"/>
          </w:tcPr>
          <w:p w14:paraId="09361BF8">
            <w:pPr>
              <w:keepNext w:val="0"/>
              <w:keepLines w:val="0"/>
              <w:pageBreakBefore w:val="0"/>
              <w:tabs>
                <w:tab w:val="left" w:pos="1620"/>
              </w:tabs>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根据供应商提供的供货保障措施，包括货源保障措施、质量管控措施、交货期保证措施等进行打分。</w:t>
            </w:r>
          </w:p>
          <w:p w14:paraId="74684792">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1.供货保障措施具体详实，完全满足采购需求的得</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分；</w:t>
            </w:r>
          </w:p>
          <w:p w14:paraId="3CBB0ACE">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2.有较具体的供货保障措施，基本满足采购需求的得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2F850E2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3.供货保障措施不完备，不能满足采购需求的得1分；</w:t>
            </w:r>
          </w:p>
          <w:p w14:paraId="1BA4D03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4.缺项得0分。</w:t>
            </w:r>
          </w:p>
        </w:tc>
      </w:tr>
      <w:tr w14:paraId="36E8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E37B00E">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3EF8C0E6">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7.应急措施方案（6分）</w:t>
            </w:r>
          </w:p>
        </w:tc>
        <w:tc>
          <w:tcPr>
            <w:tcW w:w="6770" w:type="dxa"/>
            <w:noWrap w:val="0"/>
            <w:vAlign w:val="center"/>
          </w:tcPr>
          <w:p w14:paraId="099A2A01">
            <w:pPr>
              <w:keepNext w:val="0"/>
              <w:keepLines w:val="0"/>
              <w:pageBreakBefore w:val="0"/>
              <w:tabs>
                <w:tab w:val="left" w:pos="1620"/>
              </w:tabs>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根据供应商针对突发情况提供应急服务方案及保障措施进行打分，包含（但不限于）以下内容：①物资应急筹措措施；②应急处理流程、处置方法等；</w:t>
            </w:r>
          </w:p>
          <w:p w14:paraId="5203E0FC">
            <w:pPr>
              <w:keepNext w:val="0"/>
              <w:keepLines w:val="0"/>
              <w:pageBreakBefore w:val="0"/>
              <w:tabs>
                <w:tab w:val="left" w:pos="1620"/>
              </w:tabs>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每提供一项得2分，本项最高得6分；不提供不得分。</w:t>
            </w:r>
          </w:p>
        </w:tc>
      </w:tr>
      <w:tr w14:paraId="29F6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48C13B61">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5331BEDE">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.配送服务（</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top"/>
          </w:tcPr>
          <w:p w14:paraId="4483A6A3">
            <w:pPr>
              <w:keepNext w:val="0"/>
              <w:keepLines w:val="0"/>
              <w:pageBreakBefore w:val="0"/>
              <w:tabs>
                <w:tab w:val="left" w:pos="1620"/>
              </w:tabs>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根据供应商提供的配送时效、退换货政策等进行打分。</w:t>
            </w:r>
          </w:p>
          <w:p w14:paraId="2F282617">
            <w:pPr>
              <w:keepNext w:val="0"/>
              <w:keepLines w:val="0"/>
              <w:pageBreakBefore w:val="0"/>
              <w:numPr>
                <w:ilvl w:val="0"/>
                <w:numId w:val="0"/>
              </w:numPr>
              <w:tabs>
                <w:tab w:val="left" w:pos="1620"/>
              </w:tabs>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1.配送时间最快、退换货政策宽松、退换货及时的得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p w14:paraId="16EA71CD">
            <w:pPr>
              <w:keepNext w:val="0"/>
              <w:keepLines w:val="0"/>
              <w:pageBreakBefore w:val="0"/>
              <w:numPr>
                <w:ilvl w:val="0"/>
                <w:numId w:val="0"/>
              </w:numPr>
              <w:tabs>
                <w:tab w:val="left" w:pos="1620"/>
              </w:tabs>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2.配送时间、退换货较及时的得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169D3667">
            <w:pPr>
              <w:keepNext w:val="0"/>
              <w:keepLines w:val="0"/>
              <w:pageBreakBefore w:val="0"/>
              <w:numPr>
                <w:ilvl w:val="0"/>
                <w:numId w:val="0"/>
              </w:numPr>
              <w:tabs>
                <w:tab w:val="left" w:pos="1620"/>
              </w:tabs>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3.配送时间、退换货一般的得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14:paraId="10CB950B">
            <w:pPr>
              <w:keepNext w:val="0"/>
              <w:keepLines w:val="0"/>
              <w:pageBreakBefore w:val="0"/>
              <w:numPr>
                <w:ilvl w:val="0"/>
                <w:numId w:val="0"/>
              </w:numPr>
              <w:tabs>
                <w:tab w:val="left" w:pos="1620"/>
              </w:tabs>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4.缺项得0分。</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restart"/>
            <w:noWrap w:val="0"/>
            <w:vAlign w:val="center"/>
          </w:tcPr>
          <w:p w14:paraId="1799DEF9">
            <w:pPr>
              <w:keepNext w:val="0"/>
              <w:keepLines w:val="0"/>
              <w:pageBreakBefore w:val="0"/>
              <w:tabs>
                <w:tab w:val="left" w:pos="1620"/>
              </w:tabs>
              <w:kinsoku/>
              <w:overflowPunct/>
              <w:topLinePunct w:val="0"/>
              <w:bidi w:val="0"/>
              <w:snapToGrid w:val="0"/>
              <w:spacing w:line="360" w:lineRule="auto"/>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商务部分（2</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分）</w:t>
            </w:r>
          </w:p>
        </w:tc>
        <w:tc>
          <w:tcPr>
            <w:tcW w:w="1473" w:type="dxa"/>
            <w:tcBorders>
              <w:top w:val="single" w:color="auto" w:sz="4" w:space="0"/>
            </w:tcBorders>
            <w:noWrap w:val="0"/>
            <w:vAlign w:val="center"/>
          </w:tcPr>
          <w:p w14:paraId="0955ABB1">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1.类似业绩（</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274336C8">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自2022年01月01日以来具有的类似项目(以合同文件为准），每提供一份得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分，最多得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tc>
      </w:tr>
      <w:tr w14:paraId="64B8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4EC0596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165ED2E2">
            <w:pPr>
              <w:keepNext w:val="0"/>
              <w:keepLines w:val="0"/>
              <w:pageBreakBefore w:val="0"/>
              <w:tabs>
                <w:tab w:val="left" w:pos="1620"/>
              </w:tabs>
              <w:kinsoku/>
              <w:overflowPunct/>
              <w:topLinePunct w:val="0"/>
              <w:bidi w:val="0"/>
              <w:snapToGrid w:val="0"/>
              <w:spacing w:line="360" w:lineRule="auto"/>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2.增值服务（7分）</w:t>
            </w:r>
          </w:p>
        </w:tc>
        <w:tc>
          <w:tcPr>
            <w:tcW w:w="6770" w:type="dxa"/>
            <w:noWrap w:val="0"/>
            <w:vAlign w:val="center"/>
          </w:tcPr>
          <w:p w14:paraId="3B875FC3">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 xml:space="preserve">1、供应商承诺在 500 元/人新婚贺礼提货券基础上，另外每人每增值赠送 10元的，得1分。此项最高5分。 </w:t>
            </w:r>
          </w:p>
          <w:p w14:paraId="129B59B8">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2、供应商提供提货券及增值赠送产品组合搭配的，得2分（提供各产品清单，清单包括但不限于价格、规格、品牌等）。</w:t>
            </w:r>
          </w:p>
          <w:p w14:paraId="6A730A71">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注：提供照片等证明文件。</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39" w:type="dxa"/>
            <w:vMerge w:val="continue"/>
            <w:noWrap w:val="0"/>
            <w:vAlign w:val="center"/>
          </w:tcPr>
          <w:p w14:paraId="2D629324">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p>
        </w:tc>
        <w:tc>
          <w:tcPr>
            <w:tcW w:w="1473" w:type="dxa"/>
            <w:vMerge w:val="restart"/>
            <w:noWrap w:val="0"/>
            <w:vAlign w:val="center"/>
          </w:tcPr>
          <w:p w14:paraId="68067DC2">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3.售后服务（</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分）</w:t>
            </w:r>
          </w:p>
        </w:tc>
        <w:tc>
          <w:tcPr>
            <w:tcW w:w="6770" w:type="dxa"/>
            <w:shd w:val="clear" w:color="auto" w:fill="auto"/>
            <w:noWrap w:val="0"/>
            <w:vAlign w:val="center"/>
          </w:tcPr>
          <w:p w14:paraId="136DB68D">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评委根据供应商提供的售后服务体系，包括售后响应流程、问题反馈、时效性、服务方式、服务地点等进行打分。</w:t>
            </w:r>
          </w:p>
          <w:p w14:paraId="5D4E754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1.服务体系</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能以最快的速度保证及时供货的得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69F21FAE">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2.服务体系</w:t>
            </w:r>
            <w:r>
              <w:rPr>
                <w:rFonts w:hint="eastAsia" w:ascii="宋体" w:hAnsi="宋体" w:eastAsia="宋体" w:cs="宋体"/>
                <w:b w:val="0"/>
                <w:bCs w:val="0"/>
                <w:color w:val="auto"/>
                <w:sz w:val="21"/>
                <w:szCs w:val="21"/>
                <w:highlight w:val="none"/>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可行性较强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供货较快的得3分；</w:t>
            </w:r>
          </w:p>
          <w:p w14:paraId="57B13063">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3.服务体系</w:t>
            </w:r>
            <w:r>
              <w:rPr>
                <w:rFonts w:hint="eastAsia" w:ascii="宋体" w:hAnsi="宋体" w:eastAsia="宋体" w:cs="宋体"/>
                <w:b w:val="0"/>
                <w:bCs w:val="0"/>
                <w:color w:val="auto"/>
                <w:sz w:val="21"/>
                <w:szCs w:val="21"/>
                <w:highlight w:val="none"/>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w:t>
            </w:r>
            <w:r>
              <w:rPr>
                <w:rFonts w:hint="eastAsia" w:ascii="宋体" w:hAnsi="宋体" w:eastAsia="宋体" w:cs="宋体"/>
                <w:b w:val="0"/>
                <w:bCs w:val="0"/>
                <w:color w:val="auto"/>
                <w:sz w:val="21"/>
                <w:szCs w:val="21"/>
                <w:highlight w:val="none"/>
                <w:lang w:eastAsia="zh-CN"/>
              </w:rPr>
              <w:t>一般</w:t>
            </w:r>
            <w:r>
              <w:rPr>
                <w:rFonts w:hint="eastAsia" w:ascii="宋体" w:hAnsi="宋体" w:eastAsia="宋体" w:cs="宋体"/>
                <w:b w:val="0"/>
                <w:bCs w:val="0"/>
                <w:color w:val="auto"/>
                <w:sz w:val="21"/>
                <w:szCs w:val="21"/>
                <w:highlight w:val="none"/>
                <w:lang w:val="en-US" w:eastAsia="zh-CN"/>
              </w:rPr>
              <w:t>的得2分；</w:t>
            </w:r>
          </w:p>
          <w:p w14:paraId="24E06A00">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4.服务体系内容不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w:t>
            </w:r>
          </w:p>
          <w:p w14:paraId="10F942A4">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缺项得0分。</w:t>
            </w:r>
          </w:p>
        </w:tc>
      </w:tr>
      <w:tr w14:paraId="2113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39" w:type="dxa"/>
            <w:vMerge w:val="continue"/>
            <w:noWrap w:val="0"/>
            <w:vAlign w:val="center"/>
          </w:tcPr>
          <w:p w14:paraId="34DE9A1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p>
        </w:tc>
        <w:tc>
          <w:tcPr>
            <w:tcW w:w="1473" w:type="dxa"/>
            <w:vMerge w:val="continue"/>
            <w:noWrap w:val="0"/>
            <w:vAlign w:val="center"/>
          </w:tcPr>
          <w:p w14:paraId="37F764B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p>
        </w:tc>
        <w:tc>
          <w:tcPr>
            <w:tcW w:w="6770" w:type="dxa"/>
            <w:shd w:val="clear" w:color="auto" w:fill="auto"/>
            <w:noWrap w:val="0"/>
            <w:vAlign w:val="center"/>
          </w:tcPr>
          <w:p w14:paraId="7B6AB8AD">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评委根据供应商提供的售后服务保障措施，包括企业提供本地化服务的措施、售后人员数量及职责分工等进行打分。</w:t>
            </w:r>
          </w:p>
          <w:p w14:paraId="67973DF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1.保障措施</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的得5分；</w:t>
            </w:r>
          </w:p>
          <w:p w14:paraId="0E12372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2.服务体系</w:t>
            </w:r>
            <w:r>
              <w:rPr>
                <w:rFonts w:hint="eastAsia" w:ascii="宋体" w:hAnsi="宋体" w:eastAsia="宋体" w:cs="宋体"/>
                <w:b w:val="0"/>
                <w:bCs w:val="0"/>
                <w:color w:val="auto"/>
                <w:sz w:val="21"/>
                <w:szCs w:val="21"/>
                <w:highlight w:val="none"/>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可行性较强</w:t>
            </w:r>
            <w:r>
              <w:rPr>
                <w:rFonts w:hint="eastAsia" w:ascii="宋体" w:hAnsi="宋体" w:eastAsia="宋体" w:cs="宋体"/>
                <w:b w:val="0"/>
                <w:bCs w:val="0"/>
                <w:color w:val="auto"/>
                <w:sz w:val="21"/>
                <w:szCs w:val="21"/>
                <w:highlight w:val="none"/>
                <w:lang w:val="en-US" w:eastAsia="zh-CN"/>
              </w:rPr>
              <w:t>的得3分；</w:t>
            </w:r>
          </w:p>
          <w:p w14:paraId="60A3A6B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3.服务体系</w:t>
            </w:r>
            <w:r>
              <w:rPr>
                <w:rFonts w:hint="eastAsia" w:ascii="宋体" w:hAnsi="宋体" w:eastAsia="宋体" w:cs="宋体"/>
                <w:b w:val="0"/>
                <w:bCs w:val="0"/>
                <w:color w:val="auto"/>
                <w:sz w:val="21"/>
                <w:szCs w:val="21"/>
                <w:highlight w:val="none"/>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w:t>
            </w:r>
            <w:r>
              <w:rPr>
                <w:rFonts w:hint="eastAsia" w:ascii="宋体" w:hAnsi="宋体" w:eastAsia="宋体" w:cs="宋体"/>
                <w:b w:val="0"/>
                <w:bCs w:val="0"/>
                <w:color w:val="auto"/>
                <w:sz w:val="21"/>
                <w:szCs w:val="21"/>
                <w:highlight w:val="none"/>
                <w:lang w:eastAsia="zh-CN"/>
              </w:rPr>
              <w:t>一般</w:t>
            </w:r>
            <w:r>
              <w:rPr>
                <w:rFonts w:hint="eastAsia" w:ascii="宋体" w:hAnsi="宋体" w:eastAsia="宋体" w:cs="宋体"/>
                <w:b w:val="0"/>
                <w:bCs w:val="0"/>
                <w:color w:val="auto"/>
                <w:sz w:val="21"/>
                <w:szCs w:val="21"/>
                <w:highlight w:val="none"/>
                <w:lang w:val="en-US" w:eastAsia="zh-CN"/>
              </w:rPr>
              <w:t>的得2分；</w:t>
            </w:r>
          </w:p>
          <w:p w14:paraId="5068EC2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4.服务体系内容不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w:t>
            </w:r>
          </w:p>
          <w:p w14:paraId="4FEEF21E">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缺项得0分。</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tabs>
                <w:tab w:val="left" w:pos="1620"/>
              </w:tabs>
              <w:kinsoku/>
              <w:overflowPunct/>
              <w:topLinePunct w:val="0"/>
              <w:bidi w:val="0"/>
              <w:snapToGrid w:val="0"/>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16D8EE63">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p>
    <w:p w14:paraId="38C63B20">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color w:val="auto"/>
          <w:highlight w:val="none"/>
        </w:rPr>
      </w:pPr>
      <w:r>
        <w:rPr>
          <w:rFonts w:hint="eastAsia" w:ascii="宋体" w:hAnsi="宋体" w:eastAsia="宋体" w:cs="宋体"/>
          <w:b w:val="0"/>
          <w:bCs w:val="0"/>
          <w:color w:val="auto"/>
          <w:sz w:val="21"/>
          <w:szCs w:val="21"/>
          <w:highlight w:val="none"/>
        </w:rPr>
        <w:br w:type="page"/>
      </w:r>
    </w:p>
    <w:bookmarkEnd w:id="46"/>
    <w:p w14:paraId="2CCD7513">
      <w:pPr>
        <w:rPr>
          <w:rFonts w:hint="eastAsia" w:ascii="宋体" w:hAnsi="宋体" w:eastAsia="宋体" w:cs="宋体"/>
          <w:color w:val="auto"/>
          <w:highlight w:val="none"/>
        </w:rPr>
      </w:pPr>
      <w:bookmarkStart w:id="50" w:name="_Toc1947"/>
      <w:bookmarkStart w:id="51" w:name="_Toc1482"/>
      <w:bookmarkStart w:id="52" w:name="_Toc256519703"/>
      <w:bookmarkStart w:id="53" w:name="_Toc326786897"/>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3"/>
        <w:rPr>
          <w:rFonts w:hint="eastAsia" w:ascii="宋体" w:hAnsi="宋体" w:eastAsia="宋体" w:cs="宋体"/>
          <w:color w:val="auto"/>
          <w:highlight w:val="none"/>
        </w:rPr>
      </w:pPr>
    </w:p>
    <w:p w14:paraId="30EBB8A6">
      <w:pPr>
        <w:pStyle w:val="3"/>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59"/>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2"/>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24743"/>
      <w:bookmarkStart w:id="68"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0803E172">
      <w:pPr>
        <w:snapToGrid w:val="0"/>
        <w:spacing w:line="360" w:lineRule="auto"/>
        <w:jc w:val="center"/>
        <w:rPr>
          <w:rFonts w:hint="eastAsia" w:ascii="宋体" w:hAnsi="宋体" w:eastAsia="宋体" w:cs="宋体"/>
          <w:b/>
          <w:snapToGrid w:val="0"/>
          <w:color w:val="auto"/>
          <w:spacing w:val="0"/>
          <w:kern w:val="0"/>
          <w:sz w:val="36"/>
          <w:szCs w:val="36"/>
          <w:highlight w:val="none"/>
          <w:u w:val="none"/>
          <w:lang w:val="en-US" w:eastAsia="zh-CN"/>
        </w:rPr>
      </w:pPr>
      <w:r>
        <w:rPr>
          <w:rFonts w:hint="eastAsia" w:ascii="宋体" w:hAnsi="宋体" w:eastAsia="宋体" w:cs="宋体"/>
          <w:b/>
          <w:snapToGrid w:val="0"/>
          <w:color w:val="auto"/>
          <w:spacing w:val="0"/>
          <w:kern w:val="0"/>
          <w:sz w:val="36"/>
          <w:szCs w:val="36"/>
          <w:highlight w:val="none"/>
          <w:u w:val="none"/>
          <w:lang w:val="en-US" w:eastAsia="zh-CN"/>
        </w:rPr>
        <w:t>驻马店市中心医院工会会员新婚贺礼（床上用品）</w:t>
      </w:r>
    </w:p>
    <w:p w14:paraId="60EF64BA">
      <w:pPr>
        <w:snapToGrid w:val="0"/>
        <w:spacing w:line="360" w:lineRule="auto"/>
        <w:jc w:val="center"/>
        <w:rPr>
          <w:rFonts w:hint="eastAsia" w:ascii="宋体" w:hAnsi="宋体" w:eastAsia="宋体" w:cs="宋体"/>
          <w:b/>
          <w:snapToGrid w:val="0"/>
          <w:color w:val="auto"/>
          <w:spacing w:val="0"/>
          <w:kern w:val="0"/>
          <w:sz w:val="36"/>
          <w:szCs w:val="36"/>
          <w:highlight w:val="none"/>
          <w:u w:val="none"/>
          <w:lang w:val="en-US" w:eastAsia="zh-CN"/>
        </w:rPr>
      </w:pPr>
      <w:r>
        <w:rPr>
          <w:rFonts w:hint="eastAsia" w:ascii="宋体" w:hAnsi="宋体" w:eastAsia="宋体" w:cs="宋体"/>
          <w:b/>
          <w:snapToGrid w:val="0"/>
          <w:color w:val="auto"/>
          <w:spacing w:val="0"/>
          <w:kern w:val="0"/>
          <w:sz w:val="36"/>
          <w:szCs w:val="36"/>
          <w:highlight w:val="none"/>
          <w:u w:val="none"/>
          <w:lang w:val="en-US" w:eastAsia="zh-CN"/>
        </w:rPr>
        <w:t>采购项目</w:t>
      </w:r>
    </w:p>
    <w:p w14:paraId="7DA1FD1A">
      <w:pPr>
        <w:pStyle w:val="2"/>
        <w:rPr>
          <w:rFonts w:hint="eastAsia"/>
        </w:rPr>
      </w:pP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2"/>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8818"/>
      <w:bookmarkStart w:id="70" w:name="_Toc14560"/>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元/人份</w:t>
            </w:r>
            <w:r>
              <w:rPr>
                <w:rFonts w:hint="eastAsia" w:ascii="宋体" w:hAnsi="宋体" w:cs="宋体"/>
                <w:color w:val="auto"/>
                <w:szCs w:val="21"/>
                <w:highlight w:val="none"/>
                <w:lang w:eastAsia="zh-CN"/>
              </w:rPr>
              <w:t>）</w:t>
            </w:r>
          </w:p>
        </w:tc>
        <w:tc>
          <w:tcPr>
            <w:tcW w:w="7708"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元</w:t>
            </w:r>
            <w:r>
              <w:rPr>
                <w:rFonts w:hint="eastAsia" w:ascii="宋体" w:hAnsi="宋体" w:eastAsia="宋体" w:cs="宋体"/>
                <w:color w:val="auto"/>
                <w:szCs w:val="21"/>
                <w:highlight w:val="none"/>
                <w:lang w:val="en-US" w:eastAsia="zh-CN"/>
              </w:rPr>
              <w:t>（详见报价明细表）</w:t>
            </w:r>
          </w:p>
        </w:tc>
      </w:tr>
      <w:tr w14:paraId="0514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78" w:type="dxa"/>
            <w:noWrap/>
            <w:vAlign w:val="center"/>
          </w:tcPr>
          <w:p w14:paraId="75D209DB">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服务期限</w:t>
            </w:r>
          </w:p>
        </w:tc>
        <w:tc>
          <w:tcPr>
            <w:tcW w:w="7708" w:type="dxa"/>
            <w:noWrap/>
            <w:vAlign w:val="center"/>
          </w:tcPr>
          <w:p w14:paraId="6E09C27D">
            <w:pPr>
              <w:rPr>
                <w:rFonts w:hint="eastAsia" w:ascii="宋体" w:hAnsi="宋体" w:eastAsia="宋体" w:cs="宋体"/>
                <w:color w:val="auto"/>
                <w:szCs w:val="21"/>
                <w:highlight w:val="none"/>
                <w:lang w:val="en-US" w:eastAsia="zh-CN"/>
              </w:rPr>
            </w:pPr>
          </w:p>
        </w:tc>
      </w:tr>
      <w:tr w14:paraId="1AAE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2FFA2B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szCs w:val="21"/>
                <w:highlight w:val="none"/>
                <w:lang w:val="en-US" w:eastAsia="zh-CN"/>
              </w:rPr>
              <w:t>实质性要求</w:t>
            </w:r>
          </w:p>
        </w:tc>
        <w:tc>
          <w:tcPr>
            <w:tcW w:w="7708" w:type="dxa"/>
            <w:noWrap/>
            <w:vAlign w:val="center"/>
          </w:tcPr>
          <w:p w14:paraId="38F7051B">
            <w:pPr>
              <w:pStyle w:val="21"/>
              <w:ind w:left="0" w:lef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响应竞争性磋商文件第二章</w:t>
            </w:r>
            <w:r>
              <w:rPr>
                <w:rFonts w:hint="eastAsia"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采购需求</w:t>
            </w:r>
            <w:r>
              <w:rPr>
                <w:rFonts w:hint="eastAsia" w:cs="宋体"/>
                <w:color w:val="auto"/>
                <w:kern w:val="0"/>
                <w:sz w:val="21"/>
                <w:szCs w:val="21"/>
                <w:highlight w:val="none"/>
                <w:lang w:val="en-US" w:eastAsia="zh-CN" w:bidi="ar-SA"/>
              </w:rPr>
              <w:t>”</w:t>
            </w:r>
            <w:bookmarkStart w:id="101" w:name="_GoBack"/>
            <w:bookmarkEnd w:id="101"/>
            <w:r>
              <w:rPr>
                <w:rFonts w:hint="eastAsia" w:cs="宋体"/>
                <w:color w:val="auto"/>
                <w:kern w:val="0"/>
                <w:sz w:val="21"/>
                <w:szCs w:val="21"/>
                <w:highlight w:val="none"/>
                <w:lang w:val="en-US" w:eastAsia="zh-CN" w:bidi="ar-SA"/>
              </w:rPr>
              <w:t>。</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1806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shd w:val="clear" w:color="auto" w:fill="auto"/>
            <w:noWrap/>
            <w:vAlign w:val="center"/>
          </w:tcPr>
          <w:p w14:paraId="149ADA5E">
            <w:pPr>
              <w:pStyle w:val="8"/>
              <w:ind w:left="0" w:lef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交货期</w:t>
            </w:r>
          </w:p>
        </w:tc>
        <w:tc>
          <w:tcPr>
            <w:tcW w:w="7708" w:type="dxa"/>
            <w:shd w:val="clear" w:color="auto" w:fill="auto"/>
            <w:noWrap/>
            <w:vAlign w:val="center"/>
          </w:tcPr>
          <w:p w14:paraId="7C9B23A2">
            <w:pPr>
              <w:pStyle w:val="8"/>
              <w:ind w:left="0" w:leftChars="0"/>
              <w:jc w:val="left"/>
              <w:rPr>
                <w:rFonts w:hint="eastAsia" w:ascii="宋体" w:hAnsi="宋体" w:eastAsia="宋体" w:cs="宋体"/>
                <w:color w:val="auto"/>
                <w:kern w:val="0"/>
                <w:sz w:val="21"/>
                <w:szCs w:val="21"/>
                <w:highlight w:val="none"/>
                <w:lang w:val="en-US" w:eastAsia="zh-CN" w:bidi="ar-SA"/>
              </w:rPr>
            </w:pP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72" w:name="_Toc11620"/>
      <w:bookmarkStart w:id="73" w:name="_Toc20877"/>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4" w:name="_Toc625"/>
      <w:bookmarkStart w:id="75"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6" w:name="_Toc9950"/>
      <w:bookmarkStart w:id="77" w:name="_Toc1330"/>
      <w:r>
        <w:rPr>
          <w:rFonts w:hint="eastAsia" w:ascii="宋体" w:hAnsi="宋体" w:eastAsia="宋体" w:cs="宋体"/>
          <w:color w:val="auto"/>
          <w:szCs w:val="21"/>
          <w:highlight w:val="none"/>
        </w:rPr>
        <w:t>年  月  日</w:t>
      </w:r>
      <w:bookmarkEnd w:id="76"/>
      <w:bookmarkEnd w:id="77"/>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8" w:name="_Toc22004"/>
      <w:bookmarkStart w:id="79"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8"/>
      <w:bookmarkEnd w:id="79"/>
      <w:r>
        <w:rPr>
          <w:rFonts w:hint="eastAsia" w:ascii="宋体" w:hAnsi="宋体" w:eastAsia="宋体" w:cs="宋体"/>
          <w:color w:val="auto"/>
          <w:sz w:val="28"/>
          <w:szCs w:val="28"/>
          <w:highlight w:val="none"/>
          <w:lang w:val="en-US" w:eastAsia="zh-CN"/>
        </w:rPr>
        <w:t>报价明细表（格式）</w:t>
      </w:r>
    </w:p>
    <w:p w14:paraId="3C312762">
      <w:pPr>
        <w:pStyle w:val="24"/>
        <w:rPr>
          <w:rFonts w:hint="eastAsia" w:ascii="宋体" w:hAnsi="宋体" w:cs="宋体"/>
          <w:color w:val="auto"/>
          <w:kern w:val="0"/>
          <w:sz w:val="24"/>
          <w:highlight w:val="none"/>
        </w:rPr>
      </w:pPr>
      <w:bookmarkStart w:id="80" w:name="_Toc226"/>
      <w:bookmarkStart w:id="81" w:name="_Toc15804"/>
    </w:p>
    <w:p w14:paraId="6D528E03">
      <w:pPr>
        <w:widowControl/>
        <w:wordWrap w:val="0"/>
        <w:snapToGrid w:val="0"/>
        <w:spacing w:before="50" w:after="50"/>
        <w:ind w:left="-3" w:leftChars="-72" w:right="-817" w:rightChars="-389" w:hanging="148" w:hangingChars="62"/>
        <w:jc w:val="right"/>
        <w:rPr>
          <w:rFonts w:ascii="宋体" w:hAnsi="宋体" w:cs="宋体"/>
          <w:color w:val="auto"/>
          <w:kern w:val="0"/>
          <w:sz w:val="24"/>
          <w:highlight w:val="none"/>
        </w:rPr>
      </w:pPr>
      <w:r>
        <w:rPr>
          <w:rFonts w:hint="eastAsia" w:ascii="宋体" w:hAnsi="宋体" w:cs="宋体"/>
          <w:color w:val="auto"/>
          <w:kern w:val="0"/>
          <w:sz w:val="24"/>
          <w:highlight w:val="none"/>
        </w:rPr>
        <w:t>金额单位：人民币（元）</w:t>
      </w:r>
    </w:p>
    <w:tbl>
      <w:tblPr>
        <w:tblStyle w:val="34"/>
        <w:tblW w:w="83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14:paraId="4E4BF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nil"/>
              <w:right w:val="single" w:color="auto" w:sz="4" w:space="0"/>
            </w:tcBorders>
            <w:vAlign w:val="center"/>
          </w:tcPr>
          <w:p w14:paraId="21714D09">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14:paraId="6B17BEB5">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14:paraId="32DB191C">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14:paraId="6F6F14DB">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14:paraId="54A5600A">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14:paraId="4DE07E50">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14:paraId="05B31150">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14:paraId="632A7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14:paraId="4A7613A4">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14:paraId="0B91F743">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14:paraId="7B2EC261">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7D69B478">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14:paraId="21068CB2">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14:paraId="6F992C2E">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14:paraId="320DE5A2">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14:paraId="281E7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14:paraId="3B83842A">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14:paraId="541F70A2">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14:paraId="511A5620">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765695C0">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14:paraId="62CC5633">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14:paraId="60C46F20">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14:paraId="50054620">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14:paraId="33D28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14:paraId="1B33B54D">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14:paraId="3E5D7DD2">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14:paraId="1D113B09">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45F23EC2">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14:paraId="241AEA2B">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14:paraId="5435C7B7">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14:paraId="54CFBAA5">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14:paraId="7A3FC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14:paraId="35DA4F7D">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14:paraId="68D19667">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14:paraId="0E31FFA2">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7B34CAA0">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14:paraId="6B80F958">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14:paraId="06C1CB85">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14:paraId="32286D44">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14:paraId="343AC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14:paraId="3FECA9CB">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14:paraId="3C82B62E">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14:paraId="0F49E6EA">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73B5A837">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14:paraId="20E06157">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14:paraId="3D25A513">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14:paraId="08B448AA">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14:paraId="0C302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14:paraId="66CEE90C">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14:paraId="63034FB7">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14:paraId="52F21CA2">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711036EF">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14:paraId="51DE0146">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14:paraId="3E3E791C">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14:paraId="09B2084B">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14:paraId="49659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14:paraId="4EDC0E39">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14:paraId="2327C0CF">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14:paraId="5697D369">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78C46A1B">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14:paraId="50A210DD">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14:paraId="15E0DB72">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14:paraId="58FC6A73">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14:paraId="30A47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40" w:type="dxa"/>
            <w:tcBorders>
              <w:top w:val="single" w:color="auto" w:sz="4" w:space="0"/>
              <w:left w:val="single" w:color="auto" w:sz="4" w:space="0"/>
              <w:bottom w:val="single" w:color="auto" w:sz="4" w:space="0"/>
              <w:right w:val="single" w:color="auto" w:sz="4" w:space="0"/>
            </w:tcBorders>
          </w:tcPr>
          <w:p w14:paraId="4F11058A">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14:paraId="2AC76841">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14:paraId="19459753">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70697A75">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14:paraId="24E9A8E4">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14:paraId="259721AA">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14:paraId="351A2A64">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14:paraId="106EF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40" w:type="dxa"/>
            <w:tcBorders>
              <w:top w:val="single" w:color="auto" w:sz="4" w:space="0"/>
              <w:left w:val="single" w:color="auto" w:sz="4" w:space="0"/>
              <w:bottom w:val="single" w:color="auto" w:sz="4" w:space="0"/>
              <w:right w:val="single" w:color="auto" w:sz="4" w:space="0"/>
            </w:tcBorders>
          </w:tcPr>
          <w:p w14:paraId="1FE007C6">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14:paraId="4787AA51">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14:paraId="1230EF3F">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0FE8CC4D">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14:paraId="40ABFADB">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14:paraId="2E31CD48">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14:paraId="22EEA2BA">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14:paraId="3957B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71" w:type="dxa"/>
            <w:gridSpan w:val="6"/>
            <w:tcBorders>
              <w:top w:val="single" w:color="auto" w:sz="4" w:space="0"/>
              <w:left w:val="single" w:color="auto" w:sz="4" w:space="0"/>
              <w:bottom w:val="single" w:color="auto" w:sz="4" w:space="0"/>
              <w:right w:val="single" w:color="auto" w:sz="4" w:space="0"/>
            </w:tcBorders>
            <w:vAlign w:val="top"/>
          </w:tcPr>
          <w:p w14:paraId="07826EEA">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spacing w:val="20"/>
                <w:kern w:val="0"/>
                <w:sz w:val="24"/>
                <w:highlight w:val="none"/>
                <w:lang w:eastAsia="zh-CN"/>
              </w:rPr>
              <w:t>（人份）</w:t>
            </w:r>
            <w:r>
              <w:rPr>
                <w:rFonts w:hint="eastAsia" w:ascii="宋体" w:hAnsi="宋体" w:cs="宋体"/>
                <w:color w:val="auto"/>
                <w:spacing w:val="20"/>
                <w:kern w:val="0"/>
                <w:sz w:val="24"/>
                <w:highlight w:val="none"/>
              </w:rPr>
              <w:t>(</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14:paraId="4EEEB9F6">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14:paraId="6D8F9717">
      <w:pPr>
        <w:widowControl/>
        <w:wordWrap w:val="0"/>
        <w:spacing w:line="460" w:lineRule="exact"/>
        <w:ind w:firstLine="2760" w:firstLineChars="1150"/>
        <w:jc w:val="left"/>
        <w:rPr>
          <w:rFonts w:ascii="宋体" w:hAnsi="宋体" w:cs="宋体"/>
          <w:color w:val="auto"/>
          <w:kern w:val="0"/>
          <w:sz w:val="24"/>
          <w:highlight w:val="none"/>
        </w:rPr>
      </w:pPr>
    </w:p>
    <w:p w14:paraId="10C205F5">
      <w:pPr>
        <w:widowControl/>
        <w:wordWrap w:val="0"/>
        <w:spacing w:line="460" w:lineRule="exact"/>
        <w:ind w:firstLine="2760" w:firstLineChars="1150"/>
        <w:jc w:val="left"/>
        <w:rPr>
          <w:rFonts w:ascii="宋体" w:hAnsi="宋体" w:cs="宋体"/>
          <w:color w:val="auto"/>
          <w:kern w:val="0"/>
          <w:sz w:val="24"/>
          <w:highlight w:val="none"/>
        </w:rPr>
      </w:pPr>
    </w:p>
    <w:p w14:paraId="439BFA91">
      <w:pPr>
        <w:widowControl/>
        <w:wordWrap w:val="0"/>
        <w:spacing w:line="460" w:lineRule="exact"/>
        <w:ind w:firstLine="2760" w:firstLineChars="1150"/>
        <w:jc w:val="left"/>
        <w:rPr>
          <w:rFonts w:ascii="宋体" w:hAnsi="宋体" w:cs="宋体"/>
          <w:color w:val="auto"/>
          <w:kern w:val="0"/>
          <w:sz w:val="24"/>
          <w:highlight w:val="none"/>
        </w:rPr>
      </w:pPr>
    </w:p>
    <w:p w14:paraId="18109DB7">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p>
    <w:p w14:paraId="7B7E221F">
      <w:pPr>
        <w:spacing w:line="360" w:lineRule="auto"/>
        <w:ind w:firstLine="420" w:firstLineChars="20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p>
    <w:p w14:paraId="0B92483C">
      <w:pPr>
        <w:jc w:val="center"/>
        <w:rPr>
          <w:rFonts w:hint="eastAsia" w:ascii="宋体" w:hAnsi="宋体" w:eastAsia="宋体" w:cs="宋体"/>
          <w:color w:val="auto"/>
          <w:szCs w:val="21"/>
          <w:highlight w:val="none"/>
        </w:rPr>
      </w:pPr>
    </w:p>
    <w:p w14:paraId="6D17456A">
      <w:pPr>
        <w:spacing w:line="360" w:lineRule="auto"/>
        <w:ind w:firstLine="420" w:firstLineChars="20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年  月  日</w:t>
      </w:r>
    </w:p>
    <w:p w14:paraId="587CC48A">
      <w:pPr>
        <w:pStyle w:val="24"/>
        <w:rPr>
          <w:rFonts w:hint="eastAsia" w:ascii="宋体" w:hAnsi="宋体" w:cs="宋体"/>
          <w:color w:val="auto"/>
          <w:kern w:val="0"/>
          <w:sz w:val="24"/>
          <w:highlight w:val="none"/>
        </w:rPr>
      </w:pPr>
      <w:r>
        <w:rPr>
          <w:rFonts w:hint="eastAsia"/>
          <w:color w:val="auto"/>
          <w:highlight w:val="none"/>
        </w:rPr>
        <w:br w:type="page"/>
      </w:r>
    </w:p>
    <w:p w14:paraId="568848E2">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0"/>
      <w:bookmarkEnd w:id="81"/>
      <w:r>
        <w:rPr>
          <w:rFonts w:hint="eastAsia" w:ascii="宋体" w:hAnsi="宋体" w:eastAsia="宋体" w:cs="宋体"/>
          <w:color w:val="auto"/>
          <w:sz w:val="28"/>
          <w:szCs w:val="28"/>
          <w:highlight w:val="none"/>
          <w:lang w:val="en-US" w:eastAsia="zh-CN"/>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4DAF514B">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color w:val="auto"/>
          <w:highlight w:val="none"/>
          <w:lang w:val="en-US" w:eastAsia="zh-CN"/>
        </w:rPr>
      </w:pPr>
    </w:p>
    <w:p w14:paraId="47176292">
      <w:pPr>
        <w:bidi w:val="0"/>
        <w:rPr>
          <w:rFonts w:hint="eastAsia"/>
          <w:color w:val="auto"/>
          <w:highlight w:val="none"/>
          <w:lang w:val="en-US" w:eastAsia="zh-CN"/>
        </w:rPr>
      </w:pPr>
    </w:p>
    <w:p w14:paraId="04543762">
      <w:pPr>
        <w:bidi w:val="0"/>
        <w:rPr>
          <w:rFonts w:hint="default"/>
          <w:color w:val="auto"/>
          <w:highlight w:val="none"/>
          <w:lang w:val="en-US" w:eastAsia="zh-CN"/>
        </w:rPr>
      </w:pPr>
      <w:r>
        <w:rPr>
          <w:rFonts w:hint="eastAsia"/>
          <w:color w:val="auto"/>
          <w:highlight w:val="none"/>
          <w:lang w:val="en-US" w:eastAsia="zh-CN"/>
        </w:rPr>
        <w:t>按照磋商文件“第二章 采购需求 三、技术要求”提供证明文件</w:t>
      </w:r>
    </w:p>
    <w:p w14:paraId="2D00E8E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8EB1A84">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6A539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E9C75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C5B7F9">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01727F8C">
      <w:pPr>
        <w:rPr>
          <w:rFonts w:hint="eastAsia" w:ascii="宋体" w:hAnsi="宋体" w:eastAsia="宋体" w:cs="宋体"/>
          <w:b/>
          <w:color w:val="auto"/>
          <w:kern w:val="0"/>
          <w:sz w:val="24"/>
          <w:highlight w:val="none"/>
        </w:rPr>
      </w:pPr>
    </w:p>
    <w:p w14:paraId="3C754F10">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9960"/>
      <w:bookmarkStart w:id="83" w:name="_Toc24168"/>
      <w:bookmarkStart w:id="84" w:name="_Toc20420"/>
      <w:r>
        <w:rPr>
          <w:rFonts w:hint="eastAsia" w:ascii="宋体" w:hAnsi="宋体" w:eastAsia="宋体" w:cs="宋体"/>
          <w:color w:val="auto"/>
          <w:sz w:val="28"/>
          <w:szCs w:val="28"/>
          <w:highlight w:val="none"/>
          <w:lang w:val="en-US" w:eastAsia="zh-CN"/>
        </w:rPr>
        <w:t>附件6            商务响应</w:t>
      </w:r>
      <w:bookmarkEnd w:id="82"/>
      <w:bookmarkEnd w:id="83"/>
      <w:bookmarkEnd w:id="84"/>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7F9203F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1CBA3AA3">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6DC2849E">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40B5BCD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0472149B">
            <w:pPr>
              <w:pStyle w:val="8"/>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0BED208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0BB9001">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31D51C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6182A3E4">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5D97B2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C43BD33">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348FA7D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6FFBDC6">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2D5379F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950103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8CEBD1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3BA6495">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5" w:name="_Toc31526"/>
      <w:bookmarkStart w:id="86" w:name="_Toc28621"/>
      <w:r>
        <w:rPr>
          <w:rFonts w:hint="eastAsia" w:ascii="宋体" w:hAnsi="宋体" w:eastAsia="宋体" w:cs="宋体"/>
          <w:b/>
          <w:color w:val="auto"/>
          <w:sz w:val="28"/>
          <w:highlight w:val="none"/>
        </w:rPr>
        <w:br w:type="page"/>
      </w:r>
    </w:p>
    <w:p w14:paraId="40257B96">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29406"/>
      <w:r>
        <w:rPr>
          <w:rFonts w:hint="eastAsia" w:ascii="宋体" w:hAnsi="宋体" w:eastAsia="宋体" w:cs="宋体"/>
          <w:color w:val="auto"/>
          <w:sz w:val="28"/>
          <w:szCs w:val="28"/>
          <w:highlight w:val="none"/>
          <w:lang w:val="en-US" w:eastAsia="zh-CN"/>
        </w:rPr>
        <w:t>附件7         法定代表人身份证明（格式）</w:t>
      </w:r>
      <w:bookmarkEnd w:id="85"/>
      <w:bookmarkEnd w:id="86"/>
      <w:bookmarkEnd w:id="87"/>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30519"/>
      <w:bookmarkStart w:id="89" w:name="_Toc12939"/>
      <w:bookmarkStart w:id="90" w:name="_Toc13976"/>
      <w:r>
        <w:rPr>
          <w:rFonts w:hint="eastAsia" w:ascii="宋体" w:hAnsi="宋体" w:eastAsia="宋体" w:cs="宋体"/>
          <w:color w:val="auto"/>
          <w:sz w:val="28"/>
          <w:szCs w:val="28"/>
          <w:highlight w:val="none"/>
          <w:lang w:val="en-US" w:eastAsia="zh-CN"/>
        </w:rPr>
        <w:t>附件8         法定代表人授权书（格式）</w:t>
      </w:r>
      <w:bookmarkEnd w:id="88"/>
      <w:bookmarkEnd w:id="89"/>
      <w:bookmarkEnd w:id="90"/>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24693"/>
      <w:bookmarkStart w:id="92" w:name="_Toc18105"/>
      <w:bookmarkStart w:id="93" w:name="_Toc3342"/>
      <w:r>
        <w:rPr>
          <w:rFonts w:hint="eastAsia" w:ascii="宋体" w:hAnsi="宋体" w:eastAsia="宋体" w:cs="宋体"/>
          <w:color w:val="auto"/>
          <w:sz w:val="28"/>
          <w:szCs w:val="28"/>
          <w:highlight w:val="none"/>
          <w:lang w:val="en-US" w:eastAsia="zh-CN"/>
        </w:rPr>
        <w:t>附件9          证明文件</w:t>
      </w:r>
      <w:bookmarkEnd w:id="91"/>
      <w:bookmarkEnd w:id="92"/>
      <w:bookmarkEnd w:id="93"/>
    </w:p>
    <w:p w14:paraId="5EF76FA6">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644D293B">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3BA26977">
      <w:pPr>
        <w:pStyle w:val="13"/>
        <w:spacing w:beforeAutospacing="0" w:afterAutospacing="0" w:line="480" w:lineRule="auto"/>
        <w:jc w:val="both"/>
        <w:rPr>
          <w:rFonts w:hint="eastAsia" w:ascii="宋体" w:hAnsi="宋体" w:eastAsia="宋体" w:cs="宋体"/>
          <w:bCs/>
          <w:color w:val="auto"/>
          <w:sz w:val="21"/>
          <w:szCs w:val="21"/>
          <w:highlight w:val="none"/>
        </w:rPr>
      </w:pPr>
    </w:p>
    <w:p w14:paraId="00828F39">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94" w:name="_Toc17966"/>
      <w:r>
        <w:rPr>
          <w:rFonts w:hint="eastAsia" w:ascii="宋体" w:hAnsi="宋体" w:eastAsia="宋体" w:cs="宋体"/>
          <w:b/>
          <w:bCs w:val="0"/>
          <w:color w:val="auto"/>
          <w:sz w:val="21"/>
          <w:szCs w:val="21"/>
          <w:highlight w:val="none"/>
          <w:lang w:val="en-US" w:eastAsia="zh-CN"/>
        </w:rPr>
        <w:t>评分标准中需提供的证明材料</w:t>
      </w:r>
      <w:r>
        <w:rPr>
          <w:rFonts w:hint="eastAsia" w:cs="宋体"/>
          <w:b/>
          <w:bCs w:val="0"/>
          <w:color w:val="auto"/>
          <w:sz w:val="21"/>
          <w:szCs w:val="21"/>
          <w:highlight w:val="none"/>
          <w:lang w:val="en-US" w:eastAsia="zh-CN"/>
        </w:rPr>
        <w:t>（除技术要求证明材料外）</w:t>
      </w:r>
    </w:p>
    <w:p w14:paraId="5D58AFFF">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9.4供应商情况介绍(</w:t>
      </w:r>
      <w:r>
        <w:rPr>
          <w:rFonts w:hint="eastAsia" w:cs="宋体"/>
          <w:b/>
          <w:bCs w:val="0"/>
          <w:color w:val="auto"/>
          <w:sz w:val="21"/>
          <w:szCs w:val="21"/>
          <w:highlight w:val="none"/>
          <w:lang w:val="en-US" w:eastAsia="zh-CN"/>
        </w:rPr>
        <w:t>公司情况、</w:t>
      </w:r>
      <w:r>
        <w:rPr>
          <w:rFonts w:hint="eastAsia" w:ascii="宋体" w:hAnsi="宋体" w:eastAsia="宋体" w:cs="宋体"/>
          <w:b/>
          <w:bCs w:val="0"/>
          <w:color w:val="auto"/>
          <w:sz w:val="21"/>
          <w:szCs w:val="21"/>
          <w:highlight w:val="none"/>
          <w:lang w:val="en-US" w:eastAsia="zh-CN"/>
        </w:rPr>
        <w:t>主要产品、生产规模、经营业绩等，格式自拟)</w:t>
      </w:r>
    </w:p>
    <w:p w14:paraId="0CF185C0">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2888"/>
      <w:bookmarkStart w:id="96" w:name="_Toc13726"/>
      <w:bookmarkStart w:id="97" w:name="_Toc16083"/>
      <w:r>
        <w:rPr>
          <w:rFonts w:hint="eastAsia" w:ascii="宋体" w:hAnsi="宋体" w:eastAsia="宋体" w:cs="宋体"/>
          <w:color w:val="auto"/>
          <w:sz w:val="28"/>
          <w:szCs w:val="28"/>
          <w:highlight w:val="none"/>
          <w:lang w:val="en-US" w:eastAsia="zh-CN"/>
        </w:rPr>
        <w:t xml:space="preserve">附件10      </w:t>
      </w:r>
      <w:bookmarkEnd w:id="94"/>
      <w:r>
        <w:rPr>
          <w:rFonts w:hint="eastAsia" w:ascii="宋体" w:hAnsi="宋体" w:eastAsia="宋体" w:cs="宋体"/>
          <w:color w:val="auto"/>
          <w:sz w:val="28"/>
          <w:szCs w:val="28"/>
          <w:highlight w:val="none"/>
          <w:lang w:val="en-US" w:eastAsia="zh-CN"/>
        </w:rPr>
        <w:t>供 应 商 承 诺 书 （格式）</w:t>
      </w:r>
      <w:bookmarkEnd w:id="95"/>
      <w:bookmarkEnd w:id="96"/>
      <w:bookmarkEnd w:id="97"/>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7"/>
        <w:rPr>
          <w:rFonts w:hint="eastAsia" w:ascii="宋体" w:hAnsi="宋体" w:eastAsia="宋体" w:cs="宋体"/>
          <w:color w:val="auto"/>
          <w:kern w:val="0"/>
          <w:szCs w:val="21"/>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5CAC53F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8" w:name="_Toc31685"/>
      <w:bookmarkStart w:id="99" w:name="_Toc25094"/>
      <w:bookmarkStart w:id="100" w:name="_Toc23394"/>
    </w:p>
    <w:p w14:paraId="24DE6E5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98"/>
      <w:bookmarkEnd w:id="99"/>
      <w:bookmarkEnd w:id="100"/>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726DAF72">
      <w:pPr>
        <w:pStyle w:val="13"/>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驻马店市中心医院工会会员新婚贺礼（床上用品）采购项目（二次）采购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24FE"/>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9F137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9B5651"/>
    <w:rsid w:val="08BC0A60"/>
    <w:rsid w:val="08C52D6F"/>
    <w:rsid w:val="08E42BE4"/>
    <w:rsid w:val="08EF0201"/>
    <w:rsid w:val="08F41DE8"/>
    <w:rsid w:val="093D1475"/>
    <w:rsid w:val="094840A2"/>
    <w:rsid w:val="09644C54"/>
    <w:rsid w:val="09737462"/>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F145F"/>
    <w:rsid w:val="0A8455AD"/>
    <w:rsid w:val="0A8729A8"/>
    <w:rsid w:val="0ABA2D7D"/>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61FD"/>
    <w:rsid w:val="0D735465"/>
    <w:rsid w:val="0D9D24E2"/>
    <w:rsid w:val="0DC577E0"/>
    <w:rsid w:val="0DDC6319"/>
    <w:rsid w:val="0DE1181F"/>
    <w:rsid w:val="0DFA5B87"/>
    <w:rsid w:val="0DFE4F67"/>
    <w:rsid w:val="0E0C0D4C"/>
    <w:rsid w:val="0E115DA1"/>
    <w:rsid w:val="0E1409F6"/>
    <w:rsid w:val="0E162D6D"/>
    <w:rsid w:val="0E460DCC"/>
    <w:rsid w:val="0E541CA2"/>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2A4FA3"/>
    <w:rsid w:val="153A36AA"/>
    <w:rsid w:val="15477903"/>
    <w:rsid w:val="1557566D"/>
    <w:rsid w:val="1565422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A16FC"/>
    <w:rsid w:val="185D3C42"/>
    <w:rsid w:val="185F38AF"/>
    <w:rsid w:val="188F0211"/>
    <w:rsid w:val="18AD1BEB"/>
    <w:rsid w:val="18B3004A"/>
    <w:rsid w:val="18B31B6D"/>
    <w:rsid w:val="18B83CF9"/>
    <w:rsid w:val="18B96080"/>
    <w:rsid w:val="18CB43A7"/>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117EF"/>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829B4"/>
    <w:rsid w:val="1B8C18B7"/>
    <w:rsid w:val="1BB73AE1"/>
    <w:rsid w:val="1BDA6D68"/>
    <w:rsid w:val="1BF14125"/>
    <w:rsid w:val="1C002CEE"/>
    <w:rsid w:val="1C4032FE"/>
    <w:rsid w:val="1C4E77C9"/>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40DA4"/>
    <w:rsid w:val="1EA5444C"/>
    <w:rsid w:val="1EA5569B"/>
    <w:rsid w:val="1EB350EF"/>
    <w:rsid w:val="1EC21749"/>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229A5"/>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2F266A3"/>
    <w:rsid w:val="22FD14E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5B6AB3"/>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BFC05B3"/>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3F2453"/>
    <w:rsid w:val="2D6F134E"/>
    <w:rsid w:val="2D835174"/>
    <w:rsid w:val="2D9331F9"/>
    <w:rsid w:val="2D99461C"/>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886F33"/>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19454C"/>
    <w:rsid w:val="36203B2D"/>
    <w:rsid w:val="363E0457"/>
    <w:rsid w:val="36455341"/>
    <w:rsid w:val="365B4B65"/>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F75BA"/>
    <w:rsid w:val="37E148E2"/>
    <w:rsid w:val="37F848EE"/>
    <w:rsid w:val="37F912FC"/>
    <w:rsid w:val="37FB65FF"/>
    <w:rsid w:val="380D59EE"/>
    <w:rsid w:val="38304889"/>
    <w:rsid w:val="3836588A"/>
    <w:rsid w:val="38382675"/>
    <w:rsid w:val="383B7B0D"/>
    <w:rsid w:val="38414B66"/>
    <w:rsid w:val="3848553B"/>
    <w:rsid w:val="3851700B"/>
    <w:rsid w:val="385246B6"/>
    <w:rsid w:val="385E6B8E"/>
    <w:rsid w:val="3876113B"/>
    <w:rsid w:val="38A53DB7"/>
    <w:rsid w:val="38BF3388"/>
    <w:rsid w:val="38CC268D"/>
    <w:rsid w:val="38DF1FDA"/>
    <w:rsid w:val="38EC2960"/>
    <w:rsid w:val="390069DD"/>
    <w:rsid w:val="39030CF9"/>
    <w:rsid w:val="39091F35"/>
    <w:rsid w:val="392536E2"/>
    <w:rsid w:val="39465F15"/>
    <w:rsid w:val="39505209"/>
    <w:rsid w:val="396453C5"/>
    <w:rsid w:val="39922CCF"/>
    <w:rsid w:val="39A24859"/>
    <w:rsid w:val="39A65327"/>
    <w:rsid w:val="39A65C9B"/>
    <w:rsid w:val="39BC5ED6"/>
    <w:rsid w:val="39D27231"/>
    <w:rsid w:val="39E82BB3"/>
    <w:rsid w:val="39EB39E0"/>
    <w:rsid w:val="39EE7A9E"/>
    <w:rsid w:val="39EF02D4"/>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31088"/>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4554"/>
    <w:rsid w:val="462A6010"/>
    <w:rsid w:val="465D501C"/>
    <w:rsid w:val="466367DB"/>
    <w:rsid w:val="46686D18"/>
    <w:rsid w:val="466D15DA"/>
    <w:rsid w:val="46BF7E28"/>
    <w:rsid w:val="46C3037C"/>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46BC7"/>
    <w:rsid w:val="48016F34"/>
    <w:rsid w:val="480556DB"/>
    <w:rsid w:val="48185C56"/>
    <w:rsid w:val="48254C34"/>
    <w:rsid w:val="48450F81"/>
    <w:rsid w:val="48455675"/>
    <w:rsid w:val="484E729D"/>
    <w:rsid w:val="48566773"/>
    <w:rsid w:val="485A23C2"/>
    <w:rsid w:val="48623B31"/>
    <w:rsid w:val="48691107"/>
    <w:rsid w:val="48895289"/>
    <w:rsid w:val="48A16B62"/>
    <w:rsid w:val="48AE0D54"/>
    <w:rsid w:val="48BC6222"/>
    <w:rsid w:val="48C245E9"/>
    <w:rsid w:val="48DB312A"/>
    <w:rsid w:val="48DF49D9"/>
    <w:rsid w:val="492108CC"/>
    <w:rsid w:val="49413F52"/>
    <w:rsid w:val="494F630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E3B7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BB3F4D"/>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27A85"/>
    <w:rsid w:val="4F241019"/>
    <w:rsid w:val="4F307BB1"/>
    <w:rsid w:val="4F336227"/>
    <w:rsid w:val="4F3C3EF2"/>
    <w:rsid w:val="4F3D562D"/>
    <w:rsid w:val="4F4976A1"/>
    <w:rsid w:val="4F5C4EE0"/>
    <w:rsid w:val="4F681AF1"/>
    <w:rsid w:val="4F6E1972"/>
    <w:rsid w:val="4F943166"/>
    <w:rsid w:val="4F9C19A5"/>
    <w:rsid w:val="4FBA02A1"/>
    <w:rsid w:val="4FE7106E"/>
    <w:rsid w:val="4FF82FCD"/>
    <w:rsid w:val="50053943"/>
    <w:rsid w:val="50260569"/>
    <w:rsid w:val="50374A3C"/>
    <w:rsid w:val="50487AB0"/>
    <w:rsid w:val="50550E55"/>
    <w:rsid w:val="50901457"/>
    <w:rsid w:val="509F43E4"/>
    <w:rsid w:val="50A54D3E"/>
    <w:rsid w:val="50B82E88"/>
    <w:rsid w:val="50BB32A7"/>
    <w:rsid w:val="50CC5CB2"/>
    <w:rsid w:val="50ED1473"/>
    <w:rsid w:val="50F1402B"/>
    <w:rsid w:val="50FD2AD9"/>
    <w:rsid w:val="51081E85"/>
    <w:rsid w:val="51097D9A"/>
    <w:rsid w:val="511A650F"/>
    <w:rsid w:val="51237D2E"/>
    <w:rsid w:val="514229EF"/>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5323"/>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B514D"/>
    <w:rsid w:val="545E1D01"/>
    <w:rsid w:val="54674051"/>
    <w:rsid w:val="5472334E"/>
    <w:rsid w:val="54935B8F"/>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666B5B"/>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A469A0"/>
    <w:rsid w:val="57CC4BC2"/>
    <w:rsid w:val="57D10760"/>
    <w:rsid w:val="57D1153D"/>
    <w:rsid w:val="57D77297"/>
    <w:rsid w:val="57FA3774"/>
    <w:rsid w:val="58084A3C"/>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442D7E"/>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45B89"/>
    <w:rsid w:val="5A8734AF"/>
    <w:rsid w:val="5A955FE8"/>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C1A6BB2"/>
    <w:rsid w:val="5C306D31"/>
    <w:rsid w:val="5C37233A"/>
    <w:rsid w:val="5C5355FE"/>
    <w:rsid w:val="5C5A49A5"/>
    <w:rsid w:val="5C6519EA"/>
    <w:rsid w:val="5C6715FE"/>
    <w:rsid w:val="5C6F4105"/>
    <w:rsid w:val="5CBB7F6F"/>
    <w:rsid w:val="5CC248CE"/>
    <w:rsid w:val="5CC826A5"/>
    <w:rsid w:val="5CF1327E"/>
    <w:rsid w:val="5D042FB1"/>
    <w:rsid w:val="5D442CB4"/>
    <w:rsid w:val="5D7C3F11"/>
    <w:rsid w:val="5D971C5A"/>
    <w:rsid w:val="5D9D49E0"/>
    <w:rsid w:val="5DA01E9E"/>
    <w:rsid w:val="5DAD3649"/>
    <w:rsid w:val="5DC310BE"/>
    <w:rsid w:val="5DC32E6C"/>
    <w:rsid w:val="5DDF1821"/>
    <w:rsid w:val="5DE2656A"/>
    <w:rsid w:val="5DEA2F91"/>
    <w:rsid w:val="5DF94AE0"/>
    <w:rsid w:val="5DFA5883"/>
    <w:rsid w:val="5E224037"/>
    <w:rsid w:val="5E3146A3"/>
    <w:rsid w:val="5E442F62"/>
    <w:rsid w:val="5E6C2C5B"/>
    <w:rsid w:val="5E6E2DD8"/>
    <w:rsid w:val="5E7251A2"/>
    <w:rsid w:val="5E7C3591"/>
    <w:rsid w:val="5E9842F9"/>
    <w:rsid w:val="5E9D0E18"/>
    <w:rsid w:val="5EA26F25"/>
    <w:rsid w:val="5EA341D7"/>
    <w:rsid w:val="5EA755DE"/>
    <w:rsid w:val="5EAE7678"/>
    <w:rsid w:val="5ED35F0E"/>
    <w:rsid w:val="5EDF7832"/>
    <w:rsid w:val="5EFC1390"/>
    <w:rsid w:val="5EFC3EB6"/>
    <w:rsid w:val="5F03335D"/>
    <w:rsid w:val="5F0368C7"/>
    <w:rsid w:val="5F1544E7"/>
    <w:rsid w:val="5F197EE8"/>
    <w:rsid w:val="5F262389"/>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98413C"/>
    <w:rsid w:val="60AA3E6F"/>
    <w:rsid w:val="60FF21D9"/>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C0D9D"/>
    <w:rsid w:val="622F7552"/>
    <w:rsid w:val="6250406E"/>
    <w:rsid w:val="6267666C"/>
    <w:rsid w:val="627D6831"/>
    <w:rsid w:val="62811B1C"/>
    <w:rsid w:val="62A20409"/>
    <w:rsid w:val="62AC0373"/>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B70C3"/>
    <w:rsid w:val="657038D9"/>
    <w:rsid w:val="65711400"/>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875E79"/>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4C2838"/>
    <w:rsid w:val="685E1363"/>
    <w:rsid w:val="687731D1"/>
    <w:rsid w:val="6878475E"/>
    <w:rsid w:val="688B4E68"/>
    <w:rsid w:val="688E1089"/>
    <w:rsid w:val="68993219"/>
    <w:rsid w:val="689E42BA"/>
    <w:rsid w:val="68A026F3"/>
    <w:rsid w:val="68AF6C13"/>
    <w:rsid w:val="68F25680"/>
    <w:rsid w:val="69074555"/>
    <w:rsid w:val="690E07C7"/>
    <w:rsid w:val="69140A20"/>
    <w:rsid w:val="69236A65"/>
    <w:rsid w:val="692E469B"/>
    <w:rsid w:val="69315C48"/>
    <w:rsid w:val="694019EC"/>
    <w:rsid w:val="694841AF"/>
    <w:rsid w:val="69584DB4"/>
    <w:rsid w:val="695B5B89"/>
    <w:rsid w:val="696C3D80"/>
    <w:rsid w:val="696D7E94"/>
    <w:rsid w:val="698A5EE4"/>
    <w:rsid w:val="69C811ED"/>
    <w:rsid w:val="69D33070"/>
    <w:rsid w:val="69E97E75"/>
    <w:rsid w:val="69FB5D9E"/>
    <w:rsid w:val="69FF6FDA"/>
    <w:rsid w:val="6A09542B"/>
    <w:rsid w:val="6A1A3007"/>
    <w:rsid w:val="6A1E645E"/>
    <w:rsid w:val="6A3C6480"/>
    <w:rsid w:val="6A417049"/>
    <w:rsid w:val="6A576E16"/>
    <w:rsid w:val="6A7903E5"/>
    <w:rsid w:val="6A8219B9"/>
    <w:rsid w:val="6A8641F2"/>
    <w:rsid w:val="6A9701A5"/>
    <w:rsid w:val="6AA03032"/>
    <w:rsid w:val="6AA86FEC"/>
    <w:rsid w:val="6ACB20F7"/>
    <w:rsid w:val="6ADA6AC4"/>
    <w:rsid w:val="6ADB11D6"/>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7423E"/>
    <w:rsid w:val="6CD930DF"/>
    <w:rsid w:val="6CDC1854"/>
    <w:rsid w:val="6CE70FA1"/>
    <w:rsid w:val="6CF05300"/>
    <w:rsid w:val="6CFA6351"/>
    <w:rsid w:val="6CFC3C40"/>
    <w:rsid w:val="6D2F6F7D"/>
    <w:rsid w:val="6D480984"/>
    <w:rsid w:val="6D8079F9"/>
    <w:rsid w:val="6DB13E57"/>
    <w:rsid w:val="6DC245A2"/>
    <w:rsid w:val="6DC71662"/>
    <w:rsid w:val="6DCD5126"/>
    <w:rsid w:val="6DDB6CB0"/>
    <w:rsid w:val="6DDE15FC"/>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03395"/>
    <w:rsid w:val="6EF773A4"/>
    <w:rsid w:val="6F174DC6"/>
    <w:rsid w:val="6F1E2E65"/>
    <w:rsid w:val="6F2F2D9E"/>
    <w:rsid w:val="6F4147D9"/>
    <w:rsid w:val="6F581F47"/>
    <w:rsid w:val="6F5B0D5A"/>
    <w:rsid w:val="6F5C35EA"/>
    <w:rsid w:val="6F63625D"/>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2709C"/>
    <w:rsid w:val="72A5093A"/>
    <w:rsid w:val="72AD7197"/>
    <w:rsid w:val="72AF6F7E"/>
    <w:rsid w:val="72BC67B9"/>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10E60"/>
    <w:rsid w:val="73AF2114"/>
    <w:rsid w:val="73AF381F"/>
    <w:rsid w:val="73E96BCA"/>
    <w:rsid w:val="73EE4A6E"/>
    <w:rsid w:val="741048BC"/>
    <w:rsid w:val="742E78D4"/>
    <w:rsid w:val="74317498"/>
    <w:rsid w:val="74335A84"/>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1C0EF4"/>
    <w:rsid w:val="7B212805"/>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70855"/>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91353"/>
    <w:rsid w:val="7E9C184B"/>
    <w:rsid w:val="7EA72948"/>
    <w:rsid w:val="7EB31EDB"/>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link w:val="75"/>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
    <w:name w:val="大标题"/>
    <w:basedOn w:val="1"/>
    <w:next w:val="7"/>
    <w:autoRedefine/>
    <w:qFormat/>
    <w:uiPriority w:val="0"/>
    <w:pPr>
      <w:jc w:val="center"/>
    </w:pPr>
    <w:rPr>
      <w:rFonts w:ascii="Arial" w:hAnsi="Arial"/>
      <w:b/>
      <w:sz w:val="28"/>
    </w:rPr>
  </w:style>
  <w:style w:type="paragraph" w:styleId="7">
    <w:name w:val="Body Text First Indent 2"/>
    <w:basedOn w:val="8"/>
    <w:autoRedefine/>
    <w:qFormat/>
    <w:uiPriority w:val="0"/>
    <w:pPr>
      <w:ind w:firstLine="420" w:firstLineChars="200"/>
    </w:pPr>
  </w:style>
  <w:style w:type="paragraph" w:styleId="8">
    <w:name w:val="Body Text Indent"/>
    <w:basedOn w:val="1"/>
    <w:next w:val="7"/>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4"/>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4"/>
    <w:next w:val="7"/>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无间隔1"/>
    <w:basedOn w:val="1"/>
    <w:autoRedefine/>
    <w:qFormat/>
    <w:uiPriority w:val="1"/>
    <w:pPr>
      <w:spacing w:line="400" w:lineRule="exact"/>
    </w:pPr>
    <w:rPr>
      <w:sz w:val="24"/>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4"/>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14619</Words>
  <Characters>15381</Characters>
  <Lines>50</Lines>
  <Paragraphs>68</Paragraphs>
  <TotalTime>0</TotalTime>
  <ScaleCrop>false</ScaleCrop>
  <LinksUpToDate>false</LinksUpToDate>
  <CharactersWithSpaces>15810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2025-08-12T00:05:31Z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A5BB1533C5AC47AAB86F88D5BE804DF1_13</vt:lpwstr>
  </property>
  <property fmtid="{D5CDD505-2E9C-101B-9397-08002B2CF9AE}" pid="4" name="KSOTemplateDocerSaveRecord">
    <vt:lpwstr>eyJoZGlkIjoiMzU0MTZjMjFkMjFjOGMwYTIzNWEzZDljNjYxZWI0MmYiLCJ1c2VySWQiOiIxNjg0NTc5MjM2In0=</vt:lpwstr>
  </property>
</Properties>
</file>