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D15C76">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color w:val="auto"/>
          <w:sz w:val="40"/>
          <w:szCs w:val="40"/>
          <w:highlight w:val="none"/>
          <w:lang w:val="en-US" w:eastAsia="zh-CN"/>
        </w:rPr>
      </w:pPr>
      <w:bookmarkStart w:id="0" w:name="_Toc22953395"/>
      <w:bookmarkEnd w:id="0"/>
      <w:bookmarkStart w:id="1" w:name="_Toc22804073"/>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4"/>
          <w:szCs w:val="44"/>
          <w:highlight w:val="none"/>
        </w:rPr>
      </w:pPr>
      <w:r>
        <w:rPr>
          <w:rFonts w:hint="eastAsia" w:cs="宋体"/>
          <w:b/>
          <w:bCs/>
          <w:color w:val="auto"/>
          <w:sz w:val="40"/>
          <w:szCs w:val="40"/>
          <w:highlight w:val="none"/>
          <w:lang w:val="en-US" w:eastAsia="zh-CN"/>
        </w:rPr>
        <w:t>驻马店市中心医院艾德康全自动免疫分析仪全保</w:t>
      </w:r>
    </w:p>
    <w:p w14:paraId="20826E73">
      <w:pPr>
        <w:pStyle w:val="19"/>
        <w:bidi w:val="0"/>
        <w:jc w:val="center"/>
        <w:rPr>
          <w:rStyle w:val="44"/>
          <w:rFonts w:hint="eastAsia" w:ascii="宋体" w:hAnsi="宋体" w:eastAsia="宋体" w:cs="宋体"/>
          <w:b/>
          <w:bCs/>
          <w:color w:val="auto"/>
          <w:sz w:val="48"/>
          <w:szCs w:val="48"/>
          <w:highlight w:val="none"/>
        </w:rPr>
      </w:pPr>
    </w:p>
    <w:p w14:paraId="5ADC03DB">
      <w:pPr>
        <w:pStyle w:val="19"/>
        <w:bidi w:val="0"/>
        <w:jc w:val="center"/>
        <w:rPr>
          <w:rStyle w:val="44"/>
          <w:rFonts w:hint="eastAsia" w:ascii="宋体" w:hAnsi="宋体" w:eastAsia="宋体" w:cs="宋体"/>
          <w:b/>
          <w:bCs/>
          <w:color w:val="auto"/>
          <w:sz w:val="48"/>
          <w:szCs w:val="48"/>
          <w:highlight w:val="none"/>
        </w:rPr>
      </w:pPr>
    </w:p>
    <w:p w14:paraId="118A3018">
      <w:pPr>
        <w:pStyle w:val="19"/>
        <w:bidi w:val="0"/>
        <w:jc w:val="center"/>
        <w:rPr>
          <w:rStyle w:val="44"/>
          <w:rFonts w:hint="eastAsia" w:ascii="宋体" w:hAnsi="宋体" w:eastAsia="宋体" w:cs="宋体"/>
          <w:b/>
          <w:bCs/>
          <w:color w:val="auto"/>
          <w:sz w:val="48"/>
          <w:szCs w:val="48"/>
          <w:highlight w:val="none"/>
        </w:rPr>
      </w:pPr>
    </w:p>
    <w:p w14:paraId="4020D427">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5"/>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0E5B90F5">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采购代理机构：铭信工程咨询有限公司</w:t>
      </w:r>
    </w:p>
    <w:p w14:paraId="140855E0">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月</w:t>
      </w:r>
    </w:p>
    <w:p w14:paraId="5531FCFF">
      <w:pPr>
        <w:tabs>
          <w:tab w:val="left" w:pos="2700"/>
          <w:tab w:val="left" w:pos="2880"/>
          <w:tab w:val="left" w:pos="3060"/>
          <w:tab w:val="left" w:pos="7560"/>
        </w:tabs>
        <w:snapToGrid w:val="0"/>
        <w:spacing w:line="480" w:lineRule="auto"/>
        <w:jc w:val="both"/>
        <w:rPr>
          <w:rFonts w:hint="default" w:ascii="宋体" w:hAnsi="宋体" w:eastAsia="宋体" w:cs="宋体"/>
          <w:b/>
          <w:bCs/>
          <w:color w:val="auto"/>
          <w:spacing w:val="-10"/>
          <w:sz w:val="34"/>
          <w:szCs w:val="34"/>
          <w:highlight w:val="none"/>
          <w:lang w:val="en-US" w:eastAsia="zh-CN"/>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驻马店市中心医院艾德康全自动免疫分析仪全保</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驻马店市中心医院艾德康全自动免疫分析仪全保</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驻马店市中心医院艾德康全自动免疫分析仪全保</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6.5万元</w:t>
      </w:r>
    </w:p>
    <w:p w14:paraId="27B5406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4、服务期限：1年；</w:t>
      </w:r>
    </w:p>
    <w:p w14:paraId="51F1618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、合同履行期限：</w:t>
      </w:r>
      <w:r>
        <w:rPr>
          <w:rFonts w:hint="eastAsia" w:ascii="宋体" w:hAnsi="宋体" w:cs="宋体"/>
          <w:color w:val="auto"/>
          <w:szCs w:val="21"/>
          <w:highlight w:val="none"/>
          <w:shd w:val="clear" w:color="auto" w:fill="FFFFFF"/>
          <w:lang w:val="en-US" w:eastAsia="zh-CN"/>
        </w:rPr>
        <w:t>同服务期限；</w:t>
      </w:r>
    </w:p>
    <w:p w14:paraId="664630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符合现行国家、省、市地方相关规范和标准，满足</w:t>
      </w:r>
      <w:r>
        <w:rPr>
          <w:rFonts w:hint="eastAsia" w:ascii="宋体" w:hAnsi="宋体" w:cs="宋体"/>
          <w:color w:val="auto"/>
          <w:szCs w:val="21"/>
          <w:highlight w:val="none"/>
          <w:shd w:val="clear" w:color="auto" w:fill="FFFFFF"/>
          <w:lang w:val="en-US" w:eastAsia="zh-CN"/>
        </w:rPr>
        <w:t>磋商文件要求</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18607"/>
      <w:bookmarkStart w:id="5" w:name="_Toc23626"/>
      <w:bookmarkStart w:id="6" w:name="_Toc27704"/>
      <w:bookmarkStart w:id="7"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23395"/>
      <w:bookmarkStart w:id="9" w:name="_Toc30643"/>
      <w:bookmarkStart w:id="10" w:name="_Toc9562"/>
      <w:bookmarkStart w:id="11" w:name="_Toc782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8BDA34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特定资格要求：投标人须具是在中华人民共和国境内注册的设备原制造厂商或原制造厂商授权的单位或具备相关设备维修能力的单位（提供证明文件）。</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w:t>
      </w:r>
      <w:r>
        <w:rPr>
          <w:rFonts w:hint="eastAsia" w:ascii="宋体" w:hAnsi="宋体" w:eastAsia="宋体" w:cs="宋体"/>
          <w:color w:val="auto"/>
          <w:szCs w:val="21"/>
          <w:highlight w:val="yellow"/>
          <w:shd w:val="clear" w:color="auto" w:fill="FFFFFF"/>
        </w:rPr>
        <w:t>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9</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3</w:t>
      </w:r>
      <w:r>
        <w:rPr>
          <w:rFonts w:hint="eastAsia" w:ascii="宋体" w:hAnsi="宋体" w:eastAsia="宋体" w:cs="宋体"/>
          <w:color w:val="auto"/>
          <w:szCs w:val="21"/>
          <w:highlight w:val="yellow"/>
          <w:shd w:val="clear" w:color="auto" w:fill="FFFFFF"/>
        </w:rPr>
        <w:t>日-202</w:t>
      </w:r>
      <w:r>
        <w:rPr>
          <w:rFonts w:hint="eastAsia" w:ascii="宋体" w:hAnsi="宋体" w:eastAsia="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年</w:t>
      </w:r>
      <w:r>
        <w:rPr>
          <w:rFonts w:hint="eastAsia" w:ascii="宋体" w:hAnsi="宋体" w:cs="宋体"/>
          <w:color w:val="auto"/>
          <w:szCs w:val="21"/>
          <w:highlight w:val="yellow"/>
          <w:shd w:val="clear" w:color="auto" w:fill="FFFFFF"/>
          <w:lang w:val="en-US" w:eastAsia="zh-CN"/>
        </w:rPr>
        <w:t>9</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5</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2569739997</w:t>
      </w:r>
      <w:r>
        <w:rPr>
          <w:rFonts w:hint="eastAsia" w:ascii="宋体" w:hAnsi="宋体" w:eastAsia="宋体" w:cs="宋体"/>
          <w:color w:val="auto"/>
          <w:kern w:val="0"/>
          <w:sz w:val="21"/>
          <w:szCs w:val="21"/>
          <w:highlight w:val="none"/>
          <w:shd w:val="clear" w:color="auto" w:fill="FFFFFF"/>
          <w:lang w:val="en-US" w:eastAsia="zh-CN" w:bidi="ar-SA"/>
        </w:rPr>
        <w:t>@qq.com,并标明XX公司XX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0738"/>
      <w:bookmarkStart w:id="14" w:name="_Toc25869"/>
      <w:bookmarkStart w:id="15" w:name="_Toc15111"/>
      <w:bookmarkStart w:id="16" w:name="_Toc15135"/>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24274"/>
      <w:bookmarkStart w:id="26" w:name="_Toc16291"/>
      <w:bookmarkStart w:id="27" w:name="_Toc27370"/>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D44496B">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采购代理机构：铭信工程咨询有限公司</w:t>
      </w:r>
    </w:p>
    <w:p w14:paraId="46F9F835">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地址：郑州市郑东新区平安大道201号博雅广场4号楼1006室</w:t>
      </w:r>
    </w:p>
    <w:p w14:paraId="744F096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：米先生</w:t>
      </w:r>
    </w:p>
    <w:p w14:paraId="5952DEC8">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w:t>
      </w:r>
      <w:r>
        <w:rPr>
          <w:rFonts w:hint="eastAsia" w:ascii="宋体" w:hAnsi="宋体" w:cs="宋体"/>
          <w:color w:val="auto"/>
          <w:kern w:val="0"/>
          <w:sz w:val="21"/>
          <w:szCs w:val="21"/>
          <w:highlight w:val="none"/>
          <w:shd w:val="clear" w:color="auto" w:fill="FFFFFF"/>
          <w:lang w:val="en-US" w:eastAsia="zh-CN" w:bidi="ar-SA"/>
        </w:rPr>
        <w:t>18239603376</w:t>
      </w:r>
    </w:p>
    <w:p w14:paraId="2367F16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20153FC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yellow"/>
          <w:shd w:val="clear" w:color="auto" w:fill="FFFFFF"/>
          <w:lang w:val="en-US" w:eastAsia="zh-CN" w:bidi="ar-SA"/>
        </w:rPr>
        <w:t xml:space="preserve"> </w:t>
      </w:r>
      <w:r>
        <w:rPr>
          <w:rFonts w:hint="eastAsia" w:ascii="宋体" w:hAnsi="宋体" w:eastAsia="宋体" w:cs="宋体"/>
          <w:color w:val="auto"/>
          <w:sz w:val="21"/>
          <w:szCs w:val="21"/>
          <w:highlight w:val="yellow"/>
          <w:shd w:val="clear" w:color="auto" w:fill="FFFFFF"/>
        </w:rPr>
        <w:t>202</w:t>
      </w:r>
      <w:r>
        <w:rPr>
          <w:rFonts w:hint="eastAsia" w:ascii="宋体" w:hAnsi="宋体" w:eastAsia="宋体" w:cs="宋体"/>
          <w:color w:val="auto"/>
          <w:sz w:val="21"/>
          <w:szCs w:val="21"/>
          <w:highlight w:val="yellow"/>
          <w:shd w:val="clear" w:color="auto" w:fill="FFFFFF"/>
          <w:lang w:val="en-US" w:eastAsia="zh-CN"/>
        </w:rPr>
        <w:t>5</w:t>
      </w:r>
      <w:r>
        <w:rPr>
          <w:rFonts w:hint="eastAsia" w:ascii="宋体" w:hAnsi="宋体" w:eastAsia="宋体" w:cs="宋体"/>
          <w:color w:val="auto"/>
          <w:sz w:val="21"/>
          <w:szCs w:val="21"/>
          <w:highlight w:val="yellow"/>
          <w:shd w:val="clear" w:color="auto" w:fill="FFFFFF"/>
        </w:rPr>
        <w:t>年</w:t>
      </w:r>
      <w:r>
        <w:rPr>
          <w:rFonts w:hint="eastAsia" w:ascii="宋体" w:hAnsi="宋体" w:cs="宋体"/>
          <w:color w:val="auto"/>
          <w:sz w:val="21"/>
          <w:szCs w:val="21"/>
          <w:highlight w:val="yellow"/>
          <w:shd w:val="clear" w:color="auto" w:fill="FFFFFF"/>
          <w:lang w:val="en-US" w:eastAsia="zh-CN"/>
        </w:rPr>
        <w:t>9</w:t>
      </w:r>
      <w:r>
        <w:rPr>
          <w:rFonts w:hint="eastAsia" w:ascii="宋体" w:hAnsi="宋体" w:eastAsia="宋体" w:cs="宋体"/>
          <w:color w:val="auto"/>
          <w:sz w:val="21"/>
          <w:szCs w:val="21"/>
          <w:highlight w:val="yellow"/>
          <w:shd w:val="clear" w:color="auto" w:fill="FFFFFF"/>
        </w:rPr>
        <w:t>月</w:t>
      </w:r>
      <w:r>
        <w:rPr>
          <w:rFonts w:hint="eastAsia" w:ascii="宋体" w:hAnsi="宋体" w:cs="宋体"/>
          <w:color w:val="auto"/>
          <w:sz w:val="21"/>
          <w:szCs w:val="21"/>
          <w:highlight w:val="yellow"/>
          <w:shd w:val="clear" w:color="auto" w:fill="FFFFFF"/>
          <w:lang w:val="en-US" w:eastAsia="zh-CN"/>
        </w:rPr>
        <w:t>2</w:t>
      </w:r>
      <w:bookmarkStart w:id="102" w:name="_GoBack"/>
      <w:bookmarkEnd w:id="102"/>
      <w:r>
        <w:rPr>
          <w:rFonts w:hint="eastAsia" w:ascii="宋体" w:hAnsi="宋体" w:eastAsia="宋体" w:cs="宋体"/>
          <w:color w:val="auto"/>
          <w:sz w:val="21"/>
          <w:szCs w:val="21"/>
          <w:highlight w:val="yellow"/>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驻马店市中心医院艾德康全自动免疫分析仪全保</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93"/>
        <w:gridCol w:w="1101"/>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00" w:type="dxa"/>
            <w:vAlign w:val="center"/>
          </w:tcPr>
          <w:p w14:paraId="3F52256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lang w:val="en-US" w:eastAsia="zh-CN"/>
              </w:rPr>
              <w:t>包号</w:t>
            </w:r>
          </w:p>
        </w:tc>
        <w:tc>
          <w:tcPr>
            <w:tcW w:w="990" w:type="dxa"/>
            <w:vAlign w:val="center"/>
          </w:tcPr>
          <w:p w14:paraId="7BB0310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rPr>
              <w:t>序号</w:t>
            </w:r>
          </w:p>
        </w:tc>
        <w:tc>
          <w:tcPr>
            <w:tcW w:w="2139" w:type="dxa"/>
            <w:gridSpan w:val="2"/>
            <w:vAlign w:val="center"/>
          </w:tcPr>
          <w:p w14:paraId="1C818719">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rPr>
              <w:t>标的名称</w:t>
            </w:r>
          </w:p>
        </w:tc>
        <w:tc>
          <w:tcPr>
            <w:tcW w:w="850" w:type="dxa"/>
            <w:vAlign w:val="center"/>
          </w:tcPr>
          <w:p w14:paraId="2AF52A7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lang w:val="en-US" w:eastAsia="zh-CN"/>
              </w:rPr>
              <w:t>单位</w:t>
            </w:r>
          </w:p>
        </w:tc>
        <w:tc>
          <w:tcPr>
            <w:tcW w:w="967" w:type="dxa"/>
            <w:vAlign w:val="center"/>
          </w:tcPr>
          <w:p w14:paraId="78A9F1D6">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rPr>
              <w:t>数量</w:t>
            </w:r>
          </w:p>
        </w:tc>
        <w:tc>
          <w:tcPr>
            <w:tcW w:w="1393" w:type="dxa"/>
            <w:vAlign w:val="center"/>
          </w:tcPr>
          <w:p w14:paraId="2259F43F">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rPr>
              <w:t>资金预算</w:t>
            </w:r>
          </w:p>
        </w:tc>
        <w:tc>
          <w:tcPr>
            <w:tcW w:w="1101" w:type="dxa"/>
            <w:vAlign w:val="center"/>
          </w:tcPr>
          <w:p w14:paraId="0F2FBFF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lang w:val="en-US" w:eastAsia="zh-CN"/>
              </w:rPr>
              <w:t>资金性质</w:t>
            </w:r>
          </w:p>
        </w:tc>
        <w:tc>
          <w:tcPr>
            <w:tcW w:w="1245" w:type="dxa"/>
            <w:vAlign w:val="center"/>
          </w:tcPr>
          <w:p w14:paraId="5E8880A2">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lang w:val="en-US" w:eastAsia="zh-CN"/>
              </w:rPr>
              <w:t>国产/进口</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1</w:t>
            </w:r>
          </w:p>
        </w:tc>
        <w:tc>
          <w:tcPr>
            <w:tcW w:w="990"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1</w:t>
            </w:r>
          </w:p>
        </w:tc>
        <w:tc>
          <w:tcPr>
            <w:tcW w:w="2139" w:type="dxa"/>
            <w:gridSpan w:val="2"/>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艾德康全自动免疫分析仪全保</w:t>
            </w:r>
          </w:p>
        </w:tc>
        <w:tc>
          <w:tcPr>
            <w:tcW w:w="850"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年</w:t>
            </w:r>
          </w:p>
        </w:tc>
        <w:tc>
          <w:tcPr>
            <w:tcW w:w="967"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1</w:t>
            </w:r>
          </w:p>
        </w:tc>
        <w:tc>
          <w:tcPr>
            <w:tcW w:w="1393" w:type="dxa"/>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6.5万元</w:t>
            </w:r>
          </w:p>
        </w:tc>
        <w:tc>
          <w:tcPr>
            <w:tcW w:w="1101"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自筹</w:t>
            </w:r>
          </w:p>
        </w:tc>
        <w:tc>
          <w:tcPr>
            <w:tcW w:w="1245" w:type="dxa"/>
            <w:vAlign w:val="center"/>
          </w:tcPr>
          <w:p w14:paraId="790268A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6.5万元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w:t>
            </w:r>
          </w:p>
        </w:tc>
      </w:tr>
    </w:tbl>
    <w:p w14:paraId="028B9CE9">
      <w:pPr>
        <w:rPr>
          <w:rFonts w:hint="default"/>
          <w:b/>
          <w:bCs/>
          <w:color w:val="auto"/>
          <w:lang w:val="en-US" w:eastAsia="zh-CN"/>
        </w:rPr>
      </w:pPr>
      <w:r>
        <w:rPr>
          <w:rFonts w:hint="eastAsia"/>
          <w:b/>
          <w:bCs/>
          <w:color w:val="auto"/>
          <w:lang w:val="en-US" w:eastAsia="zh-CN"/>
        </w:rPr>
        <w:t>三、技术要求</w:t>
      </w:r>
    </w:p>
    <w:p w14:paraId="18934E2B">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艾德康全自动免疫分析仪全保包括整机维护保养，保修期内每年至少提供4次设备维护保养，包含但不限于如下项目：设备清洁、性能测试及校准、必要的电气环境检测等，使之保持原厂QC标准或国家质量监督部门的标准，并提供保养清单。</w:t>
      </w:r>
    </w:p>
    <w:p w14:paraId="385CD85E">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487AED9E">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3)为本医院配置具备维修资质的固定工程师本设备维修经验不少于2年，需提供证明材料（培训证书）和承诺函。</w:t>
      </w:r>
    </w:p>
    <w:p w14:paraId="52761E80">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所换备件必须是全新合格的产品，并满足设备运行要求, 进口配件需提供商检及海关报关单等材料。因所换备件造成的设备故障及医院损失，由投标人全权负责。</w:t>
      </w:r>
    </w:p>
    <w:p w14:paraId="52839501">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软硬件及工作站免费安全升级，并开放维修密码等。</w:t>
      </w:r>
    </w:p>
    <w:p w14:paraId="17CD31B6">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6)</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提供24小时远程技术支持及临床应用支持，签署由招标人提供的信息系统数据安全保密承诺书。</w:t>
      </w:r>
    </w:p>
    <w:p w14:paraId="7AA562EB">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7）须国内有备件库。</w:t>
      </w:r>
    </w:p>
    <w:p w14:paraId="6EB7C288">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8）如需更换备件，国内备件仓库有货的备件在2个工作日内送达医院，进口配件5个工作日送达；非标件和不可抗力除外</w:t>
      </w:r>
    </w:p>
    <w:p w14:paraId="4C6C6DA3">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9）定期进行安全检查及质量保障，保证24h*365天维修热线连接；提供全国400热线服务电话</w:t>
      </w:r>
    </w:p>
    <w:p w14:paraId="6C1EA1F4">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10）紧急人工和工程师现场紧急维修服务</w:t>
      </w:r>
    </w:p>
    <w:p w14:paraId="0BCC7943">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11）工程师需配备有专用工具，工程师的工具符合国家检测和校准的规定（提供相关校准证明）</w:t>
      </w:r>
    </w:p>
    <w:p w14:paraId="0E8A24CD">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12）保修期最后一个月内更换的配件，中标公司应保证自更换之日起三个月内正常使用，如三个月内出现故障，由中标公司承担维修费用。</w:t>
      </w:r>
    </w:p>
    <w:p w14:paraId="70516742">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13）对我院的维修工程师提供每年至少2人次的专业培训，按计划进行培训并提供记录。</w:t>
      </w:r>
    </w:p>
    <w:p w14:paraId="2BFD9178">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14）每年制定临床使用人员的使用维护培训计划，按计划进行培训并提供记录。</w:t>
      </w:r>
    </w:p>
    <w:p w14:paraId="76039985">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p>
    <w:p w14:paraId="43D05592">
      <w:pPr>
        <w:pStyle w:val="51"/>
        <w:rPr>
          <w:rFonts w:hint="eastAsia" w:ascii="宋体" w:hAnsi="宋体" w:eastAsia="宋体" w:cs="宋体"/>
          <w:b/>
          <w:bCs/>
          <w:color w:val="auto"/>
          <w:kern w:val="2"/>
          <w:sz w:val="21"/>
          <w:szCs w:val="24"/>
          <w:highlight w:val="none"/>
          <w:lang w:val="en-US" w:eastAsia="zh-CN" w:bidi="ar-SA"/>
        </w:rPr>
      </w:pPr>
    </w:p>
    <w:p w14:paraId="41737D04">
      <w:pPr>
        <w:pStyle w:val="51"/>
        <w:rPr>
          <w:rFonts w:hint="eastAsia" w:ascii="宋体" w:hAnsi="宋体" w:eastAsia="宋体" w:cs="宋体"/>
          <w:b/>
          <w:bCs/>
          <w:color w:val="auto"/>
          <w:kern w:val="2"/>
          <w:sz w:val="21"/>
          <w:szCs w:val="24"/>
          <w:highlight w:val="none"/>
          <w:lang w:val="en-US" w:eastAsia="zh-CN" w:bidi="ar-SA"/>
        </w:rPr>
      </w:pPr>
    </w:p>
    <w:p w14:paraId="160A0B67">
      <w:pPr>
        <w:pStyle w:val="51"/>
        <w:ind w:left="0" w:leftChars="0" w:firstLine="0" w:firstLineChars="0"/>
        <w:rPr>
          <w:rFonts w:hint="eastAsia" w:ascii="宋体" w:hAnsi="宋体" w:eastAsia="宋体" w:cs="宋体"/>
          <w:b/>
          <w:bCs/>
          <w:color w:val="auto"/>
          <w:kern w:val="2"/>
          <w:sz w:val="21"/>
          <w:szCs w:val="24"/>
          <w:highlight w:val="none"/>
          <w:lang w:val="en-US" w:eastAsia="zh-CN" w:bidi="ar-SA"/>
        </w:rPr>
      </w:pPr>
    </w:p>
    <w:p w14:paraId="22B3C3CB">
      <w:pPr>
        <w:pStyle w:val="51"/>
        <w:ind w:left="0" w:leftChars="0" w:firstLine="0" w:firstLineChars="0"/>
        <w:rPr>
          <w:rFonts w:hint="eastAsia" w:ascii="宋体" w:hAnsi="宋体" w:eastAsia="宋体" w:cs="宋体"/>
          <w:b/>
          <w:bCs/>
          <w:color w:val="auto"/>
          <w:kern w:val="2"/>
          <w:sz w:val="21"/>
          <w:szCs w:val="24"/>
          <w:highlight w:val="none"/>
          <w:lang w:val="en-US" w:eastAsia="zh-CN" w:bidi="ar-SA"/>
        </w:rPr>
      </w:pPr>
    </w:p>
    <w:p w14:paraId="0B2E64F1">
      <w:pPr>
        <w:pStyle w:val="51"/>
        <w:ind w:left="0" w:leftChars="0" w:firstLine="0" w:firstLineChars="0"/>
        <w:rPr>
          <w:rFonts w:hint="eastAsia" w:ascii="宋体" w:hAnsi="宋体" w:eastAsia="宋体" w:cs="宋体"/>
          <w:b/>
          <w:bCs/>
          <w:color w:val="auto"/>
          <w:kern w:val="2"/>
          <w:sz w:val="21"/>
          <w:szCs w:val="24"/>
          <w:highlight w:val="none"/>
          <w:lang w:val="en-US" w:eastAsia="zh-CN" w:bidi="ar-SA"/>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符合现行国家、省、市地方相关规范和标准，满足磋商文件要求</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4"/>
              <w:ind w:left="0" w:leftChars="0"/>
              <w:jc w:val="left"/>
              <w:rPr>
                <w:rFonts w:hint="default"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1年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周一至周日，7天24小时包括法定节假日</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20分钟内电话响应，2小时内工程师到达现场，一般故障24小时内维修完毕。如需外地专家支持，4小时内响应，24小时内到达现场</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先服务后付款，服务六个月之后支付50%合同款，服务期满后支付余下50%合同款</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维保要求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投标人保证我院保修的设备正常开机率大于95% （一年按365天计算），且单次维修不能超过1天，否则设备维修占用日期每增加一天，保修时间往后顺延七天</w:t>
            </w:r>
          </w:p>
        </w:tc>
      </w:tr>
    </w:tbl>
    <w:p w14:paraId="0A207B53">
      <w:pPr>
        <w:pStyle w:val="23"/>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27817"/>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驻马店市中心医院艾德康全自动免疫分析仪全保</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832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24541"/>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szCs w:val="21"/>
                <w:highlight w:val="none"/>
                <w:shd w:val="clear" w:color="auto" w:fill="FFFFFF"/>
                <w:lang w:val="en-US" w:eastAsia="zh-CN"/>
              </w:rPr>
              <w:t>6.5万元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szCs w:val="21"/>
                <w:highlight w:val="none"/>
                <w:shd w:val="clear" w:color="auto" w:fill="FFFFFF"/>
                <w:lang w:val="en-US" w:eastAsia="zh-CN"/>
              </w:rPr>
              <w:t>6.5万元</w:t>
            </w:r>
            <w:r>
              <w:rPr>
                <w:rFonts w:hint="eastAsia" w:ascii="宋体" w:hAnsi="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6.5万元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:6.5万元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5B7725F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特定资格要求：投标人须具是在中华人民共和国境内注册的设备原制造厂商或原制造厂商授权的单位或具备相关设备维修能力的单位（提供证明文件）。</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5"/>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01FD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0FD15243">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73A1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3B1558">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价格部</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shd w:val="clear" w:color="auto" w:fill="auto"/>
              </w:rPr>
              <w:t>(</w:t>
            </w:r>
            <w:r>
              <w:rPr>
                <w:rFonts w:hint="eastAsia" w:ascii="宋体" w:hAnsi="宋体" w:cs="宋体"/>
                <w:b w:val="0"/>
                <w:bCs w:val="0"/>
                <w:color w:val="auto"/>
                <w:sz w:val="21"/>
                <w:szCs w:val="21"/>
                <w:highlight w:val="none"/>
                <w:shd w:val="clear" w:color="auto" w:fill="auto"/>
                <w:lang w:val="en-US" w:eastAsia="zh-CN"/>
              </w:rPr>
              <w:t>10</w:t>
            </w:r>
            <w:r>
              <w:rPr>
                <w:rFonts w:hint="eastAsia" w:ascii="宋体" w:hAnsi="宋体" w:eastAsia="宋体" w:cs="宋体"/>
                <w:b w:val="0"/>
                <w:bCs w:val="0"/>
                <w:color w:val="auto"/>
                <w:sz w:val="21"/>
                <w:szCs w:val="21"/>
                <w:highlight w:val="none"/>
                <w:shd w:val="clear" w:color="auto" w:fill="auto"/>
              </w:rPr>
              <w:t>分)</w:t>
            </w:r>
          </w:p>
        </w:tc>
        <w:tc>
          <w:tcPr>
            <w:tcW w:w="8284" w:type="dxa"/>
            <w:gridSpan w:val="2"/>
            <w:noWrap w:val="0"/>
            <w:vAlign w:val="center"/>
          </w:tcPr>
          <w:p w14:paraId="160CCDD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588C190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5DBC0F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5F03394">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r>
      <w:tr w14:paraId="69DB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restart"/>
            <w:noWrap w:val="0"/>
            <w:vAlign w:val="center"/>
          </w:tcPr>
          <w:p w14:paraId="0A99F44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62</w:t>
            </w:r>
            <w:r>
              <w:rPr>
                <w:rFonts w:hint="eastAsia" w:ascii="宋体" w:hAnsi="宋体" w:eastAsia="宋体" w:cs="宋体"/>
                <w:b w:val="0"/>
                <w:bCs w:val="0"/>
                <w:color w:val="auto"/>
                <w:sz w:val="21"/>
                <w:szCs w:val="21"/>
                <w:highlight w:val="none"/>
                <w:lang w:eastAsia="zh-CN"/>
              </w:rPr>
              <w:t>分）</w:t>
            </w:r>
          </w:p>
        </w:tc>
        <w:tc>
          <w:tcPr>
            <w:tcW w:w="1362" w:type="dxa"/>
            <w:noWrap w:val="0"/>
            <w:vAlign w:val="center"/>
          </w:tcPr>
          <w:p w14:paraId="3E3F254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1.服务能力响应程度</w:t>
            </w:r>
          </w:p>
          <w:p w14:paraId="29FBC4C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683C5BA6">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文件第二章 采购需求</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每有</w:t>
            </w:r>
            <w:r>
              <w:rPr>
                <w:rFonts w:hint="eastAsia" w:ascii="宋体" w:hAnsi="宋体" w:eastAsia="宋体" w:cs="宋体"/>
                <w:b w:val="0"/>
                <w:bCs w:val="0"/>
                <w:color w:val="auto"/>
                <w:sz w:val="21"/>
                <w:szCs w:val="21"/>
                <w:highlight w:val="none"/>
              </w:rPr>
              <w:t>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扣完为止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若</w:t>
            </w:r>
            <w:r>
              <w:rPr>
                <w:rFonts w:hint="eastAsia" w:ascii="宋体" w:hAnsi="宋体" w:eastAsia="宋体" w:cs="宋体"/>
                <w:b w:val="0"/>
                <w:bCs w:val="0"/>
                <w:color w:val="auto"/>
                <w:sz w:val="21"/>
                <w:szCs w:val="21"/>
                <w:highlight w:val="none"/>
              </w:rPr>
              <w:t>得分为0，则</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p>
          <w:p w14:paraId="31853AA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w:t>
            </w:r>
            <w:r>
              <w:rPr>
                <w:rFonts w:hint="eastAsia" w:ascii="宋体" w:hAnsi="宋体" w:cs="宋体"/>
                <w:color w:val="auto"/>
                <w:sz w:val="21"/>
                <w:szCs w:val="21"/>
                <w:highlight w:val="none"/>
                <w:lang w:val="en-US" w:eastAsia="zh-CN"/>
              </w:rPr>
              <w:t>响应表</w:t>
            </w:r>
            <w:r>
              <w:rPr>
                <w:rFonts w:hint="eastAsia" w:ascii="宋体" w:hAnsi="宋体" w:eastAsia="宋体" w:cs="宋体"/>
                <w:color w:val="auto"/>
                <w:sz w:val="21"/>
                <w:szCs w:val="21"/>
                <w:highlight w:val="none"/>
                <w:lang w:val="en-US" w:eastAsia="zh-CN"/>
              </w:rPr>
              <w:t>，并标注偏离情况。</w:t>
            </w:r>
          </w:p>
          <w:p w14:paraId="233F2D5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3C9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24EDBC3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0462FA1">
            <w:pPr>
              <w:keepNext w:val="0"/>
              <w:keepLines w:val="0"/>
              <w:pageBreakBefore w:val="0"/>
              <w:kinsoku/>
              <w:wordWrap/>
              <w:overflowPunct/>
              <w:topLinePunct w:val="0"/>
              <w:bidi w:val="0"/>
              <w:snapToGrid w:val="0"/>
              <w:spacing w:line="320" w:lineRule="exact"/>
              <w:jc w:val="cente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实施方案</w:t>
            </w:r>
          </w:p>
          <w:p w14:paraId="04001B1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591002D8">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根据供应商</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的</w:t>
            </w: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color w:val="auto"/>
                <w:highlight w:val="none"/>
                <w:lang w:val="en-US" w:eastAsia="zh-CN"/>
              </w:rPr>
              <w:t>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w:t>
            </w:r>
            <w:r>
              <w:rPr>
                <w:rFonts w:hint="eastAsia" w:ascii="宋体" w:hAnsi="宋体" w:cs="宋体"/>
                <w:b w:val="0"/>
                <w:bCs w:val="0"/>
                <w:color w:val="auto"/>
                <w:sz w:val="21"/>
                <w:szCs w:val="21"/>
                <w:highlight w:val="none"/>
                <w:lang w:val="en-US" w:eastAsia="zh-CN"/>
              </w:rPr>
              <w:t>）进行评审</w:t>
            </w:r>
            <w:r>
              <w:rPr>
                <w:rFonts w:hint="eastAsia" w:ascii="宋体" w:hAnsi="宋体" w:cs="宋体"/>
                <w:color w:val="auto"/>
                <w:highlight w:val="none"/>
                <w:lang w:val="en-US" w:eastAsia="zh-CN"/>
              </w:rPr>
              <w:t>：</w:t>
            </w:r>
          </w:p>
          <w:p w14:paraId="0DFE48C4">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3AC57DE2">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65D62D0F">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5EE0EE98">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1A93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77E4FBF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5296D66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.备品备件</w:t>
            </w:r>
          </w:p>
          <w:p w14:paraId="265CF1B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72742464">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7919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4FC5373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37EA505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.设备维保应急响应方案（</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552E9ABD">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分；应急响应方案较为详尽，应急处理流程、处置方法基本合理的得3分；应急处理流程、处置方法不合理的得1分。未提供者不得分。</w:t>
            </w:r>
          </w:p>
        </w:tc>
      </w:tr>
      <w:tr w14:paraId="0DAA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restart"/>
            <w:noWrap w:val="0"/>
            <w:vAlign w:val="center"/>
          </w:tcPr>
          <w:p w14:paraId="649AE7D5">
            <w:pPr>
              <w:keepNext w:val="0"/>
              <w:keepLines w:val="0"/>
              <w:pageBreakBefore w:val="0"/>
              <w:kinsoku/>
              <w:wordWrap/>
              <w:overflowPunct/>
              <w:topLinePunct w:val="0"/>
              <w:bidi w:val="0"/>
              <w:snapToGrid w:val="0"/>
              <w:spacing w:line="34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highlight w:val="none"/>
                <w:lang w:eastAsia="zh-CN"/>
              </w:rPr>
              <w:t>分)</w:t>
            </w:r>
          </w:p>
          <w:p w14:paraId="53E79AC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F9FE61E">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p>
          <w:p w14:paraId="0C77D6D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922" w:type="dxa"/>
            <w:noWrap w:val="0"/>
            <w:vAlign w:val="center"/>
          </w:tcPr>
          <w:p w14:paraId="19CBB189">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1F26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593B024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3FE928A4">
            <w:pPr>
              <w:keepNext w:val="0"/>
              <w:keepLines w:val="0"/>
              <w:pageBreakBefore w:val="0"/>
              <w:kinsoku/>
              <w:wordWrap/>
              <w:overflowPunct/>
              <w:topLinePunct w:val="0"/>
              <w:bidi w:val="0"/>
              <w:snapToGrid w:val="0"/>
              <w:spacing w:line="32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r>
              <w:rPr>
                <w:rFonts w:hint="eastAsia" w:ascii="宋体" w:hAnsi="宋体" w:cs="宋体"/>
                <w:b w:val="0"/>
                <w:bCs w:val="0"/>
                <w:color w:val="auto"/>
                <w:sz w:val="21"/>
                <w:szCs w:val="21"/>
                <w:highlight w:val="none"/>
                <w:lang w:val="en-US" w:eastAsia="zh-CN"/>
              </w:rPr>
              <w:t>方案</w:t>
            </w:r>
          </w:p>
          <w:p w14:paraId="630EC0F5">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31FCC1E4">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cs="宋体"/>
                <w:color w:val="auto"/>
                <w:highlight w:val="none"/>
                <w:lang w:val="en-US" w:eastAsia="zh-CN"/>
              </w:rPr>
              <w:t>提供的</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方案（包含但不限于</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b w:val="0"/>
                <w:bCs w:val="0"/>
                <w:color w:val="auto"/>
                <w:sz w:val="21"/>
                <w:szCs w:val="21"/>
                <w:highlight w:val="none"/>
                <w:lang w:val="en-US" w:eastAsia="zh-CN"/>
              </w:rPr>
              <w:t>）</w:t>
            </w:r>
            <w:r>
              <w:rPr>
                <w:rFonts w:hint="eastAsia" w:ascii="宋体" w:hAnsi="宋体" w:cs="宋体"/>
                <w:color w:val="auto"/>
                <w:highlight w:val="none"/>
                <w:lang w:val="en-US" w:eastAsia="zh-CN"/>
              </w:rPr>
              <w:t>进行评审</w:t>
            </w:r>
            <w:r>
              <w:rPr>
                <w:rFonts w:hint="eastAsia" w:ascii="宋体" w:hAnsi="宋体" w:eastAsia="宋体" w:cs="宋体"/>
                <w:color w:val="auto"/>
                <w:highlight w:val="none"/>
              </w:rPr>
              <w:t>；</w:t>
            </w:r>
          </w:p>
          <w:p w14:paraId="181E196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5E214A65">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6B815A2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2E283897">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7A24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09657C6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468C8D6B">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3.项目人员配备方案</w:t>
            </w:r>
          </w:p>
          <w:p w14:paraId="2F5198F1">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color w:val="auto"/>
                <w:highlight w:val="none"/>
                <w:lang w:val="en-US" w:eastAsia="zh-CN"/>
              </w:rPr>
              <w:t>（8分）</w:t>
            </w:r>
          </w:p>
        </w:tc>
        <w:tc>
          <w:tcPr>
            <w:tcW w:w="6922" w:type="dxa"/>
            <w:noWrap w:val="0"/>
            <w:vAlign w:val="center"/>
          </w:tcPr>
          <w:p w14:paraId="7BAC8E6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根据供应商针对本项目提供的项目人员配备方案进行评审：</w:t>
            </w:r>
          </w:p>
          <w:p w14:paraId="50B6E8F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1）人员配备安排合理、专业技术能力强、设备维护经验丰富且持证上岗，能完全满足采购需求的得8分；</w:t>
            </w:r>
          </w:p>
          <w:p w14:paraId="33EBB46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2）人员配备基本满足采购需求的得4分；</w:t>
            </w:r>
          </w:p>
          <w:p w14:paraId="3ED56FF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3）人员配备不能满足采购需求的得1分；</w:t>
            </w:r>
          </w:p>
          <w:p w14:paraId="12331E4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0EE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337C7A6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6AB8EB6F">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4.培训方案</w:t>
            </w:r>
          </w:p>
          <w:p w14:paraId="0ADB076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p>
        </w:tc>
        <w:tc>
          <w:tcPr>
            <w:tcW w:w="6922" w:type="dxa"/>
            <w:noWrap w:val="0"/>
            <w:vAlign w:val="center"/>
          </w:tcPr>
          <w:p w14:paraId="42C666F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6003755">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培训方案具有针对性、完全满足需求的得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分；培训方案基本满足采购需求的得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分，培训方案一般的得1分。缺项得0分。</w:t>
            </w:r>
          </w:p>
        </w:tc>
      </w:tr>
      <w:tr w14:paraId="011D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1C29AE8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09C0AD4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.其他优惠承诺</w:t>
            </w:r>
          </w:p>
          <w:p w14:paraId="1FB00F1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48DD885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w:t>
            </w:r>
            <w:r>
              <w:rPr>
                <w:rFonts w:hint="eastAsia" w:ascii="宋体" w:hAnsi="宋体" w:cs="宋体"/>
                <w:color w:val="auto"/>
                <w:highlight w:val="none"/>
                <w:lang w:val="en-US" w:eastAsia="zh-CN"/>
              </w:rPr>
              <w:t>评审</w:t>
            </w:r>
            <w:r>
              <w:rPr>
                <w:rFonts w:hint="eastAsia" w:ascii="宋体" w:hAnsi="宋体" w:eastAsia="宋体" w:cs="宋体"/>
                <w:color w:val="auto"/>
                <w:highlight w:val="none"/>
                <w:lang w:val="en-US" w:eastAsia="zh-CN"/>
              </w:rPr>
              <w:t>：每提供一项对采购人有利的、切实可行的实质性优惠承诺得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未提供不得分。</w:t>
            </w:r>
            <w:r>
              <w:rPr>
                <w:rFonts w:hint="eastAsia" w:ascii="宋体" w:hAnsi="宋体" w:eastAsia="宋体" w:cs="宋体"/>
                <w:color w:val="auto"/>
                <w:sz w:val="24"/>
                <w:szCs w:val="24"/>
                <w:highlight w:val="none"/>
                <w:lang w:val="en-US" w:eastAsia="zh-CN"/>
              </w:rPr>
              <w:t xml:space="preserve"> </w:t>
            </w:r>
          </w:p>
        </w:tc>
      </w:tr>
      <w:tr w14:paraId="7600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5F6097C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0B3E1CC2">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4533154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68F56F2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11620"/>
      <w:bookmarkStart w:id="73" w:name="_Toc20877"/>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12222"/>
      <w:bookmarkStart w:id="76"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1330"/>
      <w:bookmarkStart w:id="78" w:name="_Toc995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2004"/>
      <w:bookmarkStart w:id="80"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p w14:paraId="05DE44B9">
      <w:pPr>
        <w:jc w:val="right"/>
        <w:rPr>
          <w:rFonts w:hint="eastAsia" w:ascii="宋体" w:hAnsi="宋体" w:cs="宋体"/>
          <w:color w:val="auto"/>
          <w:kern w:val="0"/>
          <w:sz w:val="24"/>
          <w:highlight w:val="none"/>
          <w:lang w:val="en-US" w:eastAsia="zh-CN"/>
        </w:rPr>
      </w:pPr>
    </w:p>
    <w:tbl>
      <w:tblPr>
        <w:tblStyle w:val="33"/>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0420"/>
      <w:bookmarkStart w:id="84" w:name="_Toc24168"/>
      <w:bookmarkStart w:id="85" w:name="_Toc2996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28621"/>
      <w:bookmarkStart w:id="87" w:name="_Toc31526"/>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12939"/>
      <w:bookmarkStart w:id="91" w:name="_Toc3051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3342"/>
      <w:bookmarkStart w:id="94" w:name="_Toc18105"/>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2888"/>
      <w:bookmarkStart w:id="98" w:name="_Toc13726"/>
      <w:r>
        <w:rPr>
          <w:rFonts w:hint="eastAsia" w:ascii="宋体" w:hAnsi="宋体" w:eastAsia="宋体" w:cs="宋体"/>
          <w:color w:val="auto"/>
          <w:sz w:val="28"/>
          <w:szCs w:val="28"/>
          <w:highlight w:val="none"/>
          <w:lang w:val="en-US" w:eastAsia="zh-CN"/>
        </w:rPr>
        <w:br w:type="page"/>
      </w: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3394"/>
      <w:bookmarkStart w:id="100" w:name="_Toc25094"/>
      <w:bookmarkStart w:id="101" w:name="_Toc31685"/>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驻马店市中心医院艾德康全自动免疫分析仪全保竞争性磋商文件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2F50CF0"/>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C102FB"/>
    <w:rsid w:val="20C26198"/>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905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0530E"/>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0FC7F1F"/>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3"/>
    <w:autoRedefine/>
    <w:qFormat/>
    <w:uiPriority w:val="0"/>
  </w:style>
  <w:style w:type="character" w:customStyle="1" w:styleId="77">
    <w:name w:val="apple-converted-space"/>
    <w:basedOn w:val="35"/>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16549</Words>
  <Characters>17283</Characters>
  <Lines>50</Lines>
  <Paragraphs>68</Paragraphs>
  <TotalTime>11</TotalTime>
  <ScaleCrop>false</ScaleCrop>
  <LinksUpToDate>false</LinksUpToDate>
  <CharactersWithSpaces>18247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2025-09-02T06:32:26Z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0D43FD0605F34F1F872FB6530D506077_13</vt:lpwstr>
  </property>
  <property fmtid="{D5CDD505-2E9C-101B-9397-08002B2CF9AE}" pid="4" name="KSOTemplateDocerSaveRecord">
    <vt:lpwstr>eyJoZGlkIjoiYzIwMjRmYTY4OTJhZjc1NTA1MGQwNDc0NzZhNTkwMmUiLCJ1c2VySWQiOiIxNjg0NTc5MjM2In0=</vt:lpwstr>
  </property>
</Properties>
</file>