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F9C66">
      <w:pPr>
        <w:pStyle w:val="20"/>
        <w:bidi w:val="0"/>
        <w:jc w:val="center"/>
        <w:rPr>
          <w:rFonts w:hint="eastAsia" w:cs="宋体"/>
          <w:b/>
          <w:bCs/>
          <w:color w:val="auto"/>
          <w:sz w:val="44"/>
          <w:szCs w:val="44"/>
          <w:highlight w:val="none"/>
          <w:lang w:val="en-US" w:eastAsia="zh-CN"/>
        </w:rPr>
      </w:pPr>
      <w:bookmarkStart w:id="0" w:name="_Toc22804073"/>
      <w:bookmarkEnd w:id="0"/>
      <w:bookmarkStart w:id="1" w:name="_Toc22953395"/>
      <w:bookmarkEnd w:id="1"/>
      <w:r>
        <w:rPr>
          <w:rFonts w:hint="eastAsia" w:cs="宋体"/>
          <w:b/>
          <w:bCs/>
          <w:color w:val="auto"/>
          <w:sz w:val="44"/>
          <w:szCs w:val="44"/>
          <w:highlight w:val="none"/>
          <w:lang w:val="en-US" w:eastAsia="zh-CN"/>
        </w:rPr>
        <w:t>驻马店市中心医院一氧化氮治疗仪、自动听性脑干听力筛查仪采购项目（二次）</w:t>
      </w:r>
    </w:p>
    <w:p w14:paraId="514A342E">
      <w:pPr>
        <w:pStyle w:val="20"/>
        <w:bidi w:val="0"/>
        <w:jc w:val="center"/>
        <w:rPr>
          <w:rStyle w:val="45"/>
          <w:rFonts w:hint="eastAsia" w:cs="宋体"/>
          <w:b/>
          <w:bCs/>
          <w:color w:val="auto"/>
          <w:sz w:val="44"/>
          <w:szCs w:val="44"/>
          <w:highlight w:val="none"/>
          <w:lang w:val="en-US" w:eastAsia="zh-CN"/>
        </w:rPr>
      </w:pP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大成工程咨询有限公司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      期：2025年</w:t>
      </w:r>
      <w:r>
        <w:rPr>
          <w:rFonts w:hint="eastAsia" w:ascii="宋体" w:hAnsi="宋体" w:cs="宋体"/>
          <w:b/>
          <w:bCs/>
          <w:color w:val="auto"/>
          <w:spacing w:val="-10"/>
          <w:sz w:val="34"/>
          <w:szCs w:val="34"/>
          <w:highlight w:val="none"/>
          <w:lang w:val="en-US" w:eastAsia="zh-CN"/>
        </w:rPr>
        <w:t>09</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2491560F">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_Toc11740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_Toc11740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404BEC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_Toc1514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08FA3570">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_Toc10779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_Toc10779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00393548">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_Toc18091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_Toc18091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042B0AB">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_Toc25145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_Toc25145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EBDA1C0">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_Toc3675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_Toc3675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1221C41">
      <w:pPr>
        <w:pStyle w:val="26"/>
        <w:tabs>
          <w:tab w:val="right" w:leader="dot" w:pos="8958"/>
        </w:tabs>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11740"/>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驻马店市中心医院一氧化氮治疗仪、自动听性脑干听力筛查仪采购项目（二次）</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一氧化氮治疗仪、自动听性脑干听力筛查仪采购项目</w:t>
      </w:r>
      <w:r>
        <w:rPr>
          <w:rFonts w:hint="eastAsia" w:ascii="宋体" w:hAnsi="宋体" w:cs="宋体"/>
          <w:color w:val="auto"/>
          <w:highlight w:val="none"/>
          <w:u w:val="single"/>
          <w:lang w:val="en-US" w:eastAsia="zh-CN"/>
        </w:rPr>
        <w:t>（二次）</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驻马店市中心医院一氧化氮治疗仪、自动听性脑干听力筛查仪采购项目（二次）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3FE325D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39.5万元</w:t>
      </w:r>
      <w:r>
        <w:rPr>
          <w:rFonts w:hint="eastAsia" w:ascii="宋体" w:hAnsi="宋体" w:cs="宋体"/>
          <w:color w:val="auto"/>
          <w:szCs w:val="21"/>
          <w:highlight w:val="none"/>
          <w:shd w:val="clear" w:color="auto" w:fill="FFFFFF"/>
          <w:lang w:val="en-US" w:eastAsia="zh-CN"/>
        </w:rPr>
        <w:t>；最高限价：39.5万元。其中：</w:t>
      </w:r>
    </w:p>
    <w:tbl>
      <w:tblPr>
        <w:tblStyle w:val="35"/>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625"/>
        <w:gridCol w:w="1415"/>
        <w:gridCol w:w="1935"/>
        <w:gridCol w:w="1973"/>
      </w:tblGrid>
      <w:tr w14:paraId="2671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65" w:type="dxa"/>
            <w:vAlign w:val="center"/>
          </w:tcPr>
          <w:p w14:paraId="09490581">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包号</w:t>
            </w:r>
          </w:p>
        </w:tc>
        <w:tc>
          <w:tcPr>
            <w:tcW w:w="2625" w:type="dxa"/>
            <w:vAlign w:val="center"/>
          </w:tcPr>
          <w:p w14:paraId="4015A74B">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包名称</w:t>
            </w:r>
          </w:p>
        </w:tc>
        <w:tc>
          <w:tcPr>
            <w:tcW w:w="1415" w:type="dxa"/>
            <w:vAlign w:val="center"/>
          </w:tcPr>
          <w:p w14:paraId="0B7D6A8B">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数量及单位</w:t>
            </w:r>
          </w:p>
        </w:tc>
        <w:tc>
          <w:tcPr>
            <w:tcW w:w="1935" w:type="dxa"/>
            <w:vAlign w:val="center"/>
          </w:tcPr>
          <w:p w14:paraId="49EA0FA7">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包预算金额（万元）</w:t>
            </w:r>
          </w:p>
        </w:tc>
        <w:tc>
          <w:tcPr>
            <w:tcW w:w="1973" w:type="dxa"/>
            <w:vAlign w:val="center"/>
          </w:tcPr>
          <w:p w14:paraId="1F70654D">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包最高限价（万元）</w:t>
            </w:r>
          </w:p>
        </w:tc>
      </w:tr>
      <w:tr w14:paraId="2BCC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65" w:type="dxa"/>
            <w:vAlign w:val="center"/>
          </w:tcPr>
          <w:p w14:paraId="496EA588">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包1</w:t>
            </w:r>
          </w:p>
        </w:tc>
        <w:tc>
          <w:tcPr>
            <w:tcW w:w="2625" w:type="dxa"/>
            <w:vAlign w:val="center"/>
          </w:tcPr>
          <w:p w14:paraId="7772C382">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一氧化氮治疗仪</w:t>
            </w:r>
          </w:p>
        </w:tc>
        <w:tc>
          <w:tcPr>
            <w:tcW w:w="1415" w:type="dxa"/>
            <w:vAlign w:val="center"/>
          </w:tcPr>
          <w:p w14:paraId="612DD8FB">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cs="宋体"/>
                <w:color w:val="auto"/>
                <w:szCs w:val="21"/>
                <w:highlight w:val="none"/>
                <w:shd w:val="clear" w:color="auto" w:fill="FFFFFF"/>
                <w:vertAlign w:val="baseline"/>
                <w:lang w:val="en-US" w:eastAsia="zh-CN"/>
              </w:rPr>
              <w:t>1</w:t>
            </w:r>
            <w:r>
              <w:rPr>
                <w:rFonts w:hint="eastAsia" w:ascii="宋体" w:hAnsi="宋体" w:eastAsia="宋体" w:cs="宋体"/>
                <w:color w:val="auto"/>
                <w:szCs w:val="21"/>
                <w:highlight w:val="none"/>
                <w:shd w:val="clear" w:color="auto" w:fill="FFFFFF"/>
                <w:vertAlign w:val="baseline"/>
                <w:lang w:val="en-US" w:eastAsia="zh-CN"/>
              </w:rPr>
              <w:t>台</w:t>
            </w:r>
          </w:p>
        </w:tc>
        <w:tc>
          <w:tcPr>
            <w:tcW w:w="1935" w:type="dxa"/>
            <w:vAlign w:val="center"/>
          </w:tcPr>
          <w:p w14:paraId="32D1B754">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cs="宋体"/>
                <w:color w:val="auto"/>
                <w:szCs w:val="21"/>
                <w:highlight w:val="none"/>
                <w:shd w:val="clear" w:color="auto" w:fill="FFFFFF"/>
                <w:vertAlign w:val="baseline"/>
                <w:lang w:val="en-US" w:eastAsia="zh-CN"/>
              </w:rPr>
              <w:t>20</w:t>
            </w:r>
            <w:r>
              <w:rPr>
                <w:rFonts w:hint="eastAsia" w:ascii="宋体" w:hAnsi="宋体" w:eastAsia="宋体" w:cs="宋体"/>
                <w:color w:val="auto"/>
                <w:szCs w:val="21"/>
                <w:highlight w:val="none"/>
                <w:shd w:val="clear" w:color="auto" w:fill="FFFFFF"/>
                <w:vertAlign w:val="baseline"/>
                <w:lang w:val="en-US" w:eastAsia="zh-CN"/>
              </w:rPr>
              <w:t>万元</w:t>
            </w:r>
          </w:p>
        </w:tc>
        <w:tc>
          <w:tcPr>
            <w:tcW w:w="1973" w:type="dxa"/>
            <w:vAlign w:val="center"/>
          </w:tcPr>
          <w:p w14:paraId="1E24B9CC">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cs="宋体"/>
                <w:color w:val="auto"/>
                <w:szCs w:val="21"/>
                <w:highlight w:val="none"/>
                <w:shd w:val="clear" w:color="auto" w:fill="FFFFFF"/>
                <w:vertAlign w:val="baseline"/>
                <w:lang w:val="en-US" w:eastAsia="zh-CN"/>
              </w:rPr>
              <w:t>20</w:t>
            </w:r>
            <w:r>
              <w:rPr>
                <w:rFonts w:hint="eastAsia" w:ascii="宋体" w:hAnsi="宋体" w:eastAsia="宋体" w:cs="宋体"/>
                <w:color w:val="auto"/>
                <w:szCs w:val="21"/>
                <w:highlight w:val="none"/>
                <w:shd w:val="clear" w:color="auto" w:fill="FFFFFF"/>
                <w:vertAlign w:val="baseline"/>
                <w:lang w:val="en-US" w:eastAsia="zh-CN"/>
              </w:rPr>
              <w:t>万元</w:t>
            </w:r>
          </w:p>
        </w:tc>
      </w:tr>
      <w:tr w14:paraId="7D1D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vAlign w:val="center"/>
          </w:tcPr>
          <w:p w14:paraId="617E8AE6">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包2</w:t>
            </w:r>
          </w:p>
        </w:tc>
        <w:tc>
          <w:tcPr>
            <w:tcW w:w="2625" w:type="dxa"/>
            <w:vAlign w:val="center"/>
          </w:tcPr>
          <w:p w14:paraId="5728E439">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自动听性脑干听力筛查仪</w:t>
            </w:r>
          </w:p>
        </w:tc>
        <w:tc>
          <w:tcPr>
            <w:tcW w:w="1415" w:type="dxa"/>
            <w:vAlign w:val="center"/>
          </w:tcPr>
          <w:p w14:paraId="3D9F1B44">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cs="宋体"/>
                <w:color w:val="auto"/>
                <w:szCs w:val="21"/>
                <w:highlight w:val="none"/>
                <w:shd w:val="clear" w:color="auto" w:fill="FFFFFF"/>
                <w:vertAlign w:val="baseline"/>
                <w:lang w:val="en-US" w:eastAsia="zh-CN"/>
              </w:rPr>
              <w:t>1</w:t>
            </w:r>
            <w:r>
              <w:rPr>
                <w:rFonts w:hint="eastAsia" w:ascii="宋体" w:hAnsi="宋体" w:eastAsia="宋体" w:cs="宋体"/>
                <w:color w:val="auto"/>
                <w:szCs w:val="21"/>
                <w:highlight w:val="none"/>
                <w:shd w:val="clear" w:color="auto" w:fill="FFFFFF"/>
                <w:vertAlign w:val="baseline"/>
                <w:lang w:val="en-US" w:eastAsia="zh-CN"/>
              </w:rPr>
              <w:t>台</w:t>
            </w:r>
          </w:p>
        </w:tc>
        <w:tc>
          <w:tcPr>
            <w:tcW w:w="1935" w:type="dxa"/>
            <w:vAlign w:val="center"/>
          </w:tcPr>
          <w:p w14:paraId="351B9719">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cs="宋体"/>
                <w:color w:val="auto"/>
                <w:szCs w:val="21"/>
                <w:highlight w:val="none"/>
                <w:shd w:val="clear" w:color="auto" w:fill="FFFFFF"/>
                <w:vertAlign w:val="baseline"/>
                <w:lang w:val="en-US" w:eastAsia="zh-CN"/>
              </w:rPr>
              <w:t>19.5</w:t>
            </w:r>
            <w:r>
              <w:rPr>
                <w:rFonts w:hint="eastAsia" w:ascii="宋体" w:hAnsi="宋体" w:eastAsia="宋体" w:cs="宋体"/>
                <w:color w:val="auto"/>
                <w:szCs w:val="21"/>
                <w:highlight w:val="none"/>
                <w:shd w:val="clear" w:color="auto" w:fill="FFFFFF"/>
                <w:vertAlign w:val="baseline"/>
                <w:lang w:val="en-US" w:eastAsia="zh-CN"/>
              </w:rPr>
              <w:t>万元</w:t>
            </w:r>
          </w:p>
        </w:tc>
        <w:tc>
          <w:tcPr>
            <w:tcW w:w="1973" w:type="dxa"/>
            <w:vAlign w:val="center"/>
          </w:tcPr>
          <w:p w14:paraId="26B03499">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cs="宋体"/>
                <w:color w:val="auto"/>
                <w:szCs w:val="21"/>
                <w:highlight w:val="none"/>
                <w:shd w:val="clear" w:color="auto" w:fill="FFFFFF"/>
                <w:vertAlign w:val="baseline"/>
                <w:lang w:val="en-US" w:eastAsia="zh-CN"/>
              </w:rPr>
              <w:t>19.5</w:t>
            </w:r>
            <w:r>
              <w:rPr>
                <w:rFonts w:hint="eastAsia" w:ascii="宋体" w:hAnsi="宋体" w:eastAsia="宋体" w:cs="宋体"/>
                <w:color w:val="auto"/>
                <w:szCs w:val="21"/>
                <w:highlight w:val="none"/>
                <w:shd w:val="clear" w:color="auto" w:fill="FFFFFF"/>
                <w:vertAlign w:val="baseline"/>
                <w:lang w:val="en-US" w:eastAsia="zh-CN"/>
              </w:rPr>
              <w:t>万元</w:t>
            </w:r>
          </w:p>
        </w:tc>
      </w:tr>
    </w:tbl>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：合同签订后30日内交货，最终以合同约定内容为准</w:t>
      </w:r>
      <w:r>
        <w:rPr>
          <w:rFonts w:hint="eastAsia" w:ascii="宋体" w:hAnsi="宋体" w:eastAsia="宋体" w:cs="宋体"/>
          <w:i w:val="0"/>
          <w:iCs w:val="0"/>
          <w:caps w:val="0"/>
          <w:color w:val="4C4B4B"/>
          <w:spacing w:val="0"/>
          <w:sz w:val="21"/>
          <w:szCs w:val="21"/>
          <w:shd w:val="clear" w:fill="FFFFFF"/>
        </w:rPr>
        <w:t>；</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3626"/>
      <w:bookmarkStart w:id="5" w:name="_Toc18607"/>
      <w:bookmarkStart w:id="6" w:name="_Toc16639"/>
      <w:bookmarkStart w:id="7" w:name="_Toc27704"/>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7823"/>
      <w:bookmarkStart w:id="9" w:name="_Toc9562"/>
      <w:bookmarkStart w:id="10" w:name="_Toc30971"/>
      <w:bookmarkStart w:id="11" w:name="_Toc23395"/>
      <w:bookmarkStart w:id="12" w:name="_Toc3064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1F1758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523822F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30</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547E72C6">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w:t>
      </w:r>
      <w:bookmarkStart w:id="115" w:name="_GoBack"/>
      <w:bookmarkEnd w:id="115"/>
      <w:r>
        <w:rPr>
          <w:rFonts w:hint="eastAsia" w:ascii="宋体" w:hAnsi="宋体" w:eastAsia="宋体" w:cs="宋体"/>
          <w:color w:val="auto"/>
          <w:kern w:val="0"/>
          <w:sz w:val="21"/>
          <w:szCs w:val="21"/>
          <w:highlight w:val="none"/>
          <w:shd w:val="clear" w:color="auto" w:fill="FFFFFF"/>
          <w:lang w:val="en-US" w:eastAsia="zh-CN" w:bidi="ar-SA"/>
        </w:rPr>
        <w:t>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5135"/>
      <w:bookmarkStart w:id="15" w:name="_Toc15111"/>
      <w:bookmarkStart w:id="16" w:name="_Toc25869"/>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20287"/>
      <w:bookmarkStart w:id="20" w:name="_Toc6523"/>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16291"/>
      <w:bookmarkStart w:id="25" w:name="_Toc31928"/>
      <w:bookmarkStart w:id="26" w:name="_Toc3604"/>
      <w:bookmarkStart w:id="27" w:name="_Toc27370"/>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5469340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2F4837D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7546E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20A058F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联系人：庞先生、张先生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联系方式：18272909999、15518321111</w:t>
      </w:r>
    </w:p>
    <w:p w14:paraId="002800B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08CAA69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51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6295320D">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驻马店市中心医院一氧化氮治疗仪、自动听性脑干听力筛查仪采购项目</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360"/>
        <w:gridCol w:w="1020"/>
        <w:gridCol w:w="1035"/>
        <w:gridCol w:w="1305"/>
        <w:gridCol w:w="1320"/>
        <w:gridCol w:w="1274"/>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1"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2360" w:type="dxa"/>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102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1035"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05" w:type="dxa"/>
            <w:vAlign w:val="center"/>
          </w:tcPr>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资金预算</w:t>
            </w:r>
          </w:p>
        </w:tc>
        <w:tc>
          <w:tcPr>
            <w:tcW w:w="1320" w:type="dxa"/>
            <w:vAlign w:val="center"/>
          </w:tcPr>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资金性质</w:t>
            </w:r>
          </w:p>
        </w:tc>
        <w:tc>
          <w:tcPr>
            <w:tcW w:w="1274" w:type="dxa"/>
            <w:vAlign w:val="center"/>
          </w:tcPr>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1"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sz w:val="21"/>
                <w:szCs w:val="21"/>
                <w:vertAlign w:val="baseline"/>
                <w:lang w:val="en-US" w:eastAsia="zh-CN"/>
              </w:rPr>
              <w:t>包</w:t>
            </w:r>
            <w:r>
              <w:rPr>
                <w:rFonts w:hint="eastAsia" w:ascii="宋体" w:hAnsi="宋体" w:eastAsia="宋体" w:cs="宋体"/>
                <w:sz w:val="21"/>
                <w:szCs w:val="21"/>
                <w:vertAlign w:val="baseline"/>
                <w:lang w:val="en-US" w:eastAsia="zh-CN"/>
              </w:rPr>
              <w:t>1</w:t>
            </w:r>
          </w:p>
        </w:tc>
        <w:tc>
          <w:tcPr>
            <w:tcW w:w="2360"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一氧化氮治疗仪</w:t>
            </w:r>
          </w:p>
        </w:tc>
        <w:tc>
          <w:tcPr>
            <w:tcW w:w="102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台</w:t>
            </w:r>
          </w:p>
        </w:tc>
        <w:tc>
          <w:tcPr>
            <w:tcW w:w="1035"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130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20万元</w:t>
            </w:r>
          </w:p>
        </w:tc>
        <w:tc>
          <w:tcPr>
            <w:tcW w:w="132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财政+自筹</w:t>
            </w:r>
          </w:p>
        </w:tc>
        <w:tc>
          <w:tcPr>
            <w:tcW w:w="1274"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国产</w:t>
            </w:r>
          </w:p>
        </w:tc>
      </w:tr>
      <w:tr w14:paraId="3560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D0B36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sz w:val="21"/>
                <w:szCs w:val="21"/>
                <w:vertAlign w:val="baseline"/>
                <w:lang w:val="en-US" w:eastAsia="zh-CN"/>
              </w:rPr>
              <w:t>包</w:t>
            </w:r>
            <w:r>
              <w:rPr>
                <w:rFonts w:hint="eastAsia" w:ascii="宋体" w:hAnsi="宋体" w:eastAsia="宋体" w:cs="宋体"/>
                <w:sz w:val="21"/>
                <w:szCs w:val="21"/>
                <w:vertAlign w:val="baseline"/>
                <w:lang w:val="en-US" w:eastAsia="zh-CN"/>
              </w:rPr>
              <w:t>2</w:t>
            </w:r>
          </w:p>
        </w:tc>
        <w:tc>
          <w:tcPr>
            <w:tcW w:w="2360" w:type="dxa"/>
            <w:shd w:val="clear" w:color="auto" w:fill="auto"/>
            <w:vAlign w:val="center"/>
          </w:tcPr>
          <w:p w14:paraId="2C55107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自动听性脑干听力筛查仪</w:t>
            </w:r>
          </w:p>
        </w:tc>
        <w:tc>
          <w:tcPr>
            <w:tcW w:w="1020" w:type="dxa"/>
            <w:shd w:val="clear" w:color="auto" w:fill="auto"/>
            <w:vAlign w:val="center"/>
          </w:tcPr>
          <w:p w14:paraId="61E208F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台</w:t>
            </w:r>
          </w:p>
        </w:tc>
        <w:tc>
          <w:tcPr>
            <w:tcW w:w="1035" w:type="dxa"/>
            <w:shd w:val="clear" w:color="auto" w:fill="auto"/>
            <w:vAlign w:val="center"/>
          </w:tcPr>
          <w:p w14:paraId="20D0B13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1305" w:type="dxa"/>
            <w:shd w:val="clear" w:color="auto" w:fill="auto"/>
            <w:vAlign w:val="center"/>
          </w:tcPr>
          <w:p w14:paraId="37C7C5F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19.5万元</w:t>
            </w:r>
          </w:p>
        </w:tc>
        <w:tc>
          <w:tcPr>
            <w:tcW w:w="1320" w:type="dxa"/>
            <w:shd w:val="clear" w:color="auto" w:fill="auto"/>
            <w:vAlign w:val="center"/>
          </w:tcPr>
          <w:p w14:paraId="0E5576E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财政+自筹</w:t>
            </w:r>
          </w:p>
        </w:tc>
        <w:tc>
          <w:tcPr>
            <w:tcW w:w="1274" w:type="dxa"/>
            <w:shd w:val="clear" w:color="auto" w:fill="auto"/>
            <w:vAlign w:val="center"/>
          </w:tcPr>
          <w:p w14:paraId="57604AB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sz w:val="21"/>
                <w:szCs w:val="21"/>
                <w:vertAlign w:val="baseline"/>
                <w:lang w:val="en-US" w:eastAsia="zh-CN"/>
              </w:rPr>
              <w:t>合计</w:t>
            </w:r>
          </w:p>
        </w:tc>
        <w:tc>
          <w:tcPr>
            <w:tcW w:w="8314"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39.5万元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8314" w:type="dxa"/>
            <w:gridSpan w:val="6"/>
            <w:vAlign w:val="center"/>
          </w:tcPr>
          <w:p w14:paraId="29343BA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w:t>
      </w:r>
      <w:r>
        <w:rPr>
          <w:rFonts w:hint="eastAsia" w:ascii="宋体" w:hAnsi="宋体" w:cs="宋体"/>
          <w:b/>
          <w:bCs/>
          <w:color w:val="auto"/>
          <w:kern w:val="2"/>
          <w:sz w:val="21"/>
          <w:szCs w:val="24"/>
          <w:highlight w:val="none"/>
          <w:lang w:val="en-US" w:eastAsia="zh-CN" w:bidi="ar-SA"/>
        </w:rPr>
        <w:t>参数</w:t>
      </w:r>
      <w:r>
        <w:rPr>
          <w:rFonts w:hint="eastAsia" w:ascii="宋体" w:hAnsi="宋体" w:eastAsia="宋体" w:cs="宋体"/>
          <w:b/>
          <w:bCs/>
          <w:color w:val="auto"/>
          <w:kern w:val="2"/>
          <w:sz w:val="21"/>
          <w:szCs w:val="24"/>
          <w:highlight w:val="none"/>
          <w:lang w:val="en-US" w:eastAsia="zh-CN" w:bidi="ar-SA"/>
        </w:rPr>
        <w:t>要求</w:t>
      </w:r>
    </w:p>
    <w:p w14:paraId="0F1C390F">
      <w:pPr>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包1：一氧化氮治疗仪</w:t>
      </w:r>
    </w:p>
    <w:p w14:paraId="13AB5AC6">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整机重量（含电池、NO/NO2浓度传感器、过滤器）</w:t>
      </w:r>
      <w:r>
        <w:rPr>
          <w:rFonts w:hint="default" w:ascii="宋体" w:hAnsi="宋体" w:cs="宋体"/>
          <w:color w:val="auto"/>
          <w:szCs w:val="21"/>
          <w:lang w:val="en-US" w:eastAsia="zh-CN"/>
        </w:rPr>
        <w:t>≤</w:t>
      </w:r>
      <w:r>
        <w:rPr>
          <w:rFonts w:hint="eastAsia" w:ascii="宋体" w:hAnsi="宋体" w:cs="宋体"/>
          <w:color w:val="auto"/>
          <w:szCs w:val="21"/>
          <w:lang w:val="en-US" w:eastAsia="zh-CN"/>
        </w:rPr>
        <w:t>7.5kg；</w:t>
      </w:r>
    </w:p>
    <w:p w14:paraId="63E64BDB">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屏幕显示：≥12.1英寸彩色</w:t>
      </w:r>
      <w:r>
        <w:rPr>
          <w:rFonts w:hint="eastAsia" w:ascii="宋体" w:hAnsi="宋体" w:cs="宋体"/>
          <w:color w:val="auto"/>
          <w:szCs w:val="21"/>
          <w:lang w:eastAsia="zh-CN"/>
        </w:rPr>
        <w:t>触摸显示屏</w:t>
      </w:r>
      <w:r>
        <w:rPr>
          <w:rFonts w:hint="eastAsia" w:ascii="宋体" w:hAnsi="宋体" w:cs="宋体"/>
          <w:color w:val="auto"/>
          <w:szCs w:val="21"/>
          <w:lang w:val="en-US" w:eastAsia="zh-CN"/>
        </w:rPr>
        <w:t>，分辨率：≥1024 X 768像素；</w:t>
      </w:r>
    </w:p>
    <w:p w14:paraId="5BF05DE6">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屏幕操作：全可触摸操作界面和旋钮两种方式；</w:t>
      </w:r>
    </w:p>
    <w:p w14:paraId="419C6F53">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显示界面：NO/NO2实时监测浓度、NO监测浓度波形、治疗浓度设置，有创呼吸机、无创呼吸机连接方式，已治疗时间等；</w:t>
      </w:r>
    </w:p>
    <w:p w14:paraId="0C05742C">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jc w:val="left"/>
        <w:textAlignment w:val="auto"/>
        <w:rPr>
          <w:rFonts w:hint="eastAsia" w:ascii="宋体" w:hAnsi="宋体" w:cs="宋体"/>
          <w:color w:val="auto"/>
          <w:szCs w:val="21"/>
          <w:lang w:val="en-US" w:eastAsia="zh-CN"/>
        </w:rPr>
      </w:pPr>
      <w:r>
        <w:rPr>
          <w:sz w:val="24"/>
        </w:rPr>
        <w:t>★</w:t>
      </w:r>
      <w:r>
        <w:rPr>
          <w:rFonts w:hint="eastAsia" w:ascii="宋体" w:hAnsi="宋体" w:cs="宋体"/>
          <w:color w:val="auto"/>
          <w:szCs w:val="21"/>
          <w:lang w:val="en-US" w:eastAsia="zh-CN"/>
        </w:rPr>
        <w:t>内置电池，在标准工作状态下，电池续航时间≥120分钟，使用寿命≥3年；</w:t>
      </w:r>
    </w:p>
    <w:p w14:paraId="74ABD431">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配备传感器：</w:t>
      </w:r>
      <w:r>
        <w:rPr>
          <w:rFonts w:hint="eastAsia" w:ascii="宋体" w:hAnsi="宋体" w:eastAsia="宋体" w:cs="宋体"/>
          <w:color w:val="auto"/>
          <w:szCs w:val="21"/>
          <w:lang w:val="en-US" w:eastAsia="zh-CN"/>
        </w:rPr>
        <w:t>同步</w:t>
      </w:r>
      <w:r>
        <w:rPr>
          <w:rFonts w:hint="eastAsia" w:ascii="宋体" w:hAnsi="宋体" w:eastAsia="宋体" w:cs="宋体"/>
          <w:color w:val="auto"/>
          <w:szCs w:val="21"/>
        </w:rPr>
        <w:t>流量传感器、</w:t>
      </w:r>
      <w:r>
        <w:rPr>
          <w:rFonts w:hint="eastAsia" w:ascii="宋体" w:hAnsi="宋体" w:eastAsia="宋体" w:cs="宋体"/>
          <w:color w:val="auto"/>
          <w:szCs w:val="21"/>
          <w:lang w:val="en-US" w:eastAsia="zh-CN"/>
        </w:rPr>
        <w:t>电化学</w:t>
      </w:r>
      <w:r>
        <w:rPr>
          <w:rFonts w:hint="eastAsia" w:ascii="宋体" w:hAnsi="宋体" w:cs="宋体"/>
          <w:color w:val="auto"/>
          <w:szCs w:val="21"/>
          <w:lang w:val="en-US" w:eastAsia="zh-CN"/>
        </w:rPr>
        <w:t>NO/NO2</w:t>
      </w:r>
      <w:r>
        <w:rPr>
          <w:rFonts w:hint="eastAsia" w:ascii="宋体" w:hAnsi="宋体" w:eastAsia="宋体" w:cs="宋体"/>
          <w:color w:val="auto"/>
          <w:szCs w:val="21"/>
        </w:rPr>
        <w:t>浓度传感器</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氧浓度传感器</w:t>
      </w:r>
      <w:r>
        <w:rPr>
          <w:rFonts w:hint="eastAsia" w:ascii="宋体" w:hAnsi="宋体" w:cs="宋体"/>
          <w:color w:val="auto"/>
          <w:szCs w:val="21"/>
          <w:lang w:val="en-US" w:eastAsia="zh-CN"/>
        </w:rPr>
        <w:t>；</w:t>
      </w:r>
    </w:p>
    <w:p w14:paraId="5922F9E2">
      <w:pPr>
        <w:keepNext w:val="0"/>
        <w:keepLines w:val="0"/>
        <w:pageBreakBefore w:val="0"/>
        <w:widowControl w:val="0"/>
        <w:numPr>
          <w:ilvl w:val="0"/>
          <w:numId w:val="2"/>
        </w:numPr>
        <w:tabs>
          <w:tab w:val="left" w:pos="283"/>
        </w:tabs>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主机接口：</w:t>
      </w:r>
      <w:r>
        <w:rPr>
          <w:rFonts w:hint="eastAsia" w:ascii="宋体" w:hAnsi="宋体" w:cs="宋体"/>
          <w:color w:val="auto"/>
          <w:szCs w:val="21"/>
          <w:lang w:val="en-US" w:eastAsia="zh-CN"/>
        </w:rPr>
        <w:t>≥</w:t>
      </w:r>
      <w:r>
        <w:rPr>
          <w:rFonts w:hint="eastAsia" w:ascii="宋体" w:hAnsi="宋体" w:eastAsia="宋体" w:cs="宋体"/>
          <w:color w:val="auto"/>
          <w:szCs w:val="21"/>
        </w:rPr>
        <w:t>1个RJ45接口、1个USB接口</w:t>
      </w:r>
      <w:r>
        <w:rPr>
          <w:rFonts w:hint="eastAsia" w:ascii="宋体" w:hAnsi="宋体" w:cs="宋体"/>
          <w:color w:val="auto"/>
          <w:szCs w:val="21"/>
          <w:lang w:val="en-US" w:eastAsia="zh-CN"/>
        </w:rPr>
        <w:t>；</w:t>
      </w:r>
    </w:p>
    <w:p w14:paraId="4940F2A4">
      <w:pPr>
        <w:keepNext w:val="0"/>
        <w:keepLines w:val="0"/>
        <w:pageBreakBefore w:val="0"/>
        <w:widowControl w:val="0"/>
        <w:numPr>
          <w:ilvl w:val="0"/>
          <w:numId w:val="2"/>
        </w:numPr>
        <w:kinsoku/>
        <w:wordWrap/>
        <w:overflowPunct/>
        <w:topLinePunct w:val="0"/>
        <w:autoSpaceDE/>
        <w:autoSpaceDN/>
        <w:bidi w:val="0"/>
        <w:adjustRightInd/>
        <w:snapToGrid/>
        <w:ind w:leftChars="0" w:firstLine="480" w:firstLineChars="200"/>
        <w:jc w:val="left"/>
        <w:textAlignment w:val="auto"/>
        <w:rPr>
          <w:rFonts w:hint="eastAsia" w:ascii="宋体" w:hAnsi="宋体" w:cs="宋体"/>
          <w:color w:val="auto"/>
          <w:szCs w:val="21"/>
          <w:lang w:val="en-US" w:eastAsia="zh-CN"/>
        </w:rPr>
      </w:pPr>
      <w:r>
        <w:rPr>
          <w:sz w:val="24"/>
        </w:rPr>
        <w:t>★</w:t>
      </w:r>
      <w:r>
        <w:rPr>
          <w:rFonts w:hint="eastAsia" w:ascii="宋体" w:hAnsi="宋体" w:cs="宋体"/>
          <w:color w:val="auto"/>
          <w:szCs w:val="21"/>
          <w:lang w:val="en-US" w:eastAsia="zh-CN"/>
        </w:rPr>
        <w:t>治疗用一氧化氮(NO）气体来源：实时通过电离环境空气产生NO，一氧化氮发生装置无需定期检查；</w:t>
      </w:r>
    </w:p>
    <w:p w14:paraId="1320F776">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内置气体过滤器过滤除NO外的废气、杂质颗粒，保证NO的纯度与病人安全。气体过滤器使用时长≥1000小时；</w:t>
      </w:r>
    </w:p>
    <w:p w14:paraId="5524F18B">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具有有创呼吸机、无创呼吸机呼吸回路连接示意图在主界面实时显示，无需另外点开，避免连接错误；</w:t>
      </w:r>
    </w:p>
    <w:p w14:paraId="6720F3F4">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具有NO浓度波形、一氧化氮流量--时间曲线、呼吸机流量--时间曲线等显示；</w:t>
      </w:r>
    </w:p>
    <w:p w14:paraId="316FC8BC">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数据传输：可通过USB接口导出与导入数据；</w:t>
      </w:r>
    </w:p>
    <w:p w14:paraId="0DC434B8">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无创模式：不使用同步流量传感器下，治疗仪仍可连接呼吸回路持续送气治疗病人，且保证监测NO/NO2准确性；</w:t>
      </w:r>
    </w:p>
    <w:p w14:paraId="3729713C">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两种呼吸回路连接方式：具备重复用一体式混合器≥2套，一次性分体式混合器≥2套；</w:t>
      </w:r>
    </w:p>
    <w:p w14:paraId="5CBF1CA1">
      <w:pPr>
        <w:keepNext w:val="0"/>
        <w:keepLines w:val="0"/>
        <w:pageBreakBefore w:val="0"/>
        <w:widowControl w:val="0"/>
        <w:numPr>
          <w:ilvl w:val="0"/>
          <w:numId w:val="2"/>
        </w:numPr>
        <w:kinsoku/>
        <w:wordWrap/>
        <w:overflowPunct/>
        <w:topLinePunct w:val="0"/>
        <w:autoSpaceDE/>
        <w:autoSpaceDN/>
        <w:bidi w:val="0"/>
        <w:adjustRightInd/>
        <w:snapToGrid/>
        <w:ind w:leftChars="0" w:firstLine="480" w:firstLineChars="200"/>
        <w:jc w:val="left"/>
        <w:textAlignment w:val="auto"/>
        <w:rPr>
          <w:rFonts w:hint="eastAsia" w:ascii="宋体" w:hAnsi="宋体" w:cs="宋体"/>
          <w:color w:val="auto"/>
          <w:szCs w:val="21"/>
          <w:lang w:val="en-US" w:eastAsia="zh-CN"/>
        </w:rPr>
      </w:pPr>
      <w:r>
        <w:rPr>
          <w:sz w:val="24"/>
        </w:rPr>
        <w:t>★</w:t>
      </w:r>
      <w:r>
        <w:rPr>
          <w:rFonts w:hint="eastAsia" w:ascii="宋体" w:hAnsi="宋体" w:cs="宋体"/>
          <w:color w:val="auto"/>
          <w:szCs w:val="21"/>
          <w:lang w:val="en-US" w:eastAsia="zh-CN"/>
        </w:rPr>
        <w:t>自动排水系统：积水杯内置自动排水系统定时排水，无需人工拆除积水杯倾倒冷凝水，积水杯可重复消毒使用；</w:t>
      </w:r>
    </w:p>
    <w:p w14:paraId="432295DA">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同步流量传感器，可消毒重复使用，适用于成人、儿童、新生儿；</w:t>
      </w:r>
    </w:p>
    <w:p w14:paraId="14FBEC19">
      <w:pPr>
        <w:keepNext w:val="0"/>
        <w:keepLines w:val="0"/>
        <w:pageBreakBefore w:val="0"/>
        <w:widowControl w:val="0"/>
        <w:numPr>
          <w:ilvl w:val="0"/>
          <w:numId w:val="2"/>
        </w:numPr>
        <w:kinsoku/>
        <w:wordWrap/>
        <w:overflowPunct/>
        <w:topLinePunct w:val="0"/>
        <w:autoSpaceDE/>
        <w:autoSpaceDN/>
        <w:bidi w:val="0"/>
        <w:adjustRightInd/>
        <w:snapToGrid/>
        <w:ind w:leftChars="0" w:firstLine="480" w:firstLineChars="200"/>
        <w:jc w:val="left"/>
        <w:textAlignment w:val="auto"/>
        <w:rPr>
          <w:rFonts w:hint="eastAsia" w:ascii="宋体" w:hAnsi="宋体" w:cs="宋体"/>
          <w:color w:val="auto"/>
          <w:szCs w:val="21"/>
          <w:lang w:val="en-US" w:eastAsia="zh-CN"/>
        </w:rPr>
      </w:pPr>
      <w:r>
        <w:rPr>
          <w:sz w:val="24"/>
        </w:rPr>
        <w:t>★</w:t>
      </w:r>
      <w:r>
        <w:rPr>
          <w:rFonts w:hint="eastAsia" w:ascii="宋体" w:hAnsi="宋体" w:cs="宋体"/>
          <w:color w:val="auto"/>
          <w:szCs w:val="21"/>
          <w:lang w:val="en-US" w:eastAsia="zh-CN"/>
        </w:rPr>
        <w:t>NO/NO2传感器和过滤器使用寿命在主界面同屏显示；</w:t>
      </w:r>
    </w:p>
    <w:p w14:paraId="7A6B8A55">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治疗过程中支持锁屏、亮度调节、静音；</w:t>
      </w:r>
    </w:p>
    <w:p w14:paraId="01658A76">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一氧化氮气体浓度输出范围：0ppm～80ppm，步长1ppm；</w:t>
      </w:r>
    </w:p>
    <w:p w14:paraId="1CFAF564">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一氧化氮控制精度：</w:t>
      </w:r>
    </w:p>
    <w:p w14:paraId="3D07EE3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当 1ppm≤一氧化氮设置值≤4ppm，±0.8ppm； </w:t>
      </w:r>
    </w:p>
    <w:p w14:paraId="235F60C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当 5ppm≤一氧化氮设置值≤80ppm，±2ppm；</w:t>
      </w:r>
    </w:p>
    <w:p w14:paraId="04F098B0">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一氧化氮监测范围：0ppm～100ppm，分辨率0.1ppm。监测精度：小于等于20ppm时，精度为± (0.5ppm+读数20%)；大于20ppm时，精度为±(0.5ppm+读数10%)；</w:t>
      </w:r>
    </w:p>
    <w:p w14:paraId="0BD0DD93">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二氧化氮监测范围：0ppm～50ppm，分辨率0.1ppm，精度：±0.5ppm 或二氧化氮实际读数的±4%；</w:t>
      </w:r>
    </w:p>
    <w:p w14:paraId="5D9BEABF">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一氧化氮报警：上限设定范围：64ppm～96ppm，下限设定范围：0ppm～64ppm；</w:t>
      </w:r>
    </w:p>
    <w:p w14:paraId="1BED9AE9">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二氧化氮报警上限设定范围：2ppm；</w:t>
      </w:r>
    </w:p>
    <w:p w14:paraId="1DCDD459">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报警方式：灯光报警、声音报警、报警信息、参数闪烁等；</w:t>
      </w:r>
    </w:p>
    <w:p w14:paraId="7C1C07A9">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★主机使用年限≥8年；</w:t>
      </w:r>
    </w:p>
    <w:p w14:paraId="47D1E769">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可与任意品牌呼吸机联用</w:t>
      </w:r>
    </w:p>
    <w:p w14:paraId="176CDBDF">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配置清单（包含但不限于）：一氧化氮治疗仪主机1台、台车1台、混合器</w:t>
      </w:r>
      <w:r>
        <w:rPr>
          <w:rFonts w:hint="default" w:ascii="宋体" w:hAnsi="宋体" w:cs="宋体"/>
          <w:color w:val="auto"/>
          <w:szCs w:val="21"/>
          <w:lang w:val="en-US" w:eastAsia="zh-CN"/>
        </w:rPr>
        <w:t>≥</w:t>
      </w:r>
      <w:r>
        <w:rPr>
          <w:rFonts w:hint="eastAsia" w:ascii="宋体" w:hAnsi="宋体" w:cs="宋体"/>
          <w:color w:val="auto"/>
          <w:szCs w:val="21"/>
          <w:lang w:val="en-US" w:eastAsia="zh-CN"/>
        </w:rPr>
        <w:t>4套、流量传感器</w:t>
      </w:r>
      <w:r>
        <w:rPr>
          <w:rFonts w:hint="default" w:ascii="宋体" w:hAnsi="宋体" w:cs="宋体"/>
          <w:color w:val="auto"/>
          <w:szCs w:val="21"/>
          <w:lang w:val="en-US" w:eastAsia="zh-CN"/>
        </w:rPr>
        <w:t>≥</w:t>
      </w:r>
      <w:r>
        <w:rPr>
          <w:rFonts w:hint="eastAsia" w:ascii="宋体" w:hAnsi="宋体" w:cs="宋体"/>
          <w:color w:val="auto"/>
          <w:szCs w:val="21"/>
          <w:lang w:val="en-US" w:eastAsia="zh-CN"/>
        </w:rPr>
        <w:t>1套、电源线1根</w:t>
      </w:r>
    </w:p>
    <w:p w14:paraId="39CED6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2"/>
          <w:sz w:val="24"/>
          <w:szCs w:val="24"/>
          <w:highlight w:val="none"/>
          <w:lang w:val="en-US" w:eastAsia="zh-CN" w:bidi="ar-SA"/>
        </w:rPr>
        <w:sectPr>
          <w:footerReference r:id="rId5" w:type="default"/>
          <w:pgSz w:w="11906" w:h="16838"/>
          <w:pgMar w:top="1417" w:right="1474" w:bottom="1417" w:left="1474" w:header="851" w:footer="624" w:gutter="0"/>
          <w:pgNumType w:fmt="decimal"/>
          <w:cols w:space="720" w:num="1"/>
          <w:docGrid w:type="lines" w:linePitch="319" w:charSpace="0"/>
        </w:sectPr>
      </w:pPr>
    </w:p>
    <w:p w14:paraId="1649E0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包2：自动听性脑干听力筛查仪</w:t>
      </w:r>
    </w:p>
    <w:p w14:paraId="50E5B2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asciiTheme="majorEastAsia" w:hAnsiTheme="majorEastAsia" w:eastAsiaTheme="majorEastAsia" w:cstheme="majorEastAsia"/>
          <w:sz w:val="21"/>
          <w:szCs w:val="21"/>
        </w:rPr>
      </w:pPr>
      <w:r>
        <w:rPr>
          <w:rFonts w:hint="eastAsia" w:ascii="宋体" w:hAnsi="宋体" w:eastAsia="宋体" w:cs="宋体"/>
          <w:sz w:val="24"/>
          <w:lang w:val="en-US" w:eastAsia="zh-CN"/>
        </w:rPr>
        <w:t>1、</w:t>
      </w:r>
      <w:r>
        <w:rPr>
          <w:rFonts w:hint="eastAsia" w:asciiTheme="majorEastAsia" w:hAnsiTheme="majorEastAsia" w:eastAsiaTheme="majorEastAsia" w:cstheme="majorEastAsia"/>
          <w:sz w:val="21"/>
          <w:szCs w:val="21"/>
        </w:rPr>
        <w:t>★测试方法：</w:t>
      </w:r>
      <w:r>
        <w:rPr>
          <w:rFonts w:hint="eastAsia" w:asciiTheme="majorEastAsia" w:hAnsiTheme="majorEastAsia" w:eastAsiaTheme="majorEastAsia" w:cstheme="majorEastAsia"/>
          <w:sz w:val="21"/>
          <w:szCs w:val="21"/>
          <w:lang w:val="en-US" w:eastAsia="zh-CN"/>
        </w:rPr>
        <w:t>主</w:t>
      </w:r>
      <w:r>
        <w:rPr>
          <w:rFonts w:hint="eastAsia" w:asciiTheme="majorEastAsia" w:hAnsiTheme="majorEastAsia" w:eastAsiaTheme="majorEastAsia" w:cstheme="majorEastAsia"/>
          <w:sz w:val="21"/>
          <w:szCs w:val="21"/>
        </w:rPr>
        <w:t>机</w:t>
      </w:r>
      <w:r>
        <w:rPr>
          <w:rFonts w:hint="eastAsia" w:asciiTheme="majorEastAsia" w:hAnsiTheme="majorEastAsia" w:eastAsiaTheme="majorEastAsia" w:cstheme="majorEastAsia"/>
          <w:sz w:val="21"/>
          <w:szCs w:val="21"/>
          <w:lang w:val="en-US" w:eastAsia="zh-CN"/>
        </w:rPr>
        <w:t>可移动测试，单人即可完成</w:t>
      </w:r>
    </w:p>
    <w:p w14:paraId="0F173E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2、测试技术：自动</w:t>
      </w:r>
      <w:r>
        <w:rPr>
          <w:rFonts w:hint="eastAsia" w:asciiTheme="majorEastAsia" w:hAnsiTheme="majorEastAsia" w:eastAsiaTheme="majorEastAsia" w:cstheme="majorEastAsia"/>
          <w:sz w:val="21"/>
          <w:szCs w:val="21"/>
        </w:rPr>
        <w:t>听性脑干反应（AABR）</w:t>
      </w:r>
    </w:p>
    <w:p w14:paraId="2C6D7A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3、评估水平</w:t>
      </w:r>
      <w:r>
        <w:rPr>
          <w:rFonts w:hint="eastAsia" w:asciiTheme="majorEastAsia" w:hAnsiTheme="majorEastAsia" w:eastAsiaTheme="majorEastAsia" w:cstheme="majorEastAsia"/>
          <w:sz w:val="21"/>
          <w:szCs w:val="21"/>
        </w:rPr>
        <w:t>：噪音加权平均及模板匹配</w:t>
      </w:r>
    </w:p>
    <w:p w14:paraId="6E1943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刺激类型：30、35、40或45 dB nHL的Chirp序列</w:t>
      </w:r>
    </w:p>
    <w:p w14:paraId="70E134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刺激速率：接近80Hz</w:t>
      </w:r>
    </w:p>
    <w:p w14:paraId="1C89CA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★双耳同时测试</w:t>
      </w:r>
      <w:r>
        <w:rPr>
          <w:rFonts w:hint="eastAsia" w:asciiTheme="majorEastAsia" w:hAnsiTheme="majorEastAsia" w:eastAsiaTheme="majorEastAsia" w:cstheme="majorEastAsia"/>
          <w:sz w:val="21"/>
          <w:szCs w:val="21"/>
          <w:lang w:val="en-US" w:eastAsia="zh-CN"/>
        </w:rPr>
        <w:t>同时出结果</w:t>
      </w:r>
    </w:p>
    <w:p w14:paraId="33D4E7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电阻灵敏信号：1kHz直角波</w:t>
      </w:r>
    </w:p>
    <w:p w14:paraId="1C05FF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rPr>
        <w:t>电阻测试范围：1-99 kΩ</w:t>
      </w:r>
    </w:p>
    <w:p w14:paraId="04CE33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测试允许电阻范围：&lt;12 kΩ</w:t>
      </w:r>
    </w:p>
    <w:p w14:paraId="56BBA6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电阻控制：定期在测试前和测试中不断控制</w:t>
      </w:r>
    </w:p>
    <w:p w14:paraId="784838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显示</w:t>
      </w:r>
      <w:r>
        <w:rPr>
          <w:rFonts w:hint="eastAsia" w:asciiTheme="majorEastAsia" w:hAnsiTheme="majorEastAsia" w:eastAsiaTheme="majorEastAsia" w:cstheme="majorEastAsia"/>
          <w:sz w:val="21"/>
          <w:szCs w:val="21"/>
          <w:lang w:val="en-US" w:eastAsia="zh-CN"/>
        </w:rPr>
        <w:t>内容包含</w:t>
      </w:r>
      <w:r>
        <w:rPr>
          <w:rFonts w:hint="eastAsia" w:asciiTheme="majorEastAsia" w:hAnsiTheme="majorEastAsia" w:eastAsiaTheme="majorEastAsia" w:cstheme="majorEastAsia"/>
          <w:sz w:val="21"/>
          <w:szCs w:val="21"/>
        </w:rPr>
        <w:t>：统计图表、测试进程、EEG-水平、AABR探测概率</w:t>
      </w:r>
    </w:p>
    <w:p w14:paraId="752B1B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12、</w:t>
      </w:r>
      <w:r>
        <w:rPr>
          <w:rFonts w:hint="eastAsia" w:asciiTheme="majorEastAsia" w:hAnsiTheme="majorEastAsia" w:eastAsiaTheme="majorEastAsia" w:cstheme="majorEastAsia"/>
          <w:sz w:val="21"/>
          <w:szCs w:val="21"/>
        </w:rPr>
        <w:t>操作语言：全中文测试界面，中文输入</w:t>
      </w:r>
    </w:p>
    <w:p w14:paraId="27A9B3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13、</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显示屏</w:t>
      </w:r>
      <w:r>
        <w:rPr>
          <w:rFonts w:hint="eastAsia" w:asciiTheme="majorEastAsia" w:hAnsiTheme="majorEastAsia" w:eastAsiaTheme="majorEastAsia" w:cstheme="majorEastAsia"/>
          <w:sz w:val="21"/>
          <w:szCs w:val="21"/>
        </w:rPr>
        <w:t>类型：彩色，触摸屏，带有可调节LED背光灯</w:t>
      </w:r>
    </w:p>
    <w:p w14:paraId="7BF713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14、</w:t>
      </w:r>
      <w:r>
        <w:rPr>
          <w:rFonts w:hint="eastAsia" w:asciiTheme="majorEastAsia" w:hAnsiTheme="majorEastAsia" w:eastAsiaTheme="majorEastAsia" w:cstheme="majorEastAsia"/>
          <w:sz w:val="21"/>
          <w:szCs w:val="21"/>
        </w:rPr>
        <w:t>分辨率：≥240</w:t>
      </w:r>
      <w:bookmarkStart w:id="35" w:name="OLE_LINK5"/>
      <w:bookmarkStart w:id="36" w:name="OLE_LINK6"/>
      <w:r>
        <w:rPr>
          <w:rFonts w:hint="eastAsia" w:asciiTheme="majorEastAsia" w:hAnsiTheme="majorEastAsia" w:eastAsiaTheme="majorEastAsia" w:cstheme="majorEastAsia"/>
          <w:sz w:val="21"/>
          <w:szCs w:val="21"/>
        </w:rPr>
        <w:t>×</w:t>
      </w:r>
      <w:bookmarkEnd w:id="35"/>
      <w:bookmarkEnd w:id="36"/>
      <w:r>
        <w:rPr>
          <w:rFonts w:hint="eastAsia" w:asciiTheme="majorEastAsia" w:hAnsiTheme="majorEastAsia" w:eastAsiaTheme="majorEastAsia" w:cstheme="majorEastAsia"/>
          <w:sz w:val="21"/>
          <w:szCs w:val="21"/>
        </w:rPr>
        <w:t>320像素</w:t>
      </w:r>
    </w:p>
    <w:p w14:paraId="350747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15、</w:t>
      </w:r>
      <w:r>
        <w:rPr>
          <w:rFonts w:hint="eastAsia" w:asciiTheme="majorEastAsia" w:hAnsiTheme="majorEastAsia" w:eastAsiaTheme="majorEastAsia" w:cstheme="majorEastAsia"/>
          <w:sz w:val="21"/>
          <w:szCs w:val="21"/>
        </w:rPr>
        <w:t>按键：电阻式触屏按键（可使用手套）每个触屏点最少100万次重复使用</w:t>
      </w:r>
    </w:p>
    <w:p w14:paraId="5F4E47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16、</w:t>
      </w:r>
      <w:r>
        <w:rPr>
          <w:rFonts w:hint="eastAsia" w:asciiTheme="majorEastAsia" w:hAnsiTheme="majorEastAsia" w:eastAsiaTheme="majorEastAsia" w:cstheme="majorEastAsia"/>
          <w:sz w:val="21"/>
          <w:szCs w:val="21"/>
        </w:rPr>
        <w:t>电脑操作：USB线连接/蓝牙连接</w:t>
      </w:r>
    </w:p>
    <w:p w14:paraId="2036BE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17、</w:t>
      </w:r>
      <w:r>
        <w:rPr>
          <w:rFonts w:hint="eastAsia" w:asciiTheme="majorEastAsia" w:hAnsiTheme="majorEastAsia" w:eastAsiaTheme="majorEastAsia" w:cstheme="majorEastAsia"/>
          <w:sz w:val="21"/>
          <w:szCs w:val="21"/>
        </w:rPr>
        <w:t>信号质量控制：集成，红黄绿色指示灯（红色信号低，黄色信号一般，绿色信号好）</w:t>
      </w:r>
    </w:p>
    <w:p w14:paraId="7109C3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18、</w:t>
      </w:r>
      <w:r>
        <w:rPr>
          <w:rFonts w:hint="eastAsia" w:asciiTheme="majorEastAsia" w:hAnsiTheme="majorEastAsia" w:eastAsiaTheme="majorEastAsia" w:cstheme="majorEastAsia"/>
          <w:sz w:val="21"/>
          <w:szCs w:val="21"/>
        </w:rPr>
        <w:t>★内存：主机存储器可以储存</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sz w:val="21"/>
          <w:szCs w:val="21"/>
          <w:lang w:val="en-US" w:eastAsia="zh-CN"/>
        </w:rPr>
        <w:t>00</w:t>
      </w:r>
      <w:r>
        <w:rPr>
          <w:rFonts w:hint="eastAsia" w:asciiTheme="majorEastAsia" w:hAnsiTheme="majorEastAsia" w:eastAsiaTheme="majorEastAsia" w:cstheme="majorEastAsia"/>
          <w:sz w:val="21"/>
          <w:szCs w:val="21"/>
        </w:rPr>
        <w:t>个测试者资料或者</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00个测试结果</w:t>
      </w:r>
    </w:p>
    <w:p w14:paraId="36047B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19、</w:t>
      </w:r>
      <w:r>
        <w:rPr>
          <w:rFonts w:hint="eastAsia" w:asciiTheme="majorEastAsia" w:hAnsiTheme="majorEastAsia" w:eastAsiaTheme="majorEastAsia" w:cstheme="majorEastAsia"/>
          <w:sz w:val="21"/>
          <w:szCs w:val="21"/>
        </w:rPr>
        <w:t>数据接口：数据传输经由USB数据接口从扩展底座至电脑</w:t>
      </w:r>
      <w:r>
        <w:rPr>
          <w:rFonts w:hint="eastAsia" w:asciiTheme="majorEastAsia" w:hAnsiTheme="majorEastAsia" w:eastAsiaTheme="majorEastAsia" w:cstheme="majorEastAsia"/>
          <w:sz w:val="21"/>
          <w:szCs w:val="21"/>
          <w:lang w:val="en-US" w:eastAsia="zh-CN"/>
        </w:rPr>
        <w:t>工作站</w:t>
      </w:r>
    </w:p>
    <w:p w14:paraId="01917E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20、使用时间</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整机测试时间≥7</w:t>
      </w:r>
      <w:r>
        <w:rPr>
          <w:rFonts w:hint="eastAsia" w:asciiTheme="majorEastAsia" w:hAnsiTheme="majorEastAsia" w:eastAsiaTheme="majorEastAsia" w:cstheme="majorEastAsia"/>
          <w:sz w:val="21"/>
          <w:szCs w:val="21"/>
        </w:rPr>
        <w:t>小时</w:t>
      </w:r>
    </w:p>
    <w:p w14:paraId="2CBD25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21、每年对本设备在医院进行一次校准保养，如校准不通过，提供备用机。</w:t>
      </w:r>
    </w:p>
    <w:p w14:paraId="27452D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22、电极片无品牌限制</w:t>
      </w:r>
    </w:p>
    <w:p w14:paraId="038F65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highlight w:val="none"/>
          <w:lang w:val="en-US" w:eastAsia="zh-CN"/>
        </w:rPr>
        <w:t>23、</w:t>
      </w:r>
      <w:r>
        <w:rPr>
          <w:rFonts w:hint="eastAsia" w:asciiTheme="majorEastAsia" w:hAnsiTheme="majorEastAsia" w:eastAsiaTheme="majorEastAsia" w:cstheme="majorEastAsia"/>
          <w:sz w:val="21"/>
          <w:szCs w:val="21"/>
          <w:lang w:val="en-US" w:eastAsia="zh-CN"/>
        </w:rPr>
        <w:t>配置清单（包含但不限于）：主机1台、耳罩线1套、电极线1套、电极片(3组）、AABR测试器1套、耳罩1对、电池1块、中文说明书1、光盘1、手提包1</w:t>
      </w:r>
    </w:p>
    <w:p w14:paraId="479676C7">
      <w:pPr>
        <w:pStyle w:val="24"/>
        <w:numPr>
          <w:ilvl w:val="0"/>
          <w:numId w:val="0"/>
        </w:numPr>
        <w:rPr>
          <w:rFonts w:hint="eastAsia" w:cs="Times New Roman"/>
          <w:b/>
          <w:bCs/>
          <w:kern w:val="2"/>
          <w:sz w:val="21"/>
          <w:szCs w:val="21"/>
          <w:lang w:val="en-US" w:eastAsia="zh-CN" w:bidi="ar-SA"/>
        </w:rPr>
        <w:sectPr>
          <w:pgSz w:w="11906" w:h="16838"/>
          <w:pgMar w:top="1417" w:right="1474" w:bottom="1417" w:left="1474" w:header="851" w:footer="624" w:gutter="0"/>
          <w:pgNumType w:fmt="decimal"/>
          <w:cols w:space="720" w:num="1"/>
          <w:docGrid w:type="lines" w:linePitch="319" w:charSpace="0"/>
        </w:sectPr>
      </w:pPr>
    </w:p>
    <w:p w14:paraId="2ABD016A">
      <w:pPr>
        <w:pStyle w:val="24"/>
        <w:numPr>
          <w:ilvl w:val="0"/>
          <w:numId w:val="0"/>
        </w:numPr>
        <w:rPr>
          <w:rFonts w:hint="eastAsia"/>
          <w:b/>
          <w:bCs/>
          <w:sz w:val="21"/>
          <w:szCs w:val="21"/>
          <w:lang w:val="en-US" w:eastAsia="zh-CN"/>
        </w:rPr>
      </w:pPr>
      <w:r>
        <w:rPr>
          <w:rFonts w:hint="eastAsia" w:cs="Times New Roman"/>
          <w:b/>
          <w:bCs/>
          <w:kern w:val="2"/>
          <w:sz w:val="21"/>
          <w:szCs w:val="21"/>
          <w:lang w:val="en-US" w:eastAsia="zh-CN" w:bidi="ar-SA"/>
        </w:rPr>
        <w:t>四、</w:t>
      </w:r>
      <w:r>
        <w:rPr>
          <w:rFonts w:hint="eastAsia"/>
          <w:b/>
          <w:bCs/>
          <w:sz w:val="21"/>
          <w:szCs w:val="21"/>
          <w:lang w:val="en-US" w:eastAsia="zh-CN"/>
        </w:rPr>
        <w:t>其他要求</w:t>
      </w:r>
    </w:p>
    <w:p w14:paraId="3AE72EB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 xml:space="preserve">1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 </w:t>
      </w:r>
    </w:p>
    <w:p w14:paraId="36223A8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2供应商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655EC7C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sectPr>
          <w:pgSz w:w="11906" w:h="16838"/>
          <w:pgMar w:top="1417" w:right="1474" w:bottom="1417" w:left="1474" w:header="851" w:footer="624" w:gutter="0"/>
          <w:pgNumType w:fmt="decimal"/>
          <w:cols w:space="720" w:num="1"/>
          <w:docGrid w:type="lines" w:linePitch="319" w:charSpace="0"/>
        </w:sect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3商品包装和快递包装应符合《商品包装政府采购需求标准（试行）》和《快递包装政府采购需求标准（试行）》规定。</w:t>
      </w:r>
    </w:p>
    <w:p w14:paraId="106ADFC5">
      <w:pPr>
        <w:tabs>
          <w:tab w:val="left" w:pos="3617"/>
        </w:tabs>
        <w:bidi w:val="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商务要求</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包1、包2通用</w:t>
      </w:r>
      <w:r>
        <w:rPr>
          <w:rFonts w:hint="eastAsia" w:ascii="宋体" w:hAnsi="宋体" w:cs="宋体"/>
          <w:b/>
          <w:bCs/>
          <w:color w:val="auto"/>
          <w:sz w:val="21"/>
          <w:szCs w:val="21"/>
          <w:highlight w:val="none"/>
          <w:lang w:eastAsia="zh-CN"/>
        </w:rPr>
        <w:t>）</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合同签订后30日内交货，最终以合同约定内容为准。 </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从产品入库之日起，整机保修三年，出具相关服务承诺书。</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shd w:val="clear" w:fill="FFFFFF"/>
              </w:rPr>
              <w:t>符合国家质量标准、部颁标准、行业标准</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满足磋商文件</w:t>
            </w:r>
            <w:r>
              <w:rPr>
                <w:rFonts w:hint="eastAsia" w:ascii="宋体" w:hAnsi="宋体" w:eastAsia="宋体" w:cs="宋体"/>
                <w:i w:val="0"/>
                <w:iCs w:val="0"/>
                <w:caps w:val="0"/>
                <w:color w:val="auto"/>
                <w:spacing w:val="0"/>
                <w:sz w:val="21"/>
                <w:szCs w:val="21"/>
                <w:shd w:val="clear" w:fill="FFFFFF"/>
              </w:rPr>
              <w:t>规定标准。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r>
              <w:rPr>
                <w:rFonts w:hint="eastAsia" w:cs="宋体"/>
                <w:color w:val="auto"/>
                <w:sz w:val="21"/>
                <w:szCs w:val="21"/>
                <w:highlight w:val="none"/>
                <w:lang w:val="en-US" w:eastAsia="zh-CN"/>
              </w:rPr>
              <w:t>。</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43FE925">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1.质保期内应当为采购人提供以下技术支持和服务：</w:t>
            </w:r>
          </w:p>
          <w:p w14:paraId="4235DEB7">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a、现场响应：供应商应保证在12小时内对用户提出的问题或故障予以响应及处理。可提供备用设备或核心部件应急使用。</w:t>
            </w:r>
          </w:p>
          <w:p w14:paraId="2368BC3D">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b、成交供应商应当应每季度对该设备进行保养不少于一次,并出具保养报告，具体保养内容见合同。</w:t>
            </w:r>
          </w:p>
          <w:p w14:paraId="23E5979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c、质保期内该设备应保证大于95%（含）的开机率，如达不到要求，每少于一天质保期顺延7天，如造成严重损失需赔偿用户经济损失或换货或退货。</w:t>
            </w:r>
          </w:p>
          <w:p w14:paraId="29FB4595">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d、技术升级，如果制造商的产品技术升级，成交供应商应及时通知采购人，如采购人有相应要求，成交供应商和制造商应对采购人购买的产品进行免费升级服务。</w:t>
            </w:r>
          </w:p>
          <w:p w14:paraId="32C38246">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e、除火灾、洪水、地震等天灾外，在保修期内，由于货物故障所产生的所有费用均由供应商负责。</w:t>
            </w:r>
          </w:p>
          <w:p w14:paraId="1BCC13DD">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f、所有设备按照医院实际要求免费开放端口，免费为医院对接院内信息系统。质保期内免费进行软件升级。</w:t>
            </w:r>
          </w:p>
          <w:p w14:paraId="2E2B6D7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g、成交供应商交付设备时，应按照《国家食品药品监督管理总局》第18号令第17条的要求提供相应的维护手册、维修手册、软件备份、故障代码表、备件清单、零部件、维修密码等维护维修必需的材料和信息。</w:t>
            </w:r>
          </w:p>
          <w:p w14:paraId="6682DF5F">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2.培训：免费提供操作培训和维修培训。 </w:t>
            </w:r>
          </w:p>
        </w:tc>
      </w:tr>
      <w:tr w14:paraId="2296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3FD8C4">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85D110E">
            <w:pPr>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要求设备为最新出厂设备，出厂日期不得早于招标日期6个月。</w:t>
            </w:r>
          </w:p>
        </w:tc>
      </w:tr>
    </w:tbl>
    <w:p w14:paraId="321408C7">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8"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3"/>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spacing w:afterAutospacing="0"/>
        <w:jc w:val="center"/>
        <w:outlineLvl w:val="0"/>
        <w:rPr>
          <w:rFonts w:hint="eastAsia" w:ascii="宋体" w:hAnsi="宋体" w:eastAsia="宋体" w:cs="宋体"/>
          <w:b/>
          <w:bCs/>
          <w:color w:val="auto"/>
          <w:sz w:val="32"/>
          <w:szCs w:val="32"/>
          <w:highlight w:val="none"/>
        </w:rPr>
      </w:pPr>
      <w:bookmarkStart w:id="37" w:name="_Toc10779"/>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7"/>
    </w:p>
    <w:p w14:paraId="6CB10D3F">
      <w:pPr>
        <w:snapToGrid w:val="0"/>
        <w:spacing w:beforeAutospacing="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060B7E">
            <w:pPr>
              <w:widowControl/>
              <w:snapToGrid w:val="0"/>
              <w:spacing w:line="440" w:lineRule="exact"/>
              <w:jc w:val="left"/>
              <w:outlineLvl w:val="0"/>
              <w:rPr>
                <w:rFonts w:hint="eastAsia" w:ascii="宋体" w:hAnsi="宋体" w:cs="宋体"/>
                <w:color w:val="auto"/>
                <w:highlight w:val="none"/>
                <w:lang w:val="en-US" w:eastAsia="zh-CN"/>
              </w:rPr>
            </w:pPr>
            <w:bookmarkStart w:id="38" w:name="_Toc9566"/>
            <w:bookmarkStart w:id="39" w:name="_Toc30169"/>
            <w:bookmarkStart w:id="40" w:name="_Toc27817"/>
            <w:bookmarkStart w:id="41" w:name="_Toc21083"/>
            <w:bookmarkStart w:id="42" w:name="_Toc13674"/>
            <w:r>
              <w:rPr>
                <w:rFonts w:hint="eastAsia" w:ascii="宋体" w:hAnsi="宋体" w:eastAsia="宋体" w:cs="宋体"/>
                <w:color w:val="auto"/>
                <w:highlight w:val="none"/>
              </w:rPr>
              <w:t>1.1项目名称：</w:t>
            </w:r>
            <w:bookmarkEnd w:id="38"/>
            <w:bookmarkEnd w:id="39"/>
            <w:bookmarkEnd w:id="40"/>
            <w:bookmarkStart w:id="43" w:name="_Toc23424"/>
            <w:bookmarkStart w:id="44" w:name="_Toc29400"/>
            <w:bookmarkStart w:id="45" w:name="_Toc28320"/>
            <w:r>
              <w:rPr>
                <w:rFonts w:hint="eastAsia" w:ascii="宋体" w:hAnsi="宋体" w:cs="宋体"/>
                <w:color w:val="auto"/>
                <w:highlight w:val="none"/>
                <w:lang w:val="en-US" w:eastAsia="zh-CN"/>
              </w:rPr>
              <w:t>驻马店市中心医院一氧化氮治疗仪、自动听性脑干听力筛查仪采购项目</w:t>
            </w:r>
            <w:bookmarkEnd w:id="41"/>
            <w:bookmarkEnd w:id="42"/>
          </w:p>
          <w:p w14:paraId="710A5111">
            <w:pPr>
              <w:widowControl/>
              <w:snapToGrid w:val="0"/>
              <w:spacing w:line="440" w:lineRule="exact"/>
              <w:jc w:val="left"/>
              <w:outlineLvl w:val="0"/>
              <w:rPr>
                <w:rFonts w:hint="eastAsia" w:ascii="宋体" w:hAnsi="宋体" w:eastAsia="宋体" w:cs="宋体"/>
                <w:color w:val="auto"/>
                <w:highlight w:val="none"/>
              </w:rPr>
            </w:pPr>
            <w:bookmarkStart w:id="46" w:name="_Toc29963"/>
            <w:bookmarkStart w:id="47" w:name="_Toc13960"/>
            <w:r>
              <w:rPr>
                <w:rFonts w:hint="eastAsia" w:ascii="宋体" w:hAnsi="宋体" w:eastAsia="宋体" w:cs="宋体"/>
                <w:color w:val="auto"/>
                <w:highlight w:val="none"/>
              </w:rPr>
              <w:t>1.2采购人名称：</w:t>
            </w:r>
            <w:bookmarkEnd w:id="43"/>
            <w:bookmarkEnd w:id="44"/>
            <w:bookmarkEnd w:id="45"/>
            <w:r>
              <w:rPr>
                <w:rFonts w:hint="eastAsia" w:ascii="宋体" w:hAnsi="宋体" w:eastAsia="宋体" w:cs="宋体"/>
                <w:color w:val="auto"/>
                <w:highlight w:val="none"/>
              </w:rPr>
              <w:t>驻马店市中心医院</w:t>
            </w:r>
            <w:bookmarkEnd w:id="46"/>
            <w:bookmarkEnd w:id="47"/>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8" w:name="_Toc29780"/>
            <w:bookmarkStart w:id="49" w:name="_Toc26199"/>
            <w:bookmarkStart w:id="50" w:name="_Toc24541"/>
            <w:bookmarkStart w:id="51" w:name="_Toc30188"/>
            <w:bookmarkStart w:id="52"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8"/>
            <w:bookmarkEnd w:id="49"/>
            <w:bookmarkEnd w:id="50"/>
            <w:bookmarkEnd w:id="51"/>
            <w:bookmarkEnd w:id="52"/>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93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7CC9B6D">
            <w:pPr>
              <w:widowControl/>
              <w:snapToGrid w:val="0"/>
              <w:spacing w:line="440" w:lineRule="exact"/>
              <w:jc w:val="left"/>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预算金额：39.5万元；最高限价：39.5万元；其中：</w:t>
            </w:r>
          </w:p>
          <w:p w14:paraId="605A6F3A">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包1：预算金额：</w:t>
            </w:r>
            <w:r>
              <w:rPr>
                <w:rFonts w:hint="eastAsia" w:ascii="宋体" w:hAnsi="宋体" w:cs="宋体"/>
                <w:color w:val="auto"/>
                <w:szCs w:val="21"/>
                <w:highlight w:val="none"/>
                <w:shd w:val="clear" w:color="auto" w:fill="FFFFFF"/>
                <w:vertAlign w:val="baseline"/>
                <w:lang w:val="en-US" w:eastAsia="zh-CN"/>
              </w:rPr>
              <w:t>20</w:t>
            </w:r>
            <w:r>
              <w:rPr>
                <w:rFonts w:hint="eastAsia" w:ascii="宋体" w:hAnsi="宋体" w:eastAsia="宋体" w:cs="宋体"/>
                <w:color w:val="auto"/>
                <w:szCs w:val="21"/>
                <w:highlight w:val="none"/>
                <w:shd w:val="clear" w:color="auto" w:fill="FFFFFF"/>
                <w:vertAlign w:val="baseline"/>
                <w:lang w:val="en-US" w:eastAsia="zh-CN"/>
              </w:rPr>
              <w:t>万元</w:t>
            </w:r>
            <w:r>
              <w:rPr>
                <w:rFonts w:hint="eastAsia" w:ascii="宋体" w:hAnsi="宋体" w:cs="宋体"/>
                <w:color w:val="auto"/>
                <w:kern w:val="0"/>
                <w:szCs w:val="21"/>
                <w:highlight w:val="none"/>
                <w:lang w:val="en-US" w:eastAsia="zh-CN"/>
              </w:rPr>
              <w:t>；最高限价：</w:t>
            </w:r>
            <w:r>
              <w:rPr>
                <w:rFonts w:hint="eastAsia" w:ascii="宋体" w:hAnsi="宋体" w:cs="宋体"/>
                <w:color w:val="auto"/>
                <w:szCs w:val="21"/>
                <w:highlight w:val="none"/>
                <w:shd w:val="clear" w:color="auto" w:fill="FFFFFF"/>
                <w:vertAlign w:val="baseline"/>
                <w:lang w:val="en-US" w:eastAsia="zh-CN"/>
              </w:rPr>
              <w:t>20</w:t>
            </w:r>
            <w:r>
              <w:rPr>
                <w:rFonts w:hint="eastAsia" w:ascii="宋体" w:hAnsi="宋体" w:eastAsia="宋体" w:cs="宋体"/>
                <w:color w:val="auto"/>
                <w:szCs w:val="21"/>
                <w:highlight w:val="none"/>
                <w:shd w:val="clear" w:color="auto" w:fill="FFFFFF"/>
                <w:vertAlign w:val="baseline"/>
                <w:lang w:val="en-US" w:eastAsia="zh-CN"/>
              </w:rPr>
              <w:t>万元</w:t>
            </w:r>
            <w:r>
              <w:rPr>
                <w:rFonts w:hint="eastAsia" w:ascii="宋体" w:hAnsi="宋体" w:cs="宋体"/>
                <w:color w:val="auto"/>
                <w:kern w:val="0"/>
                <w:szCs w:val="21"/>
                <w:highlight w:val="none"/>
                <w:lang w:val="en-US" w:eastAsia="zh-CN"/>
              </w:rPr>
              <w:t>。</w:t>
            </w:r>
          </w:p>
          <w:p w14:paraId="1E3185A3">
            <w:pPr>
              <w:widowControl/>
              <w:snapToGrid w:val="0"/>
              <w:spacing w:line="440" w:lineRule="exact"/>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包2：预算金额：</w:t>
            </w:r>
            <w:r>
              <w:rPr>
                <w:rFonts w:hint="eastAsia" w:ascii="宋体" w:hAnsi="宋体" w:cs="宋体"/>
                <w:color w:val="auto"/>
                <w:szCs w:val="21"/>
                <w:highlight w:val="none"/>
                <w:shd w:val="clear" w:color="auto" w:fill="FFFFFF"/>
                <w:vertAlign w:val="baseline"/>
                <w:lang w:val="en-US" w:eastAsia="zh-CN"/>
              </w:rPr>
              <w:t>19.5</w:t>
            </w:r>
            <w:r>
              <w:rPr>
                <w:rFonts w:hint="eastAsia" w:ascii="宋体" w:hAnsi="宋体" w:eastAsia="宋体" w:cs="宋体"/>
                <w:color w:val="auto"/>
                <w:szCs w:val="21"/>
                <w:highlight w:val="none"/>
                <w:shd w:val="clear" w:color="auto" w:fill="FFFFFF"/>
                <w:vertAlign w:val="baseline"/>
                <w:lang w:val="en-US" w:eastAsia="zh-CN"/>
              </w:rPr>
              <w:t>万元</w:t>
            </w:r>
            <w:r>
              <w:rPr>
                <w:rFonts w:hint="eastAsia" w:ascii="宋体" w:hAnsi="宋体" w:cs="宋体"/>
                <w:color w:val="auto"/>
                <w:kern w:val="0"/>
                <w:szCs w:val="21"/>
                <w:highlight w:val="none"/>
                <w:lang w:val="en-US" w:eastAsia="zh-CN"/>
              </w:rPr>
              <w:t>；最高限价：</w:t>
            </w:r>
            <w:r>
              <w:rPr>
                <w:rFonts w:hint="eastAsia" w:ascii="宋体" w:hAnsi="宋体" w:cs="宋体"/>
                <w:color w:val="auto"/>
                <w:szCs w:val="21"/>
                <w:highlight w:val="none"/>
                <w:shd w:val="clear" w:color="auto" w:fill="FFFFFF"/>
                <w:vertAlign w:val="baseline"/>
                <w:lang w:val="en-US" w:eastAsia="zh-CN"/>
              </w:rPr>
              <w:t>19.5</w:t>
            </w:r>
            <w:r>
              <w:rPr>
                <w:rFonts w:hint="eastAsia" w:ascii="宋体" w:hAnsi="宋体" w:eastAsia="宋体" w:cs="宋体"/>
                <w:color w:val="auto"/>
                <w:szCs w:val="21"/>
                <w:highlight w:val="none"/>
                <w:shd w:val="clear" w:color="auto" w:fill="FFFFFF"/>
                <w:vertAlign w:val="baseline"/>
                <w:lang w:val="en-US" w:eastAsia="zh-CN"/>
              </w:rPr>
              <w:t>万元</w:t>
            </w:r>
            <w:r>
              <w:rPr>
                <w:rFonts w:hint="eastAsia" w:ascii="宋体" w:hAnsi="宋体" w:cs="宋体"/>
                <w:color w:val="auto"/>
                <w:kern w:val="0"/>
                <w:szCs w:val="21"/>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891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7"/>
              <w:gridCol w:w="1742"/>
              <w:gridCol w:w="1693"/>
              <w:gridCol w:w="1498"/>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977"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42"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93"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498"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77"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42"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93"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498"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cs="宋体"/>
                <w:color w:val="auto"/>
                <w:szCs w:val="21"/>
                <w:highlight w:val="none"/>
                <w:lang w:val="en-US" w:eastAsia="zh-CN"/>
              </w:rPr>
              <w:t>。</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102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r>
              <w:rPr>
                <w:rFonts w:hint="eastAsia" w:ascii="宋体" w:hAnsi="宋体" w:cs="宋体"/>
                <w:color w:val="auto"/>
                <w:kern w:val="0"/>
                <w:szCs w:val="21"/>
                <w:highlight w:val="none"/>
                <w:lang w:val="en-US" w:eastAsia="zh-CN"/>
              </w:rPr>
              <w:t>。</w:t>
            </w:r>
          </w:p>
        </w:tc>
      </w:tr>
      <w:tr w14:paraId="0A1264A6">
        <w:tblPrEx>
          <w:tblCellMar>
            <w:top w:w="0" w:type="dxa"/>
            <w:left w:w="0" w:type="dxa"/>
            <w:bottom w:w="0" w:type="dxa"/>
            <w:right w:w="0" w:type="dxa"/>
          </w:tblCellMar>
        </w:tblPrEx>
        <w:trPr>
          <w:trHeight w:val="50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46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0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5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w:t>
            </w:r>
            <w:r>
              <w:rPr>
                <w:rFonts w:hint="eastAsia" w:ascii="宋体" w:hAnsi="宋体" w:eastAsia="宋体" w:cs="宋体"/>
                <w:color w:val="auto"/>
                <w:kern w:val="0"/>
                <w:szCs w:val="21"/>
                <w:highlight w:val="none"/>
                <w:lang w:val="en-US" w:eastAsia="zh-CN"/>
              </w:rPr>
              <w:t>财政</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lang w:val="en-US" w:eastAsia="zh-CN"/>
              </w:rPr>
              <w:t>+自筹</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rPr>
              <w:t>。</w:t>
            </w:r>
          </w:p>
        </w:tc>
      </w:tr>
      <w:tr w14:paraId="193D7C4F">
        <w:tblPrEx>
          <w:tblCellMar>
            <w:top w:w="0" w:type="dxa"/>
            <w:left w:w="0" w:type="dxa"/>
            <w:bottom w:w="0" w:type="dxa"/>
            <w:right w:w="0" w:type="dxa"/>
          </w:tblCellMar>
        </w:tblPrEx>
        <w:trPr>
          <w:trHeight w:val="59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53" w:name="_Toc4700"/>
      <w:bookmarkStart w:id="54"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1BA00C60">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预算金额：39.5万元；最高限价：39.5万元；其中：</w:t>
      </w:r>
    </w:p>
    <w:p w14:paraId="05B1EF7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包</w:t>
      </w:r>
      <w:r>
        <w:rPr>
          <w:rFonts w:hint="eastAsia" w:ascii="宋体" w:hAnsi="宋体" w:cs="宋体"/>
          <w:b w:val="0"/>
          <w:bCs w:val="0"/>
          <w:color w:val="auto"/>
          <w:kern w:val="0"/>
          <w:szCs w:val="21"/>
          <w:highlight w:val="none"/>
          <w:lang w:val="en-US" w:eastAsia="zh-CN"/>
        </w:rPr>
        <w:t>1</w:t>
      </w:r>
      <w:r>
        <w:rPr>
          <w:rFonts w:hint="eastAsia" w:ascii="宋体" w:hAnsi="宋体" w:eastAsia="宋体" w:cs="宋体"/>
          <w:b w:val="0"/>
          <w:bCs w:val="0"/>
          <w:color w:val="auto"/>
          <w:kern w:val="0"/>
          <w:szCs w:val="21"/>
          <w:highlight w:val="none"/>
          <w:lang w:val="en-US" w:eastAsia="zh-CN"/>
        </w:rPr>
        <w:t>：预算金额：20万元；最高限价：20万元。</w:t>
      </w:r>
    </w:p>
    <w:p w14:paraId="43A3B61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包</w:t>
      </w:r>
      <w:r>
        <w:rPr>
          <w:rFonts w:hint="eastAsia" w:ascii="宋体" w:hAnsi="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lang w:val="en-US" w:eastAsia="zh-CN"/>
        </w:rPr>
        <w:t>：预算金额：19.5万元；最高限价：19.5万元。</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本项目特定资格要求：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r>
        <w:rPr>
          <w:rFonts w:hint="eastAsia" w:ascii="宋体" w:hAnsi="宋体" w:cs="宋体"/>
          <w:color w:val="auto"/>
          <w:kern w:val="0"/>
          <w:szCs w:val="21"/>
          <w:highlight w:val="none"/>
          <w:lang w:eastAsia="zh-CN"/>
        </w:rPr>
        <w:t>；</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5"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5"/>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4"/>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6"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56"/>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7" w:name="_Toc18091"/>
      <w:r>
        <w:rPr>
          <w:rFonts w:hint="eastAsia" w:ascii="宋体" w:hAnsi="宋体" w:eastAsia="宋体" w:cs="宋体"/>
          <w:b/>
          <w:bCs/>
          <w:color w:val="auto"/>
          <w:kern w:val="0"/>
          <w:sz w:val="32"/>
          <w:szCs w:val="32"/>
          <w:highlight w:val="none"/>
        </w:rPr>
        <w:t>第四章  评标办法及评分标准</w:t>
      </w:r>
      <w:bookmarkEnd w:id="53"/>
      <w:bookmarkEnd w:id="57"/>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0F027E8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p w14:paraId="7EB46EE2">
      <w:pPr>
        <w:keepNext w:val="0"/>
        <w:keepLines w:val="0"/>
        <w:pageBreakBefore w:val="0"/>
        <w:numPr>
          <w:ilvl w:val="0"/>
          <w:numId w:val="0"/>
        </w:numPr>
        <w:kinsoku/>
        <w:overflowPunct/>
        <w:topLinePunct w:val="0"/>
        <w:bidi w:val="0"/>
        <w:snapToGrid w:val="0"/>
        <w:spacing w:line="360" w:lineRule="auto"/>
        <w:ind w:firstLine="422" w:firstLineChars="200"/>
        <w:jc w:val="center"/>
        <w:textAlignment w:val="auto"/>
        <w:rPr>
          <w:rFonts w:hint="eastAsia" w:eastAsia="宋体"/>
          <w:b/>
          <w:bCs/>
          <w:sz w:val="28"/>
          <w:szCs w:val="28"/>
          <w:lang w:val="en-US"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包1、包2包通用</w:t>
      </w:r>
      <w:r>
        <w:rPr>
          <w:rFonts w:hint="eastAsia" w:ascii="宋体" w:hAnsi="宋体" w:cs="宋体"/>
          <w:b/>
          <w:bCs/>
          <w:color w:val="auto"/>
          <w:sz w:val="21"/>
          <w:szCs w:val="21"/>
          <w:highlight w:val="none"/>
          <w:lang w:eastAsia="zh-CN"/>
        </w:rPr>
        <w:t>）</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256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1ED65AB4">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381A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1F549C6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799ADC1">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37FFDF62">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5EA0993">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4A956124">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322C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436F3FD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383482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19FA09F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三、技术参数要求”响应，所投产品全部满足磋商文件要求得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分，带“★”号的技术参数为</w:t>
            </w:r>
            <w:r>
              <w:rPr>
                <w:rFonts w:hint="eastAsia" w:ascii="宋体" w:hAnsi="宋体" w:cs="宋体"/>
                <w:color w:val="auto"/>
                <w:sz w:val="21"/>
                <w:szCs w:val="21"/>
                <w:highlight w:val="none"/>
                <w:lang w:val="en-US" w:eastAsia="zh-CN"/>
              </w:rPr>
              <w:t>重要</w:t>
            </w:r>
            <w:r>
              <w:rPr>
                <w:rFonts w:hint="eastAsia" w:ascii="宋体" w:hAnsi="宋体" w:eastAsia="宋体" w:cs="宋体"/>
                <w:color w:val="auto"/>
                <w:sz w:val="21"/>
                <w:szCs w:val="21"/>
                <w:highlight w:val="none"/>
                <w:lang w:val="en-US" w:eastAsia="zh-CN"/>
              </w:rPr>
              <w:t xml:space="preserve">技术参数，有一项不满足的扣5分，扣完为止；不带“★”号的技术参数为一般性技术参数，有一项不满足的扣3分，扣完为止；如得分为0，则磋商无效。 </w:t>
            </w:r>
          </w:p>
          <w:p w14:paraId="367BC53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5F26245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2）供应商所投产品需提供医疗器械注册证【含附件：产品技术要求（如有）】或医疗器械备案凭证（非医疗器械可不提供）</w:t>
            </w:r>
            <w:r>
              <w:rPr>
                <w:rFonts w:hint="eastAsia" w:ascii="宋体" w:hAnsi="宋体" w:cs="宋体"/>
                <w:b/>
                <w:bCs/>
                <w:color w:val="auto"/>
                <w:sz w:val="21"/>
                <w:szCs w:val="21"/>
                <w:highlight w:val="none"/>
                <w:lang w:val="en-US" w:eastAsia="zh-CN"/>
              </w:rPr>
              <w:t>，如未按要求提供，则磋商无效。</w:t>
            </w:r>
          </w:p>
          <w:p w14:paraId="3967BCA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）提供产品注册检验报告及响应技术参数条款的技术白皮书和彩页等相关文件，并对响应技术参数部分做出明显标注。</w:t>
            </w:r>
            <w:r>
              <w:rPr>
                <w:rFonts w:hint="eastAsia" w:ascii="宋体" w:hAnsi="宋体" w:eastAsia="宋体" w:cs="宋体"/>
                <w:color w:val="000000" w:themeColor="text1"/>
                <w:szCs w:val="21"/>
                <w:highlight w:val="none"/>
                <w:lang w:val="en-US" w:eastAsia="zh-CN"/>
                <w14:textFill>
                  <w14:solidFill>
                    <w14:schemeClr w14:val="tx1"/>
                  </w14:solidFill>
                </w14:textFill>
              </w:rPr>
              <w:t>未提供对应证明材料的，视为不满足该项参数要求，做扣分处理。</w:t>
            </w:r>
          </w:p>
        </w:tc>
      </w:tr>
      <w:tr w14:paraId="0CC0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9F2C7E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44A5A41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0FAD531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5115533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w:t>
            </w: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安全性较高的得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分；投标产品制造工艺、稳定性、安全性一般的得1分。</w:t>
            </w:r>
          </w:p>
        </w:tc>
      </w:tr>
      <w:tr w14:paraId="029C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15842A4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C8388DF">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A011CD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B6CCE1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所投产品优秀，操控性强、性能好、技术先进的得4分；所投产品较好，操控性较强、性能较好、技术较先进的得2分；所投产品一般，操控性一般、性能一般、技术保守的得1分。</w:t>
            </w:r>
          </w:p>
        </w:tc>
      </w:tr>
      <w:tr w14:paraId="72B4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7E52CAF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107A56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5907D18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04D455D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供货保障措施具体详实，完全满足采购需求的得3分；有较具体的供货保障措施，基本满足采购需求的得2分；供货保障措施不完备，不能满足采购需求的得1分；缺项得0分。</w:t>
            </w:r>
          </w:p>
        </w:tc>
      </w:tr>
      <w:tr w14:paraId="6AC2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2287835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E29BAC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1F12AB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252DFCE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1F39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14BB89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FD10E6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57B2C6F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65C0B86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应急响应时间极快、应急保障充分的得3分；应急响应时间快、应急保障较充分的得2分；应急响应时间时间长、应急保障不充分的得1分；缺项得0分。</w:t>
            </w:r>
          </w:p>
        </w:tc>
      </w:tr>
      <w:tr w14:paraId="470B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5E0161C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42BE61D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1D3BC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59085EA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1EEEB69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433F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7ABEF81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3A9E5F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3837765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供应商自2022年01月01日以来具有的类似项目(以合同文件为准），每提供一份得2分，最多得4分。</w:t>
            </w:r>
          </w:p>
        </w:tc>
      </w:tr>
      <w:tr w14:paraId="107C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39" w:type="dxa"/>
            <w:vMerge w:val="continue"/>
            <w:noWrap w:val="0"/>
            <w:vAlign w:val="center"/>
          </w:tcPr>
          <w:p w14:paraId="4E5F95D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0984C8">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07E4E5E0">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根据供应商在满足采购文件要求的基础上另外提出的优惠承诺进行评比：每提供一项对采购人有利的、切实可行的实质性优惠承诺得1分，最多得2分。缺项得0分。</w:t>
            </w:r>
          </w:p>
        </w:tc>
      </w:tr>
      <w:tr w14:paraId="0554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D8EE78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9E11D3">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4.售后服务（8分）</w:t>
            </w:r>
          </w:p>
        </w:tc>
        <w:tc>
          <w:tcPr>
            <w:tcW w:w="6770" w:type="dxa"/>
            <w:noWrap w:val="0"/>
            <w:vAlign w:val="center"/>
          </w:tcPr>
          <w:p w14:paraId="689171F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根据供应商提供的售后服务人员配备及专业技术能力说明、故障响应时间、</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、培训方案等进行打分。</w:t>
            </w:r>
          </w:p>
          <w:p w14:paraId="68893D35">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服务承诺符合本项目特点，措施详尽、故障响应时间极快、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合理且可行，有具体的培训方案，得8分</w:t>
            </w:r>
            <w:r>
              <w:rPr>
                <w:rFonts w:hint="eastAsia" w:ascii="宋体" w:hAnsi="宋体" w:cs="宋体"/>
                <w:b w:val="0"/>
                <w:bCs w:val="0"/>
                <w:color w:val="auto"/>
                <w:sz w:val="21"/>
                <w:szCs w:val="21"/>
                <w:highlight w:val="none"/>
                <w:lang w:val="en-US" w:eastAsia="zh-CN"/>
              </w:rPr>
              <w:t>；</w:t>
            </w:r>
          </w:p>
          <w:p w14:paraId="2E60FC1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较合理，有较具体的培训方案的得5分；</w:t>
            </w:r>
          </w:p>
          <w:p w14:paraId="67F2C46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不完备，培训方案不完备的得2分；</w:t>
            </w:r>
          </w:p>
          <w:p w14:paraId="0845DF7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08F9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42E653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647461B1">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4108C8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4"/>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8" w:name="_Toc25145"/>
      <w:bookmarkStart w:id="59" w:name="_Toc1947"/>
      <w:bookmarkStart w:id="60" w:name="_Toc1482"/>
      <w:bookmarkStart w:id="61" w:name="_Toc326786897"/>
      <w:bookmarkStart w:id="62" w:name="_Toc256519703"/>
      <w:r>
        <w:rPr>
          <w:rFonts w:hint="eastAsia" w:ascii="宋体" w:hAnsi="宋体" w:eastAsia="宋体" w:cs="宋体"/>
          <w:color w:val="auto"/>
          <w:sz w:val="28"/>
          <w:szCs w:val="28"/>
          <w:highlight w:val="none"/>
        </w:rPr>
        <w:t>第五章  采购合同</w:t>
      </w:r>
      <w:bookmarkEnd w:id="58"/>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jc w:val="center"/>
        <w:rPr>
          <w:rFonts w:hint="eastAsia" w:ascii="宋体" w:hAnsi="宋体" w:eastAsia="宋体" w:cs="宋体"/>
          <w:color w:val="auto"/>
          <w:kern w:val="0"/>
          <w:highlight w:val="none"/>
        </w:rPr>
      </w:pPr>
      <w:bookmarkStart w:id="63" w:name="_Toc3675"/>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9"/>
      <w:bookmarkEnd w:id="60"/>
      <w:bookmarkEnd w:id="63"/>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64" w:name="_Toc13604"/>
      <w:r>
        <w:rPr>
          <w:rFonts w:hint="eastAsia" w:ascii="宋体" w:hAnsi="宋体" w:eastAsia="宋体" w:cs="宋体"/>
          <w:b/>
          <w:bCs/>
          <w:color w:val="auto"/>
          <w:sz w:val="32"/>
          <w:szCs w:val="32"/>
          <w:highlight w:val="none"/>
        </w:rPr>
        <w:t>目    录</w:t>
      </w:r>
      <w:bookmarkEnd w:id="64"/>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5"/>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6"/>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7"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67"/>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8" w:name="_Toc9579"/>
      <w:r>
        <w:rPr>
          <w:rFonts w:hint="eastAsia" w:ascii="宋体" w:hAnsi="宋体" w:eastAsia="宋体" w:cs="宋体"/>
          <w:color w:val="auto"/>
          <w:sz w:val="24"/>
          <w:highlight w:val="none"/>
        </w:rPr>
        <w:t xml:space="preserve">附件4 </w:t>
      </w:r>
      <w:bookmarkEnd w:id="68"/>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9"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9"/>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0" w:name="_Toc6234"/>
      <w:r>
        <w:rPr>
          <w:rFonts w:hint="eastAsia" w:ascii="宋体" w:hAnsi="宋体" w:eastAsia="宋体" w:cs="宋体"/>
          <w:color w:val="auto"/>
          <w:sz w:val="24"/>
          <w:highlight w:val="none"/>
        </w:rPr>
        <w:t>附件6 商务</w:t>
      </w:r>
      <w:bookmarkEnd w:id="70"/>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1"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1"/>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2"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2"/>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3" w:name="_Toc31857"/>
      <w:r>
        <w:rPr>
          <w:rFonts w:hint="eastAsia" w:ascii="宋体" w:hAnsi="宋体" w:eastAsia="宋体" w:cs="宋体"/>
          <w:color w:val="auto"/>
          <w:sz w:val="24"/>
          <w:highlight w:val="none"/>
        </w:rPr>
        <w:t>附件9 证明文件</w:t>
      </w:r>
      <w:bookmarkEnd w:id="73"/>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4" w:name="_Toc23116"/>
      <w:r>
        <w:rPr>
          <w:rFonts w:hint="eastAsia" w:ascii="宋体" w:hAnsi="宋体" w:eastAsia="宋体" w:cs="宋体"/>
          <w:color w:val="auto"/>
          <w:sz w:val="24"/>
          <w:highlight w:val="none"/>
        </w:rPr>
        <w:t>附件10 供应商承诺书（格式）</w:t>
      </w:r>
      <w:bookmarkEnd w:id="74"/>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5" w:name="_Toc31798"/>
      <w:bookmarkStart w:id="76"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5"/>
      <w:bookmarkEnd w:id="76"/>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586E4DB9">
      <w:pPr>
        <w:snapToGrid w:val="0"/>
        <w:spacing w:line="360" w:lineRule="auto"/>
        <w:ind w:firstLine="2506" w:firstLineChars="500"/>
        <w:jc w:val="both"/>
        <w:rPr>
          <w:rFonts w:hint="default" w:ascii="宋体" w:hAnsi="宋体" w:eastAsia="宋体" w:cs="宋体"/>
          <w:b/>
          <w:color w:val="auto"/>
          <w:spacing w:val="90"/>
          <w:sz w:val="32"/>
          <w:szCs w:val="32"/>
          <w:highlight w:val="none"/>
          <w:u w:val="single"/>
          <w:lang w:val="en-US" w:eastAsia="zh-CN"/>
        </w:rPr>
      </w:pPr>
      <w:r>
        <w:rPr>
          <w:rFonts w:hint="eastAsia" w:ascii="宋体" w:hAnsi="宋体" w:cs="宋体"/>
          <w:b/>
          <w:color w:val="auto"/>
          <w:spacing w:val="90"/>
          <w:sz w:val="32"/>
          <w:szCs w:val="32"/>
          <w:highlight w:val="none"/>
          <w:lang w:val="en-US" w:eastAsia="zh-CN"/>
        </w:rPr>
        <w:t>包号：</w:t>
      </w:r>
      <w:r>
        <w:rPr>
          <w:rFonts w:hint="eastAsia" w:ascii="宋体" w:hAnsi="宋体" w:cs="宋体"/>
          <w:b/>
          <w:color w:val="auto"/>
          <w:spacing w:val="90"/>
          <w:sz w:val="32"/>
          <w:szCs w:val="32"/>
          <w:highlight w:val="none"/>
          <w:u w:val="single"/>
          <w:lang w:val="en-US" w:eastAsia="zh-CN"/>
        </w:rPr>
        <w:t xml:space="preserve">       </w:t>
      </w:r>
    </w:p>
    <w:p w14:paraId="321B0FBA">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7" w:name="_Toc14560"/>
      <w:bookmarkStart w:id="78" w:name="_Toc8818"/>
      <w:r>
        <w:rPr>
          <w:rFonts w:hint="eastAsia" w:ascii="宋体" w:hAnsi="宋体" w:eastAsia="宋体" w:cs="宋体"/>
          <w:color w:val="auto"/>
          <w:sz w:val="28"/>
          <w:szCs w:val="28"/>
          <w:highlight w:val="none"/>
          <w:lang w:val="en-US" w:eastAsia="zh-CN"/>
        </w:rPr>
        <w:t>附件2      竞争性磋商响应书（格式）</w:t>
      </w:r>
      <w:bookmarkEnd w:id="77"/>
      <w:bookmarkEnd w:id="78"/>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包号：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lang w:val="en-US"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lang w:val="en-US" w:eastAsia="zh-CN"/>
        </w:rPr>
        <w:t>采购活动</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9" w:name="_Toc7838"/>
      <w:r>
        <w:rPr>
          <w:rFonts w:hint="eastAsia" w:ascii="宋体" w:hAnsi="宋体" w:eastAsia="宋体" w:cs="宋体"/>
          <w:color w:val="auto"/>
          <w:sz w:val="28"/>
          <w:szCs w:val="28"/>
          <w:highlight w:val="none"/>
          <w:lang w:val="en-US" w:eastAsia="zh-CN"/>
        </w:rPr>
        <w:t>附件3            初次报价一览表</w:t>
      </w:r>
      <w:bookmarkEnd w:id="79"/>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167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8" w:type="dxa"/>
            <w:noWrap/>
            <w:vAlign w:val="center"/>
          </w:tcPr>
          <w:p w14:paraId="5E96179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包号及包名称</w:t>
            </w:r>
          </w:p>
        </w:tc>
        <w:tc>
          <w:tcPr>
            <w:tcW w:w="7708" w:type="dxa"/>
            <w:noWrap/>
            <w:vAlign w:val="center"/>
          </w:tcPr>
          <w:p w14:paraId="38E5B1BD">
            <w:pPr>
              <w:rPr>
                <w:rFonts w:hint="eastAsia" w:ascii="宋体" w:hAnsi="宋体" w:eastAsia="宋体" w:cs="宋体"/>
                <w:color w:val="auto"/>
                <w:szCs w:val="21"/>
                <w:highlight w:val="none"/>
                <w:lang w:val="en-US" w:eastAsia="zh-CN"/>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0" w:name="_Toc20877"/>
      <w:bookmarkStart w:id="81" w:name="_Toc11620"/>
    </w:p>
    <w:bookmarkEnd w:id="80"/>
    <w:bookmarkEnd w:id="81"/>
    <w:p w14:paraId="3CA5633F">
      <w:pPr>
        <w:spacing w:line="360" w:lineRule="auto"/>
        <w:ind w:firstLine="420" w:firstLineChars="200"/>
        <w:jc w:val="center"/>
        <w:rPr>
          <w:rFonts w:hint="eastAsia" w:ascii="宋体" w:hAnsi="宋体" w:eastAsia="宋体" w:cs="宋体"/>
          <w:color w:val="auto"/>
          <w:kern w:val="0"/>
          <w:szCs w:val="21"/>
          <w:highlight w:val="none"/>
        </w:rPr>
      </w:pPr>
      <w:bookmarkStart w:id="82" w:name="_Toc12222"/>
      <w:bookmarkStart w:id="83" w:name="_Toc625"/>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523170F">
      <w:pPr>
        <w:spacing w:line="360" w:lineRule="auto"/>
        <w:ind w:firstLine="2310" w:firstLineChars="11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2"/>
      <w:bookmarkEnd w:id="83"/>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84" w:name="_Toc9950"/>
      <w:bookmarkStart w:id="85" w:name="_Toc1330"/>
      <w:r>
        <w:rPr>
          <w:rFonts w:hint="eastAsia" w:ascii="宋体" w:hAnsi="宋体" w:eastAsia="宋体" w:cs="宋体"/>
          <w:color w:val="auto"/>
          <w:szCs w:val="21"/>
          <w:highlight w:val="none"/>
        </w:rPr>
        <w:t>年  月  日</w:t>
      </w:r>
      <w:bookmarkEnd w:id="84"/>
      <w:bookmarkEnd w:id="85"/>
    </w:p>
    <w:p w14:paraId="75AF52ED">
      <w:pPr>
        <w:rPr>
          <w:rFonts w:hint="eastAsia" w:ascii="宋体" w:hAnsi="宋体" w:eastAsia="宋体" w:cs="宋体"/>
          <w:color w:val="auto"/>
          <w:highlight w:val="none"/>
        </w:rPr>
      </w:pPr>
    </w:p>
    <w:bookmarkEnd w:id="61"/>
    <w:bookmarkEnd w:id="62"/>
    <w:p w14:paraId="32162F70">
      <w:pPr>
        <w:spacing w:before="20" w:after="20"/>
        <w:outlineLvl w:val="9"/>
        <w:rPr>
          <w:rFonts w:hint="eastAsia" w:ascii="宋体" w:hAnsi="宋体" w:eastAsia="宋体" w:cs="宋体"/>
          <w:color w:val="auto"/>
          <w:highlight w:val="none"/>
          <w:lang w:eastAsia="zh-CN"/>
        </w:rPr>
      </w:pPr>
      <w:bookmarkStart w:id="86" w:name="_Toc24984"/>
      <w:bookmarkStart w:id="87"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86"/>
      <w:bookmarkEnd w:id="87"/>
      <w:r>
        <w:rPr>
          <w:rFonts w:hint="eastAsia" w:ascii="宋体" w:hAnsi="宋体" w:eastAsia="宋体" w:cs="宋体"/>
          <w:color w:val="auto"/>
          <w:sz w:val="28"/>
          <w:szCs w:val="28"/>
          <w:highlight w:val="none"/>
          <w:lang w:val="en-US" w:eastAsia="zh-CN"/>
        </w:rPr>
        <w:t>报价明细表（格式）</w:t>
      </w:r>
    </w:p>
    <w:p w14:paraId="79C39A44">
      <w:pPr>
        <w:jc w:val="both"/>
        <w:rPr>
          <w:rFonts w:hint="eastAsia"/>
          <w:color w:val="auto"/>
          <w:highlight w:val="none"/>
          <w:lang w:val="en-US" w:eastAsia="zh-CN"/>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包号：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76A4573A">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47C5CCB3">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3EFC65B5">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2AFAAF9E">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88" w:name="_Toc15804"/>
      <w:bookmarkStart w:id="89" w:name="_Toc226"/>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商品名称</w:t>
            </w:r>
          </w:p>
        </w:tc>
        <w:tc>
          <w:tcPr>
            <w:tcW w:w="1046" w:type="dxa"/>
            <w:vAlign w:val="center"/>
          </w:tcPr>
          <w:p w14:paraId="7B88569B">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注册</w:t>
            </w:r>
          </w:p>
          <w:p w14:paraId="5A7F3778">
            <w:pPr>
              <w:keepNext w:val="0"/>
              <w:keepLines w:val="0"/>
              <w:widowControl/>
              <w:suppressLineNumbers w:val="0"/>
              <w:jc w:val="center"/>
              <w:rPr>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证名称及注册证号</w:t>
            </w:r>
          </w:p>
        </w:tc>
        <w:tc>
          <w:tcPr>
            <w:tcW w:w="1046" w:type="dxa"/>
            <w:vAlign w:val="center"/>
          </w:tcPr>
          <w:p w14:paraId="13975975">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品牌</w:t>
            </w:r>
          </w:p>
          <w:p w14:paraId="715FBD17">
            <w:pPr>
              <w:keepNext w:val="0"/>
              <w:keepLines w:val="0"/>
              <w:widowControl/>
              <w:suppressLineNumbers w:val="0"/>
              <w:jc w:val="center"/>
              <w:rPr>
                <w:color w:val="auto"/>
                <w:sz w:val="21"/>
                <w:szCs w:val="21"/>
                <w:highlight w:val="none"/>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color w:val="auto"/>
                <w:sz w:val="21"/>
                <w:szCs w:val="21"/>
                <w:highlight w:val="none"/>
              </w:rPr>
            </w:pPr>
            <w:bookmarkStart w:id="90" w:name="_Toc21763"/>
            <w:bookmarkStart w:id="91" w:name="_Toc21708"/>
            <w:r>
              <w:rPr>
                <w:rFonts w:hint="eastAsia" w:ascii="宋体" w:hAnsi="宋体" w:eastAsia="宋体" w:cs="宋体"/>
                <w:b/>
                <w:color w:val="auto"/>
                <w:sz w:val="21"/>
                <w:szCs w:val="21"/>
                <w:highlight w:val="none"/>
              </w:rPr>
              <w:t>省、市、县</w:t>
            </w:r>
            <w:bookmarkEnd w:id="90"/>
            <w:bookmarkEnd w:id="91"/>
          </w:p>
          <w:p w14:paraId="1EA388BB">
            <w:pPr>
              <w:widowControl w:val="0"/>
              <w:spacing w:line="320" w:lineRule="exact"/>
              <w:jc w:val="center"/>
              <w:outlineLvl w:val="0"/>
              <w:rPr>
                <w:rFonts w:hint="eastAsia" w:ascii="宋体" w:hAnsi="宋体" w:eastAsia="宋体" w:cs="宋体"/>
                <w:b/>
                <w:color w:val="auto"/>
                <w:sz w:val="21"/>
                <w:szCs w:val="21"/>
                <w:highlight w:val="none"/>
              </w:rPr>
            </w:pPr>
            <w:bookmarkStart w:id="92" w:name="_Toc16741"/>
            <w:bookmarkStart w:id="93" w:name="_Toc2447"/>
            <w:r>
              <w:rPr>
                <w:rFonts w:hint="eastAsia" w:ascii="宋体" w:hAnsi="宋体" w:eastAsia="宋体" w:cs="宋体"/>
                <w:b/>
                <w:color w:val="auto"/>
                <w:sz w:val="21"/>
                <w:szCs w:val="21"/>
                <w:highlight w:val="none"/>
              </w:rPr>
              <w:t>收费编码</w:t>
            </w:r>
            <w:bookmarkEnd w:id="92"/>
            <w:bookmarkEnd w:id="93"/>
          </w:p>
          <w:p w14:paraId="0E7218A7">
            <w:pPr>
              <w:widowControl w:val="0"/>
              <w:spacing w:line="320" w:lineRule="exact"/>
              <w:jc w:val="center"/>
              <w:outlineLvl w:val="0"/>
              <w:rPr>
                <w:color w:val="auto"/>
                <w:sz w:val="21"/>
                <w:szCs w:val="21"/>
                <w:highlight w:val="none"/>
                <w:vertAlign w:val="baseline"/>
              </w:rPr>
            </w:pPr>
            <w:bookmarkStart w:id="94" w:name="_Toc11147"/>
            <w:bookmarkStart w:id="95" w:name="_Toc21839"/>
            <w:r>
              <w:rPr>
                <w:rFonts w:hint="eastAsia" w:ascii="宋体" w:hAnsi="宋体" w:eastAsia="宋体" w:cs="宋体"/>
                <w:b/>
                <w:color w:val="auto"/>
                <w:sz w:val="21"/>
                <w:szCs w:val="21"/>
                <w:highlight w:val="none"/>
              </w:rPr>
              <w:t>收费标准</w:t>
            </w:r>
            <w:bookmarkEnd w:id="94"/>
            <w:bookmarkEnd w:id="95"/>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color w:val="auto"/>
                <w:highlight w:val="none"/>
                <w:vertAlign w:val="baseline"/>
              </w:rPr>
            </w:pPr>
          </w:p>
        </w:tc>
        <w:tc>
          <w:tcPr>
            <w:tcW w:w="1447" w:type="dxa"/>
            <w:vMerge w:val="restart"/>
          </w:tcPr>
          <w:p w14:paraId="1411B170">
            <w:pPr>
              <w:widowControl w:val="0"/>
              <w:rPr>
                <w:color w:val="auto"/>
                <w:highlight w:val="none"/>
                <w:vertAlign w:val="baseline"/>
              </w:rPr>
            </w:pPr>
          </w:p>
        </w:tc>
        <w:tc>
          <w:tcPr>
            <w:tcW w:w="1447" w:type="dxa"/>
          </w:tcPr>
          <w:p w14:paraId="538C956D">
            <w:pPr>
              <w:widowControl w:val="0"/>
              <w:rPr>
                <w:color w:val="auto"/>
                <w:highlight w:val="none"/>
                <w:vertAlign w:val="baseline"/>
              </w:rPr>
            </w:pPr>
          </w:p>
        </w:tc>
        <w:tc>
          <w:tcPr>
            <w:tcW w:w="1046" w:type="dxa"/>
          </w:tcPr>
          <w:p w14:paraId="74877ABD">
            <w:pPr>
              <w:widowControl w:val="0"/>
              <w:rPr>
                <w:color w:val="auto"/>
                <w:highlight w:val="none"/>
                <w:vertAlign w:val="baseline"/>
              </w:rPr>
            </w:pPr>
          </w:p>
        </w:tc>
        <w:tc>
          <w:tcPr>
            <w:tcW w:w="1046" w:type="dxa"/>
          </w:tcPr>
          <w:p w14:paraId="46285D21">
            <w:pPr>
              <w:widowControl w:val="0"/>
              <w:rPr>
                <w:color w:val="auto"/>
                <w:highlight w:val="none"/>
                <w:vertAlign w:val="baseline"/>
              </w:rPr>
            </w:pPr>
          </w:p>
        </w:tc>
        <w:tc>
          <w:tcPr>
            <w:tcW w:w="1046" w:type="dxa"/>
          </w:tcPr>
          <w:p w14:paraId="30AA1993">
            <w:pPr>
              <w:widowControl w:val="0"/>
              <w:rPr>
                <w:color w:val="auto"/>
                <w:highlight w:val="none"/>
                <w:vertAlign w:val="baseline"/>
              </w:rPr>
            </w:pPr>
          </w:p>
        </w:tc>
        <w:tc>
          <w:tcPr>
            <w:tcW w:w="1164" w:type="dxa"/>
          </w:tcPr>
          <w:p w14:paraId="3FDE21BE">
            <w:pPr>
              <w:widowControl w:val="0"/>
              <w:rPr>
                <w:color w:val="auto"/>
                <w:highlight w:val="none"/>
                <w:vertAlign w:val="baseline"/>
              </w:rPr>
            </w:pPr>
          </w:p>
        </w:tc>
        <w:tc>
          <w:tcPr>
            <w:tcW w:w="929" w:type="dxa"/>
          </w:tcPr>
          <w:p w14:paraId="4E71EAFD">
            <w:pPr>
              <w:widowControl w:val="0"/>
              <w:rPr>
                <w:color w:val="auto"/>
                <w:highlight w:val="none"/>
                <w:vertAlign w:val="baseline"/>
              </w:rPr>
            </w:pPr>
          </w:p>
        </w:tc>
        <w:tc>
          <w:tcPr>
            <w:tcW w:w="929" w:type="dxa"/>
          </w:tcPr>
          <w:p w14:paraId="2A5C917F">
            <w:pPr>
              <w:widowControl w:val="0"/>
              <w:rPr>
                <w:color w:val="auto"/>
                <w:highlight w:val="none"/>
                <w:vertAlign w:val="baseline"/>
              </w:rPr>
            </w:pPr>
          </w:p>
        </w:tc>
        <w:tc>
          <w:tcPr>
            <w:tcW w:w="1046" w:type="dxa"/>
          </w:tcPr>
          <w:p w14:paraId="2BC032BB">
            <w:pPr>
              <w:widowControl w:val="0"/>
              <w:rPr>
                <w:color w:val="auto"/>
                <w:highlight w:val="none"/>
                <w:vertAlign w:val="baseline"/>
              </w:rPr>
            </w:pPr>
          </w:p>
        </w:tc>
        <w:tc>
          <w:tcPr>
            <w:tcW w:w="1609" w:type="dxa"/>
          </w:tcPr>
          <w:p w14:paraId="43AF7AB5">
            <w:pPr>
              <w:widowControl w:val="0"/>
              <w:rPr>
                <w:color w:val="auto"/>
                <w:highlight w:val="none"/>
                <w:vertAlign w:val="baseline"/>
              </w:rPr>
            </w:pPr>
          </w:p>
        </w:tc>
        <w:tc>
          <w:tcPr>
            <w:tcW w:w="1908" w:type="dxa"/>
          </w:tcPr>
          <w:p w14:paraId="351E7283">
            <w:pPr>
              <w:widowControl w:val="0"/>
              <w:rPr>
                <w:color w:val="auto"/>
                <w:highlight w:val="none"/>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color w:val="auto"/>
                <w:highlight w:val="none"/>
                <w:vertAlign w:val="baseline"/>
              </w:rPr>
            </w:pPr>
          </w:p>
        </w:tc>
        <w:tc>
          <w:tcPr>
            <w:tcW w:w="1447" w:type="dxa"/>
            <w:vMerge w:val="continue"/>
          </w:tcPr>
          <w:p w14:paraId="040A03DA">
            <w:pPr>
              <w:widowControl w:val="0"/>
              <w:rPr>
                <w:color w:val="auto"/>
                <w:highlight w:val="none"/>
                <w:vertAlign w:val="baseline"/>
              </w:rPr>
            </w:pPr>
          </w:p>
        </w:tc>
        <w:tc>
          <w:tcPr>
            <w:tcW w:w="1447" w:type="dxa"/>
          </w:tcPr>
          <w:p w14:paraId="6D655FCD">
            <w:pPr>
              <w:widowControl w:val="0"/>
              <w:rPr>
                <w:color w:val="auto"/>
                <w:highlight w:val="none"/>
                <w:vertAlign w:val="baseline"/>
              </w:rPr>
            </w:pPr>
          </w:p>
        </w:tc>
        <w:tc>
          <w:tcPr>
            <w:tcW w:w="1046" w:type="dxa"/>
          </w:tcPr>
          <w:p w14:paraId="5E1CE5CD">
            <w:pPr>
              <w:widowControl w:val="0"/>
              <w:rPr>
                <w:color w:val="auto"/>
                <w:highlight w:val="none"/>
                <w:vertAlign w:val="baseline"/>
              </w:rPr>
            </w:pPr>
          </w:p>
        </w:tc>
        <w:tc>
          <w:tcPr>
            <w:tcW w:w="1046" w:type="dxa"/>
          </w:tcPr>
          <w:p w14:paraId="6FFF8D39">
            <w:pPr>
              <w:widowControl w:val="0"/>
              <w:rPr>
                <w:color w:val="auto"/>
                <w:highlight w:val="none"/>
                <w:vertAlign w:val="baseline"/>
              </w:rPr>
            </w:pPr>
          </w:p>
        </w:tc>
        <w:tc>
          <w:tcPr>
            <w:tcW w:w="1046" w:type="dxa"/>
          </w:tcPr>
          <w:p w14:paraId="69EFFFF9">
            <w:pPr>
              <w:widowControl w:val="0"/>
              <w:rPr>
                <w:color w:val="auto"/>
                <w:highlight w:val="none"/>
                <w:vertAlign w:val="baseline"/>
              </w:rPr>
            </w:pPr>
          </w:p>
        </w:tc>
        <w:tc>
          <w:tcPr>
            <w:tcW w:w="1164" w:type="dxa"/>
          </w:tcPr>
          <w:p w14:paraId="0D9181D5">
            <w:pPr>
              <w:widowControl w:val="0"/>
              <w:rPr>
                <w:color w:val="auto"/>
                <w:highlight w:val="none"/>
                <w:vertAlign w:val="baseline"/>
              </w:rPr>
            </w:pPr>
          </w:p>
        </w:tc>
        <w:tc>
          <w:tcPr>
            <w:tcW w:w="929" w:type="dxa"/>
          </w:tcPr>
          <w:p w14:paraId="13E08F75">
            <w:pPr>
              <w:widowControl w:val="0"/>
              <w:rPr>
                <w:color w:val="auto"/>
                <w:highlight w:val="none"/>
                <w:vertAlign w:val="baseline"/>
              </w:rPr>
            </w:pPr>
          </w:p>
        </w:tc>
        <w:tc>
          <w:tcPr>
            <w:tcW w:w="929" w:type="dxa"/>
          </w:tcPr>
          <w:p w14:paraId="55638291">
            <w:pPr>
              <w:widowControl w:val="0"/>
              <w:rPr>
                <w:color w:val="auto"/>
                <w:highlight w:val="none"/>
                <w:vertAlign w:val="baseline"/>
              </w:rPr>
            </w:pPr>
          </w:p>
        </w:tc>
        <w:tc>
          <w:tcPr>
            <w:tcW w:w="1046" w:type="dxa"/>
          </w:tcPr>
          <w:p w14:paraId="18AD76A8">
            <w:pPr>
              <w:widowControl w:val="0"/>
              <w:rPr>
                <w:color w:val="auto"/>
                <w:highlight w:val="none"/>
                <w:vertAlign w:val="baseline"/>
              </w:rPr>
            </w:pPr>
          </w:p>
        </w:tc>
        <w:tc>
          <w:tcPr>
            <w:tcW w:w="1609" w:type="dxa"/>
          </w:tcPr>
          <w:p w14:paraId="3E848191">
            <w:pPr>
              <w:widowControl w:val="0"/>
              <w:rPr>
                <w:color w:val="auto"/>
                <w:highlight w:val="none"/>
                <w:vertAlign w:val="baseline"/>
              </w:rPr>
            </w:pPr>
          </w:p>
        </w:tc>
        <w:tc>
          <w:tcPr>
            <w:tcW w:w="1908" w:type="dxa"/>
          </w:tcPr>
          <w:p w14:paraId="4A951FB8">
            <w:pPr>
              <w:widowControl w:val="0"/>
              <w:rPr>
                <w:color w:val="auto"/>
                <w:highlight w:val="none"/>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color w:val="auto"/>
                <w:highlight w:val="none"/>
                <w:vertAlign w:val="baseline"/>
              </w:rPr>
            </w:pPr>
          </w:p>
        </w:tc>
        <w:tc>
          <w:tcPr>
            <w:tcW w:w="1447" w:type="dxa"/>
            <w:vMerge w:val="restart"/>
          </w:tcPr>
          <w:p w14:paraId="0D9E80CF">
            <w:pPr>
              <w:widowControl w:val="0"/>
              <w:rPr>
                <w:color w:val="auto"/>
                <w:highlight w:val="none"/>
                <w:vertAlign w:val="baseline"/>
              </w:rPr>
            </w:pPr>
          </w:p>
        </w:tc>
        <w:tc>
          <w:tcPr>
            <w:tcW w:w="1447" w:type="dxa"/>
          </w:tcPr>
          <w:p w14:paraId="1E7399C3">
            <w:pPr>
              <w:widowControl w:val="0"/>
              <w:rPr>
                <w:color w:val="auto"/>
                <w:highlight w:val="none"/>
                <w:vertAlign w:val="baseline"/>
              </w:rPr>
            </w:pPr>
          </w:p>
        </w:tc>
        <w:tc>
          <w:tcPr>
            <w:tcW w:w="1046" w:type="dxa"/>
          </w:tcPr>
          <w:p w14:paraId="3F37E071">
            <w:pPr>
              <w:widowControl w:val="0"/>
              <w:rPr>
                <w:color w:val="auto"/>
                <w:highlight w:val="none"/>
                <w:vertAlign w:val="baseline"/>
              </w:rPr>
            </w:pPr>
          </w:p>
        </w:tc>
        <w:tc>
          <w:tcPr>
            <w:tcW w:w="1046" w:type="dxa"/>
          </w:tcPr>
          <w:p w14:paraId="3C6E9A35">
            <w:pPr>
              <w:widowControl w:val="0"/>
              <w:rPr>
                <w:color w:val="auto"/>
                <w:highlight w:val="none"/>
                <w:vertAlign w:val="baseline"/>
              </w:rPr>
            </w:pPr>
          </w:p>
        </w:tc>
        <w:tc>
          <w:tcPr>
            <w:tcW w:w="1046" w:type="dxa"/>
          </w:tcPr>
          <w:p w14:paraId="439A493E">
            <w:pPr>
              <w:widowControl w:val="0"/>
              <w:rPr>
                <w:color w:val="auto"/>
                <w:highlight w:val="none"/>
                <w:vertAlign w:val="baseline"/>
              </w:rPr>
            </w:pPr>
          </w:p>
        </w:tc>
        <w:tc>
          <w:tcPr>
            <w:tcW w:w="1164" w:type="dxa"/>
          </w:tcPr>
          <w:p w14:paraId="6DA472CA">
            <w:pPr>
              <w:widowControl w:val="0"/>
              <w:rPr>
                <w:color w:val="auto"/>
                <w:highlight w:val="none"/>
                <w:vertAlign w:val="baseline"/>
              </w:rPr>
            </w:pPr>
          </w:p>
        </w:tc>
        <w:tc>
          <w:tcPr>
            <w:tcW w:w="929" w:type="dxa"/>
          </w:tcPr>
          <w:p w14:paraId="7A944B46">
            <w:pPr>
              <w:widowControl w:val="0"/>
              <w:rPr>
                <w:color w:val="auto"/>
                <w:highlight w:val="none"/>
                <w:vertAlign w:val="baseline"/>
              </w:rPr>
            </w:pPr>
          </w:p>
        </w:tc>
        <w:tc>
          <w:tcPr>
            <w:tcW w:w="929" w:type="dxa"/>
          </w:tcPr>
          <w:p w14:paraId="4B709168">
            <w:pPr>
              <w:widowControl w:val="0"/>
              <w:rPr>
                <w:color w:val="auto"/>
                <w:highlight w:val="none"/>
                <w:vertAlign w:val="baseline"/>
              </w:rPr>
            </w:pPr>
          </w:p>
        </w:tc>
        <w:tc>
          <w:tcPr>
            <w:tcW w:w="1046" w:type="dxa"/>
          </w:tcPr>
          <w:p w14:paraId="0406CE2F">
            <w:pPr>
              <w:widowControl w:val="0"/>
              <w:rPr>
                <w:color w:val="auto"/>
                <w:highlight w:val="none"/>
                <w:vertAlign w:val="baseline"/>
              </w:rPr>
            </w:pPr>
          </w:p>
        </w:tc>
        <w:tc>
          <w:tcPr>
            <w:tcW w:w="1609" w:type="dxa"/>
          </w:tcPr>
          <w:p w14:paraId="51830342">
            <w:pPr>
              <w:widowControl w:val="0"/>
              <w:rPr>
                <w:color w:val="auto"/>
                <w:highlight w:val="none"/>
                <w:vertAlign w:val="baseline"/>
              </w:rPr>
            </w:pPr>
          </w:p>
        </w:tc>
        <w:tc>
          <w:tcPr>
            <w:tcW w:w="1908" w:type="dxa"/>
          </w:tcPr>
          <w:p w14:paraId="3E3FE638">
            <w:pPr>
              <w:widowControl w:val="0"/>
              <w:rPr>
                <w:color w:val="auto"/>
                <w:highlight w:val="none"/>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color w:val="auto"/>
                <w:highlight w:val="none"/>
                <w:vertAlign w:val="baseline"/>
              </w:rPr>
            </w:pPr>
          </w:p>
        </w:tc>
        <w:tc>
          <w:tcPr>
            <w:tcW w:w="1447" w:type="dxa"/>
            <w:vMerge w:val="continue"/>
          </w:tcPr>
          <w:p w14:paraId="321CC1BD">
            <w:pPr>
              <w:widowControl w:val="0"/>
              <w:rPr>
                <w:color w:val="auto"/>
                <w:highlight w:val="none"/>
                <w:vertAlign w:val="baseline"/>
              </w:rPr>
            </w:pPr>
          </w:p>
        </w:tc>
        <w:tc>
          <w:tcPr>
            <w:tcW w:w="1447" w:type="dxa"/>
          </w:tcPr>
          <w:p w14:paraId="177DB5E9">
            <w:pPr>
              <w:widowControl w:val="0"/>
              <w:rPr>
                <w:color w:val="auto"/>
                <w:highlight w:val="none"/>
                <w:vertAlign w:val="baseline"/>
              </w:rPr>
            </w:pPr>
          </w:p>
        </w:tc>
        <w:tc>
          <w:tcPr>
            <w:tcW w:w="1046" w:type="dxa"/>
          </w:tcPr>
          <w:p w14:paraId="74208401">
            <w:pPr>
              <w:widowControl w:val="0"/>
              <w:rPr>
                <w:color w:val="auto"/>
                <w:highlight w:val="none"/>
                <w:vertAlign w:val="baseline"/>
              </w:rPr>
            </w:pPr>
          </w:p>
        </w:tc>
        <w:tc>
          <w:tcPr>
            <w:tcW w:w="1046" w:type="dxa"/>
          </w:tcPr>
          <w:p w14:paraId="1C3E1A61">
            <w:pPr>
              <w:widowControl w:val="0"/>
              <w:rPr>
                <w:color w:val="auto"/>
                <w:highlight w:val="none"/>
                <w:vertAlign w:val="baseline"/>
              </w:rPr>
            </w:pPr>
          </w:p>
        </w:tc>
        <w:tc>
          <w:tcPr>
            <w:tcW w:w="1046" w:type="dxa"/>
          </w:tcPr>
          <w:p w14:paraId="045B7522">
            <w:pPr>
              <w:widowControl w:val="0"/>
              <w:rPr>
                <w:color w:val="auto"/>
                <w:highlight w:val="none"/>
                <w:vertAlign w:val="baseline"/>
              </w:rPr>
            </w:pPr>
          </w:p>
        </w:tc>
        <w:tc>
          <w:tcPr>
            <w:tcW w:w="1164" w:type="dxa"/>
          </w:tcPr>
          <w:p w14:paraId="495D32C7">
            <w:pPr>
              <w:widowControl w:val="0"/>
              <w:rPr>
                <w:color w:val="auto"/>
                <w:highlight w:val="none"/>
                <w:vertAlign w:val="baseline"/>
              </w:rPr>
            </w:pPr>
          </w:p>
        </w:tc>
        <w:tc>
          <w:tcPr>
            <w:tcW w:w="929" w:type="dxa"/>
          </w:tcPr>
          <w:p w14:paraId="2C00F716">
            <w:pPr>
              <w:widowControl w:val="0"/>
              <w:rPr>
                <w:color w:val="auto"/>
                <w:highlight w:val="none"/>
                <w:vertAlign w:val="baseline"/>
              </w:rPr>
            </w:pPr>
          </w:p>
        </w:tc>
        <w:tc>
          <w:tcPr>
            <w:tcW w:w="929" w:type="dxa"/>
          </w:tcPr>
          <w:p w14:paraId="6707E9BC">
            <w:pPr>
              <w:widowControl w:val="0"/>
              <w:rPr>
                <w:color w:val="auto"/>
                <w:highlight w:val="none"/>
                <w:vertAlign w:val="baseline"/>
              </w:rPr>
            </w:pPr>
          </w:p>
        </w:tc>
        <w:tc>
          <w:tcPr>
            <w:tcW w:w="1046" w:type="dxa"/>
          </w:tcPr>
          <w:p w14:paraId="3D0459B3">
            <w:pPr>
              <w:widowControl w:val="0"/>
              <w:rPr>
                <w:color w:val="auto"/>
                <w:highlight w:val="none"/>
                <w:vertAlign w:val="baseline"/>
              </w:rPr>
            </w:pPr>
          </w:p>
        </w:tc>
        <w:tc>
          <w:tcPr>
            <w:tcW w:w="1609" w:type="dxa"/>
          </w:tcPr>
          <w:p w14:paraId="079689F5">
            <w:pPr>
              <w:widowControl w:val="0"/>
              <w:rPr>
                <w:color w:val="auto"/>
                <w:highlight w:val="none"/>
                <w:vertAlign w:val="baseline"/>
              </w:rPr>
            </w:pPr>
          </w:p>
        </w:tc>
        <w:tc>
          <w:tcPr>
            <w:tcW w:w="1908" w:type="dxa"/>
          </w:tcPr>
          <w:p w14:paraId="60DE824B">
            <w:pPr>
              <w:widowControl w:val="0"/>
              <w:rPr>
                <w:color w:val="auto"/>
                <w:highlight w:val="none"/>
                <w:vertAlign w:val="baseline"/>
              </w:rPr>
            </w:pPr>
          </w:p>
        </w:tc>
      </w:tr>
    </w:tbl>
    <w:p w14:paraId="5C36BDA2">
      <w:pPr>
        <w:rPr>
          <w:color w:val="auto"/>
          <w:highlight w:val="none"/>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此表为产品配套试剂报价表，如没有，无需制作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3C312762">
      <w:pPr>
        <w:pStyle w:val="24"/>
        <w:rPr>
          <w:rFonts w:hint="eastAsia" w:ascii="宋体" w:hAnsi="宋体" w:cs="宋体"/>
          <w:color w:val="auto"/>
          <w:kern w:val="0"/>
          <w:sz w:val="24"/>
          <w:highlight w:val="none"/>
        </w:rPr>
      </w:pPr>
    </w:p>
    <w:p w14:paraId="5E4799AD">
      <w:pPr>
        <w:pStyle w:val="24"/>
        <w:rPr>
          <w:rFonts w:hint="eastAsia" w:ascii="宋体" w:hAnsi="宋体" w:cs="宋体"/>
          <w:color w:val="auto"/>
          <w:kern w:val="0"/>
          <w:sz w:val="24"/>
          <w:highlight w:val="none"/>
        </w:rPr>
      </w:pPr>
    </w:p>
    <w:p w14:paraId="152C8C36">
      <w:pPr>
        <w:pStyle w:val="24"/>
        <w:rPr>
          <w:rFonts w:hint="eastAsia" w:ascii="宋体" w:hAnsi="宋体" w:cs="宋体"/>
          <w:color w:val="auto"/>
          <w:kern w:val="0"/>
          <w:sz w:val="24"/>
          <w:highlight w:val="none"/>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商品名（通用名）</w:t>
            </w:r>
          </w:p>
        </w:tc>
        <w:tc>
          <w:tcPr>
            <w:tcW w:w="1060" w:type="dxa"/>
            <w:vAlign w:val="center"/>
          </w:tcPr>
          <w:p w14:paraId="32F79E07">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投标产</w:t>
            </w:r>
          </w:p>
          <w:p w14:paraId="451D1B1F">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品注册</w:t>
            </w:r>
          </w:p>
          <w:p w14:paraId="2F5AB844">
            <w:pPr>
              <w:keepNext w:val="0"/>
              <w:keepLines w:val="0"/>
              <w:widowControl/>
              <w:suppressLineNumbers w:val="0"/>
              <w:jc w:val="center"/>
              <w:rPr>
                <w:b/>
                <w:bCs/>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投标单价</w:t>
            </w:r>
          </w:p>
          <w:p w14:paraId="59672E7B">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投标产品</w:t>
            </w:r>
          </w:p>
          <w:p w14:paraId="5AC485E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vMerge w:val="restart"/>
          </w:tcPr>
          <w:p w14:paraId="2078D575">
            <w:pPr>
              <w:widowControl w:val="0"/>
              <w:rPr>
                <w:color w:val="auto"/>
                <w:highlight w:val="none"/>
                <w:vertAlign w:val="baseline"/>
              </w:rPr>
            </w:pPr>
          </w:p>
        </w:tc>
        <w:tc>
          <w:tcPr>
            <w:tcW w:w="1393" w:type="dxa"/>
          </w:tcPr>
          <w:p w14:paraId="0F341263">
            <w:pPr>
              <w:widowControl w:val="0"/>
              <w:rPr>
                <w:color w:val="auto"/>
                <w:highlight w:val="none"/>
                <w:vertAlign w:val="baseline"/>
              </w:rPr>
            </w:pPr>
          </w:p>
        </w:tc>
        <w:tc>
          <w:tcPr>
            <w:tcW w:w="1060" w:type="dxa"/>
          </w:tcPr>
          <w:p w14:paraId="5E2811FC">
            <w:pPr>
              <w:widowControl w:val="0"/>
              <w:rPr>
                <w:color w:val="auto"/>
                <w:highlight w:val="none"/>
                <w:vertAlign w:val="baseline"/>
              </w:rPr>
            </w:pPr>
          </w:p>
        </w:tc>
        <w:tc>
          <w:tcPr>
            <w:tcW w:w="1060" w:type="dxa"/>
          </w:tcPr>
          <w:p w14:paraId="4138DDFD">
            <w:pPr>
              <w:widowControl w:val="0"/>
              <w:rPr>
                <w:color w:val="auto"/>
                <w:highlight w:val="none"/>
                <w:vertAlign w:val="baseline"/>
              </w:rPr>
            </w:pPr>
          </w:p>
        </w:tc>
        <w:tc>
          <w:tcPr>
            <w:tcW w:w="1060" w:type="dxa"/>
          </w:tcPr>
          <w:p w14:paraId="23110391">
            <w:pPr>
              <w:widowControl w:val="0"/>
              <w:rPr>
                <w:color w:val="auto"/>
                <w:highlight w:val="none"/>
                <w:vertAlign w:val="baseline"/>
              </w:rPr>
            </w:pPr>
          </w:p>
        </w:tc>
        <w:tc>
          <w:tcPr>
            <w:tcW w:w="1060" w:type="dxa"/>
          </w:tcPr>
          <w:p w14:paraId="403934A1">
            <w:pPr>
              <w:widowControl w:val="0"/>
              <w:rPr>
                <w:color w:val="auto"/>
                <w:highlight w:val="none"/>
                <w:vertAlign w:val="baseline"/>
              </w:rPr>
            </w:pPr>
          </w:p>
        </w:tc>
        <w:tc>
          <w:tcPr>
            <w:tcW w:w="1060" w:type="dxa"/>
          </w:tcPr>
          <w:p w14:paraId="542CE9FA">
            <w:pPr>
              <w:widowControl w:val="0"/>
              <w:rPr>
                <w:color w:val="auto"/>
                <w:highlight w:val="none"/>
                <w:vertAlign w:val="baseline"/>
              </w:rPr>
            </w:pPr>
          </w:p>
        </w:tc>
        <w:tc>
          <w:tcPr>
            <w:tcW w:w="1277" w:type="dxa"/>
          </w:tcPr>
          <w:p w14:paraId="1C229079">
            <w:pPr>
              <w:widowControl w:val="0"/>
              <w:rPr>
                <w:color w:val="auto"/>
                <w:highlight w:val="none"/>
                <w:vertAlign w:val="baseline"/>
              </w:rPr>
            </w:pPr>
          </w:p>
        </w:tc>
        <w:tc>
          <w:tcPr>
            <w:tcW w:w="1486" w:type="dxa"/>
          </w:tcPr>
          <w:p w14:paraId="0535F847">
            <w:pPr>
              <w:widowControl w:val="0"/>
              <w:rPr>
                <w:color w:val="auto"/>
                <w:highlight w:val="none"/>
                <w:vertAlign w:val="baseline"/>
              </w:rPr>
            </w:pPr>
          </w:p>
        </w:tc>
        <w:tc>
          <w:tcPr>
            <w:tcW w:w="1560" w:type="dxa"/>
          </w:tcPr>
          <w:p w14:paraId="2034F975">
            <w:pPr>
              <w:widowControl w:val="0"/>
              <w:rPr>
                <w:color w:val="auto"/>
                <w:highlight w:val="none"/>
                <w:vertAlign w:val="baseline"/>
              </w:rPr>
            </w:pPr>
          </w:p>
        </w:tc>
        <w:tc>
          <w:tcPr>
            <w:tcW w:w="1080" w:type="dxa"/>
          </w:tcPr>
          <w:p w14:paraId="04DE4CC0">
            <w:pPr>
              <w:widowControl w:val="0"/>
              <w:rPr>
                <w:color w:val="auto"/>
                <w:highlight w:val="none"/>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color w:val="auto"/>
                <w:highlight w:val="none"/>
                <w:vertAlign w:val="baseline"/>
              </w:rPr>
            </w:pPr>
          </w:p>
        </w:tc>
        <w:tc>
          <w:tcPr>
            <w:tcW w:w="1543" w:type="dxa"/>
            <w:vMerge w:val="continue"/>
          </w:tcPr>
          <w:p w14:paraId="1629D171">
            <w:pPr>
              <w:widowControl w:val="0"/>
              <w:rPr>
                <w:color w:val="auto"/>
                <w:highlight w:val="none"/>
                <w:vertAlign w:val="baseline"/>
              </w:rPr>
            </w:pPr>
          </w:p>
        </w:tc>
        <w:tc>
          <w:tcPr>
            <w:tcW w:w="1393" w:type="dxa"/>
          </w:tcPr>
          <w:p w14:paraId="6F728AC8">
            <w:pPr>
              <w:widowControl w:val="0"/>
              <w:rPr>
                <w:color w:val="auto"/>
                <w:highlight w:val="none"/>
                <w:vertAlign w:val="baseline"/>
              </w:rPr>
            </w:pPr>
          </w:p>
        </w:tc>
        <w:tc>
          <w:tcPr>
            <w:tcW w:w="1060" w:type="dxa"/>
          </w:tcPr>
          <w:p w14:paraId="5DC1D47F">
            <w:pPr>
              <w:widowControl w:val="0"/>
              <w:rPr>
                <w:color w:val="auto"/>
                <w:highlight w:val="none"/>
                <w:vertAlign w:val="baseline"/>
              </w:rPr>
            </w:pPr>
          </w:p>
        </w:tc>
        <w:tc>
          <w:tcPr>
            <w:tcW w:w="1060" w:type="dxa"/>
          </w:tcPr>
          <w:p w14:paraId="0736C76F">
            <w:pPr>
              <w:widowControl w:val="0"/>
              <w:rPr>
                <w:color w:val="auto"/>
                <w:highlight w:val="none"/>
                <w:vertAlign w:val="baseline"/>
              </w:rPr>
            </w:pPr>
          </w:p>
        </w:tc>
        <w:tc>
          <w:tcPr>
            <w:tcW w:w="1060" w:type="dxa"/>
          </w:tcPr>
          <w:p w14:paraId="41FF43D8">
            <w:pPr>
              <w:widowControl w:val="0"/>
              <w:rPr>
                <w:color w:val="auto"/>
                <w:highlight w:val="none"/>
                <w:vertAlign w:val="baseline"/>
              </w:rPr>
            </w:pPr>
          </w:p>
        </w:tc>
        <w:tc>
          <w:tcPr>
            <w:tcW w:w="1060" w:type="dxa"/>
          </w:tcPr>
          <w:p w14:paraId="739BF70B">
            <w:pPr>
              <w:widowControl w:val="0"/>
              <w:rPr>
                <w:color w:val="auto"/>
                <w:highlight w:val="none"/>
                <w:vertAlign w:val="baseline"/>
              </w:rPr>
            </w:pPr>
          </w:p>
        </w:tc>
        <w:tc>
          <w:tcPr>
            <w:tcW w:w="1060" w:type="dxa"/>
          </w:tcPr>
          <w:p w14:paraId="21217D12">
            <w:pPr>
              <w:widowControl w:val="0"/>
              <w:rPr>
                <w:color w:val="auto"/>
                <w:highlight w:val="none"/>
                <w:vertAlign w:val="baseline"/>
              </w:rPr>
            </w:pPr>
          </w:p>
        </w:tc>
        <w:tc>
          <w:tcPr>
            <w:tcW w:w="1277" w:type="dxa"/>
          </w:tcPr>
          <w:p w14:paraId="2D25857A">
            <w:pPr>
              <w:widowControl w:val="0"/>
              <w:rPr>
                <w:color w:val="auto"/>
                <w:highlight w:val="none"/>
                <w:vertAlign w:val="baseline"/>
              </w:rPr>
            </w:pPr>
          </w:p>
        </w:tc>
        <w:tc>
          <w:tcPr>
            <w:tcW w:w="1486" w:type="dxa"/>
          </w:tcPr>
          <w:p w14:paraId="4976030C">
            <w:pPr>
              <w:widowControl w:val="0"/>
              <w:rPr>
                <w:color w:val="auto"/>
                <w:highlight w:val="none"/>
                <w:vertAlign w:val="baseline"/>
              </w:rPr>
            </w:pPr>
          </w:p>
        </w:tc>
        <w:tc>
          <w:tcPr>
            <w:tcW w:w="1560" w:type="dxa"/>
          </w:tcPr>
          <w:p w14:paraId="5664F5DB">
            <w:pPr>
              <w:widowControl w:val="0"/>
              <w:rPr>
                <w:color w:val="auto"/>
                <w:highlight w:val="none"/>
                <w:vertAlign w:val="baseline"/>
              </w:rPr>
            </w:pPr>
          </w:p>
        </w:tc>
        <w:tc>
          <w:tcPr>
            <w:tcW w:w="1080" w:type="dxa"/>
          </w:tcPr>
          <w:p w14:paraId="366DE966">
            <w:pPr>
              <w:widowControl w:val="0"/>
              <w:rPr>
                <w:color w:val="auto"/>
                <w:highlight w:val="none"/>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vMerge w:val="restart"/>
          </w:tcPr>
          <w:p w14:paraId="5F7F009A">
            <w:pPr>
              <w:widowControl w:val="0"/>
              <w:rPr>
                <w:color w:val="auto"/>
                <w:highlight w:val="none"/>
                <w:vertAlign w:val="baseline"/>
              </w:rPr>
            </w:pPr>
          </w:p>
        </w:tc>
        <w:tc>
          <w:tcPr>
            <w:tcW w:w="1393" w:type="dxa"/>
          </w:tcPr>
          <w:p w14:paraId="0D8A01B7">
            <w:pPr>
              <w:widowControl w:val="0"/>
              <w:rPr>
                <w:color w:val="auto"/>
                <w:highlight w:val="none"/>
                <w:vertAlign w:val="baseline"/>
              </w:rPr>
            </w:pPr>
          </w:p>
        </w:tc>
        <w:tc>
          <w:tcPr>
            <w:tcW w:w="1060" w:type="dxa"/>
          </w:tcPr>
          <w:p w14:paraId="5D2869C6">
            <w:pPr>
              <w:widowControl w:val="0"/>
              <w:rPr>
                <w:color w:val="auto"/>
                <w:highlight w:val="none"/>
                <w:vertAlign w:val="baseline"/>
              </w:rPr>
            </w:pPr>
          </w:p>
        </w:tc>
        <w:tc>
          <w:tcPr>
            <w:tcW w:w="1060" w:type="dxa"/>
          </w:tcPr>
          <w:p w14:paraId="1AA351AF">
            <w:pPr>
              <w:widowControl w:val="0"/>
              <w:rPr>
                <w:color w:val="auto"/>
                <w:highlight w:val="none"/>
                <w:vertAlign w:val="baseline"/>
              </w:rPr>
            </w:pPr>
          </w:p>
        </w:tc>
        <w:tc>
          <w:tcPr>
            <w:tcW w:w="1060" w:type="dxa"/>
          </w:tcPr>
          <w:p w14:paraId="140B3B78">
            <w:pPr>
              <w:widowControl w:val="0"/>
              <w:rPr>
                <w:color w:val="auto"/>
                <w:highlight w:val="none"/>
                <w:vertAlign w:val="baseline"/>
              </w:rPr>
            </w:pPr>
          </w:p>
        </w:tc>
        <w:tc>
          <w:tcPr>
            <w:tcW w:w="1060" w:type="dxa"/>
          </w:tcPr>
          <w:p w14:paraId="7187B6F3">
            <w:pPr>
              <w:widowControl w:val="0"/>
              <w:rPr>
                <w:color w:val="auto"/>
                <w:highlight w:val="none"/>
                <w:vertAlign w:val="baseline"/>
              </w:rPr>
            </w:pPr>
          </w:p>
        </w:tc>
        <w:tc>
          <w:tcPr>
            <w:tcW w:w="1060" w:type="dxa"/>
          </w:tcPr>
          <w:p w14:paraId="782C0C79">
            <w:pPr>
              <w:widowControl w:val="0"/>
              <w:rPr>
                <w:color w:val="auto"/>
                <w:highlight w:val="none"/>
                <w:vertAlign w:val="baseline"/>
              </w:rPr>
            </w:pPr>
          </w:p>
        </w:tc>
        <w:tc>
          <w:tcPr>
            <w:tcW w:w="1277" w:type="dxa"/>
          </w:tcPr>
          <w:p w14:paraId="3BA3AD13">
            <w:pPr>
              <w:widowControl w:val="0"/>
              <w:rPr>
                <w:color w:val="auto"/>
                <w:highlight w:val="none"/>
                <w:vertAlign w:val="baseline"/>
              </w:rPr>
            </w:pPr>
          </w:p>
        </w:tc>
        <w:tc>
          <w:tcPr>
            <w:tcW w:w="1486" w:type="dxa"/>
          </w:tcPr>
          <w:p w14:paraId="3F864AE3">
            <w:pPr>
              <w:widowControl w:val="0"/>
              <w:rPr>
                <w:color w:val="auto"/>
                <w:highlight w:val="none"/>
                <w:vertAlign w:val="baseline"/>
              </w:rPr>
            </w:pPr>
          </w:p>
        </w:tc>
        <w:tc>
          <w:tcPr>
            <w:tcW w:w="1560" w:type="dxa"/>
          </w:tcPr>
          <w:p w14:paraId="6D48088E">
            <w:pPr>
              <w:widowControl w:val="0"/>
              <w:rPr>
                <w:color w:val="auto"/>
                <w:highlight w:val="none"/>
                <w:vertAlign w:val="baseline"/>
              </w:rPr>
            </w:pPr>
          </w:p>
        </w:tc>
        <w:tc>
          <w:tcPr>
            <w:tcW w:w="1080" w:type="dxa"/>
          </w:tcPr>
          <w:p w14:paraId="09F3E95E">
            <w:pPr>
              <w:widowControl w:val="0"/>
              <w:rPr>
                <w:color w:val="auto"/>
                <w:highlight w:val="none"/>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color w:val="auto"/>
                <w:highlight w:val="none"/>
                <w:vertAlign w:val="baseline"/>
              </w:rPr>
            </w:pPr>
          </w:p>
        </w:tc>
        <w:tc>
          <w:tcPr>
            <w:tcW w:w="1543" w:type="dxa"/>
            <w:vMerge w:val="continue"/>
          </w:tcPr>
          <w:p w14:paraId="4D0CA1FD">
            <w:pPr>
              <w:widowControl w:val="0"/>
              <w:rPr>
                <w:color w:val="auto"/>
                <w:highlight w:val="none"/>
                <w:vertAlign w:val="baseline"/>
              </w:rPr>
            </w:pPr>
          </w:p>
        </w:tc>
        <w:tc>
          <w:tcPr>
            <w:tcW w:w="1393" w:type="dxa"/>
          </w:tcPr>
          <w:p w14:paraId="23AB6B66">
            <w:pPr>
              <w:widowControl w:val="0"/>
              <w:rPr>
                <w:color w:val="auto"/>
                <w:highlight w:val="none"/>
                <w:vertAlign w:val="baseline"/>
              </w:rPr>
            </w:pPr>
          </w:p>
        </w:tc>
        <w:tc>
          <w:tcPr>
            <w:tcW w:w="1060" w:type="dxa"/>
          </w:tcPr>
          <w:p w14:paraId="6B29D694">
            <w:pPr>
              <w:widowControl w:val="0"/>
              <w:rPr>
                <w:color w:val="auto"/>
                <w:highlight w:val="none"/>
                <w:vertAlign w:val="baseline"/>
              </w:rPr>
            </w:pPr>
          </w:p>
        </w:tc>
        <w:tc>
          <w:tcPr>
            <w:tcW w:w="1060" w:type="dxa"/>
          </w:tcPr>
          <w:p w14:paraId="424656BF">
            <w:pPr>
              <w:widowControl w:val="0"/>
              <w:rPr>
                <w:color w:val="auto"/>
                <w:highlight w:val="none"/>
                <w:vertAlign w:val="baseline"/>
              </w:rPr>
            </w:pPr>
          </w:p>
        </w:tc>
        <w:tc>
          <w:tcPr>
            <w:tcW w:w="1060" w:type="dxa"/>
          </w:tcPr>
          <w:p w14:paraId="747DFEFE">
            <w:pPr>
              <w:widowControl w:val="0"/>
              <w:rPr>
                <w:color w:val="auto"/>
                <w:highlight w:val="none"/>
                <w:vertAlign w:val="baseline"/>
              </w:rPr>
            </w:pPr>
          </w:p>
        </w:tc>
        <w:tc>
          <w:tcPr>
            <w:tcW w:w="1060" w:type="dxa"/>
          </w:tcPr>
          <w:p w14:paraId="3CDE67A2">
            <w:pPr>
              <w:widowControl w:val="0"/>
              <w:rPr>
                <w:color w:val="auto"/>
                <w:highlight w:val="none"/>
                <w:vertAlign w:val="baseline"/>
              </w:rPr>
            </w:pPr>
          </w:p>
        </w:tc>
        <w:tc>
          <w:tcPr>
            <w:tcW w:w="1060" w:type="dxa"/>
          </w:tcPr>
          <w:p w14:paraId="5D8AC925">
            <w:pPr>
              <w:widowControl w:val="0"/>
              <w:rPr>
                <w:color w:val="auto"/>
                <w:highlight w:val="none"/>
                <w:vertAlign w:val="baseline"/>
              </w:rPr>
            </w:pPr>
          </w:p>
        </w:tc>
        <w:tc>
          <w:tcPr>
            <w:tcW w:w="1277" w:type="dxa"/>
          </w:tcPr>
          <w:p w14:paraId="3D2C7340">
            <w:pPr>
              <w:widowControl w:val="0"/>
              <w:rPr>
                <w:color w:val="auto"/>
                <w:highlight w:val="none"/>
                <w:vertAlign w:val="baseline"/>
              </w:rPr>
            </w:pPr>
          </w:p>
        </w:tc>
        <w:tc>
          <w:tcPr>
            <w:tcW w:w="1486" w:type="dxa"/>
          </w:tcPr>
          <w:p w14:paraId="4A016A1F">
            <w:pPr>
              <w:widowControl w:val="0"/>
              <w:rPr>
                <w:color w:val="auto"/>
                <w:highlight w:val="none"/>
                <w:vertAlign w:val="baseline"/>
              </w:rPr>
            </w:pPr>
          </w:p>
        </w:tc>
        <w:tc>
          <w:tcPr>
            <w:tcW w:w="1560" w:type="dxa"/>
          </w:tcPr>
          <w:p w14:paraId="6AA74C35">
            <w:pPr>
              <w:widowControl w:val="0"/>
              <w:rPr>
                <w:color w:val="auto"/>
                <w:highlight w:val="none"/>
                <w:vertAlign w:val="baseline"/>
              </w:rPr>
            </w:pPr>
          </w:p>
        </w:tc>
        <w:tc>
          <w:tcPr>
            <w:tcW w:w="1080" w:type="dxa"/>
          </w:tcPr>
          <w:p w14:paraId="091E8271">
            <w:pPr>
              <w:widowControl w:val="0"/>
              <w:rPr>
                <w:color w:val="auto"/>
                <w:highlight w:val="none"/>
                <w:vertAlign w:val="baseline"/>
              </w:rPr>
            </w:pPr>
          </w:p>
        </w:tc>
      </w:tr>
    </w:tbl>
    <w:p w14:paraId="22CB90DF">
      <w:pPr>
        <w:rPr>
          <w:color w:val="auto"/>
          <w:highlight w:val="none"/>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14:paraId="5A6344A3">
      <w:pPr>
        <w:keepNext w:val="0"/>
        <w:keepLines w:val="0"/>
        <w:widowControl/>
        <w:suppressLineNumbers w:val="0"/>
        <w:ind w:firstLine="482" w:firstLineChars="20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此表为产品配套耗材报价表，如没有，无需制作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66DBF250">
      <w:pPr>
        <w:pStyle w:val="24"/>
        <w:rPr>
          <w:rFonts w:hint="eastAsia" w:ascii="宋体" w:hAnsi="宋体" w:cs="宋体"/>
          <w:color w:val="auto"/>
          <w:kern w:val="0"/>
          <w:sz w:val="24"/>
          <w:highlight w:val="none"/>
        </w:rPr>
      </w:pPr>
    </w:p>
    <w:p w14:paraId="02699B8D">
      <w:pPr>
        <w:pStyle w:val="24"/>
        <w:rPr>
          <w:rFonts w:hint="eastAsia" w:ascii="宋体" w:hAnsi="宋体" w:cs="宋体"/>
          <w:color w:val="auto"/>
          <w:kern w:val="0"/>
          <w:sz w:val="24"/>
          <w:highlight w:val="none"/>
        </w:rPr>
        <w:sectPr>
          <w:pgSz w:w="16838" w:h="11906" w:orient="landscape"/>
          <w:pgMar w:top="1474" w:right="1417" w:bottom="1474" w:left="1417" w:header="851" w:footer="624" w:gutter="0"/>
          <w:pgNumType w:fmt="decimal"/>
          <w:cols w:space="720" w:num="1"/>
          <w:docGrid w:type="lines" w:linePitch="319" w:charSpace="0"/>
        </w:sectPr>
      </w:pPr>
    </w:p>
    <w:p w14:paraId="5986FE19">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产地</w:t>
            </w:r>
          </w:p>
        </w:tc>
        <w:tc>
          <w:tcPr>
            <w:tcW w:w="1238" w:type="dxa"/>
            <w:vAlign w:val="center"/>
          </w:tcPr>
          <w:p w14:paraId="29752C26">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型号规格</w:t>
            </w:r>
          </w:p>
        </w:tc>
        <w:tc>
          <w:tcPr>
            <w:tcW w:w="1023" w:type="dxa"/>
            <w:vAlign w:val="center"/>
          </w:tcPr>
          <w:p w14:paraId="545160AD">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单位</w:t>
            </w:r>
          </w:p>
        </w:tc>
        <w:tc>
          <w:tcPr>
            <w:tcW w:w="1800" w:type="dxa"/>
            <w:vAlign w:val="center"/>
          </w:tcPr>
          <w:p w14:paraId="6CD84A9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color w:val="auto"/>
                <w:highlight w:val="none"/>
                <w:vertAlign w:val="baseline"/>
                <w:lang w:val="en-US" w:eastAsia="zh-CN"/>
              </w:rPr>
            </w:pPr>
          </w:p>
        </w:tc>
        <w:tc>
          <w:tcPr>
            <w:tcW w:w="1676" w:type="dxa"/>
            <w:vAlign w:val="center"/>
          </w:tcPr>
          <w:p w14:paraId="2B2FB324">
            <w:pPr>
              <w:widowControl w:val="0"/>
              <w:jc w:val="center"/>
              <w:rPr>
                <w:rFonts w:hint="default"/>
                <w:color w:val="auto"/>
                <w:highlight w:val="none"/>
                <w:vertAlign w:val="baseline"/>
                <w:lang w:val="en-US" w:eastAsia="zh-CN"/>
              </w:rPr>
            </w:pPr>
          </w:p>
        </w:tc>
        <w:tc>
          <w:tcPr>
            <w:tcW w:w="1238" w:type="dxa"/>
            <w:vAlign w:val="center"/>
          </w:tcPr>
          <w:p w14:paraId="3FFED3C5">
            <w:pPr>
              <w:widowControl w:val="0"/>
              <w:jc w:val="center"/>
              <w:rPr>
                <w:rFonts w:hint="default"/>
                <w:color w:val="auto"/>
                <w:highlight w:val="none"/>
                <w:vertAlign w:val="baseline"/>
                <w:lang w:val="en-US" w:eastAsia="zh-CN"/>
              </w:rPr>
            </w:pPr>
          </w:p>
        </w:tc>
        <w:tc>
          <w:tcPr>
            <w:tcW w:w="1238" w:type="dxa"/>
            <w:vAlign w:val="center"/>
          </w:tcPr>
          <w:p w14:paraId="1FC676C2">
            <w:pPr>
              <w:widowControl w:val="0"/>
              <w:jc w:val="center"/>
              <w:rPr>
                <w:rFonts w:hint="default"/>
                <w:color w:val="auto"/>
                <w:highlight w:val="none"/>
                <w:vertAlign w:val="baseline"/>
                <w:lang w:val="en-US" w:eastAsia="zh-CN"/>
              </w:rPr>
            </w:pPr>
          </w:p>
        </w:tc>
        <w:tc>
          <w:tcPr>
            <w:tcW w:w="1238" w:type="dxa"/>
            <w:vAlign w:val="center"/>
          </w:tcPr>
          <w:p w14:paraId="25AACED3">
            <w:pPr>
              <w:widowControl w:val="0"/>
              <w:jc w:val="center"/>
              <w:rPr>
                <w:rFonts w:hint="default"/>
                <w:color w:val="auto"/>
                <w:highlight w:val="none"/>
                <w:vertAlign w:val="baseline"/>
                <w:lang w:val="en-US" w:eastAsia="zh-CN"/>
              </w:rPr>
            </w:pPr>
          </w:p>
        </w:tc>
        <w:tc>
          <w:tcPr>
            <w:tcW w:w="1023" w:type="dxa"/>
            <w:vAlign w:val="center"/>
          </w:tcPr>
          <w:p w14:paraId="749D014C">
            <w:pPr>
              <w:widowControl w:val="0"/>
              <w:jc w:val="center"/>
              <w:rPr>
                <w:rFonts w:hint="default"/>
                <w:color w:val="auto"/>
                <w:highlight w:val="none"/>
                <w:vertAlign w:val="baseline"/>
                <w:lang w:val="en-US" w:eastAsia="zh-CN"/>
              </w:rPr>
            </w:pPr>
          </w:p>
        </w:tc>
        <w:tc>
          <w:tcPr>
            <w:tcW w:w="1800" w:type="dxa"/>
            <w:vAlign w:val="center"/>
          </w:tcPr>
          <w:p w14:paraId="05134611">
            <w:pPr>
              <w:widowControl w:val="0"/>
              <w:jc w:val="center"/>
              <w:rPr>
                <w:rFonts w:hint="default"/>
                <w:color w:val="auto"/>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color w:val="auto"/>
                <w:highlight w:val="none"/>
                <w:vertAlign w:val="baseline"/>
                <w:lang w:val="en-US" w:eastAsia="zh-CN"/>
              </w:rPr>
            </w:pPr>
          </w:p>
        </w:tc>
        <w:tc>
          <w:tcPr>
            <w:tcW w:w="1676" w:type="dxa"/>
            <w:vAlign w:val="center"/>
          </w:tcPr>
          <w:p w14:paraId="31FB795C">
            <w:pPr>
              <w:widowControl w:val="0"/>
              <w:jc w:val="center"/>
              <w:rPr>
                <w:rFonts w:hint="default"/>
                <w:color w:val="auto"/>
                <w:highlight w:val="none"/>
                <w:vertAlign w:val="baseline"/>
                <w:lang w:val="en-US" w:eastAsia="zh-CN"/>
              </w:rPr>
            </w:pPr>
          </w:p>
        </w:tc>
        <w:tc>
          <w:tcPr>
            <w:tcW w:w="1238" w:type="dxa"/>
            <w:vAlign w:val="center"/>
          </w:tcPr>
          <w:p w14:paraId="3DDF1F3E">
            <w:pPr>
              <w:widowControl w:val="0"/>
              <w:jc w:val="center"/>
              <w:rPr>
                <w:rFonts w:hint="default"/>
                <w:color w:val="auto"/>
                <w:highlight w:val="none"/>
                <w:vertAlign w:val="baseline"/>
                <w:lang w:val="en-US" w:eastAsia="zh-CN"/>
              </w:rPr>
            </w:pPr>
          </w:p>
        </w:tc>
        <w:tc>
          <w:tcPr>
            <w:tcW w:w="1238" w:type="dxa"/>
            <w:vAlign w:val="center"/>
          </w:tcPr>
          <w:p w14:paraId="1AE826AF">
            <w:pPr>
              <w:widowControl w:val="0"/>
              <w:jc w:val="center"/>
              <w:rPr>
                <w:rFonts w:hint="default"/>
                <w:color w:val="auto"/>
                <w:highlight w:val="none"/>
                <w:vertAlign w:val="baseline"/>
                <w:lang w:val="en-US" w:eastAsia="zh-CN"/>
              </w:rPr>
            </w:pPr>
          </w:p>
        </w:tc>
        <w:tc>
          <w:tcPr>
            <w:tcW w:w="1238" w:type="dxa"/>
            <w:vAlign w:val="center"/>
          </w:tcPr>
          <w:p w14:paraId="439C5F96">
            <w:pPr>
              <w:widowControl w:val="0"/>
              <w:jc w:val="center"/>
              <w:rPr>
                <w:rFonts w:hint="default"/>
                <w:color w:val="auto"/>
                <w:highlight w:val="none"/>
                <w:vertAlign w:val="baseline"/>
                <w:lang w:val="en-US" w:eastAsia="zh-CN"/>
              </w:rPr>
            </w:pPr>
          </w:p>
        </w:tc>
        <w:tc>
          <w:tcPr>
            <w:tcW w:w="1023" w:type="dxa"/>
            <w:vAlign w:val="center"/>
          </w:tcPr>
          <w:p w14:paraId="674CDC80">
            <w:pPr>
              <w:widowControl w:val="0"/>
              <w:jc w:val="center"/>
              <w:rPr>
                <w:rFonts w:hint="default"/>
                <w:color w:val="auto"/>
                <w:highlight w:val="none"/>
                <w:vertAlign w:val="baseline"/>
                <w:lang w:val="en-US" w:eastAsia="zh-CN"/>
              </w:rPr>
            </w:pPr>
          </w:p>
        </w:tc>
        <w:tc>
          <w:tcPr>
            <w:tcW w:w="1800" w:type="dxa"/>
            <w:vAlign w:val="center"/>
          </w:tcPr>
          <w:p w14:paraId="1CB5057F">
            <w:pPr>
              <w:widowControl w:val="0"/>
              <w:jc w:val="center"/>
              <w:rPr>
                <w:rFonts w:hint="default"/>
                <w:color w:val="auto"/>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color w:val="auto"/>
                <w:highlight w:val="none"/>
                <w:vertAlign w:val="baseline"/>
                <w:lang w:val="en-US" w:eastAsia="zh-CN"/>
              </w:rPr>
            </w:pPr>
          </w:p>
        </w:tc>
        <w:tc>
          <w:tcPr>
            <w:tcW w:w="1676" w:type="dxa"/>
            <w:vAlign w:val="center"/>
          </w:tcPr>
          <w:p w14:paraId="4953F941">
            <w:pPr>
              <w:widowControl w:val="0"/>
              <w:jc w:val="center"/>
              <w:rPr>
                <w:rFonts w:hint="default"/>
                <w:color w:val="auto"/>
                <w:highlight w:val="none"/>
                <w:vertAlign w:val="baseline"/>
                <w:lang w:val="en-US" w:eastAsia="zh-CN"/>
              </w:rPr>
            </w:pPr>
          </w:p>
        </w:tc>
        <w:tc>
          <w:tcPr>
            <w:tcW w:w="1238" w:type="dxa"/>
            <w:vAlign w:val="center"/>
          </w:tcPr>
          <w:p w14:paraId="60D4163C">
            <w:pPr>
              <w:widowControl w:val="0"/>
              <w:jc w:val="center"/>
              <w:rPr>
                <w:rFonts w:hint="default"/>
                <w:color w:val="auto"/>
                <w:highlight w:val="none"/>
                <w:vertAlign w:val="baseline"/>
                <w:lang w:val="en-US" w:eastAsia="zh-CN"/>
              </w:rPr>
            </w:pPr>
          </w:p>
        </w:tc>
        <w:tc>
          <w:tcPr>
            <w:tcW w:w="1238" w:type="dxa"/>
            <w:vAlign w:val="center"/>
          </w:tcPr>
          <w:p w14:paraId="7F5D0506">
            <w:pPr>
              <w:widowControl w:val="0"/>
              <w:jc w:val="center"/>
              <w:rPr>
                <w:rFonts w:hint="default"/>
                <w:color w:val="auto"/>
                <w:highlight w:val="none"/>
                <w:vertAlign w:val="baseline"/>
                <w:lang w:val="en-US" w:eastAsia="zh-CN"/>
              </w:rPr>
            </w:pPr>
          </w:p>
        </w:tc>
        <w:tc>
          <w:tcPr>
            <w:tcW w:w="1238" w:type="dxa"/>
            <w:vAlign w:val="center"/>
          </w:tcPr>
          <w:p w14:paraId="72E86AD5">
            <w:pPr>
              <w:widowControl w:val="0"/>
              <w:jc w:val="center"/>
              <w:rPr>
                <w:rFonts w:hint="default"/>
                <w:color w:val="auto"/>
                <w:highlight w:val="none"/>
                <w:vertAlign w:val="baseline"/>
                <w:lang w:val="en-US" w:eastAsia="zh-CN"/>
              </w:rPr>
            </w:pPr>
          </w:p>
        </w:tc>
        <w:tc>
          <w:tcPr>
            <w:tcW w:w="1023" w:type="dxa"/>
            <w:vAlign w:val="center"/>
          </w:tcPr>
          <w:p w14:paraId="7134BF0D">
            <w:pPr>
              <w:widowControl w:val="0"/>
              <w:jc w:val="center"/>
              <w:rPr>
                <w:rFonts w:hint="default"/>
                <w:color w:val="auto"/>
                <w:highlight w:val="none"/>
                <w:vertAlign w:val="baseline"/>
                <w:lang w:val="en-US" w:eastAsia="zh-CN"/>
              </w:rPr>
            </w:pPr>
          </w:p>
        </w:tc>
        <w:tc>
          <w:tcPr>
            <w:tcW w:w="1800" w:type="dxa"/>
            <w:vAlign w:val="center"/>
          </w:tcPr>
          <w:p w14:paraId="0EB3CD05">
            <w:pPr>
              <w:widowControl w:val="0"/>
              <w:jc w:val="center"/>
              <w:rPr>
                <w:rFonts w:hint="default"/>
                <w:color w:val="auto"/>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color w:val="auto"/>
                <w:highlight w:val="none"/>
                <w:vertAlign w:val="baseline"/>
                <w:lang w:val="en-US" w:eastAsia="zh-CN"/>
              </w:rPr>
            </w:pPr>
          </w:p>
        </w:tc>
        <w:tc>
          <w:tcPr>
            <w:tcW w:w="1676" w:type="dxa"/>
            <w:vAlign w:val="center"/>
          </w:tcPr>
          <w:p w14:paraId="3A245A35">
            <w:pPr>
              <w:widowControl w:val="0"/>
              <w:jc w:val="center"/>
              <w:rPr>
                <w:rFonts w:hint="default"/>
                <w:color w:val="auto"/>
                <w:highlight w:val="none"/>
                <w:vertAlign w:val="baseline"/>
                <w:lang w:val="en-US" w:eastAsia="zh-CN"/>
              </w:rPr>
            </w:pPr>
          </w:p>
        </w:tc>
        <w:tc>
          <w:tcPr>
            <w:tcW w:w="1238" w:type="dxa"/>
            <w:vAlign w:val="center"/>
          </w:tcPr>
          <w:p w14:paraId="6D057E85">
            <w:pPr>
              <w:widowControl w:val="0"/>
              <w:jc w:val="center"/>
              <w:rPr>
                <w:rFonts w:hint="default"/>
                <w:color w:val="auto"/>
                <w:highlight w:val="none"/>
                <w:vertAlign w:val="baseline"/>
                <w:lang w:val="en-US" w:eastAsia="zh-CN"/>
              </w:rPr>
            </w:pPr>
          </w:p>
        </w:tc>
        <w:tc>
          <w:tcPr>
            <w:tcW w:w="1238" w:type="dxa"/>
            <w:vAlign w:val="center"/>
          </w:tcPr>
          <w:p w14:paraId="515422B7">
            <w:pPr>
              <w:widowControl w:val="0"/>
              <w:jc w:val="center"/>
              <w:rPr>
                <w:rFonts w:hint="default"/>
                <w:color w:val="auto"/>
                <w:highlight w:val="none"/>
                <w:vertAlign w:val="baseline"/>
                <w:lang w:val="en-US" w:eastAsia="zh-CN"/>
              </w:rPr>
            </w:pPr>
          </w:p>
        </w:tc>
        <w:tc>
          <w:tcPr>
            <w:tcW w:w="1238" w:type="dxa"/>
            <w:vAlign w:val="center"/>
          </w:tcPr>
          <w:p w14:paraId="161FB83F">
            <w:pPr>
              <w:widowControl w:val="0"/>
              <w:jc w:val="center"/>
              <w:rPr>
                <w:rFonts w:hint="default"/>
                <w:color w:val="auto"/>
                <w:highlight w:val="none"/>
                <w:vertAlign w:val="baseline"/>
                <w:lang w:val="en-US" w:eastAsia="zh-CN"/>
              </w:rPr>
            </w:pPr>
          </w:p>
        </w:tc>
        <w:tc>
          <w:tcPr>
            <w:tcW w:w="1023" w:type="dxa"/>
            <w:vAlign w:val="center"/>
          </w:tcPr>
          <w:p w14:paraId="77DF5323">
            <w:pPr>
              <w:widowControl w:val="0"/>
              <w:jc w:val="center"/>
              <w:rPr>
                <w:rFonts w:hint="default"/>
                <w:color w:val="auto"/>
                <w:highlight w:val="none"/>
                <w:vertAlign w:val="baseline"/>
                <w:lang w:val="en-US" w:eastAsia="zh-CN"/>
              </w:rPr>
            </w:pPr>
          </w:p>
        </w:tc>
        <w:tc>
          <w:tcPr>
            <w:tcW w:w="1800" w:type="dxa"/>
            <w:vAlign w:val="center"/>
          </w:tcPr>
          <w:p w14:paraId="1D8AAC89">
            <w:pPr>
              <w:widowControl w:val="0"/>
              <w:jc w:val="center"/>
              <w:rPr>
                <w:rFonts w:hint="default"/>
                <w:color w:val="auto"/>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color w:val="auto"/>
                <w:highlight w:val="none"/>
                <w:vertAlign w:val="baseline"/>
                <w:lang w:val="en-US" w:eastAsia="zh-CN"/>
              </w:rPr>
            </w:pPr>
          </w:p>
        </w:tc>
        <w:tc>
          <w:tcPr>
            <w:tcW w:w="1676" w:type="dxa"/>
            <w:vAlign w:val="center"/>
          </w:tcPr>
          <w:p w14:paraId="6E777249">
            <w:pPr>
              <w:widowControl w:val="0"/>
              <w:jc w:val="center"/>
              <w:rPr>
                <w:rFonts w:hint="default"/>
                <w:color w:val="auto"/>
                <w:highlight w:val="none"/>
                <w:vertAlign w:val="baseline"/>
                <w:lang w:val="en-US" w:eastAsia="zh-CN"/>
              </w:rPr>
            </w:pPr>
          </w:p>
        </w:tc>
        <w:tc>
          <w:tcPr>
            <w:tcW w:w="1238" w:type="dxa"/>
            <w:vAlign w:val="center"/>
          </w:tcPr>
          <w:p w14:paraId="4DE2A82B">
            <w:pPr>
              <w:widowControl w:val="0"/>
              <w:jc w:val="center"/>
              <w:rPr>
                <w:rFonts w:hint="default"/>
                <w:color w:val="auto"/>
                <w:highlight w:val="none"/>
                <w:vertAlign w:val="baseline"/>
                <w:lang w:val="en-US" w:eastAsia="zh-CN"/>
              </w:rPr>
            </w:pPr>
          </w:p>
        </w:tc>
        <w:tc>
          <w:tcPr>
            <w:tcW w:w="1238" w:type="dxa"/>
            <w:vAlign w:val="center"/>
          </w:tcPr>
          <w:p w14:paraId="7C5B0392">
            <w:pPr>
              <w:widowControl w:val="0"/>
              <w:jc w:val="center"/>
              <w:rPr>
                <w:rFonts w:hint="default"/>
                <w:color w:val="auto"/>
                <w:highlight w:val="none"/>
                <w:vertAlign w:val="baseline"/>
                <w:lang w:val="en-US" w:eastAsia="zh-CN"/>
              </w:rPr>
            </w:pPr>
          </w:p>
        </w:tc>
        <w:tc>
          <w:tcPr>
            <w:tcW w:w="1238" w:type="dxa"/>
            <w:vAlign w:val="center"/>
          </w:tcPr>
          <w:p w14:paraId="17137530">
            <w:pPr>
              <w:widowControl w:val="0"/>
              <w:jc w:val="center"/>
              <w:rPr>
                <w:rFonts w:hint="default"/>
                <w:color w:val="auto"/>
                <w:highlight w:val="none"/>
                <w:vertAlign w:val="baseline"/>
                <w:lang w:val="en-US" w:eastAsia="zh-CN"/>
              </w:rPr>
            </w:pPr>
          </w:p>
        </w:tc>
        <w:tc>
          <w:tcPr>
            <w:tcW w:w="1023" w:type="dxa"/>
            <w:vAlign w:val="center"/>
          </w:tcPr>
          <w:p w14:paraId="1138018C">
            <w:pPr>
              <w:widowControl w:val="0"/>
              <w:jc w:val="center"/>
              <w:rPr>
                <w:rFonts w:hint="default"/>
                <w:color w:val="auto"/>
                <w:highlight w:val="none"/>
                <w:vertAlign w:val="baseline"/>
                <w:lang w:val="en-US" w:eastAsia="zh-CN"/>
              </w:rPr>
            </w:pPr>
          </w:p>
        </w:tc>
        <w:tc>
          <w:tcPr>
            <w:tcW w:w="1800" w:type="dxa"/>
            <w:vAlign w:val="center"/>
          </w:tcPr>
          <w:p w14:paraId="4CA32857">
            <w:pPr>
              <w:widowControl w:val="0"/>
              <w:jc w:val="center"/>
              <w:rPr>
                <w:rFonts w:hint="default"/>
                <w:color w:val="auto"/>
                <w:highlight w:val="none"/>
                <w:vertAlign w:val="baseline"/>
                <w:lang w:val="en-US" w:eastAsia="zh-CN"/>
              </w:rPr>
            </w:pPr>
          </w:p>
        </w:tc>
      </w:tr>
    </w:tbl>
    <w:p w14:paraId="4690C867">
      <w:pPr>
        <w:rPr>
          <w:rFonts w:hint="default"/>
          <w:color w:val="auto"/>
          <w:highlight w:val="none"/>
          <w:lang w:val="en-US" w:eastAsia="zh-CN"/>
        </w:rPr>
      </w:pPr>
    </w:p>
    <w:p w14:paraId="3F22E3BC">
      <w:pPr>
        <w:keepNext w:val="0"/>
        <w:keepLines w:val="0"/>
        <w:widowControl/>
        <w:suppressLineNumbers w:val="0"/>
        <w:jc w:val="left"/>
        <w:rPr>
          <w:rFonts w:hint="default"/>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备注：</w:t>
      </w:r>
    </w:p>
    <w:p w14:paraId="57F16B7F">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牌为准； </w:t>
      </w:r>
    </w:p>
    <w:p w14:paraId="71CBFEA7">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color w:val="auto"/>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2480310">
      <w:pPr>
        <w:bidi w:val="0"/>
        <w:rPr>
          <w:rFonts w:hint="eastAsia"/>
          <w:color w:val="auto"/>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color w:val="auto"/>
          <w:highlight w:val="none"/>
          <w:lang w:val="en-US" w:eastAsia="zh-CN"/>
        </w:rPr>
      </w:pPr>
    </w:p>
    <w:p w14:paraId="591F39DF">
      <w:pPr>
        <w:pStyle w:val="24"/>
        <w:rPr>
          <w:rFonts w:hint="eastAsia" w:ascii="宋体" w:hAnsi="宋体" w:cs="宋体"/>
          <w:color w:val="auto"/>
          <w:kern w:val="0"/>
          <w:sz w:val="24"/>
          <w:highlight w:val="none"/>
          <w:lang w:val="en-US" w:eastAsia="zh-CN"/>
        </w:rPr>
      </w:pPr>
    </w:p>
    <w:p w14:paraId="0C409640">
      <w:pPr>
        <w:pStyle w:val="24"/>
        <w:rPr>
          <w:rFonts w:hint="eastAsia" w:ascii="宋体" w:hAnsi="宋体" w:cs="宋体"/>
          <w:color w:val="auto"/>
          <w:kern w:val="0"/>
          <w:sz w:val="24"/>
          <w:highlight w:val="none"/>
          <w:lang w:val="en-US" w:eastAsia="zh-CN"/>
        </w:rPr>
      </w:pPr>
    </w:p>
    <w:p w14:paraId="1C9EAA97">
      <w:pPr>
        <w:pStyle w:val="24"/>
        <w:rPr>
          <w:rFonts w:hint="eastAsia" w:ascii="宋体" w:hAnsi="宋体" w:cs="宋体"/>
          <w:color w:val="auto"/>
          <w:kern w:val="0"/>
          <w:sz w:val="24"/>
          <w:highlight w:val="none"/>
          <w:lang w:val="en-US" w:eastAsia="zh-CN"/>
        </w:rPr>
      </w:pPr>
    </w:p>
    <w:p w14:paraId="21B00144">
      <w:pPr>
        <w:pStyle w:val="24"/>
        <w:rPr>
          <w:rFonts w:hint="eastAsia" w:ascii="宋体" w:hAnsi="宋体" w:cs="宋体"/>
          <w:color w:val="auto"/>
          <w:kern w:val="0"/>
          <w:sz w:val="24"/>
          <w:highlight w:val="none"/>
          <w:lang w:val="en-US" w:eastAsia="zh-CN"/>
        </w:rPr>
      </w:pPr>
    </w:p>
    <w:p w14:paraId="2A74BFB0">
      <w:pPr>
        <w:pStyle w:val="24"/>
        <w:rPr>
          <w:rFonts w:hint="eastAsia" w:ascii="宋体" w:hAnsi="宋体" w:cs="宋体"/>
          <w:color w:val="auto"/>
          <w:kern w:val="0"/>
          <w:sz w:val="24"/>
          <w:highlight w:val="none"/>
          <w:lang w:val="en-US" w:eastAsia="zh-CN"/>
        </w:rPr>
      </w:pPr>
    </w:p>
    <w:p w14:paraId="3EF3AB43">
      <w:pPr>
        <w:pStyle w:val="24"/>
        <w:rPr>
          <w:rFonts w:hint="eastAsia" w:ascii="宋体" w:hAnsi="宋体" w:cs="宋体"/>
          <w:color w:val="auto"/>
          <w:kern w:val="0"/>
          <w:sz w:val="24"/>
          <w:highlight w:val="none"/>
          <w:lang w:val="en-US" w:eastAsia="zh-CN"/>
        </w:rPr>
      </w:pPr>
    </w:p>
    <w:p w14:paraId="4AAC2649">
      <w:pPr>
        <w:pStyle w:val="24"/>
        <w:rPr>
          <w:rFonts w:hint="default" w:ascii="宋体" w:hAnsi="宋体" w:cs="宋体"/>
          <w:color w:val="auto"/>
          <w:kern w:val="0"/>
          <w:sz w:val="24"/>
          <w:highlight w:val="none"/>
          <w:lang w:val="en-US" w:eastAsia="zh-CN"/>
        </w:rPr>
      </w:pPr>
    </w:p>
    <w:p w14:paraId="5C2F6EBC">
      <w:pPr>
        <w:pStyle w:val="24"/>
        <w:rPr>
          <w:rFonts w:hint="default" w:ascii="宋体" w:hAnsi="宋体" w:cs="宋体"/>
          <w:color w:val="auto"/>
          <w:kern w:val="0"/>
          <w:sz w:val="24"/>
          <w:highlight w:val="none"/>
          <w:lang w:val="en-US" w:eastAsia="zh-CN"/>
        </w:rPr>
      </w:pPr>
    </w:p>
    <w:p w14:paraId="51FCD9D6">
      <w:pPr>
        <w:pStyle w:val="24"/>
        <w:rPr>
          <w:rFonts w:hint="default" w:ascii="宋体" w:hAnsi="宋体" w:cs="宋体"/>
          <w:color w:val="auto"/>
          <w:kern w:val="0"/>
          <w:sz w:val="24"/>
          <w:highlight w:val="none"/>
          <w:lang w:val="en-US" w:eastAsia="zh-CN"/>
        </w:rPr>
      </w:pPr>
    </w:p>
    <w:p w14:paraId="1E63C69E">
      <w:pPr>
        <w:pStyle w:val="24"/>
        <w:rPr>
          <w:rFonts w:hint="default" w:ascii="宋体" w:hAnsi="宋体" w:cs="宋体"/>
          <w:color w:val="auto"/>
          <w:kern w:val="0"/>
          <w:sz w:val="24"/>
          <w:highlight w:val="none"/>
          <w:lang w:val="en-US" w:eastAsia="zh-CN"/>
        </w:rPr>
      </w:pPr>
    </w:p>
    <w:p w14:paraId="14084F2D">
      <w:pPr>
        <w:pStyle w:val="24"/>
        <w:rPr>
          <w:rFonts w:hint="default" w:ascii="宋体" w:hAnsi="宋体" w:cs="宋体"/>
          <w:color w:val="auto"/>
          <w:kern w:val="0"/>
          <w:sz w:val="24"/>
          <w:highlight w:val="none"/>
          <w:lang w:val="en-US" w:eastAsia="zh-CN"/>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8"/>
      <w:bookmarkEnd w:id="89"/>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04543762">
      <w:pPr>
        <w:bidi w:val="0"/>
        <w:jc w:val="center"/>
        <w:rPr>
          <w:rFonts w:hint="default"/>
          <w:color w:val="auto"/>
          <w:highlight w:val="none"/>
          <w:lang w:val="en-US" w:eastAsia="zh-CN"/>
        </w:rPr>
      </w:pPr>
      <w:r>
        <w:rPr>
          <w:rFonts w:hint="eastAsia"/>
          <w:color w:val="auto"/>
          <w:highlight w:val="none"/>
          <w:lang w:val="en-US" w:eastAsia="zh-CN"/>
        </w:rPr>
        <w:t>按照磋商文件“第二章 采购需求 三、技术参数要求”提供证明文件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6" w:name="_Toc29960"/>
      <w:bookmarkStart w:id="97" w:name="_Toc20420"/>
      <w:bookmarkStart w:id="98" w:name="_Toc24168"/>
      <w:r>
        <w:rPr>
          <w:rFonts w:hint="eastAsia" w:ascii="宋体" w:hAnsi="宋体" w:eastAsia="宋体" w:cs="宋体"/>
          <w:color w:val="auto"/>
          <w:sz w:val="28"/>
          <w:szCs w:val="28"/>
          <w:highlight w:val="none"/>
          <w:lang w:val="en-US" w:eastAsia="zh-CN"/>
        </w:rPr>
        <w:t>附件6            商务响应</w:t>
      </w:r>
      <w:bookmarkEnd w:id="96"/>
      <w:bookmarkEnd w:id="97"/>
      <w:bookmarkEnd w:id="98"/>
      <w:r>
        <w:rPr>
          <w:rFonts w:hint="eastAsia" w:ascii="宋体" w:hAnsi="宋体" w:eastAsia="宋体" w:cs="宋体"/>
          <w:color w:val="auto"/>
          <w:sz w:val="28"/>
          <w:szCs w:val="28"/>
          <w:highlight w:val="none"/>
          <w:lang w:val="en-US" w:eastAsia="zh-CN"/>
        </w:rPr>
        <w:t>表（格式）</w:t>
      </w:r>
    </w:p>
    <w:tbl>
      <w:tblPr>
        <w:tblStyle w:val="91"/>
        <w:tblW w:w="92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0"/>
        <w:gridCol w:w="1570"/>
        <w:gridCol w:w="1948"/>
        <w:gridCol w:w="2029"/>
        <w:gridCol w:w="1717"/>
        <w:gridCol w:w="1061"/>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jc w:val="center"/>
        </w:trPr>
        <w:tc>
          <w:tcPr>
            <w:tcW w:w="910" w:type="dxa"/>
            <w:noWrap w:val="0"/>
            <w:vAlign w:val="center"/>
          </w:tcPr>
          <w:p w14:paraId="61F6BA15">
            <w:pPr>
              <w:widowControl/>
              <w:wordWrap w:val="0"/>
              <w:spacing w:line="4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color w:val="auto"/>
                <w:sz w:val="21"/>
                <w:szCs w:val="21"/>
                <w:highlight w:val="none"/>
                <w:lang w:val="en-US" w:eastAsia="zh-CN"/>
              </w:rPr>
              <w:t>序号</w:t>
            </w:r>
          </w:p>
        </w:tc>
        <w:tc>
          <w:tcPr>
            <w:tcW w:w="1570"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194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29"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717"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061"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910"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570" w:type="dxa"/>
            <w:noWrap w:val="0"/>
            <w:vAlign w:val="center"/>
          </w:tcPr>
          <w:p w14:paraId="6DC2849E">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交货期</w:t>
            </w:r>
          </w:p>
        </w:tc>
        <w:tc>
          <w:tcPr>
            <w:tcW w:w="194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9"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17"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061"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910" w:type="dxa"/>
            <w:noWrap w:val="0"/>
            <w:vAlign w:val="center"/>
          </w:tcPr>
          <w:p w14:paraId="40B5BCD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570" w:type="dxa"/>
            <w:noWrap w:val="0"/>
            <w:vAlign w:val="center"/>
          </w:tcPr>
          <w:p w14:paraId="0472149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194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9"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17"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061"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910" w:type="dxa"/>
            <w:noWrap w:val="0"/>
            <w:vAlign w:val="center"/>
          </w:tcPr>
          <w:p w14:paraId="0BED208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570" w:type="dxa"/>
            <w:noWrap w:val="0"/>
            <w:vAlign w:val="center"/>
          </w:tcPr>
          <w:p w14:paraId="50BB9001">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194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9"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17"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061"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910" w:type="dxa"/>
            <w:noWrap w:val="0"/>
            <w:vAlign w:val="center"/>
          </w:tcPr>
          <w:p w14:paraId="731D51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70" w:type="dxa"/>
            <w:noWrap w:val="0"/>
            <w:vAlign w:val="center"/>
          </w:tcPr>
          <w:p w14:paraId="6182A3E4">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194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9"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17"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061"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910" w:type="dxa"/>
            <w:noWrap w:val="0"/>
            <w:vAlign w:val="center"/>
          </w:tcPr>
          <w:p w14:paraId="15D97B2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70" w:type="dxa"/>
            <w:noWrap w:val="0"/>
            <w:vAlign w:val="center"/>
          </w:tcPr>
          <w:p w14:paraId="5C43BD33">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p>
        </w:tc>
        <w:tc>
          <w:tcPr>
            <w:tcW w:w="194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9"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17"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061"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6F4E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910" w:type="dxa"/>
            <w:noWrap w:val="0"/>
            <w:vAlign w:val="center"/>
          </w:tcPr>
          <w:p w14:paraId="6A490418">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70" w:type="dxa"/>
            <w:noWrap w:val="0"/>
            <w:vAlign w:val="center"/>
          </w:tcPr>
          <w:p w14:paraId="75A23F75">
            <w:pPr>
              <w:pStyle w:val="7"/>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1948" w:type="dxa"/>
            <w:noWrap w:val="0"/>
            <w:vAlign w:val="center"/>
          </w:tcPr>
          <w:p w14:paraId="18A64C8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9" w:type="dxa"/>
            <w:noWrap w:val="0"/>
            <w:vAlign w:val="center"/>
          </w:tcPr>
          <w:p w14:paraId="6C01D4E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17" w:type="dxa"/>
            <w:noWrap w:val="0"/>
            <w:vAlign w:val="center"/>
          </w:tcPr>
          <w:p w14:paraId="054B894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061" w:type="dxa"/>
            <w:noWrap w:val="0"/>
            <w:vAlign w:val="center"/>
          </w:tcPr>
          <w:p w14:paraId="5B930B9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302DCB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031FD277">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99" w:name="_Toc31526"/>
      <w:bookmarkStart w:id="100" w:name="_Toc28621"/>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1" w:name="_Toc29406"/>
      <w:r>
        <w:rPr>
          <w:rFonts w:hint="eastAsia" w:ascii="宋体" w:hAnsi="宋体" w:eastAsia="宋体" w:cs="宋体"/>
          <w:color w:val="auto"/>
          <w:sz w:val="28"/>
          <w:szCs w:val="28"/>
          <w:highlight w:val="none"/>
          <w:lang w:val="en-US" w:eastAsia="zh-CN"/>
        </w:rPr>
        <w:t>附件7         法定代表人身份证明（格式）</w:t>
      </w:r>
      <w:bookmarkEnd w:id="99"/>
      <w:bookmarkEnd w:id="100"/>
      <w:bookmarkEnd w:id="101"/>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2" w:name="_Toc13976"/>
      <w:bookmarkStart w:id="103" w:name="_Toc30519"/>
      <w:bookmarkStart w:id="104" w:name="_Toc12939"/>
      <w:r>
        <w:rPr>
          <w:rFonts w:hint="eastAsia" w:ascii="宋体" w:hAnsi="宋体" w:eastAsia="宋体" w:cs="宋体"/>
          <w:color w:val="auto"/>
          <w:sz w:val="28"/>
          <w:szCs w:val="28"/>
          <w:highlight w:val="none"/>
          <w:lang w:val="en-US" w:eastAsia="zh-CN"/>
        </w:rPr>
        <w:t>附件8         法定代表人授权书（格式）</w:t>
      </w:r>
      <w:bookmarkEnd w:id="102"/>
      <w:bookmarkEnd w:id="103"/>
      <w:bookmarkEnd w:id="104"/>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w:t>
      </w:r>
      <w:r>
        <w:rPr>
          <w:rFonts w:hint="eastAsia" w:ascii="宋体" w:hAnsi="宋体" w:cs="宋体"/>
          <w:color w:val="auto"/>
          <w:kern w:val="0"/>
          <w:sz w:val="24"/>
          <w:highlight w:val="none"/>
          <w:lang w:val="en-US" w:eastAsia="zh-CN"/>
        </w:rPr>
        <w:t>包</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的</w:t>
      </w:r>
      <w:r>
        <w:rPr>
          <w:rFonts w:hint="eastAsia" w:ascii="宋体" w:hAnsi="宋体" w:cs="宋体"/>
          <w:color w:val="auto"/>
          <w:kern w:val="0"/>
          <w:sz w:val="24"/>
          <w:highlight w:val="none"/>
          <w:lang w:val="en-US" w:eastAsia="zh-CN"/>
        </w:rPr>
        <w:t>竞争性磋商采购</w:t>
      </w:r>
      <w:r>
        <w:rPr>
          <w:rFonts w:hint="eastAsia" w:ascii="宋体" w:hAnsi="宋体" w:eastAsia="宋体" w:cs="宋体"/>
          <w:color w:val="auto"/>
          <w:kern w:val="0"/>
          <w:sz w:val="24"/>
          <w:highlight w:val="none"/>
        </w:rPr>
        <w:t>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5" w:name="_Toc18105"/>
      <w:bookmarkStart w:id="106" w:name="_Toc3342"/>
      <w:bookmarkStart w:id="107" w:name="_Toc24693"/>
      <w:r>
        <w:rPr>
          <w:rFonts w:hint="eastAsia" w:ascii="宋体" w:hAnsi="宋体" w:eastAsia="宋体" w:cs="宋体"/>
          <w:color w:val="auto"/>
          <w:sz w:val="28"/>
          <w:szCs w:val="28"/>
          <w:highlight w:val="none"/>
          <w:lang w:val="en-US" w:eastAsia="zh-CN"/>
        </w:rPr>
        <w:t>附件9          证明文件</w:t>
      </w:r>
      <w:bookmarkEnd w:id="105"/>
      <w:bookmarkEnd w:id="106"/>
      <w:bookmarkEnd w:id="107"/>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108"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9" w:name="_Toc12888"/>
      <w:bookmarkStart w:id="110" w:name="_Toc16083"/>
      <w:bookmarkStart w:id="111" w:name="_Toc13726"/>
      <w:r>
        <w:rPr>
          <w:rFonts w:hint="eastAsia" w:ascii="宋体" w:hAnsi="宋体" w:eastAsia="宋体" w:cs="宋体"/>
          <w:color w:val="auto"/>
          <w:sz w:val="28"/>
          <w:szCs w:val="28"/>
          <w:highlight w:val="none"/>
          <w:lang w:val="en-US" w:eastAsia="zh-CN"/>
        </w:rPr>
        <w:t xml:space="preserve">附件10      </w:t>
      </w:r>
      <w:bookmarkEnd w:id="108"/>
      <w:r>
        <w:rPr>
          <w:rFonts w:hint="eastAsia" w:ascii="宋体" w:hAnsi="宋体" w:eastAsia="宋体" w:cs="宋体"/>
          <w:color w:val="auto"/>
          <w:sz w:val="28"/>
          <w:szCs w:val="28"/>
          <w:highlight w:val="none"/>
          <w:lang w:val="en-US" w:eastAsia="zh-CN"/>
        </w:rPr>
        <w:t>供 应 商 承 诺 书 （格式）</w:t>
      </w:r>
      <w:bookmarkEnd w:id="109"/>
      <w:bookmarkEnd w:id="110"/>
      <w:bookmarkEnd w:id="111"/>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58422D44">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E54FEDB">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12" w:name="_Toc25094"/>
      <w:bookmarkStart w:id="113" w:name="_Toc23394"/>
      <w:bookmarkStart w:id="114" w:name="_Toc31685"/>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112"/>
      <w:bookmarkEnd w:id="113"/>
      <w:bookmarkEnd w:id="114"/>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驻马店市中心医院一氧化氮治疗仪、自动听性脑干听力筛查仪采购项目（二次）采购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ABFFD1C6"/>
    <w:multiLevelType w:val="singleLevel"/>
    <w:tmpl w:val="ABFFD1C6"/>
    <w:lvl w:ilvl="0" w:tentative="0">
      <w:start w:val="1"/>
      <w:numFmt w:val="decimal"/>
      <w:suff w:val="space"/>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C626C"/>
    <w:rsid w:val="011E110B"/>
    <w:rsid w:val="01525212"/>
    <w:rsid w:val="01564054"/>
    <w:rsid w:val="015C0A67"/>
    <w:rsid w:val="01745FBF"/>
    <w:rsid w:val="017E6D95"/>
    <w:rsid w:val="018D0058"/>
    <w:rsid w:val="01976717"/>
    <w:rsid w:val="019F1377"/>
    <w:rsid w:val="01C55A0C"/>
    <w:rsid w:val="01D715BE"/>
    <w:rsid w:val="01EB45BC"/>
    <w:rsid w:val="01F04981"/>
    <w:rsid w:val="01F9035B"/>
    <w:rsid w:val="01FA63A5"/>
    <w:rsid w:val="01FB0577"/>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D3297"/>
    <w:rsid w:val="035E4919"/>
    <w:rsid w:val="03675F31"/>
    <w:rsid w:val="036A009A"/>
    <w:rsid w:val="037A734D"/>
    <w:rsid w:val="03844805"/>
    <w:rsid w:val="03845791"/>
    <w:rsid w:val="03A011E9"/>
    <w:rsid w:val="03AE7F27"/>
    <w:rsid w:val="03BD2BCD"/>
    <w:rsid w:val="03CC058D"/>
    <w:rsid w:val="03E017D2"/>
    <w:rsid w:val="03E80BFB"/>
    <w:rsid w:val="03F447E2"/>
    <w:rsid w:val="03F77068"/>
    <w:rsid w:val="03FB660C"/>
    <w:rsid w:val="042E37DB"/>
    <w:rsid w:val="04416C20"/>
    <w:rsid w:val="04732647"/>
    <w:rsid w:val="047968B1"/>
    <w:rsid w:val="04870542"/>
    <w:rsid w:val="04B30F7A"/>
    <w:rsid w:val="04EB6D1E"/>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CF6E44"/>
    <w:rsid w:val="05D53002"/>
    <w:rsid w:val="05D75738"/>
    <w:rsid w:val="05EB110D"/>
    <w:rsid w:val="05EB4481"/>
    <w:rsid w:val="05F17CC7"/>
    <w:rsid w:val="06163BD1"/>
    <w:rsid w:val="061E7D14"/>
    <w:rsid w:val="0633246A"/>
    <w:rsid w:val="06446B44"/>
    <w:rsid w:val="06560AED"/>
    <w:rsid w:val="0661309E"/>
    <w:rsid w:val="066469C9"/>
    <w:rsid w:val="066646A1"/>
    <w:rsid w:val="066E164D"/>
    <w:rsid w:val="067B3A34"/>
    <w:rsid w:val="068A3C77"/>
    <w:rsid w:val="068E7B23"/>
    <w:rsid w:val="06983B20"/>
    <w:rsid w:val="069A3B66"/>
    <w:rsid w:val="06A869D6"/>
    <w:rsid w:val="06A9264E"/>
    <w:rsid w:val="06B31420"/>
    <w:rsid w:val="06B70F10"/>
    <w:rsid w:val="06B91765"/>
    <w:rsid w:val="06CA2AD2"/>
    <w:rsid w:val="06CB0D68"/>
    <w:rsid w:val="06CE3071"/>
    <w:rsid w:val="06D33DBA"/>
    <w:rsid w:val="06D73361"/>
    <w:rsid w:val="06E13F9F"/>
    <w:rsid w:val="06FB0AC5"/>
    <w:rsid w:val="06FE7278"/>
    <w:rsid w:val="07061550"/>
    <w:rsid w:val="070D2D5D"/>
    <w:rsid w:val="07104A12"/>
    <w:rsid w:val="07111B8D"/>
    <w:rsid w:val="072916E2"/>
    <w:rsid w:val="072C5514"/>
    <w:rsid w:val="0737768A"/>
    <w:rsid w:val="074A5B92"/>
    <w:rsid w:val="075D0147"/>
    <w:rsid w:val="075E3193"/>
    <w:rsid w:val="07740BAF"/>
    <w:rsid w:val="078E18EB"/>
    <w:rsid w:val="07AA2823"/>
    <w:rsid w:val="07B02D9F"/>
    <w:rsid w:val="07B10EA5"/>
    <w:rsid w:val="07C510CB"/>
    <w:rsid w:val="07CD6512"/>
    <w:rsid w:val="07CE3FA1"/>
    <w:rsid w:val="07EC2ECB"/>
    <w:rsid w:val="07FE66CB"/>
    <w:rsid w:val="08030185"/>
    <w:rsid w:val="080B4D47"/>
    <w:rsid w:val="081B2F5F"/>
    <w:rsid w:val="081B727D"/>
    <w:rsid w:val="081D2FF5"/>
    <w:rsid w:val="08321601"/>
    <w:rsid w:val="08326375"/>
    <w:rsid w:val="083D5C91"/>
    <w:rsid w:val="0847191F"/>
    <w:rsid w:val="08591DC3"/>
    <w:rsid w:val="085B58CB"/>
    <w:rsid w:val="08672793"/>
    <w:rsid w:val="08695E80"/>
    <w:rsid w:val="087C4541"/>
    <w:rsid w:val="087E5595"/>
    <w:rsid w:val="08BA4CE8"/>
    <w:rsid w:val="08BC0A60"/>
    <w:rsid w:val="08C52D6F"/>
    <w:rsid w:val="08E42BE4"/>
    <w:rsid w:val="08EF0201"/>
    <w:rsid w:val="08F41DE8"/>
    <w:rsid w:val="093D1475"/>
    <w:rsid w:val="094840A2"/>
    <w:rsid w:val="09644C54"/>
    <w:rsid w:val="09737462"/>
    <w:rsid w:val="09864BCA"/>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74359"/>
    <w:rsid w:val="0A4F145F"/>
    <w:rsid w:val="0A8455AD"/>
    <w:rsid w:val="0A8729A8"/>
    <w:rsid w:val="0ABA2D7D"/>
    <w:rsid w:val="0AD13A85"/>
    <w:rsid w:val="0AE0655C"/>
    <w:rsid w:val="0B016BFE"/>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1110C3"/>
    <w:rsid w:val="0C230DF6"/>
    <w:rsid w:val="0C3152C1"/>
    <w:rsid w:val="0C3957A5"/>
    <w:rsid w:val="0C507E2F"/>
    <w:rsid w:val="0C600D66"/>
    <w:rsid w:val="0C626DA7"/>
    <w:rsid w:val="0C6876AE"/>
    <w:rsid w:val="0C71390F"/>
    <w:rsid w:val="0C720EC8"/>
    <w:rsid w:val="0C874EE1"/>
    <w:rsid w:val="0C942042"/>
    <w:rsid w:val="0C9D50DC"/>
    <w:rsid w:val="0CA5271D"/>
    <w:rsid w:val="0CAC4D10"/>
    <w:rsid w:val="0CC53C5B"/>
    <w:rsid w:val="0CC72121"/>
    <w:rsid w:val="0CEE5A21"/>
    <w:rsid w:val="0D05268E"/>
    <w:rsid w:val="0D0646E7"/>
    <w:rsid w:val="0D0C38CA"/>
    <w:rsid w:val="0D206810"/>
    <w:rsid w:val="0D4861FD"/>
    <w:rsid w:val="0D613984"/>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A35BA"/>
    <w:rsid w:val="0ECE6257"/>
    <w:rsid w:val="0EE4129D"/>
    <w:rsid w:val="0F026AA1"/>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D3781"/>
    <w:rsid w:val="10EE5C94"/>
    <w:rsid w:val="10F5757C"/>
    <w:rsid w:val="10F93ED3"/>
    <w:rsid w:val="111D7BC2"/>
    <w:rsid w:val="11250F40"/>
    <w:rsid w:val="113329E7"/>
    <w:rsid w:val="113F294C"/>
    <w:rsid w:val="11437C85"/>
    <w:rsid w:val="11575085"/>
    <w:rsid w:val="11651569"/>
    <w:rsid w:val="1166372C"/>
    <w:rsid w:val="11700D10"/>
    <w:rsid w:val="1178125A"/>
    <w:rsid w:val="118441E0"/>
    <w:rsid w:val="1196056D"/>
    <w:rsid w:val="11B85B3D"/>
    <w:rsid w:val="11CD20A0"/>
    <w:rsid w:val="11D34654"/>
    <w:rsid w:val="12010480"/>
    <w:rsid w:val="12040D82"/>
    <w:rsid w:val="120E707F"/>
    <w:rsid w:val="12192A7F"/>
    <w:rsid w:val="121D0051"/>
    <w:rsid w:val="12413D84"/>
    <w:rsid w:val="124B075F"/>
    <w:rsid w:val="127A7D1C"/>
    <w:rsid w:val="12836D8B"/>
    <w:rsid w:val="12993BC0"/>
    <w:rsid w:val="12AB0349"/>
    <w:rsid w:val="12B66520"/>
    <w:rsid w:val="12CD57F1"/>
    <w:rsid w:val="12CE5941"/>
    <w:rsid w:val="12CE7AFA"/>
    <w:rsid w:val="12D67466"/>
    <w:rsid w:val="12FD414F"/>
    <w:rsid w:val="13036052"/>
    <w:rsid w:val="131E2317"/>
    <w:rsid w:val="13272A5D"/>
    <w:rsid w:val="132A2A6A"/>
    <w:rsid w:val="133C40E3"/>
    <w:rsid w:val="133F4BFF"/>
    <w:rsid w:val="13410069"/>
    <w:rsid w:val="13493108"/>
    <w:rsid w:val="134A4EBA"/>
    <w:rsid w:val="13616720"/>
    <w:rsid w:val="13713CFE"/>
    <w:rsid w:val="13733928"/>
    <w:rsid w:val="13741F37"/>
    <w:rsid w:val="13857CA0"/>
    <w:rsid w:val="13920D68"/>
    <w:rsid w:val="139546B6"/>
    <w:rsid w:val="139C16C9"/>
    <w:rsid w:val="13A5238E"/>
    <w:rsid w:val="13B63CE1"/>
    <w:rsid w:val="13BC6684"/>
    <w:rsid w:val="13C72B3A"/>
    <w:rsid w:val="13D12EE6"/>
    <w:rsid w:val="13DF575E"/>
    <w:rsid w:val="13E37615"/>
    <w:rsid w:val="13E470BD"/>
    <w:rsid w:val="13EE3A98"/>
    <w:rsid w:val="13F3280A"/>
    <w:rsid w:val="14060DE1"/>
    <w:rsid w:val="142123F7"/>
    <w:rsid w:val="142A11D8"/>
    <w:rsid w:val="144B544C"/>
    <w:rsid w:val="145B7B45"/>
    <w:rsid w:val="14627FE2"/>
    <w:rsid w:val="14717443"/>
    <w:rsid w:val="14825F8A"/>
    <w:rsid w:val="14883EEC"/>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6087D"/>
    <w:rsid w:val="153A36AA"/>
    <w:rsid w:val="15477903"/>
    <w:rsid w:val="1557566D"/>
    <w:rsid w:val="1565422D"/>
    <w:rsid w:val="156E0971"/>
    <w:rsid w:val="15785B3E"/>
    <w:rsid w:val="15811F1B"/>
    <w:rsid w:val="15A30135"/>
    <w:rsid w:val="15A34015"/>
    <w:rsid w:val="15A5287C"/>
    <w:rsid w:val="15B605E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06EDC"/>
    <w:rsid w:val="16C872D5"/>
    <w:rsid w:val="16D54FA3"/>
    <w:rsid w:val="16D84D9F"/>
    <w:rsid w:val="16E94D3E"/>
    <w:rsid w:val="170D06E0"/>
    <w:rsid w:val="171750B3"/>
    <w:rsid w:val="17233E03"/>
    <w:rsid w:val="17332185"/>
    <w:rsid w:val="17475951"/>
    <w:rsid w:val="17546308"/>
    <w:rsid w:val="175C542D"/>
    <w:rsid w:val="175D0ED4"/>
    <w:rsid w:val="17793FC0"/>
    <w:rsid w:val="179A6D4F"/>
    <w:rsid w:val="179D33A9"/>
    <w:rsid w:val="179F2E61"/>
    <w:rsid w:val="17A06264"/>
    <w:rsid w:val="17BE19D3"/>
    <w:rsid w:val="17C227C0"/>
    <w:rsid w:val="17D66D7C"/>
    <w:rsid w:val="17DE0EDF"/>
    <w:rsid w:val="17EE5BFF"/>
    <w:rsid w:val="18097740"/>
    <w:rsid w:val="18136133"/>
    <w:rsid w:val="184055B9"/>
    <w:rsid w:val="1840688C"/>
    <w:rsid w:val="184A2082"/>
    <w:rsid w:val="185A16FC"/>
    <w:rsid w:val="185D3C42"/>
    <w:rsid w:val="185F38AF"/>
    <w:rsid w:val="188F0211"/>
    <w:rsid w:val="18AD1BEB"/>
    <w:rsid w:val="18B3004A"/>
    <w:rsid w:val="18B31B6D"/>
    <w:rsid w:val="18B83CF9"/>
    <w:rsid w:val="18B96080"/>
    <w:rsid w:val="18C4126B"/>
    <w:rsid w:val="18CB43A7"/>
    <w:rsid w:val="18CE20EA"/>
    <w:rsid w:val="18D55226"/>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271AB1"/>
    <w:rsid w:val="1A5F4342"/>
    <w:rsid w:val="1A616E2C"/>
    <w:rsid w:val="1A715D02"/>
    <w:rsid w:val="1A7B75D1"/>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3C2486"/>
    <w:rsid w:val="1C4032FE"/>
    <w:rsid w:val="1C4E77C9"/>
    <w:rsid w:val="1C555978"/>
    <w:rsid w:val="1C6554A1"/>
    <w:rsid w:val="1C7971B7"/>
    <w:rsid w:val="1C8036FB"/>
    <w:rsid w:val="1C917D91"/>
    <w:rsid w:val="1C9978FC"/>
    <w:rsid w:val="1CAB2820"/>
    <w:rsid w:val="1CD402EC"/>
    <w:rsid w:val="1CED16EF"/>
    <w:rsid w:val="1CF02333"/>
    <w:rsid w:val="1D047E88"/>
    <w:rsid w:val="1D0C33A2"/>
    <w:rsid w:val="1D0C4F8F"/>
    <w:rsid w:val="1D113E6E"/>
    <w:rsid w:val="1D114E5E"/>
    <w:rsid w:val="1D1F0050"/>
    <w:rsid w:val="1D214EDE"/>
    <w:rsid w:val="1D2222DC"/>
    <w:rsid w:val="1D5144F7"/>
    <w:rsid w:val="1D5744D2"/>
    <w:rsid w:val="1D5B3CDE"/>
    <w:rsid w:val="1D5D0701"/>
    <w:rsid w:val="1D61177E"/>
    <w:rsid w:val="1D6E2950"/>
    <w:rsid w:val="1D79298C"/>
    <w:rsid w:val="1D8A4831"/>
    <w:rsid w:val="1D98209B"/>
    <w:rsid w:val="1DA23746"/>
    <w:rsid w:val="1DAA14B9"/>
    <w:rsid w:val="1DD04513"/>
    <w:rsid w:val="1DD8524D"/>
    <w:rsid w:val="1DDD2BCB"/>
    <w:rsid w:val="1DE57CB9"/>
    <w:rsid w:val="1E0345E3"/>
    <w:rsid w:val="1E0A4148"/>
    <w:rsid w:val="1E1B7B7F"/>
    <w:rsid w:val="1E443370"/>
    <w:rsid w:val="1E656063"/>
    <w:rsid w:val="1E6B06A5"/>
    <w:rsid w:val="1E6E5F01"/>
    <w:rsid w:val="1E7554E1"/>
    <w:rsid w:val="1E7F7D9E"/>
    <w:rsid w:val="1E82375A"/>
    <w:rsid w:val="1E840DA4"/>
    <w:rsid w:val="1EA5444C"/>
    <w:rsid w:val="1EA5569B"/>
    <w:rsid w:val="1EB350EF"/>
    <w:rsid w:val="1EC21749"/>
    <w:rsid w:val="1EEB7C4E"/>
    <w:rsid w:val="1F072441"/>
    <w:rsid w:val="1F171B83"/>
    <w:rsid w:val="1F2C3C4B"/>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5369B1"/>
    <w:rsid w:val="206F0406"/>
    <w:rsid w:val="207417C9"/>
    <w:rsid w:val="20784063"/>
    <w:rsid w:val="207E346A"/>
    <w:rsid w:val="208E12C3"/>
    <w:rsid w:val="209502A3"/>
    <w:rsid w:val="20EA3839"/>
    <w:rsid w:val="20F6042F"/>
    <w:rsid w:val="2100305C"/>
    <w:rsid w:val="210F579E"/>
    <w:rsid w:val="21163FF0"/>
    <w:rsid w:val="211B39F2"/>
    <w:rsid w:val="212550B5"/>
    <w:rsid w:val="21592B62"/>
    <w:rsid w:val="215F7D83"/>
    <w:rsid w:val="2172049B"/>
    <w:rsid w:val="21747CD2"/>
    <w:rsid w:val="219263AA"/>
    <w:rsid w:val="2195536B"/>
    <w:rsid w:val="219E5782"/>
    <w:rsid w:val="21A32365"/>
    <w:rsid w:val="21D10545"/>
    <w:rsid w:val="21E72B0B"/>
    <w:rsid w:val="21E76A4A"/>
    <w:rsid w:val="21EE607E"/>
    <w:rsid w:val="21F229A5"/>
    <w:rsid w:val="21F66F4C"/>
    <w:rsid w:val="21FA5DA1"/>
    <w:rsid w:val="221F2D96"/>
    <w:rsid w:val="22246DB1"/>
    <w:rsid w:val="22440067"/>
    <w:rsid w:val="225A6017"/>
    <w:rsid w:val="22631AF5"/>
    <w:rsid w:val="227A5532"/>
    <w:rsid w:val="22843A03"/>
    <w:rsid w:val="228E5C2C"/>
    <w:rsid w:val="22A338AB"/>
    <w:rsid w:val="22AD37A2"/>
    <w:rsid w:val="22B31E8A"/>
    <w:rsid w:val="22C05285"/>
    <w:rsid w:val="22C735BD"/>
    <w:rsid w:val="22CA1B74"/>
    <w:rsid w:val="22CF0F38"/>
    <w:rsid w:val="22D729A8"/>
    <w:rsid w:val="22F06957"/>
    <w:rsid w:val="2302130E"/>
    <w:rsid w:val="23057681"/>
    <w:rsid w:val="23122833"/>
    <w:rsid w:val="231D4917"/>
    <w:rsid w:val="23223458"/>
    <w:rsid w:val="23225D32"/>
    <w:rsid w:val="23357BE6"/>
    <w:rsid w:val="233E4DFB"/>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945F95"/>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822292"/>
    <w:rsid w:val="25965D3D"/>
    <w:rsid w:val="25972C60"/>
    <w:rsid w:val="25974C6F"/>
    <w:rsid w:val="259D1676"/>
    <w:rsid w:val="25A353EB"/>
    <w:rsid w:val="25B87B65"/>
    <w:rsid w:val="25CB78C3"/>
    <w:rsid w:val="25D54390"/>
    <w:rsid w:val="25D6438C"/>
    <w:rsid w:val="261879A7"/>
    <w:rsid w:val="261A071C"/>
    <w:rsid w:val="26306192"/>
    <w:rsid w:val="26395046"/>
    <w:rsid w:val="264B0BA4"/>
    <w:rsid w:val="264F4111"/>
    <w:rsid w:val="265E09AF"/>
    <w:rsid w:val="265E0AEC"/>
    <w:rsid w:val="2661459D"/>
    <w:rsid w:val="268C5256"/>
    <w:rsid w:val="268E455B"/>
    <w:rsid w:val="26912B30"/>
    <w:rsid w:val="26970932"/>
    <w:rsid w:val="269772F0"/>
    <w:rsid w:val="26997893"/>
    <w:rsid w:val="26A30712"/>
    <w:rsid w:val="26AC0C27"/>
    <w:rsid w:val="26BA5D64"/>
    <w:rsid w:val="26C807A6"/>
    <w:rsid w:val="26D1527F"/>
    <w:rsid w:val="26D23F28"/>
    <w:rsid w:val="26DB67BA"/>
    <w:rsid w:val="26DB7EAB"/>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04D10"/>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8E37E41"/>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8279A"/>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226B9"/>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338BC"/>
    <w:rsid w:val="2CC66CD6"/>
    <w:rsid w:val="2CE327BC"/>
    <w:rsid w:val="2CF16074"/>
    <w:rsid w:val="2CF81D1B"/>
    <w:rsid w:val="2D2307FE"/>
    <w:rsid w:val="2D3F2453"/>
    <w:rsid w:val="2D6F134E"/>
    <w:rsid w:val="2D835174"/>
    <w:rsid w:val="2D9331F9"/>
    <w:rsid w:val="2D99461C"/>
    <w:rsid w:val="2DB33930"/>
    <w:rsid w:val="2DD90B7B"/>
    <w:rsid w:val="2DD92C6B"/>
    <w:rsid w:val="2DDD3FC1"/>
    <w:rsid w:val="2DE531B8"/>
    <w:rsid w:val="2DEA131C"/>
    <w:rsid w:val="2DF701D8"/>
    <w:rsid w:val="2DF970A1"/>
    <w:rsid w:val="2E0665A9"/>
    <w:rsid w:val="2E085834"/>
    <w:rsid w:val="2E1034F8"/>
    <w:rsid w:val="2E112405"/>
    <w:rsid w:val="2E120D8E"/>
    <w:rsid w:val="2E2F02D8"/>
    <w:rsid w:val="2E310CF9"/>
    <w:rsid w:val="2E443652"/>
    <w:rsid w:val="2E505773"/>
    <w:rsid w:val="2E5C0A3D"/>
    <w:rsid w:val="2E742F70"/>
    <w:rsid w:val="2E884DBD"/>
    <w:rsid w:val="2E8C3288"/>
    <w:rsid w:val="2E9077CD"/>
    <w:rsid w:val="2E9574DA"/>
    <w:rsid w:val="2E9A689E"/>
    <w:rsid w:val="2ED61D9E"/>
    <w:rsid w:val="2EDC2A13"/>
    <w:rsid w:val="2EF7551C"/>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40F7A"/>
    <w:rsid w:val="2FEE6EA1"/>
    <w:rsid w:val="2FFE7D49"/>
    <w:rsid w:val="3002294D"/>
    <w:rsid w:val="3011153D"/>
    <w:rsid w:val="30142680"/>
    <w:rsid w:val="302567CF"/>
    <w:rsid w:val="302A11B1"/>
    <w:rsid w:val="302A5C42"/>
    <w:rsid w:val="30340091"/>
    <w:rsid w:val="305A62E5"/>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306F34"/>
    <w:rsid w:val="32422E70"/>
    <w:rsid w:val="325E56C6"/>
    <w:rsid w:val="3275698A"/>
    <w:rsid w:val="327C0679"/>
    <w:rsid w:val="32870EE7"/>
    <w:rsid w:val="32943B86"/>
    <w:rsid w:val="32A93829"/>
    <w:rsid w:val="32B943EC"/>
    <w:rsid w:val="32B9519B"/>
    <w:rsid w:val="32DC63A0"/>
    <w:rsid w:val="32E429C1"/>
    <w:rsid w:val="330503EE"/>
    <w:rsid w:val="33274478"/>
    <w:rsid w:val="333430D6"/>
    <w:rsid w:val="334045BE"/>
    <w:rsid w:val="334A3B2A"/>
    <w:rsid w:val="3365592E"/>
    <w:rsid w:val="336A31F3"/>
    <w:rsid w:val="336F6533"/>
    <w:rsid w:val="337E5E2F"/>
    <w:rsid w:val="3384610D"/>
    <w:rsid w:val="33886F33"/>
    <w:rsid w:val="338B324F"/>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20388"/>
    <w:rsid w:val="34A35871"/>
    <w:rsid w:val="34C06C9D"/>
    <w:rsid w:val="34DF24AE"/>
    <w:rsid w:val="351C4931"/>
    <w:rsid w:val="351C4EAC"/>
    <w:rsid w:val="351D4C26"/>
    <w:rsid w:val="352B46F4"/>
    <w:rsid w:val="352E7D40"/>
    <w:rsid w:val="35361A77"/>
    <w:rsid w:val="35461A22"/>
    <w:rsid w:val="35483CC9"/>
    <w:rsid w:val="354B08F2"/>
    <w:rsid w:val="3555351F"/>
    <w:rsid w:val="35571045"/>
    <w:rsid w:val="355F7EFA"/>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5B4B65"/>
    <w:rsid w:val="36905E7A"/>
    <w:rsid w:val="369B4CF0"/>
    <w:rsid w:val="36AB46A8"/>
    <w:rsid w:val="36D62629"/>
    <w:rsid w:val="36D76172"/>
    <w:rsid w:val="36D84407"/>
    <w:rsid w:val="36E833BB"/>
    <w:rsid w:val="36EB1E1B"/>
    <w:rsid w:val="36F17F0D"/>
    <w:rsid w:val="36FB00F6"/>
    <w:rsid w:val="370419F2"/>
    <w:rsid w:val="37103BA1"/>
    <w:rsid w:val="37224581"/>
    <w:rsid w:val="3735197D"/>
    <w:rsid w:val="373756A2"/>
    <w:rsid w:val="374A416C"/>
    <w:rsid w:val="375E0DA6"/>
    <w:rsid w:val="377063EE"/>
    <w:rsid w:val="377639AE"/>
    <w:rsid w:val="378142CB"/>
    <w:rsid w:val="378B61A6"/>
    <w:rsid w:val="37B90F0B"/>
    <w:rsid w:val="37BD2A08"/>
    <w:rsid w:val="37CD3F98"/>
    <w:rsid w:val="37DF75BA"/>
    <w:rsid w:val="37E148E2"/>
    <w:rsid w:val="37F848EE"/>
    <w:rsid w:val="37F912FC"/>
    <w:rsid w:val="37FB65FF"/>
    <w:rsid w:val="380D59EE"/>
    <w:rsid w:val="38304889"/>
    <w:rsid w:val="3836588A"/>
    <w:rsid w:val="38382675"/>
    <w:rsid w:val="383B7B0D"/>
    <w:rsid w:val="3848553B"/>
    <w:rsid w:val="3851700B"/>
    <w:rsid w:val="385246B6"/>
    <w:rsid w:val="385E6B8E"/>
    <w:rsid w:val="3876113B"/>
    <w:rsid w:val="388B31F3"/>
    <w:rsid w:val="38961E84"/>
    <w:rsid w:val="38A53DB7"/>
    <w:rsid w:val="38BF3388"/>
    <w:rsid w:val="38CC268D"/>
    <w:rsid w:val="38DF1FDA"/>
    <w:rsid w:val="38EC2960"/>
    <w:rsid w:val="390069DD"/>
    <w:rsid w:val="39030CF9"/>
    <w:rsid w:val="39091F35"/>
    <w:rsid w:val="392536E2"/>
    <w:rsid w:val="39465F15"/>
    <w:rsid w:val="39505209"/>
    <w:rsid w:val="396453C5"/>
    <w:rsid w:val="396F4593"/>
    <w:rsid w:val="39922CCF"/>
    <w:rsid w:val="39A24859"/>
    <w:rsid w:val="39A65327"/>
    <w:rsid w:val="39A65C9B"/>
    <w:rsid w:val="39BC5ED6"/>
    <w:rsid w:val="39D27231"/>
    <w:rsid w:val="39E82BB3"/>
    <w:rsid w:val="39EB39E0"/>
    <w:rsid w:val="39EE7A9E"/>
    <w:rsid w:val="39EF02D4"/>
    <w:rsid w:val="39F224A6"/>
    <w:rsid w:val="3A073149"/>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AE63FA0"/>
    <w:rsid w:val="3B312338"/>
    <w:rsid w:val="3B3C5B77"/>
    <w:rsid w:val="3B3D0FF2"/>
    <w:rsid w:val="3B3D2A8B"/>
    <w:rsid w:val="3B501351"/>
    <w:rsid w:val="3B521A18"/>
    <w:rsid w:val="3B8D2B96"/>
    <w:rsid w:val="3B923660"/>
    <w:rsid w:val="3BAE1BDB"/>
    <w:rsid w:val="3BCA44BE"/>
    <w:rsid w:val="3C061F3A"/>
    <w:rsid w:val="3C0A04F9"/>
    <w:rsid w:val="3C495480"/>
    <w:rsid w:val="3C4C3A42"/>
    <w:rsid w:val="3C544530"/>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C70D32"/>
    <w:rsid w:val="3DE51866"/>
    <w:rsid w:val="3DE91725"/>
    <w:rsid w:val="3DF159B1"/>
    <w:rsid w:val="3DF8713D"/>
    <w:rsid w:val="3E135D25"/>
    <w:rsid w:val="3E1A106E"/>
    <w:rsid w:val="3E36303B"/>
    <w:rsid w:val="3E526044"/>
    <w:rsid w:val="3E5C591E"/>
    <w:rsid w:val="3E66054B"/>
    <w:rsid w:val="3E6C2B3A"/>
    <w:rsid w:val="3E8C5311"/>
    <w:rsid w:val="3E8E7E55"/>
    <w:rsid w:val="3EB61473"/>
    <w:rsid w:val="3EC66011"/>
    <w:rsid w:val="3ED25BE0"/>
    <w:rsid w:val="3ED75B7F"/>
    <w:rsid w:val="3EF9316D"/>
    <w:rsid w:val="3F315E6B"/>
    <w:rsid w:val="3F5175E2"/>
    <w:rsid w:val="3F56276A"/>
    <w:rsid w:val="3F6C10E0"/>
    <w:rsid w:val="3F963015"/>
    <w:rsid w:val="3F964D35"/>
    <w:rsid w:val="3F977488"/>
    <w:rsid w:val="3FA327ED"/>
    <w:rsid w:val="3FB11738"/>
    <w:rsid w:val="3FB5581B"/>
    <w:rsid w:val="3FC33D05"/>
    <w:rsid w:val="3FF46B18"/>
    <w:rsid w:val="3FF74A2E"/>
    <w:rsid w:val="3FFC36E2"/>
    <w:rsid w:val="4005572D"/>
    <w:rsid w:val="402833BA"/>
    <w:rsid w:val="40283C2B"/>
    <w:rsid w:val="40394FD1"/>
    <w:rsid w:val="40425879"/>
    <w:rsid w:val="40534AFF"/>
    <w:rsid w:val="405C1C05"/>
    <w:rsid w:val="405E3BCF"/>
    <w:rsid w:val="406B3DDC"/>
    <w:rsid w:val="40765D15"/>
    <w:rsid w:val="407B4FC1"/>
    <w:rsid w:val="407F2DE9"/>
    <w:rsid w:val="407F3B46"/>
    <w:rsid w:val="40866C82"/>
    <w:rsid w:val="40920B61"/>
    <w:rsid w:val="40953369"/>
    <w:rsid w:val="40991379"/>
    <w:rsid w:val="409B3C3D"/>
    <w:rsid w:val="409F1D81"/>
    <w:rsid w:val="40BE01CA"/>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9477FF"/>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84F07"/>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E5DEE"/>
    <w:rsid w:val="449E4142"/>
    <w:rsid w:val="44A90BAA"/>
    <w:rsid w:val="44B24A20"/>
    <w:rsid w:val="44BC0BEE"/>
    <w:rsid w:val="44BF6C07"/>
    <w:rsid w:val="44C24001"/>
    <w:rsid w:val="44C55A88"/>
    <w:rsid w:val="44ED72D0"/>
    <w:rsid w:val="44FB1C9C"/>
    <w:rsid w:val="45392A13"/>
    <w:rsid w:val="453E3FCF"/>
    <w:rsid w:val="454F1836"/>
    <w:rsid w:val="455B692F"/>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42955"/>
    <w:rsid w:val="46EF26BD"/>
    <w:rsid w:val="46F030A7"/>
    <w:rsid w:val="46FF15E0"/>
    <w:rsid w:val="4700581C"/>
    <w:rsid w:val="4702516A"/>
    <w:rsid w:val="4724600B"/>
    <w:rsid w:val="472E597E"/>
    <w:rsid w:val="474A4B33"/>
    <w:rsid w:val="475528CD"/>
    <w:rsid w:val="47665A15"/>
    <w:rsid w:val="47677941"/>
    <w:rsid w:val="477F1660"/>
    <w:rsid w:val="4788232A"/>
    <w:rsid w:val="478B0398"/>
    <w:rsid w:val="478D6B48"/>
    <w:rsid w:val="478F28C0"/>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6E697A"/>
    <w:rsid w:val="48895289"/>
    <w:rsid w:val="48A16B62"/>
    <w:rsid w:val="48A44149"/>
    <w:rsid w:val="48AE0D54"/>
    <w:rsid w:val="48BC6222"/>
    <w:rsid w:val="48C245E9"/>
    <w:rsid w:val="48D83DF3"/>
    <w:rsid w:val="48DB312A"/>
    <w:rsid w:val="48DF49D9"/>
    <w:rsid w:val="492108CC"/>
    <w:rsid w:val="49413F52"/>
    <w:rsid w:val="494F6304"/>
    <w:rsid w:val="49792B95"/>
    <w:rsid w:val="497955D6"/>
    <w:rsid w:val="49AD702E"/>
    <w:rsid w:val="49F11610"/>
    <w:rsid w:val="4A05334F"/>
    <w:rsid w:val="4A060864"/>
    <w:rsid w:val="4A0B1FA6"/>
    <w:rsid w:val="4A1A3C81"/>
    <w:rsid w:val="4A244932"/>
    <w:rsid w:val="4A2922C8"/>
    <w:rsid w:val="4A4117B2"/>
    <w:rsid w:val="4A4A6F73"/>
    <w:rsid w:val="4A527BD5"/>
    <w:rsid w:val="4A6F4C2B"/>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2C6407"/>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67823"/>
    <w:rsid w:val="4D297BF3"/>
    <w:rsid w:val="4D2D0EAF"/>
    <w:rsid w:val="4D710D8B"/>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0EF3"/>
    <w:rsid w:val="4E0A3427"/>
    <w:rsid w:val="4E2423AC"/>
    <w:rsid w:val="4E261AA5"/>
    <w:rsid w:val="4E287F63"/>
    <w:rsid w:val="4E304B5D"/>
    <w:rsid w:val="4E3F66C2"/>
    <w:rsid w:val="4E611B8B"/>
    <w:rsid w:val="4E6279D7"/>
    <w:rsid w:val="4E682F8C"/>
    <w:rsid w:val="4E6A7BB7"/>
    <w:rsid w:val="4E6C5D89"/>
    <w:rsid w:val="4E7520E4"/>
    <w:rsid w:val="4E9133C2"/>
    <w:rsid w:val="4EA07161"/>
    <w:rsid w:val="4EB23220"/>
    <w:rsid w:val="4EE661F8"/>
    <w:rsid w:val="4EF27A04"/>
    <w:rsid w:val="4F0773B4"/>
    <w:rsid w:val="4F1B0EDE"/>
    <w:rsid w:val="4F241019"/>
    <w:rsid w:val="4F307BB1"/>
    <w:rsid w:val="4F336227"/>
    <w:rsid w:val="4F3C3EF2"/>
    <w:rsid w:val="4F3D562D"/>
    <w:rsid w:val="4F5C4EE0"/>
    <w:rsid w:val="4F681AF1"/>
    <w:rsid w:val="4F6E1972"/>
    <w:rsid w:val="4F943166"/>
    <w:rsid w:val="4F9C19A5"/>
    <w:rsid w:val="4FB31116"/>
    <w:rsid w:val="4FBA02A1"/>
    <w:rsid w:val="4FE7106E"/>
    <w:rsid w:val="4FF82FCD"/>
    <w:rsid w:val="50053943"/>
    <w:rsid w:val="50260569"/>
    <w:rsid w:val="502D7AAA"/>
    <w:rsid w:val="50374A3C"/>
    <w:rsid w:val="50487AB0"/>
    <w:rsid w:val="50550E55"/>
    <w:rsid w:val="508807F5"/>
    <w:rsid w:val="50901457"/>
    <w:rsid w:val="509F43E4"/>
    <w:rsid w:val="50A54D3E"/>
    <w:rsid w:val="50B82E88"/>
    <w:rsid w:val="50BB32A7"/>
    <w:rsid w:val="50BF6E65"/>
    <w:rsid w:val="50CC5CB2"/>
    <w:rsid w:val="50E023DF"/>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AD5A63"/>
    <w:rsid w:val="52DE008D"/>
    <w:rsid w:val="52EE341E"/>
    <w:rsid w:val="52F37FE6"/>
    <w:rsid w:val="52FC1CAF"/>
    <w:rsid w:val="52FE08FA"/>
    <w:rsid w:val="52FF22FE"/>
    <w:rsid w:val="53004672"/>
    <w:rsid w:val="530B071F"/>
    <w:rsid w:val="530F2B07"/>
    <w:rsid w:val="531A330F"/>
    <w:rsid w:val="532B6CAF"/>
    <w:rsid w:val="53350D91"/>
    <w:rsid w:val="53412644"/>
    <w:rsid w:val="53433903"/>
    <w:rsid w:val="53517A72"/>
    <w:rsid w:val="5361549D"/>
    <w:rsid w:val="536220DA"/>
    <w:rsid w:val="53650637"/>
    <w:rsid w:val="53695634"/>
    <w:rsid w:val="536A5F90"/>
    <w:rsid w:val="537155BE"/>
    <w:rsid w:val="53757C6B"/>
    <w:rsid w:val="537E1075"/>
    <w:rsid w:val="53890B0C"/>
    <w:rsid w:val="539A4AC7"/>
    <w:rsid w:val="53A44D07"/>
    <w:rsid w:val="53A46AC8"/>
    <w:rsid w:val="53AB7F1F"/>
    <w:rsid w:val="53AC6F7B"/>
    <w:rsid w:val="53C01F4F"/>
    <w:rsid w:val="53EB297B"/>
    <w:rsid w:val="53EC4BF7"/>
    <w:rsid w:val="53F671DE"/>
    <w:rsid w:val="53F758A1"/>
    <w:rsid w:val="540D5A7F"/>
    <w:rsid w:val="540E4694"/>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035F2"/>
    <w:rsid w:val="56666B5B"/>
    <w:rsid w:val="56717635"/>
    <w:rsid w:val="56990B7C"/>
    <w:rsid w:val="569E1126"/>
    <w:rsid w:val="56A8690E"/>
    <w:rsid w:val="56B679AB"/>
    <w:rsid w:val="56B80DEB"/>
    <w:rsid w:val="56E0560F"/>
    <w:rsid w:val="56E06E61"/>
    <w:rsid w:val="56E542AB"/>
    <w:rsid w:val="56EF3C74"/>
    <w:rsid w:val="56F653FE"/>
    <w:rsid w:val="57007337"/>
    <w:rsid w:val="574448FC"/>
    <w:rsid w:val="57561D39"/>
    <w:rsid w:val="575B7AFD"/>
    <w:rsid w:val="57660D3F"/>
    <w:rsid w:val="5785783C"/>
    <w:rsid w:val="578F06BB"/>
    <w:rsid w:val="57A469A0"/>
    <w:rsid w:val="57B629C4"/>
    <w:rsid w:val="57CC4BC2"/>
    <w:rsid w:val="57D10760"/>
    <w:rsid w:val="57D1153D"/>
    <w:rsid w:val="57D77297"/>
    <w:rsid w:val="57FA3774"/>
    <w:rsid w:val="58084A3C"/>
    <w:rsid w:val="582772A7"/>
    <w:rsid w:val="5847689F"/>
    <w:rsid w:val="584E40D2"/>
    <w:rsid w:val="58531B77"/>
    <w:rsid w:val="585D2975"/>
    <w:rsid w:val="585E3492"/>
    <w:rsid w:val="585F64F9"/>
    <w:rsid w:val="587E3341"/>
    <w:rsid w:val="587F428B"/>
    <w:rsid w:val="58843A9C"/>
    <w:rsid w:val="58B31855"/>
    <w:rsid w:val="58CF0BA1"/>
    <w:rsid w:val="58CF56D8"/>
    <w:rsid w:val="58D31010"/>
    <w:rsid w:val="58D6741E"/>
    <w:rsid w:val="58DB0535"/>
    <w:rsid w:val="58E467E4"/>
    <w:rsid w:val="58E62E0E"/>
    <w:rsid w:val="58EA3D0E"/>
    <w:rsid w:val="58F24A5D"/>
    <w:rsid w:val="58F71269"/>
    <w:rsid w:val="58FE045E"/>
    <w:rsid w:val="58FE78A6"/>
    <w:rsid w:val="59014CEF"/>
    <w:rsid w:val="59017396"/>
    <w:rsid w:val="593432C8"/>
    <w:rsid w:val="59442D7E"/>
    <w:rsid w:val="59561946"/>
    <w:rsid w:val="59611BE3"/>
    <w:rsid w:val="59670F51"/>
    <w:rsid w:val="596A44F9"/>
    <w:rsid w:val="596C19BB"/>
    <w:rsid w:val="59790BDB"/>
    <w:rsid w:val="597E3F42"/>
    <w:rsid w:val="598653AC"/>
    <w:rsid w:val="59944019"/>
    <w:rsid w:val="59AC3C86"/>
    <w:rsid w:val="59B817D3"/>
    <w:rsid w:val="59C11856"/>
    <w:rsid w:val="59C153AB"/>
    <w:rsid w:val="59D42FDA"/>
    <w:rsid w:val="59DA4E01"/>
    <w:rsid w:val="59F64E82"/>
    <w:rsid w:val="5A0A5DD6"/>
    <w:rsid w:val="5A10435C"/>
    <w:rsid w:val="5A2654CC"/>
    <w:rsid w:val="5A323A44"/>
    <w:rsid w:val="5A395E66"/>
    <w:rsid w:val="5A4412E8"/>
    <w:rsid w:val="5A476FBE"/>
    <w:rsid w:val="5A484352"/>
    <w:rsid w:val="5A5321A5"/>
    <w:rsid w:val="5A736072"/>
    <w:rsid w:val="5A783688"/>
    <w:rsid w:val="5A845B89"/>
    <w:rsid w:val="5A8734AF"/>
    <w:rsid w:val="5A955FE8"/>
    <w:rsid w:val="5A9D3E45"/>
    <w:rsid w:val="5AA4101D"/>
    <w:rsid w:val="5AB17576"/>
    <w:rsid w:val="5ABA59C8"/>
    <w:rsid w:val="5ABD68E6"/>
    <w:rsid w:val="5ABF73D2"/>
    <w:rsid w:val="5ACB3D8A"/>
    <w:rsid w:val="5ACE32A8"/>
    <w:rsid w:val="5AE12FDB"/>
    <w:rsid w:val="5AE1508F"/>
    <w:rsid w:val="5AEC2CC5"/>
    <w:rsid w:val="5AF80256"/>
    <w:rsid w:val="5B110CC9"/>
    <w:rsid w:val="5B136165"/>
    <w:rsid w:val="5B1851F5"/>
    <w:rsid w:val="5B1F7B5D"/>
    <w:rsid w:val="5B585171"/>
    <w:rsid w:val="5B585B78"/>
    <w:rsid w:val="5B6D62B9"/>
    <w:rsid w:val="5B726329"/>
    <w:rsid w:val="5B746CFA"/>
    <w:rsid w:val="5B9A2B59"/>
    <w:rsid w:val="5BA652E6"/>
    <w:rsid w:val="5BA65FD3"/>
    <w:rsid w:val="5BC0085A"/>
    <w:rsid w:val="5BE03293"/>
    <w:rsid w:val="5BE07737"/>
    <w:rsid w:val="5BF03D58"/>
    <w:rsid w:val="5BF20AFB"/>
    <w:rsid w:val="5C1A6BB2"/>
    <w:rsid w:val="5C306D31"/>
    <w:rsid w:val="5C37233A"/>
    <w:rsid w:val="5C3B56EB"/>
    <w:rsid w:val="5C5355FE"/>
    <w:rsid w:val="5C5A49A5"/>
    <w:rsid w:val="5C6519EA"/>
    <w:rsid w:val="5C6715FE"/>
    <w:rsid w:val="5C6F4105"/>
    <w:rsid w:val="5C961BA3"/>
    <w:rsid w:val="5CBB7F6F"/>
    <w:rsid w:val="5CC248CE"/>
    <w:rsid w:val="5CC42BB4"/>
    <w:rsid w:val="5CC826A5"/>
    <w:rsid w:val="5CDC6150"/>
    <w:rsid w:val="5CEB17BE"/>
    <w:rsid w:val="5CF1327E"/>
    <w:rsid w:val="5D042FB1"/>
    <w:rsid w:val="5D107BA8"/>
    <w:rsid w:val="5D1C479E"/>
    <w:rsid w:val="5D3C274B"/>
    <w:rsid w:val="5D442CB4"/>
    <w:rsid w:val="5D7C3F11"/>
    <w:rsid w:val="5D971C5A"/>
    <w:rsid w:val="5D9D49E0"/>
    <w:rsid w:val="5DA01E9E"/>
    <w:rsid w:val="5DAD3649"/>
    <w:rsid w:val="5DB03139"/>
    <w:rsid w:val="5DC310BE"/>
    <w:rsid w:val="5DC32E6C"/>
    <w:rsid w:val="5DDF1821"/>
    <w:rsid w:val="5DE2656A"/>
    <w:rsid w:val="5DEA2F91"/>
    <w:rsid w:val="5DF94AE0"/>
    <w:rsid w:val="5DFA5883"/>
    <w:rsid w:val="5E224037"/>
    <w:rsid w:val="5E3146A3"/>
    <w:rsid w:val="5E442F62"/>
    <w:rsid w:val="5E604B5F"/>
    <w:rsid w:val="5E6C2C5B"/>
    <w:rsid w:val="5E6E2DD8"/>
    <w:rsid w:val="5E7251A2"/>
    <w:rsid w:val="5E7C3591"/>
    <w:rsid w:val="5E8B00D8"/>
    <w:rsid w:val="5E9842F9"/>
    <w:rsid w:val="5E9D0E18"/>
    <w:rsid w:val="5EA26F25"/>
    <w:rsid w:val="5EA341D7"/>
    <w:rsid w:val="5EA755DE"/>
    <w:rsid w:val="5EAE7678"/>
    <w:rsid w:val="5ED35F0E"/>
    <w:rsid w:val="5EDF7832"/>
    <w:rsid w:val="5EF37781"/>
    <w:rsid w:val="5EFC1390"/>
    <w:rsid w:val="5EFC3EB6"/>
    <w:rsid w:val="5F03335D"/>
    <w:rsid w:val="5F0368C7"/>
    <w:rsid w:val="5F1544E7"/>
    <w:rsid w:val="5F197EE8"/>
    <w:rsid w:val="5F312D8D"/>
    <w:rsid w:val="5F394D3A"/>
    <w:rsid w:val="5F3C4923"/>
    <w:rsid w:val="5F4160B0"/>
    <w:rsid w:val="5F5A480F"/>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4A7B30"/>
    <w:rsid w:val="605D2617"/>
    <w:rsid w:val="60616CDC"/>
    <w:rsid w:val="60624E53"/>
    <w:rsid w:val="606319E5"/>
    <w:rsid w:val="607A77D8"/>
    <w:rsid w:val="607B3C50"/>
    <w:rsid w:val="608B6567"/>
    <w:rsid w:val="60902A4E"/>
    <w:rsid w:val="60AA3E6F"/>
    <w:rsid w:val="60E70D6C"/>
    <w:rsid w:val="60FF21D9"/>
    <w:rsid w:val="6109328C"/>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A5025"/>
    <w:rsid w:val="621C0D9D"/>
    <w:rsid w:val="622F7552"/>
    <w:rsid w:val="6250406E"/>
    <w:rsid w:val="6267666C"/>
    <w:rsid w:val="627712B4"/>
    <w:rsid w:val="627D6831"/>
    <w:rsid w:val="62811B1C"/>
    <w:rsid w:val="62A20409"/>
    <w:rsid w:val="62AC0373"/>
    <w:rsid w:val="62B54B44"/>
    <w:rsid w:val="62BB3278"/>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EF496F"/>
    <w:rsid w:val="63FD622D"/>
    <w:rsid w:val="64177A6E"/>
    <w:rsid w:val="643F32F9"/>
    <w:rsid w:val="64582686"/>
    <w:rsid w:val="64673C87"/>
    <w:rsid w:val="64877733"/>
    <w:rsid w:val="64925346"/>
    <w:rsid w:val="64A07A63"/>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406746"/>
    <w:rsid w:val="665A1E94"/>
    <w:rsid w:val="66736112"/>
    <w:rsid w:val="667F5B5B"/>
    <w:rsid w:val="6694262A"/>
    <w:rsid w:val="66990381"/>
    <w:rsid w:val="66B31B01"/>
    <w:rsid w:val="66CE1E80"/>
    <w:rsid w:val="66E362F9"/>
    <w:rsid w:val="66E47FD9"/>
    <w:rsid w:val="66E520A5"/>
    <w:rsid w:val="66F04175"/>
    <w:rsid w:val="66F127F8"/>
    <w:rsid w:val="67071922"/>
    <w:rsid w:val="670771EC"/>
    <w:rsid w:val="673B73C0"/>
    <w:rsid w:val="674743C8"/>
    <w:rsid w:val="675608B6"/>
    <w:rsid w:val="67754402"/>
    <w:rsid w:val="677D54ED"/>
    <w:rsid w:val="678B726C"/>
    <w:rsid w:val="6791606D"/>
    <w:rsid w:val="67B25E27"/>
    <w:rsid w:val="67B4646D"/>
    <w:rsid w:val="67B464CA"/>
    <w:rsid w:val="67C4383B"/>
    <w:rsid w:val="67D35E1A"/>
    <w:rsid w:val="67D6379C"/>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4F7CAA"/>
    <w:rsid w:val="69584DB4"/>
    <w:rsid w:val="695B5B89"/>
    <w:rsid w:val="6962178B"/>
    <w:rsid w:val="696848C8"/>
    <w:rsid w:val="696C3D80"/>
    <w:rsid w:val="696D7E94"/>
    <w:rsid w:val="698A5EE4"/>
    <w:rsid w:val="69BB6FEF"/>
    <w:rsid w:val="69C811ED"/>
    <w:rsid w:val="69C97A5C"/>
    <w:rsid w:val="69D33070"/>
    <w:rsid w:val="69E97E75"/>
    <w:rsid w:val="69ED790C"/>
    <w:rsid w:val="69FB5D9E"/>
    <w:rsid w:val="69FF6FDA"/>
    <w:rsid w:val="6A09542B"/>
    <w:rsid w:val="6A1A3007"/>
    <w:rsid w:val="6A1E645E"/>
    <w:rsid w:val="6A3C6480"/>
    <w:rsid w:val="6A417049"/>
    <w:rsid w:val="6A576E16"/>
    <w:rsid w:val="6A7903E5"/>
    <w:rsid w:val="6A8219B9"/>
    <w:rsid w:val="6A8641F2"/>
    <w:rsid w:val="6A883473"/>
    <w:rsid w:val="6A9701A5"/>
    <w:rsid w:val="6AA03032"/>
    <w:rsid w:val="6AA86FEC"/>
    <w:rsid w:val="6AC81AC2"/>
    <w:rsid w:val="6ACB20F7"/>
    <w:rsid w:val="6ADA6AC4"/>
    <w:rsid w:val="6ADB11D6"/>
    <w:rsid w:val="6AF01018"/>
    <w:rsid w:val="6B19056F"/>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A3618"/>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7A0201"/>
    <w:rsid w:val="6C986334"/>
    <w:rsid w:val="6CA35B3A"/>
    <w:rsid w:val="6CA41A5D"/>
    <w:rsid w:val="6CA479DF"/>
    <w:rsid w:val="6CAF588C"/>
    <w:rsid w:val="6CB4638E"/>
    <w:rsid w:val="6CBF3C6A"/>
    <w:rsid w:val="6CBF5306"/>
    <w:rsid w:val="6CD7423E"/>
    <w:rsid w:val="6CD930DF"/>
    <w:rsid w:val="6CDC1854"/>
    <w:rsid w:val="6CDF30F3"/>
    <w:rsid w:val="6CE70FA1"/>
    <w:rsid w:val="6CF05300"/>
    <w:rsid w:val="6CFA6351"/>
    <w:rsid w:val="6CFC3C40"/>
    <w:rsid w:val="6D2F6F7D"/>
    <w:rsid w:val="6D480984"/>
    <w:rsid w:val="6D65184A"/>
    <w:rsid w:val="6D8079F9"/>
    <w:rsid w:val="6D981C1F"/>
    <w:rsid w:val="6DB13E57"/>
    <w:rsid w:val="6DB4457F"/>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DE50D1"/>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16936"/>
    <w:rsid w:val="70797317"/>
    <w:rsid w:val="707E201F"/>
    <w:rsid w:val="7099044B"/>
    <w:rsid w:val="709A06E1"/>
    <w:rsid w:val="709D518F"/>
    <w:rsid w:val="70B33EBC"/>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1F60C8D"/>
    <w:rsid w:val="721919B3"/>
    <w:rsid w:val="721A6098"/>
    <w:rsid w:val="721D18D3"/>
    <w:rsid w:val="722717C4"/>
    <w:rsid w:val="72310D1A"/>
    <w:rsid w:val="725D6B54"/>
    <w:rsid w:val="727E1A1D"/>
    <w:rsid w:val="72986FA0"/>
    <w:rsid w:val="72A17C99"/>
    <w:rsid w:val="72A2709C"/>
    <w:rsid w:val="72A5093A"/>
    <w:rsid w:val="72AD7197"/>
    <w:rsid w:val="72AF6F7E"/>
    <w:rsid w:val="72BD2C86"/>
    <w:rsid w:val="72CD226C"/>
    <w:rsid w:val="72D27981"/>
    <w:rsid w:val="72F861B0"/>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CA68AB"/>
    <w:rsid w:val="73E96BCA"/>
    <w:rsid w:val="73EE4A6E"/>
    <w:rsid w:val="741048BC"/>
    <w:rsid w:val="742E78D4"/>
    <w:rsid w:val="74317498"/>
    <w:rsid w:val="74335A84"/>
    <w:rsid w:val="743A6A13"/>
    <w:rsid w:val="745C79EC"/>
    <w:rsid w:val="745F0FE5"/>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1C3961"/>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B1536A"/>
    <w:rsid w:val="75DF5F11"/>
    <w:rsid w:val="75E8633A"/>
    <w:rsid w:val="75ED4AD2"/>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16E84"/>
    <w:rsid w:val="77464076"/>
    <w:rsid w:val="7758241F"/>
    <w:rsid w:val="77751358"/>
    <w:rsid w:val="777803CC"/>
    <w:rsid w:val="777A7D22"/>
    <w:rsid w:val="777E28EC"/>
    <w:rsid w:val="77835654"/>
    <w:rsid w:val="7797109C"/>
    <w:rsid w:val="779A2A38"/>
    <w:rsid w:val="77B4450A"/>
    <w:rsid w:val="77B46E73"/>
    <w:rsid w:val="77E37A12"/>
    <w:rsid w:val="77F42148"/>
    <w:rsid w:val="77F9150C"/>
    <w:rsid w:val="77FE3468"/>
    <w:rsid w:val="78250553"/>
    <w:rsid w:val="78257099"/>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51067"/>
    <w:rsid w:val="797F54AB"/>
    <w:rsid w:val="79831473"/>
    <w:rsid w:val="79957FC1"/>
    <w:rsid w:val="79983E9C"/>
    <w:rsid w:val="7999527A"/>
    <w:rsid w:val="79AF76C5"/>
    <w:rsid w:val="79C25EE1"/>
    <w:rsid w:val="79CE2967"/>
    <w:rsid w:val="79E30EE8"/>
    <w:rsid w:val="79E34934"/>
    <w:rsid w:val="79EA664C"/>
    <w:rsid w:val="79F9627A"/>
    <w:rsid w:val="79FF6948"/>
    <w:rsid w:val="7A044199"/>
    <w:rsid w:val="7A0657CF"/>
    <w:rsid w:val="7A253FB9"/>
    <w:rsid w:val="7A2F3BBF"/>
    <w:rsid w:val="7A2F459A"/>
    <w:rsid w:val="7A322A39"/>
    <w:rsid w:val="7A517022"/>
    <w:rsid w:val="7A6F5001"/>
    <w:rsid w:val="7A7720A0"/>
    <w:rsid w:val="7A910231"/>
    <w:rsid w:val="7A9635B3"/>
    <w:rsid w:val="7AA2343E"/>
    <w:rsid w:val="7AA548C9"/>
    <w:rsid w:val="7ABE07EB"/>
    <w:rsid w:val="7AD60EB8"/>
    <w:rsid w:val="7ADA73A4"/>
    <w:rsid w:val="7AE66B99"/>
    <w:rsid w:val="7AF34646"/>
    <w:rsid w:val="7AFE508C"/>
    <w:rsid w:val="7B0A3BCA"/>
    <w:rsid w:val="7B0E7241"/>
    <w:rsid w:val="7B166879"/>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562F5D"/>
    <w:rsid w:val="7D777A3E"/>
    <w:rsid w:val="7D9005BC"/>
    <w:rsid w:val="7D9046C1"/>
    <w:rsid w:val="7D9F0AD0"/>
    <w:rsid w:val="7DB22BDF"/>
    <w:rsid w:val="7DD12BB7"/>
    <w:rsid w:val="7DF223A2"/>
    <w:rsid w:val="7DFF0955"/>
    <w:rsid w:val="7E055DED"/>
    <w:rsid w:val="7E0B750E"/>
    <w:rsid w:val="7E1939E8"/>
    <w:rsid w:val="7E2400E7"/>
    <w:rsid w:val="7E2822EA"/>
    <w:rsid w:val="7E2A20CE"/>
    <w:rsid w:val="7E355A7B"/>
    <w:rsid w:val="7E455322"/>
    <w:rsid w:val="7E682F48"/>
    <w:rsid w:val="7E6E3E85"/>
    <w:rsid w:val="7E88183C"/>
    <w:rsid w:val="7E991353"/>
    <w:rsid w:val="7E9C184B"/>
    <w:rsid w:val="7E9D6E05"/>
    <w:rsid w:val="7EA72948"/>
    <w:rsid w:val="7EB31EDB"/>
    <w:rsid w:val="7ED61132"/>
    <w:rsid w:val="7EE70CC0"/>
    <w:rsid w:val="7EEB48DB"/>
    <w:rsid w:val="7EF27444"/>
    <w:rsid w:val="7F185A04"/>
    <w:rsid w:val="7F265C58"/>
    <w:rsid w:val="7F370B6C"/>
    <w:rsid w:val="7F3B240A"/>
    <w:rsid w:val="7F4C4618"/>
    <w:rsid w:val="7F4D13A6"/>
    <w:rsid w:val="7F582CF2"/>
    <w:rsid w:val="7F8169D2"/>
    <w:rsid w:val="7F951B40"/>
    <w:rsid w:val="7FA501CC"/>
    <w:rsid w:val="7FA820A8"/>
    <w:rsid w:val="7FAF2DF8"/>
    <w:rsid w:val="7FB90D50"/>
    <w:rsid w:val="7FBE053E"/>
    <w:rsid w:val="7FBF10B0"/>
    <w:rsid w:val="7FC44AF6"/>
    <w:rsid w:val="7FC91006"/>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16817</Words>
  <Characters>17808</Characters>
  <Lines>50</Lines>
  <Paragraphs>68</Paragraphs>
  <TotalTime>1</TotalTime>
  <ScaleCrop>false</ScaleCrop>
  <LinksUpToDate>false</LinksUpToDate>
  <CharactersWithSpaces>18381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2025-09-29T07:28:27Z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378A3AB75345486899207D43FF9978F1_13</vt:lpwstr>
  </property>
  <property fmtid="{D5CDD505-2E9C-101B-9397-08002B2CF9AE}" pid="4" name="KSOTemplateDocerSaveRecord">
    <vt:lpwstr>eyJoZGlkIjoiMzU0MTZjMjFkMjFjOGMwYTIzNWEzZDljNjYxZWI0MmYiLCJ1c2VySWQiOiIxNjg0NTc5MjM2In0=</vt:lpwstr>
  </property>
</Properties>
</file>