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281BAE">
      <w:pPr>
        <w:pStyle w:val="20"/>
        <w:bidi w:val="0"/>
        <w:jc w:val="center"/>
        <w:rPr>
          <w:rFonts w:hint="eastAsia" w:cs="宋体"/>
          <w:b/>
          <w:bCs/>
          <w:color w:val="auto"/>
          <w:sz w:val="44"/>
          <w:szCs w:val="44"/>
          <w:highlight w:val="none"/>
          <w:lang w:val="en-US" w:eastAsia="zh-CN"/>
        </w:rPr>
      </w:pPr>
      <w:bookmarkStart w:id="0" w:name="_Toc22953395"/>
      <w:bookmarkEnd w:id="0"/>
      <w:bookmarkStart w:id="1" w:name="_Toc22804073"/>
      <w:bookmarkEnd w:id="1"/>
    </w:p>
    <w:p w14:paraId="514A342E">
      <w:pPr>
        <w:pStyle w:val="20"/>
        <w:bidi w:val="0"/>
        <w:jc w:val="center"/>
        <w:rPr>
          <w:rStyle w:val="45"/>
          <w:rFonts w:hint="eastAsia" w:cs="宋体"/>
          <w:b/>
          <w:bCs/>
          <w:color w:val="auto"/>
          <w:sz w:val="40"/>
          <w:szCs w:val="40"/>
          <w:highlight w:val="none"/>
          <w:lang w:val="en-US" w:eastAsia="zh-CN"/>
        </w:rPr>
      </w:pPr>
      <w:r>
        <w:rPr>
          <w:rFonts w:hint="eastAsia" w:cs="宋体"/>
          <w:b/>
          <w:bCs/>
          <w:color w:val="auto"/>
          <w:sz w:val="40"/>
          <w:szCs w:val="40"/>
          <w:highlight w:val="none"/>
          <w:lang w:val="en-US" w:eastAsia="zh-CN"/>
        </w:rPr>
        <w:t>驻马店市中心医院多导睡眠测</w:t>
      </w:r>
      <w:bookmarkStart w:id="125" w:name="_GoBack"/>
      <w:bookmarkEnd w:id="125"/>
      <w:r>
        <w:rPr>
          <w:rFonts w:hint="eastAsia" w:cs="宋体"/>
          <w:b/>
          <w:bCs/>
          <w:color w:val="auto"/>
          <w:sz w:val="40"/>
          <w:szCs w:val="40"/>
          <w:highlight w:val="none"/>
          <w:lang w:val="en-US" w:eastAsia="zh-CN"/>
        </w:rPr>
        <w:t>量仪采购项目（二次）</w:t>
      </w:r>
    </w:p>
    <w:p w14:paraId="72164425">
      <w:pPr>
        <w:pStyle w:val="20"/>
        <w:bidi w:val="0"/>
        <w:jc w:val="center"/>
        <w:rPr>
          <w:rStyle w:val="45"/>
          <w:rFonts w:hint="eastAsia" w:ascii="宋体" w:hAnsi="宋体" w:eastAsia="宋体" w:cs="宋体"/>
          <w:b/>
          <w:bCs/>
          <w:color w:val="auto"/>
          <w:sz w:val="40"/>
          <w:szCs w:val="40"/>
          <w:highlight w:val="none"/>
        </w:rPr>
      </w:pPr>
      <w:r>
        <w:rPr>
          <w:rStyle w:val="45"/>
          <w:rFonts w:hint="eastAsia" w:cs="宋体"/>
          <w:b/>
          <w:bCs/>
          <w:color w:val="auto"/>
          <w:sz w:val="40"/>
          <w:szCs w:val="40"/>
          <w:highlight w:val="none"/>
          <w:lang w:val="en-US" w:eastAsia="zh-CN"/>
        </w:rPr>
        <w:t>竞争性磋商</w:t>
      </w:r>
      <w:r>
        <w:rPr>
          <w:rStyle w:val="45"/>
          <w:rFonts w:hint="eastAsia" w:ascii="宋体" w:hAnsi="宋体" w:eastAsia="宋体" w:cs="宋体"/>
          <w:b/>
          <w:bCs/>
          <w:color w:val="auto"/>
          <w:sz w:val="40"/>
          <w:szCs w:val="40"/>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大成工程咨询有限公司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w:t>
      </w:r>
      <w:r>
        <w:rPr>
          <w:rFonts w:hint="eastAsia" w:ascii="宋体" w:hAnsi="宋体" w:cs="宋体"/>
          <w:b/>
          <w:bCs/>
          <w:color w:val="auto"/>
          <w:spacing w:val="-10"/>
          <w:sz w:val="34"/>
          <w:szCs w:val="34"/>
          <w:highlight w:val="none"/>
          <w:lang w:val="en-US" w:eastAsia="zh-CN"/>
        </w:rPr>
        <w:t xml:space="preserve"> </w:t>
      </w:r>
      <w:r>
        <w:rPr>
          <w:rFonts w:hint="eastAsia" w:ascii="宋体" w:hAnsi="宋体" w:eastAsia="宋体" w:cs="宋体"/>
          <w:b/>
          <w:bCs/>
          <w:color w:val="auto"/>
          <w:spacing w:val="-10"/>
          <w:sz w:val="34"/>
          <w:szCs w:val="34"/>
          <w:highlight w:val="none"/>
          <w:lang w:val="en-US" w:eastAsia="zh-CN"/>
        </w:rPr>
        <w:t xml:space="preserve">      期：2025年</w:t>
      </w:r>
      <w:r>
        <w:rPr>
          <w:rFonts w:hint="eastAsia" w:ascii="宋体" w:hAnsi="宋体" w:cs="宋体"/>
          <w:b/>
          <w:bCs/>
          <w:color w:val="auto"/>
          <w:spacing w:val="-10"/>
          <w:sz w:val="34"/>
          <w:szCs w:val="34"/>
          <w:highlight w:val="none"/>
          <w:lang w:val="en-US" w:eastAsia="zh-CN"/>
        </w:rPr>
        <w:t>10</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33B6CE8">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_Toc11135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_Toc11135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0F9EF20">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_Toc5647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_Toc5647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9D43F41">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_Toc7737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_Toc7737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BD928DF">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_Toc18362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_Toc18362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698ABD2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_Toc10838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_Toc10838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F25411B">
      <w:pPr>
        <w:pStyle w:val="26"/>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_Toc12377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_Toc12377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65753572">
      <w:pPr>
        <w:pStyle w:val="26"/>
        <w:tabs>
          <w:tab w:val="right" w:leader="dot" w:pos="8958"/>
        </w:tabs>
      </w:pP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11135"/>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4EF373F1">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cs="宋体"/>
          <w:b/>
          <w:bCs w:val="0"/>
          <w:color w:val="auto"/>
          <w:kern w:val="0"/>
          <w:sz w:val="28"/>
          <w:szCs w:val="28"/>
          <w:highlight w:val="none"/>
          <w:u w:val="none"/>
          <w:lang w:val="en-US" w:eastAsia="zh-CN"/>
        </w:rPr>
      </w:pPr>
      <w:r>
        <w:rPr>
          <w:rFonts w:hint="eastAsia" w:ascii="宋体" w:hAnsi="宋体" w:cs="宋体"/>
          <w:b/>
          <w:bCs w:val="0"/>
          <w:color w:val="auto"/>
          <w:kern w:val="0"/>
          <w:sz w:val="28"/>
          <w:szCs w:val="28"/>
          <w:highlight w:val="none"/>
          <w:u w:val="none"/>
          <w:lang w:val="en-US" w:eastAsia="zh-CN"/>
        </w:rPr>
        <w:t>驻马店市中心医院多导睡眠测量仪采购项目（二次）</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lang w:val="en-US" w:eastAsia="zh-CN"/>
        </w:rPr>
        <w:t>多导睡眠测量仪采购项目</w:t>
      </w:r>
      <w:r>
        <w:rPr>
          <w:rFonts w:hint="eastAsia" w:ascii="宋体" w:hAnsi="宋体" w:cs="宋体"/>
          <w:color w:val="auto"/>
          <w:highlight w:val="none"/>
          <w:u w:val="single"/>
          <w:lang w:val="en-US" w:eastAsia="zh-CN"/>
        </w:rPr>
        <w:t>（二次）</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驻马店市中心医院多导睡眠测量仪采购项目（二次）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2EC00F3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35</w:t>
      </w:r>
      <w:r>
        <w:rPr>
          <w:rFonts w:hint="eastAsia" w:ascii="宋体" w:hAnsi="宋体" w:eastAsia="宋体" w:cs="宋体"/>
          <w:color w:val="auto"/>
          <w:szCs w:val="21"/>
          <w:highlight w:val="none"/>
          <w:shd w:val="clear" w:color="auto" w:fill="FFFFFF"/>
          <w:lang w:val="en-US" w:eastAsia="zh-CN"/>
        </w:rPr>
        <w:t>万元</w:t>
      </w:r>
      <w:r>
        <w:rPr>
          <w:rFonts w:hint="eastAsia" w:ascii="宋体" w:hAnsi="宋体" w:cs="宋体"/>
          <w:color w:val="auto"/>
          <w:szCs w:val="21"/>
          <w:highlight w:val="none"/>
          <w:shd w:val="clear" w:color="auto" w:fill="FFFFFF"/>
          <w:lang w:val="en-US" w:eastAsia="zh-CN"/>
        </w:rPr>
        <w:t>；</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：合同签订后30日内交货，最终以合同约定内容为准</w:t>
      </w:r>
      <w:r>
        <w:rPr>
          <w:rFonts w:hint="eastAsia" w:ascii="宋体" w:hAnsi="宋体" w:eastAsia="宋体" w:cs="宋体"/>
          <w:i w:val="0"/>
          <w:iCs w:val="0"/>
          <w:caps w:val="0"/>
          <w:color w:val="4C4B4B"/>
          <w:spacing w:val="0"/>
          <w:sz w:val="21"/>
          <w:szCs w:val="21"/>
          <w:shd w:val="clear" w:fill="FFFFFF"/>
        </w:rPr>
        <w:t>；</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18607"/>
      <w:bookmarkStart w:id="5" w:name="_Toc23626"/>
      <w:bookmarkStart w:id="6" w:name="_Toc27704"/>
      <w:bookmarkStart w:id="7" w:name="_Toc16639"/>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7823"/>
      <w:bookmarkStart w:id="9" w:name="_Toc30971"/>
      <w:bookmarkStart w:id="10" w:name="_Toc30643"/>
      <w:bookmarkStart w:id="11" w:name="_Toc9562"/>
      <w:bookmarkStart w:id="12" w:name="_Toc23395"/>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r>
        <w:rPr>
          <w:rFonts w:hint="eastAsia" w:ascii="宋体" w:hAnsi="宋体" w:cs="宋体"/>
          <w:color w:val="auto"/>
          <w:szCs w:val="21"/>
          <w:highlight w:val="none"/>
          <w:shd w:val="clear" w:color="auto" w:fill="FFFFFF"/>
          <w:lang w:val="en-US" w:eastAsia="zh-CN"/>
        </w:rPr>
        <w:t>；</w:t>
      </w:r>
    </w:p>
    <w:p w14:paraId="3A22D49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3F9F263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8.1供应商如为代理商的并所投产品如为进口产品的，需提供拟投产品制造商或中国境内办事处或中国总代理经销商针对本项目的授权书；</w:t>
      </w:r>
    </w:p>
    <w:p w14:paraId="11F1758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8.2</w:t>
      </w: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r>
        <w:rPr>
          <w:rFonts w:hint="eastAsia" w:ascii="宋体" w:hAnsi="宋体" w:cs="宋体"/>
          <w:color w:val="auto"/>
          <w:szCs w:val="21"/>
          <w:highlight w:val="none"/>
          <w:shd w:val="clear" w:color="auto" w:fill="FFFFFF"/>
          <w:lang w:val="en-US" w:eastAsia="zh-CN"/>
        </w:rPr>
        <w:t>；</w:t>
      </w:r>
    </w:p>
    <w:p w14:paraId="523822FE">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13</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547E72C6">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0738"/>
      <w:bookmarkStart w:id="14" w:name="_Toc27480"/>
      <w:bookmarkStart w:id="15" w:name="_Toc15111"/>
      <w:bookmarkStart w:id="16" w:name="_Toc15135"/>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0287"/>
      <w:bookmarkStart w:id="19" w:name="_Toc30918"/>
      <w:bookmarkStart w:id="20" w:name="_Toc29784"/>
      <w:bookmarkStart w:id="21" w:name="_Toc6523"/>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27370"/>
      <w:bookmarkStart w:id="26" w:name="_Toc24274"/>
      <w:bookmarkStart w:id="27" w:name="_Toc3604"/>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5469340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2F4837D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0A7546E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20A058F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2.采购代理机构：大成工程咨询有限公司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地址：驻马店市泰山路与骏马路交叉口天基城中心花园3号楼（圆楼）5楼</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联系人：庞先生、张先生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联系方式：18272909999、15518321111</w:t>
      </w:r>
    </w:p>
    <w:p w14:paraId="002800B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08CAA69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10</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9</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5647"/>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23610"/>
      <w:bookmarkStart w:id="34" w:name="_Toc31536"/>
    </w:p>
    <w:bookmarkEnd w:id="29"/>
    <w:bookmarkEnd w:id="30"/>
    <w:bookmarkEnd w:id="32"/>
    <w:bookmarkEnd w:id="33"/>
    <w:bookmarkEnd w:id="34"/>
    <w:p w14:paraId="6295320D">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cs="宋体"/>
          <w:b w:val="0"/>
          <w:bCs w:val="0"/>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cs="宋体"/>
          <w:b w:val="0"/>
          <w:bCs w:val="0"/>
          <w:i w:val="0"/>
          <w:iCs/>
          <w:color w:val="auto"/>
          <w:sz w:val="21"/>
          <w:szCs w:val="21"/>
          <w:highlight w:val="none"/>
          <w:u w:val="none"/>
          <w:lang w:val="en-US" w:eastAsia="zh-CN"/>
        </w:rPr>
        <w:t>驻马店市中心医院多导睡眠测量仪采购项目（二次）</w:t>
      </w:r>
    </w:p>
    <w:p w14:paraId="774013E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900"/>
        <w:gridCol w:w="2100"/>
        <w:gridCol w:w="1050"/>
        <w:gridCol w:w="1035"/>
        <w:gridCol w:w="1155"/>
        <w:gridCol w:w="1369"/>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F52256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00" w:type="dxa"/>
            <w:vAlign w:val="center"/>
          </w:tcPr>
          <w:p w14:paraId="7BB03108">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100" w:type="dxa"/>
            <w:vAlign w:val="center"/>
          </w:tcPr>
          <w:p w14:paraId="1C81871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1050" w:type="dxa"/>
            <w:vAlign w:val="center"/>
          </w:tcPr>
          <w:p w14:paraId="2AF52A7A">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1035" w:type="dxa"/>
            <w:vAlign w:val="center"/>
          </w:tcPr>
          <w:p w14:paraId="78A9F1D6">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155" w:type="dxa"/>
            <w:vAlign w:val="center"/>
          </w:tcPr>
          <w:p w14:paraId="2259F43F">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资金预算</w:t>
            </w:r>
          </w:p>
        </w:tc>
        <w:tc>
          <w:tcPr>
            <w:tcW w:w="1369" w:type="dxa"/>
            <w:vAlign w:val="center"/>
          </w:tcPr>
          <w:p w14:paraId="0F2FBFF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资金性质</w:t>
            </w:r>
          </w:p>
        </w:tc>
        <w:tc>
          <w:tcPr>
            <w:tcW w:w="1245" w:type="dxa"/>
            <w:vAlign w:val="center"/>
          </w:tcPr>
          <w:p w14:paraId="5E8880A2">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国产/进口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90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2100"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多导睡眠测量仪</w:t>
            </w:r>
          </w:p>
        </w:tc>
        <w:tc>
          <w:tcPr>
            <w:tcW w:w="105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台</w:t>
            </w:r>
          </w:p>
        </w:tc>
        <w:tc>
          <w:tcPr>
            <w:tcW w:w="1035"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vertAlign w:val="baseline"/>
                <w:lang w:val="en-US" w:eastAsia="zh-CN"/>
              </w:rPr>
              <w:t>1</w:t>
            </w:r>
          </w:p>
        </w:tc>
        <w:tc>
          <w:tcPr>
            <w:tcW w:w="1155"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sz w:val="21"/>
                <w:szCs w:val="21"/>
                <w:vertAlign w:val="baseline"/>
                <w:lang w:val="en-US" w:eastAsia="zh-CN"/>
              </w:rPr>
              <w:t>35</w:t>
            </w:r>
            <w:r>
              <w:rPr>
                <w:rFonts w:hint="eastAsia" w:ascii="宋体" w:hAnsi="宋体" w:eastAsia="宋体" w:cs="宋体"/>
                <w:sz w:val="21"/>
                <w:szCs w:val="21"/>
                <w:vertAlign w:val="baseline"/>
                <w:lang w:val="en-US" w:eastAsia="zh-CN"/>
              </w:rPr>
              <w:t>万元</w:t>
            </w:r>
          </w:p>
        </w:tc>
        <w:tc>
          <w:tcPr>
            <w:tcW w:w="1369"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财政</w:t>
            </w:r>
            <w:r>
              <w:rPr>
                <w:rFonts w:hint="eastAsia" w:ascii="宋体" w:hAnsi="宋体" w:cs="宋体"/>
                <w:color w:val="auto"/>
                <w:sz w:val="21"/>
                <w:szCs w:val="21"/>
                <w:highlight w:val="none"/>
                <w:vertAlign w:val="baseline"/>
                <w:lang w:val="en-US" w:eastAsia="zh-CN"/>
              </w:rPr>
              <w:t>资金+</w:t>
            </w:r>
            <w:r>
              <w:rPr>
                <w:rFonts w:hint="eastAsia" w:ascii="宋体" w:hAnsi="宋体" w:eastAsia="宋体" w:cs="宋体"/>
                <w:color w:val="auto"/>
                <w:sz w:val="21"/>
                <w:szCs w:val="21"/>
                <w:highlight w:val="none"/>
                <w:vertAlign w:val="baseline"/>
                <w:lang w:val="en-US" w:eastAsia="zh-CN"/>
              </w:rPr>
              <w:t>自筹</w:t>
            </w:r>
            <w:r>
              <w:rPr>
                <w:rFonts w:hint="eastAsia" w:ascii="宋体" w:hAnsi="宋体" w:cs="宋体"/>
                <w:color w:val="auto"/>
                <w:sz w:val="21"/>
                <w:szCs w:val="21"/>
                <w:highlight w:val="none"/>
                <w:vertAlign w:val="baseline"/>
                <w:lang w:val="en-US" w:eastAsia="zh-CN"/>
              </w:rPr>
              <w:t>资金</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sz w:val="21"/>
                <w:szCs w:val="21"/>
                <w:highlight w:val="none"/>
                <w:vertAlign w:val="baseline"/>
                <w:lang w:val="en-US" w:eastAsia="zh-CN"/>
              </w:rPr>
              <w:t>接受进口</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sz w:val="21"/>
                <w:szCs w:val="21"/>
                <w:vertAlign w:val="baseline"/>
                <w:lang w:val="en-US" w:eastAsia="zh-CN"/>
              </w:rPr>
              <w:t>合计</w:t>
            </w:r>
          </w:p>
        </w:tc>
        <w:tc>
          <w:tcPr>
            <w:tcW w:w="7954"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35</w:t>
            </w:r>
            <w:r>
              <w:rPr>
                <w:rFonts w:hint="eastAsia" w:ascii="宋体" w:hAnsi="宋体" w:eastAsia="宋体" w:cs="宋体"/>
                <w:b/>
                <w:bCs/>
                <w:color w:val="auto"/>
                <w:sz w:val="21"/>
                <w:szCs w:val="21"/>
                <w:highlight w:val="none"/>
                <w:vertAlign w:val="baseline"/>
                <w:lang w:val="en-US" w:eastAsia="zh-CN"/>
              </w:rPr>
              <w:t>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954"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4856B05A">
      <w:pPr>
        <w:numPr>
          <w:ilvl w:val="0"/>
          <w:numId w:val="0"/>
        </w:numPr>
        <w:spacing w:line="192" w:lineRule="auto"/>
        <w:rPr>
          <w:rFonts w:hint="eastAsia" w:ascii="宋体" w:hAnsi="宋体" w:cs="宋体"/>
          <w:b/>
          <w:bCs/>
          <w:color w:val="auto"/>
          <w:kern w:val="2"/>
          <w:sz w:val="21"/>
          <w:szCs w:val="24"/>
          <w:highlight w:val="none"/>
          <w:lang w:val="en-US" w:eastAsia="zh-CN" w:bidi="ar-SA"/>
        </w:rPr>
      </w:pPr>
    </w:p>
    <w:p w14:paraId="10E84755">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eastAsia="zh-CN" w:bidi="ar-SA"/>
        </w:rPr>
        <w:t>技术</w:t>
      </w:r>
      <w:r>
        <w:rPr>
          <w:rFonts w:hint="eastAsia" w:ascii="宋体" w:hAnsi="宋体" w:cs="宋体"/>
          <w:b/>
          <w:color w:val="auto"/>
          <w:sz w:val="21"/>
          <w:szCs w:val="21"/>
          <w:highlight w:val="none"/>
          <w:lang w:val="en-US" w:eastAsia="zh-CN"/>
        </w:rPr>
        <w:t>参数</w:t>
      </w:r>
      <w:r>
        <w:rPr>
          <w:rFonts w:hint="eastAsia" w:ascii="宋体" w:hAnsi="宋体" w:eastAsia="宋体" w:cs="宋体"/>
          <w:b/>
          <w:bCs/>
          <w:color w:val="auto"/>
          <w:kern w:val="2"/>
          <w:sz w:val="21"/>
          <w:szCs w:val="24"/>
          <w:highlight w:val="none"/>
          <w:lang w:val="en-US" w:eastAsia="zh-CN" w:bidi="ar-SA"/>
        </w:rPr>
        <w:t>要求：</w:t>
      </w:r>
    </w:p>
    <w:p w14:paraId="5E81BED0">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(一)、硬件部分:</w:t>
      </w:r>
    </w:p>
    <w:p w14:paraId="328208C8">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1</w:t>
      </w:r>
      <w:r>
        <w:rPr>
          <w:rFonts w:hint="eastAsia" w:ascii="宋体" w:hAnsi="宋体" w:eastAsia="宋体" w:cs="宋体"/>
          <w:b w:val="0"/>
          <w:bCs/>
          <w:sz w:val="21"/>
          <w:szCs w:val="21"/>
        </w:rPr>
        <w:t>、</w:t>
      </w:r>
      <w:r>
        <w:rPr>
          <w:rFonts w:hint="eastAsia" w:ascii="宋体" w:hAnsi="宋体" w:eastAsia="宋体" w:cs="宋体"/>
          <w:bCs/>
          <w:sz w:val="21"/>
          <w:szCs w:val="21"/>
        </w:rPr>
        <w:t>通道数：≥45。脑电（≥8通道），可监测脑电、心电、肌电、眼电、口鼻气流（热敏式和压力式可同时监测）、血氧饱和度、胸式呼吸、腹式呼吸、鼾声、体位、肢体运动、灯光、PTT（血压监测）、压力滴定以及可扩展通道，包括：呼末CO</w:t>
      </w:r>
      <w:r>
        <w:rPr>
          <w:rFonts w:hint="eastAsia" w:ascii="宋体" w:hAnsi="宋体" w:eastAsia="宋体" w:cs="宋体"/>
          <w:bCs/>
          <w:sz w:val="24"/>
          <w:szCs w:val="24"/>
          <w:vertAlign w:val="subscript"/>
          <w:lang w:val="en-US" w:eastAsia="zh-CN"/>
        </w:rPr>
        <w:t>2</w:t>
      </w:r>
      <w:r>
        <w:rPr>
          <w:rFonts w:hint="eastAsia" w:ascii="宋体" w:hAnsi="宋体" w:eastAsia="宋体" w:cs="宋体"/>
          <w:bCs/>
          <w:sz w:val="21"/>
          <w:szCs w:val="21"/>
        </w:rPr>
        <w:t>、经皮CO</w:t>
      </w:r>
      <w:r>
        <w:rPr>
          <w:rFonts w:hint="eastAsia" w:ascii="宋体" w:hAnsi="宋体" w:eastAsia="宋体" w:cs="宋体"/>
          <w:bCs/>
          <w:sz w:val="24"/>
          <w:szCs w:val="24"/>
          <w:vertAlign w:val="subscript"/>
          <w:lang w:val="en-US" w:eastAsia="zh-CN"/>
        </w:rPr>
        <w:t>2</w:t>
      </w:r>
      <w:r>
        <w:rPr>
          <w:rFonts w:hint="eastAsia" w:ascii="宋体" w:hAnsi="宋体" w:eastAsia="宋体" w:cs="宋体"/>
          <w:bCs/>
          <w:sz w:val="21"/>
          <w:szCs w:val="21"/>
        </w:rPr>
        <w:t>、食道压及PH值、NPT、模拟驾驶系统等的监测</w:t>
      </w:r>
      <w:r>
        <w:rPr>
          <w:rFonts w:hint="eastAsia" w:ascii="宋体" w:hAnsi="宋体" w:eastAsia="宋体" w:cs="宋体"/>
          <w:bCs/>
          <w:sz w:val="21"/>
          <w:szCs w:val="21"/>
          <w:lang w:eastAsia="zh-CN"/>
        </w:rPr>
        <w:t>；</w:t>
      </w:r>
    </w:p>
    <w:p w14:paraId="1F732990">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2、放大器及头盒一体化，总重量≤800g</w:t>
      </w:r>
      <w:r>
        <w:rPr>
          <w:rFonts w:hint="eastAsia" w:ascii="宋体" w:hAnsi="宋体" w:eastAsia="宋体" w:cs="宋体"/>
          <w:bCs/>
          <w:sz w:val="21"/>
          <w:szCs w:val="21"/>
          <w:lang w:eastAsia="zh-CN"/>
        </w:rPr>
        <w:t>；</w:t>
      </w:r>
    </w:p>
    <w:p w14:paraId="71931192">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3、采用直流耦合放大器</w:t>
      </w:r>
      <w:r>
        <w:rPr>
          <w:rFonts w:hint="eastAsia" w:ascii="宋体" w:hAnsi="宋体" w:eastAsia="宋体" w:cs="宋体"/>
          <w:bCs/>
          <w:sz w:val="21"/>
          <w:szCs w:val="21"/>
          <w:lang w:eastAsia="zh-CN"/>
        </w:rPr>
        <w:t>；</w:t>
      </w:r>
    </w:p>
    <w:p w14:paraId="3215F584">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★4、单通道采样率≥10000HZ；存储频率≥2000HZ</w:t>
      </w:r>
      <w:r>
        <w:rPr>
          <w:rFonts w:hint="eastAsia" w:ascii="宋体" w:hAnsi="宋体" w:eastAsia="宋体" w:cs="宋体"/>
          <w:bCs/>
          <w:sz w:val="21"/>
          <w:szCs w:val="21"/>
          <w:lang w:eastAsia="zh-CN"/>
        </w:rPr>
        <w:t>；</w:t>
      </w:r>
    </w:p>
    <w:p w14:paraId="0F789CF3">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5、采用高精度≥24位 A-D转换每通道，动态输入量程≥600mV</w:t>
      </w:r>
      <w:r>
        <w:rPr>
          <w:rFonts w:hint="eastAsia" w:ascii="宋体" w:hAnsi="宋体" w:eastAsia="宋体" w:cs="宋体"/>
          <w:bCs/>
          <w:sz w:val="21"/>
          <w:szCs w:val="21"/>
          <w:lang w:eastAsia="zh-CN"/>
        </w:rPr>
        <w:t>；</w:t>
      </w:r>
    </w:p>
    <w:p w14:paraId="2129E182">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6、超低EEG频率采集（0.02-0.2HZ）,超高EEG频率（400-8000HZ）</w:t>
      </w:r>
      <w:r>
        <w:rPr>
          <w:rFonts w:hint="eastAsia" w:ascii="宋体" w:hAnsi="宋体" w:eastAsia="宋体" w:cs="宋体"/>
          <w:bCs/>
          <w:sz w:val="21"/>
          <w:szCs w:val="21"/>
          <w:lang w:eastAsia="zh-CN"/>
        </w:rPr>
        <w:t>；</w:t>
      </w:r>
    </w:p>
    <w:p w14:paraId="5EBCF9CA">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★7、采用网线供电并实时传输数据，也可实现无线实时传输功能</w:t>
      </w:r>
      <w:r>
        <w:rPr>
          <w:rFonts w:hint="eastAsia" w:ascii="宋体" w:hAnsi="宋体" w:eastAsia="宋体" w:cs="宋体"/>
          <w:bCs/>
          <w:sz w:val="21"/>
          <w:szCs w:val="21"/>
          <w:lang w:eastAsia="zh-CN"/>
        </w:rPr>
        <w:t>；</w:t>
      </w:r>
    </w:p>
    <w:p w14:paraId="0D2F44A6">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8、具备内置自动辨别灯光传感器，可自动标记开关灯时间，精准计算入睡潜伏期</w:t>
      </w:r>
      <w:r>
        <w:rPr>
          <w:rFonts w:hint="eastAsia" w:ascii="宋体" w:hAnsi="宋体" w:eastAsia="宋体" w:cs="宋体"/>
          <w:bCs/>
          <w:sz w:val="21"/>
          <w:szCs w:val="21"/>
          <w:lang w:eastAsia="zh-CN"/>
        </w:rPr>
        <w:t>；</w:t>
      </w:r>
    </w:p>
    <w:p w14:paraId="69695C3C">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9、放大器具备阻抗测试按钮及阻抗测试灯提示</w:t>
      </w:r>
      <w:r>
        <w:rPr>
          <w:rFonts w:hint="eastAsia" w:ascii="宋体" w:hAnsi="宋体" w:eastAsia="宋体" w:cs="宋体"/>
          <w:bCs/>
          <w:sz w:val="21"/>
          <w:szCs w:val="21"/>
          <w:lang w:eastAsia="zh-CN"/>
        </w:rPr>
        <w:t>；</w:t>
      </w:r>
    </w:p>
    <w:p w14:paraId="0A045207">
      <w:pPr>
        <w:spacing w:line="360" w:lineRule="auto"/>
        <w:rPr>
          <w:rFonts w:hint="eastAsia" w:ascii="宋体" w:hAnsi="宋体" w:eastAsia="宋体" w:cs="宋体"/>
          <w:bCs/>
          <w:sz w:val="21"/>
          <w:szCs w:val="21"/>
        </w:rPr>
      </w:pPr>
      <w:r>
        <w:rPr>
          <w:rFonts w:hint="eastAsia" w:ascii="宋体" w:hAnsi="宋体" w:eastAsia="宋体" w:cs="宋体"/>
          <w:bCs/>
          <w:sz w:val="21"/>
          <w:szCs w:val="21"/>
        </w:rPr>
        <w:t>10、具备心电呼吸阻抗描记技术（RIPECG）,利用心电信号测量成人、婴幼儿胸腔阻抗功能</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  </w:t>
      </w:r>
    </w:p>
    <w:p w14:paraId="62CB7D0E">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11、具有体积扫描感应式胸腹绑带（RIP），具有胸腹相位分析功能</w:t>
      </w:r>
      <w:r>
        <w:rPr>
          <w:rFonts w:hint="eastAsia" w:ascii="宋体" w:hAnsi="宋体" w:eastAsia="宋体" w:cs="宋体"/>
          <w:bCs/>
          <w:sz w:val="21"/>
          <w:szCs w:val="21"/>
          <w:lang w:eastAsia="zh-CN"/>
        </w:rPr>
        <w:t>；</w:t>
      </w:r>
    </w:p>
    <w:p w14:paraId="338969DD">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12、噪音≤0.3μVrms/ 1.8μVpp</w:t>
      </w:r>
      <w:r>
        <w:rPr>
          <w:rFonts w:hint="eastAsia" w:ascii="宋体" w:hAnsi="宋体" w:eastAsia="宋体" w:cs="宋体"/>
          <w:bCs/>
          <w:sz w:val="21"/>
          <w:szCs w:val="21"/>
          <w:lang w:eastAsia="zh-CN"/>
        </w:rPr>
        <w:t>；</w:t>
      </w:r>
    </w:p>
    <w:p w14:paraId="39AF0CB7">
      <w:pPr>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13、共模抑制比：≥105dB</w:t>
      </w:r>
      <w:r>
        <w:rPr>
          <w:rFonts w:hint="eastAsia" w:ascii="宋体" w:hAnsi="宋体" w:eastAsia="宋体" w:cs="宋体"/>
          <w:bCs/>
          <w:sz w:val="21"/>
          <w:szCs w:val="21"/>
          <w:lang w:eastAsia="zh-CN"/>
        </w:rPr>
        <w:t>；</w:t>
      </w:r>
    </w:p>
    <w:p w14:paraId="6D7674F1">
      <w:pPr>
        <w:spacing w:line="360" w:lineRule="auto"/>
        <w:rPr>
          <w:rFonts w:hint="eastAsia" w:ascii="宋体" w:hAnsi="宋体" w:eastAsia="宋体" w:cs="宋体"/>
          <w:bCs/>
          <w:color w:val="EE0000"/>
          <w:sz w:val="21"/>
          <w:szCs w:val="21"/>
        </w:rPr>
      </w:pPr>
      <w:r>
        <w:rPr>
          <w:rFonts w:hint="eastAsia" w:ascii="宋体" w:hAnsi="宋体" w:eastAsia="宋体" w:cs="宋体"/>
          <w:bCs/>
          <w:sz w:val="21"/>
          <w:szCs w:val="21"/>
        </w:rPr>
        <w:t>14、红外高清IP网络数字视频，采用MPEG-4压缩方式，提供双窗口（整体，局部特征）功能，记录桢频及图像大小可调，</w:t>
      </w:r>
      <w:r>
        <w:rPr>
          <w:rFonts w:hint="eastAsia" w:ascii="宋体" w:hAnsi="宋体" w:eastAsia="宋体" w:cs="宋体"/>
          <w:bCs/>
          <w:color w:val="000000" w:themeColor="text1"/>
          <w:sz w:val="21"/>
          <w:szCs w:val="21"/>
          <w14:textFill>
            <w14:solidFill>
              <w14:schemeClr w14:val="tx1"/>
            </w14:solidFill>
          </w14:textFill>
        </w:rPr>
        <w:t>具有剪辑功能。</w:t>
      </w:r>
    </w:p>
    <w:p w14:paraId="747130D1">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（二）、睡眠软件部分：</w:t>
      </w:r>
    </w:p>
    <w:p w14:paraId="356AB817">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1、睡眠软件符合最新的AASM标准，R&amp;K和AASM互相转换，具有全中文操作界面、全中文报告，并具有婴幼儿、儿童、成人三种分析软件</w:t>
      </w:r>
      <w:r>
        <w:rPr>
          <w:rFonts w:hint="eastAsia" w:ascii="宋体" w:hAnsi="宋体" w:eastAsia="宋体" w:cs="宋体"/>
          <w:sz w:val="21"/>
          <w:szCs w:val="21"/>
          <w:lang w:eastAsia="zh-CN"/>
        </w:rPr>
        <w:t>；</w:t>
      </w:r>
    </w:p>
    <w:p w14:paraId="5A250F10">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2、软件具备在记录病人数据的同时可对数据进行实时自动或手动分析；软件具备自动分析和人工分析两种方式</w:t>
      </w:r>
      <w:r>
        <w:rPr>
          <w:rFonts w:hint="eastAsia" w:ascii="宋体" w:hAnsi="宋体" w:eastAsia="宋体" w:cs="宋体"/>
          <w:sz w:val="21"/>
          <w:szCs w:val="21"/>
          <w:lang w:eastAsia="zh-CN"/>
        </w:rPr>
        <w:t>；</w:t>
      </w:r>
    </w:p>
    <w:p w14:paraId="5ABFC84E">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3、高频信号（如：EEG，ECG，EMG，EOG）与低频信号（如血氧、口鼻气流、体位、腿动等）可以分别采用≥12种不同扫描速度同屏显示</w:t>
      </w:r>
      <w:r>
        <w:rPr>
          <w:rFonts w:hint="eastAsia" w:ascii="宋体" w:hAnsi="宋体" w:eastAsia="宋体" w:cs="宋体"/>
          <w:sz w:val="21"/>
          <w:szCs w:val="21"/>
          <w:lang w:eastAsia="zh-CN"/>
        </w:rPr>
        <w:t>；</w:t>
      </w:r>
    </w:p>
    <w:p w14:paraId="0A743CF8">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4、多导睡眠采集分析软件</w:t>
      </w:r>
      <w:r>
        <w:rPr>
          <w:rFonts w:hint="eastAsia" w:ascii="宋体" w:hAnsi="宋体" w:eastAsia="宋体" w:cs="宋体"/>
          <w:color w:val="000000" w:themeColor="text1"/>
          <w:sz w:val="21"/>
          <w:szCs w:val="21"/>
          <w14:textFill>
            <w14:solidFill>
              <w14:schemeClr w14:val="tx1"/>
            </w14:solidFill>
          </w14:textFill>
        </w:rPr>
        <w:t>至少</w:t>
      </w:r>
      <w:r>
        <w:rPr>
          <w:rFonts w:hint="eastAsia" w:ascii="宋体" w:hAnsi="宋体" w:eastAsia="宋体" w:cs="宋体"/>
          <w:sz w:val="21"/>
          <w:szCs w:val="21"/>
        </w:rPr>
        <w:t>包括：睡眠分期、呼吸事件、心血管事件分析、体位分析、腿动分析、微觉醒事件分析、异态睡眠分析等</w:t>
      </w:r>
      <w:r>
        <w:rPr>
          <w:rFonts w:hint="eastAsia" w:ascii="宋体" w:hAnsi="宋体" w:eastAsia="宋体" w:cs="宋体"/>
          <w:sz w:val="21"/>
          <w:szCs w:val="21"/>
          <w:lang w:eastAsia="zh-CN"/>
        </w:rPr>
        <w:t>；</w:t>
      </w:r>
    </w:p>
    <w:p w14:paraId="2853A766">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★5、采集时病人发生异常情况，如血氧过低、脉率异常、呼吸机面罩漏气、呼吸机压力阈值、经皮</w:t>
      </w:r>
      <w:r>
        <w:rPr>
          <w:rFonts w:hint="eastAsia" w:ascii="宋体" w:hAnsi="宋体" w:eastAsia="宋体" w:cs="宋体"/>
          <w:bCs/>
          <w:sz w:val="21"/>
          <w:szCs w:val="21"/>
        </w:rPr>
        <w:t>CO</w:t>
      </w:r>
      <w:r>
        <w:rPr>
          <w:rFonts w:hint="eastAsia" w:ascii="宋体" w:hAnsi="宋体" w:eastAsia="宋体" w:cs="宋体"/>
          <w:bCs/>
          <w:sz w:val="24"/>
          <w:szCs w:val="24"/>
          <w:vertAlign w:val="subscript"/>
          <w:lang w:val="en-US" w:eastAsia="zh-CN"/>
        </w:rPr>
        <w:t>2</w:t>
      </w:r>
      <w:r>
        <w:rPr>
          <w:rFonts w:hint="eastAsia" w:ascii="宋体" w:hAnsi="宋体" w:eastAsia="宋体" w:cs="宋体"/>
          <w:sz w:val="21"/>
          <w:szCs w:val="21"/>
        </w:rPr>
        <w:t>阈值、呼末</w:t>
      </w:r>
      <w:r>
        <w:rPr>
          <w:rFonts w:hint="eastAsia" w:ascii="宋体" w:hAnsi="宋体" w:eastAsia="宋体" w:cs="宋体"/>
          <w:bCs/>
          <w:sz w:val="21"/>
          <w:szCs w:val="21"/>
        </w:rPr>
        <w:t>CO</w:t>
      </w:r>
      <w:r>
        <w:rPr>
          <w:rFonts w:hint="eastAsia" w:ascii="宋体" w:hAnsi="宋体" w:eastAsia="宋体" w:cs="宋体"/>
          <w:bCs/>
          <w:sz w:val="24"/>
          <w:szCs w:val="24"/>
          <w:vertAlign w:val="subscript"/>
          <w:lang w:val="en-US" w:eastAsia="zh-CN"/>
        </w:rPr>
        <w:t>2</w:t>
      </w:r>
      <w:r>
        <w:rPr>
          <w:rFonts w:hint="eastAsia" w:ascii="宋体" w:hAnsi="宋体" w:eastAsia="宋体" w:cs="宋体"/>
          <w:sz w:val="21"/>
          <w:szCs w:val="21"/>
        </w:rPr>
        <w:t>阈值等可声光报警</w:t>
      </w:r>
      <w:r>
        <w:rPr>
          <w:rFonts w:hint="eastAsia" w:ascii="宋体" w:hAnsi="宋体" w:eastAsia="宋体" w:cs="宋体"/>
          <w:sz w:val="21"/>
          <w:szCs w:val="21"/>
          <w:lang w:eastAsia="zh-CN"/>
        </w:rPr>
        <w:t>；</w:t>
      </w:r>
    </w:p>
    <w:p w14:paraId="2C49BB76">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6、采用开放式通道设置，可任意增加信号导联</w:t>
      </w:r>
      <w:r>
        <w:rPr>
          <w:rFonts w:hint="eastAsia" w:ascii="宋体" w:hAnsi="宋体" w:eastAsia="宋体" w:cs="宋体"/>
          <w:sz w:val="21"/>
          <w:szCs w:val="21"/>
          <w:lang w:eastAsia="zh-CN"/>
        </w:rPr>
        <w:t>；</w:t>
      </w:r>
    </w:p>
    <w:p w14:paraId="23A97BAE">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7、具备回放分析软件，以色标标记睡眠各期纺锤波Spindles，K复合波，Delta波，REM期的反相眼球运动等。为医生进行睡眠分期提供帮助，并可进行远程呼吸机压力滴定、多发小睡试验（MSLT）和清醒维持试验（MWT）</w:t>
      </w:r>
      <w:r>
        <w:rPr>
          <w:rFonts w:hint="eastAsia" w:ascii="宋体" w:hAnsi="宋体" w:eastAsia="宋体" w:cs="宋体"/>
          <w:sz w:val="21"/>
          <w:szCs w:val="21"/>
          <w:lang w:eastAsia="zh-CN"/>
        </w:rPr>
        <w:t>；</w:t>
      </w:r>
    </w:p>
    <w:p w14:paraId="37FA8593">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8、具备</w:t>
      </w:r>
      <w:r>
        <w:rPr>
          <w:rFonts w:hint="eastAsia" w:ascii="宋体" w:hAnsi="宋体" w:eastAsia="宋体" w:cs="宋体"/>
          <w:color w:val="000000" w:themeColor="text1"/>
          <w:sz w:val="21"/>
          <w:szCs w:val="21"/>
          <w14:textFill>
            <w14:solidFill>
              <w14:schemeClr w14:val="tx1"/>
            </w14:solidFill>
          </w14:textFill>
        </w:rPr>
        <w:t>学术研究管理软件，</w:t>
      </w:r>
      <w:r>
        <w:rPr>
          <w:rFonts w:hint="eastAsia" w:ascii="宋体" w:hAnsi="宋体" w:eastAsia="宋体" w:cs="宋体"/>
          <w:sz w:val="21"/>
          <w:szCs w:val="21"/>
        </w:rPr>
        <w:t>数据管理包括：复制数据、移动数据、删除数据、剪辑数据、合并片段数据、刻录数据、导入EDF数据等功能</w:t>
      </w:r>
      <w:r>
        <w:rPr>
          <w:rFonts w:hint="eastAsia" w:ascii="宋体" w:hAnsi="宋体" w:eastAsia="宋体" w:cs="宋体"/>
          <w:sz w:val="21"/>
          <w:szCs w:val="21"/>
          <w:lang w:eastAsia="zh-CN"/>
        </w:rPr>
        <w:t>；</w:t>
      </w:r>
    </w:p>
    <w:p w14:paraId="20E31732">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9、具备中文报告格式，具备编辑功能</w:t>
      </w:r>
      <w:r>
        <w:rPr>
          <w:rFonts w:hint="eastAsia" w:ascii="宋体" w:hAnsi="宋体" w:eastAsia="宋体" w:cs="宋体"/>
          <w:sz w:val="21"/>
          <w:szCs w:val="21"/>
          <w:lang w:eastAsia="zh-CN"/>
        </w:rPr>
        <w:t>；</w:t>
      </w:r>
    </w:p>
    <w:p w14:paraId="42FD94E2">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10、数据采集和回顾时，可实时添加或改变灯光状态等事件</w:t>
      </w:r>
      <w:r>
        <w:rPr>
          <w:rFonts w:hint="eastAsia" w:ascii="宋体" w:hAnsi="宋体" w:eastAsia="宋体" w:cs="宋体"/>
          <w:sz w:val="21"/>
          <w:szCs w:val="21"/>
          <w:lang w:eastAsia="zh-CN"/>
        </w:rPr>
        <w:t>；</w:t>
      </w:r>
    </w:p>
    <w:p w14:paraId="15457307">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11、具备睡眠紊乱事件自动分析软件：呼吸事件、血氧饱和度、自发性微觉醒、运动相关性微觉醒、呼吸相关性微觉醒、PLM腿动、鼾声及其他自定义事件</w:t>
      </w:r>
      <w:r>
        <w:rPr>
          <w:rFonts w:hint="eastAsia" w:ascii="宋体" w:hAnsi="宋体" w:eastAsia="宋体" w:cs="宋体"/>
          <w:sz w:val="21"/>
          <w:szCs w:val="21"/>
          <w:lang w:eastAsia="zh-CN"/>
        </w:rPr>
        <w:t>；</w:t>
      </w:r>
    </w:p>
    <w:p w14:paraId="245A8D9D">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12、每帧都有纺锤波、Delta波等的自动数量统计图</w:t>
      </w:r>
      <w:r>
        <w:rPr>
          <w:rFonts w:hint="eastAsia" w:ascii="宋体" w:hAnsi="宋体" w:eastAsia="宋体" w:cs="宋体"/>
          <w:sz w:val="21"/>
          <w:szCs w:val="21"/>
          <w:lang w:eastAsia="zh-CN"/>
        </w:rPr>
        <w:t>；</w:t>
      </w:r>
    </w:p>
    <w:p w14:paraId="40F7911C">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★13、具备RBD特殊事件分析软件，可以分析REM期肌张力增高程度，并可出具报告，给帕金森等神经科方面的疾病提供帮助</w:t>
      </w:r>
      <w:r>
        <w:rPr>
          <w:rFonts w:hint="eastAsia" w:ascii="宋体" w:hAnsi="宋体" w:eastAsia="宋体" w:cs="宋体"/>
          <w:sz w:val="21"/>
          <w:szCs w:val="21"/>
          <w:lang w:eastAsia="zh-CN"/>
        </w:rPr>
        <w:t>；</w:t>
      </w:r>
    </w:p>
    <w:p w14:paraId="7486A72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14、可分析其他睡眠厂家的数据。数据可转成欧洲标准数据EDF格式输出、MATLAB 格式输出、ASCII 格式输出。睡眠分期、呼吸事件分析结果可以输出ASCII或TXT文件，便于导入分析结果用于科研。</w:t>
      </w:r>
    </w:p>
    <w:p w14:paraId="6CC8588A">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★15、FFT脑能量分析软件，可以对整夜脑电分析也可以片段分析，统计不同脑波的频域范围，并提供数值分析报告</w:t>
      </w:r>
      <w:r>
        <w:rPr>
          <w:rFonts w:hint="eastAsia" w:ascii="宋体" w:hAnsi="宋体" w:eastAsia="宋体" w:cs="宋体"/>
          <w:sz w:val="21"/>
          <w:szCs w:val="21"/>
          <w:lang w:eastAsia="zh-CN"/>
        </w:rPr>
        <w:t>；</w:t>
      </w:r>
    </w:p>
    <w:p w14:paraId="5CF99540">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16、具备呼吸流速-容量环，监测上呼吸道阻力；具备胸腹相位二维图，帮助判断胸腹呼吸努力程度和矛盾呼吸</w:t>
      </w:r>
      <w:r>
        <w:rPr>
          <w:rFonts w:hint="eastAsia" w:ascii="宋体" w:hAnsi="宋体" w:eastAsia="宋体" w:cs="宋体"/>
          <w:sz w:val="21"/>
          <w:szCs w:val="21"/>
          <w:lang w:eastAsia="zh-CN"/>
        </w:rPr>
        <w:t>；</w:t>
      </w:r>
    </w:p>
    <w:p w14:paraId="6DDFA079">
      <w:pPr>
        <w:spacing w:line="36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17、具备教学软件。不同医生可对同一病例进行分析，分析结果可进行匹配对比，软件能自动标记不同之处，并提供链接快速跳转相应原始数据界面，实现教学模式</w:t>
      </w:r>
      <w:r>
        <w:rPr>
          <w:rFonts w:hint="eastAsia" w:ascii="宋体" w:hAnsi="宋体" w:eastAsia="宋体" w:cs="宋体"/>
          <w:color w:val="000000" w:themeColor="text1"/>
          <w:sz w:val="21"/>
          <w:szCs w:val="21"/>
          <w:lang w:eastAsia="zh-CN"/>
          <w14:textFill>
            <w14:solidFill>
              <w14:schemeClr w14:val="tx1"/>
            </w14:solidFill>
          </w14:textFill>
        </w:rPr>
        <w:t>；</w:t>
      </w:r>
    </w:p>
    <w:p w14:paraId="371C3533">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18、软件具备连续小波频谱转换图查看功能、快速傅里叶变换直方图查看功能</w:t>
      </w:r>
      <w:r>
        <w:rPr>
          <w:rFonts w:hint="eastAsia" w:ascii="宋体" w:hAnsi="宋体" w:eastAsia="宋体" w:cs="宋体"/>
          <w:sz w:val="21"/>
          <w:szCs w:val="21"/>
          <w:lang w:eastAsia="zh-CN"/>
        </w:rPr>
        <w:t>；</w:t>
      </w:r>
    </w:p>
    <w:p w14:paraId="5031A717">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19、具备PTT（脉搏传输时间）功能反映睡眠呼吸事件发生时的血压变化趋势，并能判断血压与呼吸事件相关性</w:t>
      </w:r>
      <w:r>
        <w:rPr>
          <w:rFonts w:hint="eastAsia" w:ascii="宋体" w:hAnsi="宋体" w:eastAsia="宋体" w:cs="宋体"/>
          <w:sz w:val="21"/>
          <w:szCs w:val="21"/>
          <w:lang w:eastAsia="zh-CN"/>
        </w:rPr>
        <w:t>；</w:t>
      </w:r>
    </w:p>
    <w:p w14:paraId="1BE3F4B9">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20、CAP分析并可出具报告、REM密度分析并可出具报告、RERA分析上气道呼吸努力相关性微觉醒并可出具报告</w:t>
      </w:r>
      <w:r>
        <w:rPr>
          <w:rFonts w:hint="eastAsia" w:ascii="宋体" w:hAnsi="宋体" w:eastAsia="宋体" w:cs="宋体"/>
          <w:sz w:val="21"/>
          <w:szCs w:val="21"/>
          <w:lang w:eastAsia="zh-CN"/>
        </w:rPr>
        <w:t>；</w:t>
      </w:r>
    </w:p>
    <w:p w14:paraId="13302F1B">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21、具有监测中辅助诊断系统，可以预设AHI指数阈值，进行分夜诊断评估</w:t>
      </w:r>
      <w:r>
        <w:rPr>
          <w:rFonts w:hint="eastAsia" w:ascii="宋体" w:hAnsi="宋体" w:eastAsia="宋体" w:cs="宋体"/>
          <w:sz w:val="21"/>
          <w:szCs w:val="21"/>
          <w:lang w:eastAsia="zh-CN"/>
        </w:rPr>
        <w:t>；</w:t>
      </w:r>
    </w:p>
    <w:p w14:paraId="3A8BE6BE">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22、具有≥100个书签功能，可快速插入书签能够准确查找异常事件</w:t>
      </w:r>
      <w:r>
        <w:rPr>
          <w:rFonts w:hint="eastAsia" w:ascii="宋体" w:hAnsi="宋体" w:eastAsia="宋体" w:cs="宋体"/>
          <w:sz w:val="21"/>
          <w:szCs w:val="21"/>
          <w:lang w:eastAsia="zh-CN"/>
        </w:rPr>
        <w:t>。</w:t>
      </w:r>
    </w:p>
    <w:p w14:paraId="241FC8E3">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（三）、技术规格</w:t>
      </w:r>
    </w:p>
    <w:p w14:paraId="5BB67F14">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1、</w:t>
      </w:r>
      <w:r>
        <w:rPr>
          <w:rFonts w:hint="eastAsia" w:ascii="宋体" w:hAnsi="宋体" w:eastAsia="宋体" w:cs="宋体"/>
          <w:bCs/>
          <w:sz w:val="21"/>
          <w:szCs w:val="21"/>
        </w:rPr>
        <w:t>单通道采样频率：≥10000HZ</w:t>
      </w:r>
      <w:r>
        <w:rPr>
          <w:rFonts w:hint="eastAsia" w:ascii="宋体" w:hAnsi="宋体" w:eastAsia="宋体" w:cs="宋体"/>
          <w:bCs/>
          <w:sz w:val="21"/>
          <w:szCs w:val="21"/>
          <w:lang w:eastAsia="zh-CN"/>
        </w:rPr>
        <w:t>；</w:t>
      </w:r>
    </w:p>
    <w:p w14:paraId="79BDE661">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2、</w:t>
      </w:r>
      <w:r>
        <w:rPr>
          <w:rFonts w:hint="eastAsia" w:ascii="宋体" w:hAnsi="宋体" w:eastAsia="宋体" w:cs="宋体"/>
          <w:bCs/>
          <w:sz w:val="21"/>
          <w:szCs w:val="21"/>
        </w:rPr>
        <w:t>数字分辨率：≥24bit</w:t>
      </w:r>
      <w:r>
        <w:rPr>
          <w:rFonts w:hint="eastAsia" w:ascii="宋体" w:hAnsi="宋体" w:eastAsia="宋体" w:cs="宋体"/>
          <w:bCs/>
          <w:sz w:val="21"/>
          <w:szCs w:val="21"/>
          <w:lang w:eastAsia="zh-CN"/>
        </w:rPr>
        <w:t>；</w:t>
      </w:r>
    </w:p>
    <w:p w14:paraId="776697B9">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3、</w:t>
      </w:r>
      <w:r>
        <w:rPr>
          <w:rFonts w:hint="eastAsia" w:ascii="宋体" w:hAnsi="宋体" w:eastAsia="宋体" w:cs="宋体"/>
          <w:bCs/>
          <w:sz w:val="21"/>
          <w:szCs w:val="21"/>
        </w:rPr>
        <w:t>共模抑制比：≥105dB</w:t>
      </w:r>
      <w:r>
        <w:rPr>
          <w:rFonts w:hint="eastAsia" w:ascii="宋体" w:hAnsi="宋体" w:eastAsia="宋体" w:cs="宋体"/>
          <w:bCs/>
          <w:sz w:val="21"/>
          <w:szCs w:val="21"/>
          <w:lang w:eastAsia="zh-CN"/>
        </w:rPr>
        <w:t>；</w:t>
      </w:r>
    </w:p>
    <w:p w14:paraId="6AE977FD">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4、</w:t>
      </w:r>
      <w:r>
        <w:rPr>
          <w:rFonts w:hint="eastAsia" w:ascii="宋体" w:hAnsi="宋体" w:eastAsia="宋体" w:cs="宋体"/>
          <w:bCs/>
          <w:sz w:val="21"/>
          <w:szCs w:val="21"/>
        </w:rPr>
        <w:t>频带范围: 0.02Hz-8000Hz</w:t>
      </w:r>
      <w:r>
        <w:rPr>
          <w:rFonts w:hint="eastAsia" w:ascii="宋体" w:hAnsi="宋体" w:eastAsia="宋体" w:cs="宋体"/>
          <w:bCs/>
          <w:sz w:val="21"/>
          <w:szCs w:val="21"/>
          <w:lang w:eastAsia="zh-CN"/>
        </w:rPr>
        <w:t>；</w:t>
      </w:r>
    </w:p>
    <w:p w14:paraId="14696276">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5、</w:t>
      </w:r>
      <w:r>
        <w:rPr>
          <w:rFonts w:hint="eastAsia" w:ascii="宋体" w:hAnsi="宋体" w:eastAsia="宋体" w:cs="宋体"/>
          <w:bCs/>
          <w:sz w:val="21"/>
          <w:szCs w:val="21"/>
        </w:rPr>
        <w:t>存储频率:≥2000Hz</w:t>
      </w:r>
      <w:r>
        <w:rPr>
          <w:rFonts w:hint="eastAsia" w:ascii="宋体" w:hAnsi="宋体" w:eastAsia="宋体" w:cs="宋体"/>
          <w:bCs/>
          <w:sz w:val="21"/>
          <w:szCs w:val="21"/>
          <w:lang w:eastAsia="zh-CN"/>
        </w:rPr>
        <w:t>；</w:t>
      </w:r>
    </w:p>
    <w:p w14:paraId="2017167F">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6、</w:t>
      </w:r>
      <w:r>
        <w:rPr>
          <w:rFonts w:hint="eastAsia" w:ascii="宋体" w:hAnsi="宋体" w:eastAsia="宋体" w:cs="宋体"/>
          <w:bCs/>
          <w:sz w:val="21"/>
          <w:szCs w:val="21"/>
        </w:rPr>
        <w:t>输入阻抗：≥100MΩ</w:t>
      </w:r>
      <w:r>
        <w:rPr>
          <w:rFonts w:hint="eastAsia" w:ascii="宋体" w:hAnsi="宋体" w:eastAsia="宋体" w:cs="宋体"/>
          <w:bCs/>
          <w:sz w:val="21"/>
          <w:szCs w:val="21"/>
          <w:lang w:eastAsia="zh-CN"/>
        </w:rPr>
        <w:t>；</w:t>
      </w:r>
    </w:p>
    <w:p w14:paraId="47F4DEB6">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7、</w:t>
      </w:r>
      <w:r>
        <w:rPr>
          <w:rFonts w:hint="eastAsia" w:ascii="宋体" w:hAnsi="宋体" w:eastAsia="宋体" w:cs="宋体"/>
          <w:bCs/>
          <w:sz w:val="21"/>
          <w:szCs w:val="21"/>
        </w:rPr>
        <w:t>输入电流：≤5nA</w:t>
      </w:r>
      <w:r>
        <w:rPr>
          <w:rFonts w:hint="eastAsia" w:ascii="宋体" w:hAnsi="宋体" w:eastAsia="宋体" w:cs="宋体"/>
          <w:bCs/>
          <w:sz w:val="21"/>
          <w:szCs w:val="21"/>
          <w:lang w:eastAsia="zh-CN"/>
        </w:rPr>
        <w:t>；</w:t>
      </w:r>
    </w:p>
    <w:p w14:paraId="568E8262">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8、</w:t>
      </w:r>
      <w:r>
        <w:rPr>
          <w:rFonts w:hint="eastAsia" w:ascii="宋体" w:hAnsi="宋体" w:eastAsia="宋体" w:cs="宋体"/>
          <w:bCs/>
          <w:sz w:val="21"/>
          <w:szCs w:val="21"/>
        </w:rPr>
        <w:t>噪声：≤0.3μVrms/ 1.8μVpp</w:t>
      </w:r>
      <w:r>
        <w:rPr>
          <w:rFonts w:hint="eastAsia" w:ascii="宋体" w:hAnsi="宋体" w:eastAsia="宋体" w:cs="宋体"/>
          <w:bCs/>
          <w:sz w:val="21"/>
          <w:szCs w:val="21"/>
          <w:lang w:eastAsia="zh-CN"/>
        </w:rPr>
        <w:t>；</w:t>
      </w:r>
    </w:p>
    <w:p w14:paraId="342CC384">
      <w:pPr>
        <w:spacing w:line="360" w:lineRule="auto"/>
        <w:rPr>
          <w:rFonts w:hint="eastAsia" w:ascii="宋体" w:hAnsi="宋体" w:eastAsia="宋体" w:cs="宋体"/>
          <w:bCs/>
          <w:sz w:val="21"/>
          <w:szCs w:val="21"/>
          <w:lang w:eastAsia="zh-CN"/>
        </w:rPr>
      </w:pPr>
      <w:r>
        <w:rPr>
          <w:rFonts w:hint="eastAsia" w:ascii="宋体" w:hAnsi="宋体" w:cs="宋体"/>
          <w:bCs/>
          <w:sz w:val="21"/>
          <w:szCs w:val="21"/>
          <w:lang w:val="en-US" w:eastAsia="zh-CN"/>
        </w:rPr>
        <w:t>9、</w:t>
      </w:r>
      <w:r>
        <w:rPr>
          <w:rFonts w:hint="eastAsia" w:ascii="宋体" w:hAnsi="宋体" w:eastAsia="宋体" w:cs="宋体"/>
          <w:bCs/>
          <w:sz w:val="21"/>
          <w:szCs w:val="21"/>
        </w:rPr>
        <w:t>重量:≤800g</w:t>
      </w:r>
      <w:r>
        <w:rPr>
          <w:rFonts w:hint="eastAsia" w:ascii="宋体" w:hAnsi="宋体" w:eastAsia="宋体" w:cs="宋体"/>
          <w:bCs/>
          <w:sz w:val="21"/>
          <w:szCs w:val="21"/>
          <w:lang w:eastAsia="zh-CN"/>
        </w:rPr>
        <w:t>。</w:t>
      </w:r>
    </w:p>
    <w:p w14:paraId="345577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（四）配置清单</w:t>
      </w:r>
      <w:r>
        <w:rPr>
          <w:rFonts w:hint="eastAsia" w:ascii="宋体" w:hAnsi="宋体" w:eastAsia="宋体" w:cs="宋体"/>
          <w:b/>
          <w:bCs/>
          <w:sz w:val="21"/>
          <w:szCs w:val="21"/>
          <w:lang w:eastAsia="zh-CN"/>
        </w:rPr>
        <w:t>（包含但不限于）</w:t>
      </w:r>
      <w:r>
        <w:rPr>
          <w:rFonts w:hint="eastAsia" w:ascii="宋体" w:hAnsi="宋体" w:eastAsia="宋体" w:cs="宋体"/>
          <w:b/>
          <w:bCs/>
          <w:sz w:val="21"/>
          <w:szCs w:val="21"/>
        </w:rPr>
        <w:t>：</w:t>
      </w:r>
    </w:p>
    <w:p w14:paraId="4F131ED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1"/>
          <w:szCs w:val="21"/>
        </w:rPr>
      </w:pPr>
      <w:r>
        <w:rPr>
          <w:rFonts w:hint="eastAsia" w:ascii="宋体" w:hAnsi="宋体" w:eastAsia="宋体" w:cs="宋体"/>
          <w:b/>
          <w:sz w:val="21"/>
          <w:szCs w:val="21"/>
        </w:rPr>
        <w:t>1、工作站</w:t>
      </w:r>
      <w:r>
        <w:rPr>
          <w:rFonts w:hint="eastAsia" w:ascii="宋体" w:hAnsi="宋体" w:eastAsia="宋体" w:cs="宋体"/>
          <w:b/>
          <w:sz w:val="21"/>
          <w:szCs w:val="21"/>
          <w:lang w:val="en-US" w:eastAsia="zh-CN"/>
        </w:rPr>
        <w:t>1台</w:t>
      </w:r>
      <w:r>
        <w:rPr>
          <w:rFonts w:hint="eastAsia" w:ascii="宋体" w:hAnsi="宋体" w:eastAsia="宋体" w:cs="宋体"/>
          <w:b/>
          <w:sz w:val="21"/>
          <w:szCs w:val="21"/>
        </w:rPr>
        <w:t>及打印设备</w:t>
      </w:r>
      <w:r>
        <w:rPr>
          <w:rFonts w:hint="eastAsia" w:ascii="宋体" w:hAnsi="宋体" w:eastAsia="宋体" w:cs="宋体"/>
          <w:b/>
          <w:sz w:val="21"/>
          <w:szCs w:val="21"/>
          <w:lang w:val="en-US" w:eastAsia="zh-CN"/>
        </w:rPr>
        <w:t>1台</w:t>
      </w:r>
      <w:r>
        <w:rPr>
          <w:rFonts w:hint="eastAsia" w:ascii="宋体" w:hAnsi="宋体" w:eastAsia="宋体" w:cs="宋体"/>
          <w:b/>
          <w:sz w:val="21"/>
          <w:szCs w:val="21"/>
          <w:lang w:eastAsia="zh-CN"/>
        </w:rPr>
        <w:t>：</w:t>
      </w:r>
      <w:r>
        <w:rPr>
          <w:rFonts w:hint="eastAsia" w:ascii="宋体" w:hAnsi="宋体" w:eastAsia="宋体" w:cs="宋体"/>
          <w:bCs/>
          <w:sz w:val="21"/>
          <w:szCs w:val="21"/>
        </w:rPr>
        <w:t>Windows10及以上版本的操作系统</w:t>
      </w:r>
      <w:r>
        <w:rPr>
          <w:rFonts w:hint="eastAsia" w:ascii="宋体" w:hAnsi="宋体" w:eastAsia="宋体" w:cs="宋体"/>
          <w:bCs/>
          <w:sz w:val="21"/>
          <w:szCs w:val="21"/>
          <w:lang w:eastAsia="zh-CN"/>
        </w:rPr>
        <w:t>，</w:t>
      </w:r>
      <w:r>
        <w:rPr>
          <w:rFonts w:hint="eastAsia" w:ascii="宋体" w:hAnsi="宋体" w:eastAsia="宋体" w:cs="宋体"/>
          <w:bCs/>
          <w:sz w:val="21"/>
          <w:szCs w:val="21"/>
        </w:rPr>
        <w:t>高分辨率液晶显示器；</w:t>
      </w:r>
    </w:p>
    <w:p w14:paraId="033DB2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1"/>
          <w:szCs w:val="21"/>
          <w:lang w:eastAsia="zh-CN"/>
        </w:rPr>
      </w:pPr>
      <w:r>
        <w:rPr>
          <w:rFonts w:hint="eastAsia" w:ascii="宋体" w:hAnsi="宋体" w:eastAsia="宋体" w:cs="宋体"/>
          <w:b/>
          <w:sz w:val="21"/>
          <w:szCs w:val="21"/>
        </w:rPr>
        <w:t>2、数据采集系统一套及中文操作手册</w:t>
      </w:r>
      <w:r>
        <w:rPr>
          <w:rFonts w:hint="eastAsia" w:ascii="宋体" w:hAnsi="宋体" w:eastAsia="宋体" w:cs="宋体"/>
          <w:b/>
          <w:sz w:val="21"/>
          <w:szCs w:val="21"/>
          <w:lang w:eastAsia="zh-CN"/>
        </w:rPr>
        <w:t>：</w:t>
      </w:r>
      <w:r>
        <w:rPr>
          <w:rFonts w:hint="eastAsia" w:ascii="宋体" w:hAnsi="宋体" w:eastAsia="宋体" w:cs="宋体"/>
          <w:bCs/>
          <w:sz w:val="21"/>
          <w:szCs w:val="21"/>
        </w:rPr>
        <w:t>主机</w:t>
      </w:r>
      <w:r>
        <w:rPr>
          <w:rFonts w:hint="eastAsia" w:ascii="宋体" w:hAnsi="宋体" w:cs="宋体"/>
          <w:bCs/>
          <w:sz w:val="21"/>
          <w:szCs w:val="21"/>
          <w:lang w:eastAsia="zh-CN"/>
        </w:rPr>
        <w:t>、</w:t>
      </w:r>
      <w:r>
        <w:rPr>
          <w:rFonts w:hint="eastAsia" w:ascii="宋体" w:hAnsi="宋体" w:eastAsia="宋体" w:cs="宋体"/>
          <w:bCs/>
          <w:sz w:val="21"/>
          <w:szCs w:val="21"/>
        </w:rPr>
        <w:t>网络连接底座</w:t>
      </w:r>
      <w:r>
        <w:rPr>
          <w:rFonts w:hint="eastAsia" w:ascii="宋体" w:hAnsi="宋体" w:cs="宋体"/>
          <w:bCs/>
          <w:sz w:val="21"/>
          <w:szCs w:val="21"/>
          <w:lang w:eastAsia="zh-CN"/>
        </w:rPr>
        <w:t>、</w:t>
      </w:r>
      <w:r>
        <w:rPr>
          <w:rFonts w:hint="eastAsia" w:ascii="宋体" w:hAnsi="宋体" w:eastAsia="宋体" w:cs="宋体"/>
          <w:bCs/>
          <w:sz w:val="21"/>
          <w:szCs w:val="21"/>
        </w:rPr>
        <w:t>网络接口供电电源模块</w:t>
      </w:r>
      <w:r>
        <w:rPr>
          <w:rFonts w:hint="eastAsia" w:ascii="宋体" w:hAnsi="宋体" w:eastAsia="宋体" w:cs="宋体"/>
          <w:bCs/>
          <w:sz w:val="21"/>
          <w:szCs w:val="21"/>
          <w:lang w:eastAsia="zh-CN"/>
        </w:rPr>
        <w:t>；</w:t>
      </w:r>
    </w:p>
    <w:p w14:paraId="4BE245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b/>
          <w:sz w:val="21"/>
          <w:szCs w:val="21"/>
        </w:rPr>
        <w:t>3、电极及传感器组件，</w:t>
      </w:r>
      <w:r>
        <w:rPr>
          <w:rFonts w:hint="eastAsia" w:ascii="宋体" w:hAnsi="宋体" w:eastAsia="宋体" w:cs="宋体"/>
          <w:b/>
          <w:bCs/>
          <w:sz w:val="21"/>
          <w:szCs w:val="21"/>
          <w:lang w:eastAsia="zh-CN"/>
        </w:rPr>
        <w:t>包含（但不限于）</w:t>
      </w:r>
      <w:r>
        <w:rPr>
          <w:rFonts w:hint="eastAsia" w:ascii="宋体" w:hAnsi="宋体" w:eastAsia="宋体" w:cs="宋体"/>
          <w:b/>
          <w:sz w:val="21"/>
          <w:szCs w:val="21"/>
        </w:rPr>
        <w:t>:</w:t>
      </w:r>
      <w:r>
        <w:rPr>
          <w:rFonts w:hint="eastAsia" w:ascii="宋体" w:hAnsi="宋体" w:eastAsia="宋体" w:cs="宋体"/>
          <w:bCs/>
          <w:sz w:val="21"/>
          <w:szCs w:val="21"/>
        </w:rPr>
        <w:t>压力鼻气流传感器1根</w:t>
      </w:r>
      <w:r>
        <w:rPr>
          <w:rFonts w:hint="eastAsia" w:ascii="宋体" w:hAnsi="宋体" w:cs="宋体"/>
          <w:bCs/>
          <w:sz w:val="21"/>
          <w:szCs w:val="21"/>
          <w:lang w:eastAsia="zh-CN"/>
        </w:rPr>
        <w:t>、</w:t>
      </w:r>
      <w:r>
        <w:rPr>
          <w:rFonts w:hint="eastAsia" w:ascii="宋体" w:hAnsi="宋体" w:eastAsia="宋体" w:cs="宋体"/>
          <w:bCs/>
          <w:sz w:val="21"/>
          <w:szCs w:val="21"/>
        </w:rPr>
        <w:t>热敏口鼻气流传感器1个</w:t>
      </w:r>
      <w:r>
        <w:rPr>
          <w:rFonts w:hint="eastAsia" w:ascii="宋体" w:hAnsi="宋体" w:cs="宋体"/>
          <w:bCs/>
          <w:sz w:val="21"/>
          <w:szCs w:val="21"/>
          <w:lang w:eastAsia="zh-CN"/>
        </w:rPr>
        <w:t>、</w:t>
      </w:r>
      <w:r>
        <w:rPr>
          <w:rFonts w:hint="eastAsia" w:ascii="宋体" w:hAnsi="宋体" w:eastAsia="宋体" w:cs="宋体"/>
          <w:bCs/>
          <w:sz w:val="21"/>
          <w:szCs w:val="21"/>
        </w:rPr>
        <w:t>金杯电极线2包</w:t>
      </w:r>
      <w:r>
        <w:rPr>
          <w:rFonts w:hint="eastAsia" w:ascii="宋体" w:hAnsi="宋体" w:cs="宋体"/>
          <w:bCs/>
          <w:sz w:val="21"/>
          <w:szCs w:val="21"/>
          <w:lang w:eastAsia="zh-CN"/>
        </w:rPr>
        <w:t>、</w:t>
      </w:r>
      <w:r>
        <w:rPr>
          <w:rFonts w:hint="eastAsia" w:ascii="宋体" w:hAnsi="宋体" w:eastAsia="宋体" w:cs="宋体"/>
          <w:bCs/>
          <w:sz w:val="21"/>
          <w:szCs w:val="21"/>
        </w:rPr>
        <w:t>钮扣电极线1包</w:t>
      </w:r>
      <w:r>
        <w:rPr>
          <w:rFonts w:hint="eastAsia" w:ascii="宋体" w:hAnsi="宋体" w:cs="宋体"/>
          <w:bCs/>
          <w:sz w:val="21"/>
          <w:szCs w:val="21"/>
          <w:lang w:eastAsia="zh-CN"/>
        </w:rPr>
        <w:t>、</w:t>
      </w:r>
      <w:r>
        <w:rPr>
          <w:rFonts w:hint="eastAsia" w:ascii="宋体" w:hAnsi="宋体" w:eastAsia="宋体" w:cs="宋体"/>
          <w:bCs/>
          <w:sz w:val="21"/>
          <w:szCs w:val="21"/>
        </w:rPr>
        <w:t>鼾声传感器1个</w:t>
      </w:r>
      <w:r>
        <w:rPr>
          <w:rFonts w:hint="eastAsia" w:ascii="宋体" w:hAnsi="宋体" w:cs="宋体"/>
          <w:bCs/>
          <w:sz w:val="21"/>
          <w:szCs w:val="21"/>
          <w:lang w:eastAsia="zh-CN"/>
        </w:rPr>
        <w:t>、</w:t>
      </w:r>
      <w:r>
        <w:rPr>
          <w:rFonts w:hint="eastAsia" w:ascii="宋体" w:hAnsi="宋体" w:eastAsia="宋体" w:cs="宋体"/>
          <w:bCs/>
          <w:sz w:val="21"/>
          <w:szCs w:val="21"/>
        </w:rPr>
        <w:t>腹式呼吸绑带1个</w:t>
      </w:r>
      <w:r>
        <w:rPr>
          <w:rFonts w:hint="eastAsia" w:ascii="宋体" w:hAnsi="宋体" w:cs="宋体"/>
          <w:bCs/>
          <w:sz w:val="21"/>
          <w:szCs w:val="21"/>
          <w:lang w:eastAsia="zh-CN"/>
        </w:rPr>
        <w:t>、</w:t>
      </w:r>
      <w:r>
        <w:rPr>
          <w:rFonts w:hint="eastAsia" w:ascii="宋体" w:hAnsi="宋体" w:eastAsia="宋体" w:cs="宋体"/>
          <w:bCs/>
          <w:sz w:val="21"/>
          <w:szCs w:val="21"/>
        </w:rPr>
        <w:t>胸式呼吸绑带1个</w:t>
      </w:r>
      <w:r>
        <w:rPr>
          <w:rFonts w:hint="eastAsia" w:ascii="宋体" w:hAnsi="宋体" w:cs="宋体"/>
          <w:bCs/>
          <w:sz w:val="21"/>
          <w:szCs w:val="21"/>
          <w:lang w:eastAsia="zh-CN"/>
        </w:rPr>
        <w:t>、</w:t>
      </w:r>
      <w:r>
        <w:rPr>
          <w:rFonts w:hint="eastAsia" w:ascii="宋体" w:hAnsi="宋体" w:eastAsia="宋体" w:cs="宋体"/>
          <w:bCs/>
          <w:sz w:val="21"/>
          <w:szCs w:val="21"/>
        </w:rPr>
        <w:t>体位探头传感器1个</w:t>
      </w:r>
      <w:r>
        <w:rPr>
          <w:rFonts w:hint="eastAsia" w:ascii="宋体" w:hAnsi="宋体" w:cs="宋体"/>
          <w:bCs/>
          <w:sz w:val="21"/>
          <w:szCs w:val="21"/>
          <w:lang w:eastAsia="zh-CN"/>
        </w:rPr>
        <w:t>、</w:t>
      </w:r>
      <w:r>
        <w:rPr>
          <w:rFonts w:hint="eastAsia" w:ascii="宋体" w:hAnsi="宋体" w:eastAsia="宋体" w:cs="宋体"/>
          <w:bCs/>
          <w:sz w:val="21"/>
          <w:szCs w:val="21"/>
        </w:rPr>
        <w:t>血氧饱和度探头1个</w:t>
      </w:r>
      <w:r>
        <w:rPr>
          <w:rFonts w:hint="eastAsia" w:ascii="宋体" w:hAnsi="宋体" w:cs="宋体"/>
          <w:bCs/>
          <w:sz w:val="21"/>
          <w:szCs w:val="21"/>
          <w:lang w:eastAsia="zh-CN"/>
        </w:rPr>
        <w:t>、</w:t>
      </w:r>
      <w:r>
        <w:rPr>
          <w:rFonts w:hint="eastAsia" w:ascii="宋体" w:hAnsi="宋体" w:eastAsia="宋体" w:cs="宋体"/>
          <w:bCs/>
          <w:sz w:val="21"/>
          <w:szCs w:val="21"/>
        </w:rPr>
        <w:t>磨砂膏1支</w:t>
      </w:r>
      <w:r>
        <w:rPr>
          <w:rFonts w:hint="eastAsia" w:ascii="宋体" w:hAnsi="宋体" w:cs="宋体"/>
          <w:bCs/>
          <w:sz w:val="21"/>
          <w:szCs w:val="21"/>
          <w:lang w:eastAsia="zh-CN"/>
        </w:rPr>
        <w:t>、</w:t>
      </w:r>
      <w:r>
        <w:rPr>
          <w:rFonts w:hint="eastAsia" w:ascii="宋体" w:hAnsi="宋体" w:eastAsia="宋体" w:cs="宋体"/>
          <w:bCs/>
          <w:sz w:val="21"/>
          <w:szCs w:val="21"/>
        </w:rPr>
        <w:t>导电膏1罐</w:t>
      </w:r>
      <w:r>
        <w:rPr>
          <w:rFonts w:hint="eastAsia" w:ascii="宋体" w:hAnsi="宋体" w:eastAsia="宋体" w:cs="宋体"/>
          <w:bCs/>
          <w:sz w:val="21"/>
          <w:szCs w:val="21"/>
          <w:lang w:eastAsia="zh-CN"/>
        </w:rPr>
        <w:t>；</w:t>
      </w:r>
    </w:p>
    <w:p w14:paraId="7D76BD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1"/>
          <w:szCs w:val="21"/>
        </w:rPr>
      </w:pPr>
      <w:r>
        <w:rPr>
          <w:rFonts w:hint="eastAsia" w:ascii="宋体" w:hAnsi="宋体" w:eastAsia="宋体" w:cs="宋体"/>
          <w:b/>
          <w:sz w:val="21"/>
          <w:szCs w:val="21"/>
        </w:rPr>
        <w:t>4、软件包，</w:t>
      </w:r>
      <w:r>
        <w:rPr>
          <w:rFonts w:hint="eastAsia" w:ascii="宋体" w:hAnsi="宋体" w:eastAsia="宋体" w:cs="宋体"/>
          <w:b/>
          <w:bCs/>
          <w:sz w:val="21"/>
          <w:szCs w:val="21"/>
          <w:lang w:eastAsia="zh-CN"/>
        </w:rPr>
        <w:t>包含（但不限于）</w:t>
      </w:r>
      <w:r>
        <w:rPr>
          <w:rFonts w:hint="eastAsia" w:ascii="宋体" w:hAnsi="宋体" w:eastAsia="宋体" w:cs="宋体"/>
          <w:b/>
          <w:sz w:val="21"/>
          <w:szCs w:val="21"/>
        </w:rPr>
        <w:t>:</w:t>
      </w:r>
      <w:r>
        <w:rPr>
          <w:rFonts w:hint="eastAsia" w:ascii="宋体" w:hAnsi="宋体" w:eastAsia="宋体" w:cs="宋体"/>
          <w:bCs/>
          <w:sz w:val="21"/>
          <w:szCs w:val="21"/>
        </w:rPr>
        <w:t>数据采集软件</w:t>
      </w:r>
      <w:r>
        <w:rPr>
          <w:rFonts w:hint="eastAsia" w:ascii="宋体" w:hAnsi="宋体" w:cs="宋体"/>
          <w:bCs/>
          <w:sz w:val="21"/>
          <w:szCs w:val="21"/>
          <w:lang w:eastAsia="zh-CN"/>
        </w:rPr>
        <w:t>、</w:t>
      </w:r>
      <w:r>
        <w:rPr>
          <w:rFonts w:hint="eastAsia" w:ascii="宋体" w:hAnsi="宋体" w:eastAsia="宋体" w:cs="宋体"/>
          <w:bCs/>
          <w:sz w:val="21"/>
          <w:szCs w:val="21"/>
        </w:rPr>
        <w:t>数据分析软件</w:t>
      </w:r>
      <w:r>
        <w:rPr>
          <w:rFonts w:hint="eastAsia" w:ascii="宋体" w:hAnsi="宋体" w:eastAsia="宋体" w:cs="宋体"/>
          <w:bCs/>
          <w:sz w:val="21"/>
          <w:szCs w:val="21"/>
          <w:lang w:eastAsia="zh-CN"/>
        </w:rPr>
        <w:t>（</w:t>
      </w:r>
      <w:r>
        <w:rPr>
          <w:rFonts w:hint="eastAsia" w:ascii="宋体" w:hAnsi="宋体" w:eastAsia="宋体" w:cs="宋体"/>
          <w:bCs/>
          <w:sz w:val="21"/>
          <w:szCs w:val="21"/>
        </w:rPr>
        <w:t>包括</w:t>
      </w:r>
      <w:r>
        <w:rPr>
          <w:rFonts w:hint="eastAsia" w:ascii="宋体" w:hAnsi="宋体" w:eastAsia="宋体" w:cs="宋体"/>
          <w:bCs/>
          <w:sz w:val="21"/>
          <w:szCs w:val="21"/>
          <w:lang w:eastAsia="zh-CN"/>
        </w:rPr>
        <w:t>：</w:t>
      </w:r>
      <w:r>
        <w:rPr>
          <w:rFonts w:hint="eastAsia" w:ascii="宋体" w:hAnsi="宋体" w:eastAsia="宋体" w:cs="宋体"/>
          <w:bCs/>
          <w:sz w:val="21"/>
          <w:szCs w:val="21"/>
        </w:rPr>
        <w:t>回放、自动及手动分析、用户自定义报告等</w:t>
      </w:r>
      <w:r>
        <w:rPr>
          <w:rFonts w:hint="eastAsia" w:ascii="宋体" w:hAnsi="宋体" w:eastAsia="宋体" w:cs="宋体"/>
          <w:bCs/>
          <w:sz w:val="21"/>
          <w:szCs w:val="21"/>
          <w:lang w:eastAsia="zh-CN"/>
        </w:rPr>
        <w:t>）</w:t>
      </w:r>
      <w:r>
        <w:rPr>
          <w:rFonts w:hint="eastAsia" w:ascii="宋体" w:hAnsi="宋体" w:cs="宋体"/>
          <w:bCs/>
          <w:sz w:val="21"/>
          <w:szCs w:val="21"/>
          <w:lang w:eastAsia="zh-CN"/>
        </w:rPr>
        <w:t>、</w:t>
      </w:r>
      <w:r>
        <w:rPr>
          <w:rFonts w:hint="eastAsia" w:ascii="宋体" w:hAnsi="宋体" w:eastAsia="宋体" w:cs="宋体"/>
          <w:bCs/>
          <w:sz w:val="21"/>
          <w:szCs w:val="21"/>
        </w:rPr>
        <w:t>数据管理软件；</w:t>
      </w:r>
    </w:p>
    <w:p w14:paraId="37F2DE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b/>
          <w:sz w:val="21"/>
          <w:szCs w:val="21"/>
        </w:rPr>
        <w:t>5</w:t>
      </w:r>
      <w:r>
        <w:rPr>
          <w:rFonts w:hint="eastAsia" w:ascii="宋体" w:hAnsi="宋体" w:eastAsia="宋体" w:cs="宋体"/>
          <w:bCs/>
          <w:sz w:val="21"/>
          <w:szCs w:val="21"/>
        </w:rPr>
        <w:t>、</w:t>
      </w:r>
      <w:r>
        <w:rPr>
          <w:rFonts w:hint="eastAsia" w:ascii="宋体" w:hAnsi="宋体" w:eastAsia="宋体" w:cs="宋体"/>
          <w:b/>
          <w:sz w:val="21"/>
          <w:szCs w:val="21"/>
        </w:rPr>
        <w:t>红外高清同步数字音视频系统，</w:t>
      </w:r>
      <w:r>
        <w:rPr>
          <w:rFonts w:hint="eastAsia" w:ascii="宋体" w:hAnsi="宋体" w:eastAsia="宋体" w:cs="宋体"/>
          <w:b/>
          <w:bCs/>
          <w:sz w:val="21"/>
          <w:szCs w:val="21"/>
          <w:lang w:eastAsia="zh-CN"/>
        </w:rPr>
        <w:t>包含（但不限于）</w:t>
      </w:r>
      <w:r>
        <w:rPr>
          <w:rFonts w:hint="eastAsia" w:ascii="宋体" w:hAnsi="宋体" w:eastAsia="宋体" w:cs="宋体"/>
          <w:b/>
          <w:sz w:val="21"/>
          <w:szCs w:val="21"/>
        </w:rPr>
        <w:t>:</w:t>
      </w:r>
      <w:r>
        <w:rPr>
          <w:rFonts w:hint="eastAsia" w:ascii="宋体" w:hAnsi="宋体" w:eastAsia="宋体" w:cs="宋体"/>
          <w:sz w:val="21"/>
          <w:szCs w:val="21"/>
        </w:rPr>
        <w:t>数字视频采集软件</w:t>
      </w:r>
      <w:r>
        <w:rPr>
          <w:rFonts w:hint="eastAsia" w:ascii="宋体" w:hAnsi="宋体" w:cs="宋体"/>
          <w:sz w:val="21"/>
          <w:szCs w:val="21"/>
          <w:lang w:eastAsia="zh-CN"/>
        </w:rPr>
        <w:t>、</w:t>
      </w:r>
      <w:r>
        <w:rPr>
          <w:rFonts w:hint="eastAsia" w:ascii="宋体" w:hAnsi="宋体" w:eastAsia="宋体" w:cs="宋体"/>
          <w:sz w:val="21"/>
          <w:szCs w:val="21"/>
        </w:rPr>
        <w:t>摄像头组件</w:t>
      </w:r>
      <w:r>
        <w:rPr>
          <w:rFonts w:hint="eastAsia" w:ascii="宋体" w:hAnsi="宋体" w:cs="宋体"/>
          <w:sz w:val="21"/>
          <w:szCs w:val="21"/>
          <w:lang w:eastAsia="zh-CN"/>
        </w:rPr>
        <w:t>、</w:t>
      </w:r>
      <w:r>
        <w:rPr>
          <w:rFonts w:hint="eastAsia" w:ascii="宋体" w:hAnsi="宋体" w:eastAsia="宋体" w:cs="宋体"/>
          <w:sz w:val="21"/>
          <w:szCs w:val="21"/>
        </w:rPr>
        <w:t>内置音频(麦克风)</w:t>
      </w:r>
      <w:r>
        <w:rPr>
          <w:rFonts w:hint="eastAsia" w:ascii="宋体" w:hAnsi="宋体" w:eastAsia="宋体" w:cs="宋体"/>
          <w:sz w:val="21"/>
          <w:szCs w:val="21"/>
          <w:lang w:eastAsia="zh-CN"/>
        </w:rPr>
        <w:t>。</w:t>
      </w:r>
    </w:p>
    <w:p w14:paraId="7FD5C3F3">
      <w:pPr>
        <w:pStyle w:val="24"/>
        <w:numPr>
          <w:ilvl w:val="0"/>
          <w:numId w:val="0"/>
        </w:numPr>
        <w:rPr>
          <w:rFonts w:hint="eastAsia"/>
          <w:b/>
          <w:bCs/>
          <w:sz w:val="21"/>
          <w:szCs w:val="21"/>
          <w:lang w:val="en-US" w:eastAsia="zh-CN"/>
        </w:rPr>
      </w:pPr>
    </w:p>
    <w:p w14:paraId="2ABD016A">
      <w:pPr>
        <w:pStyle w:val="24"/>
        <w:numPr>
          <w:ilvl w:val="0"/>
          <w:numId w:val="0"/>
        </w:numPr>
        <w:rPr>
          <w:rFonts w:hint="eastAsia"/>
          <w:b/>
          <w:bCs/>
          <w:sz w:val="21"/>
          <w:szCs w:val="21"/>
          <w:lang w:val="en-US" w:eastAsia="zh-CN"/>
        </w:rPr>
      </w:pPr>
      <w:r>
        <w:rPr>
          <w:rFonts w:hint="eastAsia"/>
          <w:b/>
          <w:bCs/>
          <w:sz w:val="21"/>
          <w:szCs w:val="21"/>
          <w:lang w:val="en-US" w:eastAsia="zh-CN"/>
        </w:rPr>
        <w:t>四、其他要求</w:t>
      </w:r>
    </w:p>
    <w:p w14:paraId="3AE72EB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 xml:space="preserve">1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 </w:t>
      </w:r>
    </w:p>
    <w:p w14:paraId="36223A8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2供应商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w:t>
      </w:r>
    </w:p>
    <w:p w14:paraId="655EC7C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sectPr>
          <w:footerReference r:id="rId5" w:type="default"/>
          <w:pgSz w:w="11906" w:h="16838"/>
          <w:pgMar w:top="1417" w:right="1474" w:bottom="1417" w:left="1474" w:header="851" w:footer="624" w:gutter="0"/>
          <w:pgNumType w:fmt="decimal" w:start="1"/>
          <w:cols w:space="720" w:num="1"/>
          <w:docGrid w:type="lines" w:linePitch="319" w:charSpace="0"/>
        </w:sect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3商品包装和快递包装应符合《商品包装政府采购需求标准（试行）》和《快递包装政府采购需求标准（试行）》规定。</w:t>
      </w:r>
    </w:p>
    <w:p w14:paraId="5350CE7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p>
    <w:p w14:paraId="106ADFC5">
      <w:pPr>
        <w:tabs>
          <w:tab w:val="left" w:pos="587"/>
        </w:tabs>
        <w:bidi w:val="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合同签订后30日内交货，最终以合同约定内容为准。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从产品入库之日起，整机保修三年，出具相关服务承诺书。</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shd w:val="clear" w:fill="FFFFFF"/>
              </w:rPr>
              <w:t>符合国家质量标准、部颁标准、行业标准</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满足磋商文件</w:t>
            </w:r>
            <w:r>
              <w:rPr>
                <w:rFonts w:hint="eastAsia" w:ascii="宋体" w:hAnsi="宋体" w:eastAsia="宋体" w:cs="宋体"/>
                <w:i w:val="0"/>
                <w:iCs w:val="0"/>
                <w:caps w:val="0"/>
                <w:color w:val="auto"/>
                <w:spacing w:val="0"/>
                <w:sz w:val="21"/>
                <w:szCs w:val="21"/>
                <w:shd w:val="clear" w:fill="FFFFFF"/>
              </w:rPr>
              <w:t>规定标准。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r>
              <w:rPr>
                <w:rFonts w:hint="eastAsia" w:cs="宋体"/>
                <w:color w:val="auto"/>
                <w:sz w:val="21"/>
                <w:szCs w:val="21"/>
                <w:highlight w:val="none"/>
                <w:lang w:val="en-US" w:eastAsia="zh-CN"/>
              </w:rPr>
              <w:t>。</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643FE925">
            <w:pPr>
              <w:pStyle w:val="7"/>
              <w:keepNext w:val="0"/>
              <w:keepLines w:val="0"/>
              <w:pageBreakBefore w:val="0"/>
              <w:widowControl/>
              <w:kinsoku/>
              <w:wordWrap/>
              <w:overflowPunct/>
              <w:topLinePunct w:val="0"/>
              <w:autoSpaceDE/>
              <w:autoSpaceDN/>
              <w:bidi w:val="0"/>
              <w:adjustRightInd/>
              <w:snapToGrid/>
              <w:spacing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1.质保期内应当为采购人提供以下技术支持和服务：</w:t>
            </w:r>
          </w:p>
          <w:p w14:paraId="6D36BDC9">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a、现场响应：供应商应保证在12小时内对用户提出的问题或故障予以响应及处理。可提供备用设备或核心部件应急使用。</w:t>
            </w:r>
          </w:p>
          <w:p w14:paraId="2368BC3D">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w:t>
            </w:r>
            <w:r>
              <w:rPr>
                <w:rFonts w:hint="eastAsia" w:cs="宋体"/>
                <w:color w:val="auto"/>
                <w:sz w:val="21"/>
                <w:szCs w:val="21"/>
                <w:highlight w:val="none"/>
                <w:lang w:val="en-US" w:eastAsia="zh-CN"/>
              </w:rPr>
              <w:t>成交供应商应当应每季度对该设备进行保养不少于一次,并出具保养报告，具体保养内容见合同。</w:t>
            </w:r>
          </w:p>
          <w:p w14:paraId="23E5979C">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c、质保期内该设备应保证大于95%（含）的开机率，如达不到要求，每少于一天质保期顺延7天，如造成严重损失需赔偿用户经济损失或换货或退货。</w:t>
            </w:r>
          </w:p>
          <w:p w14:paraId="29FB4595">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d、技术升级，如果制造商的产品技术升级，</w:t>
            </w:r>
            <w:r>
              <w:rPr>
                <w:rFonts w:hint="eastAsia"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应及时通知采购人，如采购人有相应要求，</w:t>
            </w:r>
            <w:r>
              <w:rPr>
                <w:rFonts w:hint="eastAsia"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和制造商应对采购人购买的产品进行免费升级服务。</w:t>
            </w:r>
          </w:p>
          <w:p w14:paraId="32C38246">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e、除火灾、洪水、地震等天灾外，在保修期内，由于货物故障所产生的所有费用均由</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供应商负责。</w:t>
            </w:r>
          </w:p>
          <w:p w14:paraId="4299C44C">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lang w:val="en-US" w:eastAsia="zh-CN"/>
              </w:rPr>
            </w:pPr>
            <w:r>
              <w:rPr>
                <w:rFonts w:hint="eastAsia" w:cs="宋体"/>
                <w:color w:val="auto"/>
                <w:sz w:val="21"/>
                <w:szCs w:val="21"/>
                <w:highlight w:val="none"/>
                <w:lang w:val="en-US" w:eastAsia="zh-CN"/>
              </w:rPr>
              <w:t>f、成交供应商交付设备时，应按照《国家食品药品监督管理总局》第18号令第17条的要求提供相应的维护手册、维修手册、软件备份、故障代码表、备件清单、零部件、维修密码等维护维修必需的材料和信息。</w:t>
            </w:r>
          </w:p>
          <w:p w14:paraId="6682DF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2.培训：免费提供操作培训和维修培训。 </w:t>
            </w:r>
          </w:p>
        </w:tc>
      </w:tr>
      <w:tr w14:paraId="2296B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B3FD8C4">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85D110E">
            <w:pPr>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要求设备为最新出厂设备，出厂日期不得早于招标日期6个月。</w:t>
            </w:r>
          </w:p>
        </w:tc>
      </w:tr>
    </w:tbl>
    <w:p w14:paraId="2883317E">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cs="宋体"/>
          <w:b/>
          <w:bCs/>
          <w:color w:val="auto"/>
          <w:sz w:val="21"/>
          <w:szCs w:val="21"/>
          <w:highlight w:val="none"/>
          <w:lang w:val="en-US" w:eastAsia="zh-CN"/>
        </w:rPr>
        <w:sectPr>
          <w:pgSz w:w="11906" w:h="16838"/>
          <w:pgMar w:top="1417" w:right="1474" w:bottom="1417" w:left="1474" w:header="851" w:footer="624" w:gutter="0"/>
          <w:pgNumType w:fmt="decimal" w:start="1"/>
          <w:cols w:space="720" w:num="1"/>
          <w:docGrid w:type="lines" w:linePitch="319" w:charSpace="0"/>
        </w:sect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both"/>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7737"/>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060B7E">
            <w:pPr>
              <w:widowControl/>
              <w:snapToGrid w:val="0"/>
              <w:spacing w:line="440" w:lineRule="exact"/>
              <w:jc w:val="left"/>
              <w:outlineLvl w:val="0"/>
              <w:rPr>
                <w:rFonts w:hint="eastAsia" w:ascii="宋体" w:hAnsi="宋体" w:cs="宋体"/>
                <w:color w:val="auto"/>
                <w:highlight w:val="none"/>
                <w:lang w:val="en-US" w:eastAsia="zh-CN"/>
              </w:rPr>
            </w:pPr>
            <w:bookmarkStart w:id="36" w:name="_Toc9566"/>
            <w:bookmarkStart w:id="37" w:name="_Toc27817"/>
            <w:bookmarkStart w:id="38" w:name="_Toc21083"/>
            <w:bookmarkStart w:id="39" w:name="_Toc21994"/>
            <w:bookmarkStart w:id="40" w:name="_Toc30169"/>
            <w:bookmarkStart w:id="41" w:name="_Toc22577"/>
            <w:bookmarkStart w:id="42" w:name="_Toc27740"/>
            <w:r>
              <w:rPr>
                <w:rFonts w:hint="eastAsia" w:ascii="宋体" w:hAnsi="宋体" w:eastAsia="宋体" w:cs="宋体"/>
                <w:color w:val="auto"/>
                <w:highlight w:val="none"/>
              </w:rPr>
              <w:t>1.1项目名称：</w:t>
            </w:r>
            <w:bookmarkEnd w:id="36"/>
            <w:bookmarkEnd w:id="37"/>
            <w:bookmarkEnd w:id="38"/>
            <w:bookmarkEnd w:id="39"/>
            <w:bookmarkEnd w:id="40"/>
            <w:bookmarkEnd w:id="41"/>
            <w:bookmarkStart w:id="43" w:name="_Toc29400"/>
            <w:bookmarkStart w:id="44" w:name="_Toc23424"/>
            <w:bookmarkStart w:id="45" w:name="_Toc28320"/>
            <w:r>
              <w:rPr>
                <w:rFonts w:hint="eastAsia" w:ascii="宋体" w:hAnsi="宋体" w:cs="宋体"/>
                <w:color w:val="auto"/>
                <w:highlight w:val="none"/>
                <w:lang w:val="en-US" w:eastAsia="zh-CN"/>
              </w:rPr>
              <w:t>驻马店市中心医院多导睡眠测量仪采购项目</w:t>
            </w:r>
            <w:bookmarkEnd w:id="42"/>
          </w:p>
          <w:p w14:paraId="710A5111">
            <w:pPr>
              <w:widowControl/>
              <w:snapToGrid w:val="0"/>
              <w:spacing w:line="440" w:lineRule="exact"/>
              <w:jc w:val="left"/>
              <w:outlineLvl w:val="0"/>
              <w:rPr>
                <w:rFonts w:hint="eastAsia" w:ascii="宋体" w:hAnsi="宋体" w:eastAsia="宋体" w:cs="宋体"/>
                <w:color w:val="auto"/>
                <w:highlight w:val="none"/>
              </w:rPr>
            </w:pPr>
            <w:bookmarkStart w:id="46" w:name="_Toc16110"/>
            <w:bookmarkStart w:id="47" w:name="_Toc29895"/>
            <w:bookmarkStart w:id="48" w:name="_Toc21372"/>
            <w:bookmarkStart w:id="49" w:name="_Toc13960"/>
            <w:r>
              <w:rPr>
                <w:rFonts w:hint="eastAsia" w:ascii="宋体" w:hAnsi="宋体" w:eastAsia="宋体" w:cs="宋体"/>
                <w:color w:val="auto"/>
                <w:highlight w:val="none"/>
              </w:rPr>
              <w:t>1.2采购人名称：</w:t>
            </w:r>
            <w:bookmarkEnd w:id="43"/>
            <w:bookmarkEnd w:id="44"/>
            <w:bookmarkEnd w:id="45"/>
            <w:r>
              <w:rPr>
                <w:rFonts w:hint="eastAsia" w:ascii="宋体" w:hAnsi="宋体" w:eastAsia="宋体" w:cs="宋体"/>
                <w:color w:val="auto"/>
                <w:highlight w:val="none"/>
              </w:rPr>
              <w:t>驻马店市中心医院</w:t>
            </w:r>
            <w:bookmarkEnd w:id="46"/>
            <w:bookmarkEnd w:id="47"/>
            <w:bookmarkEnd w:id="48"/>
            <w:bookmarkEnd w:id="49"/>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50" w:name="_Toc24541"/>
            <w:bookmarkStart w:id="51" w:name="_Toc11639"/>
            <w:bookmarkStart w:id="52" w:name="_Toc3148"/>
            <w:bookmarkStart w:id="53" w:name="_Toc26199"/>
            <w:bookmarkStart w:id="54" w:name="_Toc29780"/>
            <w:bookmarkStart w:id="55" w:name="_Toc22834"/>
            <w:bookmarkStart w:id="56" w:name="_Toc1096"/>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50"/>
            <w:bookmarkEnd w:id="51"/>
            <w:bookmarkEnd w:id="52"/>
            <w:bookmarkEnd w:id="53"/>
            <w:bookmarkEnd w:id="54"/>
            <w:bookmarkEnd w:id="55"/>
            <w:bookmarkEnd w:id="56"/>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05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185A3">
            <w:pPr>
              <w:widowControl/>
              <w:snapToGrid w:val="0"/>
              <w:spacing w:line="440" w:lineRule="exact"/>
              <w:jc w:val="left"/>
              <w:rPr>
                <w:rFonts w:hint="default" w:ascii="宋体" w:hAnsi="宋体" w:cs="宋体"/>
                <w:color w:val="auto"/>
                <w:kern w:val="0"/>
                <w:szCs w:val="21"/>
                <w:highlight w:val="none"/>
                <w:lang w:val="en-US" w:eastAsia="zh-CN"/>
              </w:rPr>
            </w:pPr>
            <w:r>
              <w:rPr>
                <w:rFonts w:hint="eastAsia" w:ascii="宋体" w:hAnsi="宋体" w:cs="宋体"/>
                <w:b/>
                <w:bCs/>
                <w:color w:val="auto"/>
                <w:highlight w:val="none"/>
                <w:lang w:val="en-US" w:eastAsia="zh-CN"/>
              </w:rPr>
              <w:t>预算金额：35万元；最高限价：35万元</w:t>
            </w:r>
            <w:r>
              <w:rPr>
                <w:rFonts w:hint="eastAsia" w:ascii="宋体" w:hAnsi="宋体" w:cs="宋体"/>
                <w:color w:val="auto"/>
                <w:kern w:val="0"/>
                <w:szCs w:val="21"/>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89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734"/>
              <w:gridCol w:w="1686"/>
              <w:gridCol w:w="1534"/>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960"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353060</wp:posOffset>
                            </wp:positionH>
                            <wp:positionV relativeFrom="paragraph">
                              <wp:posOffset>21590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pt;margin-top:1.7pt;height:24.05pt;width:76.4pt;z-index:251659264;mso-width-relative:page;mso-height-relative:page;" fillcolor="#FFFFFF [3201]" filled="t" stroked="f" coordsize="21600,21600" o:gfxdata="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w+HPt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734"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686"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534"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60"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734"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686"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34"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46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w:t>
            </w:r>
            <w:r>
              <w:rPr>
                <w:rFonts w:hint="eastAsia" w:ascii="宋体" w:hAnsi="宋体" w:eastAsia="宋体" w:cs="宋体"/>
                <w:color w:val="auto"/>
                <w:kern w:val="0"/>
                <w:szCs w:val="21"/>
                <w:highlight w:val="none"/>
                <w:lang w:val="en-US" w:eastAsia="zh-CN"/>
              </w:rPr>
              <w:t>财政</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lang w:val="en-US" w:eastAsia="zh-CN"/>
              </w:rPr>
              <w:t>+自筹</w:t>
            </w:r>
            <w:r>
              <w:rPr>
                <w:rFonts w:hint="eastAsia" w:ascii="宋体" w:hAnsi="宋体" w:cs="宋体"/>
                <w:color w:val="auto"/>
                <w:kern w:val="0"/>
                <w:szCs w:val="21"/>
                <w:highlight w:val="none"/>
                <w:lang w:val="en-US" w:eastAsia="zh-CN"/>
              </w:rPr>
              <w:t>资金</w:t>
            </w:r>
            <w:r>
              <w:rPr>
                <w:rFonts w:hint="eastAsia" w:ascii="宋体" w:hAnsi="宋体" w:eastAsia="宋体" w:cs="宋体"/>
                <w:color w:val="auto"/>
                <w:kern w:val="0"/>
                <w:szCs w:val="21"/>
                <w:highlight w:val="none"/>
              </w:rPr>
              <w:t>。</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57" w:name="_Toc4700"/>
      <w:bookmarkStart w:id="58"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43A3B61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预算金额：</w:t>
      </w:r>
      <w:r>
        <w:rPr>
          <w:rFonts w:hint="eastAsia" w:ascii="宋体" w:hAnsi="宋体" w:cs="宋体"/>
          <w:b/>
          <w:bCs/>
          <w:color w:val="auto"/>
          <w:kern w:val="0"/>
          <w:szCs w:val="21"/>
          <w:highlight w:val="none"/>
          <w:lang w:val="en-US" w:eastAsia="zh-CN"/>
        </w:rPr>
        <w:t>35</w:t>
      </w:r>
      <w:r>
        <w:rPr>
          <w:rFonts w:hint="eastAsia" w:ascii="宋体" w:hAnsi="宋体" w:eastAsia="宋体" w:cs="宋体"/>
          <w:b/>
          <w:bCs/>
          <w:color w:val="auto"/>
          <w:kern w:val="0"/>
          <w:szCs w:val="21"/>
          <w:highlight w:val="none"/>
          <w:lang w:val="en-US" w:eastAsia="zh-CN"/>
        </w:rPr>
        <w:t>万元；最高限价：</w:t>
      </w:r>
      <w:r>
        <w:rPr>
          <w:rFonts w:hint="eastAsia" w:ascii="宋体" w:hAnsi="宋体" w:cs="宋体"/>
          <w:b/>
          <w:bCs/>
          <w:color w:val="auto"/>
          <w:kern w:val="0"/>
          <w:szCs w:val="21"/>
          <w:highlight w:val="none"/>
          <w:lang w:val="en-US" w:eastAsia="zh-CN"/>
        </w:rPr>
        <w:t>35</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val="0"/>
          <w:bCs w:val="0"/>
          <w:color w:val="auto"/>
          <w:kern w:val="0"/>
          <w:szCs w:val="21"/>
          <w:highlight w:val="none"/>
          <w:lang w:val="en-US"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A47B9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6B779B7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4.8.1、供应商如为代理商的并所投产品如为进口产品的，需提供拟投产品制造商或中国境内办事处或中国总代理经销商针对本项目的授权书</w:t>
      </w:r>
    </w:p>
    <w:p w14:paraId="2EFDB84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4.8.2、</w:t>
      </w: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3ABFA3E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16.2、初次报价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9"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9"/>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80" w:lineRule="exact"/>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autoSpaceDE/>
        <w:autoSpaceDN/>
        <w:bidi w:val="0"/>
        <w:adjustRightInd/>
        <w:snapToGrid w:val="0"/>
        <w:spacing w:line="380" w:lineRule="exact"/>
        <w:ind w:firstLine="472" w:firstLineChars="224"/>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u w:val="single"/>
        </w:rPr>
      </w:pPr>
      <w:bookmarkStart w:id="60"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60"/>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61" w:name="_Toc18362"/>
      <w:r>
        <w:rPr>
          <w:rFonts w:hint="eastAsia" w:ascii="宋体" w:hAnsi="宋体" w:eastAsia="宋体" w:cs="宋体"/>
          <w:b/>
          <w:bCs/>
          <w:color w:val="auto"/>
          <w:kern w:val="0"/>
          <w:sz w:val="32"/>
          <w:szCs w:val="32"/>
          <w:highlight w:val="none"/>
        </w:rPr>
        <w:t>第四章  评标办法及评分标准</w:t>
      </w:r>
      <w:bookmarkEnd w:id="57"/>
      <w:bookmarkEnd w:id="61"/>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0F027E80">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256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1ED65AB4">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381A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1F549C6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4799ADC1">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37FFDF62">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5EA0993">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4A956124">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322C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jc w:val="center"/>
        </w:trPr>
        <w:tc>
          <w:tcPr>
            <w:tcW w:w="1239" w:type="dxa"/>
            <w:vMerge w:val="restart"/>
            <w:noWrap w:val="0"/>
            <w:vAlign w:val="center"/>
          </w:tcPr>
          <w:p w14:paraId="436F3FD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55</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383482D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62528EB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三、技术参数要求”响应，所投产品全部满足磋商文件要求得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分，带“★”号的技术参数为</w:t>
            </w:r>
            <w:r>
              <w:rPr>
                <w:rFonts w:hint="eastAsia" w:ascii="宋体" w:hAnsi="宋体" w:cs="宋体"/>
                <w:color w:val="auto"/>
                <w:sz w:val="21"/>
                <w:szCs w:val="21"/>
                <w:highlight w:val="none"/>
                <w:lang w:val="en-US" w:eastAsia="zh-CN"/>
              </w:rPr>
              <w:t>重要</w:t>
            </w:r>
            <w:r>
              <w:rPr>
                <w:rFonts w:hint="eastAsia" w:ascii="宋体" w:hAnsi="宋体" w:eastAsia="宋体" w:cs="宋体"/>
                <w:color w:val="auto"/>
                <w:sz w:val="21"/>
                <w:szCs w:val="21"/>
                <w:highlight w:val="none"/>
                <w:lang w:val="en-US" w:eastAsia="zh-CN"/>
              </w:rPr>
              <w:t xml:space="preserve">技术参数，有一项不满足的扣5分，扣完为止；不带“★”号的技术参数为一般性技术参数，有一项不满足的扣3分，扣完为止；如得分为0，则磋商无效。 </w:t>
            </w:r>
          </w:p>
          <w:p w14:paraId="168A0B3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1A8C2DB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2）供应商所投产品需提供医疗器械注册证【含附件：产品技术要求（如有）】或医疗器械备案凭证（非医疗器械可不提供）</w:t>
            </w:r>
            <w:r>
              <w:rPr>
                <w:rFonts w:hint="eastAsia" w:ascii="宋体" w:hAnsi="宋体" w:cs="宋体"/>
                <w:b/>
                <w:bCs/>
                <w:color w:val="auto"/>
                <w:sz w:val="21"/>
                <w:szCs w:val="21"/>
                <w:highlight w:val="none"/>
                <w:lang w:val="en-US" w:eastAsia="zh-CN"/>
              </w:rPr>
              <w:t>，如未按要求提供，则磋商无效。</w:t>
            </w:r>
          </w:p>
          <w:p w14:paraId="1057B3D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）提供产品注册检验报告及响应技术参数条款的技术白皮书和彩页等相关文件，并对响应技术参数部分做出明显标注。</w:t>
            </w:r>
            <w:r>
              <w:rPr>
                <w:rFonts w:hint="eastAsia" w:ascii="宋体" w:hAnsi="宋体" w:eastAsia="宋体" w:cs="宋体"/>
                <w:color w:val="000000" w:themeColor="text1"/>
                <w:szCs w:val="21"/>
                <w:highlight w:val="none"/>
                <w:lang w:val="en-US" w:eastAsia="zh-CN"/>
                <w14:textFill>
                  <w14:solidFill>
                    <w14:schemeClr w14:val="tx1"/>
                  </w14:solidFill>
                </w14:textFill>
              </w:rPr>
              <w:t>未提供对应证明材料的，视为不满足该项参数要求，做扣分处理。</w:t>
            </w:r>
          </w:p>
        </w:tc>
      </w:tr>
      <w:tr w14:paraId="0CC0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9F2C7E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44A5A41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tc>
        <w:tc>
          <w:tcPr>
            <w:tcW w:w="6770" w:type="dxa"/>
            <w:noWrap w:val="0"/>
            <w:vAlign w:val="center"/>
          </w:tcPr>
          <w:p w14:paraId="0FAD531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732A019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DA5A1F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投标产品制造工艺、稳定性较好</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安全性较高的得</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分；</w:t>
            </w:r>
          </w:p>
          <w:p w14:paraId="5115533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sz w:val="21"/>
                <w:szCs w:val="21"/>
              </w:rPr>
              <w:t>投标产品制造工艺、稳定性、安全性一般的得1分。</w:t>
            </w:r>
          </w:p>
        </w:tc>
      </w:tr>
      <w:tr w14:paraId="029C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39" w:type="dxa"/>
            <w:vMerge w:val="continue"/>
            <w:noWrap w:val="0"/>
            <w:vAlign w:val="center"/>
          </w:tcPr>
          <w:p w14:paraId="15842A4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C8388DF">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4A011CD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2A1658D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所投产品优秀，操控性强、性能好、技术先进的得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0D4C824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所投产品较好，操控性较强、性能较好、技术较先进的得2分；</w:t>
            </w:r>
          </w:p>
          <w:p w14:paraId="2B6CCE1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所投产品一般，操控性一般、性能一般、技术保守的得1分。</w:t>
            </w:r>
          </w:p>
        </w:tc>
      </w:tr>
      <w:tr w14:paraId="72B4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7E52CAF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7107A56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5907D18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20DDB5D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w:t>
            </w:r>
          </w:p>
          <w:p w14:paraId="40EFA1D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有较具体的供货保障措施，基本满足采购需求的得2分；</w:t>
            </w:r>
          </w:p>
          <w:p w14:paraId="04D455D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供货保障措施不完备，不能满足采购需求的得1分；缺项得0分。</w:t>
            </w:r>
          </w:p>
        </w:tc>
      </w:tr>
      <w:tr w14:paraId="6AC2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2287835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E29BAC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41F12AB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252DFCE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1F39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14BB89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FD10E6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57B2C6F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7C57007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w:t>
            </w:r>
          </w:p>
          <w:p w14:paraId="4CE0FC2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应急响应时间快、应急保障较充分的得2分；</w:t>
            </w:r>
          </w:p>
          <w:p w14:paraId="65C0B86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应急响应时间时间长、应急保障不充分的得1分；缺项得0分。</w:t>
            </w:r>
          </w:p>
        </w:tc>
      </w:tr>
      <w:tr w14:paraId="470B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5E0161C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42BE61D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1D3BC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59085EA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1EEEB69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433F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7ABEF81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3A9E5FD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3837765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供应商自2022年01月01日以来具有的类似项目(以合同文件为准），每提供一份得2分，最多得4分。</w:t>
            </w:r>
          </w:p>
        </w:tc>
      </w:tr>
      <w:tr w14:paraId="107C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39" w:type="dxa"/>
            <w:vMerge w:val="continue"/>
            <w:noWrap w:val="0"/>
            <w:vAlign w:val="center"/>
          </w:tcPr>
          <w:p w14:paraId="4E5F95D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40984C8">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3.优惠承诺（2分）</w:t>
            </w:r>
          </w:p>
        </w:tc>
        <w:tc>
          <w:tcPr>
            <w:tcW w:w="6770" w:type="dxa"/>
            <w:noWrap w:val="0"/>
            <w:vAlign w:val="center"/>
          </w:tcPr>
          <w:p w14:paraId="07E4E5E0">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根据供应商在满足采购文件要求的基础上另外提出的优惠承诺进行评比：每提供一项对采购人有利的、切实可行的实质性优惠承诺得1分，最多得2分。缺项得0分。</w:t>
            </w:r>
          </w:p>
        </w:tc>
      </w:tr>
      <w:tr w14:paraId="0554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3D8EE78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49E11D3">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4.售后服务（</w:t>
            </w:r>
            <w:r>
              <w:rPr>
                <w:rFonts w:hint="eastAsia" w:ascii="宋体" w:hAnsi="宋体" w:cs="宋体"/>
                <w:b w:val="0"/>
                <w:bCs w:val="0"/>
                <w:color w:val="auto"/>
                <w:kern w:val="2"/>
                <w:sz w:val="21"/>
                <w:szCs w:val="21"/>
                <w:highlight w:val="none"/>
                <w:lang w:val="en-US" w:eastAsia="zh-CN"/>
              </w:rPr>
              <w:t>5</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689171F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根据供应商提供的售后服务人员配备及专业技术能力说明、故障响应时间、</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、培训方案等进行打分。</w:t>
            </w:r>
          </w:p>
          <w:p w14:paraId="68893D35">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服务承诺符合本项目特点，措施详尽、故障响应时间极快、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合理且可行，有具体的培训方案，得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2E60FC1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较合理，有较具体的培训方案的得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67F2C46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w:t>
            </w:r>
            <w:r>
              <w:rPr>
                <w:rFonts w:hint="eastAsia" w:ascii="宋体" w:hAnsi="宋体" w:cs="宋体"/>
                <w:b w:val="0"/>
                <w:bCs w:val="0"/>
                <w:color w:val="auto"/>
                <w:sz w:val="21"/>
                <w:szCs w:val="21"/>
                <w:highlight w:val="none"/>
                <w:lang w:val="en-US" w:eastAsia="zh-CN"/>
              </w:rPr>
              <w:t>日常维修保养措施</w:t>
            </w:r>
            <w:r>
              <w:rPr>
                <w:rFonts w:hint="eastAsia" w:ascii="宋体" w:hAnsi="宋体" w:eastAsia="宋体" w:cs="宋体"/>
                <w:b w:val="0"/>
                <w:bCs w:val="0"/>
                <w:color w:val="auto"/>
                <w:sz w:val="21"/>
                <w:szCs w:val="21"/>
                <w:highlight w:val="none"/>
                <w:lang w:val="en-US" w:eastAsia="zh-CN"/>
              </w:rPr>
              <w:t>不完备，培训方案不完备的得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0845DF7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08F9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342E653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647461B1">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4108C8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8"/>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62" w:name="_Toc10838"/>
      <w:bookmarkStart w:id="63" w:name="_Toc1947"/>
      <w:bookmarkStart w:id="64" w:name="_Toc1482"/>
      <w:bookmarkStart w:id="65" w:name="_Toc256519703"/>
      <w:bookmarkStart w:id="66" w:name="_Toc326786897"/>
      <w:r>
        <w:rPr>
          <w:rFonts w:hint="eastAsia" w:ascii="宋体" w:hAnsi="宋体" w:eastAsia="宋体" w:cs="宋体"/>
          <w:color w:val="auto"/>
          <w:sz w:val="28"/>
          <w:szCs w:val="28"/>
          <w:highlight w:val="none"/>
        </w:rPr>
        <w:t>第五章  采购合同</w:t>
      </w:r>
      <w:bookmarkEnd w:id="62"/>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spacing w:after="0" w:afterAutospacing="0"/>
        <w:jc w:val="center"/>
        <w:rPr>
          <w:rFonts w:hint="eastAsia" w:ascii="宋体" w:hAnsi="宋体" w:eastAsia="宋体" w:cs="宋体"/>
          <w:color w:val="auto"/>
          <w:kern w:val="0"/>
          <w:highlight w:val="none"/>
        </w:rPr>
      </w:pPr>
      <w:bookmarkStart w:id="67" w:name="_Toc12377"/>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63"/>
      <w:bookmarkEnd w:id="64"/>
      <w:bookmarkEnd w:id="67"/>
    </w:p>
    <w:p w14:paraId="5164A6B6">
      <w:pPr>
        <w:spacing w:beforeAutospacing="0"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68" w:name="_Toc13604"/>
      <w:r>
        <w:rPr>
          <w:rFonts w:hint="eastAsia" w:ascii="宋体" w:hAnsi="宋体" w:eastAsia="宋体" w:cs="宋体"/>
          <w:b/>
          <w:bCs/>
          <w:color w:val="auto"/>
          <w:sz w:val="32"/>
          <w:szCs w:val="32"/>
          <w:highlight w:val="none"/>
        </w:rPr>
        <w:t>目    录</w:t>
      </w:r>
      <w:bookmarkEnd w:id="68"/>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9"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9"/>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0"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70"/>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1"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71"/>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2" w:name="_Toc9579"/>
      <w:r>
        <w:rPr>
          <w:rFonts w:hint="eastAsia" w:ascii="宋体" w:hAnsi="宋体" w:eastAsia="宋体" w:cs="宋体"/>
          <w:color w:val="auto"/>
          <w:sz w:val="24"/>
          <w:highlight w:val="none"/>
        </w:rPr>
        <w:t xml:space="preserve">附件4 </w:t>
      </w:r>
      <w:bookmarkEnd w:id="72"/>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3"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73"/>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74" w:name="_Toc6234"/>
      <w:r>
        <w:rPr>
          <w:rFonts w:hint="eastAsia" w:ascii="宋体" w:hAnsi="宋体" w:eastAsia="宋体" w:cs="宋体"/>
          <w:color w:val="auto"/>
          <w:sz w:val="24"/>
          <w:highlight w:val="none"/>
        </w:rPr>
        <w:t>附件6 商务</w:t>
      </w:r>
      <w:bookmarkEnd w:id="74"/>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5"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5"/>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6"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6"/>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7" w:name="_Toc31857"/>
      <w:r>
        <w:rPr>
          <w:rFonts w:hint="eastAsia" w:ascii="宋体" w:hAnsi="宋体" w:eastAsia="宋体" w:cs="宋体"/>
          <w:color w:val="auto"/>
          <w:sz w:val="24"/>
          <w:highlight w:val="none"/>
        </w:rPr>
        <w:t>附件9 证明文件</w:t>
      </w:r>
      <w:bookmarkEnd w:id="77"/>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8" w:name="_Toc23116"/>
      <w:r>
        <w:rPr>
          <w:rFonts w:hint="eastAsia" w:ascii="宋体" w:hAnsi="宋体" w:eastAsia="宋体" w:cs="宋体"/>
          <w:color w:val="auto"/>
          <w:sz w:val="24"/>
          <w:highlight w:val="none"/>
        </w:rPr>
        <w:t>附件10 供应商承诺书（格式）</w:t>
      </w:r>
      <w:bookmarkEnd w:id="78"/>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9" w:name="_Toc24743"/>
      <w:bookmarkStart w:id="80"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9"/>
      <w:bookmarkEnd w:id="80"/>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321B0FBA">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8"/>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8818"/>
      <w:bookmarkStart w:id="82" w:name="_Toc14560"/>
      <w:r>
        <w:rPr>
          <w:rFonts w:hint="eastAsia" w:ascii="宋体" w:hAnsi="宋体" w:eastAsia="宋体" w:cs="宋体"/>
          <w:color w:val="auto"/>
          <w:sz w:val="28"/>
          <w:szCs w:val="28"/>
          <w:highlight w:val="none"/>
          <w:lang w:val="en-US" w:eastAsia="zh-CN"/>
        </w:rPr>
        <w:t>附件2      竞争性磋商响应书（格式）</w:t>
      </w:r>
      <w:bookmarkEnd w:id="81"/>
      <w:bookmarkEnd w:id="82"/>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cs="宋体"/>
          <w:color w:val="auto"/>
          <w:kern w:val="0"/>
          <w:szCs w:val="21"/>
          <w:highlight w:val="none"/>
          <w:lang w:val="en-US" w:eastAsia="zh-CN"/>
        </w:rPr>
        <w:t>竞争性</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lang w:val="en-US" w:eastAsia="zh-CN"/>
        </w:rPr>
        <w:t>采购活动</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2E02C0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7838"/>
      <w:r>
        <w:rPr>
          <w:rFonts w:hint="eastAsia" w:ascii="宋体" w:hAnsi="宋体" w:eastAsia="宋体" w:cs="宋体"/>
          <w:color w:val="auto"/>
          <w:sz w:val="28"/>
          <w:szCs w:val="28"/>
          <w:highlight w:val="none"/>
          <w:lang w:val="en-US" w:eastAsia="zh-CN"/>
        </w:rPr>
        <w:t>附件3            初次报价一览表</w:t>
      </w:r>
      <w:bookmarkEnd w:id="83"/>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7321"/>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321"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321"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8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321"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321"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321"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84" w:name="_Toc20877"/>
      <w:bookmarkStart w:id="85" w:name="_Toc11620"/>
    </w:p>
    <w:bookmarkEnd w:id="84"/>
    <w:bookmarkEnd w:id="85"/>
    <w:p w14:paraId="6F998BE2">
      <w:pPr>
        <w:spacing w:line="360" w:lineRule="auto"/>
        <w:ind w:firstLine="420" w:firstLineChars="200"/>
        <w:jc w:val="center"/>
        <w:rPr>
          <w:rFonts w:hint="eastAsia" w:ascii="宋体" w:hAnsi="宋体" w:eastAsia="宋体" w:cs="宋体"/>
          <w:color w:val="auto"/>
          <w:kern w:val="0"/>
          <w:szCs w:val="21"/>
          <w:highlight w:val="none"/>
        </w:rPr>
      </w:pPr>
      <w:bookmarkStart w:id="86" w:name="_Toc12222"/>
      <w:bookmarkStart w:id="87" w:name="_Toc625"/>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523170F">
      <w:pPr>
        <w:spacing w:line="360" w:lineRule="auto"/>
        <w:ind w:firstLine="2310" w:firstLineChars="11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6"/>
      <w:bookmarkEnd w:id="87"/>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88" w:name="_Toc1330"/>
      <w:bookmarkStart w:id="89" w:name="_Toc9950"/>
      <w:r>
        <w:rPr>
          <w:rFonts w:hint="eastAsia" w:ascii="宋体" w:hAnsi="宋体" w:eastAsia="宋体" w:cs="宋体"/>
          <w:color w:val="auto"/>
          <w:szCs w:val="21"/>
          <w:highlight w:val="none"/>
        </w:rPr>
        <w:t>年  月  日</w:t>
      </w:r>
      <w:bookmarkEnd w:id="88"/>
      <w:bookmarkEnd w:id="89"/>
    </w:p>
    <w:p w14:paraId="75AF52ED">
      <w:pPr>
        <w:rPr>
          <w:rFonts w:hint="eastAsia" w:ascii="宋体" w:hAnsi="宋体" w:eastAsia="宋体" w:cs="宋体"/>
          <w:color w:val="auto"/>
          <w:highlight w:val="none"/>
        </w:rPr>
      </w:pPr>
    </w:p>
    <w:bookmarkEnd w:id="65"/>
    <w:bookmarkEnd w:id="66"/>
    <w:p w14:paraId="32162F70">
      <w:pPr>
        <w:spacing w:before="20" w:after="20"/>
        <w:outlineLvl w:val="9"/>
        <w:rPr>
          <w:rFonts w:hint="eastAsia" w:ascii="宋体" w:hAnsi="宋体" w:eastAsia="宋体" w:cs="宋体"/>
          <w:color w:val="auto"/>
          <w:highlight w:val="none"/>
          <w:lang w:eastAsia="zh-CN"/>
        </w:rPr>
      </w:pPr>
      <w:bookmarkStart w:id="90" w:name="_Toc24984"/>
      <w:bookmarkStart w:id="91"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90"/>
      <w:bookmarkEnd w:id="91"/>
      <w:r>
        <w:rPr>
          <w:rFonts w:hint="eastAsia" w:ascii="宋体" w:hAnsi="宋体" w:eastAsia="宋体" w:cs="宋体"/>
          <w:color w:val="auto"/>
          <w:sz w:val="28"/>
          <w:szCs w:val="28"/>
          <w:highlight w:val="none"/>
          <w:lang w:val="en-US" w:eastAsia="zh-CN"/>
        </w:rPr>
        <w:t>报价明细表（格式）</w:t>
      </w:r>
    </w:p>
    <w:p w14:paraId="79C39A44">
      <w:pPr>
        <w:jc w:val="right"/>
        <w:rPr>
          <w:rFonts w:hint="eastAsia"/>
          <w:color w:val="auto"/>
          <w:highlight w:val="none"/>
          <w:lang w:val="en-US" w:eastAsia="zh-CN"/>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auto"/>
          <w:kern w:val="0"/>
          <w:sz w:val="24"/>
          <w:highlight w:val="none"/>
        </w:rPr>
        <w:t>金额单位：人民币（元）</w:t>
      </w:r>
    </w:p>
    <w:tbl>
      <w:tblPr>
        <w:tblStyle w:val="34"/>
        <w:tblpPr w:leftFromText="180" w:rightFromText="180" w:vertAnchor="text" w:horzAnchor="page" w:tblpX="1095" w:tblpY="449"/>
        <w:tblOverlap w:val="never"/>
        <w:tblW w:w="95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2"/>
        <w:gridCol w:w="2029"/>
        <w:gridCol w:w="1377"/>
        <w:gridCol w:w="1377"/>
        <w:gridCol w:w="1400"/>
        <w:gridCol w:w="795"/>
        <w:gridCol w:w="854"/>
        <w:gridCol w:w="1103"/>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622"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29"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377"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377"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400"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产地</w:t>
            </w:r>
          </w:p>
        </w:tc>
        <w:tc>
          <w:tcPr>
            <w:tcW w:w="795"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854"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103"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2029"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2029"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3</w:t>
            </w:r>
          </w:p>
        </w:tc>
        <w:tc>
          <w:tcPr>
            <w:tcW w:w="2029"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4</w:t>
            </w:r>
          </w:p>
        </w:tc>
        <w:tc>
          <w:tcPr>
            <w:tcW w:w="2029"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2029"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2"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w:t>
            </w:r>
          </w:p>
        </w:tc>
        <w:tc>
          <w:tcPr>
            <w:tcW w:w="2029"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cs="宋体"/>
                <w:color w:val="auto"/>
                <w:spacing w:val="20"/>
                <w:kern w:val="0"/>
                <w:sz w:val="24"/>
                <w:highlight w:val="none"/>
                <w:lang w:val="en-US" w:eastAsia="zh-CN"/>
              </w:rPr>
              <w:t>总计</w:t>
            </w:r>
          </w:p>
        </w:tc>
        <w:tc>
          <w:tcPr>
            <w:tcW w:w="1377"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377"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00"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54"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22"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rPr>
            </w:pPr>
          </w:p>
        </w:tc>
        <w:tc>
          <w:tcPr>
            <w:tcW w:w="8935"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磋商</w:t>
            </w:r>
            <w:r>
              <w:rPr>
                <w:rFonts w:hint="eastAsia" w:ascii="宋体" w:hAnsi="宋体" w:cs="宋体"/>
                <w:color w:val="auto"/>
                <w:spacing w:val="20"/>
                <w:kern w:val="0"/>
                <w:sz w:val="24"/>
                <w:highlight w:val="none"/>
              </w:rPr>
              <w:t>报价(</w:t>
            </w:r>
            <w:r>
              <w:rPr>
                <w:rFonts w:hint="eastAsia" w:ascii="宋体" w:hAnsi="宋体" w:cs="宋体"/>
                <w:color w:val="auto"/>
                <w:kern w:val="0"/>
                <w:sz w:val="24"/>
                <w:szCs w:val="21"/>
                <w:highlight w:val="none"/>
              </w:rPr>
              <w:t>大写)：</w:t>
            </w:r>
          </w:p>
        </w:tc>
      </w:tr>
    </w:tbl>
    <w:p w14:paraId="3984396D">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647A6EC7">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lang w:eastAsia="zh-CN"/>
        </w:rPr>
      </w:pPr>
    </w:p>
    <w:p w14:paraId="1DEC94A1">
      <w:pPr>
        <w:widowControl/>
        <w:shd w:val="clear" w:color="auto" w:fill="FFFFFF"/>
        <w:spacing w:line="360" w:lineRule="auto"/>
        <w:ind w:left="1480" w:leftChars="705" w:firstLine="1524" w:firstLineChars="726"/>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start="1"/>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92" w:name="_Toc226"/>
      <w:bookmarkStart w:id="93" w:name="_Toc15804"/>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eastAsia="宋体"/>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447" w:type="dxa"/>
            <w:vAlign w:val="center"/>
          </w:tcPr>
          <w:p w14:paraId="579EE2D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447" w:type="dxa"/>
            <w:vAlign w:val="center"/>
          </w:tcPr>
          <w:p w14:paraId="0BC23284">
            <w:pPr>
              <w:keepNext w:val="0"/>
              <w:keepLines w:val="0"/>
              <w:widowControl/>
              <w:suppressLineNumbers w:val="0"/>
              <w:jc w:val="center"/>
              <w:rPr>
                <w:rFonts w:hint="eastAsia" w:eastAsia="宋体"/>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商品名称</w:t>
            </w:r>
          </w:p>
        </w:tc>
        <w:tc>
          <w:tcPr>
            <w:tcW w:w="1046" w:type="dxa"/>
            <w:vAlign w:val="center"/>
          </w:tcPr>
          <w:p w14:paraId="7B88569B">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注册</w:t>
            </w:r>
          </w:p>
          <w:p w14:paraId="5A7F3778">
            <w:pPr>
              <w:keepNext w:val="0"/>
              <w:keepLines w:val="0"/>
              <w:widowControl/>
              <w:suppressLineNumbers w:val="0"/>
              <w:jc w:val="center"/>
              <w:rPr>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证名称及注册证号</w:t>
            </w:r>
          </w:p>
        </w:tc>
        <w:tc>
          <w:tcPr>
            <w:tcW w:w="1046" w:type="dxa"/>
            <w:vAlign w:val="center"/>
          </w:tcPr>
          <w:p w14:paraId="13975975">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品牌</w:t>
            </w:r>
          </w:p>
          <w:p w14:paraId="715FBD17">
            <w:pPr>
              <w:keepNext w:val="0"/>
              <w:keepLines w:val="0"/>
              <w:widowControl/>
              <w:suppressLineNumbers w:val="0"/>
              <w:jc w:val="center"/>
              <w:rPr>
                <w:color w:val="auto"/>
                <w:sz w:val="21"/>
                <w:szCs w:val="21"/>
                <w:highlight w:val="none"/>
                <w:vertAlign w:val="baseline"/>
              </w:rPr>
            </w:pPr>
          </w:p>
        </w:tc>
        <w:tc>
          <w:tcPr>
            <w:tcW w:w="1046" w:type="dxa"/>
            <w:vAlign w:val="center"/>
          </w:tcPr>
          <w:p w14:paraId="135D21FF">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生产企业</w:t>
            </w:r>
          </w:p>
        </w:tc>
        <w:tc>
          <w:tcPr>
            <w:tcW w:w="929" w:type="dxa"/>
            <w:vAlign w:val="center"/>
          </w:tcPr>
          <w:p w14:paraId="4C52988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color w:val="auto"/>
                <w:sz w:val="21"/>
                <w:szCs w:val="21"/>
                <w:highlight w:val="none"/>
              </w:rPr>
            </w:pPr>
            <w:bookmarkStart w:id="94" w:name="_Toc3697"/>
            <w:bookmarkStart w:id="95" w:name="_Toc21708"/>
            <w:bookmarkStart w:id="96" w:name="_Toc23643"/>
            <w:bookmarkStart w:id="97" w:name="_Toc4127"/>
            <w:r>
              <w:rPr>
                <w:rFonts w:hint="eastAsia" w:ascii="宋体" w:hAnsi="宋体" w:eastAsia="宋体" w:cs="宋体"/>
                <w:b/>
                <w:color w:val="auto"/>
                <w:sz w:val="21"/>
                <w:szCs w:val="21"/>
                <w:highlight w:val="none"/>
              </w:rPr>
              <w:t>省、市、县</w:t>
            </w:r>
            <w:bookmarkEnd w:id="94"/>
            <w:bookmarkEnd w:id="95"/>
            <w:bookmarkEnd w:id="96"/>
            <w:bookmarkEnd w:id="97"/>
          </w:p>
          <w:p w14:paraId="1EA388BB">
            <w:pPr>
              <w:widowControl w:val="0"/>
              <w:spacing w:line="320" w:lineRule="exact"/>
              <w:jc w:val="center"/>
              <w:outlineLvl w:val="0"/>
              <w:rPr>
                <w:rFonts w:hint="eastAsia" w:ascii="宋体" w:hAnsi="宋体" w:eastAsia="宋体" w:cs="宋体"/>
                <w:b/>
                <w:color w:val="auto"/>
                <w:sz w:val="21"/>
                <w:szCs w:val="21"/>
                <w:highlight w:val="none"/>
              </w:rPr>
            </w:pPr>
            <w:bookmarkStart w:id="98" w:name="_Toc22255"/>
            <w:bookmarkStart w:id="99" w:name="_Toc13467"/>
            <w:bookmarkStart w:id="100" w:name="_Toc16741"/>
            <w:bookmarkStart w:id="101" w:name="_Toc31779"/>
            <w:r>
              <w:rPr>
                <w:rFonts w:hint="eastAsia" w:ascii="宋体" w:hAnsi="宋体" w:eastAsia="宋体" w:cs="宋体"/>
                <w:b/>
                <w:color w:val="auto"/>
                <w:sz w:val="21"/>
                <w:szCs w:val="21"/>
                <w:highlight w:val="none"/>
              </w:rPr>
              <w:t>收费编码</w:t>
            </w:r>
            <w:bookmarkEnd w:id="98"/>
            <w:bookmarkEnd w:id="99"/>
            <w:bookmarkEnd w:id="100"/>
            <w:bookmarkEnd w:id="101"/>
          </w:p>
          <w:p w14:paraId="0E7218A7">
            <w:pPr>
              <w:widowControl w:val="0"/>
              <w:spacing w:line="320" w:lineRule="exact"/>
              <w:jc w:val="center"/>
              <w:outlineLvl w:val="0"/>
              <w:rPr>
                <w:color w:val="auto"/>
                <w:sz w:val="21"/>
                <w:szCs w:val="21"/>
                <w:highlight w:val="none"/>
                <w:vertAlign w:val="baseline"/>
              </w:rPr>
            </w:pPr>
            <w:bookmarkStart w:id="102" w:name="_Toc12429"/>
            <w:bookmarkStart w:id="103" w:name="_Toc11147"/>
            <w:bookmarkStart w:id="104" w:name="_Toc703"/>
            <w:bookmarkStart w:id="105" w:name="_Toc570"/>
            <w:r>
              <w:rPr>
                <w:rFonts w:hint="eastAsia" w:ascii="宋体" w:hAnsi="宋体" w:eastAsia="宋体" w:cs="宋体"/>
                <w:b/>
                <w:color w:val="auto"/>
                <w:sz w:val="21"/>
                <w:szCs w:val="21"/>
                <w:highlight w:val="none"/>
              </w:rPr>
              <w:t>收费标准</w:t>
            </w:r>
            <w:bookmarkEnd w:id="102"/>
            <w:bookmarkEnd w:id="103"/>
            <w:bookmarkEnd w:id="104"/>
            <w:bookmarkEnd w:id="105"/>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color w:val="auto"/>
                <w:highlight w:val="none"/>
                <w:vertAlign w:val="baseline"/>
              </w:rPr>
            </w:pPr>
          </w:p>
        </w:tc>
        <w:tc>
          <w:tcPr>
            <w:tcW w:w="1447" w:type="dxa"/>
            <w:vMerge w:val="restart"/>
          </w:tcPr>
          <w:p w14:paraId="1411B170">
            <w:pPr>
              <w:widowControl w:val="0"/>
              <w:rPr>
                <w:color w:val="auto"/>
                <w:highlight w:val="none"/>
                <w:vertAlign w:val="baseline"/>
              </w:rPr>
            </w:pPr>
          </w:p>
        </w:tc>
        <w:tc>
          <w:tcPr>
            <w:tcW w:w="1447" w:type="dxa"/>
          </w:tcPr>
          <w:p w14:paraId="538C956D">
            <w:pPr>
              <w:widowControl w:val="0"/>
              <w:rPr>
                <w:color w:val="auto"/>
                <w:highlight w:val="none"/>
                <w:vertAlign w:val="baseline"/>
              </w:rPr>
            </w:pPr>
          </w:p>
        </w:tc>
        <w:tc>
          <w:tcPr>
            <w:tcW w:w="1046" w:type="dxa"/>
          </w:tcPr>
          <w:p w14:paraId="74877ABD">
            <w:pPr>
              <w:widowControl w:val="0"/>
              <w:rPr>
                <w:color w:val="auto"/>
                <w:highlight w:val="none"/>
                <w:vertAlign w:val="baseline"/>
              </w:rPr>
            </w:pPr>
          </w:p>
        </w:tc>
        <w:tc>
          <w:tcPr>
            <w:tcW w:w="1046" w:type="dxa"/>
          </w:tcPr>
          <w:p w14:paraId="46285D21">
            <w:pPr>
              <w:widowControl w:val="0"/>
              <w:rPr>
                <w:color w:val="auto"/>
                <w:highlight w:val="none"/>
                <w:vertAlign w:val="baseline"/>
              </w:rPr>
            </w:pPr>
          </w:p>
        </w:tc>
        <w:tc>
          <w:tcPr>
            <w:tcW w:w="1046" w:type="dxa"/>
          </w:tcPr>
          <w:p w14:paraId="30AA1993">
            <w:pPr>
              <w:widowControl w:val="0"/>
              <w:rPr>
                <w:color w:val="auto"/>
                <w:highlight w:val="none"/>
                <w:vertAlign w:val="baseline"/>
              </w:rPr>
            </w:pPr>
          </w:p>
        </w:tc>
        <w:tc>
          <w:tcPr>
            <w:tcW w:w="1164" w:type="dxa"/>
          </w:tcPr>
          <w:p w14:paraId="3FDE21BE">
            <w:pPr>
              <w:widowControl w:val="0"/>
              <w:rPr>
                <w:color w:val="auto"/>
                <w:highlight w:val="none"/>
                <w:vertAlign w:val="baseline"/>
              </w:rPr>
            </w:pPr>
          </w:p>
        </w:tc>
        <w:tc>
          <w:tcPr>
            <w:tcW w:w="929" w:type="dxa"/>
          </w:tcPr>
          <w:p w14:paraId="4E71EAFD">
            <w:pPr>
              <w:widowControl w:val="0"/>
              <w:rPr>
                <w:color w:val="auto"/>
                <w:highlight w:val="none"/>
                <w:vertAlign w:val="baseline"/>
              </w:rPr>
            </w:pPr>
          </w:p>
        </w:tc>
        <w:tc>
          <w:tcPr>
            <w:tcW w:w="929" w:type="dxa"/>
          </w:tcPr>
          <w:p w14:paraId="2A5C917F">
            <w:pPr>
              <w:widowControl w:val="0"/>
              <w:rPr>
                <w:color w:val="auto"/>
                <w:highlight w:val="none"/>
                <w:vertAlign w:val="baseline"/>
              </w:rPr>
            </w:pPr>
          </w:p>
        </w:tc>
        <w:tc>
          <w:tcPr>
            <w:tcW w:w="1046" w:type="dxa"/>
          </w:tcPr>
          <w:p w14:paraId="2BC032BB">
            <w:pPr>
              <w:widowControl w:val="0"/>
              <w:rPr>
                <w:color w:val="auto"/>
                <w:highlight w:val="none"/>
                <w:vertAlign w:val="baseline"/>
              </w:rPr>
            </w:pPr>
          </w:p>
        </w:tc>
        <w:tc>
          <w:tcPr>
            <w:tcW w:w="1609" w:type="dxa"/>
          </w:tcPr>
          <w:p w14:paraId="43AF7AB5">
            <w:pPr>
              <w:widowControl w:val="0"/>
              <w:rPr>
                <w:color w:val="auto"/>
                <w:highlight w:val="none"/>
                <w:vertAlign w:val="baseline"/>
              </w:rPr>
            </w:pPr>
          </w:p>
        </w:tc>
        <w:tc>
          <w:tcPr>
            <w:tcW w:w="1908" w:type="dxa"/>
          </w:tcPr>
          <w:p w14:paraId="351E7283">
            <w:pPr>
              <w:widowControl w:val="0"/>
              <w:rPr>
                <w:color w:val="auto"/>
                <w:highlight w:val="none"/>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color w:val="auto"/>
                <w:highlight w:val="none"/>
                <w:vertAlign w:val="baseline"/>
              </w:rPr>
            </w:pPr>
          </w:p>
        </w:tc>
        <w:tc>
          <w:tcPr>
            <w:tcW w:w="1447" w:type="dxa"/>
            <w:vMerge w:val="continue"/>
          </w:tcPr>
          <w:p w14:paraId="040A03DA">
            <w:pPr>
              <w:widowControl w:val="0"/>
              <w:rPr>
                <w:color w:val="auto"/>
                <w:highlight w:val="none"/>
                <w:vertAlign w:val="baseline"/>
              </w:rPr>
            </w:pPr>
          </w:p>
        </w:tc>
        <w:tc>
          <w:tcPr>
            <w:tcW w:w="1447" w:type="dxa"/>
          </w:tcPr>
          <w:p w14:paraId="6D655FCD">
            <w:pPr>
              <w:widowControl w:val="0"/>
              <w:rPr>
                <w:color w:val="auto"/>
                <w:highlight w:val="none"/>
                <w:vertAlign w:val="baseline"/>
              </w:rPr>
            </w:pPr>
          </w:p>
        </w:tc>
        <w:tc>
          <w:tcPr>
            <w:tcW w:w="1046" w:type="dxa"/>
          </w:tcPr>
          <w:p w14:paraId="5E1CE5CD">
            <w:pPr>
              <w:widowControl w:val="0"/>
              <w:rPr>
                <w:color w:val="auto"/>
                <w:highlight w:val="none"/>
                <w:vertAlign w:val="baseline"/>
              </w:rPr>
            </w:pPr>
          </w:p>
        </w:tc>
        <w:tc>
          <w:tcPr>
            <w:tcW w:w="1046" w:type="dxa"/>
          </w:tcPr>
          <w:p w14:paraId="6FFF8D39">
            <w:pPr>
              <w:widowControl w:val="0"/>
              <w:rPr>
                <w:color w:val="auto"/>
                <w:highlight w:val="none"/>
                <w:vertAlign w:val="baseline"/>
              </w:rPr>
            </w:pPr>
          </w:p>
        </w:tc>
        <w:tc>
          <w:tcPr>
            <w:tcW w:w="1046" w:type="dxa"/>
          </w:tcPr>
          <w:p w14:paraId="69EFFFF9">
            <w:pPr>
              <w:widowControl w:val="0"/>
              <w:rPr>
                <w:color w:val="auto"/>
                <w:highlight w:val="none"/>
                <w:vertAlign w:val="baseline"/>
              </w:rPr>
            </w:pPr>
          </w:p>
        </w:tc>
        <w:tc>
          <w:tcPr>
            <w:tcW w:w="1164" w:type="dxa"/>
          </w:tcPr>
          <w:p w14:paraId="0D9181D5">
            <w:pPr>
              <w:widowControl w:val="0"/>
              <w:rPr>
                <w:color w:val="auto"/>
                <w:highlight w:val="none"/>
                <w:vertAlign w:val="baseline"/>
              </w:rPr>
            </w:pPr>
          </w:p>
        </w:tc>
        <w:tc>
          <w:tcPr>
            <w:tcW w:w="929" w:type="dxa"/>
          </w:tcPr>
          <w:p w14:paraId="13E08F75">
            <w:pPr>
              <w:widowControl w:val="0"/>
              <w:rPr>
                <w:color w:val="auto"/>
                <w:highlight w:val="none"/>
                <w:vertAlign w:val="baseline"/>
              </w:rPr>
            </w:pPr>
          </w:p>
        </w:tc>
        <w:tc>
          <w:tcPr>
            <w:tcW w:w="929" w:type="dxa"/>
          </w:tcPr>
          <w:p w14:paraId="55638291">
            <w:pPr>
              <w:widowControl w:val="0"/>
              <w:rPr>
                <w:color w:val="auto"/>
                <w:highlight w:val="none"/>
                <w:vertAlign w:val="baseline"/>
              </w:rPr>
            </w:pPr>
          </w:p>
        </w:tc>
        <w:tc>
          <w:tcPr>
            <w:tcW w:w="1046" w:type="dxa"/>
          </w:tcPr>
          <w:p w14:paraId="18AD76A8">
            <w:pPr>
              <w:widowControl w:val="0"/>
              <w:rPr>
                <w:color w:val="auto"/>
                <w:highlight w:val="none"/>
                <w:vertAlign w:val="baseline"/>
              </w:rPr>
            </w:pPr>
          </w:p>
        </w:tc>
        <w:tc>
          <w:tcPr>
            <w:tcW w:w="1609" w:type="dxa"/>
          </w:tcPr>
          <w:p w14:paraId="3E848191">
            <w:pPr>
              <w:widowControl w:val="0"/>
              <w:rPr>
                <w:color w:val="auto"/>
                <w:highlight w:val="none"/>
                <w:vertAlign w:val="baseline"/>
              </w:rPr>
            </w:pPr>
          </w:p>
        </w:tc>
        <w:tc>
          <w:tcPr>
            <w:tcW w:w="1908" w:type="dxa"/>
          </w:tcPr>
          <w:p w14:paraId="4A951FB8">
            <w:pPr>
              <w:widowControl w:val="0"/>
              <w:rPr>
                <w:color w:val="auto"/>
                <w:highlight w:val="none"/>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color w:val="auto"/>
                <w:highlight w:val="none"/>
                <w:vertAlign w:val="baseline"/>
              </w:rPr>
            </w:pPr>
          </w:p>
        </w:tc>
        <w:tc>
          <w:tcPr>
            <w:tcW w:w="1447" w:type="dxa"/>
            <w:vMerge w:val="restart"/>
          </w:tcPr>
          <w:p w14:paraId="0D9E80CF">
            <w:pPr>
              <w:widowControl w:val="0"/>
              <w:rPr>
                <w:color w:val="auto"/>
                <w:highlight w:val="none"/>
                <w:vertAlign w:val="baseline"/>
              </w:rPr>
            </w:pPr>
          </w:p>
        </w:tc>
        <w:tc>
          <w:tcPr>
            <w:tcW w:w="1447" w:type="dxa"/>
          </w:tcPr>
          <w:p w14:paraId="1E7399C3">
            <w:pPr>
              <w:widowControl w:val="0"/>
              <w:rPr>
                <w:color w:val="auto"/>
                <w:highlight w:val="none"/>
                <w:vertAlign w:val="baseline"/>
              </w:rPr>
            </w:pPr>
          </w:p>
        </w:tc>
        <w:tc>
          <w:tcPr>
            <w:tcW w:w="1046" w:type="dxa"/>
          </w:tcPr>
          <w:p w14:paraId="3F37E071">
            <w:pPr>
              <w:widowControl w:val="0"/>
              <w:rPr>
                <w:color w:val="auto"/>
                <w:highlight w:val="none"/>
                <w:vertAlign w:val="baseline"/>
              </w:rPr>
            </w:pPr>
          </w:p>
        </w:tc>
        <w:tc>
          <w:tcPr>
            <w:tcW w:w="1046" w:type="dxa"/>
          </w:tcPr>
          <w:p w14:paraId="3C6E9A35">
            <w:pPr>
              <w:widowControl w:val="0"/>
              <w:rPr>
                <w:color w:val="auto"/>
                <w:highlight w:val="none"/>
                <w:vertAlign w:val="baseline"/>
              </w:rPr>
            </w:pPr>
          </w:p>
        </w:tc>
        <w:tc>
          <w:tcPr>
            <w:tcW w:w="1046" w:type="dxa"/>
          </w:tcPr>
          <w:p w14:paraId="439A493E">
            <w:pPr>
              <w:widowControl w:val="0"/>
              <w:rPr>
                <w:color w:val="auto"/>
                <w:highlight w:val="none"/>
                <w:vertAlign w:val="baseline"/>
              </w:rPr>
            </w:pPr>
          </w:p>
        </w:tc>
        <w:tc>
          <w:tcPr>
            <w:tcW w:w="1164" w:type="dxa"/>
          </w:tcPr>
          <w:p w14:paraId="6DA472CA">
            <w:pPr>
              <w:widowControl w:val="0"/>
              <w:rPr>
                <w:color w:val="auto"/>
                <w:highlight w:val="none"/>
                <w:vertAlign w:val="baseline"/>
              </w:rPr>
            </w:pPr>
          </w:p>
        </w:tc>
        <w:tc>
          <w:tcPr>
            <w:tcW w:w="929" w:type="dxa"/>
          </w:tcPr>
          <w:p w14:paraId="7A944B46">
            <w:pPr>
              <w:widowControl w:val="0"/>
              <w:rPr>
                <w:color w:val="auto"/>
                <w:highlight w:val="none"/>
                <w:vertAlign w:val="baseline"/>
              </w:rPr>
            </w:pPr>
          </w:p>
        </w:tc>
        <w:tc>
          <w:tcPr>
            <w:tcW w:w="929" w:type="dxa"/>
          </w:tcPr>
          <w:p w14:paraId="4B709168">
            <w:pPr>
              <w:widowControl w:val="0"/>
              <w:rPr>
                <w:color w:val="auto"/>
                <w:highlight w:val="none"/>
                <w:vertAlign w:val="baseline"/>
              </w:rPr>
            </w:pPr>
          </w:p>
        </w:tc>
        <w:tc>
          <w:tcPr>
            <w:tcW w:w="1046" w:type="dxa"/>
          </w:tcPr>
          <w:p w14:paraId="0406CE2F">
            <w:pPr>
              <w:widowControl w:val="0"/>
              <w:rPr>
                <w:color w:val="auto"/>
                <w:highlight w:val="none"/>
                <w:vertAlign w:val="baseline"/>
              </w:rPr>
            </w:pPr>
          </w:p>
        </w:tc>
        <w:tc>
          <w:tcPr>
            <w:tcW w:w="1609" w:type="dxa"/>
          </w:tcPr>
          <w:p w14:paraId="51830342">
            <w:pPr>
              <w:widowControl w:val="0"/>
              <w:rPr>
                <w:color w:val="auto"/>
                <w:highlight w:val="none"/>
                <w:vertAlign w:val="baseline"/>
              </w:rPr>
            </w:pPr>
          </w:p>
        </w:tc>
        <w:tc>
          <w:tcPr>
            <w:tcW w:w="1908" w:type="dxa"/>
          </w:tcPr>
          <w:p w14:paraId="3E3FE638">
            <w:pPr>
              <w:widowControl w:val="0"/>
              <w:rPr>
                <w:color w:val="auto"/>
                <w:highlight w:val="none"/>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color w:val="auto"/>
                <w:highlight w:val="none"/>
                <w:vertAlign w:val="baseline"/>
              </w:rPr>
            </w:pPr>
          </w:p>
        </w:tc>
        <w:tc>
          <w:tcPr>
            <w:tcW w:w="1447" w:type="dxa"/>
            <w:vMerge w:val="continue"/>
          </w:tcPr>
          <w:p w14:paraId="321CC1BD">
            <w:pPr>
              <w:widowControl w:val="0"/>
              <w:rPr>
                <w:color w:val="auto"/>
                <w:highlight w:val="none"/>
                <w:vertAlign w:val="baseline"/>
              </w:rPr>
            </w:pPr>
          </w:p>
        </w:tc>
        <w:tc>
          <w:tcPr>
            <w:tcW w:w="1447" w:type="dxa"/>
          </w:tcPr>
          <w:p w14:paraId="177DB5E9">
            <w:pPr>
              <w:widowControl w:val="0"/>
              <w:rPr>
                <w:color w:val="auto"/>
                <w:highlight w:val="none"/>
                <w:vertAlign w:val="baseline"/>
              </w:rPr>
            </w:pPr>
          </w:p>
        </w:tc>
        <w:tc>
          <w:tcPr>
            <w:tcW w:w="1046" w:type="dxa"/>
          </w:tcPr>
          <w:p w14:paraId="74208401">
            <w:pPr>
              <w:widowControl w:val="0"/>
              <w:rPr>
                <w:color w:val="auto"/>
                <w:highlight w:val="none"/>
                <w:vertAlign w:val="baseline"/>
              </w:rPr>
            </w:pPr>
          </w:p>
        </w:tc>
        <w:tc>
          <w:tcPr>
            <w:tcW w:w="1046" w:type="dxa"/>
          </w:tcPr>
          <w:p w14:paraId="1C3E1A61">
            <w:pPr>
              <w:widowControl w:val="0"/>
              <w:rPr>
                <w:color w:val="auto"/>
                <w:highlight w:val="none"/>
                <w:vertAlign w:val="baseline"/>
              </w:rPr>
            </w:pPr>
          </w:p>
        </w:tc>
        <w:tc>
          <w:tcPr>
            <w:tcW w:w="1046" w:type="dxa"/>
          </w:tcPr>
          <w:p w14:paraId="045B7522">
            <w:pPr>
              <w:widowControl w:val="0"/>
              <w:rPr>
                <w:color w:val="auto"/>
                <w:highlight w:val="none"/>
                <w:vertAlign w:val="baseline"/>
              </w:rPr>
            </w:pPr>
          </w:p>
        </w:tc>
        <w:tc>
          <w:tcPr>
            <w:tcW w:w="1164" w:type="dxa"/>
          </w:tcPr>
          <w:p w14:paraId="495D32C7">
            <w:pPr>
              <w:widowControl w:val="0"/>
              <w:rPr>
                <w:color w:val="auto"/>
                <w:highlight w:val="none"/>
                <w:vertAlign w:val="baseline"/>
              </w:rPr>
            </w:pPr>
          </w:p>
        </w:tc>
        <w:tc>
          <w:tcPr>
            <w:tcW w:w="929" w:type="dxa"/>
          </w:tcPr>
          <w:p w14:paraId="2C00F716">
            <w:pPr>
              <w:widowControl w:val="0"/>
              <w:rPr>
                <w:color w:val="auto"/>
                <w:highlight w:val="none"/>
                <w:vertAlign w:val="baseline"/>
              </w:rPr>
            </w:pPr>
          </w:p>
        </w:tc>
        <w:tc>
          <w:tcPr>
            <w:tcW w:w="929" w:type="dxa"/>
          </w:tcPr>
          <w:p w14:paraId="6707E9BC">
            <w:pPr>
              <w:widowControl w:val="0"/>
              <w:rPr>
                <w:color w:val="auto"/>
                <w:highlight w:val="none"/>
                <w:vertAlign w:val="baseline"/>
              </w:rPr>
            </w:pPr>
          </w:p>
        </w:tc>
        <w:tc>
          <w:tcPr>
            <w:tcW w:w="1046" w:type="dxa"/>
          </w:tcPr>
          <w:p w14:paraId="3D0459B3">
            <w:pPr>
              <w:widowControl w:val="0"/>
              <w:rPr>
                <w:color w:val="auto"/>
                <w:highlight w:val="none"/>
                <w:vertAlign w:val="baseline"/>
              </w:rPr>
            </w:pPr>
          </w:p>
        </w:tc>
        <w:tc>
          <w:tcPr>
            <w:tcW w:w="1609" w:type="dxa"/>
          </w:tcPr>
          <w:p w14:paraId="079689F5">
            <w:pPr>
              <w:widowControl w:val="0"/>
              <w:rPr>
                <w:color w:val="auto"/>
                <w:highlight w:val="none"/>
                <w:vertAlign w:val="baseline"/>
              </w:rPr>
            </w:pPr>
          </w:p>
        </w:tc>
        <w:tc>
          <w:tcPr>
            <w:tcW w:w="1908" w:type="dxa"/>
          </w:tcPr>
          <w:p w14:paraId="60DE824B">
            <w:pPr>
              <w:widowControl w:val="0"/>
              <w:rPr>
                <w:color w:val="auto"/>
                <w:highlight w:val="none"/>
                <w:vertAlign w:val="baseline"/>
              </w:rPr>
            </w:pPr>
          </w:p>
        </w:tc>
      </w:tr>
    </w:tbl>
    <w:p w14:paraId="5C36BDA2">
      <w:pPr>
        <w:rPr>
          <w:color w:val="auto"/>
          <w:highlight w:val="none"/>
        </w:rPr>
      </w:pPr>
    </w:p>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此表为产品配套试剂报价表，如没有，无需制作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3C312762">
      <w:pPr>
        <w:pStyle w:val="24"/>
        <w:rPr>
          <w:rFonts w:hint="eastAsia" w:ascii="宋体" w:hAnsi="宋体" w:cs="宋体"/>
          <w:color w:val="auto"/>
          <w:kern w:val="0"/>
          <w:sz w:val="24"/>
          <w:highlight w:val="none"/>
        </w:rPr>
      </w:pPr>
    </w:p>
    <w:p w14:paraId="5E4799AD">
      <w:pPr>
        <w:pStyle w:val="24"/>
        <w:rPr>
          <w:rFonts w:hint="eastAsia" w:ascii="宋体" w:hAnsi="宋体" w:cs="宋体"/>
          <w:color w:val="auto"/>
          <w:kern w:val="0"/>
          <w:sz w:val="24"/>
          <w:highlight w:val="none"/>
        </w:rPr>
      </w:pPr>
    </w:p>
    <w:p w14:paraId="152C8C36">
      <w:pPr>
        <w:pStyle w:val="24"/>
        <w:rPr>
          <w:rFonts w:hint="eastAsia" w:ascii="宋体" w:hAnsi="宋体" w:cs="宋体"/>
          <w:color w:val="auto"/>
          <w:kern w:val="0"/>
          <w:sz w:val="24"/>
          <w:highlight w:val="none"/>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rPr>
          <w:color w:val="auto"/>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543" w:type="dxa"/>
            <w:vAlign w:val="center"/>
          </w:tcPr>
          <w:p w14:paraId="3CC43DE8">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393" w:type="dxa"/>
            <w:vAlign w:val="center"/>
          </w:tcPr>
          <w:p w14:paraId="601779BC">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商品名（通用名）</w:t>
            </w:r>
          </w:p>
        </w:tc>
        <w:tc>
          <w:tcPr>
            <w:tcW w:w="1060" w:type="dxa"/>
            <w:vAlign w:val="center"/>
          </w:tcPr>
          <w:p w14:paraId="32F79E07">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投标产</w:t>
            </w:r>
          </w:p>
          <w:p w14:paraId="451D1B1F">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品注册</w:t>
            </w:r>
          </w:p>
          <w:p w14:paraId="2F5AB844">
            <w:pPr>
              <w:keepNext w:val="0"/>
              <w:keepLines w:val="0"/>
              <w:widowControl/>
              <w:suppressLineNumbers w:val="0"/>
              <w:jc w:val="center"/>
              <w:rPr>
                <w:b/>
                <w:bCs/>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w:t>
            </w:r>
          </w:p>
        </w:tc>
        <w:tc>
          <w:tcPr>
            <w:tcW w:w="1060" w:type="dxa"/>
            <w:vAlign w:val="center"/>
          </w:tcPr>
          <w:p w14:paraId="6334D0FF">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品牌</w:t>
            </w:r>
          </w:p>
        </w:tc>
        <w:tc>
          <w:tcPr>
            <w:tcW w:w="1060" w:type="dxa"/>
            <w:vAlign w:val="center"/>
          </w:tcPr>
          <w:p w14:paraId="18B1749A">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规格型号</w:t>
            </w:r>
          </w:p>
          <w:p w14:paraId="14110869">
            <w:pPr>
              <w:keepNext w:val="0"/>
              <w:keepLines w:val="0"/>
              <w:widowControl/>
              <w:suppressLineNumbers w:val="0"/>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投标单价</w:t>
            </w:r>
          </w:p>
          <w:p w14:paraId="59672E7B">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投标产品</w:t>
            </w:r>
          </w:p>
          <w:p w14:paraId="5AC485E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注册证号</w:t>
            </w:r>
          </w:p>
        </w:tc>
        <w:tc>
          <w:tcPr>
            <w:tcW w:w="1080" w:type="dxa"/>
            <w:vAlign w:val="center"/>
          </w:tcPr>
          <w:p w14:paraId="14230B06">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1543" w:type="dxa"/>
            <w:vMerge w:val="restart"/>
          </w:tcPr>
          <w:p w14:paraId="2078D575">
            <w:pPr>
              <w:widowControl w:val="0"/>
              <w:rPr>
                <w:color w:val="auto"/>
                <w:highlight w:val="none"/>
                <w:vertAlign w:val="baseline"/>
              </w:rPr>
            </w:pPr>
          </w:p>
        </w:tc>
        <w:tc>
          <w:tcPr>
            <w:tcW w:w="1393" w:type="dxa"/>
          </w:tcPr>
          <w:p w14:paraId="0F341263">
            <w:pPr>
              <w:widowControl w:val="0"/>
              <w:rPr>
                <w:color w:val="auto"/>
                <w:highlight w:val="none"/>
                <w:vertAlign w:val="baseline"/>
              </w:rPr>
            </w:pPr>
          </w:p>
        </w:tc>
        <w:tc>
          <w:tcPr>
            <w:tcW w:w="1060" w:type="dxa"/>
          </w:tcPr>
          <w:p w14:paraId="5E2811FC">
            <w:pPr>
              <w:widowControl w:val="0"/>
              <w:rPr>
                <w:color w:val="auto"/>
                <w:highlight w:val="none"/>
                <w:vertAlign w:val="baseline"/>
              </w:rPr>
            </w:pPr>
          </w:p>
        </w:tc>
        <w:tc>
          <w:tcPr>
            <w:tcW w:w="1060" w:type="dxa"/>
          </w:tcPr>
          <w:p w14:paraId="4138DDFD">
            <w:pPr>
              <w:widowControl w:val="0"/>
              <w:rPr>
                <w:color w:val="auto"/>
                <w:highlight w:val="none"/>
                <w:vertAlign w:val="baseline"/>
              </w:rPr>
            </w:pPr>
          </w:p>
        </w:tc>
        <w:tc>
          <w:tcPr>
            <w:tcW w:w="1060" w:type="dxa"/>
          </w:tcPr>
          <w:p w14:paraId="23110391">
            <w:pPr>
              <w:widowControl w:val="0"/>
              <w:rPr>
                <w:color w:val="auto"/>
                <w:highlight w:val="none"/>
                <w:vertAlign w:val="baseline"/>
              </w:rPr>
            </w:pPr>
          </w:p>
        </w:tc>
        <w:tc>
          <w:tcPr>
            <w:tcW w:w="1060" w:type="dxa"/>
          </w:tcPr>
          <w:p w14:paraId="403934A1">
            <w:pPr>
              <w:widowControl w:val="0"/>
              <w:rPr>
                <w:color w:val="auto"/>
                <w:highlight w:val="none"/>
                <w:vertAlign w:val="baseline"/>
              </w:rPr>
            </w:pPr>
          </w:p>
        </w:tc>
        <w:tc>
          <w:tcPr>
            <w:tcW w:w="1060" w:type="dxa"/>
          </w:tcPr>
          <w:p w14:paraId="542CE9FA">
            <w:pPr>
              <w:widowControl w:val="0"/>
              <w:rPr>
                <w:color w:val="auto"/>
                <w:highlight w:val="none"/>
                <w:vertAlign w:val="baseline"/>
              </w:rPr>
            </w:pPr>
          </w:p>
        </w:tc>
        <w:tc>
          <w:tcPr>
            <w:tcW w:w="1277" w:type="dxa"/>
          </w:tcPr>
          <w:p w14:paraId="1C229079">
            <w:pPr>
              <w:widowControl w:val="0"/>
              <w:rPr>
                <w:color w:val="auto"/>
                <w:highlight w:val="none"/>
                <w:vertAlign w:val="baseline"/>
              </w:rPr>
            </w:pPr>
          </w:p>
        </w:tc>
        <w:tc>
          <w:tcPr>
            <w:tcW w:w="1486" w:type="dxa"/>
          </w:tcPr>
          <w:p w14:paraId="0535F847">
            <w:pPr>
              <w:widowControl w:val="0"/>
              <w:rPr>
                <w:color w:val="auto"/>
                <w:highlight w:val="none"/>
                <w:vertAlign w:val="baseline"/>
              </w:rPr>
            </w:pPr>
          </w:p>
        </w:tc>
        <w:tc>
          <w:tcPr>
            <w:tcW w:w="1560" w:type="dxa"/>
          </w:tcPr>
          <w:p w14:paraId="2034F975">
            <w:pPr>
              <w:widowControl w:val="0"/>
              <w:rPr>
                <w:color w:val="auto"/>
                <w:highlight w:val="none"/>
                <w:vertAlign w:val="baseline"/>
              </w:rPr>
            </w:pPr>
          </w:p>
        </w:tc>
        <w:tc>
          <w:tcPr>
            <w:tcW w:w="1080" w:type="dxa"/>
          </w:tcPr>
          <w:p w14:paraId="04DE4CC0">
            <w:pPr>
              <w:widowControl w:val="0"/>
              <w:rPr>
                <w:color w:val="auto"/>
                <w:highlight w:val="none"/>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color w:val="auto"/>
                <w:highlight w:val="none"/>
                <w:vertAlign w:val="baseline"/>
              </w:rPr>
            </w:pPr>
          </w:p>
        </w:tc>
        <w:tc>
          <w:tcPr>
            <w:tcW w:w="1543" w:type="dxa"/>
            <w:vMerge w:val="continue"/>
          </w:tcPr>
          <w:p w14:paraId="1629D171">
            <w:pPr>
              <w:widowControl w:val="0"/>
              <w:rPr>
                <w:color w:val="auto"/>
                <w:highlight w:val="none"/>
                <w:vertAlign w:val="baseline"/>
              </w:rPr>
            </w:pPr>
          </w:p>
        </w:tc>
        <w:tc>
          <w:tcPr>
            <w:tcW w:w="1393" w:type="dxa"/>
          </w:tcPr>
          <w:p w14:paraId="6F728AC8">
            <w:pPr>
              <w:widowControl w:val="0"/>
              <w:rPr>
                <w:color w:val="auto"/>
                <w:highlight w:val="none"/>
                <w:vertAlign w:val="baseline"/>
              </w:rPr>
            </w:pPr>
          </w:p>
        </w:tc>
        <w:tc>
          <w:tcPr>
            <w:tcW w:w="1060" w:type="dxa"/>
          </w:tcPr>
          <w:p w14:paraId="5DC1D47F">
            <w:pPr>
              <w:widowControl w:val="0"/>
              <w:rPr>
                <w:color w:val="auto"/>
                <w:highlight w:val="none"/>
                <w:vertAlign w:val="baseline"/>
              </w:rPr>
            </w:pPr>
          </w:p>
        </w:tc>
        <w:tc>
          <w:tcPr>
            <w:tcW w:w="1060" w:type="dxa"/>
          </w:tcPr>
          <w:p w14:paraId="0736C76F">
            <w:pPr>
              <w:widowControl w:val="0"/>
              <w:rPr>
                <w:color w:val="auto"/>
                <w:highlight w:val="none"/>
                <w:vertAlign w:val="baseline"/>
              </w:rPr>
            </w:pPr>
          </w:p>
        </w:tc>
        <w:tc>
          <w:tcPr>
            <w:tcW w:w="1060" w:type="dxa"/>
          </w:tcPr>
          <w:p w14:paraId="41FF43D8">
            <w:pPr>
              <w:widowControl w:val="0"/>
              <w:rPr>
                <w:color w:val="auto"/>
                <w:highlight w:val="none"/>
                <w:vertAlign w:val="baseline"/>
              </w:rPr>
            </w:pPr>
          </w:p>
        </w:tc>
        <w:tc>
          <w:tcPr>
            <w:tcW w:w="1060" w:type="dxa"/>
          </w:tcPr>
          <w:p w14:paraId="739BF70B">
            <w:pPr>
              <w:widowControl w:val="0"/>
              <w:rPr>
                <w:color w:val="auto"/>
                <w:highlight w:val="none"/>
                <w:vertAlign w:val="baseline"/>
              </w:rPr>
            </w:pPr>
          </w:p>
        </w:tc>
        <w:tc>
          <w:tcPr>
            <w:tcW w:w="1060" w:type="dxa"/>
          </w:tcPr>
          <w:p w14:paraId="21217D12">
            <w:pPr>
              <w:widowControl w:val="0"/>
              <w:rPr>
                <w:color w:val="auto"/>
                <w:highlight w:val="none"/>
                <w:vertAlign w:val="baseline"/>
              </w:rPr>
            </w:pPr>
          </w:p>
        </w:tc>
        <w:tc>
          <w:tcPr>
            <w:tcW w:w="1277" w:type="dxa"/>
          </w:tcPr>
          <w:p w14:paraId="2D25857A">
            <w:pPr>
              <w:widowControl w:val="0"/>
              <w:rPr>
                <w:color w:val="auto"/>
                <w:highlight w:val="none"/>
                <w:vertAlign w:val="baseline"/>
              </w:rPr>
            </w:pPr>
          </w:p>
        </w:tc>
        <w:tc>
          <w:tcPr>
            <w:tcW w:w="1486" w:type="dxa"/>
          </w:tcPr>
          <w:p w14:paraId="4976030C">
            <w:pPr>
              <w:widowControl w:val="0"/>
              <w:rPr>
                <w:color w:val="auto"/>
                <w:highlight w:val="none"/>
                <w:vertAlign w:val="baseline"/>
              </w:rPr>
            </w:pPr>
          </w:p>
        </w:tc>
        <w:tc>
          <w:tcPr>
            <w:tcW w:w="1560" w:type="dxa"/>
          </w:tcPr>
          <w:p w14:paraId="5664F5DB">
            <w:pPr>
              <w:widowControl w:val="0"/>
              <w:rPr>
                <w:color w:val="auto"/>
                <w:highlight w:val="none"/>
                <w:vertAlign w:val="baseline"/>
              </w:rPr>
            </w:pPr>
          </w:p>
        </w:tc>
        <w:tc>
          <w:tcPr>
            <w:tcW w:w="1080" w:type="dxa"/>
          </w:tcPr>
          <w:p w14:paraId="366DE966">
            <w:pPr>
              <w:widowControl w:val="0"/>
              <w:rPr>
                <w:color w:val="auto"/>
                <w:highlight w:val="none"/>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1543" w:type="dxa"/>
            <w:vMerge w:val="restart"/>
          </w:tcPr>
          <w:p w14:paraId="5F7F009A">
            <w:pPr>
              <w:widowControl w:val="0"/>
              <w:rPr>
                <w:color w:val="auto"/>
                <w:highlight w:val="none"/>
                <w:vertAlign w:val="baseline"/>
              </w:rPr>
            </w:pPr>
          </w:p>
        </w:tc>
        <w:tc>
          <w:tcPr>
            <w:tcW w:w="1393" w:type="dxa"/>
          </w:tcPr>
          <w:p w14:paraId="0D8A01B7">
            <w:pPr>
              <w:widowControl w:val="0"/>
              <w:rPr>
                <w:color w:val="auto"/>
                <w:highlight w:val="none"/>
                <w:vertAlign w:val="baseline"/>
              </w:rPr>
            </w:pPr>
          </w:p>
        </w:tc>
        <w:tc>
          <w:tcPr>
            <w:tcW w:w="1060" w:type="dxa"/>
          </w:tcPr>
          <w:p w14:paraId="5D2869C6">
            <w:pPr>
              <w:widowControl w:val="0"/>
              <w:rPr>
                <w:color w:val="auto"/>
                <w:highlight w:val="none"/>
                <w:vertAlign w:val="baseline"/>
              </w:rPr>
            </w:pPr>
          </w:p>
        </w:tc>
        <w:tc>
          <w:tcPr>
            <w:tcW w:w="1060" w:type="dxa"/>
          </w:tcPr>
          <w:p w14:paraId="1AA351AF">
            <w:pPr>
              <w:widowControl w:val="0"/>
              <w:rPr>
                <w:color w:val="auto"/>
                <w:highlight w:val="none"/>
                <w:vertAlign w:val="baseline"/>
              </w:rPr>
            </w:pPr>
          </w:p>
        </w:tc>
        <w:tc>
          <w:tcPr>
            <w:tcW w:w="1060" w:type="dxa"/>
          </w:tcPr>
          <w:p w14:paraId="140B3B78">
            <w:pPr>
              <w:widowControl w:val="0"/>
              <w:rPr>
                <w:color w:val="auto"/>
                <w:highlight w:val="none"/>
                <w:vertAlign w:val="baseline"/>
              </w:rPr>
            </w:pPr>
          </w:p>
        </w:tc>
        <w:tc>
          <w:tcPr>
            <w:tcW w:w="1060" w:type="dxa"/>
          </w:tcPr>
          <w:p w14:paraId="7187B6F3">
            <w:pPr>
              <w:widowControl w:val="0"/>
              <w:rPr>
                <w:color w:val="auto"/>
                <w:highlight w:val="none"/>
                <w:vertAlign w:val="baseline"/>
              </w:rPr>
            </w:pPr>
          </w:p>
        </w:tc>
        <w:tc>
          <w:tcPr>
            <w:tcW w:w="1060" w:type="dxa"/>
          </w:tcPr>
          <w:p w14:paraId="782C0C79">
            <w:pPr>
              <w:widowControl w:val="0"/>
              <w:rPr>
                <w:color w:val="auto"/>
                <w:highlight w:val="none"/>
                <w:vertAlign w:val="baseline"/>
              </w:rPr>
            </w:pPr>
          </w:p>
        </w:tc>
        <w:tc>
          <w:tcPr>
            <w:tcW w:w="1277" w:type="dxa"/>
          </w:tcPr>
          <w:p w14:paraId="3BA3AD13">
            <w:pPr>
              <w:widowControl w:val="0"/>
              <w:rPr>
                <w:color w:val="auto"/>
                <w:highlight w:val="none"/>
                <w:vertAlign w:val="baseline"/>
              </w:rPr>
            </w:pPr>
          </w:p>
        </w:tc>
        <w:tc>
          <w:tcPr>
            <w:tcW w:w="1486" w:type="dxa"/>
          </w:tcPr>
          <w:p w14:paraId="3F864AE3">
            <w:pPr>
              <w:widowControl w:val="0"/>
              <w:rPr>
                <w:color w:val="auto"/>
                <w:highlight w:val="none"/>
                <w:vertAlign w:val="baseline"/>
              </w:rPr>
            </w:pPr>
          </w:p>
        </w:tc>
        <w:tc>
          <w:tcPr>
            <w:tcW w:w="1560" w:type="dxa"/>
          </w:tcPr>
          <w:p w14:paraId="6D48088E">
            <w:pPr>
              <w:widowControl w:val="0"/>
              <w:rPr>
                <w:color w:val="auto"/>
                <w:highlight w:val="none"/>
                <w:vertAlign w:val="baseline"/>
              </w:rPr>
            </w:pPr>
          </w:p>
        </w:tc>
        <w:tc>
          <w:tcPr>
            <w:tcW w:w="1080" w:type="dxa"/>
          </w:tcPr>
          <w:p w14:paraId="09F3E95E">
            <w:pPr>
              <w:widowControl w:val="0"/>
              <w:rPr>
                <w:color w:val="auto"/>
                <w:highlight w:val="none"/>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color w:val="auto"/>
                <w:highlight w:val="none"/>
                <w:vertAlign w:val="baseline"/>
              </w:rPr>
            </w:pPr>
          </w:p>
        </w:tc>
        <w:tc>
          <w:tcPr>
            <w:tcW w:w="1543" w:type="dxa"/>
            <w:vMerge w:val="continue"/>
          </w:tcPr>
          <w:p w14:paraId="4D0CA1FD">
            <w:pPr>
              <w:widowControl w:val="0"/>
              <w:rPr>
                <w:color w:val="auto"/>
                <w:highlight w:val="none"/>
                <w:vertAlign w:val="baseline"/>
              </w:rPr>
            </w:pPr>
          </w:p>
        </w:tc>
        <w:tc>
          <w:tcPr>
            <w:tcW w:w="1393" w:type="dxa"/>
          </w:tcPr>
          <w:p w14:paraId="23AB6B66">
            <w:pPr>
              <w:widowControl w:val="0"/>
              <w:rPr>
                <w:color w:val="auto"/>
                <w:highlight w:val="none"/>
                <w:vertAlign w:val="baseline"/>
              </w:rPr>
            </w:pPr>
          </w:p>
        </w:tc>
        <w:tc>
          <w:tcPr>
            <w:tcW w:w="1060" w:type="dxa"/>
          </w:tcPr>
          <w:p w14:paraId="6B29D694">
            <w:pPr>
              <w:widowControl w:val="0"/>
              <w:rPr>
                <w:color w:val="auto"/>
                <w:highlight w:val="none"/>
                <w:vertAlign w:val="baseline"/>
              </w:rPr>
            </w:pPr>
          </w:p>
        </w:tc>
        <w:tc>
          <w:tcPr>
            <w:tcW w:w="1060" w:type="dxa"/>
          </w:tcPr>
          <w:p w14:paraId="424656BF">
            <w:pPr>
              <w:widowControl w:val="0"/>
              <w:rPr>
                <w:color w:val="auto"/>
                <w:highlight w:val="none"/>
                <w:vertAlign w:val="baseline"/>
              </w:rPr>
            </w:pPr>
          </w:p>
        </w:tc>
        <w:tc>
          <w:tcPr>
            <w:tcW w:w="1060" w:type="dxa"/>
          </w:tcPr>
          <w:p w14:paraId="747DFEFE">
            <w:pPr>
              <w:widowControl w:val="0"/>
              <w:rPr>
                <w:color w:val="auto"/>
                <w:highlight w:val="none"/>
                <w:vertAlign w:val="baseline"/>
              </w:rPr>
            </w:pPr>
          </w:p>
        </w:tc>
        <w:tc>
          <w:tcPr>
            <w:tcW w:w="1060" w:type="dxa"/>
          </w:tcPr>
          <w:p w14:paraId="3CDE67A2">
            <w:pPr>
              <w:widowControl w:val="0"/>
              <w:rPr>
                <w:color w:val="auto"/>
                <w:highlight w:val="none"/>
                <w:vertAlign w:val="baseline"/>
              </w:rPr>
            </w:pPr>
          </w:p>
        </w:tc>
        <w:tc>
          <w:tcPr>
            <w:tcW w:w="1060" w:type="dxa"/>
          </w:tcPr>
          <w:p w14:paraId="5D8AC925">
            <w:pPr>
              <w:widowControl w:val="0"/>
              <w:rPr>
                <w:color w:val="auto"/>
                <w:highlight w:val="none"/>
                <w:vertAlign w:val="baseline"/>
              </w:rPr>
            </w:pPr>
          </w:p>
        </w:tc>
        <w:tc>
          <w:tcPr>
            <w:tcW w:w="1277" w:type="dxa"/>
          </w:tcPr>
          <w:p w14:paraId="3D2C7340">
            <w:pPr>
              <w:widowControl w:val="0"/>
              <w:rPr>
                <w:color w:val="auto"/>
                <w:highlight w:val="none"/>
                <w:vertAlign w:val="baseline"/>
              </w:rPr>
            </w:pPr>
          </w:p>
        </w:tc>
        <w:tc>
          <w:tcPr>
            <w:tcW w:w="1486" w:type="dxa"/>
          </w:tcPr>
          <w:p w14:paraId="4A016A1F">
            <w:pPr>
              <w:widowControl w:val="0"/>
              <w:rPr>
                <w:color w:val="auto"/>
                <w:highlight w:val="none"/>
                <w:vertAlign w:val="baseline"/>
              </w:rPr>
            </w:pPr>
          </w:p>
        </w:tc>
        <w:tc>
          <w:tcPr>
            <w:tcW w:w="1560" w:type="dxa"/>
          </w:tcPr>
          <w:p w14:paraId="6AA74C35">
            <w:pPr>
              <w:widowControl w:val="0"/>
              <w:rPr>
                <w:color w:val="auto"/>
                <w:highlight w:val="none"/>
                <w:vertAlign w:val="baseline"/>
              </w:rPr>
            </w:pPr>
          </w:p>
        </w:tc>
        <w:tc>
          <w:tcPr>
            <w:tcW w:w="1080" w:type="dxa"/>
          </w:tcPr>
          <w:p w14:paraId="091E8271">
            <w:pPr>
              <w:widowControl w:val="0"/>
              <w:rPr>
                <w:color w:val="auto"/>
                <w:highlight w:val="none"/>
                <w:vertAlign w:val="baseline"/>
              </w:rPr>
            </w:pPr>
          </w:p>
        </w:tc>
      </w:tr>
    </w:tbl>
    <w:p w14:paraId="22CB90DF">
      <w:pPr>
        <w:rPr>
          <w:color w:val="auto"/>
          <w:highlight w:val="none"/>
        </w:rPr>
      </w:pPr>
    </w:p>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p>
    <w:p w14:paraId="5A6344A3">
      <w:pPr>
        <w:keepNext w:val="0"/>
        <w:keepLines w:val="0"/>
        <w:widowControl/>
        <w:suppressLineNumbers w:val="0"/>
        <w:ind w:firstLine="482" w:firstLineChars="20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此表为产品配套耗材报价表，如没有，无需制作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66DBF250">
      <w:pPr>
        <w:pStyle w:val="24"/>
        <w:rPr>
          <w:rFonts w:hint="eastAsia" w:ascii="宋体" w:hAnsi="宋体" w:cs="宋体"/>
          <w:color w:val="auto"/>
          <w:kern w:val="0"/>
          <w:sz w:val="24"/>
          <w:highlight w:val="none"/>
        </w:rPr>
      </w:pPr>
    </w:p>
    <w:p w14:paraId="02699B8D">
      <w:pPr>
        <w:pStyle w:val="24"/>
        <w:rPr>
          <w:rFonts w:hint="eastAsia" w:ascii="宋体" w:hAnsi="宋体" w:cs="宋体"/>
          <w:color w:val="auto"/>
          <w:kern w:val="0"/>
          <w:sz w:val="24"/>
          <w:highlight w:val="none"/>
        </w:rPr>
        <w:sectPr>
          <w:pgSz w:w="16838" w:h="11906" w:orient="landscape"/>
          <w:pgMar w:top="1474" w:right="1417" w:bottom="1474" w:left="1417" w:header="851" w:footer="624" w:gutter="0"/>
          <w:pgNumType w:fmt="decimal"/>
          <w:cols w:space="720" w:num="1"/>
          <w:docGrid w:type="lines" w:linePitch="319" w:charSpace="0"/>
        </w:sectPr>
      </w:pPr>
    </w:p>
    <w:p w14:paraId="5986FE19">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670"/>
        <w:gridCol w:w="1215"/>
        <w:gridCol w:w="1176"/>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产地</w:t>
            </w:r>
          </w:p>
        </w:tc>
        <w:tc>
          <w:tcPr>
            <w:tcW w:w="1670" w:type="dxa"/>
            <w:vAlign w:val="center"/>
          </w:tcPr>
          <w:p w14:paraId="29752C26">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型号规格</w:t>
            </w:r>
          </w:p>
        </w:tc>
        <w:tc>
          <w:tcPr>
            <w:tcW w:w="1215" w:type="dxa"/>
            <w:vAlign w:val="center"/>
          </w:tcPr>
          <w:p w14:paraId="545160AD">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单位</w:t>
            </w:r>
          </w:p>
        </w:tc>
        <w:tc>
          <w:tcPr>
            <w:tcW w:w="1176" w:type="dxa"/>
            <w:vAlign w:val="center"/>
          </w:tcPr>
          <w:p w14:paraId="6CD84A9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color w:val="auto"/>
                <w:highlight w:val="none"/>
                <w:vertAlign w:val="baseline"/>
                <w:lang w:val="en-US" w:eastAsia="zh-CN"/>
              </w:rPr>
            </w:pPr>
          </w:p>
        </w:tc>
        <w:tc>
          <w:tcPr>
            <w:tcW w:w="1676" w:type="dxa"/>
            <w:vAlign w:val="center"/>
          </w:tcPr>
          <w:p w14:paraId="2B2FB324">
            <w:pPr>
              <w:widowControl w:val="0"/>
              <w:jc w:val="center"/>
              <w:rPr>
                <w:rFonts w:hint="default"/>
                <w:color w:val="auto"/>
                <w:highlight w:val="none"/>
                <w:vertAlign w:val="baseline"/>
                <w:lang w:val="en-US" w:eastAsia="zh-CN"/>
              </w:rPr>
            </w:pPr>
          </w:p>
        </w:tc>
        <w:tc>
          <w:tcPr>
            <w:tcW w:w="1238" w:type="dxa"/>
            <w:vAlign w:val="center"/>
          </w:tcPr>
          <w:p w14:paraId="3FFED3C5">
            <w:pPr>
              <w:widowControl w:val="0"/>
              <w:jc w:val="center"/>
              <w:rPr>
                <w:rFonts w:hint="default"/>
                <w:color w:val="auto"/>
                <w:highlight w:val="none"/>
                <w:vertAlign w:val="baseline"/>
                <w:lang w:val="en-US" w:eastAsia="zh-CN"/>
              </w:rPr>
            </w:pPr>
          </w:p>
        </w:tc>
        <w:tc>
          <w:tcPr>
            <w:tcW w:w="1238" w:type="dxa"/>
            <w:vAlign w:val="center"/>
          </w:tcPr>
          <w:p w14:paraId="1FC676C2">
            <w:pPr>
              <w:widowControl w:val="0"/>
              <w:jc w:val="center"/>
              <w:rPr>
                <w:rFonts w:hint="default"/>
                <w:color w:val="auto"/>
                <w:highlight w:val="none"/>
                <w:vertAlign w:val="baseline"/>
                <w:lang w:val="en-US" w:eastAsia="zh-CN"/>
              </w:rPr>
            </w:pPr>
          </w:p>
        </w:tc>
        <w:tc>
          <w:tcPr>
            <w:tcW w:w="1670" w:type="dxa"/>
            <w:vAlign w:val="center"/>
          </w:tcPr>
          <w:p w14:paraId="25AACED3">
            <w:pPr>
              <w:widowControl w:val="0"/>
              <w:jc w:val="center"/>
              <w:rPr>
                <w:rFonts w:hint="default"/>
                <w:color w:val="auto"/>
                <w:highlight w:val="none"/>
                <w:vertAlign w:val="baseline"/>
                <w:lang w:val="en-US" w:eastAsia="zh-CN"/>
              </w:rPr>
            </w:pPr>
          </w:p>
        </w:tc>
        <w:tc>
          <w:tcPr>
            <w:tcW w:w="1215" w:type="dxa"/>
            <w:vAlign w:val="center"/>
          </w:tcPr>
          <w:p w14:paraId="749D014C">
            <w:pPr>
              <w:widowControl w:val="0"/>
              <w:jc w:val="center"/>
              <w:rPr>
                <w:rFonts w:hint="default"/>
                <w:color w:val="auto"/>
                <w:highlight w:val="none"/>
                <w:vertAlign w:val="baseline"/>
                <w:lang w:val="en-US" w:eastAsia="zh-CN"/>
              </w:rPr>
            </w:pPr>
          </w:p>
        </w:tc>
        <w:tc>
          <w:tcPr>
            <w:tcW w:w="1176" w:type="dxa"/>
            <w:vAlign w:val="center"/>
          </w:tcPr>
          <w:p w14:paraId="05134611">
            <w:pPr>
              <w:widowControl w:val="0"/>
              <w:jc w:val="center"/>
              <w:rPr>
                <w:rFonts w:hint="default"/>
                <w:color w:val="auto"/>
                <w:highlight w:val="none"/>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default"/>
                <w:color w:val="auto"/>
                <w:highlight w:val="none"/>
                <w:vertAlign w:val="baseline"/>
                <w:lang w:val="en-US" w:eastAsia="zh-CN"/>
              </w:rPr>
            </w:pPr>
          </w:p>
        </w:tc>
        <w:tc>
          <w:tcPr>
            <w:tcW w:w="1676" w:type="dxa"/>
            <w:vAlign w:val="center"/>
          </w:tcPr>
          <w:p w14:paraId="31FB795C">
            <w:pPr>
              <w:widowControl w:val="0"/>
              <w:jc w:val="center"/>
              <w:rPr>
                <w:rFonts w:hint="default"/>
                <w:color w:val="auto"/>
                <w:highlight w:val="none"/>
                <w:vertAlign w:val="baseline"/>
                <w:lang w:val="en-US" w:eastAsia="zh-CN"/>
              </w:rPr>
            </w:pPr>
          </w:p>
        </w:tc>
        <w:tc>
          <w:tcPr>
            <w:tcW w:w="1238" w:type="dxa"/>
            <w:vAlign w:val="center"/>
          </w:tcPr>
          <w:p w14:paraId="3DDF1F3E">
            <w:pPr>
              <w:widowControl w:val="0"/>
              <w:jc w:val="center"/>
              <w:rPr>
                <w:rFonts w:hint="default"/>
                <w:color w:val="auto"/>
                <w:highlight w:val="none"/>
                <w:vertAlign w:val="baseline"/>
                <w:lang w:val="en-US" w:eastAsia="zh-CN"/>
              </w:rPr>
            </w:pPr>
          </w:p>
        </w:tc>
        <w:tc>
          <w:tcPr>
            <w:tcW w:w="1238" w:type="dxa"/>
            <w:vAlign w:val="center"/>
          </w:tcPr>
          <w:p w14:paraId="1AE826AF">
            <w:pPr>
              <w:widowControl w:val="0"/>
              <w:jc w:val="center"/>
              <w:rPr>
                <w:rFonts w:hint="default"/>
                <w:color w:val="auto"/>
                <w:highlight w:val="none"/>
                <w:vertAlign w:val="baseline"/>
                <w:lang w:val="en-US" w:eastAsia="zh-CN"/>
              </w:rPr>
            </w:pPr>
          </w:p>
        </w:tc>
        <w:tc>
          <w:tcPr>
            <w:tcW w:w="1670" w:type="dxa"/>
            <w:vAlign w:val="center"/>
          </w:tcPr>
          <w:p w14:paraId="439C5F96">
            <w:pPr>
              <w:widowControl w:val="0"/>
              <w:jc w:val="center"/>
              <w:rPr>
                <w:rFonts w:hint="default"/>
                <w:color w:val="auto"/>
                <w:highlight w:val="none"/>
                <w:vertAlign w:val="baseline"/>
                <w:lang w:val="en-US" w:eastAsia="zh-CN"/>
              </w:rPr>
            </w:pPr>
          </w:p>
        </w:tc>
        <w:tc>
          <w:tcPr>
            <w:tcW w:w="1215" w:type="dxa"/>
            <w:vAlign w:val="center"/>
          </w:tcPr>
          <w:p w14:paraId="674CDC80">
            <w:pPr>
              <w:widowControl w:val="0"/>
              <w:jc w:val="center"/>
              <w:rPr>
                <w:rFonts w:hint="default"/>
                <w:color w:val="auto"/>
                <w:highlight w:val="none"/>
                <w:vertAlign w:val="baseline"/>
                <w:lang w:val="en-US" w:eastAsia="zh-CN"/>
              </w:rPr>
            </w:pPr>
          </w:p>
        </w:tc>
        <w:tc>
          <w:tcPr>
            <w:tcW w:w="1176" w:type="dxa"/>
            <w:vAlign w:val="center"/>
          </w:tcPr>
          <w:p w14:paraId="1CB5057F">
            <w:pPr>
              <w:widowControl w:val="0"/>
              <w:jc w:val="center"/>
              <w:rPr>
                <w:rFonts w:hint="default"/>
                <w:color w:val="auto"/>
                <w:highlight w:val="none"/>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default"/>
                <w:color w:val="auto"/>
                <w:highlight w:val="none"/>
                <w:vertAlign w:val="baseline"/>
                <w:lang w:val="en-US" w:eastAsia="zh-CN"/>
              </w:rPr>
            </w:pPr>
          </w:p>
        </w:tc>
        <w:tc>
          <w:tcPr>
            <w:tcW w:w="1676" w:type="dxa"/>
            <w:vAlign w:val="center"/>
          </w:tcPr>
          <w:p w14:paraId="4953F941">
            <w:pPr>
              <w:widowControl w:val="0"/>
              <w:jc w:val="center"/>
              <w:rPr>
                <w:rFonts w:hint="default"/>
                <w:color w:val="auto"/>
                <w:highlight w:val="none"/>
                <w:vertAlign w:val="baseline"/>
                <w:lang w:val="en-US" w:eastAsia="zh-CN"/>
              </w:rPr>
            </w:pPr>
          </w:p>
        </w:tc>
        <w:tc>
          <w:tcPr>
            <w:tcW w:w="1238" w:type="dxa"/>
            <w:vAlign w:val="center"/>
          </w:tcPr>
          <w:p w14:paraId="60D4163C">
            <w:pPr>
              <w:widowControl w:val="0"/>
              <w:jc w:val="center"/>
              <w:rPr>
                <w:rFonts w:hint="default"/>
                <w:color w:val="auto"/>
                <w:highlight w:val="none"/>
                <w:vertAlign w:val="baseline"/>
                <w:lang w:val="en-US" w:eastAsia="zh-CN"/>
              </w:rPr>
            </w:pPr>
          </w:p>
        </w:tc>
        <w:tc>
          <w:tcPr>
            <w:tcW w:w="1238" w:type="dxa"/>
            <w:vAlign w:val="center"/>
          </w:tcPr>
          <w:p w14:paraId="7F5D0506">
            <w:pPr>
              <w:widowControl w:val="0"/>
              <w:jc w:val="center"/>
              <w:rPr>
                <w:rFonts w:hint="default"/>
                <w:color w:val="auto"/>
                <w:highlight w:val="none"/>
                <w:vertAlign w:val="baseline"/>
                <w:lang w:val="en-US" w:eastAsia="zh-CN"/>
              </w:rPr>
            </w:pPr>
          </w:p>
        </w:tc>
        <w:tc>
          <w:tcPr>
            <w:tcW w:w="1670" w:type="dxa"/>
            <w:vAlign w:val="center"/>
          </w:tcPr>
          <w:p w14:paraId="72E86AD5">
            <w:pPr>
              <w:widowControl w:val="0"/>
              <w:jc w:val="center"/>
              <w:rPr>
                <w:rFonts w:hint="default"/>
                <w:color w:val="auto"/>
                <w:highlight w:val="none"/>
                <w:vertAlign w:val="baseline"/>
                <w:lang w:val="en-US" w:eastAsia="zh-CN"/>
              </w:rPr>
            </w:pPr>
          </w:p>
        </w:tc>
        <w:tc>
          <w:tcPr>
            <w:tcW w:w="1215" w:type="dxa"/>
            <w:vAlign w:val="center"/>
          </w:tcPr>
          <w:p w14:paraId="7134BF0D">
            <w:pPr>
              <w:widowControl w:val="0"/>
              <w:jc w:val="center"/>
              <w:rPr>
                <w:rFonts w:hint="default"/>
                <w:color w:val="auto"/>
                <w:highlight w:val="none"/>
                <w:vertAlign w:val="baseline"/>
                <w:lang w:val="en-US" w:eastAsia="zh-CN"/>
              </w:rPr>
            </w:pPr>
          </w:p>
        </w:tc>
        <w:tc>
          <w:tcPr>
            <w:tcW w:w="1176" w:type="dxa"/>
            <w:vAlign w:val="center"/>
          </w:tcPr>
          <w:p w14:paraId="0EB3CD05">
            <w:pPr>
              <w:widowControl w:val="0"/>
              <w:jc w:val="center"/>
              <w:rPr>
                <w:rFonts w:hint="default"/>
                <w:color w:val="auto"/>
                <w:highlight w:val="none"/>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color w:val="auto"/>
                <w:highlight w:val="none"/>
                <w:vertAlign w:val="baseline"/>
                <w:lang w:val="en-US" w:eastAsia="zh-CN"/>
              </w:rPr>
            </w:pPr>
          </w:p>
        </w:tc>
        <w:tc>
          <w:tcPr>
            <w:tcW w:w="1676" w:type="dxa"/>
            <w:vAlign w:val="center"/>
          </w:tcPr>
          <w:p w14:paraId="3A245A35">
            <w:pPr>
              <w:widowControl w:val="0"/>
              <w:jc w:val="center"/>
              <w:rPr>
                <w:rFonts w:hint="default"/>
                <w:color w:val="auto"/>
                <w:highlight w:val="none"/>
                <w:vertAlign w:val="baseline"/>
                <w:lang w:val="en-US" w:eastAsia="zh-CN"/>
              </w:rPr>
            </w:pPr>
          </w:p>
        </w:tc>
        <w:tc>
          <w:tcPr>
            <w:tcW w:w="1238" w:type="dxa"/>
            <w:vAlign w:val="center"/>
          </w:tcPr>
          <w:p w14:paraId="6D057E85">
            <w:pPr>
              <w:widowControl w:val="0"/>
              <w:jc w:val="center"/>
              <w:rPr>
                <w:rFonts w:hint="default"/>
                <w:color w:val="auto"/>
                <w:highlight w:val="none"/>
                <w:vertAlign w:val="baseline"/>
                <w:lang w:val="en-US" w:eastAsia="zh-CN"/>
              </w:rPr>
            </w:pPr>
          </w:p>
        </w:tc>
        <w:tc>
          <w:tcPr>
            <w:tcW w:w="1238" w:type="dxa"/>
            <w:vAlign w:val="center"/>
          </w:tcPr>
          <w:p w14:paraId="515422B7">
            <w:pPr>
              <w:widowControl w:val="0"/>
              <w:jc w:val="center"/>
              <w:rPr>
                <w:rFonts w:hint="default"/>
                <w:color w:val="auto"/>
                <w:highlight w:val="none"/>
                <w:vertAlign w:val="baseline"/>
                <w:lang w:val="en-US" w:eastAsia="zh-CN"/>
              </w:rPr>
            </w:pPr>
          </w:p>
        </w:tc>
        <w:tc>
          <w:tcPr>
            <w:tcW w:w="1670" w:type="dxa"/>
            <w:vAlign w:val="center"/>
          </w:tcPr>
          <w:p w14:paraId="161FB83F">
            <w:pPr>
              <w:widowControl w:val="0"/>
              <w:jc w:val="center"/>
              <w:rPr>
                <w:rFonts w:hint="default"/>
                <w:color w:val="auto"/>
                <w:highlight w:val="none"/>
                <w:vertAlign w:val="baseline"/>
                <w:lang w:val="en-US" w:eastAsia="zh-CN"/>
              </w:rPr>
            </w:pPr>
          </w:p>
        </w:tc>
        <w:tc>
          <w:tcPr>
            <w:tcW w:w="1215" w:type="dxa"/>
            <w:vAlign w:val="center"/>
          </w:tcPr>
          <w:p w14:paraId="77DF5323">
            <w:pPr>
              <w:widowControl w:val="0"/>
              <w:jc w:val="center"/>
              <w:rPr>
                <w:rFonts w:hint="default"/>
                <w:color w:val="auto"/>
                <w:highlight w:val="none"/>
                <w:vertAlign w:val="baseline"/>
                <w:lang w:val="en-US" w:eastAsia="zh-CN"/>
              </w:rPr>
            </w:pPr>
          </w:p>
        </w:tc>
        <w:tc>
          <w:tcPr>
            <w:tcW w:w="1176" w:type="dxa"/>
            <w:vAlign w:val="center"/>
          </w:tcPr>
          <w:p w14:paraId="1D8AAC89">
            <w:pPr>
              <w:widowControl w:val="0"/>
              <w:jc w:val="center"/>
              <w:rPr>
                <w:rFonts w:hint="default"/>
                <w:color w:val="auto"/>
                <w:highlight w:val="none"/>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color w:val="auto"/>
                <w:highlight w:val="none"/>
                <w:vertAlign w:val="baseline"/>
                <w:lang w:val="en-US" w:eastAsia="zh-CN"/>
              </w:rPr>
            </w:pPr>
          </w:p>
        </w:tc>
        <w:tc>
          <w:tcPr>
            <w:tcW w:w="1676" w:type="dxa"/>
            <w:vAlign w:val="center"/>
          </w:tcPr>
          <w:p w14:paraId="6E777249">
            <w:pPr>
              <w:widowControl w:val="0"/>
              <w:jc w:val="center"/>
              <w:rPr>
                <w:rFonts w:hint="default"/>
                <w:color w:val="auto"/>
                <w:highlight w:val="none"/>
                <w:vertAlign w:val="baseline"/>
                <w:lang w:val="en-US" w:eastAsia="zh-CN"/>
              </w:rPr>
            </w:pPr>
          </w:p>
        </w:tc>
        <w:tc>
          <w:tcPr>
            <w:tcW w:w="1238" w:type="dxa"/>
            <w:vAlign w:val="center"/>
          </w:tcPr>
          <w:p w14:paraId="4DE2A82B">
            <w:pPr>
              <w:widowControl w:val="0"/>
              <w:jc w:val="center"/>
              <w:rPr>
                <w:rFonts w:hint="default"/>
                <w:color w:val="auto"/>
                <w:highlight w:val="none"/>
                <w:vertAlign w:val="baseline"/>
                <w:lang w:val="en-US" w:eastAsia="zh-CN"/>
              </w:rPr>
            </w:pPr>
          </w:p>
        </w:tc>
        <w:tc>
          <w:tcPr>
            <w:tcW w:w="1238" w:type="dxa"/>
            <w:vAlign w:val="center"/>
          </w:tcPr>
          <w:p w14:paraId="7C5B0392">
            <w:pPr>
              <w:widowControl w:val="0"/>
              <w:jc w:val="center"/>
              <w:rPr>
                <w:rFonts w:hint="default"/>
                <w:color w:val="auto"/>
                <w:highlight w:val="none"/>
                <w:vertAlign w:val="baseline"/>
                <w:lang w:val="en-US" w:eastAsia="zh-CN"/>
              </w:rPr>
            </w:pPr>
          </w:p>
        </w:tc>
        <w:tc>
          <w:tcPr>
            <w:tcW w:w="1670" w:type="dxa"/>
            <w:vAlign w:val="center"/>
          </w:tcPr>
          <w:p w14:paraId="17137530">
            <w:pPr>
              <w:widowControl w:val="0"/>
              <w:jc w:val="center"/>
              <w:rPr>
                <w:rFonts w:hint="default"/>
                <w:color w:val="auto"/>
                <w:highlight w:val="none"/>
                <w:vertAlign w:val="baseline"/>
                <w:lang w:val="en-US" w:eastAsia="zh-CN"/>
              </w:rPr>
            </w:pPr>
          </w:p>
        </w:tc>
        <w:tc>
          <w:tcPr>
            <w:tcW w:w="1215" w:type="dxa"/>
            <w:vAlign w:val="center"/>
          </w:tcPr>
          <w:p w14:paraId="1138018C">
            <w:pPr>
              <w:widowControl w:val="0"/>
              <w:jc w:val="center"/>
              <w:rPr>
                <w:rFonts w:hint="default"/>
                <w:color w:val="auto"/>
                <w:highlight w:val="none"/>
                <w:vertAlign w:val="baseline"/>
                <w:lang w:val="en-US" w:eastAsia="zh-CN"/>
              </w:rPr>
            </w:pPr>
          </w:p>
        </w:tc>
        <w:tc>
          <w:tcPr>
            <w:tcW w:w="1176" w:type="dxa"/>
            <w:vAlign w:val="center"/>
          </w:tcPr>
          <w:p w14:paraId="4CA32857">
            <w:pPr>
              <w:widowControl w:val="0"/>
              <w:jc w:val="center"/>
              <w:rPr>
                <w:rFonts w:hint="default"/>
                <w:color w:val="auto"/>
                <w:highlight w:val="none"/>
                <w:vertAlign w:val="baseline"/>
                <w:lang w:val="en-US" w:eastAsia="zh-CN"/>
              </w:rPr>
            </w:pPr>
          </w:p>
        </w:tc>
      </w:tr>
    </w:tbl>
    <w:p w14:paraId="4690C867">
      <w:pPr>
        <w:rPr>
          <w:rFonts w:hint="default"/>
          <w:color w:val="auto"/>
          <w:highlight w:val="none"/>
          <w:lang w:val="en-US" w:eastAsia="zh-CN"/>
        </w:rPr>
      </w:pPr>
    </w:p>
    <w:p w14:paraId="3F22E3BC">
      <w:pPr>
        <w:keepNext w:val="0"/>
        <w:keepLines w:val="0"/>
        <w:widowControl/>
        <w:suppressLineNumbers w:val="0"/>
        <w:jc w:val="left"/>
        <w:rPr>
          <w:rFonts w:hint="default"/>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bidi="ar"/>
        </w:rPr>
        <w:t>备注：</w:t>
      </w:r>
    </w:p>
    <w:p w14:paraId="57F16B7F">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牌为准； </w:t>
      </w:r>
    </w:p>
    <w:p w14:paraId="71CBFEA7">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2、所投产品若有注册证，投标开标一览表中规格或型号、产地等信息若与注册证不一致，以投标产品注册证信息为准。 </w:t>
      </w:r>
    </w:p>
    <w:p w14:paraId="708C5B50">
      <w:pPr>
        <w:bidi w:val="0"/>
        <w:rPr>
          <w:rFonts w:hint="default"/>
          <w:color w:val="auto"/>
          <w:highlight w:val="none"/>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2480310">
      <w:pPr>
        <w:bidi w:val="0"/>
        <w:rPr>
          <w:rFonts w:hint="eastAsia"/>
          <w:color w:val="auto"/>
          <w:highlight w:val="none"/>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color w:val="auto"/>
          <w:highlight w:val="none"/>
          <w:lang w:val="en-US" w:eastAsia="zh-CN"/>
        </w:rPr>
      </w:pPr>
    </w:p>
    <w:p w14:paraId="591F39DF">
      <w:pPr>
        <w:pStyle w:val="24"/>
        <w:rPr>
          <w:rFonts w:hint="eastAsia" w:ascii="宋体" w:hAnsi="宋体" w:cs="宋体"/>
          <w:color w:val="auto"/>
          <w:kern w:val="0"/>
          <w:sz w:val="24"/>
          <w:highlight w:val="none"/>
          <w:lang w:val="en-US" w:eastAsia="zh-CN"/>
        </w:rPr>
      </w:pPr>
    </w:p>
    <w:p w14:paraId="0C409640">
      <w:pPr>
        <w:pStyle w:val="24"/>
        <w:rPr>
          <w:rFonts w:hint="eastAsia" w:ascii="宋体" w:hAnsi="宋体" w:cs="宋体"/>
          <w:color w:val="auto"/>
          <w:kern w:val="0"/>
          <w:sz w:val="24"/>
          <w:highlight w:val="none"/>
          <w:lang w:val="en-US" w:eastAsia="zh-CN"/>
        </w:rPr>
      </w:pPr>
    </w:p>
    <w:p w14:paraId="1C9EAA97">
      <w:pPr>
        <w:pStyle w:val="24"/>
        <w:rPr>
          <w:rFonts w:hint="eastAsia" w:ascii="宋体" w:hAnsi="宋体" w:cs="宋体"/>
          <w:color w:val="auto"/>
          <w:kern w:val="0"/>
          <w:sz w:val="24"/>
          <w:highlight w:val="none"/>
          <w:lang w:val="en-US" w:eastAsia="zh-CN"/>
        </w:rPr>
      </w:pPr>
    </w:p>
    <w:p w14:paraId="21B00144">
      <w:pPr>
        <w:pStyle w:val="24"/>
        <w:rPr>
          <w:rFonts w:hint="eastAsia" w:ascii="宋体" w:hAnsi="宋体" w:cs="宋体"/>
          <w:color w:val="auto"/>
          <w:kern w:val="0"/>
          <w:sz w:val="24"/>
          <w:highlight w:val="none"/>
          <w:lang w:val="en-US" w:eastAsia="zh-CN"/>
        </w:rPr>
      </w:pPr>
    </w:p>
    <w:p w14:paraId="2A74BFB0">
      <w:pPr>
        <w:pStyle w:val="24"/>
        <w:rPr>
          <w:rFonts w:hint="eastAsia" w:ascii="宋体" w:hAnsi="宋体" w:cs="宋体"/>
          <w:color w:val="auto"/>
          <w:kern w:val="0"/>
          <w:sz w:val="24"/>
          <w:highlight w:val="none"/>
          <w:lang w:val="en-US" w:eastAsia="zh-CN"/>
        </w:rPr>
      </w:pPr>
    </w:p>
    <w:p w14:paraId="3EF3AB43">
      <w:pPr>
        <w:pStyle w:val="24"/>
        <w:rPr>
          <w:rFonts w:hint="eastAsia" w:ascii="宋体" w:hAnsi="宋体" w:cs="宋体"/>
          <w:color w:val="auto"/>
          <w:kern w:val="0"/>
          <w:sz w:val="24"/>
          <w:highlight w:val="none"/>
          <w:lang w:val="en-US" w:eastAsia="zh-CN"/>
        </w:rPr>
      </w:pPr>
    </w:p>
    <w:p w14:paraId="4AAC2649">
      <w:pPr>
        <w:pStyle w:val="24"/>
        <w:rPr>
          <w:rFonts w:hint="default" w:ascii="宋体" w:hAnsi="宋体" w:cs="宋体"/>
          <w:color w:val="auto"/>
          <w:kern w:val="0"/>
          <w:sz w:val="24"/>
          <w:highlight w:val="none"/>
          <w:lang w:val="en-US" w:eastAsia="zh-CN"/>
        </w:rPr>
      </w:pPr>
    </w:p>
    <w:p w14:paraId="5C2F6EBC">
      <w:pPr>
        <w:pStyle w:val="24"/>
        <w:rPr>
          <w:rFonts w:hint="default" w:ascii="宋体" w:hAnsi="宋体" w:cs="宋体"/>
          <w:color w:val="auto"/>
          <w:kern w:val="0"/>
          <w:sz w:val="24"/>
          <w:highlight w:val="none"/>
          <w:lang w:val="en-US" w:eastAsia="zh-CN"/>
        </w:rPr>
      </w:pPr>
    </w:p>
    <w:p w14:paraId="51FCD9D6">
      <w:pPr>
        <w:pStyle w:val="24"/>
        <w:rPr>
          <w:rFonts w:hint="default" w:ascii="宋体" w:hAnsi="宋体" w:cs="宋体"/>
          <w:color w:val="auto"/>
          <w:kern w:val="0"/>
          <w:sz w:val="24"/>
          <w:highlight w:val="none"/>
          <w:lang w:val="en-US" w:eastAsia="zh-CN"/>
        </w:rPr>
      </w:pPr>
    </w:p>
    <w:p w14:paraId="1E63C69E">
      <w:pPr>
        <w:pStyle w:val="24"/>
        <w:rPr>
          <w:rFonts w:hint="default" w:ascii="宋体" w:hAnsi="宋体" w:cs="宋体"/>
          <w:color w:val="auto"/>
          <w:kern w:val="0"/>
          <w:sz w:val="24"/>
          <w:highlight w:val="none"/>
          <w:lang w:val="en-US" w:eastAsia="zh-CN"/>
        </w:rPr>
      </w:pPr>
    </w:p>
    <w:p w14:paraId="14084F2D">
      <w:pPr>
        <w:pStyle w:val="24"/>
        <w:rPr>
          <w:rFonts w:hint="default" w:ascii="宋体" w:hAnsi="宋体" w:cs="宋体"/>
          <w:color w:val="auto"/>
          <w:kern w:val="0"/>
          <w:sz w:val="24"/>
          <w:highlight w:val="none"/>
          <w:lang w:val="en-US" w:eastAsia="zh-CN"/>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4"/>
        <w:rPr>
          <w:rFonts w:hint="default" w:ascii="宋体" w:hAnsi="宋体" w:cs="宋体"/>
          <w:color w:val="auto"/>
          <w:kern w:val="0"/>
          <w:sz w:val="24"/>
          <w:highlight w:val="none"/>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color w:val="auto"/>
          <w:highlight w:val="none"/>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4E1A15E">
      <w:pPr>
        <w:pStyle w:val="24"/>
        <w:rPr>
          <w:rFonts w:hint="default" w:ascii="宋体" w:hAnsi="宋体" w:cs="宋体"/>
          <w:color w:val="auto"/>
          <w:kern w:val="0"/>
          <w:sz w:val="24"/>
          <w:highlight w:val="none"/>
          <w:lang w:val="en-US" w:eastAsia="zh-CN"/>
        </w:rPr>
      </w:pPr>
    </w:p>
    <w:p w14:paraId="1C27DB87">
      <w:pPr>
        <w:pStyle w:val="24"/>
        <w:rPr>
          <w:rFonts w:hint="default" w:ascii="宋体" w:hAnsi="宋体" w:cs="宋体"/>
          <w:color w:val="auto"/>
          <w:kern w:val="0"/>
          <w:sz w:val="24"/>
          <w:highlight w:val="none"/>
          <w:lang w:val="en-US" w:eastAsia="zh-CN"/>
        </w:rPr>
      </w:pPr>
    </w:p>
    <w:p w14:paraId="43E68354">
      <w:pPr>
        <w:pStyle w:val="24"/>
        <w:rPr>
          <w:rFonts w:hint="default" w:ascii="宋体" w:hAnsi="宋体" w:cs="宋体"/>
          <w:color w:val="auto"/>
          <w:kern w:val="0"/>
          <w:sz w:val="24"/>
          <w:highlight w:val="none"/>
          <w:lang w:val="en-US" w:eastAsia="zh-CN"/>
        </w:rPr>
      </w:pPr>
    </w:p>
    <w:p w14:paraId="0647EFB8">
      <w:pPr>
        <w:pStyle w:val="24"/>
        <w:rPr>
          <w:rFonts w:hint="default" w:ascii="宋体" w:hAnsi="宋体" w:cs="宋体"/>
          <w:color w:val="auto"/>
          <w:kern w:val="0"/>
          <w:sz w:val="24"/>
          <w:highlight w:val="none"/>
          <w:lang w:val="en-US" w:eastAsia="zh-CN"/>
        </w:rPr>
      </w:pPr>
    </w:p>
    <w:p w14:paraId="5A5A959A">
      <w:pPr>
        <w:pStyle w:val="24"/>
        <w:rPr>
          <w:rFonts w:hint="default" w:ascii="宋体" w:hAnsi="宋体" w:cs="宋体"/>
          <w:color w:val="auto"/>
          <w:kern w:val="0"/>
          <w:sz w:val="24"/>
          <w:highlight w:val="none"/>
          <w:lang w:val="en-US" w:eastAsia="zh-CN"/>
        </w:rPr>
      </w:pPr>
    </w:p>
    <w:p w14:paraId="650115AD">
      <w:pPr>
        <w:pStyle w:val="24"/>
        <w:rPr>
          <w:rFonts w:hint="default" w:ascii="宋体" w:hAnsi="宋体" w:cs="宋体"/>
          <w:color w:val="auto"/>
          <w:kern w:val="0"/>
          <w:sz w:val="24"/>
          <w:highlight w:val="none"/>
          <w:lang w:val="en-US" w:eastAsia="zh-CN"/>
        </w:rPr>
      </w:pPr>
    </w:p>
    <w:p w14:paraId="4A359505">
      <w:pPr>
        <w:pStyle w:val="24"/>
        <w:rPr>
          <w:rFonts w:hint="default" w:ascii="宋体" w:hAnsi="宋体" w:cs="宋体"/>
          <w:color w:val="auto"/>
          <w:kern w:val="0"/>
          <w:sz w:val="24"/>
          <w:highlight w:val="none"/>
          <w:lang w:val="en-US" w:eastAsia="zh-CN"/>
        </w:rPr>
      </w:pPr>
    </w:p>
    <w:p w14:paraId="40B7289D">
      <w:pPr>
        <w:pStyle w:val="24"/>
        <w:rPr>
          <w:rFonts w:hint="default" w:ascii="宋体" w:hAnsi="宋体" w:cs="宋体"/>
          <w:color w:val="auto"/>
          <w:kern w:val="0"/>
          <w:sz w:val="24"/>
          <w:highlight w:val="none"/>
          <w:lang w:val="en-US" w:eastAsia="zh-CN"/>
        </w:rPr>
      </w:pPr>
    </w:p>
    <w:p w14:paraId="1B505EE5">
      <w:pPr>
        <w:pStyle w:val="24"/>
        <w:rPr>
          <w:rFonts w:hint="default" w:ascii="宋体" w:hAnsi="宋体" w:cs="宋体"/>
          <w:color w:val="auto"/>
          <w:kern w:val="0"/>
          <w:sz w:val="24"/>
          <w:highlight w:val="none"/>
          <w:lang w:val="en-US" w:eastAsia="zh-CN"/>
        </w:rPr>
      </w:pPr>
    </w:p>
    <w:p w14:paraId="4CA18EFC">
      <w:pPr>
        <w:pStyle w:val="24"/>
        <w:rPr>
          <w:rFonts w:hint="default" w:ascii="宋体" w:hAnsi="宋体" w:cs="宋体"/>
          <w:color w:val="auto"/>
          <w:kern w:val="0"/>
          <w:sz w:val="24"/>
          <w:highlight w:val="none"/>
          <w:lang w:val="en-US" w:eastAsia="zh-CN"/>
        </w:rPr>
      </w:pPr>
    </w:p>
    <w:p w14:paraId="56E07BAF">
      <w:pPr>
        <w:pStyle w:val="24"/>
        <w:rPr>
          <w:rFonts w:hint="default" w:ascii="宋体" w:hAnsi="宋体" w:cs="宋体"/>
          <w:color w:val="auto"/>
          <w:kern w:val="0"/>
          <w:sz w:val="24"/>
          <w:highlight w:val="none"/>
          <w:lang w:val="en-US" w:eastAsia="zh-CN"/>
        </w:rPr>
      </w:pPr>
    </w:p>
    <w:p w14:paraId="38E426CC">
      <w:pPr>
        <w:pStyle w:val="24"/>
        <w:rPr>
          <w:rFonts w:hint="default" w:ascii="宋体" w:hAnsi="宋体" w:cs="宋体"/>
          <w:color w:val="auto"/>
          <w:kern w:val="0"/>
          <w:sz w:val="24"/>
          <w:highlight w:val="none"/>
          <w:lang w:val="en-US" w:eastAsia="zh-CN"/>
        </w:rPr>
      </w:pPr>
    </w:p>
    <w:p w14:paraId="03EB9A28">
      <w:pPr>
        <w:pStyle w:val="24"/>
        <w:rPr>
          <w:rFonts w:hint="default" w:ascii="宋体" w:hAnsi="宋体" w:cs="宋体"/>
          <w:color w:val="auto"/>
          <w:kern w:val="0"/>
          <w:sz w:val="24"/>
          <w:highlight w:val="none"/>
          <w:lang w:val="en-US" w:eastAsia="zh-CN"/>
        </w:rPr>
      </w:pPr>
    </w:p>
    <w:p w14:paraId="2424AE27">
      <w:pPr>
        <w:pStyle w:val="24"/>
        <w:rPr>
          <w:rFonts w:hint="default" w:ascii="宋体" w:hAnsi="宋体" w:cs="宋体"/>
          <w:color w:val="auto"/>
          <w:kern w:val="0"/>
          <w:sz w:val="24"/>
          <w:highlight w:val="none"/>
          <w:lang w:val="en-US" w:eastAsia="zh-CN"/>
        </w:rPr>
      </w:pPr>
    </w:p>
    <w:p w14:paraId="6DE512C9">
      <w:pPr>
        <w:pStyle w:val="24"/>
        <w:rPr>
          <w:rFonts w:hint="default" w:ascii="宋体" w:hAnsi="宋体" w:cs="宋体"/>
          <w:color w:val="auto"/>
          <w:kern w:val="0"/>
          <w:sz w:val="24"/>
          <w:highlight w:val="none"/>
          <w:lang w:val="en-US" w:eastAsia="zh-CN"/>
        </w:rPr>
      </w:pPr>
    </w:p>
    <w:p w14:paraId="568848E2">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92"/>
      <w:bookmarkEnd w:id="93"/>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04543762">
      <w:pPr>
        <w:bidi w:val="0"/>
        <w:jc w:val="center"/>
        <w:rPr>
          <w:rFonts w:hint="default"/>
          <w:color w:val="auto"/>
          <w:highlight w:val="none"/>
          <w:lang w:val="en-US" w:eastAsia="zh-CN"/>
        </w:rPr>
      </w:pPr>
      <w:r>
        <w:rPr>
          <w:rFonts w:hint="eastAsia"/>
          <w:color w:val="auto"/>
          <w:highlight w:val="none"/>
          <w:lang w:val="en-US" w:eastAsia="zh-CN"/>
        </w:rPr>
        <w:t>按照磋商文件“第二章 采购需求 三、技术参数要求”提供证明文件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6" w:name="_Toc29960"/>
      <w:bookmarkStart w:id="107" w:name="_Toc24168"/>
      <w:bookmarkStart w:id="108" w:name="_Toc20420"/>
      <w:r>
        <w:rPr>
          <w:rFonts w:hint="eastAsia" w:ascii="宋体" w:hAnsi="宋体" w:eastAsia="宋体" w:cs="宋体"/>
          <w:color w:val="auto"/>
          <w:sz w:val="28"/>
          <w:szCs w:val="28"/>
          <w:highlight w:val="none"/>
          <w:lang w:val="en-US" w:eastAsia="zh-CN"/>
        </w:rPr>
        <w:t>附件6            商务响应</w:t>
      </w:r>
      <w:bookmarkEnd w:id="106"/>
      <w:bookmarkEnd w:id="107"/>
      <w:bookmarkEnd w:id="108"/>
      <w:r>
        <w:rPr>
          <w:rFonts w:hint="eastAsia" w:ascii="宋体" w:hAnsi="宋体" w:eastAsia="宋体" w:cs="宋体"/>
          <w:color w:val="auto"/>
          <w:sz w:val="28"/>
          <w:szCs w:val="28"/>
          <w:highlight w:val="none"/>
          <w:lang w:val="en-US" w:eastAsia="zh-CN"/>
        </w:rPr>
        <w:t>表（格式）</w:t>
      </w:r>
    </w:p>
    <w:tbl>
      <w:tblPr>
        <w:tblStyle w:val="91"/>
        <w:tblW w:w="9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2"/>
        <w:gridCol w:w="1620"/>
        <w:gridCol w:w="2480"/>
        <w:gridCol w:w="1798"/>
        <w:gridCol w:w="1189"/>
        <w:gridCol w:w="118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jc w:val="center"/>
        </w:trPr>
        <w:tc>
          <w:tcPr>
            <w:tcW w:w="762"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20"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p>
        </w:tc>
        <w:tc>
          <w:tcPr>
            <w:tcW w:w="2480"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磋商文件要求</w:t>
            </w:r>
          </w:p>
        </w:tc>
        <w:tc>
          <w:tcPr>
            <w:tcW w:w="1798" w:type="dxa"/>
            <w:noWrap w:val="0"/>
            <w:vAlign w:val="center"/>
          </w:tcPr>
          <w:p w14:paraId="7F9203F4">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响应文件响应</w:t>
            </w:r>
          </w:p>
        </w:tc>
        <w:tc>
          <w:tcPr>
            <w:tcW w:w="1189" w:type="dxa"/>
            <w:noWrap w:val="0"/>
            <w:vAlign w:val="center"/>
          </w:tcPr>
          <w:p w14:paraId="1CBA3AA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偏离情况</w:t>
            </w:r>
          </w:p>
        </w:tc>
        <w:tc>
          <w:tcPr>
            <w:tcW w:w="1189" w:type="dxa"/>
            <w:noWrap w:val="0"/>
            <w:vAlign w:val="center"/>
          </w:tcPr>
          <w:p w14:paraId="1363C87C">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620" w:type="dxa"/>
            <w:noWrap w:val="0"/>
            <w:vAlign w:val="center"/>
          </w:tcPr>
          <w:p w14:paraId="6DC2849E">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交货期</w:t>
            </w:r>
          </w:p>
        </w:tc>
        <w:tc>
          <w:tcPr>
            <w:tcW w:w="2480"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40B5BCD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620" w:type="dxa"/>
            <w:noWrap w:val="0"/>
            <w:vAlign w:val="center"/>
          </w:tcPr>
          <w:p w14:paraId="0472149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2480"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0BED208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620" w:type="dxa"/>
            <w:noWrap w:val="0"/>
            <w:vAlign w:val="center"/>
          </w:tcPr>
          <w:p w14:paraId="50BB9001">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2480"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731D51C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20" w:type="dxa"/>
            <w:noWrap w:val="0"/>
            <w:vAlign w:val="center"/>
          </w:tcPr>
          <w:p w14:paraId="6182A3E4">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480"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762" w:type="dxa"/>
            <w:noWrap w:val="0"/>
            <w:vAlign w:val="center"/>
          </w:tcPr>
          <w:p w14:paraId="15D97B2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20" w:type="dxa"/>
            <w:noWrap w:val="0"/>
            <w:vAlign w:val="center"/>
          </w:tcPr>
          <w:p w14:paraId="5C43BD33">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w:t>
            </w:r>
          </w:p>
        </w:tc>
        <w:tc>
          <w:tcPr>
            <w:tcW w:w="2480"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F537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jc w:val="center"/>
        </w:trPr>
        <w:tc>
          <w:tcPr>
            <w:tcW w:w="762" w:type="dxa"/>
            <w:noWrap w:val="0"/>
            <w:vAlign w:val="center"/>
          </w:tcPr>
          <w:p w14:paraId="1DCEDA10">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20" w:type="dxa"/>
            <w:noWrap w:val="0"/>
            <w:vAlign w:val="center"/>
          </w:tcPr>
          <w:p w14:paraId="1E746586">
            <w:pPr>
              <w:pStyle w:val="7"/>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2480" w:type="dxa"/>
            <w:noWrap w:val="0"/>
            <w:vAlign w:val="center"/>
          </w:tcPr>
          <w:p w14:paraId="6ADC53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798" w:type="dxa"/>
            <w:noWrap w:val="0"/>
            <w:vAlign w:val="center"/>
          </w:tcPr>
          <w:p w14:paraId="2864CC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40E9F39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89" w:type="dxa"/>
            <w:noWrap w:val="0"/>
            <w:vAlign w:val="center"/>
          </w:tcPr>
          <w:p w14:paraId="7CF155B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3302DCB5">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031FD277">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109" w:name="_Toc31526"/>
      <w:bookmarkStart w:id="110" w:name="_Toc28621"/>
      <w:r>
        <w:rPr>
          <w:rFonts w:hint="eastAsia" w:ascii="宋体" w:hAnsi="宋体" w:eastAsia="宋体" w:cs="宋体"/>
          <w:b/>
          <w:color w:val="auto"/>
          <w:sz w:val="28"/>
          <w:highlight w:val="none"/>
        </w:rPr>
        <w:br w:type="page"/>
      </w:r>
    </w:p>
    <w:p w14:paraId="40257B96">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1" w:name="_Toc29406"/>
      <w:r>
        <w:rPr>
          <w:rFonts w:hint="eastAsia" w:ascii="宋体" w:hAnsi="宋体" w:eastAsia="宋体" w:cs="宋体"/>
          <w:color w:val="auto"/>
          <w:sz w:val="28"/>
          <w:szCs w:val="28"/>
          <w:highlight w:val="none"/>
          <w:lang w:val="en-US" w:eastAsia="zh-CN"/>
        </w:rPr>
        <w:t>附件7         法定代表人身份证明（格式）</w:t>
      </w:r>
      <w:bookmarkEnd w:id="109"/>
      <w:bookmarkEnd w:id="110"/>
      <w:bookmarkEnd w:id="111"/>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2" w:name="_Toc30519"/>
      <w:bookmarkStart w:id="113" w:name="_Toc13976"/>
      <w:bookmarkStart w:id="114" w:name="_Toc12939"/>
      <w:r>
        <w:rPr>
          <w:rFonts w:hint="eastAsia" w:ascii="宋体" w:hAnsi="宋体" w:eastAsia="宋体" w:cs="宋体"/>
          <w:color w:val="auto"/>
          <w:sz w:val="28"/>
          <w:szCs w:val="28"/>
          <w:highlight w:val="none"/>
          <w:lang w:val="en-US" w:eastAsia="zh-CN"/>
        </w:rPr>
        <w:t>附件8         法定代表人授权书（格式）</w:t>
      </w:r>
      <w:bookmarkEnd w:id="112"/>
      <w:bookmarkEnd w:id="113"/>
      <w:bookmarkEnd w:id="114"/>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w:t>
      </w:r>
      <w:r>
        <w:rPr>
          <w:rFonts w:hint="eastAsia" w:ascii="宋体" w:hAnsi="宋体" w:cs="宋体"/>
          <w:color w:val="auto"/>
          <w:kern w:val="0"/>
          <w:sz w:val="24"/>
          <w:highlight w:val="none"/>
          <w:lang w:val="en-US" w:eastAsia="zh-CN"/>
        </w:rPr>
        <w:t>竞争性磋商采购</w:t>
      </w:r>
      <w:r>
        <w:rPr>
          <w:rFonts w:hint="eastAsia" w:ascii="宋体" w:hAnsi="宋体" w:eastAsia="宋体" w:cs="宋体"/>
          <w:color w:val="auto"/>
          <w:kern w:val="0"/>
          <w:sz w:val="24"/>
          <w:highlight w:val="none"/>
        </w:rPr>
        <w:t>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职务：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5" w:name="_Toc24693"/>
      <w:bookmarkStart w:id="116" w:name="_Toc3342"/>
      <w:bookmarkStart w:id="117" w:name="_Toc18105"/>
      <w:r>
        <w:rPr>
          <w:rFonts w:hint="eastAsia" w:ascii="宋体" w:hAnsi="宋体" w:eastAsia="宋体" w:cs="宋体"/>
          <w:color w:val="auto"/>
          <w:sz w:val="28"/>
          <w:szCs w:val="28"/>
          <w:highlight w:val="none"/>
          <w:lang w:val="en-US" w:eastAsia="zh-CN"/>
        </w:rPr>
        <w:t>附件9          证明文件</w:t>
      </w:r>
      <w:bookmarkEnd w:id="115"/>
      <w:bookmarkEnd w:id="116"/>
      <w:bookmarkEnd w:id="117"/>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118"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19" w:name="_Toc12888"/>
      <w:bookmarkStart w:id="120" w:name="_Toc16083"/>
      <w:bookmarkStart w:id="121" w:name="_Toc13726"/>
      <w:r>
        <w:rPr>
          <w:rFonts w:hint="eastAsia" w:ascii="宋体" w:hAnsi="宋体" w:eastAsia="宋体" w:cs="宋体"/>
          <w:color w:val="auto"/>
          <w:sz w:val="28"/>
          <w:szCs w:val="28"/>
          <w:highlight w:val="none"/>
          <w:lang w:val="en-US" w:eastAsia="zh-CN"/>
        </w:rPr>
        <w:t xml:space="preserve">附件10      </w:t>
      </w:r>
      <w:bookmarkEnd w:id="118"/>
      <w:r>
        <w:rPr>
          <w:rFonts w:hint="eastAsia" w:ascii="宋体" w:hAnsi="宋体" w:eastAsia="宋体" w:cs="宋体"/>
          <w:color w:val="auto"/>
          <w:sz w:val="28"/>
          <w:szCs w:val="28"/>
          <w:highlight w:val="none"/>
          <w:lang w:val="en-US" w:eastAsia="zh-CN"/>
        </w:rPr>
        <w:t>供 应 商 承 诺 书 （格式）</w:t>
      </w:r>
      <w:bookmarkEnd w:id="119"/>
      <w:bookmarkEnd w:id="120"/>
      <w:bookmarkEnd w:id="121"/>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6C46D978">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                （全称并加盖公章）</w:t>
      </w:r>
    </w:p>
    <w:p w14:paraId="40FE76F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法定代表人或委托人（签字或盖章）：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xml:space="preserve">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6"/>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22" w:name="_Toc31685"/>
      <w:bookmarkStart w:id="123" w:name="_Toc23394"/>
      <w:bookmarkStart w:id="124" w:name="_Toc25094"/>
    </w:p>
    <w:p w14:paraId="24DE6E5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122"/>
      <w:bookmarkEnd w:id="123"/>
      <w:bookmarkEnd w:id="124"/>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tabs>
        <w:tab w:val="center" w:pos="4479"/>
        <w:tab w:val="clear" w:pos="4153"/>
      </w:tabs>
      <w:jc w:val="both"/>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r>
      <w:rPr>
        <w:rFonts w:hint="eastAsia"/>
        <w:lang w:eastAsia="zh-CN"/>
      </w:rPr>
      <w:tab/>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驻马店市中心医院多导睡眠测量仪采购项目（二次）采购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2AA"/>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2CA9"/>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C626C"/>
    <w:rsid w:val="011E110B"/>
    <w:rsid w:val="01525212"/>
    <w:rsid w:val="01564054"/>
    <w:rsid w:val="015C0A67"/>
    <w:rsid w:val="015C2B0C"/>
    <w:rsid w:val="01675734"/>
    <w:rsid w:val="01745FBF"/>
    <w:rsid w:val="017E6D95"/>
    <w:rsid w:val="018D0058"/>
    <w:rsid w:val="01976717"/>
    <w:rsid w:val="019F1377"/>
    <w:rsid w:val="01C55A0C"/>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62DA4"/>
    <w:rsid w:val="03F77068"/>
    <w:rsid w:val="03FB660C"/>
    <w:rsid w:val="042E37DB"/>
    <w:rsid w:val="04416C20"/>
    <w:rsid w:val="04602913"/>
    <w:rsid w:val="04732647"/>
    <w:rsid w:val="047968B1"/>
    <w:rsid w:val="04870542"/>
    <w:rsid w:val="04B30F7A"/>
    <w:rsid w:val="04BE5FB8"/>
    <w:rsid w:val="04E6149D"/>
    <w:rsid w:val="04EB6D1E"/>
    <w:rsid w:val="04FF0D45"/>
    <w:rsid w:val="050E236F"/>
    <w:rsid w:val="05396C19"/>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62CBE"/>
    <w:rsid w:val="06B91765"/>
    <w:rsid w:val="06CA2AD2"/>
    <w:rsid w:val="06CB0D68"/>
    <w:rsid w:val="06CE3071"/>
    <w:rsid w:val="06D33DBA"/>
    <w:rsid w:val="06D73361"/>
    <w:rsid w:val="06E13F9F"/>
    <w:rsid w:val="06FB0AC5"/>
    <w:rsid w:val="06FE7278"/>
    <w:rsid w:val="070D2D5D"/>
    <w:rsid w:val="07104A12"/>
    <w:rsid w:val="07111B8D"/>
    <w:rsid w:val="072916E2"/>
    <w:rsid w:val="072B0FB7"/>
    <w:rsid w:val="072C5514"/>
    <w:rsid w:val="0737768A"/>
    <w:rsid w:val="074A5B92"/>
    <w:rsid w:val="075D0147"/>
    <w:rsid w:val="075E3193"/>
    <w:rsid w:val="07683FB9"/>
    <w:rsid w:val="07754928"/>
    <w:rsid w:val="078E18EB"/>
    <w:rsid w:val="07AA2823"/>
    <w:rsid w:val="07B02D9F"/>
    <w:rsid w:val="07B10EA5"/>
    <w:rsid w:val="07C510CB"/>
    <w:rsid w:val="07CD6512"/>
    <w:rsid w:val="07CE3FA1"/>
    <w:rsid w:val="07EC2ECB"/>
    <w:rsid w:val="07FE66CB"/>
    <w:rsid w:val="08030185"/>
    <w:rsid w:val="080B4D47"/>
    <w:rsid w:val="081B727D"/>
    <w:rsid w:val="081D2FF5"/>
    <w:rsid w:val="08321601"/>
    <w:rsid w:val="08326375"/>
    <w:rsid w:val="08397703"/>
    <w:rsid w:val="083D5C91"/>
    <w:rsid w:val="084478DC"/>
    <w:rsid w:val="0847191F"/>
    <w:rsid w:val="08591DC3"/>
    <w:rsid w:val="085B58CB"/>
    <w:rsid w:val="08672793"/>
    <w:rsid w:val="08695E80"/>
    <w:rsid w:val="087C4541"/>
    <w:rsid w:val="087E5595"/>
    <w:rsid w:val="08954FA6"/>
    <w:rsid w:val="08BA4CE8"/>
    <w:rsid w:val="08BC0A60"/>
    <w:rsid w:val="08C52D6F"/>
    <w:rsid w:val="08E42BE4"/>
    <w:rsid w:val="08EF0201"/>
    <w:rsid w:val="08F41DE8"/>
    <w:rsid w:val="09023F99"/>
    <w:rsid w:val="093662C9"/>
    <w:rsid w:val="093D1475"/>
    <w:rsid w:val="094840A2"/>
    <w:rsid w:val="09644C54"/>
    <w:rsid w:val="09737462"/>
    <w:rsid w:val="09864BCA"/>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D13A85"/>
    <w:rsid w:val="0AD35BED"/>
    <w:rsid w:val="0AE0655C"/>
    <w:rsid w:val="0B091954"/>
    <w:rsid w:val="0B187425"/>
    <w:rsid w:val="0B195776"/>
    <w:rsid w:val="0B1A7CC0"/>
    <w:rsid w:val="0B34773E"/>
    <w:rsid w:val="0B3B7D65"/>
    <w:rsid w:val="0B434C20"/>
    <w:rsid w:val="0B550CF8"/>
    <w:rsid w:val="0B5F0822"/>
    <w:rsid w:val="0B637D77"/>
    <w:rsid w:val="0B7006C4"/>
    <w:rsid w:val="0B726646"/>
    <w:rsid w:val="0B7606E8"/>
    <w:rsid w:val="0B8B471A"/>
    <w:rsid w:val="0B924545"/>
    <w:rsid w:val="0BAC324F"/>
    <w:rsid w:val="0BB40DF1"/>
    <w:rsid w:val="0BC11EE9"/>
    <w:rsid w:val="0BC92F82"/>
    <w:rsid w:val="0BF16C73"/>
    <w:rsid w:val="0BF72F1E"/>
    <w:rsid w:val="0C0A7D34"/>
    <w:rsid w:val="0C230DF6"/>
    <w:rsid w:val="0C232BA4"/>
    <w:rsid w:val="0C3152C1"/>
    <w:rsid w:val="0C3957A5"/>
    <w:rsid w:val="0C507E2F"/>
    <w:rsid w:val="0C600D66"/>
    <w:rsid w:val="0C626DA7"/>
    <w:rsid w:val="0C6876AE"/>
    <w:rsid w:val="0C71390F"/>
    <w:rsid w:val="0C720EC8"/>
    <w:rsid w:val="0C942042"/>
    <w:rsid w:val="0C9D50DC"/>
    <w:rsid w:val="0CA5271D"/>
    <w:rsid w:val="0CAC4D10"/>
    <w:rsid w:val="0CC53C5B"/>
    <w:rsid w:val="0CC72121"/>
    <w:rsid w:val="0CC872A8"/>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6A2D0C"/>
    <w:rsid w:val="0E6E4D6B"/>
    <w:rsid w:val="0E95596D"/>
    <w:rsid w:val="0EAE6205"/>
    <w:rsid w:val="0EAE6579"/>
    <w:rsid w:val="0EAF71BF"/>
    <w:rsid w:val="0EB67098"/>
    <w:rsid w:val="0EC20452"/>
    <w:rsid w:val="0ECE6257"/>
    <w:rsid w:val="0EE4129D"/>
    <w:rsid w:val="0F171032"/>
    <w:rsid w:val="0F335E69"/>
    <w:rsid w:val="0F372614"/>
    <w:rsid w:val="0F3D59C9"/>
    <w:rsid w:val="0F516D5A"/>
    <w:rsid w:val="0F565B36"/>
    <w:rsid w:val="0F625791"/>
    <w:rsid w:val="0F684933"/>
    <w:rsid w:val="0F6E2388"/>
    <w:rsid w:val="0F7A2ADB"/>
    <w:rsid w:val="0F821E7D"/>
    <w:rsid w:val="0FC91CB4"/>
    <w:rsid w:val="0FCA42ED"/>
    <w:rsid w:val="0FCD285F"/>
    <w:rsid w:val="0FDB5F4F"/>
    <w:rsid w:val="0FE64614"/>
    <w:rsid w:val="0FE7592C"/>
    <w:rsid w:val="0FFC17A5"/>
    <w:rsid w:val="0FFD20F0"/>
    <w:rsid w:val="10142F30"/>
    <w:rsid w:val="101C3B92"/>
    <w:rsid w:val="10352857"/>
    <w:rsid w:val="103E6E57"/>
    <w:rsid w:val="1041497B"/>
    <w:rsid w:val="10425FF6"/>
    <w:rsid w:val="106612B1"/>
    <w:rsid w:val="108B0D18"/>
    <w:rsid w:val="109010E6"/>
    <w:rsid w:val="10B14C22"/>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358B6"/>
    <w:rsid w:val="11575085"/>
    <w:rsid w:val="115B4B8E"/>
    <w:rsid w:val="1166372C"/>
    <w:rsid w:val="11700D10"/>
    <w:rsid w:val="1178125A"/>
    <w:rsid w:val="118441E0"/>
    <w:rsid w:val="1196056D"/>
    <w:rsid w:val="11B85B3D"/>
    <w:rsid w:val="11CD20A0"/>
    <w:rsid w:val="11D34654"/>
    <w:rsid w:val="12010480"/>
    <w:rsid w:val="12040D82"/>
    <w:rsid w:val="120D5E88"/>
    <w:rsid w:val="120E707F"/>
    <w:rsid w:val="12192A7F"/>
    <w:rsid w:val="121D0051"/>
    <w:rsid w:val="12413D84"/>
    <w:rsid w:val="127A7D1C"/>
    <w:rsid w:val="12836D8B"/>
    <w:rsid w:val="12993BC0"/>
    <w:rsid w:val="12AB0349"/>
    <w:rsid w:val="12B66520"/>
    <w:rsid w:val="12CD57F1"/>
    <w:rsid w:val="12CE5941"/>
    <w:rsid w:val="12CE7AFA"/>
    <w:rsid w:val="12D67466"/>
    <w:rsid w:val="13036052"/>
    <w:rsid w:val="131F52C6"/>
    <w:rsid w:val="13272A5D"/>
    <w:rsid w:val="132A2A6A"/>
    <w:rsid w:val="133631BD"/>
    <w:rsid w:val="133C40E3"/>
    <w:rsid w:val="133F4BFF"/>
    <w:rsid w:val="13410069"/>
    <w:rsid w:val="13493108"/>
    <w:rsid w:val="134A4EBA"/>
    <w:rsid w:val="13616720"/>
    <w:rsid w:val="13713CFE"/>
    <w:rsid w:val="13733928"/>
    <w:rsid w:val="137361BF"/>
    <w:rsid w:val="13741F37"/>
    <w:rsid w:val="13857CA0"/>
    <w:rsid w:val="13920D68"/>
    <w:rsid w:val="139546B6"/>
    <w:rsid w:val="139C16C9"/>
    <w:rsid w:val="13A5238E"/>
    <w:rsid w:val="13B63CE1"/>
    <w:rsid w:val="13BA3DEE"/>
    <w:rsid w:val="13BC6684"/>
    <w:rsid w:val="13C72B3A"/>
    <w:rsid w:val="13D12EE6"/>
    <w:rsid w:val="13DF575E"/>
    <w:rsid w:val="13E37615"/>
    <w:rsid w:val="13E470BD"/>
    <w:rsid w:val="13EE3A98"/>
    <w:rsid w:val="13F3280A"/>
    <w:rsid w:val="14060DE1"/>
    <w:rsid w:val="142123F7"/>
    <w:rsid w:val="142A11D8"/>
    <w:rsid w:val="144B544C"/>
    <w:rsid w:val="145B7B45"/>
    <w:rsid w:val="14627FE2"/>
    <w:rsid w:val="14717443"/>
    <w:rsid w:val="14727C56"/>
    <w:rsid w:val="14825F8A"/>
    <w:rsid w:val="148C70AD"/>
    <w:rsid w:val="148D52E3"/>
    <w:rsid w:val="14992B90"/>
    <w:rsid w:val="149F10C7"/>
    <w:rsid w:val="14AF1856"/>
    <w:rsid w:val="14AF19A3"/>
    <w:rsid w:val="14B22D17"/>
    <w:rsid w:val="14B52807"/>
    <w:rsid w:val="14B53957"/>
    <w:rsid w:val="14C53ECE"/>
    <w:rsid w:val="14CB3DD9"/>
    <w:rsid w:val="14CF6CB0"/>
    <w:rsid w:val="14D10E8D"/>
    <w:rsid w:val="14DB04C0"/>
    <w:rsid w:val="14DC5FE6"/>
    <w:rsid w:val="14E002E6"/>
    <w:rsid w:val="14FC36BD"/>
    <w:rsid w:val="14FF5EA7"/>
    <w:rsid w:val="15127C5A"/>
    <w:rsid w:val="151E3A0F"/>
    <w:rsid w:val="152534E9"/>
    <w:rsid w:val="152A4FA3"/>
    <w:rsid w:val="153A36AA"/>
    <w:rsid w:val="15477903"/>
    <w:rsid w:val="1557566D"/>
    <w:rsid w:val="155E69FB"/>
    <w:rsid w:val="1562063D"/>
    <w:rsid w:val="1565422D"/>
    <w:rsid w:val="156E0971"/>
    <w:rsid w:val="15785B3E"/>
    <w:rsid w:val="15811F1B"/>
    <w:rsid w:val="15870933"/>
    <w:rsid w:val="158F3058"/>
    <w:rsid w:val="15A30135"/>
    <w:rsid w:val="15A34015"/>
    <w:rsid w:val="15A5287C"/>
    <w:rsid w:val="15B605E5"/>
    <w:rsid w:val="15BB487B"/>
    <w:rsid w:val="15CE086D"/>
    <w:rsid w:val="15E2236F"/>
    <w:rsid w:val="15FF01DE"/>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6F47617"/>
    <w:rsid w:val="170D06E0"/>
    <w:rsid w:val="171750B3"/>
    <w:rsid w:val="17233E03"/>
    <w:rsid w:val="17332185"/>
    <w:rsid w:val="17475951"/>
    <w:rsid w:val="17546308"/>
    <w:rsid w:val="175C542D"/>
    <w:rsid w:val="175D0ED4"/>
    <w:rsid w:val="17793FC0"/>
    <w:rsid w:val="179D33A9"/>
    <w:rsid w:val="179F2E61"/>
    <w:rsid w:val="17A06264"/>
    <w:rsid w:val="17A60E26"/>
    <w:rsid w:val="17B80644"/>
    <w:rsid w:val="17BE19D3"/>
    <w:rsid w:val="17C227C0"/>
    <w:rsid w:val="17D66D7C"/>
    <w:rsid w:val="17DE0EDF"/>
    <w:rsid w:val="17EE5BFF"/>
    <w:rsid w:val="18097740"/>
    <w:rsid w:val="18136133"/>
    <w:rsid w:val="1821268E"/>
    <w:rsid w:val="184055B9"/>
    <w:rsid w:val="1840688C"/>
    <w:rsid w:val="184A2082"/>
    <w:rsid w:val="185A16FC"/>
    <w:rsid w:val="185D3C42"/>
    <w:rsid w:val="185F38AF"/>
    <w:rsid w:val="188F0211"/>
    <w:rsid w:val="18AD1BEB"/>
    <w:rsid w:val="18B3004A"/>
    <w:rsid w:val="18B31B6D"/>
    <w:rsid w:val="18B75B5F"/>
    <w:rsid w:val="18B83CF9"/>
    <w:rsid w:val="18B96080"/>
    <w:rsid w:val="18CB43A7"/>
    <w:rsid w:val="18CE20EA"/>
    <w:rsid w:val="18DB2CD8"/>
    <w:rsid w:val="18F67868"/>
    <w:rsid w:val="19061883"/>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332204"/>
    <w:rsid w:val="1A5F4342"/>
    <w:rsid w:val="1A616E2C"/>
    <w:rsid w:val="1A715D02"/>
    <w:rsid w:val="1A7B75D1"/>
    <w:rsid w:val="1A7F369B"/>
    <w:rsid w:val="1A8C5D82"/>
    <w:rsid w:val="1A971D02"/>
    <w:rsid w:val="1A994988"/>
    <w:rsid w:val="1A9B546C"/>
    <w:rsid w:val="1A9E141F"/>
    <w:rsid w:val="1A9E4854"/>
    <w:rsid w:val="1AA3511F"/>
    <w:rsid w:val="1AAE3B54"/>
    <w:rsid w:val="1ABA40DB"/>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8C2514"/>
    <w:rsid w:val="1BB73AE1"/>
    <w:rsid w:val="1BDA6D68"/>
    <w:rsid w:val="1BF14125"/>
    <w:rsid w:val="1C002CEE"/>
    <w:rsid w:val="1C3C2486"/>
    <w:rsid w:val="1C4032FE"/>
    <w:rsid w:val="1C4E77C9"/>
    <w:rsid w:val="1C4F709D"/>
    <w:rsid w:val="1C555978"/>
    <w:rsid w:val="1C6554A1"/>
    <w:rsid w:val="1C7971B7"/>
    <w:rsid w:val="1C8036FB"/>
    <w:rsid w:val="1C917D91"/>
    <w:rsid w:val="1CAB2820"/>
    <w:rsid w:val="1CD402EC"/>
    <w:rsid w:val="1CE95744"/>
    <w:rsid w:val="1CED16EF"/>
    <w:rsid w:val="1CF02333"/>
    <w:rsid w:val="1D047E88"/>
    <w:rsid w:val="1D0A0FEB"/>
    <w:rsid w:val="1D0C33A2"/>
    <w:rsid w:val="1D0C4F8F"/>
    <w:rsid w:val="1D113E6E"/>
    <w:rsid w:val="1D114E5E"/>
    <w:rsid w:val="1D1F0050"/>
    <w:rsid w:val="1D214EDE"/>
    <w:rsid w:val="1D2222DC"/>
    <w:rsid w:val="1D5144F7"/>
    <w:rsid w:val="1D5B3CDE"/>
    <w:rsid w:val="1D5D0701"/>
    <w:rsid w:val="1D61177E"/>
    <w:rsid w:val="1D65301C"/>
    <w:rsid w:val="1D6628F1"/>
    <w:rsid w:val="1D6E2950"/>
    <w:rsid w:val="1D79298C"/>
    <w:rsid w:val="1D98209B"/>
    <w:rsid w:val="1DA23746"/>
    <w:rsid w:val="1DAA14B9"/>
    <w:rsid w:val="1DD04513"/>
    <w:rsid w:val="1DD8524D"/>
    <w:rsid w:val="1DDD2BCB"/>
    <w:rsid w:val="1E0345E3"/>
    <w:rsid w:val="1E1B7B7F"/>
    <w:rsid w:val="1E443370"/>
    <w:rsid w:val="1E656063"/>
    <w:rsid w:val="1E6B06A5"/>
    <w:rsid w:val="1E6E5F01"/>
    <w:rsid w:val="1E7554E1"/>
    <w:rsid w:val="1E7F7D9E"/>
    <w:rsid w:val="1E82375A"/>
    <w:rsid w:val="1E840DA4"/>
    <w:rsid w:val="1E85324A"/>
    <w:rsid w:val="1EA5444C"/>
    <w:rsid w:val="1EA5569B"/>
    <w:rsid w:val="1EB350EF"/>
    <w:rsid w:val="1EC21749"/>
    <w:rsid w:val="1EEB7C4E"/>
    <w:rsid w:val="1F072441"/>
    <w:rsid w:val="1F171B83"/>
    <w:rsid w:val="1F2D4691"/>
    <w:rsid w:val="1F2D491A"/>
    <w:rsid w:val="1F3F789D"/>
    <w:rsid w:val="1F4E5D32"/>
    <w:rsid w:val="1F66355F"/>
    <w:rsid w:val="1F6B7998"/>
    <w:rsid w:val="1F7369C7"/>
    <w:rsid w:val="1F9113A9"/>
    <w:rsid w:val="1F94547B"/>
    <w:rsid w:val="1FA47700"/>
    <w:rsid w:val="1FAF308C"/>
    <w:rsid w:val="1FB64FF9"/>
    <w:rsid w:val="1FC11109"/>
    <w:rsid w:val="1FDA3223"/>
    <w:rsid w:val="1FDE2C12"/>
    <w:rsid w:val="1FEF08C8"/>
    <w:rsid w:val="1FF72E6A"/>
    <w:rsid w:val="1FFB6F12"/>
    <w:rsid w:val="1FFC12EA"/>
    <w:rsid w:val="201B3ED4"/>
    <w:rsid w:val="201E5705"/>
    <w:rsid w:val="20230F6D"/>
    <w:rsid w:val="20310B02"/>
    <w:rsid w:val="20344F28"/>
    <w:rsid w:val="20631369"/>
    <w:rsid w:val="206F0406"/>
    <w:rsid w:val="207417C9"/>
    <w:rsid w:val="20784063"/>
    <w:rsid w:val="207E346A"/>
    <w:rsid w:val="208E12C3"/>
    <w:rsid w:val="209502A3"/>
    <w:rsid w:val="20B120D5"/>
    <w:rsid w:val="20EA3839"/>
    <w:rsid w:val="20F6042F"/>
    <w:rsid w:val="2100305C"/>
    <w:rsid w:val="210F579E"/>
    <w:rsid w:val="21163FF0"/>
    <w:rsid w:val="211B39F2"/>
    <w:rsid w:val="211C7E96"/>
    <w:rsid w:val="212550B5"/>
    <w:rsid w:val="21592B62"/>
    <w:rsid w:val="2172049B"/>
    <w:rsid w:val="21747CD2"/>
    <w:rsid w:val="21893052"/>
    <w:rsid w:val="219263AA"/>
    <w:rsid w:val="219E5782"/>
    <w:rsid w:val="21C07E10"/>
    <w:rsid w:val="21D10545"/>
    <w:rsid w:val="21E72B0B"/>
    <w:rsid w:val="21E76A4A"/>
    <w:rsid w:val="21EE607E"/>
    <w:rsid w:val="21F229A5"/>
    <w:rsid w:val="21F66F4C"/>
    <w:rsid w:val="21FA5DA1"/>
    <w:rsid w:val="22056B7C"/>
    <w:rsid w:val="221F2D96"/>
    <w:rsid w:val="2221328A"/>
    <w:rsid w:val="22246DB1"/>
    <w:rsid w:val="22440067"/>
    <w:rsid w:val="225A6017"/>
    <w:rsid w:val="22631AF5"/>
    <w:rsid w:val="227A5532"/>
    <w:rsid w:val="22843A03"/>
    <w:rsid w:val="228E5C2C"/>
    <w:rsid w:val="22A338AB"/>
    <w:rsid w:val="22AD37A2"/>
    <w:rsid w:val="22B31E8A"/>
    <w:rsid w:val="22C05285"/>
    <w:rsid w:val="22C735BD"/>
    <w:rsid w:val="22CA1B74"/>
    <w:rsid w:val="22CF0F38"/>
    <w:rsid w:val="22D729A8"/>
    <w:rsid w:val="22F06957"/>
    <w:rsid w:val="2302130E"/>
    <w:rsid w:val="23057681"/>
    <w:rsid w:val="23122833"/>
    <w:rsid w:val="231D4917"/>
    <w:rsid w:val="23223458"/>
    <w:rsid w:val="23225D32"/>
    <w:rsid w:val="23357BE6"/>
    <w:rsid w:val="2342574E"/>
    <w:rsid w:val="234779E1"/>
    <w:rsid w:val="2355143D"/>
    <w:rsid w:val="236D1BFA"/>
    <w:rsid w:val="236D331D"/>
    <w:rsid w:val="2377331D"/>
    <w:rsid w:val="237D43DE"/>
    <w:rsid w:val="23940114"/>
    <w:rsid w:val="239A1546"/>
    <w:rsid w:val="23B57016"/>
    <w:rsid w:val="23C4797E"/>
    <w:rsid w:val="23CD5478"/>
    <w:rsid w:val="23D4764B"/>
    <w:rsid w:val="23E40A13"/>
    <w:rsid w:val="23EC3718"/>
    <w:rsid w:val="23EE304F"/>
    <w:rsid w:val="23FD7010"/>
    <w:rsid w:val="240243FC"/>
    <w:rsid w:val="24044EF2"/>
    <w:rsid w:val="2407139D"/>
    <w:rsid w:val="240B04F4"/>
    <w:rsid w:val="240E369A"/>
    <w:rsid w:val="241E2177"/>
    <w:rsid w:val="242A0646"/>
    <w:rsid w:val="242A0B1C"/>
    <w:rsid w:val="2435301D"/>
    <w:rsid w:val="243A0633"/>
    <w:rsid w:val="243D6E1A"/>
    <w:rsid w:val="24453D05"/>
    <w:rsid w:val="244A2F6C"/>
    <w:rsid w:val="245C4A4D"/>
    <w:rsid w:val="24607F91"/>
    <w:rsid w:val="246C581B"/>
    <w:rsid w:val="247C52A2"/>
    <w:rsid w:val="24942917"/>
    <w:rsid w:val="24AE34FB"/>
    <w:rsid w:val="24CC106B"/>
    <w:rsid w:val="24D00598"/>
    <w:rsid w:val="24D725E9"/>
    <w:rsid w:val="24EC31CF"/>
    <w:rsid w:val="24F904EE"/>
    <w:rsid w:val="25045F70"/>
    <w:rsid w:val="250474F1"/>
    <w:rsid w:val="25056E93"/>
    <w:rsid w:val="25092EBA"/>
    <w:rsid w:val="250E5D48"/>
    <w:rsid w:val="25241020"/>
    <w:rsid w:val="252A68FA"/>
    <w:rsid w:val="25302410"/>
    <w:rsid w:val="255B6AB3"/>
    <w:rsid w:val="257572C3"/>
    <w:rsid w:val="25790E85"/>
    <w:rsid w:val="25965D3D"/>
    <w:rsid w:val="25972C60"/>
    <w:rsid w:val="25974C6F"/>
    <w:rsid w:val="259D1676"/>
    <w:rsid w:val="25A353EB"/>
    <w:rsid w:val="25B87B65"/>
    <w:rsid w:val="25BA1A2C"/>
    <w:rsid w:val="25CB78C3"/>
    <w:rsid w:val="25D54390"/>
    <w:rsid w:val="25D6438C"/>
    <w:rsid w:val="2608197C"/>
    <w:rsid w:val="261879A7"/>
    <w:rsid w:val="261A071C"/>
    <w:rsid w:val="26306192"/>
    <w:rsid w:val="26395046"/>
    <w:rsid w:val="264B0BA4"/>
    <w:rsid w:val="264F4111"/>
    <w:rsid w:val="265E09AF"/>
    <w:rsid w:val="265E0AEC"/>
    <w:rsid w:val="2661459D"/>
    <w:rsid w:val="268C5256"/>
    <w:rsid w:val="268E455B"/>
    <w:rsid w:val="26912B30"/>
    <w:rsid w:val="26970932"/>
    <w:rsid w:val="269772F0"/>
    <w:rsid w:val="26997893"/>
    <w:rsid w:val="26A30712"/>
    <w:rsid w:val="26A5448A"/>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02CF5"/>
    <w:rsid w:val="27517A93"/>
    <w:rsid w:val="27565784"/>
    <w:rsid w:val="275E53AF"/>
    <w:rsid w:val="27606603"/>
    <w:rsid w:val="276658E8"/>
    <w:rsid w:val="27677991"/>
    <w:rsid w:val="276F6846"/>
    <w:rsid w:val="277E2C99"/>
    <w:rsid w:val="277E30D2"/>
    <w:rsid w:val="27803F2A"/>
    <w:rsid w:val="278A18D2"/>
    <w:rsid w:val="27983FEE"/>
    <w:rsid w:val="27A04D10"/>
    <w:rsid w:val="27A34941"/>
    <w:rsid w:val="27A97FAA"/>
    <w:rsid w:val="27AA5AD0"/>
    <w:rsid w:val="27D33279"/>
    <w:rsid w:val="27EE3A7B"/>
    <w:rsid w:val="27FA25B3"/>
    <w:rsid w:val="28033B5E"/>
    <w:rsid w:val="280671AA"/>
    <w:rsid w:val="28100029"/>
    <w:rsid w:val="282B09BF"/>
    <w:rsid w:val="282E4F00"/>
    <w:rsid w:val="283C23DF"/>
    <w:rsid w:val="283D69F1"/>
    <w:rsid w:val="283F090E"/>
    <w:rsid w:val="28406CE6"/>
    <w:rsid w:val="284C16F5"/>
    <w:rsid w:val="28570AB5"/>
    <w:rsid w:val="28577A06"/>
    <w:rsid w:val="285F2CDC"/>
    <w:rsid w:val="28622C36"/>
    <w:rsid w:val="2869172C"/>
    <w:rsid w:val="28730611"/>
    <w:rsid w:val="288C2D07"/>
    <w:rsid w:val="28942A08"/>
    <w:rsid w:val="289E7E22"/>
    <w:rsid w:val="28AA49EB"/>
    <w:rsid w:val="28C2534B"/>
    <w:rsid w:val="28C5525A"/>
    <w:rsid w:val="28D14B96"/>
    <w:rsid w:val="29020C46"/>
    <w:rsid w:val="290240C7"/>
    <w:rsid w:val="291713AF"/>
    <w:rsid w:val="291A2B97"/>
    <w:rsid w:val="29274EE0"/>
    <w:rsid w:val="29373393"/>
    <w:rsid w:val="2944687F"/>
    <w:rsid w:val="294F692F"/>
    <w:rsid w:val="295029E3"/>
    <w:rsid w:val="29543A59"/>
    <w:rsid w:val="29591FCF"/>
    <w:rsid w:val="29670ED3"/>
    <w:rsid w:val="2969197F"/>
    <w:rsid w:val="29746E87"/>
    <w:rsid w:val="29785E86"/>
    <w:rsid w:val="297939AC"/>
    <w:rsid w:val="297C03C2"/>
    <w:rsid w:val="299573AB"/>
    <w:rsid w:val="29B05804"/>
    <w:rsid w:val="29BD1AEA"/>
    <w:rsid w:val="29BE5BD0"/>
    <w:rsid w:val="29C01572"/>
    <w:rsid w:val="29C25353"/>
    <w:rsid w:val="29CA4207"/>
    <w:rsid w:val="29D82DC8"/>
    <w:rsid w:val="29DA08EE"/>
    <w:rsid w:val="29DB6414"/>
    <w:rsid w:val="29E74CE2"/>
    <w:rsid w:val="29FF4910"/>
    <w:rsid w:val="2A133E00"/>
    <w:rsid w:val="2A241B69"/>
    <w:rsid w:val="2A306A36"/>
    <w:rsid w:val="2A457300"/>
    <w:rsid w:val="2A5372C6"/>
    <w:rsid w:val="2A554419"/>
    <w:rsid w:val="2A5A558B"/>
    <w:rsid w:val="2A5B03D8"/>
    <w:rsid w:val="2A6F6D07"/>
    <w:rsid w:val="2A852253"/>
    <w:rsid w:val="2A882500"/>
    <w:rsid w:val="2AA35184"/>
    <w:rsid w:val="2AAB4E76"/>
    <w:rsid w:val="2AB63ABC"/>
    <w:rsid w:val="2AB63D0A"/>
    <w:rsid w:val="2AC31382"/>
    <w:rsid w:val="2AC46EA9"/>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51E0C"/>
    <w:rsid w:val="2C3F3A41"/>
    <w:rsid w:val="2C4431C4"/>
    <w:rsid w:val="2C5524AE"/>
    <w:rsid w:val="2C55747C"/>
    <w:rsid w:val="2C62059F"/>
    <w:rsid w:val="2C6634FA"/>
    <w:rsid w:val="2C7566AC"/>
    <w:rsid w:val="2C7843EE"/>
    <w:rsid w:val="2CA25191"/>
    <w:rsid w:val="2CAC022C"/>
    <w:rsid w:val="2CC11807"/>
    <w:rsid w:val="2CC66CD6"/>
    <w:rsid w:val="2CE327BC"/>
    <w:rsid w:val="2CF16074"/>
    <w:rsid w:val="2CF81D1B"/>
    <w:rsid w:val="2D3F2453"/>
    <w:rsid w:val="2D517119"/>
    <w:rsid w:val="2D6F134E"/>
    <w:rsid w:val="2D835174"/>
    <w:rsid w:val="2D8A5E93"/>
    <w:rsid w:val="2D9331F9"/>
    <w:rsid w:val="2D99461C"/>
    <w:rsid w:val="2DB33930"/>
    <w:rsid w:val="2DD90B7B"/>
    <w:rsid w:val="2DD92C6B"/>
    <w:rsid w:val="2DDD3FC1"/>
    <w:rsid w:val="2DE25FC3"/>
    <w:rsid w:val="2DE531B8"/>
    <w:rsid w:val="2DEA131C"/>
    <w:rsid w:val="2DF701D8"/>
    <w:rsid w:val="2DF970A1"/>
    <w:rsid w:val="2E0028ED"/>
    <w:rsid w:val="2E0665A9"/>
    <w:rsid w:val="2E085834"/>
    <w:rsid w:val="2E1034F8"/>
    <w:rsid w:val="2E112405"/>
    <w:rsid w:val="2E120D8E"/>
    <w:rsid w:val="2E2D04FB"/>
    <w:rsid w:val="2E310CF9"/>
    <w:rsid w:val="2E443652"/>
    <w:rsid w:val="2E505773"/>
    <w:rsid w:val="2E5C0A3D"/>
    <w:rsid w:val="2E742F70"/>
    <w:rsid w:val="2E782484"/>
    <w:rsid w:val="2E884DBD"/>
    <w:rsid w:val="2E8C3288"/>
    <w:rsid w:val="2E9077CD"/>
    <w:rsid w:val="2E9574DA"/>
    <w:rsid w:val="2E9A689E"/>
    <w:rsid w:val="2ED61D9E"/>
    <w:rsid w:val="2EDC2A13"/>
    <w:rsid w:val="2EF7551C"/>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54C15"/>
    <w:rsid w:val="2F7F15AE"/>
    <w:rsid w:val="2F8C52E7"/>
    <w:rsid w:val="2F912594"/>
    <w:rsid w:val="2FA54796"/>
    <w:rsid w:val="2FA674E2"/>
    <w:rsid w:val="2FC963B2"/>
    <w:rsid w:val="2FD7142C"/>
    <w:rsid w:val="2FE40F7A"/>
    <w:rsid w:val="2FE51D9B"/>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0B352A"/>
    <w:rsid w:val="32176602"/>
    <w:rsid w:val="322A7699"/>
    <w:rsid w:val="322B25C6"/>
    <w:rsid w:val="323668DE"/>
    <w:rsid w:val="32422E70"/>
    <w:rsid w:val="325E56C6"/>
    <w:rsid w:val="3275698A"/>
    <w:rsid w:val="327C0679"/>
    <w:rsid w:val="32851613"/>
    <w:rsid w:val="32870EE7"/>
    <w:rsid w:val="32943B86"/>
    <w:rsid w:val="32A93829"/>
    <w:rsid w:val="32B943EC"/>
    <w:rsid w:val="32B9519B"/>
    <w:rsid w:val="32BD2B5B"/>
    <w:rsid w:val="32DC63A0"/>
    <w:rsid w:val="32E429C1"/>
    <w:rsid w:val="330503EE"/>
    <w:rsid w:val="33274478"/>
    <w:rsid w:val="333430D6"/>
    <w:rsid w:val="334045BE"/>
    <w:rsid w:val="334A3B2A"/>
    <w:rsid w:val="334D0383"/>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20388"/>
    <w:rsid w:val="34A35871"/>
    <w:rsid w:val="34B275D3"/>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9C73A0"/>
    <w:rsid w:val="35A815CB"/>
    <w:rsid w:val="35A85BD0"/>
    <w:rsid w:val="35AA1B9C"/>
    <w:rsid w:val="35D501BC"/>
    <w:rsid w:val="35DB09A6"/>
    <w:rsid w:val="36080591"/>
    <w:rsid w:val="3609472F"/>
    <w:rsid w:val="3619454C"/>
    <w:rsid w:val="36203B2D"/>
    <w:rsid w:val="363E0457"/>
    <w:rsid w:val="365B4B65"/>
    <w:rsid w:val="36905E7A"/>
    <w:rsid w:val="369B4CF0"/>
    <w:rsid w:val="369E2CA4"/>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218F5"/>
    <w:rsid w:val="3836588A"/>
    <w:rsid w:val="38382675"/>
    <w:rsid w:val="383B7B0D"/>
    <w:rsid w:val="38455ACD"/>
    <w:rsid w:val="3848553B"/>
    <w:rsid w:val="3851700B"/>
    <w:rsid w:val="385246B6"/>
    <w:rsid w:val="385E6B8E"/>
    <w:rsid w:val="38613F89"/>
    <w:rsid w:val="3876113B"/>
    <w:rsid w:val="388B31F3"/>
    <w:rsid w:val="388C54AA"/>
    <w:rsid w:val="38912AC0"/>
    <w:rsid w:val="38961E84"/>
    <w:rsid w:val="38993E43"/>
    <w:rsid w:val="38A53DB7"/>
    <w:rsid w:val="38BF3388"/>
    <w:rsid w:val="38CC268D"/>
    <w:rsid w:val="38D330D8"/>
    <w:rsid w:val="38D34E86"/>
    <w:rsid w:val="38D46E50"/>
    <w:rsid w:val="38DF1FDA"/>
    <w:rsid w:val="38EC2960"/>
    <w:rsid w:val="390069DD"/>
    <w:rsid w:val="39030CF9"/>
    <w:rsid w:val="39091F35"/>
    <w:rsid w:val="392536E2"/>
    <w:rsid w:val="393A4F06"/>
    <w:rsid w:val="39465F15"/>
    <w:rsid w:val="39505209"/>
    <w:rsid w:val="396453C5"/>
    <w:rsid w:val="396F4593"/>
    <w:rsid w:val="39922CCF"/>
    <w:rsid w:val="39A24859"/>
    <w:rsid w:val="39A65327"/>
    <w:rsid w:val="39A65C9B"/>
    <w:rsid w:val="39B051C8"/>
    <w:rsid w:val="39BC5ED6"/>
    <w:rsid w:val="39D27231"/>
    <w:rsid w:val="39D64B43"/>
    <w:rsid w:val="39E82BB3"/>
    <w:rsid w:val="39EB39E0"/>
    <w:rsid w:val="39ED1F78"/>
    <w:rsid w:val="39EE7A9E"/>
    <w:rsid w:val="39EF02D4"/>
    <w:rsid w:val="39F224A6"/>
    <w:rsid w:val="3A073149"/>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177780"/>
    <w:rsid w:val="3C495480"/>
    <w:rsid w:val="3C4C3A42"/>
    <w:rsid w:val="3C557EA4"/>
    <w:rsid w:val="3C6F0167"/>
    <w:rsid w:val="3C71667B"/>
    <w:rsid w:val="3C7A386B"/>
    <w:rsid w:val="3C7C75E3"/>
    <w:rsid w:val="3C914F3B"/>
    <w:rsid w:val="3CC17F13"/>
    <w:rsid w:val="3CD15B81"/>
    <w:rsid w:val="3CD50B40"/>
    <w:rsid w:val="3CE320A3"/>
    <w:rsid w:val="3CE8111C"/>
    <w:rsid w:val="3CE9196C"/>
    <w:rsid w:val="3CF15105"/>
    <w:rsid w:val="3D0C04B9"/>
    <w:rsid w:val="3D127F47"/>
    <w:rsid w:val="3D1414C5"/>
    <w:rsid w:val="3D1C763E"/>
    <w:rsid w:val="3D201AA5"/>
    <w:rsid w:val="3D2B37EA"/>
    <w:rsid w:val="3D2F7FF3"/>
    <w:rsid w:val="3D3B56F0"/>
    <w:rsid w:val="3D3D1507"/>
    <w:rsid w:val="3D62085B"/>
    <w:rsid w:val="3D6B12FD"/>
    <w:rsid w:val="3D7B4622"/>
    <w:rsid w:val="3D8E5820"/>
    <w:rsid w:val="3D931088"/>
    <w:rsid w:val="3D942E29"/>
    <w:rsid w:val="3D9D3CB5"/>
    <w:rsid w:val="3DA53531"/>
    <w:rsid w:val="3DB54E0C"/>
    <w:rsid w:val="3DB900C1"/>
    <w:rsid w:val="3DE51866"/>
    <w:rsid w:val="3DE91725"/>
    <w:rsid w:val="3DED068D"/>
    <w:rsid w:val="3DF159B1"/>
    <w:rsid w:val="3E135D25"/>
    <w:rsid w:val="3E183A6C"/>
    <w:rsid w:val="3E1A106E"/>
    <w:rsid w:val="3E36303B"/>
    <w:rsid w:val="3E5221DB"/>
    <w:rsid w:val="3E526044"/>
    <w:rsid w:val="3E5C591E"/>
    <w:rsid w:val="3E66054B"/>
    <w:rsid w:val="3E6C2B3A"/>
    <w:rsid w:val="3E8C5311"/>
    <w:rsid w:val="3E8E7E55"/>
    <w:rsid w:val="3EB61473"/>
    <w:rsid w:val="3EC66011"/>
    <w:rsid w:val="3ED25BE0"/>
    <w:rsid w:val="3ED75B7F"/>
    <w:rsid w:val="3EF9316D"/>
    <w:rsid w:val="3F315E6B"/>
    <w:rsid w:val="3F5175E2"/>
    <w:rsid w:val="3F56276A"/>
    <w:rsid w:val="3F6C10E0"/>
    <w:rsid w:val="3F7D5B4C"/>
    <w:rsid w:val="3F963015"/>
    <w:rsid w:val="3F964D35"/>
    <w:rsid w:val="3F977488"/>
    <w:rsid w:val="3FA327ED"/>
    <w:rsid w:val="3FB11738"/>
    <w:rsid w:val="3FB5581B"/>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A55A19"/>
    <w:rsid w:val="40C6655A"/>
    <w:rsid w:val="40DC68A2"/>
    <w:rsid w:val="40E90FBF"/>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25710"/>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E7A42"/>
    <w:rsid w:val="436C42E1"/>
    <w:rsid w:val="437102E7"/>
    <w:rsid w:val="437C210F"/>
    <w:rsid w:val="43847F02"/>
    <w:rsid w:val="438F113C"/>
    <w:rsid w:val="439E7EFB"/>
    <w:rsid w:val="43B1568A"/>
    <w:rsid w:val="43B64E08"/>
    <w:rsid w:val="43BD7F58"/>
    <w:rsid w:val="43D43ECA"/>
    <w:rsid w:val="43D67F21"/>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84B34"/>
    <w:rsid w:val="447C21F4"/>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22F85"/>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9F0A9E"/>
    <w:rsid w:val="46BA1434"/>
    <w:rsid w:val="46BF7E28"/>
    <w:rsid w:val="46C3037C"/>
    <w:rsid w:val="46DC584E"/>
    <w:rsid w:val="46EF26BD"/>
    <w:rsid w:val="46FA5CD4"/>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210A1"/>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AE7DAD"/>
    <w:rsid w:val="48BC6222"/>
    <w:rsid w:val="48C245E9"/>
    <w:rsid w:val="48DB312A"/>
    <w:rsid w:val="48DF49D9"/>
    <w:rsid w:val="492108CC"/>
    <w:rsid w:val="49413F52"/>
    <w:rsid w:val="4949131B"/>
    <w:rsid w:val="494F6304"/>
    <w:rsid w:val="49792B95"/>
    <w:rsid w:val="497955D6"/>
    <w:rsid w:val="49AC0BAE"/>
    <w:rsid w:val="49F11610"/>
    <w:rsid w:val="49FB423D"/>
    <w:rsid w:val="4A05334F"/>
    <w:rsid w:val="4A060864"/>
    <w:rsid w:val="4A1A3C81"/>
    <w:rsid w:val="4A244932"/>
    <w:rsid w:val="4A2922C8"/>
    <w:rsid w:val="4A372E7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86B8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2C6407"/>
    <w:rsid w:val="4C3E2B07"/>
    <w:rsid w:val="4C423098"/>
    <w:rsid w:val="4C694192"/>
    <w:rsid w:val="4C6D0CF6"/>
    <w:rsid w:val="4C7964D9"/>
    <w:rsid w:val="4C8C5620"/>
    <w:rsid w:val="4C9269F6"/>
    <w:rsid w:val="4CB75F07"/>
    <w:rsid w:val="4CC84335"/>
    <w:rsid w:val="4CD22B0F"/>
    <w:rsid w:val="4CD600AA"/>
    <w:rsid w:val="4CDA3E72"/>
    <w:rsid w:val="4CE4545C"/>
    <w:rsid w:val="4CE9350A"/>
    <w:rsid w:val="4D014937"/>
    <w:rsid w:val="4D1E2466"/>
    <w:rsid w:val="4D225F85"/>
    <w:rsid w:val="4D297BF3"/>
    <w:rsid w:val="4D2D0EAF"/>
    <w:rsid w:val="4D795A49"/>
    <w:rsid w:val="4D7F0082"/>
    <w:rsid w:val="4D7F3CDB"/>
    <w:rsid w:val="4D866514"/>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0EF3"/>
    <w:rsid w:val="4E0A3427"/>
    <w:rsid w:val="4E2423AC"/>
    <w:rsid w:val="4E261AA5"/>
    <w:rsid w:val="4E287F63"/>
    <w:rsid w:val="4E304B5D"/>
    <w:rsid w:val="4E3F66C2"/>
    <w:rsid w:val="4E611B8B"/>
    <w:rsid w:val="4E6279D7"/>
    <w:rsid w:val="4E682F8C"/>
    <w:rsid w:val="4E6A7BB7"/>
    <w:rsid w:val="4E6C5D89"/>
    <w:rsid w:val="4E7520E4"/>
    <w:rsid w:val="4E7B76FB"/>
    <w:rsid w:val="4E9133C2"/>
    <w:rsid w:val="4EA07161"/>
    <w:rsid w:val="4EB23220"/>
    <w:rsid w:val="4EE661F8"/>
    <w:rsid w:val="4EF27A04"/>
    <w:rsid w:val="4F0773B4"/>
    <w:rsid w:val="4F0C0C9A"/>
    <w:rsid w:val="4F241019"/>
    <w:rsid w:val="4F274C6E"/>
    <w:rsid w:val="4F307BB1"/>
    <w:rsid w:val="4F334479"/>
    <w:rsid w:val="4F336227"/>
    <w:rsid w:val="4F3C3EF2"/>
    <w:rsid w:val="4F3D562D"/>
    <w:rsid w:val="4F5C4EE0"/>
    <w:rsid w:val="4F681AF1"/>
    <w:rsid w:val="4F6E1972"/>
    <w:rsid w:val="4F943166"/>
    <w:rsid w:val="4F9C19A5"/>
    <w:rsid w:val="4FB31116"/>
    <w:rsid w:val="4FBA02A1"/>
    <w:rsid w:val="4FE7106E"/>
    <w:rsid w:val="4FED287A"/>
    <w:rsid w:val="4FF82FCD"/>
    <w:rsid w:val="50053943"/>
    <w:rsid w:val="50260569"/>
    <w:rsid w:val="502D7AAA"/>
    <w:rsid w:val="50324731"/>
    <w:rsid w:val="50374A3C"/>
    <w:rsid w:val="50487AB0"/>
    <w:rsid w:val="50550E55"/>
    <w:rsid w:val="50722D7F"/>
    <w:rsid w:val="50901457"/>
    <w:rsid w:val="509F43E4"/>
    <w:rsid w:val="50A15412"/>
    <w:rsid w:val="50A54D3E"/>
    <w:rsid w:val="50B82E88"/>
    <w:rsid w:val="50BB32A7"/>
    <w:rsid w:val="50CC5CB2"/>
    <w:rsid w:val="50ED1473"/>
    <w:rsid w:val="50F1402B"/>
    <w:rsid w:val="50FD2AD9"/>
    <w:rsid w:val="51081E85"/>
    <w:rsid w:val="51097D9A"/>
    <w:rsid w:val="511A650F"/>
    <w:rsid w:val="51237D2E"/>
    <w:rsid w:val="514229EF"/>
    <w:rsid w:val="5151508A"/>
    <w:rsid w:val="515B06D0"/>
    <w:rsid w:val="51764AF1"/>
    <w:rsid w:val="51996737"/>
    <w:rsid w:val="51B408B8"/>
    <w:rsid w:val="51B80848"/>
    <w:rsid w:val="51CC0868"/>
    <w:rsid w:val="51D5340F"/>
    <w:rsid w:val="51E47CAD"/>
    <w:rsid w:val="51E52FA6"/>
    <w:rsid w:val="52287B99"/>
    <w:rsid w:val="52382F2A"/>
    <w:rsid w:val="52386E3D"/>
    <w:rsid w:val="523A7DD1"/>
    <w:rsid w:val="523B7711"/>
    <w:rsid w:val="5271774C"/>
    <w:rsid w:val="527A416D"/>
    <w:rsid w:val="528D5323"/>
    <w:rsid w:val="528D7B65"/>
    <w:rsid w:val="52A773F4"/>
    <w:rsid w:val="52AA11D3"/>
    <w:rsid w:val="52AD5A63"/>
    <w:rsid w:val="52B61649"/>
    <w:rsid w:val="52DE008D"/>
    <w:rsid w:val="52EE341E"/>
    <w:rsid w:val="52F37FE6"/>
    <w:rsid w:val="52FC1CAF"/>
    <w:rsid w:val="52FE08FA"/>
    <w:rsid w:val="52FF22FE"/>
    <w:rsid w:val="53004672"/>
    <w:rsid w:val="530B071F"/>
    <w:rsid w:val="531A330F"/>
    <w:rsid w:val="532B6CAF"/>
    <w:rsid w:val="53350D91"/>
    <w:rsid w:val="53412644"/>
    <w:rsid w:val="53433903"/>
    <w:rsid w:val="534452E8"/>
    <w:rsid w:val="53517A72"/>
    <w:rsid w:val="5361549D"/>
    <w:rsid w:val="536220DA"/>
    <w:rsid w:val="53650637"/>
    <w:rsid w:val="53695634"/>
    <w:rsid w:val="536A5F90"/>
    <w:rsid w:val="537155BE"/>
    <w:rsid w:val="53757C6B"/>
    <w:rsid w:val="537E1075"/>
    <w:rsid w:val="53890B0C"/>
    <w:rsid w:val="539A4AC7"/>
    <w:rsid w:val="53A44D07"/>
    <w:rsid w:val="53A46AC8"/>
    <w:rsid w:val="53AB7F1F"/>
    <w:rsid w:val="53AC6F7B"/>
    <w:rsid w:val="53C01F4F"/>
    <w:rsid w:val="53E915AA"/>
    <w:rsid w:val="53EB297B"/>
    <w:rsid w:val="53EC4BF7"/>
    <w:rsid w:val="53F671DE"/>
    <w:rsid w:val="53F758A1"/>
    <w:rsid w:val="540D5A7F"/>
    <w:rsid w:val="540E4694"/>
    <w:rsid w:val="542E2BC2"/>
    <w:rsid w:val="54352A96"/>
    <w:rsid w:val="54447390"/>
    <w:rsid w:val="544B514D"/>
    <w:rsid w:val="544B7B6F"/>
    <w:rsid w:val="545E1D01"/>
    <w:rsid w:val="54674051"/>
    <w:rsid w:val="5472334E"/>
    <w:rsid w:val="54935B8F"/>
    <w:rsid w:val="549D3677"/>
    <w:rsid w:val="54A11E85"/>
    <w:rsid w:val="54B03E76"/>
    <w:rsid w:val="54BF230B"/>
    <w:rsid w:val="54C16083"/>
    <w:rsid w:val="54CC6227"/>
    <w:rsid w:val="54D10F9B"/>
    <w:rsid w:val="54D97871"/>
    <w:rsid w:val="54DC2EBD"/>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20379"/>
    <w:rsid w:val="56B679AB"/>
    <w:rsid w:val="56B80DEB"/>
    <w:rsid w:val="56E0560F"/>
    <w:rsid w:val="56E06E61"/>
    <w:rsid w:val="56E542AB"/>
    <w:rsid w:val="56EA7B13"/>
    <w:rsid w:val="56EF3C74"/>
    <w:rsid w:val="56F653FE"/>
    <w:rsid w:val="57007337"/>
    <w:rsid w:val="574448FC"/>
    <w:rsid w:val="57561D39"/>
    <w:rsid w:val="575B7AFD"/>
    <w:rsid w:val="57660D3F"/>
    <w:rsid w:val="5785783C"/>
    <w:rsid w:val="578F06BB"/>
    <w:rsid w:val="57A469A0"/>
    <w:rsid w:val="57CC4BC2"/>
    <w:rsid w:val="57D10760"/>
    <w:rsid w:val="57D1153D"/>
    <w:rsid w:val="57D77297"/>
    <w:rsid w:val="57EE6A93"/>
    <w:rsid w:val="57FA3774"/>
    <w:rsid w:val="58084A3C"/>
    <w:rsid w:val="580B1C27"/>
    <w:rsid w:val="581F1A3E"/>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EC7E11"/>
    <w:rsid w:val="58F24A5D"/>
    <w:rsid w:val="58F71269"/>
    <w:rsid w:val="58FE045E"/>
    <w:rsid w:val="58FE78A6"/>
    <w:rsid w:val="59014CEF"/>
    <w:rsid w:val="59017396"/>
    <w:rsid w:val="590824D3"/>
    <w:rsid w:val="593432C8"/>
    <w:rsid w:val="59442D7E"/>
    <w:rsid w:val="59561946"/>
    <w:rsid w:val="59611BE3"/>
    <w:rsid w:val="59670F51"/>
    <w:rsid w:val="596A44F9"/>
    <w:rsid w:val="596C19BB"/>
    <w:rsid w:val="59790BDB"/>
    <w:rsid w:val="597B2CA5"/>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1124D"/>
    <w:rsid w:val="5A476FBE"/>
    <w:rsid w:val="5A484352"/>
    <w:rsid w:val="5A5321A5"/>
    <w:rsid w:val="5A6E2809"/>
    <w:rsid w:val="5A736072"/>
    <w:rsid w:val="5A783688"/>
    <w:rsid w:val="5A7F688E"/>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0D13"/>
    <w:rsid w:val="5B6D62B9"/>
    <w:rsid w:val="5B746CFA"/>
    <w:rsid w:val="5B9A2B59"/>
    <w:rsid w:val="5BA652E6"/>
    <w:rsid w:val="5BC0085A"/>
    <w:rsid w:val="5BE03293"/>
    <w:rsid w:val="5BE07737"/>
    <w:rsid w:val="5BF03D58"/>
    <w:rsid w:val="5BF20AFB"/>
    <w:rsid w:val="5C1A6BB2"/>
    <w:rsid w:val="5C306D31"/>
    <w:rsid w:val="5C37233A"/>
    <w:rsid w:val="5C3B56EB"/>
    <w:rsid w:val="5C533A65"/>
    <w:rsid w:val="5C5355FE"/>
    <w:rsid w:val="5C5A49A5"/>
    <w:rsid w:val="5C6519EA"/>
    <w:rsid w:val="5C6715FE"/>
    <w:rsid w:val="5C6F4105"/>
    <w:rsid w:val="5C961BA3"/>
    <w:rsid w:val="5CBB7F6F"/>
    <w:rsid w:val="5CC248CE"/>
    <w:rsid w:val="5CC42BB4"/>
    <w:rsid w:val="5CC826A5"/>
    <w:rsid w:val="5CDA0AE5"/>
    <w:rsid w:val="5CF1327E"/>
    <w:rsid w:val="5D042FB1"/>
    <w:rsid w:val="5D1C479E"/>
    <w:rsid w:val="5D442CB4"/>
    <w:rsid w:val="5D63417B"/>
    <w:rsid w:val="5D7C3F11"/>
    <w:rsid w:val="5D971C5A"/>
    <w:rsid w:val="5D9D49E0"/>
    <w:rsid w:val="5DA01E9E"/>
    <w:rsid w:val="5DAD3649"/>
    <w:rsid w:val="5DC310BE"/>
    <w:rsid w:val="5DC32E6C"/>
    <w:rsid w:val="5DDF1821"/>
    <w:rsid w:val="5DE2656A"/>
    <w:rsid w:val="5DEA2F91"/>
    <w:rsid w:val="5DF94AE0"/>
    <w:rsid w:val="5DFA5883"/>
    <w:rsid w:val="5DFC012C"/>
    <w:rsid w:val="5E224037"/>
    <w:rsid w:val="5E272270"/>
    <w:rsid w:val="5E3146A3"/>
    <w:rsid w:val="5E442F62"/>
    <w:rsid w:val="5E6C2C5B"/>
    <w:rsid w:val="5E6E2DD8"/>
    <w:rsid w:val="5E7251A2"/>
    <w:rsid w:val="5E7C3591"/>
    <w:rsid w:val="5E8B00D8"/>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5E1ACC"/>
    <w:rsid w:val="5F6368E9"/>
    <w:rsid w:val="5F653C4D"/>
    <w:rsid w:val="5F7811D3"/>
    <w:rsid w:val="5F9A65E6"/>
    <w:rsid w:val="5F9B2627"/>
    <w:rsid w:val="5FA66B60"/>
    <w:rsid w:val="5FAC7B1F"/>
    <w:rsid w:val="5FB5266F"/>
    <w:rsid w:val="5FB80E3D"/>
    <w:rsid w:val="5FB831B4"/>
    <w:rsid w:val="5FC937C5"/>
    <w:rsid w:val="5FD40999"/>
    <w:rsid w:val="5FD924D3"/>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877AE"/>
    <w:rsid w:val="60FF21D9"/>
    <w:rsid w:val="6109328C"/>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A5025"/>
    <w:rsid w:val="621C0D9D"/>
    <w:rsid w:val="622F7552"/>
    <w:rsid w:val="6250406E"/>
    <w:rsid w:val="6267666C"/>
    <w:rsid w:val="627712B4"/>
    <w:rsid w:val="627D6831"/>
    <w:rsid w:val="62811B1C"/>
    <w:rsid w:val="62A20409"/>
    <w:rsid w:val="62AC0373"/>
    <w:rsid w:val="62B54B44"/>
    <w:rsid w:val="62BB3278"/>
    <w:rsid w:val="62E045DA"/>
    <w:rsid w:val="62E454A1"/>
    <w:rsid w:val="62E55633"/>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9425A0"/>
    <w:rsid w:val="64A170D2"/>
    <w:rsid w:val="64A251DD"/>
    <w:rsid w:val="64BC182A"/>
    <w:rsid w:val="64C23E7D"/>
    <w:rsid w:val="650242F0"/>
    <w:rsid w:val="65365B2B"/>
    <w:rsid w:val="653F447E"/>
    <w:rsid w:val="65426D6C"/>
    <w:rsid w:val="65542778"/>
    <w:rsid w:val="655829AF"/>
    <w:rsid w:val="656B70C3"/>
    <w:rsid w:val="657038D9"/>
    <w:rsid w:val="65711400"/>
    <w:rsid w:val="657333CA"/>
    <w:rsid w:val="658F4798"/>
    <w:rsid w:val="659B1EBA"/>
    <w:rsid w:val="65A11CE5"/>
    <w:rsid w:val="65A83379"/>
    <w:rsid w:val="65B461E9"/>
    <w:rsid w:val="65BE39A8"/>
    <w:rsid w:val="65C23A09"/>
    <w:rsid w:val="65FB3FBE"/>
    <w:rsid w:val="66101A71"/>
    <w:rsid w:val="66171FA7"/>
    <w:rsid w:val="66247D11"/>
    <w:rsid w:val="663B3EC9"/>
    <w:rsid w:val="665A1E94"/>
    <w:rsid w:val="666D6853"/>
    <w:rsid w:val="66736112"/>
    <w:rsid w:val="667F5B5B"/>
    <w:rsid w:val="6694262A"/>
    <w:rsid w:val="66990381"/>
    <w:rsid w:val="66B31B01"/>
    <w:rsid w:val="66CE1E80"/>
    <w:rsid w:val="66E362F9"/>
    <w:rsid w:val="66E47FD9"/>
    <w:rsid w:val="66E520A5"/>
    <w:rsid w:val="66F04175"/>
    <w:rsid w:val="66F127F8"/>
    <w:rsid w:val="67071922"/>
    <w:rsid w:val="672E57FA"/>
    <w:rsid w:val="6739419F"/>
    <w:rsid w:val="673B73C0"/>
    <w:rsid w:val="674743C8"/>
    <w:rsid w:val="675608B6"/>
    <w:rsid w:val="67754402"/>
    <w:rsid w:val="677D54ED"/>
    <w:rsid w:val="678B726C"/>
    <w:rsid w:val="6791606D"/>
    <w:rsid w:val="67B25E27"/>
    <w:rsid w:val="67B4646D"/>
    <w:rsid w:val="67B464CA"/>
    <w:rsid w:val="67C4383B"/>
    <w:rsid w:val="67D35E1A"/>
    <w:rsid w:val="67D6379C"/>
    <w:rsid w:val="67D839B8"/>
    <w:rsid w:val="67F35317"/>
    <w:rsid w:val="67F73E3E"/>
    <w:rsid w:val="68016A6B"/>
    <w:rsid w:val="680201B7"/>
    <w:rsid w:val="68040309"/>
    <w:rsid w:val="68060525"/>
    <w:rsid w:val="68362BFB"/>
    <w:rsid w:val="683D085A"/>
    <w:rsid w:val="683F1130"/>
    <w:rsid w:val="684456A1"/>
    <w:rsid w:val="68447EF6"/>
    <w:rsid w:val="684C2838"/>
    <w:rsid w:val="685E1363"/>
    <w:rsid w:val="687731D1"/>
    <w:rsid w:val="6878475E"/>
    <w:rsid w:val="688B4E68"/>
    <w:rsid w:val="688E1089"/>
    <w:rsid w:val="68993219"/>
    <w:rsid w:val="689E42BA"/>
    <w:rsid w:val="68A026F3"/>
    <w:rsid w:val="68AF6C13"/>
    <w:rsid w:val="68F25680"/>
    <w:rsid w:val="690031C6"/>
    <w:rsid w:val="69074555"/>
    <w:rsid w:val="690E07C7"/>
    <w:rsid w:val="69140A20"/>
    <w:rsid w:val="69236A65"/>
    <w:rsid w:val="692A3D9F"/>
    <w:rsid w:val="692E469B"/>
    <w:rsid w:val="69315C48"/>
    <w:rsid w:val="694019EC"/>
    <w:rsid w:val="694841AF"/>
    <w:rsid w:val="69584DB4"/>
    <w:rsid w:val="695B5B89"/>
    <w:rsid w:val="6962178B"/>
    <w:rsid w:val="696C3D80"/>
    <w:rsid w:val="696D7E94"/>
    <w:rsid w:val="698A5EE4"/>
    <w:rsid w:val="69BB6FEF"/>
    <w:rsid w:val="69C811ED"/>
    <w:rsid w:val="69D33070"/>
    <w:rsid w:val="69E97E75"/>
    <w:rsid w:val="69FB5D9E"/>
    <w:rsid w:val="69FF6FDA"/>
    <w:rsid w:val="6A09542B"/>
    <w:rsid w:val="6A1A3007"/>
    <w:rsid w:val="6A1E645E"/>
    <w:rsid w:val="6A3C6480"/>
    <w:rsid w:val="6A417049"/>
    <w:rsid w:val="6A576E16"/>
    <w:rsid w:val="6A7903E5"/>
    <w:rsid w:val="6A7F011B"/>
    <w:rsid w:val="6A8219B9"/>
    <w:rsid w:val="6A8641F2"/>
    <w:rsid w:val="6A9701A5"/>
    <w:rsid w:val="6AA03032"/>
    <w:rsid w:val="6AA86FEC"/>
    <w:rsid w:val="6ABA600F"/>
    <w:rsid w:val="6ACB20F7"/>
    <w:rsid w:val="6ADA6AC4"/>
    <w:rsid w:val="6ADB11D6"/>
    <w:rsid w:val="6AF01018"/>
    <w:rsid w:val="6B1A2C3C"/>
    <w:rsid w:val="6B221F4E"/>
    <w:rsid w:val="6B31644D"/>
    <w:rsid w:val="6B486C86"/>
    <w:rsid w:val="6B554C72"/>
    <w:rsid w:val="6B6537B4"/>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E2819"/>
    <w:rsid w:val="6C2076DB"/>
    <w:rsid w:val="6C234DED"/>
    <w:rsid w:val="6C29198B"/>
    <w:rsid w:val="6C3A67D1"/>
    <w:rsid w:val="6C3D2157"/>
    <w:rsid w:val="6C3D2D5C"/>
    <w:rsid w:val="6C4800AA"/>
    <w:rsid w:val="6C4D28F8"/>
    <w:rsid w:val="6C573E9C"/>
    <w:rsid w:val="6C5C23DC"/>
    <w:rsid w:val="6C6D1126"/>
    <w:rsid w:val="6C783074"/>
    <w:rsid w:val="6C7A0201"/>
    <w:rsid w:val="6C986334"/>
    <w:rsid w:val="6CA35B3A"/>
    <w:rsid w:val="6CA41A5D"/>
    <w:rsid w:val="6CA479DF"/>
    <w:rsid w:val="6CAF588C"/>
    <w:rsid w:val="6CB4638E"/>
    <w:rsid w:val="6CBF3C6A"/>
    <w:rsid w:val="6CBF5306"/>
    <w:rsid w:val="6CD209D6"/>
    <w:rsid w:val="6CD3474E"/>
    <w:rsid w:val="6CD7423E"/>
    <w:rsid w:val="6CD930DF"/>
    <w:rsid w:val="6CDC1854"/>
    <w:rsid w:val="6CE508B1"/>
    <w:rsid w:val="6CE70FA1"/>
    <w:rsid w:val="6CF05300"/>
    <w:rsid w:val="6CFA6351"/>
    <w:rsid w:val="6CFC3C40"/>
    <w:rsid w:val="6D2F6F7D"/>
    <w:rsid w:val="6D480984"/>
    <w:rsid w:val="6D8079F9"/>
    <w:rsid w:val="6D981C1F"/>
    <w:rsid w:val="6DB13E57"/>
    <w:rsid w:val="6DC245A2"/>
    <w:rsid w:val="6DC71662"/>
    <w:rsid w:val="6DCD5126"/>
    <w:rsid w:val="6DDB6CB0"/>
    <w:rsid w:val="6DE21877"/>
    <w:rsid w:val="6DE52ACD"/>
    <w:rsid w:val="6DEF55B7"/>
    <w:rsid w:val="6DF36E56"/>
    <w:rsid w:val="6DFC0B44"/>
    <w:rsid w:val="6E0458E7"/>
    <w:rsid w:val="6E13574A"/>
    <w:rsid w:val="6E212037"/>
    <w:rsid w:val="6E263D90"/>
    <w:rsid w:val="6E3B221B"/>
    <w:rsid w:val="6E475779"/>
    <w:rsid w:val="6E51424D"/>
    <w:rsid w:val="6E663C68"/>
    <w:rsid w:val="6E7764EF"/>
    <w:rsid w:val="6E8403F6"/>
    <w:rsid w:val="6EAD447C"/>
    <w:rsid w:val="6EAE5472"/>
    <w:rsid w:val="6EBC069A"/>
    <w:rsid w:val="6ECD7F59"/>
    <w:rsid w:val="6ECF449B"/>
    <w:rsid w:val="6ED975CA"/>
    <w:rsid w:val="6EDE50D1"/>
    <w:rsid w:val="6EED7C80"/>
    <w:rsid w:val="6EF03395"/>
    <w:rsid w:val="6EF773A4"/>
    <w:rsid w:val="6EFA4214"/>
    <w:rsid w:val="6F174DC6"/>
    <w:rsid w:val="6F1E2E65"/>
    <w:rsid w:val="6F2F2D9E"/>
    <w:rsid w:val="6F4147D9"/>
    <w:rsid w:val="6F581F47"/>
    <w:rsid w:val="6F5B0D5A"/>
    <w:rsid w:val="6F5C35EA"/>
    <w:rsid w:val="6F63625D"/>
    <w:rsid w:val="6F6B6A15"/>
    <w:rsid w:val="6F947E4B"/>
    <w:rsid w:val="6FA30BDA"/>
    <w:rsid w:val="6FB21D4C"/>
    <w:rsid w:val="6FB80698"/>
    <w:rsid w:val="6FE32EFA"/>
    <w:rsid w:val="6FFD5E0F"/>
    <w:rsid w:val="701021F4"/>
    <w:rsid w:val="701C29A6"/>
    <w:rsid w:val="7024611F"/>
    <w:rsid w:val="7038498C"/>
    <w:rsid w:val="704C4397"/>
    <w:rsid w:val="70637B96"/>
    <w:rsid w:val="70716936"/>
    <w:rsid w:val="70797317"/>
    <w:rsid w:val="707E201F"/>
    <w:rsid w:val="709025ED"/>
    <w:rsid w:val="7099044B"/>
    <w:rsid w:val="709A06E1"/>
    <w:rsid w:val="709D518F"/>
    <w:rsid w:val="70B33EBC"/>
    <w:rsid w:val="70B76860"/>
    <w:rsid w:val="70C759D3"/>
    <w:rsid w:val="70C920F0"/>
    <w:rsid w:val="70CB40BA"/>
    <w:rsid w:val="70CD7E32"/>
    <w:rsid w:val="70CF2B23"/>
    <w:rsid w:val="70D70CB1"/>
    <w:rsid w:val="70D80585"/>
    <w:rsid w:val="70EE7F7C"/>
    <w:rsid w:val="70FA674D"/>
    <w:rsid w:val="710952C1"/>
    <w:rsid w:val="713954C7"/>
    <w:rsid w:val="713C6D66"/>
    <w:rsid w:val="713F70AB"/>
    <w:rsid w:val="71452CD8"/>
    <w:rsid w:val="714F4CEB"/>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2717C4"/>
    <w:rsid w:val="72310D1A"/>
    <w:rsid w:val="725620A9"/>
    <w:rsid w:val="725D6B54"/>
    <w:rsid w:val="727E1A1D"/>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73186"/>
    <w:rsid w:val="73783823"/>
    <w:rsid w:val="73887B3E"/>
    <w:rsid w:val="73892412"/>
    <w:rsid w:val="73AF2114"/>
    <w:rsid w:val="73AF381F"/>
    <w:rsid w:val="73CA68AB"/>
    <w:rsid w:val="73E96BCA"/>
    <w:rsid w:val="73EE4A6E"/>
    <w:rsid w:val="741048BC"/>
    <w:rsid w:val="742E78D4"/>
    <w:rsid w:val="74317498"/>
    <w:rsid w:val="74335A84"/>
    <w:rsid w:val="743A6A13"/>
    <w:rsid w:val="744A753D"/>
    <w:rsid w:val="745C79EC"/>
    <w:rsid w:val="74676A28"/>
    <w:rsid w:val="747131CA"/>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3E09D1"/>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5ED4AD2"/>
    <w:rsid w:val="75FE283B"/>
    <w:rsid w:val="76360227"/>
    <w:rsid w:val="76393874"/>
    <w:rsid w:val="763F09AA"/>
    <w:rsid w:val="764F3FCC"/>
    <w:rsid w:val="7650339F"/>
    <w:rsid w:val="76603C9A"/>
    <w:rsid w:val="766B00E5"/>
    <w:rsid w:val="76832D41"/>
    <w:rsid w:val="7689407D"/>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257099"/>
    <w:rsid w:val="783B17B1"/>
    <w:rsid w:val="784E2046"/>
    <w:rsid w:val="78546F0C"/>
    <w:rsid w:val="786778FE"/>
    <w:rsid w:val="789D588A"/>
    <w:rsid w:val="78B65E3A"/>
    <w:rsid w:val="78D930EC"/>
    <w:rsid w:val="78E0091E"/>
    <w:rsid w:val="78EE1C79"/>
    <w:rsid w:val="78F85605"/>
    <w:rsid w:val="78FA66FA"/>
    <w:rsid w:val="79345B6A"/>
    <w:rsid w:val="79424F6E"/>
    <w:rsid w:val="795F3706"/>
    <w:rsid w:val="797239CC"/>
    <w:rsid w:val="797F54AB"/>
    <w:rsid w:val="79831473"/>
    <w:rsid w:val="79983E9C"/>
    <w:rsid w:val="7999527A"/>
    <w:rsid w:val="799C1BAE"/>
    <w:rsid w:val="79AF76C5"/>
    <w:rsid w:val="79C25EE1"/>
    <w:rsid w:val="79CD2C51"/>
    <w:rsid w:val="79CE2967"/>
    <w:rsid w:val="79E30EE8"/>
    <w:rsid w:val="79E34934"/>
    <w:rsid w:val="79EA664C"/>
    <w:rsid w:val="79F27B08"/>
    <w:rsid w:val="79F9627A"/>
    <w:rsid w:val="79FF6948"/>
    <w:rsid w:val="7A044199"/>
    <w:rsid w:val="7A0657CF"/>
    <w:rsid w:val="7A253FB9"/>
    <w:rsid w:val="7A2F3BBF"/>
    <w:rsid w:val="7A2F459A"/>
    <w:rsid w:val="7A322A39"/>
    <w:rsid w:val="7A517022"/>
    <w:rsid w:val="7A6F5001"/>
    <w:rsid w:val="7A7720A0"/>
    <w:rsid w:val="7A9635B3"/>
    <w:rsid w:val="7AA2343E"/>
    <w:rsid w:val="7AA548C9"/>
    <w:rsid w:val="7AB21E46"/>
    <w:rsid w:val="7AC04563"/>
    <w:rsid w:val="7AD60EB8"/>
    <w:rsid w:val="7ADA73A4"/>
    <w:rsid w:val="7AE66B99"/>
    <w:rsid w:val="7AF34646"/>
    <w:rsid w:val="7AFE508C"/>
    <w:rsid w:val="7B0A3BCA"/>
    <w:rsid w:val="7B0E7241"/>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137AD0"/>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A1D6C"/>
    <w:rsid w:val="7CEE3130"/>
    <w:rsid w:val="7CFC08E8"/>
    <w:rsid w:val="7D032E2D"/>
    <w:rsid w:val="7D1E1A15"/>
    <w:rsid w:val="7D1F6674"/>
    <w:rsid w:val="7D311748"/>
    <w:rsid w:val="7D475E29"/>
    <w:rsid w:val="7D480B34"/>
    <w:rsid w:val="7D4F6073"/>
    <w:rsid w:val="7D777A3E"/>
    <w:rsid w:val="7D9005BC"/>
    <w:rsid w:val="7D9046C1"/>
    <w:rsid w:val="7D9F0AD0"/>
    <w:rsid w:val="7DA104EE"/>
    <w:rsid w:val="7DB22BDF"/>
    <w:rsid w:val="7DD12BB7"/>
    <w:rsid w:val="7DDE50C4"/>
    <w:rsid w:val="7DF223A2"/>
    <w:rsid w:val="7DFF0955"/>
    <w:rsid w:val="7E055DED"/>
    <w:rsid w:val="7E0B750E"/>
    <w:rsid w:val="7E1939E8"/>
    <w:rsid w:val="7E2400E7"/>
    <w:rsid w:val="7E2822EA"/>
    <w:rsid w:val="7E2A20CE"/>
    <w:rsid w:val="7E355A7B"/>
    <w:rsid w:val="7E455322"/>
    <w:rsid w:val="7E682F48"/>
    <w:rsid w:val="7E6E3E85"/>
    <w:rsid w:val="7E991353"/>
    <w:rsid w:val="7E9C184B"/>
    <w:rsid w:val="7E9D6E05"/>
    <w:rsid w:val="7EA72948"/>
    <w:rsid w:val="7EB31EDB"/>
    <w:rsid w:val="7ED61132"/>
    <w:rsid w:val="7EE70CC0"/>
    <w:rsid w:val="7EEB48DB"/>
    <w:rsid w:val="7EF27444"/>
    <w:rsid w:val="7EF74575"/>
    <w:rsid w:val="7F185A04"/>
    <w:rsid w:val="7F265C58"/>
    <w:rsid w:val="7F370B6C"/>
    <w:rsid w:val="7F3B240A"/>
    <w:rsid w:val="7F4C4618"/>
    <w:rsid w:val="7F4D13A6"/>
    <w:rsid w:val="7F582CF2"/>
    <w:rsid w:val="7F951B40"/>
    <w:rsid w:val="7FA501CC"/>
    <w:rsid w:val="7FA820A8"/>
    <w:rsid w:val="7FAF2DF8"/>
    <w:rsid w:val="7FB90D50"/>
    <w:rsid w:val="7FBE053E"/>
    <w:rsid w:val="7FBF10B0"/>
    <w:rsid w:val="7FD840FD"/>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17164</Words>
  <Characters>18142</Characters>
  <Lines>50</Lines>
  <Paragraphs>68</Paragraphs>
  <TotalTime>12</TotalTime>
  <ScaleCrop>false</ScaleCrop>
  <LinksUpToDate>false</LinksUpToDate>
  <CharactersWithSpaces>18701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2025-10-09T06:53:03Z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C8D176A1AA1644B5B577D83A951F085C_13</vt:lpwstr>
  </property>
  <property fmtid="{D5CDD505-2E9C-101B-9397-08002B2CF9AE}" pid="4" name="KSOTemplateDocerSaveRecord">
    <vt:lpwstr>eyJoZGlkIjoiMzU0MTZjMjFkMjFjOGMwYTIzNWEzZDljNjYxZWI0MmYiLCJ1c2VySWQiOiIxNjg0NTc5MjM2In0=</vt:lpwstr>
  </property>
</Properties>
</file>