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驻马店市中心医院2026年度法律顾问服务项目</w:t>
      </w: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264E18B2">
      <w:pPr>
        <w:tabs>
          <w:tab w:val="left" w:pos="2700"/>
          <w:tab w:val="left" w:pos="2880"/>
          <w:tab w:val="left" w:pos="3060"/>
          <w:tab w:val="left" w:pos="7560"/>
        </w:tabs>
        <w:snapToGrid w:val="0"/>
        <w:spacing w:line="480" w:lineRule="auto"/>
        <w:ind w:firstLine="1928" w:firstLineChars="600"/>
        <w:rPr>
          <w:rFonts w:hint="eastAsia" w:ascii="宋体" w:hAnsi="宋体" w:cs="宋体"/>
          <w:kern w:val="0"/>
          <w:szCs w:val="21"/>
          <w:highlight w:val="none"/>
          <w:shd w:val="clear" w:color="auto" w:fill="FFFFFF"/>
        </w:rPr>
      </w:pPr>
      <w:r>
        <w:rPr>
          <w:rFonts w:hint="eastAsia" w:ascii="宋体" w:hAnsi="宋体" w:eastAsia="宋体" w:cs="宋体"/>
          <w:b/>
          <w:bCs/>
          <w:color w:val="auto"/>
          <w:spacing w:val="-10"/>
          <w:sz w:val="34"/>
          <w:szCs w:val="34"/>
          <w:highlight w:val="none"/>
          <w:lang w:val="en-US" w:eastAsia="zh-CN"/>
        </w:rPr>
        <w:t>采购代理机构：河南锦隆招标代理有限公司</w:t>
      </w:r>
    </w:p>
    <w:p w14:paraId="4FCBE59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驻马店市中心医院2026年度法律顾问服务项目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驻马店市中心医院2026年度法律顾问服务项目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驻马店市中心医院2026年度法律顾问服务项目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w:t>
      </w:r>
      <w:bookmarkStart w:id="100" w:name="_GoBack"/>
      <w:bookmarkEnd w:id="100"/>
      <w:r>
        <w:rPr>
          <w:rFonts w:hint="eastAsia" w:ascii="宋体" w:hAnsi="宋体" w:eastAsia="宋体" w:cs="宋体"/>
          <w:color w:val="auto"/>
          <w:szCs w:val="21"/>
          <w:highlight w:val="none"/>
          <w:shd w:val="clear" w:color="auto" w:fill="FFFFFF"/>
          <w:lang w:val="en-US" w:eastAsia="zh-CN"/>
        </w:rPr>
        <w:t>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特定资格要求：须为经司法行政部门批准设立的律师事务所，具备有效的执业许可证。</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11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RYUKA454526784</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01EF8E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102D832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77EF569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0481115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2005209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2.采购代理机构：河南锦隆招标代理有限公司</w:t>
      </w:r>
    </w:p>
    <w:p w14:paraId="5ADC6C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地址：驻马店市置地大道与天中山大道交叉口西北侧甲壳虫商业楼6021</w:t>
      </w:r>
    </w:p>
    <w:p w14:paraId="6659DF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联系人：陈女士</w:t>
      </w:r>
    </w:p>
    <w:p w14:paraId="46DDB8C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联系方式：0396-2615559</w:t>
      </w:r>
    </w:p>
    <w:p w14:paraId="30D9B60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964775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驻马店市中心医院2026年度法律顾问服务项目</w:t>
      </w:r>
    </w:p>
    <w:p w14:paraId="7521F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二、项目概况：</w:t>
      </w:r>
      <w:r>
        <w:rPr>
          <w:rFonts w:hint="eastAsia" w:ascii="宋体" w:hAnsi="宋体" w:cs="宋体"/>
          <w:color w:val="auto"/>
          <w:szCs w:val="21"/>
          <w:highlight w:val="none"/>
          <w:shd w:val="clear" w:color="auto" w:fill="FFFFFF"/>
          <w:lang w:val="en-US" w:eastAsia="zh-CN"/>
        </w:rPr>
        <w:t>本次招标的法律顾问服务旨在为医院日常运营、医疗管理、合同事务、纠纷处理等提供专业法律支持，具体服务内容包括但不限于：参与医院重要合同的起草、审核与修订；就医疗纠纷处理提供法律咨询及应对建议；为医院内部管理制度的合规性提供法律审查；代理医院参与相关诉讼、仲裁等法律事务；开展法律知识培训，提升医院员工的法律意识等。服务要求需满足医院在医疗行业合规运营、风险防范等方面的实际需求，与其他医院同等配置或服务标准保持一致。</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75"/>
        <w:gridCol w:w="9"/>
        <w:gridCol w:w="1110"/>
        <w:gridCol w:w="5"/>
        <w:gridCol w:w="12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139"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84" w:type="dxa"/>
            <w:gridSpan w:val="2"/>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资金预算</w:t>
            </w:r>
          </w:p>
        </w:tc>
        <w:tc>
          <w:tcPr>
            <w:tcW w:w="1110"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资金性质</w:t>
            </w:r>
          </w:p>
        </w:tc>
        <w:tc>
          <w:tcPr>
            <w:tcW w:w="1245" w:type="dxa"/>
            <w:gridSpan w:val="2"/>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备注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63EE9F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基本费用</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gridSpan w:val="2"/>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12万元/年</w:t>
            </w:r>
          </w:p>
        </w:tc>
        <w:tc>
          <w:tcPr>
            <w:tcW w:w="111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90"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39"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额外、激励费用、差旅费等</w:t>
            </w:r>
          </w:p>
        </w:tc>
        <w:tc>
          <w:tcPr>
            <w:tcW w:w="850" w:type="dxa"/>
            <w:shd w:val="clear" w:color="auto" w:fill="auto"/>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项</w:t>
            </w:r>
          </w:p>
        </w:tc>
        <w:tc>
          <w:tcPr>
            <w:tcW w:w="967" w:type="dxa"/>
            <w:shd w:val="clear" w:color="auto" w:fill="auto"/>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w:t>
            </w:r>
          </w:p>
        </w:tc>
        <w:tc>
          <w:tcPr>
            <w:tcW w:w="1384" w:type="dxa"/>
            <w:gridSpan w:val="2"/>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33万元/年</w:t>
            </w:r>
          </w:p>
        </w:tc>
        <w:tc>
          <w:tcPr>
            <w:tcW w:w="1110"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据实结算</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合计</w:t>
            </w:r>
          </w:p>
        </w:tc>
        <w:tc>
          <w:tcPr>
            <w:tcW w:w="2134"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1375"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b/>
                <w:bCs/>
                <w:sz w:val="28"/>
                <w:szCs w:val="28"/>
                <w:highlight w:val="none"/>
                <w:vertAlign w:val="baseline"/>
                <w:lang w:val="en-US" w:eastAsia="zh-CN"/>
              </w:rPr>
            </w:pPr>
            <w:r>
              <w:rPr>
                <w:rFonts w:hint="eastAsia" w:ascii="宋体" w:hAnsi="宋体" w:eastAsia="宋体" w:cs="宋体"/>
                <w:sz w:val="24"/>
                <w:szCs w:val="24"/>
                <w:highlight w:val="none"/>
                <w:vertAlign w:val="baseline"/>
                <w:lang w:val="en-US" w:eastAsia="zh-CN"/>
              </w:rPr>
              <w:t>45万/年</w:t>
            </w:r>
          </w:p>
        </w:tc>
        <w:tc>
          <w:tcPr>
            <w:tcW w:w="1124" w:type="dxa"/>
            <w:gridSpan w:val="3"/>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1240"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备注</w:t>
            </w:r>
          </w:p>
        </w:tc>
        <w:tc>
          <w:tcPr>
            <w:tcW w:w="7695" w:type="dxa"/>
            <w:gridSpan w:val="9"/>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Segoe UI" w:hAnsi="Segoe UI" w:eastAsia="宋体" w:cs="Segoe UI"/>
                <w:i w:val="0"/>
                <w:iCs w:val="0"/>
                <w:caps w:val="0"/>
                <w:spacing w:val="0"/>
                <w:sz w:val="24"/>
                <w:szCs w:val="24"/>
                <w:highlight w:val="none"/>
                <w:shd w:val="clear" w:fill="FFFFFF"/>
                <w:lang w:val="en-US" w:eastAsia="zh-CN"/>
              </w:rPr>
              <w:t>服务期限一年，据实结算</w:t>
            </w:r>
          </w:p>
        </w:tc>
      </w:tr>
    </w:tbl>
    <w:p w14:paraId="0A9E461E">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四、技术要求</w:t>
      </w:r>
    </w:p>
    <w:p w14:paraId="00E6C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1 服务内容</w:t>
      </w:r>
    </w:p>
    <w:p w14:paraId="5C79F0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 为医院日常法律问题提供咨询服务和建议；</w:t>
      </w:r>
    </w:p>
    <w:p w14:paraId="5A82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1.2 为院务决策、知识产权、基本建设、商标专利侵权、公平竞争与垄断、劳动人事、医联体合作等行政、单位管理过程涉及的法律事务，以及医院的其他有关管理、经营方面的事务的合法性、合理性、可行性、可操作性、安全性、国际性风险预测及对策提供法律依据和法律意见或出具法律意见书；</w:t>
      </w:r>
    </w:p>
    <w:p w14:paraId="47CD0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1.3 为医院的民事活动提供法律分析意见或进行法律论证、对医院草拟预备发布的文件，依法提出修改或补充建议，帮助医院完善专业管理制度；</w:t>
      </w:r>
    </w:p>
    <w:p w14:paraId="295268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1.4 审查、修改医院重要规范性文件，并做好登记、统计工作；</w:t>
      </w:r>
    </w:p>
    <w:p w14:paraId="2EED2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1.5 审查或修改合同、对外合作等项目的法律文本及其他法律文书；</w:t>
      </w:r>
    </w:p>
    <w:p w14:paraId="7BBEE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1.6 以座谈、现场咨询、讲座等现场服务方式为医院职工提供法律培训及普法教育，每年不少于两次；以线上直播方式为医院职工提供医疗纠纷预防与处理，每季度一次；</w:t>
      </w:r>
    </w:p>
    <w:p w14:paraId="65C95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1.7 应医院要求参加重大责任事故的调查分析，参与重大或有争议病案的讨论并就医疗行为的合法性提供专业法律意见；</w:t>
      </w:r>
    </w:p>
    <w:p w14:paraId="2AB32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1.8 应医院邀请参加业务会议，提供法律意见；</w:t>
      </w:r>
    </w:p>
    <w:p w14:paraId="62C4B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1.9 参与纠纷及重要合同谈判，处理医院所涉的行政纠纷、民事纠纷、经济纠纷、劳资纠纷、医疗纠纷或其他法律事由，提供诉讼、仲裁等代理服务；</w:t>
      </w:r>
    </w:p>
    <w:p w14:paraId="6A0C36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1.10 起草或翻译法律文件等其他非诉讼法律服务；</w:t>
      </w:r>
    </w:p>
    <w:p w14:paraId="44EDC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1.11 跟踪国家及地方有关医疗行业的法律、法规、规章及相关政策的颁布、修订和实施情况，并向医院及时提供相关的法律信息、新规、典型案例及典型法律问题解析等，每季度至少一次；</w:t>
      </w:r>
    </w:p>
    <w:p w14:paraId="7BECD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1.12 案件结案后，对案件的成因、处理方式、预期效果与实际效果等一案一分析，提出建议，并向医院提交书面法律分析报告；</w:t>
      </w:r>
    </w:p>
    <w:p w14:paraId="2DDE3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1.13 经司法鉴定的案件，司法鉴定前，法律顾问团队应进行讨论，并向医院提交书面讨论记录；</w:t>
      </w:r>
    </w:p>
    <w:p w14:paraId="458A3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1.14 案件结案后十五日内向医院提交装订成册的案卷电子版及复印件；</w:t>
      </w:r>
    </w:p>
    <w:p w14:paraId="012A2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1.15 年中及年终对本阶段的服务工作和服务内容进行总结，同时对服务期间发现的各种问题提出改善性的意见，并提交书面总结报告；</w:t>
      </w:r>
    </w:p>
    <w:p w14:paraId="6F638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1.16 派驻本项目的值班人员（1人以上），每天7小时驻场服务及节假日值班，坐班及值班实行每日签到签退制度；当需要其他法律顾问协助工作的，工作日时间段出现纠纷后最迟不超过30分钟内到达现场参与调解谈判处置工作；节假日及其他时间段期间出现纠纷后最迟不超过30分钟内到达现场参与调解谈判处置工作；</w:t>
      </w:r>
    </w:p>
    <w:p w14:paraId="2A25E2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1.17 派驻的法律顾问，应当遵守医院的规章制度及相关规定，包括但不限于《法律顾问工作范围》等。</w:t>
      </w:r>
    </w:p>
    <w:p w14:paraId="21AB6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1.18</w:t>
      </w:r>
      <w:r>
        <w:rPr>
          <w:rFonts w:hint="eastAsia" w:ascii="宋体" w:hAnsi="宋体" w:eastAsia="宋体" w:cs="宋体"/>
          <w:color w:val="auto"/>
          <w:sz w:val="21"/>
          <w:szCs w:val="21"/>
          <w:highlight w:val="none"/>
          <w:lang w:val="en-US" w:eastAsia="zh-CN"/>
        </w:rPr>
        <w:t>在服务期限内，对于已提供法律服务的事项，如出现后续问题，应继续提供必要的法律支持。</w:t>
      </w:r>
    </w:p>
    <w:p w14:paraId="36FA0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违约责任：供应商应按照合同履行法律顾问义务，供应商不能履行法律顾问义务的视为违约，医院可以单方解除合同。因供应商未按规定履行法律顾问义务或出现违反法律顾问行为准则等原因导致的医院利益受损，医院按照实际损失向供应商追偿。</w:t>
      </w:r>
    </w:p>
    <w:p w14:paraId="70BE9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1.20争议解决：因本协议引起的争议，双方应在平等友好的基础上进行协商，协商不成或自协商之日起15日内无法达成一致意见的，双方均可选择向医院所在地驻马店市驿城区人民法院提起诉讼。</w:t>
      </w:r>
    </w:p>
    <w:p w14:paraId="74C40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2 人员要求</w:t>
      </w:r>
    </w:p>
    <w:p w14:paraId="3294E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2.1 人员配置不少于3名专职律师，具备有效的律师执业证，且执业年限不少于3年。</w:t>
      </w:r>
    </w:p>
    <w:p w14:paraId="66C70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2.2拟派驻的专职律师应熟悉医疗卫生相关法律法规及政策，具备处理医疗纠纷、合同纠纷等法律事务的专业能力。</w:t>
      </w:r>
    </w:p>
    <w:p w14:paraId="68ABA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2.3 能够及时响应医院的法律事务需求，对于紧急法律问题，应在24小时内提供专业意见。</w:t>
      </w:r>
    </w:p>
    <w:p w14:paraId="2A2748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2.3 投标方配备的服务团队核心成员，需具备医学相关专业背景（如医学类学历）或持有有效的执业医师资格证书，以保障服务的专业性与合规性。</w:t>
      </w:r>
    </w:p>
    <w:p w14:paraId="1F2D13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3 服务质量要求</w:t>
      </w:r>
    </w:p>
    <w:p w14:paraId="7FE503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3.1 建立完善的服务档案，对提供的法律服务进行详细记录，定期向医院提交服务报告。</w:t>
      </w:r>
    </w:p>
    <w:p w14:paraId="3666BD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3.2 严格按照合同约定的服务范围和标准提供服务，确保服务质量。</w:t>
      </w:r>
    </w:p>
    <w:p w14:paraId="64D5D6AE">
      <w:pPr>
        <w:pStyle w:val="2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highlight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3.3在服务期限内，对于已提供法律服务的事项，如出现后续问题，应继续提供必要的法律支持。</w:t>
      </w:r>
    </w:p>
    <w:p w14:paraId="652E9D91">
      <w:pPr>
        <w:pStyle w:val="15"/>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4 额外费用和激励费用：</w:t>
      </w:r>
      <w:r>
        <w:rPr>
          <w:rFonts w:hint="eastAsia" w:ascii="宋体" w:hAnsi="宋体" w:eastAsia="宋体" w:cs="宋体"/>
          <w:color w:val="auto"/>
          <w:sz w:val="21"/>
          <w:szCs w:val="21"/>
          <w:highlight w:val="none"/>
          <w:lang w:val="en-US" w:eastAsia="zh-CN"/>
        </w:rPr>
        <w:t xml:space="preserve"> 20件案件属于基本费用所涵盖范围（涉及医疗纠纷的，特指经司法鉴定，具有司法鉴定意见书的法院、医调委的案件；结案后，按结案时间先后顺序核算前20件，合同签订后每半年核算一次），20件案件以外的案件费用或相关费用按额外费用及激励费用计费标准进行收费，每半年结算一次（具体计费附后）。</w:t>
      </w:r>
    </w:p>
    <w:p w14:paraId="0419ED8D">
      <w:pPr>
        <w:pStyle w:val="15"/>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5 法律顾问为办理案件支出的差旅费按《驻马店市市直机关差旅费管理办法》的标准由医院负担交通费、住宿费。</w:t>
      </w:r>
    </w:p>
    <w:p w14:paraId="3FBCC24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22"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6.违约责任：</w:t>
      </w:r>
      <w:r>
        <w:rPr>
          <w:rFonts w:hint="eastAsia" w:ascii="宋体" w:hAnsi="宋体" w:eastAsia="宋体" w:cs="宋体"/>
          <w:color w:val="auto"/>
          <w:kern w:val="0"/>
          <w:sz w:val="21"/>
          <w:szCs w:val="21"/>
          <w:highlight w:val="none"/>
          <w:lang w:val="en-US" w:eastAsia="zh-CN" w:bidi="ar-SA"/>
        </w:rPr>
        <w:t>供应商应按照合同履行法律顾问义务，供应商不能履行法律顾问义务的视为违约，医院可以单方解除合同。因供应商未按规定履行法律顾问义务或出现违反法律顾问行为准则等原因导致的医院利益受损，医院按照实际损失向供应商追偿。</w:t>
      </w:r>
    </w:p>
    <w:p w14:paraId="2A87C17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22"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7.争议解决：</w:t>
      </w:r>
      <w:r>
        <w:rPr>
          <w:rFonts w:hint="eastAsia" w:ascii="宋体" w:hAnsi="宋体" w:eastAsia="宋体" w:cs="宋体"/>
          <w:color w:val="auto"/>
          <w:kern w:val="0"/>
          <w:sz w:val="21"/>
          <w:szCs w:val="21"/>
          <w:highlight w:val="none"/>
          <w:lang w:val="en-US" w:eastAsia="zh-CN" w:bidi="ar-SA"/>
        </w:rPr>
        <w:t>因本协议引起的争议，双方应在平等友好的基础上进行协商，协商不成或自协商之日起15日内无法达成一致意见的，双方均可选择向医院所在地驻马店市驿城区人民法院提起诉讼。</w:t>
      </w:r>
    </w:p>
    <w:p w14:paraId="2E6B55A3">
      <w:pPr>
        <w:pStyle w:val="16"/>
        <w:rPr>
          <w:rFonts w:hint="default"/>
          <w:highlight w:val="none"/>
          <w:lang w:val="en-US" w:eastAsia="zh-CN"/>
        </w:rPr>
      </w:pPr>
    </w:p>
    <w:p w14:paraId="4585CCA7">
      <w:pPr>
        <w:pStyle w:val="16"/>
        <w:rPr>
          <w:rFonts w:hint="default"/>
          <w:highlight w:val="none"/>
          <w:lang w:val="en-US" w:eastAsia="zh-CN"/>
        </w:rPr>
      </w:pPr>
    </w:p>
    <w:p w14:paraId="05C2F9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附：额外费用、激励费用明细：</w:t>
      </w:r>
    </w:p>
    <w:p w14:paraId="1799B5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（一）额外费用明细</w:t>
      </w:r>
    </w:p>
    <w:p w14:paraId="6053AC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(1)医调委案件</w:t>
      </w:r>
    </w:p>
    <w:p w14:paraId="5415F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1）未经司法鉴定的，或不具有司法鉴定意见书的，不收费。</w:t>
      </w:r>
    </w:p>
    <w:p w14:paraId="4D597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2）经司法鉴定，且具有司法鉴定意见书的：每件以赔偿金额的3％，再下浮20％计算收费。</w:t>
      </w:r>
    </w:p>
    <w:p w14:paraId="1D438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(2)法院案件</w:t>
      </w:r>
    </w:p>
    <w:p w14:paraId="71F18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一审案件：（A）以撤诉裁定结案的，不收费。（B）以判决书、调解书结案的，标的额在10万元以下的，每件3000元收费；标的额在10万元以上的，10万元以内的部分按3000元计费，超出10万元的部分按超出部分的3％计费，上述两部分计费数额相加后计算收费。（C）以撤诉裁定结案的，若司法鉴定意见书由当次的审判程序阶段所产生，则标的额在10万元以下的，每件3000元收费；标的额在10万元以上的，10万元以内的部分按3000元计费，超出10万元的部分按超出部分的3％计费，上述两部分计费数额相加后计算收费，计算收费后又重新起诉或至医调委的，该重新起诉或至医调委的案件不再收费。</w:t>
      </w:r>
    </w:p>
    <w:p w14:paraId="581CA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二审案件：（A）以判决书、调解书结案的，维持原判的，每件3000元收费。（B）以判决书、调解书结案的，依法改判或变更的，每件3000元收费。（C）裁定撤销原判决，发回原审人民法院重审的，每件3000元收费。（D）以撤诉裁定结案的，不收费。（E）以撤诉裁定结案的，若司法鉴定意见书由当次的审判程序阶段所产生，每件3000元收费，计算收费后又重新起诉或至医调委的，该重新起诉或至医调委的案件不再收费。</w:t>
      </w:r>
    </w:p>
    <w:p w14:paraId="3E3C1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发回重审的案件：（A）以判决书、调解书结案的，维持原判的，每件3000元收费。（B）以判决书、调解书结案的，依法改判或变更的，每件3000元收费。（C）以撤诉裁定结案的，不收费。（D）以撤诉裁定结案的，若司法鉴定意见书由当次的审判程序阶段所产生，每件3000元收费，计算收费后又重新起诉或至医调委的，该重新起诉或至医调委的案件不再收费。</w:t>
      </w:r>
    </w:p>
    <w:p w14:paraId="2989F3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4）审判监督程序的案件，每件按标的额的5％计算收费。</w:t>
      </w:r>
    </w:p>
    <w:p w14:paraId="7123B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5）法院案件，若医院为被告、第三人，且存在多个被告、第三人的，标的额以被告和第三人的总数平均计算。</w:t>
      </w:r>
    </w:p>
    <w:p w14:paraId="3E4DE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6）法院案件，若能够以“完全因果关系”来评估赔偿数额，且对方当事人未聘请律师或法律工作者的；按“标的额”计算费用的情形变更为“依照法律规定，按照‘完全因果关系’评估的赔偿数额”计算费用，变更后计算费用的方式参照适用按“标的额”计算费用的方式[即第（一）条“（2）法院案件”中第“1）”至第“5）”种方式]。但是“依照法律规定，按照‘完全因果关系’评估的赔偿数额”高于“标的额”的，仍按“标的额”计算费用。</w:t>
      </w:r>
    </w:p>
    <w:p w14:paraId="78C3E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(3)仲裁案件</w:t>
      </w:r>
    </w:p>
    <w:p w14:paraId="583D3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1）医疗纠纷案件未经司法鉴定的，或不具有司法鉴定意见书的，不收费。</w:t>
      </w:r>
    </w:p>
    <w:p w14:paraId="5AC9A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2）经司法鉴定，且具有司法鉴定意见书的：每件以赔偿金额的3％，再下浮20％计算收费。</w:t>
      </w:r>
    </w:p>
    <w:p w14:paraId="4624C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3）其他类型案件，每件以赔偿金额的3％，再下浮20％计算收费。</w:t>
      </w:r>
    </w:p>
    <w:p w14:paraId="7E77F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额外费用精确至个位（元），小数点后一位的数字四舍五入。上述规定未尽事宜，由医院认定。</w:t>
      </w:r>
    </w:p>
    <w:p w14:paraId="51C83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（二）激励费用明细</w:t>
      </w:r>
    </w:p>
    <w:p w14:paraId="67410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（1）上述第（一）条“(1)医调委案件”中“2）经司法鉴定，且具有司法鉴定意见书的”情形，司法鉴定意见书载明医院的诊疗行为与患者损害无因果关系，且医院未产生赔偿金额的，该案件产生3000元激励费用。</w:t>
      </w:r>
    </w:p>
    <w:p w14:paraId="5053B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（2）上述第（一）条“(2)法院案件”中“1）一审案件”第（B）、（C）种情形，司法鉴定意见书载明医院的诊疗行为与患者损害无因果关系，且医院未产生赔偿金额的，该案件产生3000元激励费用。</w:t>
      </w:r>
    </w:p>
    <w:p w14:paraId="2C32A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（3）上述第（一）条“(2)法院案件”中“2）二审案件”第（B）种情形，若依法改判或变更后的赔偿金额低于一审判决书所载金额的，按两者差额的5％进行激励。</w:t>
      </w:r>
    </w:p>
    <w:p w14:paraId="7D124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（4）上述第（一）条“(2)法院案件”中“3）发回重审的案件”第（B）种情形，若依法改判或变更后的赔偿金额低于前一审判阶段的判决书所载金额的，按两者差额的5％进行激励。</w:t>
      </w:r>
    </w:p>
    <w:p w14:paraId="0E7FE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（5）上述第（一）条“(3)仲裁案件”中“2）经司法鉴定，且具有司法鉴定意见书的”情形，司法鉴定意见书载明医院的诊疗行为与患者损害无因果关系，且医院未产生赔偿金额的，该案件产生3000元激励费用。</w:t>
      </w:r>
    </w:p>
    <w:p w14:paraId="7CC61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（6）供应商为医院服务期间，遵守医院工作制度，符合《驻马店市中心医院员工奖惩细则》中奖则的规定，由医院根据该细则进行奖励。</w:t>
      </w:r>
    </w:p>
    <w:p w14:paraId="41737D04">
      <w:pPr>
        <w:pStyle w:val="51"/>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566"/>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566"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566"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驻马店市中心医院</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566"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基本费用合同签订后上半年支付 45％，下半年支付45％；剩余10％作为考核费用，根据考核结果合同结束后据实支付。</w:t>
            </w:r>
          </w:p>
          <w:p w14:paraId="1D2C3EA2">
            <w:pPr>
              <w:pStyle w:val="15"/>
              <w:ind w:left="0" w:leftChars="0"/>
              <w:jc w:val="left"/>
              <w:rPr>
                <w:rFonts w:hint="eastAsia"/>
                <w:highlight w:val="none"/>
                <w:lang w:val="en-US" w:eastAsia="zh-CN"/>
              </w:rPr>
            </w:pPr>
            <w:r>
              <w:rPr>
                <w:rFonts w:hint="eastAsia" w:ascii="宋体" w:hAnsi="宋体" w:eastAsia="宋体" w:cs="宋体"/>
                <w:color w:val="auto"/>
                <w:sz w:val="21"/>
                <w:szCs w:val="21"/>
                <w:highlight w:val="none"/>
                <w:lang w:val="en-US" w:eastAsia="zh-CN"/>
              </w:rPr>
              <w:t>额外费用和激励费用：每半年结算一次</w:t>
            </w:r>
          </w:p>
        </w:tc>
      </w:tr>
    </w:tbl>
    <w:p w14:paraId="601AFB55">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2"/>
        <w:gridCol w:w="7507"/>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507"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驻马店市中心医院2026年度法律顾问服务项目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45万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45</w:t>
            </w:r>
            <w:r>
              <w:rPr>
                <w:rFonts w:hint="eastAsia" w:ascii="宋体" w:hAnsi="宋体" w:cs="宋体"/>
                <w:color w:val="auto"/>
                <w:highlight w:val="none"/>
                <w:lang w:val="en-US" w:eastAsia="zh-CN"/>
              </w:rPr>
              <w:t>万元。</w:t>
            </w:r>
          </w:p>
          <w:p w14:paraId="79C054C2">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3.1 </w:t>
            </w:r>
            <w:r>
              <w:rPr>
                <w:rFonts w:hint="eastAsia" w:ascii="宋体" w:hAnsi="宋体" w:eastAsia="宋体" w:cs="宋体"/>
                <w:b/>
                <w:bCs/>
                <w:color w:val="auto"/>
                <w:kern w:val="0"/>
                <w:szCs w:val="21"/>
                <w:highlight w:val="none"/>
                <w:lang w:val="en-US" w:eastAsia="zh-CN"/>
              </w:rPr>
              <w:t>基本费用最高限价12万元/年，</w:t>
            </w:r>
            <w:r>
              <w:rPr>
                <w:rFonts w:hint="eastAsia" w:ascii="宋体" w:hAnsi="宋体" w:eastAsia="宋体" w:cs="宋体"/>
                <w:b/>
                <w:bCs/>
                <w:color w:val="auto"/>
                <w:kern w:val="0"/>
                <w:szCs w:val="21"/>
                <w:highlight w:val="none"/>
              </w:rPr>
              <w:t>以人民币报价。</w:t>
            </w:r>
          </w:p>
          <w:p w14:paraId="79E38F3D">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额外费用、激励费用：以综合折扣率（%）报价，报价不得超过“100%”。以额外费用、激励费用据实计算的总金额为基础，报出综合折扣率。</w:t>
            </w:r>
          </w:p>
          <w:p w14:paraId="5A969DC6">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额外费用、激励费用支付金额计算方法:支付金额=额外费用、激励费用据实计算的总金额×综合折扣率。举例如：额外费用、激励费用据实计算的总金额为30万元，综合折扣率报价为90％，则</w:t>
            </w:r>
            <w:r>
              <w:rPr>
                <w:rFonts w:hint="eastAsia" w:ascii="宋体" w:hAnsi="宋体" w:cs="宋体"/>
                <w:b/>
                <w:bCs/>
                <w:color w:val="auto"/>
                <w:kern w:val="0"/>
                <w:szCs w:val="21"/>
                <w:highlight w:val="none"/>
                <w:lang w:val="en-US" w:eastAsia="zh-CN"/>
              </w:rPr>
              <w:t>医院</w:t>
            </w:r>
            <w:r>
              <w:rPr>
                <w:rFonts w:hint="eastAsia" w:ascii="宋体" w:hAnsi="宋体" w:eastAsia="宋体" w:cs="宋体"/>
                <w:b/>
                <w:bCs/>
                <w:color w:val="auto"/>
                <w:kern w:val="0"/>
                <w:szCs w:val="21"/>
                <w:highlight w:val="none"/>
                <w:lang w:val="en-US" w:eastAsia="zh-CN"/>
              </w:rPr>
              <w:t>支付金额=30*90%=27万元。</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3CC81A9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；“基本费用”以“</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w:t>
      </w:r>
      <w:r>
        <w:rPr>
          <w:rFonts w:hint="eastAsia" w:ascii="宋体" w:hAnsi="宋体" w:eastAsia="宋体" w:cs="宋体"/>
          <w:b/>
          <w:bCs/>
          <w:color w:val="auto"/>
          <w:kern w:val="0"/>
          <w:szCs w:val="21"/>
          <w:highlight w:val="none"/>
          <w:lang w:val="en-US" w:eastAsia="zh-CN"/>
        </w:rPr>
        <w:t>额外、激励费用</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特定资格要求：须为经司法行政部门批准设立的律师事务所，具备有效的执业许可证。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在评审现场</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6657977A">
      <w:pPr>
        <w:pStyle w:val="22"/>
        <w:rPr>
          <w:rFonts w:hint="eastAsia"/>
          <w:highlight w:val="none"/>
        </w:rPr>
      </w:pP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4"/>
                <w:szCs w:val="24"/>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41722D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58BFF648">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基础费用投标报价得分</w:t>
            </w:r>
            <w:r>
              <w:rPr>
                <w:rFonts w:hint="eastAsia" w:ascii="宋体" w:hAnsi="宋体" w:eastAsia="宋体" w:cs="宋体"/>
                <w:sz w:val="21"/>
                <w:szCs w:val="21"/>
                <w:highlight w:val="none"/>
                <w:lang w:val="en-US" w:eastAsia="zh-CN"/>
              </w:rPr>
              <w:t>=（评标基准价/有效投标报价）×10分</w:t>
            </w:r>
          </w:p>
          <w:p w14:paraId="00FA141F">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highlight w:val="none"/>
                <w:lang w:val="en-US" w:eastAsia="zh-CN"/>
              </w:rPr>
              <w:t>额外、激励费用投标报价得分</w:t>
            </w:r>
            <w:r>
              <w:rPr>
                <w:rFonts w:hint="eastAsia" w:ascii="宋体" w:hAnsi="宋体" w:eastAsia="宋体" w:cs="宋体"/>
                <w:sz w:val="21"/>
                <w:szCs w:val="21"/>
                <w:highlight w:val="none"/>
                <w:lang w:val="en-US" w:eastAsia="zh-CN"/>
              </w:rPr>
              <w:t>==（评标基准价/有效投标报价）×20分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p>
          <w:p w14:paraId="60DC3FA8">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(58分)</w:t>
            </w:r>
          </w:p>
        </w:tc>
        <w:tc>
          <w:tcPr>
            <w:tcW w:w="1362" w:type="dxa"/>
            <w:noWrap w:val="0"/>
            <w:vAlign w:val="center"/>
          </w:tcPr>
          <w:p w14:paraId="5960FBB0">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1.重点难点分析及应对措施</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对本项目法律顾问服务</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对本项目法律顾问服务不了解、</w:t>
            </w:r>
            <w:r>
              <w:rPr>
                <w:rFonts w:hint="eastAsia" w:ascii="宋体" w:hAnsi="宋体" w:cs="宋体"/>
                <w:b w:val="0"/>
                <w:bCs w:val="0"/>
                <w:color w:val="auto"/>
                <w:sz w:val="21"/>
                <w:szCs w:val="21"/>
                <w:highlight w:val="none"/>
                <w:lang w:val="en-US" w:eastAsia="zh-CN"/>
              </w:rPr>
              <w:t>因对措施及建议难以满足采购需求的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4267AF6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363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98" w:type="dxa"/>
            <w:vMerge w:val="continue"/>
            <w:noWrap w:val="0"/>
            <w:vAlign w:val="center"/>
          </w:tcPr>
          <w:p w14:paraId="154D10B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1945B5">
            <w:pPr>
              <w:keepNext w:val="0"/>
              <w:keepLines w:val="0"/>
              <w:pageBreakBefore w:val="0"/>
              <w:kinsoku/>
              <w:wordWrap/>
              <w:overflowPunct/>
              <w:topLinePunct w:val="0"/>
              <w:bidi w:val="0"/>
              <w:snapToGrid w:val="0"/>
              <w:spacing w:line="340" w:lineRule="exact"/>
              <w:jc w:val="both"/>
              <w:textAlignment w:val="auto"/>
              <w:rPr>
                <w:rFonts w:hint="default"/>
                <w:highlight w:val="none"/>
                <w:lang w:val="en-US" w:eastAsia="zh-CN"/>
              </w:rPr>
            </w:pPr>
            <w:r>
              <w:rPr>
                <w:rFonts w:hint="eastAsia" w:ascii="宋体" w:hAnsi="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（7分）</w:t>
            </w:r>
          </w:p>
        </w:tc>
        <w:tc>
          <w:tcPr>
            <w:tcW w:w="6922" w:type="dxa"/>
            <w:noWrap w:val="0"/>
            <w:vAlign w:val="center"/>
          </w:tcPr>
          <w:p w14:paraId="30270E6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根据供应商编制的服务方案</w:t>
            </w:r>
            <w:r>
              <w:rPr>
                <w:rFonts w:hint="eastAsia" w:ascii="宋体" w:hAnsi="宋体" w:cs="宋体"/>
                <w:b w:val="0"/>
                <w:bCs w:val="0"/>
                <w:color w:val="auto"/>
                <w:sz w:val="21"/>
                <w:szCs w:val="21"/>
                <w:highlight w:val="none"/>
                <w:lang w:val="en-US" w:eastAsia="zh-CN"/>
              </w:rPr>
              <w:t>，包括但不限</w:t>
            </w:r>
            <w:r>
              <w:rPr>
                <w:rFonts w:hint="eastAsia" w:ascii="宋体" w:hAnsi="宋体" w:eastAsia="宋体" w:cs="宋体"/>
                <w:b w:val="0"/>
                <w:bCs w:val="0"/>
                <w:color w:val="auto"/>
                <w:sz w:val="21"/>
                <w:szCs w:val="21"/>
                <w:highlight w:val="none"/>
                <w:lang w:val="en-US" w:eastAsia="zh-CN"/>
              </w:rPr>
              <w:t>于：</w:t>
            </w: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年度服务方案；</w:t>
            </w: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服务响应时间；</w:t>
            </w: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保密措施</w:t>
            </w:r>
          </w:p>
          <w:p w14:paraId="15A59ED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服务方案全面、完善具体、可行性强，</w:t>
            </w:r>
            <w:r>
              <w:rPr>
                <w:rFonts w:hint="eastAsia" w:ascii="宋体" w:hAnsi="宋体" w:eastAsia="宋体" w:cs="宋体"/>
                <w:b w:val="0"/>
                <w:bCs w:val="0"/>
                <w:color w:val="auto"/>
                <w:sz w:val="21"/>
                <w:szCs w:val="21"/>
                <w:highlight w:val="none"/>
                <w:lang w:val="en-US" w:eastAsia="zh-CN"/>
              </w:rPr>
              <w:t>完全满足项目需求的得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4BD233E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较全面、可行性较强，基本满足采购需求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74C4E4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服务方案不完整，内容有待</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615F21C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未提供的不得分。</w:t>
            </w:r>
          </w:p>
        </w:tc>
      </w:tr>
      <w:tr w14:paraId="033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98" w:type="dxa"/>
            <w:vMerge w:val="continue"/>
            <w:noWrap w:val="0"/>
            <w:vAlign w:val="center"/>
          </w:tcPr>
          <w:p w14:paraId="68788A0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440C2595">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法律服务工作的流程</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制度</w:t>
            </w:r>
            <w:r>
              <w:rPr>
                <w:rFonts w:hint="eastAsia" w:ascii="宋体" w:hAnsi="宋体" w:cs="宋体"/>
                <w:b w:val="0"/>
                <w:bCs w:val="0"/>
                <w:color w:val="auto"/>
                <w:sz w:val="21"/>
                <w:szCs w:val="21"/>
                <w:highlight w:val="none"/>
                <w:lang w:val="en-US" w:eastAsia="zh-CN"/>
              </w:rPr>
              <w:t>（7分）</w:t>
            </w:r>
          </w:p>
        </w:tc>
        <w:tc>
          <w:tcPr>
            <w:tcW w:w="6922" w:type="dxa"/>
            <w:noWrap w:val="0"/>
            <w:vAlign w:val="center"/>
          </w:tcPr>
          <w:p w14:paraId="5C52420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根据采购文件的需求，供应商提供工作流程及相关管理制度</w:t>
            </w:r>
            <w:r>
              <w:rPr>
                <w:rFonts w:hint="eastAsia" w:ascii="宋体" w:hAnsi="宋体" w:eastAsia="宋体" w:cs="宋体"/>
                <w:b w:val="0"/>
                <w:bCs w:val="0"/>
                <w:color w:val="auto"/>
                <w:sz w:val="21"/>
                <w:szCs w:val="21"/>
                <w:highlight w:val="none"/>
                <w:lang w:val="en-US" w:eastAsia="zh-CN"/>
              </w:rPr>
              <w:t>：</w:t>
            </w:r>
          </w:p>
          <w:p w14:paraId="2D99A92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有详细且严谨的法律服务工作的流程及规章制度，合理可行，实操性强，</w:t>
            </w:r>
            <w:r>
              <w:rPr>
                <w:rFonts w:hint="eastAsia" w:ascii="宋体" w:hAnsi="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lang w:val="en-US" w:eastAsia="zh-CN"/>
              </w:rPr>
              <w:t>满足采购需求的得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2BFE114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有法律服务工作的流程及规章制度且可行，响应内容无缺失的得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9D4AA2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法律服务工作流程及规章制度不完整，有待</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2AD10DE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27CD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198" w:type="dxa"/>
            <w:vMerge w:val="continue"/>
            <w:noWrap w:val="0"/>
            <w:vAlign w:val="center"/>
          </w:tcPr>
          <w:p w14:paraId="51A629F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restart"/>
            <w:noWrap w:val="0"/>
            <w:vAlign w:val="center"/>
          </w:tcPr>
          <w:p w14:paraId="28005DB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4.服务团队配置（20分）</w:t>
            </w:r>
          </w:p>
        </w:tc>
        <w:tc>
          <w:tcPr>
            <w:tcW w:w="6922" w:type="dxa"/>
            <w:noWrap w:val="0"/>
            <w:vAlign w:val="center"/>
          </w:tcPr>
          <w:p w14:paraId="4BEC4062">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根据供应商编制的</w:t>
            </w:r>
            <w:r>
              <w:rPr>
                <w:rFonts w:hint="eastAsia" w:hAnsi="宋体" w:cs="宋体"/>
                <w:b w:val="0"/>
                <w:bCs w:val="0"/>
                <w:color w:val="auto"/>
                <w:sz w:val="21"/>
                <w:szCs w:val="21"/>
                <w:highlight w:val="none"/>
                <w:lang w:val="en-US" w:eastAsia="zh-CN"/>
              </w:rPr>
              <w:t>服务团队及岗位职责：</w:t>
            </w: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w:t>
            </w:r>
            <w:r>
              <w:rPr>
                <w:rFonts w:hint="eastAsia" w:hAnsi="宋体" w:cs="宋体"/>
                <w:b w:val="0"/>
                <w:bCs w:val="0"/>
                <w:color w:val="auto"/>
                <w:sz w:val="21"/>
                <w:szCs w:val="21"/>
                <w:highlight w:val="none"/>
                <w:u w:val="none"/>
                <w:lang w:val="en-US" w:eastAsia="zh-CN"/>
              </w:rPr>
              <w:t>持证上岗，</w:t>
            </w:r>
            <w:r>
              <w:rPr>
                <w:rFonts w:hint="eastAsia" w:ascii="宋体" w:hAnsi="宋体" w:eastAsia="宋体" w:cs="宋体"/>
                <w:b w:val="0"/>
                <w:bCs w:val="0"/>
                <w:color w:val="auto"/>
                <w:sz w:val="21"/>
                <w:szCs w:val="21"/>
                <w:highlight w:val="none"/>
                <w:u w:val="none"/>
                <w:lang w:val="en-US" w:eastAsia="zh-CN"/>
              </w:rPr>
              <w:t>完全满足采购需求的得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CE2F38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w:t>
            </w:r>
            <w:r>
              <w:rPr>
                <w:rFonts w:hint="eastAsia" w:hAnsi="宋体" w:cs="宋体"/>
                <w:b w:val="0"/>
                <w:bCs w:val="0"/>
                <w:color w:val="auto"/>
                <w:sz w:val="21"/>
                <w:szCs w:val="21"/>
                <w:highlight w:val="none"/>
                <w:u w:val="none"/>
                <w:lang w:val="en-US" w:eastAsia="zh-CN"/>
              </w:rPr>
              <w:t>持证上岗，</w:t>
            </w:r>
            <w:r>
              <w:rPr>
                <w:rFonts w:hint="eastAsia" w:ascii="宋体" w:hAnsi="宋体" w:eastAsia="宋体" w:cs="宋体"/>
                <w:b w:val="0"/>
                <w:bCs w:val="0"/>
                <w:color w:val="auto"/>
                <w:sz w:val="21"/>
                <w:szCs w:val="21"/>
                <w:highlight w:val="none"/>
                <w:u w:val="none"/>
                <w:lang w:val="en-US" w:eastAsia="zh-CN"/>
              </w:rPr>
              <w:t>基本满足采购需求的得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分；</w:t>
            </w:r>
          </w:p>
          <w:p w14:paraId="53FC4F5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p>
          <w:p w14:paraId="1954BC2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缺项得0分。 </w:t>
            </w:r>
          </w:p>
          <w:p w14:paraId="1DBDE0A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注：提供人员清单及相关证明材料。</w:t>
            </w:r>
          </w:p>
        </w:tc>
      </w:tr>
      <w:tr w14:paraId="098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3AF00FA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shd w:val="clear" w:color="auto" w:fill="auto"/>
            <w:noWrap w:val="0"/>
            <w:vAlign w:val="center"/>
          </w:tcPr>
          <w:p w14:paraId="503E361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6922" w:type="dxa"/>
            <w:shd w:val="clear" w:color="auto" w:fill="auto"/>
            <w:noWrap w:val="0"/>
            <w:vAlign w:val="center"/>
          </w:tcPr>
          <w:p w14:paraId="568AF04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Cs/>
                <w:color w:val="auto"/>
                <w:kern w:val="1"/>
                <w:szCs w:val="21"/>
                <w:highlight w:val="none"/>
                <w:lang w:val="en-US" w:eastAsia="zh-CN"/>
              </w:rPr>
            </w:pPr>
            <w:r>
              <w:rPr>
                <w:rFonts w:hint="eastAsia" w:ascii="宋体" w:hAnsi="宋体" w:cs="宋体"/>
                <w:bCs/>
                <w:color w:val="auto"/>
                <w:kern w:val="1"/>
                <w:szCs w:val="21"/>
                <w:highlight w:val="none"/>
              </w:rPr>
              <w:t>拟投入本项目的服务团队负责人的律师执业经历在10年（含）以上得</w:t>
            </w:r>
            <w:r>
              <w:rPr>
                <w:rFonts w:hint="eastAsia" w:ascii="宋体" w:hAnsi="宋体" w:cs="宋体"/>
                <w:bCs/>
                <w:color w:val="auto"/>
                <w:kern w:val="1"/>
                <w:szCs w:val="21"/>
                <w:highlight w:val="none"/>
                <w:lang w:val="en-US" w:eastAsia="zh-CN"/>
              </w:rPr>
              <w:t>3</w:t>
            </w:r>
            <w:r>
              <w:rPr>
                <w:rFonts w:hint="eastAsia" w:ascii="宋体" w:hAnsi="宋体" w:cs="宋体"/>
                <w:bCs/>
                <w:color w:val="auto"/>
                <w:kern w:val="1"/>
                <w:szCs w:val="21"/>
                <w:highlight w:val="none"/>
              </w:rPr>
              <w:t>分</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项目负责人具有高级职称的，得3分。</w:t>
            </w:r>
          </w:p>
          <w:p w14:paraId="74EF4A9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Cs/>
                <w:color w:val="auto"/>
                <w:kern w:val="1"/>
                <w:szCs w:val="21"/>
                <w:highlight w:val="none"/>
                <w:lang w:val="en-US" w:eastAsia="zh-CN"/>
              </w:rPr>
            </w:pPr>
            <w:r>
              <w:rPr>
                <w:rFonts w:hint="eastAsia" w:ascii="宋体" w:hAnsi="宋体" w:cs="宋体"/>
                <w:bCs/>
                <w:color w:val="auto"/>
                <w:kern w:val="1"/>
                <w:szCs w:val="21"/>
                <w:highlight w:val="none"/>
                <w:lang w:val="en-US" w:eastAsia="zh-CN"/>
              </w:rPr>
              <w:t>服务团队律师（除团队负责人外）职业年限在5年以上的，每提供一人得1分，最高得4分。</w:t>
            </w:r>
          </w:p>
          <w:p w14:paraId="15BB620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Cs/>
                <w:color w:val="auto"/>
                <w:kern w:val="1"/>
                <w:szCs w:val="21"/>
                <w:highlight w:val="none"/>
                <w:lang w:val="en-US" w:eastAsia="zh-CN"/>
              </w:rPr>
            </w:pPr>
            <w:r>
              <w:rPr>
                <w:rFonts w:hint="eastAsia" w:ascii="宋体" w:hAnsi="宋体" w:cs="宋体"/>
                <w:bCs/>
                <w:color w:val="auto"/>
                <w:kern w:val="1"/>
                <w:szCs w:val="21"/>
                <w:highlight w:val="none"/>
                <w:lang w:val="en-US" w:eastAsia="zh-CN"/>
              </w:rPr>
              <w:t>注：提供相关证明材料，未提供不得分。</w:t>
            </w:r>
          </w:p>
        </w:tc>
      </w:tr>
      <w:tr w14:paraId="1CA8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98" w:type="dxa"/>
            <w:vMerge w:val="continue"/>
            <w:noWrap w:val="0"/>
            <w:vAlign w:val="center"/>
          </w:tcPr>
          <w:p w14:paraId="610084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600ADC6E">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5.质量保障措施（7分）</w:t>
            </w:r>
          </w:p>
        </w:tc>
        <w:tc>
          <w:tcPr>
            <w:tcW w:w="6922" w:type="dxa"/>
            <w:shd w:val="clear" w:color="auto" w:fill="auto"/>
            <w:noWrap w:val="0"/>
            <w:vAlign w:val="center"/>
          </w:tcPr>
          <w:p w14:paraId="23A1A95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根据供应商编制质量保障措施（包括但不限于完善的内部控制流程、文件审核机制及职业过错赔偿承诺等）</w:t>
            </w:r>
          </w:p>
          <w:p w14:paraId="0F4CAFB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相关措施的内容详细且全面，</w:t>
            </w:r>
            <w:r>
              <w:rPr>
                <w:rFonts w:hint="eastAsia" w:ascii="宋体" w:hAnsi="宋体" w:eastAsia="宋体" w:cs="宋体"/>
                <w:b w:val="0"/>
                <w:bCs w:val="0"/>
                <w:color w:val="auto"/>
                <w:sz w:val="21"/>
                <w:szCs w:val="21"/>
                <w:highlight w:val="none"/>
                <w:lang w:eastAsia="zh-CN"/>
              </w:rPr>
              <w:t>合理可行，</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 w:eastAsia="zh-CN"/>
              </w:rPr>
              <w:t>分；</w:t>
            </w:r>
          </w:p>
          <w:p w14:paraId="4B06B81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w:t>
            </w:r>
            <w:r>
              <w:rPr>
                <w:rFonts w:hint="eastAsia" w:ascii="宋体" w:hAnsi="宋体" w:eastAsia="宋体" w:cs="宋体"/>
                <w:b w:val="0"/>
                <w:bCs w:val="0"/>
                <w:color w:val="auto"/>
                <w:sz w:val="21"/>
                <w:szCs w:val="21"/>
                <w:highlight w:val="none"/>
                <w:lang w:eastAsia="zh-CN"/>
              </w:rPr>
              <w:t>无缺失，</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基本满足项目采购需求的得4分；</w:t>
            </w:r>
          </w:p>
          <w:p w14:paraId="73B93EE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相关措施的内容不全面，无针对性，不满足项目采购需求的得1分；</w:t>
            </w:r>
          </w:p>
          <w:p w14:paraId="3C830EE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highlight w:val="none"/>
                <w:lang w:val="en-US" w:eastAsia="zh-CN"/>
              </w:rPr>
            </w:pPr>
            <w:r>
              <w:rPr>
                <w:rFonts w:hint="eastAsia" w:ascii="宋体" w:hAnsi="宋体" w:eastAsia="宋体" w:cs="宋体"/>
                <w:b w:val="0"/>
                <w:bCs w:val="0"/>
                <w:color w:val="auto"/>
                <w:sz w:val="21"/>
                <w:szCs w:val="21"/>
                <w:highlight w:val="none"/>
                <w:lang w:eastAsia="zh-CN"/>
              </w:rPr>
              <w:t>若缺项得0分。</w:t>
            </w:r>
          </w:p>
        </w:tc>
      </w:tr>
      <w:tr w14:paraId="7DB1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98" w:type="dxa"/>
            <w:vMerge w:val="continue"/>
            <w:noWrap w:val="0"/>
            <w:vAlign w:val="center"/>
          </w:tcPr>
          <w:p w14:paraId="69DE45A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764FBD45">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7.档案管理方案（5分）</w:t>
            </w:r>
          </w:p>
        </w:tc>
        <w:tc>
          <w:tcPr>
            <w:tcW w:w="6922" w:type="dxa"/>
            <w:shd w:val="clear" w:color="auto" w:fill="auto"/>
            <w:noWrap w:val="0"/>
            <w:vAlign w:val="center"/>
          </w:tcPr>
          <w:p w14:paraId="5959B877">
            <w:pPr>
              <w:rPr>
                <w:rFonts w:hint="default" w:ascii="宋体" w:hAnsi="宋体" w:eastAsia="宋体" w:cs="宋体"/>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highlight w:val="none"/>
                <w:lang w:val="en-US" w:eastAsia="zh-CN"/>
              </w:rPr>
              <w:t>档案全流程管理方案；</w:t>
            </w:r>
            <w:r>
              <w:rPr>
                <w:rFonts w:hint="eastAsia" w:ascii="宋体" w:hAnsi="宋体" w:cs="宋体"/>
                <w:highlight w:val="none"/>
              </w:rPr>
              <w:t>②</w:t>
            </w:r>
            <w:r>
              <w:rPr>
                <w:rFonts w:hint="eastAsia" w:ascii="宋体" w:hAnsi="宋体" w:cs="宋体"/>
                <w:highlight w:val="none"/>
                <w:lang w:val="en-US" w:eastAsia="zh-CN"/>
              </w:rPr>
              <w:t>档案安全及保密管理；</w:t>
            </w:r>
            <w:r>
              <w:rPr>
                <w:rFonts w:hint="eastAsia" w:ascii="宋体" w:hAnsi="宋体" w:cs="宋体"/>
                <w:highlight w:val="none"/>
              </w:rPr>
              <w:t>③</w:t>
            </w:r>
            <w:r>
              <w:rPr>
                <w:rFonts w:hint="eastAsia" w:ascii="宋体" w:hAnsi="宋体" w:cs="宋体"/>
                <w:highlight w:val="none"/>
                <w:lang w:val="en-US" w:eastAsia="zh-CN"/>
              </w:rPr>
              <w:t>针对医院特色（如医疗纠纷、药品采购、合规性等）的专项管理措施。</w:t>
            </w:r>
          </w:p>
          <w:p w14:paraId="128E8EA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档案管理合规、专业性强、安全及保密措施到位，方案贴近医院需求的，得5分。</w:t>
            </w:r>
          </w:p>
          <w:p w14:paraId="1AEC0E0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档案管理合规、专业性较强、安全及保密措施到位，方案较贴近医院需求的，得3分。</w:t>
            </w:r>
          </w:p>
          <w:p w14:paraId="29F2692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档案管理有待完善，</w:t>
            </w:r>
            <w:r>
              <w:rPr>
                <w:rFonts w:hint="eastAsia" w:ascii="宋体" w:hAnsi="宋体" w:eastAsia="宋体" w:cs="宋体"/>
                <w:b w:val="0"/>
                <w:bCs w:val="0"/>
                <w:color w:val="auto"/>
                <w:sz w:val="21"/>
                <w:szCs w:val="21"/>
                <w:highlight w:val="none"/>
                <w:u w:val="none"/>
                <w:lang w:val="en-US" w:eastAsia="zh-CN"/>
              </w:rPr>
              <w:t>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tc>
      </w:tr>
      <w:tr w14:paraId="1B00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98" w:type="dxa"/>
            <w:vMerge w:val="continue"/>
            <w:noWrap w:val="0"/>
            <w:vAlign w:val="center"/>
          </w:tcPr>
          <w:p w14:paraId="490E9BE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13794EA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应急预案及风险控制(5 分)</w:t>
            </w:r>
          </w:p>
        </w:tc>
        <w:tc>
          <w:tcPr>
            <w:tcW w:w="6922" w:type="dxa"/>
            <w:shd w:val="clear" w:color="auto" w:fill="auto"/>
            <w:noWrap w:val="0"/>
            <w:vAlign w:val="center"/>
          </w:tcPr>
          <w:p w14:paraId="6DA0A61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根据供应商编制</w:t>
            </w:r>
            <w:r>
              <w:rPr>
                <w:rFonts w:hint="eastAsia" w:ascii="宋体" w:hAnsi="宋体" w:cs="宋体"/>
                <w:b w:val="0"/>
                <w:bCs w:val="0"/>
                <w:color w:val="auto"/>
                <w:sz w:val="21"/>
                <w:szCs w:val="21"/>
                <w:highlight w:val="none"/>
                <w:lang w:val="en-US" w:eastAsia="zh-CN"/>
              </w:rPr>
              <w:t>应急</w:t>
            </w:r>
            <w:r>
              <w:rPr>
                <w:rFonts w:hint="eastAsia" w:ascii="宋体" w:hAnsi="宋体" w:eastAsia="宋体" w:cs="宋体"/>
                <w:b w:val="0"/>
                <w:bCs w:val="0"/>
                <w:color w:val="auto"/>
                <w:sz w:val="21"/>
                <w:szCs w:val="21"/>
                <w:highlight w:val="none"/>
                <w:lang w:eastAsia="zh-CN"/>
              </w:rPr>
              <w:t>情况</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群体性医患冲突、舆情事件或重大医疗事故等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的处理措施、应急预案及风险控制：</w:t>
            </w:r>
          </w:p>
          <w:p w14:paraId="33D48BE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相关措施及应急预案健全、合理可行</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可操作性强</w:t>
            </w:r>
            <w:r>
              <w:rPr>
                <w:rFonts w:hint="eastAsia" w:ascii="宋体" w:hAnsi="宋体" w:eastAsia="宋体" w:cs="宋体"/>
                <w:b w:val="0"/>
                <w:bCs w:val="0"/>
                <w:color w:val="auto"/>
                <w:sz w:val="21"/>
                <w:szCs w:val="21"/>
                <w:highlight w:val="none"/>
                <w:lang w:eastAsia="zh-CN"/>
              </w:rPr>
              <w:t xml:space="preserve">，完全满足项目需求的得 </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 xml:space="preserve"> 分；</w:t>
            </w:r>
          </w:p>
          <w:p w14:paraId="350EA44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w:t>
            </w:r>
            <w:r>
              <w:rPr>
                <w:rFonts w:hint="eastAsia" w:ascii="宋体" w:hAnsi="宋体" w:cs="宋体"/>
                <w:b w:val="0"/>
                <w:bCs w:val="0"/>
                <w:color w:val="auto"/>
                <w:sz w:val="21"/>
                <w:szCs w:val="21"/>
                <w:highlight w:val="none"/>
                <w:lang w:val="en-US" w:eastAsia="zh-CN"/>
              </w:rPr>
              <w:t>较完善、可操作性较强的</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基本满足采购需求</w:t>
            </w:r>
            <w:r>
              <w:rPr>
                <w:rFonts w:hint="eastAsia" w:ascii="宋体" w:hAnsi="宋体" w:eastAsia="宋体" w:cs="宋体"/>
                <w:b w:val="0"/>
                <w:bCs w:val="0"/>
                <w:color w:val="auto"/>
                <w:sz w:val="21"/>
                <w:szCs w:val="21"/>
                <w:highlight w:val="none"/>
                <w:lang w:eastAsia="zh-CN"/>
              </w:rPr>
              <w:t>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 xml:space="preserve"> 分；</w:t>
            </w:r>
          </w:p>
          <w:p w14:paraId="2CB5EDF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相关措施及应急预案不</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eastAsia="zh-CN"/>
              </w:rPr>
              <w:t>，有待</w:t>
            </w:r>
            <w:r>
              <w:rPr>
                <w:rFonts w:hint="eastAsia" w:ascii="宋体" w:hAnsi="宋体" w:cs="宋体"/>
                <w:b w:val="0"/>
                <w:bCs w:val="0"/>
                <w:color w:val="auto"/>
                <w:sz w:val="21"/>
                <w:szCs w:val="21"/>
                <w:highlight w:val="none"/>
                <w:lang w:val="en-US" w:eastAsia="zh-CN"/>
              </w:rPr>
              <w:t>提升</w:t>
            </w:r>
            <w:r>
              <w:rPr>
                <w:rFonts w:hint="eastAsia" w:ascii="宋体" w:hAnsi="宋体" w:eastAsia="宋体" w:cs="宋体"/>
                <w:b w:val="0"/>
                <w:bCs w:val="0"/>
                <w:color w:val="auto"/>
                <w:sz w:val="21"/>
                <w:szCs w:val="21"/>
                <w:highlight w:val="none"/>
                <w:lang w:eastAsia="zh-CN"/>
              </w:rPr>
              <w:t>的得1 分；</w:t>
            </w:r>
          </w:p>
          <w:p w14:paraId="2B92D81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未提供的不得分。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98" w:type="dxa"/>
            <w:vMerge w:val="restart"/>
            <w:noWrap w:val="0"/>
            <w:vAlign w:val="center"/>
          </w:tcPr>
          <w:p w14:paraId="12A3C5B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p w14:paraId="1691DE8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p w14:paraId="6CD3009F">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r>
              <w:rPr>
                <w:rFonts w:hint="eastAsia" w:ascii="宋体" w:hAnsi="宋体" w:cs="宋体"/>
                <w:b w:val="0"/>
                <w:bCs w:val="0"/>
                <w:color w:val="auto"/>
                <w:sz w:val="21"/>
                <w:szCs w:val="21"/>
                <w:highlight w:val="none"/>
                <w:lang w:val="en-US" w:eastAsia="zh-CN"/>
              </w:rPr>
              <w:br w:type="textWrapping"/>
            </w:r>
            <w:r>
              <w:rPr>
                <w:rFonts w:hint="eastAsia" w:ascii="宋体" w:hAnsi="宋体" w:cs="宋体"/>
                <w:b w:val="0"/>
                <w:bCs w:val="0"/>
                <w:color w:val="auto"/>
                <w:sz w:val="21"/>
                <w:szCs w:val="21"/>
                <w:highlight w:val="none"/>
                <w:lang w:val="en-US" w:eastAsia="zh-CN"/>
              </w:rPr>
              <w:t>（12分）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C018AA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.类似业绩</w:t>
            </w:r>
            <w:r>
              <w:rPr>
                <w:rFonts w:hint="eastAsia" w:ascii="宋体" w:hAnsi="宋体" w:cs="宋体"/>
                <w:b w:val="0"/>
                <w:bCs w:val="0"/>
                <w:color w:val="auto"/>
                <w:sz w:val="21"/>
                <w:szCs w:val="21"/>
                <w:highlight w:val="none"/>
                <w:lang w:val="en-US" w:eastAsia="zh-CN"/>
              </w:rPr>
              <w:t>（8分）</w:t>
            </w:r>
          </w:p>
        </w:tc>
        <w:tc>
          <w:tcPr>
            <w:tcW w:w="6922" w:type="dxa"/>
            <w:noWrap w:val="0"/>
            <w:vAlign w:val="top"/>
          </w:tcPr>
          <w:p w14:paraId="12D9C43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供应商2022年1月1日具有的类似服务业绩</w:t>
            </w:r>
            <w:r>
              <w:rPr>
                <w:rFonts w:hint="eastAsia" w:ascii="宋体" w:hAnsi="宋体" w:cs="宋体"/>
                <w:color w:val="auto"/>
                <w:highlight w:val="none"/>
                <w:lang w:val="en-US" w:eastAsia="zh-CN"/>
              </w:rPr>
              <w:t>（常年法律顾问服务、医疗纠纷案件、合同纠纷等）</w:t>
            </w:r>
            <w:r>
              <w:rPr>
                <w:rFonts w:hint="eastAsia" w:ascii="宋体" w:hAnsi="宋体" w:eastAsia="宋体" w:cs="宋体"/>
                <w:color w:val="auto"/>
                <w:highlight w:val="none"/>
                <w:lang w:val="en-US" w:eastAsia="zh-CN"/>
              </w:rPr>
              <w:t>，每提供一份得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7879979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注：提供合同扫描件。</w:t>
            </w:r>
          </w:p>
        </w:tc>
      </w:tr>
      <w:tr w14:paraId="6703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198" w:type="dxa"/>
            <w:vMerge w:val="continue"/>
            <w:noWrap w:val="0"/>
            <w:vAlign w:val="center"/>
          </w:tcPr>
          <w:p w14:paraId="07E7783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C6FE2EF">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firstLine="21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.培训</w:t>
            </w:r>
          </w:p>
          <w:p w14:paraId="51E9348F">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firstLine="21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（4分）</w:t>
            </w:r>
          </w:p>
        </w:tc>
        <w:tc>
          <w:tcPr>
            <w:tcW w:w="6922" w:type="dxa"/>
            <w:noWrap w:val="0"/>
            <w:vAlign w:val="top"/>
          </w:tcPr>
          <w:p w14:paraId="5804F4A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根据投标人针对本项目提供的法律宣传及培训方案进行评分，方案中包括：①法律宣传、培训内容及人员安排；②法律宣传及培训计划。</w:t>
            </w:r>
          </w:p>
          <w:p w14:paraId="174F03E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培训方案具有针对性，可操作性强，完全满足采购需求的得4分。</w:t>
            </w:r>
          </w:p>
          <w:p w14:paraId="52CA32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培训方案有待完善的得2分。</w:t>
            </w:r>
          </w:p>
          <w:p w14:paraId="5AAB581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D6334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响应表（格式）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 xml:space="preserve">附件6 </w:t>
      </w:r>
      <w:bookmarkEnd w:id="62"/>
      <w:r>
        <w:rPr>
          <w:rFonts w:hint="eastAsia" w:ascii="宋体" w:hAnsi="宋体" w:eastAsia="宋体" w:cs="宋体"/>
          <w:color w:val="auto"/>
          <w:sz w:val="24"/>
          <w:highlight w:val="none"/>
        </w:rPr>
        <w:t>法定代表人身份证明（格式）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bookmarkEnd w:id="63"/>
      <w:r>
        <w:rPr>
          <w:rFonts w:hint="eastAsia" w:ascii="宋体" w:hAnsi="宋体" w:eastAsia="宋体" w:cs="宋体"/>
          <w:color w:val="auto"/>
          <w:sz w:val="24"/>
          <w:highlight w:val="none"/>
        </w:rPr>
        <w:t>法定代表人授权书（格式）</w:t>
      </w:r>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bookmarkEnd w:id="64"/>
      <w:r>
        <w:rPr>
          <w:rFonts w:hint="eastAsia" w:ascii="宋体" w:hAnsi="宋体" w:eastAsia="宋体" w:cs="宋体"/>
          <w:color w:val="auto"/>
          <w:sz w:val="24"/>
          <w:highlight w:val="none"/>
        </w:rPr>
        <w:t>证明文件</w:t>
      </w:r>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 xml:space="preserve">附件9 </w:t>
      </w:r>
      <w:bookmarkEnd w:id="65"/>
      <w:r>
        <w:rPr>
          <w:rFonts w:hint="eastAsia" w:ascii="宋体" w:hAnsi="宋体" w:eastAsia="宋体" w:cs="宋体"/>
          <w:color w:val="auto"/>
          <w:sz w:val="24"/>
          <w:highlight w:val="none"/>
        </w:rPr>
        <w:t>供应商承诺书（格式）</w:t>
      </w:r>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 xml:space="preserve">附件10 </w:t>
      </w:r>
      <w:bookmarkEnd w:id="66"/>
      <w:r>
        <w:rPr>
          <w:rFonts w:hint="eastAsia" w:ascii="宋体" w:hAnsi="宋体" w:eastAsia="宋体" w:cs="宋体"/>
          <w:color w:val="auto"/>
          <w:sz w:val="24"/>
          <w:highlight w:val="none"/>
          <w:lang w:val="en-US" w:eastAsia="zh-CN"/>
        </w:rPr>
        <w:t>供应商信用承诺函（格式）</w:t>
      </w:r>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021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3504CF5">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5DB23650">
            <w:pPr>
              <w:rPr>
                <w:rFonts w:hint="eastAsia" w:ascii="宋体" w:hAnsi="宋体" w:eastAsia="宋体" w:cs="宋体"/>
                <w:bCs/>
                <w:color w:val="auto"/>
                <w:szCs w:val="21"/>
                <w:highlight w:val="none"/>
              </w:rPr>
            </w:pPr>
          </w:p>
        </w:tc>
      </w:tr>
      <w:tr w14:paraId="1411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FA68A1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4B8030B0">
            <w:pPr>
              <w:rPr>
                <w:rFonts w:hint="eastAsia" w:ascii="宋体" w:hAnsi="宋体" w:eastAsia="宋体" w:cs="宋体"/>
                <w:color w:val="auto"/>
                <w:szCs w:val="21"/>
                <w:highlight w:val="none"/>
              </w:rPr>
            </w:pPr>
          </w:p>
        </w:tc>
      </w:tr>
      <w:tr w14:paraId="5A9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78" w:type="dxa"/>
            <w:noWrap/>
            <w:vAlign w:val="center"/>
          </w:tcPr>
          <w:p w14:paraId="2B6A2E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708" w:type="dxa"/>
            <w:noWrap/>
            <w:vAlign w:val="center"/>
          </w:tcPr>
          <w:p w14:paraId="73EAA1C6">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基础费用：</w:t>
            </w:r>
          </w:p>
          <w:p w14:paraId="69CAB778">
            <w:pPr>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大写：</w:t>
            </w:r>
            <w:r>
              <w:rPr>
                <w:rFonts w:hint="eastAsia" w:ascii="宋体" w:hAnsi="宋体" w:eastAsia="宋体" w:cs="宋体"/>
                <w:highlight w:val="none"/>
                <w:u w:val="single"/>
                <w:lang w:val="en-US" w:eastAsia="zh-CN"/>
              </w:rPr>
              <w:t xml:space="preserve">        </w:t>
            </w:r>
          </w:p>
          <w:p w14:paraId="667F664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小写：</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元/年（详见报价明细表）</w:t>
            </w:r>
          </w:p>
          <w:p w14:paraId="685EDA3A">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额外、激励费用：</w:t>
            </w:r>
          </w:p>
          <w:p w14:paraId="067B429B">
            <w:pPr>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大写：</w:t>
            </w:r>
            <w:r>
              <w:rPr>
                <w:rFonts w:hint="eastAsia" w:ascii="宋体" w:hAnsi="宋体" w:eastAsia="宋体" w:cs="宋体"/>
                <w:highlight w:val="none"/>
                <w:u w:val="single"/>
                <w:lang w:val="en-US" w:eastAsia="zh-CN"/>
              </w:rPr>
              <w:t xml:space="preserve">           </w:t>
            </w:r>
          </w:p>
          <w:p w14:paraId="7674A904">
            <w:pPr>
              <w:rPr>
                <w:rFonts w:hint="eastAsia" w:ascii="宋体" w:hAnsi="宋体" w:eastAsia="宋体" w:cs="宋体"/>
                <w:color w:val="auto"/>
                <w:szCs w:val="21"/>
                <w:highlight w:val="none"/>
                <w:lang w:val="en-US" w:eastAsia="zh-CN"/>
              </w:rPr>
            </w:pPr>
            <w:r>
              <w:rPr>
                <w:rFonts w:hint="eastAsia" w:ascii="宋体" w:hAnsi="宋体" w:eastAsia="宋体" w:cs="宋体"/>
                <w:highlight w:val="none"/>
                <w:lang w:val="en-US" w:eastAsia="zh-CN"/>
              </w:rPr>
              <w:t xml:space="preserve">小写：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w:t>
            </w:r>
            <w:r>
              <w:rPr>
                <w:rFonts w:hint="eastAsia" w:ascii="宋体" w:hAnsi="宋体" w:eastAsia="宋体" w:cs="宋体"/>
                <w:highlight w:val="none"/>
                <w:lang w:val="en-US" w:eastAsia="zh-CN"/>
              </w:rPr>
              <w:t>（详见报价明细表）</w:t>
            </w:r>
          </w:p>
        </w:tc>
      </w:tr>
      <w:tr w14:paraId="1AF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F916B69">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lang w:val="en-US" w:eastAsia="zh-CN"/>
              </w:rPr>
              <w:t>文件有效期</w:t>
            </w:r>
          </w:p>
        </w:tc>
        <w:tc>
          <w:tcPr>
            <w:tcW w:w="7708" w:type="dxa"/>
            <w:noWrap/>
            <w:vAlign w:val="center"/>
          </w:tcPr>
          <w:p w14:paraId="78432763">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截止期结束后</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w:t>
            </w:r>
          </w:p>
        </w:tc>
      </w:tr>
      <w:tr w14:paraId="5C5B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7EA0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3A9A4017">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37B3283C">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rPr>
        <w:t>1、本表报价“基本费用”以“</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w:t>
      </w:r>
      <w:r>
        <w:rPr>
          <w:rFonts w:hint="eastAsia" w:ascii="宋体" w:hAnsi="宋体" w:eastAsia="宋体" w:cs="宋体"/>
          <w:b/>
          <w:bCs/>
          <w:highlight w:val="none"/>
          <w:lang w:val="en-US" w:eastAsia="zh-CN"/>
        </w:rPr>
        <w:t>额外、激励费用</w:t>
      </w:r>
      <w:r>
        <w:rPr>
          <w:rFonts w:hint="eastAsia" w:ascii="宋体" w:hAnsi="宋体" w:eastAsia="宋体" w:cs="宋体"/>
          <w:b/>
          <w:bCs/>
          <w:color w:val="auto"/>
          <w:kern w:val="0"/>
          <w:szCs w:val="21"/>
          <w:highlight w:val="none"/>
          <w:lang w:val="en-US" w:eastAsia="zh-CN"/>
        </w:rPr>
        <w:t>（年结算价扣除基本费用之后剩余的费用）</w:t>
      </w:r>
      <w:r>
        <w:rPr>
          <w:rFonts w:hint="eastAsia" w:ascii="宋体" w:hAnsi="宋体" w:eastAsia="宋体" w:cs="宋体"/>
          <w:b/>
          <w:bCs/>
          <w:color w:val="auto"/>
          <w:kern w:val="0"/>
          <w:szCs w:val="21"/>
          <w:highlight w:val="none"/>
          <w:lang w:eastAsia="zh-CN"/>
        </w:rPr>
        <w:t>”以“</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”为基础进行报价，报价不得超过“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bookmarkStart w:id="74" w:name="_Toc2747"/>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bookmarkEnd w:id="74"/>
      <w:r>
        <w:rPr>
          <w:rFonts w:hint="eastAsia" w:ascii="宋体" w:hAnsi="宋体" w:eastAsia="宋体" w:cs="宋体"/>
          <w:color w:val="auto"/>
          <w:sz w:val="21"/>
          <w:szCs w:val="21"/>
          <w:highlight w:val="none"/>
          <w:lang w:val="en-US" w:eastAsia="zh-CN"/>
        </w:rPr>
        <w:t>若认为符合价格折扣条件的，在“备注”栏内注明符合何种折扣条件，以方便评委评审。</w:t>
      </w:r>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 xml:space="preserve">  附件4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4168"/>
      <w:bookmarkStart w:id="83" w:name="_Toc29960"/>
      <w:r>
        <w:rPr>
          <w:rFonts w:hint="eastAsia" w:ascii="宋体" w:hAnsi="宋体" w:eastAsia="宋体" w:cs="宋体"/>
          <w:color w:val="auto"/>
          <w:sz w:val="28"/>
          <w:szCs w:val="28"/>
          <w:highlight w:val="none"/>
          <w:lang w:val="en-US" w:eastAsia="zh-CN"/>
        </w:rPr>
        <w:t>附件5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附件6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default"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正反面</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30519"/>
      <w:bookmarkStart w:id="88" w:name="_Toc12939"/>
      <w:bookmarkStart w:id="89" w:name="_Toc13976"/>
      <w:r>
        <w:rPr>
          <w:rFonts w:hint="eastAsia" w:ascii="宋体" w:hAnsi="宋体" w:eastAsia="宋体" w:cs="宋体"/>
          <w:color w:val="auto"/>
          <w:sz w:val="28"/>
          <w:szCs w:val="28"/>
          <w:highlight w:val="none"/>
          <w:lang w:val="en-US" w:eastAsia="zh-CN"/>
        </w:rPr>
        <w:t>附件7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正反面</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附件8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2888"/>
      <w:bookmarkStart w:id="95" w:name="_Toc13726"/>
      <w:bookmarkStart w:id="96"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7D92CCDB">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BD39B9C">
      <w:pPr>
        <w:spacing w:line="360" w:lineRule="auto"/>
        <w:ind w:firstLine="630" w:firstLineChars="3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31685"/>
      <w:bookmarkStart w:id="98" w:name="_Toc25094"/>
      <w:bookmarkStart w:id="99"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驻马店市中心医院2026年度法律顾问服务项目竞争性磋商文件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1F6F"/>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94D59"/>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45A09"/>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C1887"/>
    <w:rsid w:val="087B41C0"/>
    <w:rsid w:val="087C4541"/>
    <w:rsid w:val="087E5595"/>
    <w:rsid w:val="088E3EF3"/>
    <w:rsid w:val="08BC0A60"/>
    <w:rsid w:val="08C52D6F"/>
    <w:rsid w:val="08E42BE4"/>
    <w:rsid w:val="08EF0201"/>
    <w:rsid w:val="08F41DE8"/>
    <w:rsid w:val="08FA3336"/>
    <w:rsid w:val="093D1475"/>
    <w:rsid w:val="094840A2"/>
    <w:rsid w:val="094A67BB"/>
    <w:rsid w:val="09523172"/>
    <w:rsid w:val="09644C54"/>
    <w:rsid w:val="09727371"/>
    <w:rsid w:val="09737462"/>
    <w:rsid w:val="09792B7A"/>
    <w:rsid w:val="099156C3"/>
    <w:rsid w:val="09A33F5B"/>
    <w:rsid w:val="09A53F39"/>
    <w:rsid w:val="09A60E13"/>
    <w:rsid w:val="09A82D92"/>
    <w:rsid w:val="09AB2883"/>
    <w:rsid w:val="09B71227"/>
    <w:rsid w:val="09BC4A90"/>
    <w:rsid w:val="09CD0A4B"/>
    <w:rsid w:val="09D206F0"/>
    <w:rsid w:val="09DC0C8E"/>
    <w:rsid w:val="0A321AC2"/>
    <w:rsid w:val="0A343D4E"/>
    <w:rsid w:val="0A344626"/>
    <w:rsid w:val="0A3E6D2E"/>
    <w:rsid w:val="0A4232E4"/>
    <w:rsid w:val="0A4F145F"/>
    <w:rsid w:val="0A8455AD"/>
    <w:rsid w:val="0A8729A8"/>
    <w:rsid w:val="0AD13A85"/>
    <w:rsid w:val="0AD563C8"/>
    <w:rsid w:val="0AE0655C"/>
    <w:rsid w:val="0AEE1F55"/>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77F4"/>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DB308A"/>
    <w:rsid w:val="0CE20369"/>
    <w:rsid w:val="0CEE5A21"/>
    <w:rsid w:val="0D05268E"/>
    <w:rsid w:val="0D0646E7"/>
    <w:rsid w:val="0D0C38CA"/>
    <w:rsid w:val="0D206810"/>
    <w:rsid w:val="0D2C7836"/>
    <w:rsid w:val="0D444B80"/>
    <w:rsid w:val="0D4861FD"/>
    <w:rsid w:val="0D735465"/>
    <w:rsid w:val="0DC577E0"/>
    <w:rsid w:val="0DDC6319"/>
    <w:rsid w:val="0DE1181F"/>
    <w:rsid w:val="0DF20A80"/>
    <w:rsid w:val="0DFA5B87"/>
    <w:rsid w:val="0DFE4F67"/>
    <w:rsid w:val="0E0C0D4C"/>
    <w:rsid w:val="0E115DA1"/>
    <w:rsid w:val="0E1409F6"/>
    <w:rsid w:val="0E162D6D"/>
    <w:rsid w:val="0E460DCC"/>
    <w:rsid w:val="0E541CA2"/>
    <w:rsid w:val="0E576B35"/>
    <w:rsid w:val="0E594756"/>
    <w:rsid w:val="0E6354DA"/>
    <w:rsid w:val="0E707BF7"/>
    <w:rsid w:val="0E95596D"/>
    <w:rsid w:val="0EAE6205"/>
    <w:rsid w:val="0EAE6579"/>
    <w:rsid w:val="0EAF71BF"/>
    <w:rsid w:val="0ECE6257"/>
    <w:rsid w:val="0EE4129D"/>
    <w:rsid w:val="0F171032"/>
    <w:rsid w:val="0F335E69"/>
    <w:rsid w:val="0F372614"/>
    <w:rsid w:val="0F3D59C9"/>
    <w:rsid w:val="0F516D5A"/>
    <w:rsid w:val="0F565B36"/>
    <w:rsid w:val="0F580DB7"/>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0E3E23"/>
    <w:rsid w:val="111D7BC2"/>
    <w:rsid w:val="11250F40"/>
    <w:rsid w:val="113329E7"/>
    <w:rsid w:val="113F294C"/>
    <w:rsid w:val="11437C85"/>
    <w:rsid w:val="11575085"/>
    <w:rsid w:val="11586E4C"/>
    <w:rsid w:val="1166372C"/>
    <w:rsid w:val="11700D10"/>
    <w:rsid w:val="1178125A"/>
    <w:rsid w:val="118441E0"/>
    <w:rsid w:val="118C1A02"/>
    <w:rsid w:val="1196056D"/>
    <w:rsid w:val="11B322D4"/>
    <w:rsid w:val="11B85B3D"/>
    <w:rsid w:val="11CD20A0"/>
    <w:rsid w:val="11D34654"/>
    <w:rsid w:val="12010480"/>
    <w:rsid w:val="120E707F"/>
    <w:rsid w:val="121D0051"/>
    <w:rsid w:val="122D6448"/>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7785B"/>
    <w:rsid w:val="13713CFE"/>
    <w:rsid w:val="13733928"/>
    <w:rsid w:val="13741F37"/>
    <w:rsid w:val="13857CA0"/>
    <w:rsid w:val="13920D68"/>
    <w:rsid w:val="139C16C9"/>
    <w:rsid w:val="13A5238E"/>
    <w:rsid w:val="13AE71F7"/>
    <w:rsid w:val="13B63CE1"/>
    <w:rsid w:val="13BC6684"/>
    <w:rsid w:val="13C72B3A"/>
    <w:rsid w:val="13D12EE6"/>
    <w:rsid w:val="13DF575E"/>
    <w:rsid w:val="13E470BD"/>
    <w:rsid w:val="13EE3A98"/>
    <w:rsid w:val="13F3280A"/>
    <w:rsid w:val="13F63499"/>
    <w:rsid w:val="142123F7"/>
    <w:rsid w:val="142A11D8"/>
    <w:rsid w:val="142E65C5"/>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86800"/>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8406E3"/>
    <w:rsid w:val="169311EC"/>
    <w:rsid w:val="169C5A2D"/>
    <w:rsid w:val="169F7296"/>
    <w:rsid w:val="16A060BA"/>
    <w:rsid w:val="16A57EAF"/>
    <w:rsid w:val="16A668AC"/>
    <w:rsid w:val="16A918E4"/>
    <w:rsid w:val="16AC6E3F"/>
    <w:rsid w:val="16B56AEF"/>
    <w:rsid w:val="16C872D5"/>
    <w:rsid w:val="16D54FA3"/>
    <w:rsid w:val="16D84D9F"/>
    <w:rsid w:val="16E64EFA"/>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3D34A2"/>
    <w:rsid w:val="184055B9"/>
    <w:rsid w:val="184A2082"/>
    <w:rsid w:val="185D3C42"/>
    <w:rsid w:val="185F38AF"/>
    <w:rsid w:val="18884F84"/>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662322"/>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75B52"/>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9B0535"/>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AB58BB"/>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0C74C8"/>
    <w:rsid w:val="1F171B83"/>
    <w:rsid w:val="1F2D4691"/>
    <w:rsid w:val="1F2D491A"/>
    <w:rsid w:val="1F3F789D"/>
    <w:rsid w:val="1F4E5D32"/>
    <w:rsid w:val="1F66355F"/>
    <w:rsid w:val="1F7369C7"/>
    <w:rsid w:val="1F9113A9"/>
    <w:rsid w:val="1F94547B"/>
    <w:rsid w:val="1FA47700"/>
    <w:rsid w:val="1FAF308C"/>
    <w:rsid w:val="1FB64FF9"/>
    <w:rsid w:val="1FC11109"/>
    <w:rsid w:val="1FCC06C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6D0BA4"/>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C6109"/>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2E13CA"/>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20D8"/>
    <w:rsid w:val="257572C3"/>
    <w:rsid w:val="25790E85"/>
    <w:rsid w:val="25965D3D"/>
    <w:rsid w:val="25972C60"/>
    <w:rsid w:val="25974C6F"/>
    <w:rsid w:val="259D1676"/>
    <w:rsid w:val="25A353EB"/>
    <w:rsid w:val="25B763DF"/>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0132"/>
    <w:rsid w:val="283C23DF"/>
    <w:rsid w:val="283D69F1"/>
    <w:rsid w:val="283E19C0"/>
    <w:rsid w:val="283F090E"/>
    <w:rsid w:val="284C16F5"/>
    <w:rsid w:val="285270EA"/>
    <w:rsid w:val="28570AB5"/>
    <w:rsid w:val="285F2CDC"/>
    <w:rsid w:val="28622C36"/>
    <w:rsid w:val="2869172C"/>
    <w:rsid w:val="288C2D07"/>
    <w:rsid w:val="289E7E22"/>
    <w:rsid w:val="28C2534B"/>
    <w:rsid w:val="28C5525A"/>
    <w:rsid w:val="28CC03F4"/>
    <w:rsid w:val="28D14B96"/>
    <w:rsid w:val="28FE2577"/>
    <w:rsid w:val="29020C46"/>
    <w:rsid w:val="290240C7"/>
    <w:rsid w:val="291713AF"/>
    <w:rsid w:val="291A2B97"/>
    <w:rsid w:val="291E69B1"/>
    <w:rsid w:val="29211DC2"/>
    <w:rsid w:val="29274EE0"/>
    <w:rsid w:val="294F692F"/>
    <w:rsid w:val="295029E3"/>
    <w:rsid w:val="29543A59"/>
    <w:rsid w:val="29670ED3"/>
    <w:rsid w:val="296879F1"/>
    <w:rsid w:val="2969197F"/>
    <w:rsid w:val="29746E87"/>
    <w:rsid w:val="297939AC"/>
    <w:rsid w:val="297C03C2"/>
    <w:rsid w:val="298E7457"/>
    <w:rsid w:val="299573AB"/>
    <w:rsid w:val="29B05804"/>
    <w:rsid w:val="29BE5BD0"/>
    <w:rsid w:val="29C01572"/>
    <w:rsid w:val="29C25353"/>
    <w:rsid w:val="29CA4207"/>
    <w:rsid w:val="29D82DC8"/>
    <w:rsid w:val="29DA08EE"/>
    <w:rsid w:val="29DB6414"/>
    <w:rsid w:val="29E74CE2"/>
    <w:rsid w:val="2A133E00"/>
    <w:rsid w:val="2A241B69"/>
    <w:rsid w:val="2A2E4796"/>
    <w:rsid w:val="2A306A36"/>
    <w:rsid w:val="2A355B25"/>
    <w:rsid w:val="2A41271B"/>
    <w:rsid w:val="2A457300"/>
    <w:rsid w:val="2A5372C6"/>
    <w:rsid w:val="2A5A558B"/>
    <w:rsid w:val="2A5B03D8"/>
    <w:rsid w:val="2A685EFA"/>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1F2E93"/>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6A365C"/>
    <w:rsid w:val="2C7566AC"/>
    <w:rsid w:val="2C7843EE"/>
    <w:rsid w:val="2CA25191"/>
    <w:rsid w:val="2CAC022C"/>
    <w:rsid w:val="2CC11807"/>
    <w:rsid w:val="2CC66CD6"/>
    <w:rsid w:val="2CE327BC"/>
    <w:rsid w:val="2CF16074"/>
    <w:rsid w:val="2CF241A1"/>
    <w:rsid w:val="2CF81D1B"/>
    <w:rsid w:val="2D01009B"/>
    <w:rsid w:val="2D3F2453"/>
    <w:rsid w:val="2D6F134E"/>
    <w:rsid w:val="2D7E5A35"/>
    <w:rsid w:val="2D835174"/>
    <w:rsid w:val="2D9331F9"/>
    <w:rsid w:val="2DD90B7B"/>
    <w:rsid w:val="2DD92C6B"/>
    <w:rsid w:val="2DDD3FC1"/>
    <w:rsid w:val="2DE531B8"/>
    <w:rsid w:val="2DEA131C"/>
    <w:rsid w:val="2DEF0453"/>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B72C24"/>
    <w:rsid w:val="2EC9327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D162F0"/>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3ED2"/>
    <w:rsid w:val="30D250CF"/>
    <w:rsid w:val="30E7260A"/>
    <w:rsid w:val="30EA0C38"/>
    <w:rsid w:val="31002970"/>
    <w:rsid w:val="311016AD"/>
    <w:rsid w:val="31220DA0"/>
    <w:rsid w:val="31253A1B"/>
    <w:rsid w:val="3136622A"/>
    <w:rsid w:val="31393501"/>
    <w:rsid w:val="3139422E"/>
    <w:rsid w:val="31496359"/>
    <w:rsid w:val="314D19A6"/>
    <w:rsid w:val="31580A38"/>
    <w:rsid w:val="315A2315"/>
    <w:rsid w:val="316177A4"/>
    <w:rsid w:val="31684A32"/>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1921D0"/>
    <w:rsid w:val="3224687F"/>
    <w:rsid w:val="322A7699"/>
    <w:rsid w:val="322B25C6"/>
    <w:rsid w:val="32422E70"/>
    <w:rsid w:val="325E56C6"/>
    <w:rsid w:val="3275698A"/>
    <w:rsid w:val="327C0679"/>
    <w:rsid w:val="32870EE7"/>
    <w:rsid w:val="32943B86"/>
    <w:rsid w:val="32A93829"/>
    <w:rsid w:val="32B943EC"/>
    <w:rsid w:val="32B9519B"/>
    <w:rsid w:val="32BA12BD"/>
    <w:rsid w:val="32C94540"/>
    <w:rsid w:val="32CC7242"/>
    <w:rsid w:val="32CE2FBA"/>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2276C9"/>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4C4922"/>
    <w:rsid w:val="365B4B65"/>
    <w:rsid w:val="36653C36"/>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67638"/>
    <w:rsid w:val="38382675"/>
    <w:rsid w:val="383B7B0D"/>
    <w:rsid w:val="3848553B"/>
    <w:rsid w:val="3851700B"/>
    <w:rsid w:val="385246B6"/>
    <w:rsid w:val="385E6B8E"/>
    <w:rsid w:val="3876113B"/>
    <w:rsid w:val="38883C0B"/>
    <w:rsid w:val="38A53DB7"/>
    <w:rsid w:val="38A74091"/>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AA5"/>
    <w:rsid w:val="3AA50E25"/>
    <w:rsid w:val="3AC566E3"/>
    <w:rsid w:val="3AD6747A"/>
    <w:rsid w:val="3AD95C48"/>
    <w:rsid w:val="3ADF5D0A"/>
    <w:rsid w:val="3AE83F75"/>
    <w:rsid w:val="3B021A53"/>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9C1A33"/>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7E1994"/>
    <w:rsid w:val="3D8E5820"/>
    <w:rsid w:val="3D942E29"/>
    <w:rsid w:val="3DA53531"/>
    <w:rsid w:val="3DB54E0C"/>
    <w:rsid w:val="3DB900C1"/>
    <w:rsid w:val="3DC35DCF"/>
    <w:rsid w:val="3DE51866"/>
    <w:rsid w:val="3DE91725"/>
    <w:rsid w:val="3DF159B1"/>
    <w:rsid w:val="3DF60D58"/>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EF2A79"/>
    <w:rsid w:val="40F701DF"/>
    <w:rsid w:val="40FD480A"/>
    <w:rsid w:val="411B59C4"/>
    <w:rsid w:val="412A32F8"/>
    <w:rsid w:val="4135001C"/>
    <w:rsid w:val="41401527"/>
    <w:rsid w:val="417F433E"/>
    <w:rsid w:val="41886F90"/>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6A94"/>
    <w:rsid w:val="431408DA"/>
    <w:rsid w:val="431B7C78"/>
    <w:rsid w:val="4331401E"/>
    <w:rsid w:val="43486FC5"/>
    <w:rsid w:val="43591DDA"/>
    <w:rsid w:val="435A0DF2"/>
    <w:rsid w:val="435B43F6"/>
    <w:rsid w:val="436673BC"/>
    <w:rsid w:val="436C42E1"/>
    <w:rsid w:val="437102E7"/>
    <w:rsid w:val="437C210F"/>
    <w:rsid w:val="43847F02"/>
    <w:rsid w:val="438F113C"/>
    <w:rsid w:val="439679FE"/>
    <w:rsid w:val="439E7EFB"/>
    <w:rsid w:val="43B12268"/>
    <w:rsid w:val="43B1568A"/>
    <w:rsid w:val="43B64E08"/>
    <w:rsid w:val="43BD7F58"/>
    <w:rsid w:val="43D43ECA"/>
    <w:rsid w:val="43DB28C0"/>
    <w:rsid w:val="43DD452F"/>
    <w:rsid w:val="43DE6CD4"/>
    <w:rsid w:val="43E51150"/>
    <w:rsid w:val="43EE12FB"/>
    <w:rsid w:val="43EF28BB"/>
    <w:rsid w:val="43EF56D3"/>
    <w:rsid w:val="43F47D80"/>
    <w:rsid w:val="43F565F9"/>
    <w:rsid w:val="44095C00"/>
    <w:rsid w:val="440A6FD2"/>
    <w:rsid w:val="4412373D"/>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17063"/>
    <w:rsid w:val="4702516A"/>
    <w:rsid w:val="471E5E67"/>
    <w:rsid w:val="4724600B"/>
    <w:rsid w:val="472E597E"/>
    <w:rsid w:val="47461B9F"/>
    <w:rsid w:val="474A4B33"/>
    <w:rsid w:val="47665A15"/>
    <w:rsid w:val="47677941"/>
    <w:rsid w:val="477C2B8D"/>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2F3E5D"/>
    <w:rsid w:val="48450F81"/>
    <w:rsid w:val="48455675"/>
    <w:rsid w:val="484E729D"/>
    <w:rsid w:val="48566773"/>
    <w:rsid w:val="485A23C2"/>
    <w:rsid w:val="48623B31"/>
    <w:rsid w:val="48691107"/>
    <w:rsid w:val="48711FC6"/>
    <w:rsid w:val="48895289"/>
    <w:rsid w:val="489363E0"/>
    <w:rsid w:val="48A16B62"/>
    <w:rsid w:val="48AE0D54"/>
    <w:rsid w:val="48B5169B"/>
    <w:rsid w:val="48BC6222"/>
    <w:rsid w:val="48C245E9"/>
    <w:rsid w:val="48DB312A"/>
    <w:rsid w:val="48DF49D9"/>
    <w:rsid w:val="48E45842"/>
    <w:rsid w:val="492108CC"/>
    <w:rsid w:val="49413F52"/>
    <w:rsid w:val="494F6304"/>
    <w:rsid w:val="49555444"/>
    <w:rsid w:val="49792B95"/>
    <w:rsid w:val="49EA43BE"/>
    <w:rsid w:val="49F11610"/>
    <w:rsid w:val="4A05334F"/>
    <w:rsid w:val="4A060864"/>
    <w:rsid w:val="4A244932"/>
    <w:rsid w:val="4A2922C8"/>
    <w:rsid w:val="4A4117B2"/>
    <w:rsid w:val="4A4A6F73"/>
    <w:rsid w:val="4A4F6337"/>
    <w:rsid w:val="4A7A4350"/>
    <w:rsid w:val="4A7B1703"/>
    <w:rsid w:val="4A7E2497"/>
    <w:rsid w:val="4A896826"/>
    <w:rsid w:val="4ABF5E17"/>
    <w:rsid w:val="4ACB00B3"/>
    <w:rsid w:val="4ACF7478"/>
    <w:rsid w:val="4AD52CE0"/>
    <w:rsid w:val="4ADB1B7B"/>
    <w:rsid w:val="4AE01A66"/>
    <w:rsid w:val="4AE104D6"/>
    <w:rsid w:val="4AE57948"/>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5A0A71"/>
    <w:rsid w:val="4D795A49"/>
    <w:rsid w:val="4D7F0082"/>
    <w:rsid w:val="4D862B2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6E4136"/>
    <w:rsid w:val="50901457"/>
    <w:rsid w:val="509F43E4"/>
    <w:rsid w:val="50A54D3E"/>
    <w:rsid w:val="50B82E88"/>
    <w:rsid w:val="50BB32A7"/>
    <w:rsid w:val="50CC5CB2"/>
    <w:rsid w:val="50F1402B"/>
    <w:rsid w:val="50FD2AD9"/>
    <w:rsid w:val="51081E85"/>
    <w:rsid w:val="51097D9A"/>
    <w:rsid w:val="511A650F"/>
    <w:rsid w:val="51237D2E"/>
    <w:rsid w:val="514B1E8F"/>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12AF2"/>
    <w:rsid w:val="542E2BC2"/>
    <w:rsid w:val="54352A96"/>
    <w:rsid w:val="54447390"/>
    <w:rsid w:val="54484523"/>
    <w:rsid w:val="544B514D"/>
    <w:rsid w:val="545E1D01"/>
    <w:rsid w:val="54674051"/>
    <w:rsid w:val="547E174C"/>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38481B"/>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5561F2"/>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ED5D4C"/>
    <w:rsid w:val="5BF03D58"/>
    <w:rsid w:val="5BF20AFB"/>
    <w:rsid w:val="5BF31218"/>
    <w:rsid w:val="5C1A6BB2"/>
    <w:rsid w:val="5C272C70"/>
    <w:rsid w:val="5C292E8C"/>
    <w:rsid w:val="5C306D31"/>
    <w:rsid w:val="5C37233A"/>
    <w:rsid w:val="5C5355FE"/>
    <w:rsid w:val="5C5A49A5"/>
    <w:rsid w:val="5C6519EA"/>
    <w:rsid w:val="5C6715FE"/>
    <w:rsid w:val="5C6F4105"/>
    <w:rsid w:val="5C936557"/>
    <w:rsid w:val="5CBB7F6F"/>
    <w:rsid w:val="5CC248CE"/>
    <w:rsid w:val="5CE7381D"/>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5B1831"/>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13E05"/>
    <w:rsid w:val="5F3C4923"/>
    <w:rsid w:val="5F4160B0"/>
    <w:rsid w:val="5F5A7800"/>
    <w:rsid w:val="5F6368E9"/>
    <w:rsid w:val="5F7811D3"/>
    <w:rsid w:val="5F9A65E6"/>
    <w:rsid w:val="5F9B2627"/>
    <w:rsid w:val="5FA66B60"/>
    <w:rsid w:val="5FAC7B1F"/>
    <w:rsid w:val="5FB5266F"/>
    <w:rsid w:val="5FB80E3D"/>
    <w:rsid w:val="5FB831B4"/>
    <w:rsid w:val="5FD40999"/>
    <w:rsid w:val="5FE134EE"/>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4F04C5"/>
    <w:rsid w:val="61637D56"/>
    <w:rsid w:val="61712185"/>
    <w:rsid w:val="618B7207"/>
    <w:rsid w:val="61907E69"/>
    <w:rsid w:val="61A90D68"/>
    <w:rsid w:val="61B43A15"/>
    <w:rsid w:val="61B825BC"/>
    <w:rsid w:val="61DA0425"/>
    <w:rsid w:val="62051CA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0336A"/>
    <w:rsid w:val="659B1EBA"/>
    <w:rsid w:val="65A11CE5"/>
    <w:rsid w:val="65A83379"/>
    <w:rsid w:val="65B461E9"/>
    <w:rsid w:val="65BE39A8"/>
    <w:rsid w:val="65C23A09"/>
    <w:rsid w:val="65FB3FBE"/>
    <w:rsid w:val="66101A71"/>
    <w:rsid w:val="66171FA7"/>
    <w:rsid w:val="66247D11"/>
    <w:rsid w:val="663B3EC9"/>
    <w:rsid w:val="665A1E94"/>
    <w:rsid w:val="666176C6"/>
    <w:rsid w:val="66736112"/>
    <w:rsid w:val="667F5B5B"/>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4FE9"/>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8D0D5A"/>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B8406F"/>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1421E"/>
    <w:rsid w:val="6E7764EF"/>
    <w:rsid w:val="6E8403F6"/>
    <w:rsid w:val="6E963C85"/>
    <w:rsid w:val="6EAD447C"/>
    <w:rsid w:val="6EAE5472"/>
    <w:rsid w:val="6EBC069A"/>
    <w:rsid w:val="6EBE7228"/>
    <w:rsid w:val="6ECD7F59"/>
    <w:rsid w:val="6ECF449B"/>
    <w:rsid w:val="6ED975CA"/>
    <w:rsid w:val="6EED7C80"/>
    <w:rsid w:val="6EF773A4"/>
    <w:rsid w:val="6F1E2E65"/>
    <w:rsid w:val="6F1E6154"/>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3E6D15"/>
    <w:rsid w:val="725D6B54"/>
    <w:rsid w:val="727644F9"/>
    <w:rsid w:val="72986FA0"/>
    <w:rsid w:val="729D1A86"/>
    <w:rsid w:val="72A17C99"/>
    <w:rsid w:val="72A2709C"/>
    <w:rsid w:val="72A5093A"/>
    <w:rsid w:val="72AD7197"/>
    <w:rsid w:val="72AF6F7E"/>
    <w:rsid w:val="72BD2C86"/>
    <w:rsid w:val="72C45265"/>
    <w:rsid w:val="72CD226C"/>
    <w:rsid w:val="72D27981"/>
    <w:rsid w:val="73047407"/>
    <w:rsid w:val="73047904"/>
    <w:rsid w:val="731A4E85"/>
    <w:rsid w:val="731D6723"/>
    <w:rsid w:val="73253EFA"/>
    <w:rsid w:val="73353A6C"/>
    <w:rsid w:val="734C1A6A"/>
    <w:rsid w:val="735663B7"/>
    <w:rsid w:val="735C5949"/>
    <w:rsid w:val="736600CA"/>
    <w:rsid w:val="73671287"/>
    <w:rsid w:val="73737DA5"/>
    <w:rsid w:val="73740A39"/>
    <w:rsid w:val="73783823"/>
    <w:rsid w:val="73840550"/>
    <w:rsid w:val="73887B3E"/>
    <w:rsid w:val="73892412"/>
    <w:rsid w:val="73AF2114"/>
    <w:rsid w:val="73AF381F"/>
    <w:rsid w:val="73C179F6"/>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8319E"/>
    <w:rsid w:val="779A2A38"/>
    <w:rsid w:val="77B4450A"/>
    <w:rsid w:val="77B46E73"/>
    <w:rsid w:val="77D777E8"/>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B778D1"/>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BB1486"/>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61C62"/>
    <w:rsid w:val="7D777A3E"/>
    <w:rsid w:val="7D9005BC"/>
    <w:rsid w:val="7D9F0AD0"/>
    <w:rsid w:val="7DA02D46"/>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18518</Words>
  <Characters>19413</Characters>
  <Lines>50</Lines>
  <Paragraphs>68</Paragraphs>
  <TotalTime>0</TotalTime>
  <ScaleCrop>false</ScaleCrop>
  <LinksUpToDate>false</LinksUpToDate>
  <CharactersWithSpaces>19948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2025-11-06T00:37:38Z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4C90CF900C7F44FC8C9D3E9238D5D019_13</vt:lpwstr>
  </property>
  <property fmtid="{D5CDD505-2E9C-101B-9397-08002B2CF9AE}" pid="4" name="KSOTemplateDocerSaveRecord">
    <vt:lpwstr>eyJoZGlkIjoiMzU0MTZjMjFkMjFjOGMwYTIzNWEzZDljNjYxZWI0MmYiLCJ1c2VySWQiOiIxNjg0NTc5MjM2In0=</vt:lpwstr>
  </property>
</Properties>
</file>