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D654CFB">
      <w:pPr>
        <w:pStyle w:val="20"/>
        <w:widowControl w:val="0"/>
        <w:shd w:val="clear"/>
        <w:spacing w:before="156" w:beforeLines="50"/>
        <w:jc w:val="center"/>
        <w:rPr>
          <w:rFonts w:hint="eastAsia"/>
          <w:b/>
          <w:bCs/>
          <w:color w:val="auto"/>
          <w:sz w:val="48"/>
          <w:szCs w:val="48"/>
          <w:highlight w:val="none"/>
        </w:rPr>
      </w:pPr>
      <w:bookmarkStart w:id="0" w:name="_Toc22953395"/>
      <w:bookmarkEnd w:id="0"/>
      <w:bookmarkStart w:id="1" w:name="_Toc22804073"/>
      <w:bookmarkEnd w:id="1"/>
    </w:p>
    <w:p w14:paraId="42472A67">
      <w:pPr>
        <w:pStyle w:val="20"/>
        <w:shd w:val="clear"/>
        <w:spacing w:before="156"/>
        <w:jc w:val="center"/>
        <w:rPr>
          <w:rFonts w:hint="eastAsia" w:eastAsia="宋体"/>
          <w:b/>
          <w:bCs/>
          <w:color w:val="auto"/>
          <w:sz w:val="44"/>
          <w:szCs w:val="44"/>
          <w:highlight w:val="none"/>
          <w:lang w:eastAsia="zh-CN"/>
        </w:rPr>
      </w:pPr>
      <w:r>
        <w:rPr>
          <w:rFonts w:hint="eastAsia"/>
          <w:b/>
          <w:bCs/>
          <w:color w:val="auto"/>
          <w:sz w:val="44"/>
          <w:szCs w:val="44"/>
          <w:highlight w:val="none"/>
          <w:lang w:eastAsia="zh-CN"/>
        </w:rPr>
        <w:t>驻马店市中心医院飞利浦3.0T磁共振8通道线圈和16通道头颈联合线圈维修项目</w:t>
      </w:r>
    </w:p>
    <w:p w14:paraId="3F327681">
      <w:pPr>
        <w:pStyle w:val="20"/>
        <w:shd w:val="clear"/>
        <w:spacing w:before="156"/>
        <w:jc w:val="center"/>
        <w:rPr>
          <w:rStyle w:val="45"/>
          <w:rFonts w:hint="eastAsia"/>
          <w:b/>
          <w:bCs/>
          <w:color w:val="auto"/>
          <w:sz w:val="44"/>
          <w:szCs w:val="44"/>
          <w:highlight w:val="none"/>
        </w:rPr>
      </w:pPr>
    </w:p>
    <w:p w14:paraId="0DF8F87A">
      <w:pPr>
        <w:pStyle w:val="20"/>
        <w:shd w:val="clear"/>
        <w:spacing w:before="156"/>
        <w:jc w:val="center"/>
        <w:rPr>
          <w:rStyle w:val="45"/>
          <w:rFonts w:hint="eastAsia"/>
          <w:b/>
          <w:bCs/>
          <w:color w:val="auto"/>
          <w:sz w:val="44"/>
          <w:szCs w:val="44"/>
          <w:highlight w:val="none"/>
        </w:rPr>
      </w:pPr>
    </w:p>
    <w:p w14:paraId="236109FC">
      <w:pPr>
        <w:pStyle w:val="20"/>
        <w:shd w:val="clear"/>
        <w:spacing w:before="156"/>
        <w:jc w:val="center"/>
        <w:rPr>
          <w:rStyle w:val="45"/>
          <w:rFonts w:hint="eastAsia"/>
          <w:b/>
          <w:bCs/>
          <w:color w:val="auto"/>
          <w:sz w:val="44"/>
          <w:szCs w:val="44"/>
          <w:highlight w:val="none"/>
        </w:rPr>
      </w:pPr>
      <w:r>
        <w:rPr>
          <w:rStyle w:val="45"/>
          <w:rFonts w:hint="eastAsia"/>
          <w:b/>
          <w:bCs/>
          <w:color w:val="auto"/>
          <w:sz w:val="44"/>
          <w:szCs w:val="44"/>
          <w:highlight w:val="none"/>
        </w:rPr>
        <w:t>竞争性磋商文件</w:t>
      </w:r>
    </w:p>
    <w:p w14:paraId="5CC8BBB9">
      <w:pPr>
        <w:pStyle w:val="22"/>
        <w:shd w:val="clear"/>
        <w:spacing w:before="156"/>
        <w:rPr>
          <w:b/>
          <w:bCs/>
          <w:color w:val="auto"/>
          <w:highlight w:val="none"/>
        </w:rPr>
      </w:pPr>
    </w:p>
    <w:p w14:paraId="1BD6845F">
      <w:pPr>
        <w:pStyle w:val="22"/>
        <w:shd w:val="clear"/>
        <w:spacing w:before="156"/>
        <w:rPr>
          <w:b/>
          <w:bCs/>
          <w:color w:val="auto"/>
          <w:highlight w:val="none"/>
        </w:rPr>
      </w:pPr>
    </w:p>
    <w:p w14:paraId="0FA0F406">
      <w:pPr>
        <w:shd w:val="clear"/>
        <w:snapToGrid w:val="0"/>
        <w:spacing w:before="156" w:line="380" w:lineRule="exact"/>
        <w:jc w:val="center"/>
        <w:rPr>
          <w:rFonts w:hint="eastAsia" w:ascii="宋体" w:hAnsi="宋体" w:cs="宋体"/>
          <w:b/>
          <w:bCs/>
          <w:color w:val="auto"/>
          <w:sz w:val="32"/>
          <w:szCs w:val="32"/>
          <w:highlight w:val="none"/>
        </w:rPr>
      </w:pPr>
    </w:p>
    <w:p w14:paraId="2CBE56E8">
      <w:pPr>
        <w:pStyle w:val="33"/>
        <w:shd w:val="clear"/>
        <w:spacing w:before="156"/>
        <w:ind w:firstLine="211"/>
        <w:rPr>
          <w:rFonts w:hint="eastAsia" w:ascii="宋体" w:hAnsi="宋体" w:cs="宋体"/>
          <w:b/>
          <w:bCs/>
          <w:color w:val="auto"/>
          <w:highlight w:val="none"/>
        </w:rPr>
      </w:pPr>
    </w:p>
    <w:p w14:paraId="1D18DC1F">
      <w:pPr>
        <w:pStyle w:val="60"/>
        <w:shd w:val="clear"/>
        <w:rPr>
          <w:rFonts w:hint="eastAsia" w:ascii="宋体" w:hAnsi="宋体" w:cs="宋体"/>
          <w:b/>
          <w:bCs/>
          <w:color w:val="auto"/>
          <w:sz w:val="2"/>
          <w:szCs w:val="2"/>
          <w:highlight w:val="none"/>
        </w:rPr>
      </w:pPr>
    </w:p>
    <w:p w14:paraId="5DC162EF">
      <w:pPr>
        <w:shd w:val="clear"/>
        <w:spacing w:before="156"/>
        <w:rPr>
          <w:rFonts w:hint="eastAsia" w:ascii="宋体" w:hAnsi="宋体" w:cs="宋体"/>
          <w:b/>
          <w:bCs/>
          <w:color w:val="auto"/>
          <w:sz w:val="2"/>
          <w:szCs w:val="2"/>
          <w:highlight w:val="none"/>
        </w:rPr>
      </w:pPr>
    </w:p>
    <w:p w14:paraId="5EFD4436">
      <w:pPr>
        <w:shd w:val="clear"/>
        <w:spacing w:before="156" w:line="20" w:lineRule="exact"/>
        <w:rPr>
          <w:rFonts w:hint="eastAsia" w:ascii="宋体" w:hAnsi="宋体" w:cs="宋体"/>
          <w:b/>
          <w:bCs/>
          <w:color w:val="auto"/>
          <w:sz w:val="2"/>
          <w:szCs w:val="2"/>
          <w:highlight w:val="none"/>
        </w:rPr>
      </w:pPr>
    </w:p>
    <w:p w14:paraId="352EC035">
      <w:pPr>
        <w:shd w:val="clear"/>
        <w:tabs>
          <w:tab w:val="left" w:pos="2700"/>
          <w:tab w:val="left" w:pos="2880"/>
          <w:tab w:val="left" w:pos="3060"/>
          <w:tab w:val="left" w:pos="7560"/>
        </w:tabs>
        <w:snapToGrid w:val="0"/>
        <w:spacing w:before="156" w:line="480" w:lineRule="auto"/>
        <w:ind w:firstLine="1928" w:firstLineChars="600"/>
        <w:rPr>
          <w:rFonts w:hint="eastAsia" w:ascii="宋体" w:hAnsi="宋体" w:cs="宋体"/>
          <w:b/>
          <w:bCs/>
          <w:color w:val="auto"/>
          <w:spacing w:val="-10"/>
          <w:sz w:val="34"/>
          <w:szCs w:val="34"/>
          <w:highlight w:val="none"/>
        </w:rPr>
      </w:pPr>
    </w:p>
    <w:p w14:paraId="02F73FDF">
      <w:pPr>
        <w:shd w:val="clear"/>
        <w:tabs>
          <w:tab w:val="left" w:pos="2700"/>
          <w:tab w:val="left" w:pos="2880"/>
          <w:tab w:val="left" w:pos="3060"/>
          <w:tab w:val="left" w:pos="7560"/>
        </w:tabs>
        <w:snapToGrid w:val="0"/>
        <w:spacing w:line="480" w:lineRule="auto"/>
        <w:ind w:left="0" w:leftChars="0" w:firstLine="1480" w:firstLineChars="0"/>
        <w:rPr>
          <w:rFonts w:hint="eastAsia" w:ascii="宋体" w:hAnsi="宋体" w:cs="宋体"/>
          <w:b/>
          <w:bCs/>
          <w:color w:val="auto"/>
          <w:spacing w:val="-10"/>
          <w:sz w:val="34"/>
          <w:szCs w:val="34"/>
          <w:highlight w:val="none"/>
        </w:rPr>
      </w:pPr>
      <w:r>
        <w:rPr>
          <w:rFonts w:hint="eastAsia" w:ascii="宋体" w:hAnsi="宋体" w:cs="宋体"/>
          <w:b/>
          <w:bCs/>
          <w:color w:val="auto"/>
          <w:spacing w:val="-10"/>
          <w:sz w:val="34"/>
          <w:szCs w:val="34"/>
          <w:highlight w:val="none"/>
        </w:rPr>
        <w:t>采</w:t>
      </w:r>
      <w:r>
        <w:rPr>
          <w:rFonts w:ascii="宋体" w:hAnsi="宋体" w:cs="宋体"/>
          <w:b/>
          <w:bCs/>
          <w:color w:val="auto"/>
          <w:spacing w:val="-10"/>
          <w:sz w:val="34"/>
          <w:szCs w:val="34"/>
          <w:highlight w:val="none"/>
        </w:rPr>
        <w:t xml:space="preserve"> </w:t>
      </w:r>
      <w:r>
        <w:rPr>
          <w:rFonts w:hint="eastAsia" w:ascii="宋体" w:hAnsi="宋体" w:cs="宋体"/>
          <w:b/>
          <w:bCs/>
          <w:color w:val="auto"/>
          <w:spacing w:val="-10"/>
          <w:sz w:val="34"/>
          <w:szCs w:val="34"/>
          <w:highlight w:val="none"/>
        </w:rPr>
        <w:t xml:space="preserve">  购  </w:t>
      </w:r>
      <w:r>
        <w:rPr>
          <w:rFonts w:ascii="宋体" w:hAnsi="宋体" w:cs="宋体"/>
          <w:b/>
          <w:bCs/>
          <w:color w:val="auto"/>
          <w:spacing w:val="-10"/>
          <w:sz w:val="34"/>
          <w:szCs w:val="34"/>
          <w:highlight w:val="none"/>
        </w:rPr>
        <w:t xml:space="preserve"> </w:t>
      </w:r>
      <w:r>
        <w:rPr>
          <w:rFonts w:hint="eastAsia" w:ascii="宋体" w:hAnsi="宋体" w:cs="宋体"/>
          <w:b/>
          <w:bCs/>
          <w:color w:val="auto"/>
          <w:spacing w:val="-10"/>
          <w:sz w:val="34"/>
          <w:szCs w:val="34"/>
          <w:highlight w:val="none"/>
        </w:rPr>
        <w:t>人：驻马店市中心医院</w:t>
      </w:r>
    </w:p>
    <w:p w14:paraId="1F171B7B">
      <w:pPr>
        <w:shd w:val="clear"/>
        <w:tabs>
          <w:tab w:val="left" w:pos="2700"/>
          <w:tab w:val="left" w:pos="2880"/>
          <w:tab w:val="left" w:pos="3060"/>
          <w:tab w:val="left" w:pos="7560"/>
        </w:tabs>
        <w:snapToGrid w:val="0"/>
        <w:spacing w:line="480" w:lineRule="auto"/>
        <w:ind w:left="0" w:leftChars="0" w:firstLine="1480" w:firstLineChars="0"/>
        <w:rPr>
          <w:rFonts w:hint="eastAsia" w:ascii="宋体" w:eastAsia="宋体" w:cs="宋体"/>
          <w:b/>
          <w:bCs/>
          <w:color w:val="auto"/>
          <w:spacing w:val="-10"/>
          <w:sz w:val="34"/>
          <w:szCs w:val="34"/>
          <w:highlight w:val="none"/>
          <w:lang w:eastAsia="zh-CN"/>
        </w:rPr>
      </w:pPr>
      <w:r>
        <w:rPr>
          <w:rFonts w:hint="eastAsia" w:ascii="宋体" w:hAnsi="宋体" w:cs="宋体"/>
          <w:b/>
          <w:bCs/>
          <w:color w:val="auto"/>
          <w:spacing w:val="-10"/>
          <w:sz w:val="34"/>
          <w:szCs w:val="34"/>
          <w:highlight w:val="none"/>
        </w:rPr>
        <w:t>采购代理机构：</w:t>
      </w:r>
      <w:r>
        <w:rPr>
          <w:rFonts w:hint="eastAsia" w:ascii="宋体" w:hAnsi="宋体" w:cs="宋体"/>
          <w:b/>
          <w:bCs/>
          <w:color w:val="auto"/>
          <w:spacing w:val="-10"/>
          <w:sz w:val="34"/>
          <w:szCs w:val="34"/>
          <w:highlight w:val="none"/>
          <w:lang w:eastAsia="zh-CN"/>
        </w:rPr>
        <w:t>河南恒越工程咨询有限公司</w:t>
      </w:r>
    </w:p>
    <w:p w14:paraId="5D967C05">
      <w:pPr>
        <w:shd w:val="clear"/>
        <w:tabs>
          <w:tab w:val="left" w:pos="2700"/>
          <w:tab w:val="left" w:pos="2880"/>
          <w:tab w:val="left" w:pos="3060"/>
          <w:tab w:val="left" w:pos="7560"/>
        </w:tabs>
        <w:snapToGrid w:val="0"/>
        <w:spacing w:line="480" w:lineRule="auto"/>
        <w:ind w:left="0" w:leftChars="0" w:firstLine="1480" w:firstLineChars="0"/>
        <w:rPr>
          <w:rFonts w:hint="eastAsia" w:ascii="宋体" w:hAnsi="宋体" w:cs="宋体"/>
          <w:b/>
          <w:bCs/>
          <w:color w:val="auto"/>
          <w:spacing w:val="-10"/>
          <w:sz w:val="34"/>
          <w:szCs w:val="34"/>
          <w:highlight w:val="none"/>
        </w:rPr>
      </w:pPr>
      <w:r>
        <w:rPr>
          <w:rFonts w:hint="eastAsia" w:ascii="宋体" w:hAnsi="宋体" w:cs="宋体"/>
          <w:b/>
          <w:bCs/>
          <w:color w:val="auto"/>
          <w:spacing w:val="-10"/>
          <w:sz w:val="34"/>
          <w:szCs w:val="34"/>
          <w:highlight w:val="none"/>
        </w:rPr>
        <w:t>日</w:t>
      </w:r>
      <w:r>
        <w:rPr>
          <w:rFonts w:ascii="宋体" w:hAnsi="宋体" w:cs="宋体"/>
          <w:b/>
          <w:bCs/>
          <w:color w:val="auto"/>
          <w:spacing w:val="-10"/>
          <w:sz w:val="34"/>
          <w:szCs w:val="34"/>
          <w:highlight w:val="none"/>
        </w:rPr>
        <w:t xml:space="preserve">         </w:t>
      </w:r>
      <w:r>
        <w:rPr>
          <w:rFonts w:hint="eastAsia" w:ascii="宋体" w:hAnsi="宋体" w:cs="宋体"/>
          <w:b/>
          <w:bCs/>
          <w:color w:val="auto"/>
          <w:spacing w:val="-10"/>
          <w:sz w:val="34"/>
          <w:szCs w:val="34"/>
          <w:highlight w:val="none"/>
        </w:rPr>
        <w:t>期：</w:t>
      </w:r>
      <w:r>
        <w:rPr>
          <w:rFonts w:ascii="宋体" w:hAnsi="宋体" w:cs="宋体"/>
          <w:b/>
          <w:bCs/>
          <w:color w:val="auto"/>
          <w:spacing w:val="-10"/>
          <w:sz w:val="34"/>
          <w:szCs w:val="34"/>
          <w:highlight w:val="none"/>
        </w:rPr>
        <w:t>2025</w:t>
      </w:r>
      <w:r>
        <w:rPr>
          <w:rFonts w:hint="eastAsia" w:ascii="宋体" w:hAnsi="宋体" w:cs="宋体"/>
          <w:b/>
          <w:bCs/>
          <w:color w:val="auto"/>
          <w:spacing w:val="-10"/>
          <w:sz w:val="34"/>
          <w:szCs w:val="34"/>
          <w:highlight w:val="none"/>
        </w:rPr>
        <w:t>年1</w:t>
      </w:r>
      <w:r>
        <w:rPr>
          <w:rFonts w:hint="eastAsia" w:ascii="宋体" w:hAnsi="宋体" w:cs="宋体"/>
          <w:b/>
          <w:bCs/>
          <w:color w:val="auto"/>
          <w:spacing w:val="-10"/>
          <w:sz w:val="34"/>
          <w:szCs w:val="34"/>
          <w:highlight w:val="none"/>
          <w:lang w:val="en-US" w:eastAsia="zh-CN"/>
        </w:rPr>
        <w:t>1</w:t>
      </w:r>
      <w:r>
        <w:rPr>
          <w:rFonts w:hint="eastAsia" w:ascii="宋体" w:hAnsi="宋体" w:cs="宋体"/>
          <w:b/>
          <w:bCs/>
          <w:color w:val="auto"/>
          <w:spacing w:val="-10"/>
          <w:sz w:val="34"/>
          <w:szCs w:val="34"/>
          <w:highlight w:val="none"/>
        </w:rPr>
        <w:t>月</w:t>
      </w:r>
    </w:p>
    <w:p w14:paraId="04EED2F2">
      <w:pPr>
        <w:shd w:val="clear"/>
        <w:tabs>
          <w:tab w:val="left" w:pos="2700"/>
          <w:tab w:val="left" w:pos="2880"/>
          <w:tab w:val="left" w:pos="3060"/>
          <w:tab w:val="left" w:pos="7560"/>
        </w:tabs>
        <w:snapToGrid w:val="0"/>
        <w:spacing w:line="480" w:lineRule="auto"/>
        <w:ind w:firstLine="1134"/>
        <w:rPr>
          <w:rFonts w:hint="eastAsia" w:ascii="宋体" w:hAnsi="宋体" w:cs="宋体"/>
          <w:b/>
          <w:bCs/>
          <w:color w:val="auto"/>
          <w:spacing w:val="-10"/>
          <w:sz w:val="34"/>
          <w:szCs w:val="34"/>
          <w:highlight w:val="none"/>
        </w:rPr>
      </w:pPr>
    </w:p>
    <w:p w14:paraId="3726393C">
      <w:pPr>
        <w:shd w:val="clear"/>
        <w:rPr>
          <w:rFonts w:hint="eastAsia" w:ascii="宋体" w:hAnsi="宋体" w:cs="宋体"/>
          <w:bCs/>
          <w:color w:val="auto"/>
          <w:sz w:val="24"/>
          <w:highlight w:val="none"/>
        </w:rPr>
      </w:pPr>
    </w:p>
    <w:p w14:paraId="198937E4">
      <w:pPr>
        <w:shd w:val="clea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目录</w:t>
      </w:r>
    </w:p>
    <w:p w14:paraId="4031E07F">
      <w:pPr>
        <w:pStyle w:val="54"/>
        <w:shd w:val="clear"/>
        <w:rPr>
          <w:rFonts w:hint="eastAsia"/>
          <w:color w:val="auto"/>
          <w:highlight w:val="none"/>
        </w:rPr>
      </w:pPr>
    </w:p>
    <w:p w14:paraId="547E4A97">
      <w:pPr>
        <w:pStyle w:val="26"/>
        <w:shd w:val="clear"/>
        <w:tabs>
          <w:tab w:val="right" w:leader="dot" w:pos="8958"/>
        </w:tabs>
        <w:spacing w:line="500" w:lineRule="exact"/>
        <w:rPr>
          <w:rFonts w:hint="eastAsia" w:ascii="宋体" w:hAnsi="宋体" w:cs="宋体"/>
          <w:color w:val="auto"/>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"_Toc26528" </w:instrText>
      </w:r>
      <w:r>
        <w:rPr>
          <w:color w:val="auto"/>
          <w:highlight w:val="none"/>
        </w:rPr>
        <w:fldChar w:fldCharType="separate"/>
      </w:r>
      <w:r>
        <w:rPr>
          <w:rFonts w:hint="eastAsia" w:ascii="宋体" w:hAnsi="宋体" w:cs="宋体"/>
          <w:color w:val="auto"/>
          <w:szCs w:val="32"/>
          <w:highlight w:val="none"/>
        </w:rPr>
        <w:t>第一章  竞争性磋商公告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_Toc26528 \h </w:instrText>
      </w:r>
      <w:r>
        <w:rPr>
          <w:rFonts w:hint="eastAsia" w:ascii="宋体" w:hAnsi="宋体" w:cs="宋体"/>
          <w:color w:val="auto"/>
          <w:highlight w:val="none"/>
        </w:rPr>
        <w:fldChar w:fldCharType="separate"/>
      </w:r>
      <w:r>
        <w:rPr>
          <w:rFonts w:hint="eastAsia" w:ascii="宋体" w:hAnsi="宋体" w:cs="宋体"/>
          <w:color w:val="auto"/>
          <w:highlight w:val="none"/>
        </w:rPr>
        <w:t>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C0076A0">
      <w:pPr>
        <w:pStyle w:val="26"/>
        <w:shd w:val="clear"/>
        <w:tabs>
          <w:tab w:val="right" w:leader="dot" w:pos="8958"/>
        </w:tabs>
        <w:spacing w:line="500" w:lineRule="exact"/>
        <w:rPr>
          <w:rFonts w:hint="eastAsia" w:ascii="宋体" w:hAnsi="宋体" w:cs="宋体"/>
          <w:color w:val="auto"/>
          <w:highlight w:val="none"/>
        </w:rPr>
      </w:pPr>
      <w:r>
        <w:rPr>
          <w:color w:val="auto"/>
          <w:highlight w:val="none"/>
        </w:rPr>
        <w:fldChar w:fldCharType="begin"/>
      </w:r>
      <w:r>
        <w:rPr>
          <w:color w:val="auto"/>
          <w:highlight w:val="none"/>
        </w:rPr>
        <w:instrText xml:space="preserve"> HYPERLINK \l "_Toc19124" </w:instrText>
      </w:r>
      <w:r>
        <w:rPr>
          <w:color w:val="auto"/>
          <w:highlight w:val="none"/>
        </w:rPr>
        <w:fldChar w:fldCharType="separate"/>
      </w:r>
      <w:r>
        <w:rPr>
          <w:rFonts w:hint="eastAsia" w:ascii="宋体" w:hAnsi="宋体" w:cs="宋体"/>
          <w:color w:val="auto"/>
          <w:szCs w:val="32"/>
          <w:highlight w:val="none"/>
        </w:rPr>
        <w:t>第二章  采购需求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_Toc19124 \h </w:instrText>
      </w:r>
      <w:r>
        <w:rPr>
          <w:rFonts w:hint="eastAsia" w:ascii="宋体" w:hAnsi="宋体" w:cs="宋体"/>
          <w:color w:val="auto"/>
          <w:highlight w:val="none"/>
        </w:rPr>
        <w:fldChar w:fldCharType="separate"/>
      </w:r>
      <w:r>
        <w:rPr>
          <w:rFonts w:hint="eastAsia" w:ascii="宋体" w:hAnsi="宋体" w:cs="宋体"/>
          <w:color w:val="auto"/>
          <w:highlight w:val="none"/>
        </w:rPr>
        <w:t>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8D37D98">
      <w:pPr>
        <w:pStyle w:val="26"/>
        <w:shd w:val="clear"/>
        <w:tabs>
          <w:tab w:val="right" w:leader="dot" w:pos="8958"/>
        </w:tabs>
        <w:spacing w:line="500" w:lineRule="exact"/>
        <w:rPr>
          <w:rFonts w:hint="eastAsia" w:ascii="宋体" w:hAnsi="宋体" w:cs="宋体"/>
          <w:color w:val="auto"/>
          <w:highlight w:val="none"/>
        </w:rPr>
      </w:pPr>
      <w:r>
        <w:rPr>
          <w:color w:val="auto"/>
          <w:highlight w:val="none"/>
        </w:rPr>
        <w:fldChar w:fldCharType="begin"/>
      </w:r>
      <w:r>
        <w:rPr>
          <w:color w:val="auto"/>
          <w:highlight w:val="none"/>
        </w:rPr>
        <w:instrText xml:space="preserve"> HYPERLINK \l "_Toc8501" </w:instrText>
      </w:r>
      <w:r>
        <w:rPr>
          <w:color w:val="auto"/>
          <w:highlight w:val="none"/>
        </w:rPr>
        <w:fldChar w:fldCharType="separate"/>
      </w:r>
      <w:r>
        <w:rPr>
          <w:rFonts w:hint="eastAsia" w:ascii="宋体" w:hAnsi="宋体" w:cs="宋体"/>
          <w:bCs/>
          <w:color w:val="auto"/>
          <w:szCs w:val="32"/>
          <w:highlight w:val="none"/>
        </w:rPr>
        <w:t>第三章  供应商须知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_Toc8501 \h </w:instrText>
      </w:r>
      <w:r>
        <w:rPr>
          <w:rFonts w:hint="eastAsia" w:ascii="宋体" w:hAnsi="宋体" w:cs="宋体"/>
          <w:color w:val="auto"/>
          <w:highlight w:val="none"/>
        </w:rPr>
        <w:fldChar w:fldCharType="separate"/>
      </w:r>
      <w:r>
        <w:rPr>
          <w:rFonts w:hint="eastAsia" w:ascii="宋体" w:hAnsi="宋体" w:cs="宋体"/>
          <w:color w:val="auto"/>
          <w:highlight w:val="none"/>
        </w:rPr>
        <w:t>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485DCCD">
      <w:pPr>
        <w:pStyle w:val="26"/>
        <w:shd w:val="clear"/>
        <w:tabs>
          <w:tab w:val="right" w:leader="dot" w:pos="8958"/>
        </w:tabs>
        <w:spacing w:line="500" w:lineRule="exact"/>
        <w:rPr>
          <w:rFonts w:hint="eastAsia" w:ascii="宋体" w:hAnsi="宋体" w:cs="宋体"/>
          <w:color w:val="auto"/>
          <w:highlight w:val="none"/>
        </w:rPr>
      </w:pPr>
      <w:r>
        <w:rPr>
          <w:color w:val="auto"/>
          <w:highlight w:val="none"/>
        </w:rPr>
        <w:fldChar w:fldCharType="begin"/>
      </w:r>
      <w:r>
        <w:rPr>
          <w:color w:val="auto"/>
          <w:highlight w:val="none"/>
        </w:rPr>
        <w:instrText xml:space="preserve"> HYPERLINK \l "_Toc31399" </w:instrText>
      </w:r>
      <w:r>
        <w:rPr>
          <w:color w:val="auto"/>
          <w:highlight w:val="none"/>
        </w:rPr>
        <w:fldChar w:fldCharType="separate"/>
      </w:r>
      <w:r>
        <w:rPr>
          <w:rFonts w:hint="eastAsia" w:ascii="宋体" w:hAnsi="宋体" w:cs="宋体"/>
          <w:bCs/>
          <w:color w:val="auto"/>
          <w:kern w:val="0"/>
          <w:szCs w:val="32"/>
          <w:highlight w:val="none"/>
        </w:rPr>
        <w:t>第四章  评标办法及评分标准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_Toc31399 \h </w:instrText>
      </w:r>
      <w:r>
        <w:rPr>
          <w:rFonts w:hint="eastAsia" w:ascii="宋体" w:hAnsi="宋体" w:cs="宋体"/>
          <w:color w:val="auto"/>
          <w:highlight w:val="none"/>
        </w:rPr>
        <w:fldChar w:fldCharType="separate"/>
      </w:r>
      <w:r>
        <w:rPr>
          <w:rFonts w:hint="eastAsia" w:ascii="宋体" w:hAnsi="宋体" w:cs="宋体"/>
          <w:color w:val="auto"/>
          <w:highlight w:val="none"/>
        </w:rPr>
        <w:t>20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E74813D">
      <w:pPr>
        <w:pStyle w:val="26"/>
        <w:shd w:val="clear"/>
        <w:tabs>
          <w:tab w:val="right" w:leader="dot" w:pos="8958"/>
        </w:tabs>
        <w:spacing w:line="500" w:lineRule="exact"/>
        <w:rPr>
          <w:rFonts w:hint="eastAsia" w:ascii="宋体" w:hAnsi="宋体" w:cs="宋体"/>
          <w:color w:val="auto"/>
          <w:highlight w:val="none"/>
        </w:rPr>
      </w:pPr>
      <w:r>
        <w:rPr>
          <w:color w:val="auto"/>
          <w:highlight w:val="none"/>
        </w:rPr>
        <w:fldChar w:fldCharType="begin"/>
      </w:r>
      <w:r>
        <w:rPr>
          <w:color w:val="auto"/>
          <w:highlight w:val="none"/>
        </w:rPr>
        <w:instrText xml:space="preserve"> HYPERLINK \l "_Toc11904" </w:instrText>
      </w:r>
      <w:r>
        <w:rPr>
          <w:color w:val="auto"/>
          <w:highlight w:val="none"/>
        </w:rPr>
        <w:fldChar w:fldCharType="separate"/>
      </w:r>
      <w:r>
        <w:rPr>
          <w:rFonts w:hint="eastAsia" w:ascii="宋体" w:hAnsi="宋体" w:cs="宋体"/>
          <w:color w:val="auto"/>
          <w:szCs w:val="28"/>
          <w:highlight w:val="none"/>
        </w:rPr>
        <w:t>第五章  采购合同</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_Toc11904 \h </w:instrText>
      </w:r>
      <w:r>
        <w:rPr>
          <w:rFonts w:hint="eastAsia" w:ascii="宋体" w:hAnsi="宋体" w:cs="宋体"/>
          <w:color w:val="auto"/>
          <w:highlight w:val="none"/>
        </w:rPr>
        <w:fldChar w:fldCharType="separate"/>
      </w:r>
      <w:r>
        <w:rPr>
          <w:rFonts w:hint="eastAsia" w:ascii="宋体" w:hAnsi="宋体" w:cs="宋体"/>
          <w:color w:val="auto"/>
          <w:highlight w:val="none"/>
        </w:rPr>
        <w:t>24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68EAFB1">
      <w:pPr>
        <w:pStyle w:val="26"/>
        <w:shd w:val="clear"/>
        <w:tabs>
          <w:tab w:val="right" w:leader="dot" w:pos="8958"/>
        </w:tabs>
        <w:spacing w:line="500" w:lineRule="exact"/>
        <w:rPr>
          <w:color w:val="auto"/>
          <w:highlight w:val="none"/>
        </w:rPr>
      </w:pPr>
      <w:r>
        <w:rPr>
          <w:color w:val="auto"/>
          <w:highlight w:val="none"/>
        </w:rPr>
        <w:fldChar w:fldCharType="begin"/>
      </w:r>
      <w:r>
        <w:rPr>
          <w:color w:val="auto"/>
          <w:highlight w:val="none"/>
        </w:rPr>
        <w:instrText xml:space="preserve"> HYPERLINK \l "_Toc18702" </w:instrText>
      </w:r>
      <w:r>
        <w:rPr>
          <w:color w:val="auto"/>
          <w:highlight w:val="none"/>
        </w:rPr>
        <w:fldChar w:fldCharType="separate"/>
      </w:r>
      <w:r>
        <w:rPr>
          <w:rFonts w:hint="eastAsia" w:ascii="宋体" w:hAnsi="宋体" w:cs="宋体"/>
          <w:color w:val="auto"/>
          <w:szCs w:val="32"/>
          <w:highlight w:val="none"/>
        </w:rPr>
        <w:t>第六章  响应文件格式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_Toc18702 \h </w:instrText>
      </w:r>
      <w:r>
        <w:rPr>
          <w:rFonts w:hint="eastAsia" w:ascii="宋体" w:hAnsi="宋体" w:cs="宋体"/>
          <w:color w:val="auto"/>
          <w:highlight w:val="none"/>
        </w:rPr>
        <w:fldChar w:fldCharType="separate"/>
      </w:r>
      <w:r>
        <w:rPr>
          <w:rFonts w:hint="eastAsia" w:ascii="宋体" w:hAnsi="宋体" w:cs="宋体"/>
          <w:color w:val="auto"/>
          <w:highlight w:val="none"/>
        </w:rPr>
        <w:t>25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AF6EB6C">
      <w:pPr>
        <w:pStyle w:val="84"/>
        <w:shd w:val="clear"/>
        <w:tabs>
          <w:tab w:val="right" w:leader="dot" w:pos="8300"/>
        </w:tabs>
        <w:snapToGrid w:val="0"/>
        <w:spacing w:line="360" w:lineRule="auto"/>
        <w:rPr>
          <w:rFonts w:hint="eastAsia" w:ascii="宋体" w:hAnsi="宋体" w:cs="宋体"/>
          <w:color w:val="auto"/>
          <w:sz w:val="32"/>
          <w:szCs w:val="32"/>
          <w:highlight w:val="none"/>
        </w:rPr>
      </w:pPr>
      <w:r>
        <w:rPr>
          <w:rFonts w:hint="eastAsia" w:ascii="宋体" w:hAnsi="宋体" w:cs="宋体"/>
          <w:bCs/>
          <w:color w:val="auto"/>
          <w:szCs w:val="32"/>
          <w:highlight w:val="none"/>
        </w:rPr>
        <w:fldChar w:fldCharType="end"/>
      </w:r>
    </w:p>
    <w:p w14:paraId="7DB26B11">
      <w:pPr>
        <w:shd w:val="clear"/>
        <w:spacing w:line="440" w:lineRule="exact"/>
        <w:rPr>
          <w:rFonts w:hint="eastAsia" w:ascii="宋体" w:hAnsi="宋体" w:cs="宋体"/>
          <w:b/>
          <w:color w:val="auto"/>
          <w:sz w:val="32"/>
          <w:szCs w:val="32"/>
          <w:highlight w:val="none"/>
        </w:rPr>
      </w:pPr>
    </w:p>
    <w:p w14:paraId="40C26D67">
      <w:pPr>
        <w:shd w:val="clear"/>
        <w:spacing w:line="360" w:lineRule="auto"/>
        <w:ind w:firstLine="2409" w:firstLineChars="600"/>
        <w:rPr>
          <w:rFonts w:hint="eastAsia" w:ascii="宋体" w:hAnsi="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14:paraId="7DEBD691">
      <w:pPr>
        <w:shd w:val="clear"/>
        <w:spacing w:line="360" w:lineRule="auto"/>
        <w:jc w:val="center"/>
        <w:outlineLvl w:val="0"/>
        <w:rPr>
          <w:rFonts w:hint="eastAsia" w:ascii="宋体" w:hAnsi="宋体" w:cs="宋体"/>
          <w:b/>
          <w:color w:val="auto"/>
          <w:sz w:val="32"/>
          <w:szCs w:val="32"/>
          <w:highlight w:val="none"/>
        </w:rPr>
      </w:pPr>
      <w:bookmarkStart w:id="2" w:name="_Toc26528"/>
      <w:r>
        <w:rPr>
          <w:rFonts w:hint="eastAsia" w:ascii="宋体" w:hAnsi="宋体" w:cs="宋体"/>
          <w:b/>
          <w:color w:val="auto"/>
          <w:sz w:val="32"/>
          <w:szCs w:val="32"/>
          <w:highlight w:val="none"/>
        </w:rPr>
        <w:t>第一章  竞争性磋商采购公告</w:t>
      </w:r>
      <w:bookmarkEnd w:id="2"/>
    </w:p>
    <w:p w14:paraId="5B9363D2">
      <w:pPr>
        <w:widowControl/>
        <w:shd w:val="clear"/>
        <w:adjustRightInd w:val="0"/>
        <w:snapToGrid w:val="0"/>
        <w:spacing w:line="324" w:lineRule="auto"/>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lang w:eastAsia="zh-CN"/>
        </w:rPr>
        <w:t>驻马店市中心医院飞利浦3.0T磁共振8通道线圈和16通道头颈联合线圈维修项目</w:t>
      </w:r>
      <w:r>
        <w:rPr>
          <w:rFonts w:hint="eastAsia" w:ascii="宋体" w:hAnsi="宋体" w:cs="宋体"/>
          <w:b/>
          <w:color w:val="auto"/>
          <w:kern w:val="0"/>
          <w:sz w:val="28"/>
          <w:szCs w:val="28"/>
          <w:highlight w:val="none"/>
        </w:rPr>
        <w:t>竞争性磋商公告</w:t>
      </w:r>
    </w:p>
    <w:p w14:paraId="406965E7">
      <w:pPr>
        <w:shd w:val="clear"/>
        <w:snapToGrid w:val="0"/>
        <w:spacing w:line="324" w:lineRule="auto"/>
        <w:ind w:firstLine="420" w:firstLineChars="200"/>
        <w:rPr>
          <w:rFonts w:hint="eastAsia" w:ascii="宋体" w:hAnsi="宋体" w:cs="宋体"/>
          <w:color w:val="auto"/>
          <w:szCs w:val="21"/>
          <w:highlight w:val="none"/>
        </w:rPr>
      </w:pPr>
      <w:r>
        <w:rPr>
          <w:rFonts w:hint="eastAsia" w:ascii="宋体" w:hAnsi="宋体" w:cs="宋体"/>
          <w:color w:val="auto"/>
          <w:highlight w:val="none"/>
        </w:rPr>
        <w:t>驻马店市中心医院现对</w:t>
      </w:r>
      <w:r>
        <w:rPr>
          <w:rFonts w:hint="eastAsia" w:ascii="宋体" w:hAnsi="宋体" w:cs="宋体"/>
          <w:color w:val="auto"/>
          <w:highlight w:val="none"/>
          <w:u w:val="single"/>
          <w:lang w:eastAsia="zh-CN"/>
        </w:rPr>
        <w:t>驻马店市中心医院飞利浦3.0T磁共振8通道线圈和16通道头颈联合线圈维修项目</w:t>
      </w:r>
      <w:r>
        <w:rPr>
          <w:rFonts w:hint="eastAsia" w:ascii="宋体" w:hAnsi="宋体" w:cs="宋体"/>
          <w:color w:val="auto"/>
          <w:highlight w:val="none"/>
        </w:rPr>
        <w:t>进行院内竞争性磋商采购，欢迎符合资格条件的供应商前来报名并</w:t>
      </w:r>
      <w:r>
        <w:rPr>
          <w:rFonts w:hint="eastAsia" w:ascii="宋体" w:hAnsi="宋体" w:cs="宋体"/>
          <w:color w:val="auto"/>
          <w:szCs w:val="21"/>
          <w:highlight w:val="none"/>
        </w:rPr>
        <w:t>获取采购文件。</w:t>
      </w:r>
    </w:p>
    <w:p w14:paraId="26771700">
      <w:pPr>
        <w:widowControl/>
        <w:shd w:val="clear"/>
        <w:snapToGrid w:val="0"/>
        <w:spacing w:line="324" w:lineRule="auto"/>
        <w:jc w:val="left"/>
        <w:outlineLvl w:val="1"/>
        <w:rPr>
          <w:rFonts w:hint="eastAsia" w:ascii="宋体" w:hAnsi="宋体" w:cs="宋体"/>
          <w:b/>
          <w:bCs/>
          <w:color w:val="auto"/>
          <w:szCs w:val="21"/>
          <w:highlight w:val="none"/>
          <w:shd w:val="clear" w:color="auto" w:fill="FFFFFF"/>
        </w:rPr>
      </w:pPr>
      <w:r>
        <w:rPr>
          <w:rFonts w:hint="eastAsia" w:ascii="宋体" w:hAnsi="宋体" w:cs="宋体"/>
          <w:b/>
          <w:bCs/>
          <w:color w:val="auto"/>
          <w:szCs w:val="21"/>
          <w:highlight w:val="none"/>
          <w:shd w:val="clear" w:color="auto" w:fill="FFFFFF"/>
        </w:rPr>
        <w:t>一、项目基本情况</w:t>
      </w:r>
    </w:p>
    <w:p w14:paraId="41BA2ACD">
      <w:pPr>
        <w:widowControl/>
        <w:shd w:val="clear"/>
        <w:tabs>
          <w:tab w:val="left" w:pos="840"/>
        </w:tabs>
        <w:snapToGrid w:val="0"/>
        <w:spacing w:line="324" w:lineRule="auto"/>
        <w:ind w:firstLine="420" w:firstLineChars="20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1.采购项目名称：</w:t>
      </w:r>
      <w:r>
        <w:rPr>
          <w:rFonts w:hint="eastAsia" w:ascii="宋体" w:hAnsi="宋体" w:cs="宋体"/>
          <w:color w:val="auto"/>
          <w:szCs w:val="21"/>
          <w:highlight w:val="none"/>
          <w:shd w:val="clear" w:color="auto" w:fill="FFFFFF"/>
          <w:lang w:eastAsia="zh-CN"/>
        </w:rPr>
        <w:t>驻马店市中心医院飞利浦3.0T磁共振8通道线圈和16通道头颈联合线圈维修项目</w:t>
      </w:r>
      <w:r>
        <w:rPr>
          <w:rFonts w:hint="eastAsia" w:ascii="宋体" w:hAnsi="宋体" w:cs="宋体"/>
          <w:color w:val="auto"/>
          <w:szCs w:val="21"/>
          <w:highlight w:val="none"/>
          <w:shd w:val="clear" w:color="auto" w:fill="FFFFFF"/>
        </w:rPr>
        <w:t>；</w:t>
      </w:r>
    </w:p>
    <w:p w14:paraId="1E08BF1C">
      <w:pPr>
        <w:widowControl/>
        <w:shd w:val="clear"/>
        <w:tabs>
          <w:tab w:val="left" w:pos="840"/>
        </w:tabs>
        <w:snapToGrid w:val="0"/>
        <w:spacing w:line="324" w:lineRule="auto"/>
        <w:ind w:firstLine="420" w:firstLineChars="20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2.采购需求：详见磋商文件第二章采购需求；</w:t>
      </w:r>
    </w:p>
    <w:p w14:paraId="50985755">
      <w:pPr>
        <w:widowControl/>
        <w:shd w:val="clear"/>
        <w:tabs>
          <w:tab w:val="left" w:pos="840"/>
        </w:tabs>
        <w:snapToGrid w:val="0"/>
        <w:spacing w:line="324" w:lineRule="auto"/>
        <w:ind w:firstLine="420" w:firstLineChars="20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w:t>
      </w:r>
      <w:bookmarkStart w:id="3" w:name="_Toc26725"/>
      <w:r>
        <w:rPr>
          <w:rFonts w:hint="eastAsia" w:ascii="宋体" w:hAnsi="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157500.00</w:t>
      </w:r>
      <w:r>
        <w:rPr>
          <w:rFonts w:hint="eastAsia" w:ascii="宋体" w:hAnsi="宋体" w:cs="宋体"/>
          <w:color w:val="auto"/>
          <w:szCs w:val="21"/>
          <w:highlight w:val="none"/>
          <w:shd w:val="clear" w:color="auto" w:fill="FFFFFF"/>
        </w:rPr>
        <w:t>元；</w:t>
      </w:r>
    </w:p>
    <w:p w14:paraId="1127BEAA">
      <w:pPr>
        <w:widowControl/>
        <w:shd w:val="clear"/>
        <w:tabs>
          <w:tab w:val="left" w:pos="840"/>
        </w:tabs>
        <w:snapToGrid w:val="0"/>
        <w:spacing w:line="324" w:lineRule="auto"/>
        <w:ind w:firstLine="420" w:firstLineChars="20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4.交货期：以合同约定内容为准；</w:t>
      </w:r>
    </w:p>
    <w:p w14:paraId="3CCA2C7E">
      <w:pPr>
        <w:widowControl/>
        <w:shd w:val="clear"/>
        <w:tabs>
          <w:tab w:val="left" w:pos="840"/>
        </w:tabs>
        <w:snapToGrid w:val="0"/>
        <w:spacing w:line="324" w:lineRule="auto"/>
        <w:ind w:firstLine="420" w:firstLineChars="20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5.质量要求：符合国家质量标准、部颁标准、行业标准，满足磋商文件规定标准；</w:t>
      </w:r>
    </w:p>
    <w:p w14:paraId="3319A21C">
      <w:pPr>
        <w:widowControl/>
        <w:shd w:val="clear"/>
        <w:snapToGrid w:val="0"/>
        <w:spacing w:line="324" w:lineRule="auto"/>
        <w:jc w:val="left"/>
        <w:outlineLvl w:val="1"/>
        <w:rPr>
          <w:rFonts w:hint="eastAsia" w:ascii="宋体" w:hAnsi="宋体" w:cs="宋体"/>
          <w:b/>
          <w:bCs/>
          <w:color w:val="auto"/>
          <w:szCs w:val="21"/>
          <w:highlight w:val="none"/>
          <w:shd w:val="clear" w:color="auto" w:fill="FFFFFF"/>
        </w:rPr>
      </w:pPr>
      <w:bookmarkStart w:id="4" w:name="_Toc27704"/>
      <w:bookmarkStart w:id="5" w:name="_Toc16639"/>
      <w:bookmarkStart w:id="6" w:name="_Toc23626"/>
      <w:bookmarkStart w:id="7" w:name="_Toc18607"/>
      <w:r>
        <w:rPr>
          <w:rFonts w:hint="eastAsia" w:ascii="宋体" w:hAnsi="宋体" w:cs="宋体"/>
          <w:b/>
          <w:bCs/>
          <w:color w:val="auto"/>
          <w:szCs w:val="21"/>
          <w:highlight w:val="none"/>
          <w:shd w:val="clear" w:color="auto" w:fill="FFFFFF"/>
        </w:rPr>
        <w:t>二、</w:t>
      </w:r>
      <w:bookmarkEnd w:id="3"/>
      <w:bookmarkEnd w:id="4"/>
      <w:bookmarkEnd w:id="5"/>
      <w:bookmarkEnd w:id="6"/>
      <w:bookmarkEnd w:id="7"/>
      <w:r>
        <w:rPr>
          <w:rFonts w:hint="eastAsia" w:ascii="宋体" w:hAnsi="宋体" w:cs="宋体"/>
          <w:b/>
          <w:bCs/>
          <w:color w:val="auto"/>
          <w:szCs w:val="21"/>
          <w:highlight w:val="none"/>
          <w:shd w:val="clear" w:color="auto" w:fill="FFFFFF"/>
        </w:rPr>
        <w:t>供应商资格要求：</w:t>
      </w:r>
    </w:p>
    <w:p w14:paraId="3AD9D293">
      <w:pPr>
        <w:widowControl/>
        <w:shd w:val="clear"/>
        <w:tabs>
          <w:tab w:val="left" w:pos="840"/>
        </w:tabs>
        <w:snapToGrid w:val="0"/>
        <w:spacing w:line="324" w:lineRule="auto"/>
        <w:ind w:firstLine="420" w:firstLineChars="200"/>
        <w:jc w:val="left"/>
        <w:rPr>
          <w:rFonts w:ascii="宋体" w:cs="宋体"/>
          <w:color w:val="auto"/>
          <w:szCs w:val="21"/>
          <w:highlight w:val="none"/>
          <w:shd w:val="clear" w:color="auto" w:fill="FFFFFF"/>
        </w:rPr>
      </w:pPr>
      <w:bookmarkStart w:id="8" w:name="_Toc7823"/>
      <w:bookmarkStart w:id="9" w:name="_Toc30643"/>
      <w:bookmarkStart w:id="10" w:name="_Toc30971"/>
      <w:bookmarkStart w:id="11" w:name="_Toc9562"/>
      <w:bookmarkStart w:id="12" w:name="_Toc23395"/>
      <w:r>
        <w:rPr>
          <w:rFonts w:ascii="宋体" w:hAnsi="宋体" w:cs="宋体"/>
          <w:color w:val="auto"/>
          <w:szCs w:val="21"/>
          <w:highlight w:val="none"/>
          <w:shd w:val="clear" w:color="auto" w:fill="FFFFFF"/>
        </w:rPr>
        <w:t>1</w:t>
      </w:r>
      <w:r>
        <w:rPr>
          <w:rFonts w:hint="eastAsia" w:ascii="宋体" w:hAnsi="宋体" w:cs="宋体"/>
          <w:color w:val="auto"/>
          <w:szCs w:val="21"/>
          <w:highlight w:val="none"/>
          <w:shd w:val="clear" w:color="auto" w:fill="FFFFFF"/>
        </w:rPr>
        <w:t>、供应商具有独立承担民事责任能力，提供营业执照或其他证明材料。</w:t>
      </w:r>
    </w:p>
    <w:p w14:paraId="6283B0E4">
      <w:pPr>
        <w:widowControl/>
        <w:shd w:val="clear"/>
        <w:tabs>
          <w:tab w:val="left" w:pos="840"/>
        </w:tabs>
        <w:snapToGrid w:val="0"/>
        <w:spacing w:line="324" w:lineRule="auto"/>
        <w:ind w:firstLine="420" w:firstLineChars="200"/>
        <w:jc w:val="left"/>
        <w:rPr>
          <w:rFonts w:ascii="宋体" w:cs="宋体"/>
          <w:color w:val="auto"/>
          <w:szCs w:val="21"/>
          <w:highlight w:val="none"/>
          <w:shd w:val="clear" w:color="auto" w:fill="FFFFFF"/>
        </w:rPr>
      </w:pPr>
      <w:r>
        <w:rPr>
          <w:rFonts w:ascii="宋体" w:hAnsi="宋体" w:cs="宋体"/>
          <w:color w:val="auto"/>
          <w:szCs w:val="21"/>
          <w:highlight w:val="none"/>
          <w:shd w:val="clear" w:color="auto" w:fill="FFFFFF"/>
        </w:rPr>
        <w:t>2</w:t>
      </w:r>
      <w:r>
        <w:rPr>
          <w:rFonts w:hint="eastAsia" w:ascii="宋体" w:hAnsi="宋体" w:cs="宋体"/>
          <w:color w:val="auto"/>
          <w:szCs w:val="21"/>
          <w:highlight w:val="none"/>
          <w:shd w:val="clear" w:color="auto" w:fill="FFFFFF"/>
        </w:rPr>
        <w:t>、供应商应提供</w:t>
      </w:r>
      <w:r>
        <w:rPr>
          <w:rFonts w:ascii="宋体" w:hAnsi="宋体" w:cs="宋体"/>
          <w:color w:val="auto"/>
          <w:szCs w:val="21"/>
          <w:highlight w:val="none"/>
          <w:shd w:val="clear" w:color="auto" w:fill="FFFFFF"/>
        </w:rPr>
        <w:t>2024</w:t>
      </w:r>
      <w:r>
        <w:rPr>
          <w:rFonts w:hint="eastAsia" w:ascii="宋体" w:hAnsi="宋体" w:cs="宋体"/>
          <w:color w:val="auto"/>
          <w:szCs w:val="21"/>
          <w:highlight w:val="none"/>
          <w:shd w:val="clear" w:color="auto" w:fill="FFFFFF"/>
        </w:rPr>
        <w:t>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6C64FA93">
      <w:pPr>
        <w:widowControl/>
        <w:shd w:val="clear"/>
        <w:tabs>
          <w:tab w:val="left" w:pos="840"/>
        </w:tabs>
        <w:snapToGrid w:val="0"/>
        <w:spacing w:line="360" w:lineRule="auto"/>
        <w:ind w:firstLine="420" w:firstLineChars="200"/>
        <w:jc w:val="left"/>
        <w:rPr>
          <w:rFonts w:ascii="宋体" w:cs="宋体"/>
          <w:color w:val="auto"/>
          <w:szCs w:val="21"/>
          <w:highlight w:val="none"/>
          <w:shd w:val="clear" w:color="auto" w:fill="FFFFFF"/>
        </w:rPr>
      </w:pPr>
      <w:r>
        <w:rPr>
          <w:rFonts w:ascii="宋体" w:hAnsi="宋体" w:cs="宋体"/>
          <w:color w:val="auto"/>
          <w:szCs w:val="21"/>
          <w:highlight w:val="none"/>
          <w:shd w:val="clear" w:color="auto" w:fill="FFFFFF"/>
        </w:rPr>
        <w:t>3</w:t>
      </w:r>
      <w:r>
        <w:rPr>
          <w:rFonts w:hint="eastAsia" w:ascii="宋体" w:hAnsi="宋体" w:cs="宋体"/>
          <w:color w:val="auto"/>
          <w:szCs w:val="21"/>
          <w:highlight w:val="none"/>
          <w:shd w:val="clear" w:color="auto" w:fill="FFFFFF"/>
        </w:rPr>
        <w:t>、具有履行合同所必需的设备和专业技术能力（提供书面承诺函）；</w:t>
      </w:r>
    </w:p>
    <w:p w14:paraId="5A8C2DC3">
      <w:pPr>
        <w:widowControl/>
        <w:shd w:val="clear"/>
        <w:tabs>
          <w:tab w:val="left" w:pos="840"/>
        </w:tabs>
        <w:snapToGrid w:val="0"/>
        <w:spacing w:line="360" w:lineRule="auto"/>
        <w:ind w:firstLine="420" w:firstLineChars="200"/>
        <w:jc w:val="left"/>
        <w:rPr>
          <w:color w:val="auto"/>
          <w:szCs w:val="21"/>
          <w:highlight w:val="none"/>
        </w:rPr>
      </w:pPr>
      <w:r>
        <w:rPr>
          <w:rFonts w:ascii="宋体" w:hAnsi="宋体" w:cs="宋体"/>
          <w:color w:val="auto"/>
          <w:szCs w:val="21"/>
          <w:highlight w:val="none"/>
          <w:shd w:val="clear" w:color="auto" w:fill="FFFFFF"/>
        </w:rPr>
        <w:t>4</w:t>
      </w:r>
      <w:r>
        <w:rPr>
          <w:rFonts w:hint="eastAsia" w:ascii="宋体" w:hAnsi="宋体" w:cs="宋体"/>
          <w:color w:val="auto"/>
          <w:szCs w:val="21"/>
          <w:highlight w:val="none"/>
          <w:shd w:val="clear" w:color="auto" w:fill="FFFFFF"/>
        </w:rPr>
        <w:t>、参加本采购活动前三年内，在经营活动中没有重大违法记录（提供书面承诺函）；</w:t>
      </w:r>
    </w:p>
    <w:p w14:paraId="7580ADEA">
      <w:pPr>
        <w:widowControl/>
        <w:shd w:val="clear"/>
        <w:tabs>
          <w:tab w:val="left" w:pos="840"/>
        </w:tabs>
        <w:snapToGrid w:val="0"/>
        <w:spacing w:line="324" w:lineRule="auto"/>
        <w:ind w:firstLine="420" w:firstLineChars="200"/>
        <w:jc w:val="left"/>
        <w:rPr>
          <w:rFonts w:ascii="宋体" w:cs="宋体"/>
          <w:color w:val="auto"/>
          <w:szCs w:val="21"/>
          <w:highlight w:val="none"/>
          <w:shd w:val="clear" w:color="auto" w:fill="FFFFFF"/>
        </w:rPr>
      </w:pPr>
      <w:r>
        <w:rPr>
          <w:rFonts w:hint="eastAsia" w:ascii="宋体" w:hAnsi="宋体" w:cs="宋体"/>
          <w:color w:val="auto"/>
          <w:szCs w:val="21"/>
          <w:highlight w:val="none"/>
          <w:shd w:val="clear" w:color="auto" w:fill="FFFFFF"/>
        </w:rPr>
        <w:t>5、根据《关于在政府采购活动中查询及使用信用记录有关问题的通知》（财库【</w:t>
      </w:r>
      <w:r>
        <w:rPr>
          <w:rFonts w:ascii="宋体" w:hAnsi="宋体" w:cs="宋体"/>
          <w:color w:val="auto"/>
          <w:szCs w:val="21"/>
          <w:highlight w:val="none"/>
          <w:shd w:val="clear" w:color="auto" w:fill="FFFFFF"/>
        </w:rPr>
        <w:t>2016</w:t>
      </w:r>
      <w:r>
        <w:rPr>
          <w:rFonts w:hint="eastAsia" w:ascii="宋体" w:hAnsi="宋体" w:cs="宋体"/>
          <w:color w:val="auto"/>
          <w:szCs w:val="21"/>
          <w:highlight w:val="none"/>
          <w:shd w:val="clear" w:color="auto" w:fill="FFFFFF"/>
        </w:rPr>
        <w:t>】</w:t>
      </w:r>
      <w:r>
        <w:rPr>
          <w:rFonts w:ascii="宋体" w:hAnsi="宋体" w:cs="宋体"/>
          <w:color w:val="auto"/>
          <w:szCs w:val="21"/>
          <w:highlight w:val="none"/>
          <w:shd w:val="clear" w:color="auto" w:fill="FFFFFF"/>
        </w:rPr>
        <w:t>125</w:t>
      </w:r>
      <w:r>
        <w:rPr>
          <w:rFonts w:hint="eastAsia" w:ascii="宋体" w:hAnsi="宋体" w:cs="宋体"/>
          <w:color w:val="auto"/>
          <w:szCs w:val="21"/>
          <w:highlight w:val="none"/>
          <w:shd w:val="clear" w:color="auto" w:fill="FFFFFF"/>
        </w:rPr>
        <w:t>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3F5D3B07">
      <w:pPr>
        <w:widowControl/>
        <w:shd w:val="clear"/>
        <w:tabs>
          <w:tab w:val="left" w:pos="840"/>
        </w:tabs>
        <w:snapToGrid w:val="0"/>
        <w:spacing w:line="324" w:lineRule="auto"/>
        <w:ind w:firstLine="420" w:firstLineChars="20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6、单位负责人为同一人或者存在直接控股、管理关系的不同供应商，不得参加同一合同项下的磋商（</w:t>
      </w:r>
      <w:r>
        <w:rPr>
          <w:rFonts w:hint="eastAsia" w:ascii="宋体" w:hAnsi="宋体" w:cs="宋体"/>
          <w:color w:val="auto"/>
          <w:kern w:val="0"/>
          <w:szCs w:val="21"/>
          <w:highlight w:val="none"/>
        </w:rPr>
        <w:t>提供在“国家企业信用信息公示系统”中查询的相关材料并加盖公章（需包含公司基本信息、股东信息及股权变更信息）或提供承诺函</w:t>
      </w:r>
      <w:r>
        <w:rPr>
          <w:rFonts w:hint="eastAsia" w:ascii="宋体" w:hAnsi="宋体" w:cs="宋体"/>
          <w:color w:val="auto"/>
          <w:szCs w:val="21"/>
          <w:highlight w:val="none"/>
          <w:shd w:val="clear" w:color="auto" w:fill="FFFFFF"/>
        </w:rPr>
        <w:t>）。一经发现，将导致投标同时被拒绝。</w:t>
      </w:r>
    </w:p>
    <w:p w14:paraId="79F6ACCF">
      <w:pPr>
        <w:widowControl/>
        <w:shd w:val="clear"/>
        <w:tabs>
          <w:tab w:val="left" w:pos="840"/>
        </w:tabs>
        <w:snapToGrid w:val="0"/>
        <w:spacing w:line="324" w:lineRule="auto"/>
        <w:ind w:firstLine="420" w:firstLineChars="20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7</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rPr>
        <w:t>供应商为代理商(经销商)时，须具有医疗器械经营许可证或医疗器械经营备案凭证(从事第一类医疗器械经营活动的除外)</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rPr>
        <w:t>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679211A4">
      <w:pPr>
        <w:widowControl/>
        <w:shd w:val="clear"/>
        <w:tabs>
          <w:tab w:val="left" w:pos="840"/>
        </w:tabs>
        <w:snapToGrid w:val="0"/>
        <w:spacing w:line="324" w:lineRule="auto"/>
        <w:ind w:firstLine="420" w:firstLineChars="20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8、不接受联合体磋商。</w:t>
      </w:r>
    </w:p>
    <w:p w14:paraId="788325BD">
      <w:pPr>
        <w:widowControl/>
        <w:shd w:val="clear"/>
        <w:snapToGrid w:val="0"/>
        <w:spacing w:line="324" w:lineRule="auto"/>
        <w:jc w:val="left"/>
        <w:outlineLvl w:val="1"/>
        <w:rPr>
          <w:rFonts w:hint="eastAsia" w:ascii="宋体" w:hAnsi="宋体" w:cs="宋体"/>
          <w:b/>
          <w:bCs/>
          <w:color w:val="auto"/>
          <w:highlight w:val="none"/>
        </w:rPr>
      </w:pPr>
      <w:r>
        <w:rPr>
          <w:rFonts w:hint="eastAsia" w:ascii="宋体" w:hAnsi="宋体" w:cs="宋体"/>
          <w:b/>
          <w:bCs/>
          <w:color w:val="auto"/>
          <w:highlight w:val="none"/>
        </w:rPr>
        <w:t>三、获取采购文件</w:t>
      </w:r>
      <w:bookmarkEnd w:id="8"/>
      <w:bookmarkEnd w:id="9"/>
      <w:bookmarkEnd w:id="10"/>
      <w:bookmarkEnd w:id="11"/>
      <w:bookmarkEnd w:id="12"/>
    </w:p>
    <w:p w14:paraId="5A4BC2AA">
      <w:pPr>
        <w:widowControl/>
        <w:shd w:val="clear"/>
        <w:adjustRightInd w:val="0"/>
        <w:snapToGrid w:val="0"/>
        <w:spacing w:line="324" w:lineRule="auto"/>
        <w:ind w:firstLine="420" w:firstLineChars="20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1. 报名时间：2025年</w:t>
      </w:r>
      <w:r>
        <w:rPr>
          <w:rFonts w:hint="eastAsia" w:ascii="宋体" w:hAnsi="宋体" w:cs="宋体"/>
          <w:color w:val="auto"/>
          <w:szCs w:val="21"/>
          <w:highlight w:val="none"/>
          <w:shd w:val="clear" w:color="auto" w:fill="FFFFFF"/>
          <w:lang w:val="en-US" w:eastAsia="zh-CN"/>
        </w:rPr>
        <w:t>11</w:t>
      </w:r>
      <w:r>
        <w:rPr>
          <w:rFonts w:hint="eastAsia" w:ascii="宋体" w:hAnsi="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11</w:t>
      </w:r>
      <w:r>
        <w:rPr>
          <w:rFonts w:hint="eastAsia" w:ascii="宋体" w:hAnsi="宋体" w:cs="宋体"/>
          <w:color w:val="auto"/>
          <w:szCs w:val="21"/>
          <w:highlight w:val="none"/>
          <w:shd w:val="clear" w:color="auto" w:fill="FFFFFF"/>
        </w:rPr>
        <w:t>日-2025年</w:t>
      </w:r>
      <w:r>
        <w:rPr>
          <w:rFonts w:hint="eastAsia" w:ascii="宋体" w:hAnsi="宋体" w:cs="宋体"/>
          <w:color w:val="auto"/>
          <w:szCs w:val="21"/>
          <w:highlight w:val="none"/>
          <w:shd w:val="clear" w:color="auto" w:fill="FFFFFF"/>
          <w:lang w:val="en-US" w:eastAsia="zh-CN"/>
        </w:rPr>
        <w:t>11</w:t>
      </w:r>
      <w:r>
        <w:rPr>
          <w:rFonts w:hint="eastAsia" w:ascii="宋体" w:hAnsi="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13</w:t>
      </w:r>
      <w:r>
        <w:rPr>
          <w:rFonts w:hint="eastAsia" w:ascii="宋体" w:hAnsi="宋体" w:cs="宋体"/>
          <w:color w:val="auto"/>
          <w:szCs w:val="21"/>
          <w:highlight w:val="none"/>
          <w:shd w:val="clear" w:color="auto" w:fill="FFFFFF"/>
        </w:rPr>
        <w:t>日，上午08：00-下午1</w:t>
      </w:r>
      <w:r>
        <w:rPr>
          <w:rFonts w:hint="eastAsia" w:ascii="宋体" w:hAnsi="宋体" w:cs="宋体"/>
          <w:color w:val="auto"/>
          <w:szCs w:val="21"/>
          <w:highlight w:val="none"/>
          <w:shd w:val="clear" w:color="auto" w:fill="FFFFFF"/>
          <w:lang w:val="en-US" w:eastAsia="zh-CN"/>
        </w:rPr>
        <w:t>7</w:t>
      </w:r>
      <w:r>
        <w:rPr>
          <w:rFonts w:hint="eastAsia" w:ascii="宋体" w:hAnsi="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w:t>
      </w:r>
      <w:r>
        <w:rPr>
          <w:rFonts w:hint="eastAsia" w:ascii="宋体" w:hAnsi="宋体" w:cs="宋体"/>
          <w:color w:val="auto"/>
          <w:szCs w:val="21"/>
          <w:highlight w:val="none"/>
          <w:shd w:val="clear" w:color="auto" w:fill="FFFFFF"/>
        </w:rPr>
        <w:t>0（北京时间，法定节假日除外）。</w:t>
      </w:r>
    </w:p>
    <w:p w14:paraId="2777C91A">
      <w:pPr>
        <w:widowControl/>
        <w:shd w:val="clear"/>
        <w:snapToGrid w:val="0"/>
        <w:spacing w:line="324"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shd w:val="clear" w:color="auto" w:fill="FFFFFF"/>
        </w:rPr>
        <w:t>2. 凡报名成功的供应商无故不来参与投标的，列入我院黑名单，一年内不得参与我院任何采购活动。</w:t>
      </w:r>
    </w:p>
    <w:p w14:paraId="396AC004">
      <w:pPr>
        <w:widowControl/>
        <w:shd w:val="clear"/>
        <w:wordWrap w:val="0"/>
        <w:snapToGrid w:val="0"/>
        <w:spacing w:line="324" w:lineRule="auto"/>
        <w:ind w:firstLine="420" w:firstLineChars="200"/>
        <w:jc w:val="left"/>
        <w:rPr>
          <w:rFonts w:hint="eastAsia" w:ascii="宋体" w:hAnsi="宋体" w:cs="宋体"/>
          <w:color w:val="auto"/>
          <w:kern w:val="0"/>
          <w:szCs w:val="21"/>
          <w:highlight w:val="none"/>
          <w:u w:val="single"/>
          <w:shd w:val="clear" w:color="auto" w:fill="FFFFFF"/>
        </w:rPr>
      </w:pPr>
      <w:r>
        <w:rPr>
          <w:rFonts w:hint="eastAsia" w:ascii="宋体" w:hAnsi="宋体" w:cs="宋体"/>
          <w:color w:val="auto"/>
          <w:kern w:val="0"/>
          <w:szCs w:val="21"/>
          <w:highlight w:val="none"/>
          <w:shd w:val="clear" w:color="auto" w:fill="FFFFFF"/>
        </w:rPr>
        <w:t>3. 采购文件获取方式：供应商须把填写完整的报名登记表及本磋商公告第二项供应商资格要求中需提供加盖单位公章的相关资料扫描件按序排版为PDF格式文件，发送至以下邮箱：</w:t>
      </w:r>
      <w:r>
        <w:rPr>
          <w:rFonts w:hint="eastAsia"/>
          <w:color w:val="auto"/>
          <w:highlight w:val="none"/>
        </w:rPr>
        <w:fldChar w:fldCharType="begin"/>
      </w:r>
      <w:r>
        <w:rPr>
          <w:color w:val="auto"/>
          <w:highlight w:val="none"/>
        </w:rPr>
        <w:instrText xml:space="preserve"> HYPERLINK "mailto:hnwxzb2@163.com并标明XX" </w:instrText>
      </w:r>
      <w:r>
        <w:rPr>
          <w:rFonts w:hint="eastAsia"/>
          <w:color w:val="auto"/>
          <w:highlight w:val="none"/>
        </w:rPr>
        <w:fldChar w:fldCharType="separate"/>
      </w:r>
      <w:r>
        <w:rPr>
          <w:rFonts w:hint="eastAsia" w:ascii="宋体" w:hAnsi="宋体" w:cs="宋体"/>
          <w:color w:val="auto"/>
          <w:kern w:val="0"/>
          <w:szCs w:val="21"/>
          <w:highlight w:val="none"/>
          <w:shd w:val="clear" w:color="auto" w:fill="FFFFFF"/>
          <w:lang w:val="en-US" w:eastAsia="zh-CN"/>
        </w:rPr>
        <w:t>270922989@qq.com</w:t>
      </w:r>
      <w:r>
        <w:rPr>
          <w:rFonts w:ascii="宋体" w:cs="宋体"/>
          <w:color w:val="auto"/>
          <w:kern w:val="0"/>
          <w:szCs w:val="21"/>
          <w:highlight w:val="none"/>
          <w:shd w:val="clear" w:color="auto" w:fill="FFFFFF"/>
        </w:rPr>
        <w:t>,</w:t>
      </w:r>
      <w:r>
        <w:rPr>
          <w:rFonts w:hint="eastAsia" w:ascii="宋体" w:hAnsi="宋体" w:cs="宋体"/>
          <w:color w:val="auto"/>
          <w:kern w:val="0"/>
          <w:szCs w:val="21"/>
          <w:highlight w:val="none"/>
          <w:shd w:val="clear" w:color="auto" w:fill="FFFFFF"/>
        </w:rPr>
        <w:t>并标明XX公司</w:t>
      </w:r>
      <w:r>
        <w:rPr>
          <w:rFonts w:hint="eastAsia" w:ascii="宋体" w:hAnsi="宋体" w:cs="宋体"/>
          <w:color w:val="auto"/>
          <w:szCs w:val="21"/>
          <w:highlight w:val="none"/>
          <w:shd w:val="clear" w:color="auto" w:fill="FFFFFF"/>
        </w:rPr>
        <w:fldChar w:fldCharType="end"/>
      </w:r>
      <w:r>
        <w:rPr>
          <w:rFonts w:hint="eastAsia" w:ascii="宋体" w:hAnsi="宋体" w:cs="宋体"/>
          <w:color w:val="auto"/>
          <w:kern w:val="0"/>
          <w:szCs w:val="21"/>
          <w:highlight w:val="none"/>
          <w:shd w:val="clear" w:color="auto" w:fill="FFFFFF"/>
        </w:rPr>
        <w:t>XX项目报名资料。</w:t>
      </w:r>
    </w:p>
    <w:p w14:paraId="4F551D90">
      <w:pPr>
        <w:widowControl/>
        <w:shd w:val="clear"/>
        <w:wordWrap w:val="0"/>
        <w:snapToGrid w:val="0"/>
        <w:spacing w:line="324" w:lineRule="auto"/>
        <w:ind w:left="420" w:left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shd w:val="clear" w:color="auto" w:fill="FFFFFF"/>
        </w:rPr>
        <w:t>4. 报名登记表：请从附件中下载。</w:t>
      </w:r>
    </w:p>
    <w:p w14:paraId="0F5BFB6D">
      <w:pPr>
        <w:widowControl/>
        <w:shd w:val="clear"/>
        <w:snapToGrid w:val="0"/>
        <w:spacing w:line="324" w:lineRule="auto"/>
        <w:jc w:val="left"/>
        <w:outlineLvl w:val="1"/>
        <w:rPr>
          <w:rFonts w:hint="eastAsia" w:ascii="宋体" w:hAnsi="宋体" w:cs="宋体"/>
          <w:b/>
          <w:bCs/>
          <w:color w:val="auto"/>
          <w:szCs w:val="21"/>
          <w:highlight w:val="none"/>
        </w:rPr>
      </w:pPr>
      <w:bookmarkStart w:id="13" w:name="_Toc25869"/>
      <w:bookmarkStart w:id="14" w:name="_Toc15135"/>
      <w:bookmarkStart w:id="15" w:name="_Toc15111"/>
      <w:bookmarkStart w:id="16" w:name="_Toc10738"/>
      <w:bookmarkStart w:id="17" w:name="_Toc27480"/>
      <w:r>
        <w:rPr>
          <w:rFonts w:hint="eastAsia" w:ascii="宋体" w:hAnsi="宋体" w:cs="宋体"/>
          <w:b/>
          <w:bCs/>
          <w:color w:val="auto"/>
          <w:szCs w:val="21"/>
          <w:highlight w:val="none"/>
          <w:shd w:val="clear" w:color="auto" w:fill="FFFFFF"/>
        </w:rPr>
        <w:t>四、磋商截止时间及地点</w:t>
      </w:r>
      <w:bookmarkEnd w:id="13"/>
      <w:bookmarkEnd w:id="14"/>
      <w:bookmarkEnd w:id="15"/>
      <w:bookmarkEnd w:id="16"/>
      <w:bookmarkEnd w:id="17"/>
    </w:p>
    <w:p w14:paraId="56C93D78">
      <w:pPr>
        <w:widowControl/>
        <w:shd w:val="clear"/>
        <w:snapToGrid w:val="0"/>
        <w:spacing w:line="324"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shd w:val="clear" w:color="auto" w:fill="FFFFFF"/>
        </w:rPr>
        <w:t>1. 时间：</w:t>
      </w:r>
      <w:r>
        <w:rPr>
          <w:rFonts w:hint="eastAsia" w:ascii="宋体" w:hAnsi="宋体" w:cs="宋体"/>
          <w:color w:val="auto"/>
          <w:szCs w:val="21"/>
          <w:highlight w:val="none"/>
        </w:rPr>
        <w:t>另行通知</w:t>
      </w:r>
      <w:r>
        <w:rPr>
          <w:rFonts w:hint="eastAsia" w:ascii="宋体" w:hAnsi="宋体" w:cs="宋体"/>
          <w:color w:val="auto"/>
          <w:kern w:val="0"/>
          <w:szCs w:val="21"/>
          <w:highlight w:val="none"/>
          <w:shd w:val="clear" w:color="auto" w:fill="FFFFFF"/>
        </w:rPr>
        <w:t>。</w:t>
      </w:r>
    </w:p>
    <w:p w14:paraId="0147F944">
      <w:pPr>
        <w:widowControl/>
        <w:shd w:val="clear"/>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 地点：</w:t>
      </w:r>
      <w:r>
        <w:rPr>
          <w:rFonts w:hint="eastAsia" w:ascii="宋体" w:hAnsi="宋体" w:cs="宋体"/>
          <w:color w:val="auto"/>
          <w:szCs w:val="21"/>
          <w:highlight w:val="none"/>
        </w:rPr>
        <w:t>另行通知</w:t>
      </w:r>
      <w:r>
        <w:rPr>
          <w:rFonts w:hint="eastAsia" w:ascii="宋体" w:hAnsi="宋体" w:cs="宋体"/>
          <w:color w:val="auto"/>
          <w:kern w:val="0"/>
          <w:szCs w:val="21"/>
          <w:highlight w:val="none"/>
          <w:shd w:val="clear" w:color="auto" w:fill="FFFFFF"/>
        </w:rPr>
        <w:t>。</w:t>
      </w:r>
    </w:p>
    <w:p w14:paraId="413262EB">
      <w:pPr>
        <w:widowControl/>
        <w:shd w:val="clear"/>
        <w:snapToGrid w:val="0"/>
        <w:spacing w:line="324" w:lineRule="auto"/>
        <w:jc w:val="left"/>
        <w:outlineLvl w:val="1"/>
        <w:rPr>
          <w:rFonts w:hint="eastAsia" w:ascii="宋体" w:hAnsi="宋体" w:cs="宋体"/>
          <w:b/>
          <w:bCs/>
          <w:color w:val="auto"/>
          <w:szCs w:val="21"/>
          <w:highlight w:val="none"/>
        </w:rPr>
      </w:pPr>
      <w:r>
        <w:rPr>
          <w:rFonts w:hint="eastAsia" w:ascii="宋体" w:hAnsi="宋体" w:cs="宋体"/>
          <w:b/>
          <w:bCs/>
          <w:color w:val="auto"/>
          <w:szCs w:val="21"/>
          <w:highlight w:val="none"/>
          <w:shd w:val="clear" w:color="auto" w:fill="FFFFFF"/>
        </w:rPr>
        <w:t>五、磋商时间及地点</w:t>
      </w:r>
    </w:p>
    <w:p w14:paraId="4509BA92">
      <w:pPr>
        <w:widowControl/>
        <w:shd w:val="clear"/>
        <w:snapToGrid w:val="0"/>
        <w:spacing w:line="324"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shd w:val="clear" w:color="auto" w:fill="FFFFFF"/>
        </w:rPr>
        <w:t>1. 时间：</w:t>
      </w:r>
      <w:r>
        <w:rPr>
          <w:rFonts w:hint="eastAsia" w:ascii="宋体" w:hAnsi="宋体" w:cs="宋体"/>
          <w:color w:val="auto"/>
          <w:szCs w:val="21"/>
          <w:highlight w:val="none"/>
        </w:rPr>
        <w:t>另行通知</w:t>
      </w:r>
      <w:r>
        <w:rPr>
          <w:rFonts w:hint="eastAsia" w:ascii="宋体" w:hAnsi="宋体" w:cs="宋体"/>
          <w:color w:val="auto"/>
          <w:kern w:val="0"/>
          <w:szCs w:val="21"/>
          <w:highlight w:val="none"/>
          <w:shd w:val="clear" w:color="auto" w:fill="FFFFFF"/>
        </w:rPr>
        <w:t>。</w:t>
      </w:r>
    </w:p>
    <w:p w14:paraId="2147593E">
      <w:pPr>
        <w:widowControl/>
        <w:shd w:val="clear"/>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 地点：</w:t>
      </w:r>
      <w:r>
        <w:rPr>
          <w:rFonts w:hint="eastAsia" w:ascii="宋体" w:hAnsi="宋体" w:cs="宋体"/>
          <w:color w:val="auto"/>
          <w:szCs w:val="21"/>
          <w:highlight w:val="none"/>
        </w:rPr>
        <w:t>另行通知</w:t>
      </w:r>
      <w:r>
        <w:rPr>
          <w:rFonts w:hint="eastAsia" w:ascii="宋体" w:hAnsi="宋体" w:cs="宋体"/>
          <w:color w:val="auto"/>
          <w:kern w:val="0"/>
          <w:szCs w:val="21"/>
          <w:highlight w:val="none"/>
          <w:shd w:val="clear" w:color="auto" w:fill="FFFFFF"/>
        </w:rPr>
        <w:t>。</w:t>
      </w:r>
    </w:p>
    <w:p w14:paraId="49377012">
      <w:pPr>
        <w:widowControl/>
        <w:shd w:val="clear"/>
        <w:snapToGrid w:val="0"/>
        <w:spacing w:line="324" w:lineRule="auto"/>
        <w:jc w:val="left"/>
        <w:outlineLvl w:val="1"/>
        <w:rPr>
          <w:rFonts w:hint="eastAsia" w:ascii="宋体" w:hAnsi="宋体" w:cs="宋体"/>
          <w:b/>
          <w:bCs/>
          <w:color w:val="auto"/>
          <w:szCs w:val="21"/>
          <w:highlight w:val="none"/>
        </w:rPr>
      </w:pPr>
      <w:bookmarkStart w:id="18" w:name="_Toc20287"/>
      <w:bookmarkStart w:id="19" w:name="_Toc30918"/>
      <w:bookmarkStart w:id="20" w:name="_Toc29784"/>
      <w:bookmarkStart w:id="21" w:name="_Toc6523"/>
      <w:r>
        <w:rPr>
          <w:rFonts w:hint="eastAsia" w:ascii="宋体" w:hAnsi="宋体" w:cs="宋体"/>
          <w:b/>
          <w:bCs/>
          <w:color w:val="auto"/>
          <w:szCs w:val="21"/>
          <w:highlight w:val="none"/>
          <w:shd w:val="clear" w:color="auto" w:fill="FFFFFF"/>
        </w:rPr>
        <w:t>六、发布公告的媒介及</w:t>
      </w:r>
      <w:r>
        <w:rPr>
          <w:rFonts w:hint="eastAsia" w:ascii="宋体" w:hAnsi="宋体" w:cs="宋体"/>
          <w:b/>
          <w:bCs/>
          <w:color w:val="auto"/>
          <w:szCs w:val="21"/>
          <w:highlight w:val="none"/>
        </w:rPr>
        <w:t>采购</w:t>
      </w:r>
      <w:r>
        <w:rPr>
          <w:rFonts w:hint="eastAsia" w:ascii="宋体" w:hAnsi="宋体" w:cs="宋体"/>
          <w:b/>
          <w:bCs/>
          <w:color w:val="auto"/>
          <w:szCs w:val="21"/>
          <w:highlight w:val="none"/>
          <w:shd w:val="clear" w:color="auto" w:fill="FFFFFF"/>
        </w:rPr>
        <w:t>公告期限</w:t>
      </w:r>
      <w:bookmarkEnd w:id="18"/>
      <w:bookmarkEnd w:id="19"/>
      <w:bookmarkEnd w:id="20"/>
      <w:bookmarkEnd w:id="21"/>
    </w:p>
    <w:p w14:paraId="6ED3467E">
      <w:pPr>
        <w:widowControl/>
        <w:shd w:val="clear"/>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本次</w:t>
      </w:r>
      <w:r>
        <w:rPr>
          <w:rFonts w:hint="eastAsia" w:ascii="宋体" w:hAnsi="宋体" w:cs="宋体"/>
          <w:color w:val="auto"/>
          <w:szCs w:val="21"/>
          <w:highlight w:val="none"/>
        </w:rPr>
        <w:t>采购</w:t>
      </w:r>
      <w:r>
        <w:rPr>
          <w:rFonts w:hint="eastAsia" w:ascii="宋体" w:hAnsi="宋体" w:cs="宋体"/>
          <w:color w:val="auto"/>
          <w:kern w:val="0"/>
          <w:szCs w:val="21"/>
          <w:highlight w:val="none"/>
          <w:shd w:val="clear" w:color="auto" w:fill="FFFFFF"/>
        </w:rPr>
        <w:t>公告在《驻马店市中心医院》院内网</w:t>
      </w:r>
      <w:r>
        <w:rPr>
          <w:rFonts w:hint="eastAsia" w:ascii="宋体" w:hAnsi="宋体" w:cs="宋体"/>
          <w:color w:val="auto"/>
          <w:szCs w:val="21"/>
          <w:highlight w:val="none"/>
        </w:rPr>
        <w:t>上发布，采购公告期限为三个工作日</w:t>
      </w:r>
      <w:r>
        <w:rPr>
          <w:rFonts w:hint="eastAsia" w:ascii="宋体" w:hAnsi="宋体" w:cs="宋体"/>
          <w:color w:val="auto"/>
          <w:kern w:val="0"/>
          <w:szCs w:val="21"/>
          <w:highlight w:val="none"/>
          <w:shd w:val="clear" w:color="auto" w:fill="FFFFFF"/>
        </w:rPr>
        <w:t>。</w:t>
      </w:r>
      <w:bookmarkStart w:id="22" w:name="_Toc35393626"/>
      <w:bookmarkStart w:id="23" w:name="_Toc35393795"/>
    </w:p>
    <w:bookmarkEnd w:id="22"/>
    <w:bookmarkEnd w:id="23"/>
    <w:p w14:paraId="3A443574">
      <w:pPr>
        <w:widowControl/>
        <w:shd w:val="clear"/>
        <w:snapToGrid w:val="0"/>
        <w:spacing w:line="324" w:lineRule="auto"/>
        <w:jc w:val="left"/>
        <w:outlineLvl w:val="1"/>
        <w:rPr>
          <w:rFonts w:hint="eastAsia" w:ascii="宋体" w:hAnsi="宋体" w:cs="宋体"/>
          <w:b/>
          <w:bCs/>
          <w:color w:val="auto"/>
          <w:szCs w:val="21"/>
          <w:highlight w:val="none"/>
        </w:rPr>
      </w:pPr>
      <w:bookmarkStart w:id="24" w:name="_Toc3604"/>
      <w:bookmarkStart w:id="25" w:name="_Toc24274"/>
      <w:bookmarkStart w:id="26" w:name="_Toc27370"/>
      <w:bookmarkStart w:id="27" w:name="_Toc16291"/>
      <w:bookmarkStart w:id="28" w:name="_Toc31928"/>
      <w:r>
        <w:rPr>
          <w:rFonts w:hint="eastAsia" w:ascii="宋体" w:hAnsi="宋体" w:cs="宋体"/>
          <w:b/>
          <w:bCs/>
          <w:color w:val="auto"/>
          <w:szCs w:val="21"/>
          <w:highlight w:val="none"/>
          <w:shd w:val="clear" w:color="auto" w:fill="FFFFFF"/>
        </w:rPr>
        <w:t>七、</w:t>
      </w:r>
      <w:bookmarkEnd w:id="24"/>
      <w:bookmarkEnd w:id="25"/>
      <w:bookmarkEnd w:id="26"/>
      <w:bookmarkEnd w:id="27"/>
      <w:bookmarkEnd w:id="28"/>
      <w:r>
        <w:rPr>
          <w:rFonts w:hint="eastAsia" w:ascii="宋体" w:hAnsi="宋体" w:cs="宋体"/>
          <w:b/>
          <w:bCs/>
          <w:color w:val="auto"/>
          <w:szCs w:val="21"/>
          <w:highlight w:val="none"/>
          <w:shd w:val="clear" w:color="auto" w:fill="FFFFFF"/>
        </w:rPr>
        <w:t>凡对本次招标提出询问，请按照以下方式联系</w:t>
      </w:r>
    </w:p>
    <w:p w14:paraId="15814A95">
      <w:pPr>
        <w:keepNext w:val="0"/>
        <w:keepLines w:val="0"/>
        <w:pageBreakBefore w:val="0"/>
        <w:widowControl/>
        <w:shd w:val="clea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08B2C4BF">
      <w:pPr>
        <w:keepNext w:val="0"/>
        <w:keepLines w:val="0"/>
        <w:pageBreakBefore w:val="0"/>
        <w:widowControl/>
        <w:shd w:val="clea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6B2AA99D">
      <w:pPr>
        <w:keepNext w:val="0"/>
        <w:keepLines w:val="0"/>
        <w:pageBreakBefore w:val="0"/>
        <w:widowControl/>
        <w:shd w:val="clea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55DB8827">
      <w:pPr>
        <w:keepNext w:val="0"/>
        <w:keepLines w:val="0"/>
        <w:pageBreakBefore w:val="0"/>
        <w:widowControl/>
        <w:shd w:val="clea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7C60F71F">
      <w:pPr>
        <w:keepNext w:val="0"/>
        <w:keepLines w:val="0"/>
        <w:pageBreakBefore w:val="0"/>
        <w:widowControl/>
        <w:numPr>
          <w:ilvl w:val="0"/>
          <w:numId w:val="0"/>
        </w:numPr>
        <w:shd w:val="clea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2.采购代理机构：河南恒越工程咨询有限公司</w:t>
      </w:r>
    </w:p>
    <w:p w14:paraId="6ACA0FE0">
      <w:pPr>
        <w:keepNext w:val="0"/>
        <w:keepLines w:val="0"/>
        <w:pageBreakBefore w:val="0"/>
        <w:widowControl/>
        <w:shd w:val="clea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地址：驻马店市淮河大道与蔡都路交叉口华尔大厦B座21层</w:t>
      </w:r>
    </w:p>
    <w:p w14:paraId="50561F4D">
      <w:pPr>
        <w:keepNext w:val="0"/>
        <w:keepLines w:val="0"/>
        <w:pageBreakBefore w:val="0"/>
        <w:widowControl/>
        <w:shd w:val="clea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联系人：王先生</w:t>
      </w:r>
    </w:p>
    <w:p w14:paraId="1C7D3478">
      <w:pPr>
        <w:keepNext w:val="0"/>
        <w:keepLines w:val="0"/>
        <w:pageBreakBefore w:val="0"/>
        <w:widowControl/>
        <w:shd w:val="clea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联系方式：15038468262</w:t>
      </w:r>
    </w:p>
    <w:p w14:paraId="362DE2A8">
      <w:pPr>
        <w:keepNext w:val="0"/>
        <w:keepLines w:val="0"/>
        <w:pageBreakBefore w:val="0"/>
        <w:widowControl/>
        <w:shd w:val="clea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4EBDDD88">
      <w:pPr>
        <w:keepNext w:val="0"/>
        <w:keepLines w:val="0"/>
        <w:pageBreakBefore w:val="0"/>
        <w:widowControl/>
        <w:shd w:val="clea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26B920EF">
      <w:pPr>
        <w:keepNext w:val="0"/>
        <w:keepLines w:val="0"/>
        <w:pageBreakBefore w:val="0"/>
        <w:widowControl/>
        <w:shd w:val="clear"/>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6FDA1F77">
      <w:pPr>
        <w:pStyle w:val="31"/>
        <w:widowControl/>
        <w:shd w:val="clear"/>
        <w:snapToGrid w:val="0"/>
        <w:spacing w:before="159" w:beforeAutospacing="0" w:after="0" w:afterAutospacing="0" w:line="324" w:lineRule="auto"/>
        <w:ind w:firstLine="420" w:firstLineChars="200"/>
        <w:jc w:val="center"/>
        <w:rPr>
          <w:rFonts w:hint="eastAsia" w:ascii="宋体" w:hAnsi="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11</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10</w:t>
      </w:r>
      <w:bookmarkStart w:id="101" w:name="_GoBack"/>
      <w:bookmarkEnd w:id="101"/>
      <w:r>
        <w:rPr>
          <w:rFonts w:hint="eastAsia" w:ascii="宋体" w:hAnsi="宋体" w:eastAsia="宋体" w:cs="宋体"/>
          <w:color w:val="auto"/>
          <w:sz w:val="21"/>
          <w:szCs w:val="21"/>
          <w:highlight w:val="none"/>
          <w:shd w:val="clear" w:color="auto" w:fill="FFFFFF"/>
        </w:rPr>
        <w:t>日</w:t>
      </w:r>
    </w:p>
    <w:p w14:paraId="3A3A800C">
      <w:pPr>
        <w:shd w:val="clear"/>
        <w:rPr>
          <w:rFonts w:hint="eastAsia" w:ascii="宋体" w:hAnsi="宋体" w:cs="宋体"/>
          <w:b/>
          <w:color w:val="auto"/>
          <w:sz w:val="32"/>
          <w:szCs w:val="32"/>
          <w:highlight w:val="none"/>
        </w:rPr>
      </w:pPr>
      <w:bookmarkStart w:id="29" w:name="_Toc29890"/>
      <w:bookmarkStart w:id="30" w:name="_Toc23793"/>
      <w:r>
        <w:rPr>
          <w:rFonts w:hint="eastAsia" w:ascii="宋体" w:hAnsi="宋体" w:cs="宋体"/>
          <w:b/>
          <w:color w:val="auto"/>
          <w:sz w:val="32"/>
          <w:szCs w:val="32"/>
          <w:highlight w:val="none"/>
        </w:rPr>
        <w:br w:type="page"/>
      </w:r>
    </w:p>
    <w:p w14:paraId="714F2020">
      <w:pPr>
        <w:widowControl/>
        <w:shd w:val="clear"/>
        <w:spacing w:line="360" w:lineRule="auto"/>
        <w:ind w:firstLine="643" w:firstLineChars="200"/>
        <w:jc w:val="center"/>
        <w:outlineLvl w:val="0"/>
        <w:rPr>
          <w:rFonts w:hint="eastAsia" w:ascii="宋体" w:hAnsi="宋体" w:cs="宋体"/>
          <w:b/>
          <w:color w:val="auto"/>
          <w:sz w:val="32"/>
          <w:szCs w:val="32"/>
          <w:highlight w:val="none"/>
        </w:rPr>
      </w:pPr>
      <w:bookmarkStart w:id="31" w:name="_Toc19124"/>
      <w:r>
        <w:rPr>
          <w:rFonts w:hint="eastAsia" w:ascii="宋体" w:hAnsi="宋体" w:cs="宋体"/>
          <w:b/>
          <w:color w:val="auto"/>
          <w:sz w:val="32"/>
          <w:szCs w:val="32"/>
          <w:highlight w:val="none"/>
        </w:rPr>
        <w:t>第二章  采购需求</w:t>
      </w:r>
      <w:bookmarkEnd w:id="31"/>
      <w:bookmarkStart w:id="32" w:name="_Toc31536"/>
      <w:bookmarkStart w:id="33" w:name="_Toc9989"/>
      <w:bookmarkStart w:id="34" w:name="_Toc23610"/>
    </w:p>
    <w:bookmarkEnd w:id="29"/>
    <w:bookmarkEnd w:id="30"/>
    <w:bookmarkEnd w:id="32"/>
    <w:bookmarkEnd w:id="33"/>
    <w:bookmarkEnd w:id="34"/>
    <w:p w14:paraId="03906EAE">
      <w:pPr>
        <w:pStyle w:val="7"/>
        <w:shd w:val="clear"/>
        <w:snapToGrid w:val="0"/>
        <w:spacing w:beforeAutospacing="0" w:afterAutospacing="0" w:line="360" w:lineRule="auto"/>
        <w:jc w:val="both"/>
        <w:rPr>
          <w:rFonts w:hint="eastAsia" w:eastAsia="宋体"/>
          <w:iCs/>
          <w:color w:val="auto"/>
          <w:sz w:val="21"/>
          <w:szCs w:val="21"/>
          <w:highlight w:val="none"/>
          <w:lang w:eastAsia="zh-CN"/>
        </w:rPr>
      </w:pPr>
      <w:r>
        <w:rPr>
          <w:rFonts w:hint="eastAsia"/>
          <w:b/>
          <w:bCs/>
          <w:iCs/>
          <w:color w:val="auto"/>
          <w:sz w:val="21"/>
          <w:szCs w:val="21"/>
          <w:highlight w:val="none"/>
        </w:rPr>
        <w:t>一、项目名称：</w:t>
      </w:r>
      <w:r>
        <w:rPr>
          <w:rFonts w:hint="eastAsia"/>
          <w:iCs/>
          <w:color w:val="auto"/>
          <w:sz w:val="21"/>
          <w:szCs w:val="21"/>
          <w:highlight w:val="none"/>
          <w:lang w:eastAsia="zh-CN"/>
        </w:rPr>
        <w:t>驻马店市中心医院飞利浦3.0T磁共振8通道线圈和16通道头颈联合线圈维修项目</w:t>
      </w:r>
    </w:p>
    <w:p w14:paraId="56F2B0D9">
      <w:pPr>
        <w:pStyle w:val="7"/>
        <w:shd w:val="clear"/>
        <w:snapToGrid w:val="0"/>
        <w:spacing w:beforeAutospacing="0" w:afterAutospacing="0" w:line="360" w:lineRule="auto"/>
        <w:jc w:val="both"/>
        <w:rPr>
          <w:rFonts w:hint="eastAsia"/>
          <w:b/>
          <w:bCs/>
          <w:color w:val="auto"/>
          <w:kern w:val="2"/>
          <w:sz w:val="21"/>
          <w:szCs w:val="21"/>
          <w:highlight w:val="none"/>
        </w:rPr>
      </w:pPr>
      <w:r>
        <w:rPr>
          <w:rFonts w:hint="eastAsia"/>
          <w:b/>
          <w:bCs/>
          <w:color w:val="auto"/>
          <w:kern w:val="2"/>
          <w:sz w:val="21"/>
          <w:szCs w:val="21"/>
          <w:highlight w:val="none"/>
        </w:rPr>
        <w:t>二、采购标的清单：</w:t>
      </w:r>
    </w:p>
    <w:tbl>
      <w:tblPr>
        <w:tblStyle w:val="35"/>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791"/>
        <w:gridCol w:w="2338"/>
        <w:gridCol w:w="850"/>
        <w:gridCol w:w="967"/>
        <w:gridCol w:w="1440"/>
        <w:gridCol w:w="1054"/>
        <w:gridCol w:w="5"/>
        <w:gridCol w:w="1240"/>
      </w:tblGrid>
      <w:tr w14:paraId="623DC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0" w:type="dxa"/>
            <w:noWrap w:val="0"/>
            <w:vAlign w:val="center"/>
          </w:tcPr>
          <w:p w14:paraId="39CEE0F0">
            <w:pPr>
              <w:pStyle w:val="7"/>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791" w:type="dxa"/>
            <w:noWrap w:val="0"/>
            <w:vAlign w:val="center"/>
          </w:tcPr>
          <w:p w14:paraId="341D21D4">
            <w:pPr>
              <w:pStyle w:val="7"/>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338" w:type="dxa"/>
            <w:noWrap w:val="0"/>
            <w:vAlign w:val="center"/>
          </w:tcPr>
          <w:p w14:paraId="1947D88F">
            <w:pPr>
              <w:pStyle w:val="7"/>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850" w:type="dxa"/>
            <w:noWrap w:val="0"/>
            <w:vAlign w:val="center"/>
          </w:tcPr>
          <w:p w14:paraId="4A2328A2">
            <w:pPr>
              <w:pStyle w:val="7"/>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967" w:type="dxa"/>
            <w:noWrap w:val="0"/>
            <w:vAlign w:val="center"/>
          </w:tcPr>
          <w:p w14:paraId="6FD85A46">
            <w:pPr>
              <w:pStyle w:val="7"/>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440" w:type="dxa"/>
            <w:noWrap w:val="0"/>
            <w:vAlign w:val="center"/>
          </w:tcPr>
          <w:p w14:paraId="3728AFD3">
            <w:pPr>
              <w:pStyle w:val="7"/>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资金</w:t>
            </w:r>
          </w:p>
          <w:p w14:paraId="27FA0566">
            <w:pPr>
              <w:pStyle w:val="7"/>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预算</w:t>
            </w:r>
          </w:p>
        </w:tc>
        <w:tc>
          <w:tcPr>
            <w:tcW w:w="1054" w:type="dxa"/>
            <w:noWrap w:val="0"/>
            <w:vAlign w:val="center"/>
          </w:tcPr>
          <w:p w14:paraId="78FD2307">
            <w:pPr>
              <w:pStyle w:val="7"/>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资金</w:t>
            </w:r>
          </w:p>
          <w:p w14:paraId="1D5F282E">
            <w:pPr>
              <w:pStyle w:val="7"/>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性质</w:t>
            </w:r>
          </w:p>
        </w:tc>
        <w:tc>
          <w:tcPr>
            <w:tcW w:w="1245" w:type="dxa"/>
            <w:gridSpan w:val="2"/>
            <w:noWrap w:val="0"/>
            <w:vAlign w:val="center"/>
          </w:tcPr>
          <w:p w14:paraId="5F722038">
            <w:pPr>
              <w:pStyle w:val="7"/>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国产/</w:t>
            </w:r>
          </w:p>
          <w:p w14:paraId="0648C612">
            <w:pPr>
              <w:pStyle w:val="7"/>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进口</w:t>
            </w:r>
          </w:p>
        </w:tc>
      </w:tr>
      <w:tr w14:paraId="544F2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31BFBDA5">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791" w:type="dxa"/>
            <w:noWrap w:val="0"/>
            <w:vAlign w:val="center"/>
          </w:tcPr>
          <w:p w14:paraId="28D993C8">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338" w:type="dxa"/>
            <w:noWrap w:val="0"/>
            <w:vAlign w:val="center"/>
          </w:tcPr>
          <w:p w14:paraId="3225BE3A">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240" w:lineRule="auto"/>
              <w:jc w:val="both"/>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飞利浦3.0T磁共振8通道线圈和16通道头颈联合线圈维修项目</w:t>
            </w:r>
          </w:p>
        </w:tc>
        <w:tc>
          <w:tcPr>
            <w:tcW w:w="850" w:type="dxa"/>
            <w:noWrap w:val="0"/>
            <w:vAlign w:val="center"/>
          </w:tcPr>
          <w:p w14:paraId="4B2BEC33">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auto"/>
                <w:sz w:val="21"/>
                <w:szCs w:val="21"/>
                <w:highlight w:val="none"/>
                <w:vertAlign w:val="baseline"/>
                <w:lang w:val="en-US" w:eastAsia="zh-CN"/>
              </w:rPr>
            </w:pPr>
          </w:p>
        </w:tc>
        <w:tc>
          <w:tcPr>
            <w:tcW w:w="967" w:type="dxa"/>
            <w:noWrap w:val="0"/>
            <w:vAlign w:val="center"/>
          </w:tcPr>
          <w:p w14:paraId="38872AA2">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auto"/>
                <w:sz w:val="21"/>
                <w:szCs w:val="21"/>
                <w:highlight w:val="none"/>
                <w:vertAlign w:val="baseline"/>
                <w:lang w:val="en-US" w:eastAsia="zh-CN"/>
              </w:rPr>
            </w:pPr>
          </w:p>
        </w:tc>
        <w:tc>
          <w:tcPr>
            <w:tcW w:w="1440" w:type="dxa"/>
            <w:noWrap w:val="0"/>
            <w:vAlign w:val="center"/>
          </w:tcPr>
          <w:p w14:paraId="4D03C3F9">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15.75万元</w:t>
            </w:r>
          </w:p>
        </w:tc>
        <w:tc>
          <w:tcPr>
            <w:tcW w:w="1054" w:type="dxa"/>
            <w:noWrap w:val="0"/>
            <w:vAlign w:val="center"/>
          </w:tcPr>
          <w:p w14:paraId="3BE1B322">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自筹</w:t>
            </w:r>
          </w:p>
        </w:tc>
        <w:tc>
          <w:tcPr>
            <w:tcW w:w="1245" w:type="dxa"/>
            <w:gridSpan w:val="2"/>
            <w:noWrap w:val="0"/>
            <w:vAlign w:val="center"/>
          </w:tcPr>
          <w:p w14:paraId="2A90142D">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接受</w:t>
            </w:r>
            <w:r>
              <w:rPr>
                <w:rFonts w:hint="eastAsia" w:ascii="宋体" w:hAnsi="宋体" w:eastAsia="宋体" w:cs="宋体"/>
                <w:color w:val="auto"/>
                <w:sz w:val="21"/>
                <w:szCs w:val="21"/>
                <w:highlight w:val="none"/>
                <w:vertAlign w:val="baseline"/>
                <w:lang w:val="en-US" w:eastAsia="zh-CN"/>
              </w:rPr>
              <w:t>进口</w:t>
            </w:r>
          </w:p>
        </w:tc>
      </w:tr>
      <w:tr w14:paraId="0214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691" w:type="dxa"/>
            <w:gridSpan w:val="2"/>
            <w:noWrap w:val="0"/>
            <w:vAlign w:val="center"/>
          </w:tcPr>
          <w:p w14:paraId="3479B8AA">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合计</w:t>
            </w:r>
          </w:p>
        </w:tc>
        <w:tc>
          <w:tcPr>
            <w:tcW w:w="2338" w:type="dxa"/>
            <w:noWrap w:val="0"/>
            <w:vAlign w:val="center"/>
          </w:tcPr>
          <w:p w14:paraId="2EC809CF">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b/>
                <w:bCs/>
                <w:color w:val="auto"/>
                <w:sz w:val="21"/>
                <w:szCs w:val="21"/>
                <w:highlight w:val="none"/>
                <w:vertAlign w:val="baseline"/>
                <w:lang w:val="en-US" w:eastAsia="zh-CN"/>
              </w:rPr>
            </w:pPr>
          </w:p>
        </w:tc>
        <w:tc>
          <w:tcPr>
            <w:tcW w:w="850" w:type="dxa"/>
            <w:noWrap w:val="0"/>
            <w:vAlign w:val="center"/>
          </w:tcPr>
          <w:p w14:paraId="745D419A">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b/>
                <w:bCs/>
                <w:color w:val="auto"/>
                <w:sz w:val="21"/>
                <w:szCs w:val="21"/>
                <w:highlight w:val="none"/>
                <w:vertAlign w:val="baseline"/>
                <w:lang w:val="en-US" w:eastAsia="zh-CN"/>
              </w:rPr>
            </w:pPr>
          </w:p>
        </w:tc>
        <w:tc>
          <w:tcPr>
            <w:tcW w:w="967" w:type="dxa"/>
            <w:noWrap w:val="0"/>
            <w:vAlign w:val="center"/>
          </w:tcPr>
          <w:p w14:paraId="22D9E919">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b/>
                <w:bCs/>
                <w:color w:val="auto"/>
                <w:sz w:val="21"/>
                <w:szCs w:val="21"/>
                <w:highlight w:val="none"/>
                <w:vertAlign w:val="baseline"/>
                <w:lang w:val="en-US" w:eastAsia="zh-CN"/>
              </w:rPr>
            </w:pPr>
          </w:p>
        </w:tc>
        <w:tc>
          <w:tcPr>
            <w:tcW w:w="1440" w:type="dxa"/>
            <w:noWrap w:val="0"/>
            <w:vAlign w:val="center"/>
          </w:tcPr>
          <w:p w14:paraId="15BF8820">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15.75万元</w:t>
            </w:r>
          </w:p>
        </w:tc>
        <w:tc>
          <w:tcPr>
            <w:tcW w:w="1059" w:type="dxa"/>
            <w:gridSpan w:val="2"/>
            <w:noWrap w:val="0"/>
            <w:vAlign w:val="center"/>
          </w:tcPr>
          <w:p w14:paraId="06C1E4D8">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b/>
                <w:bCs/>
                <w:color w:val="auto"/>
                <w:sz w:val="21"/>
                <w:szCs w:val="21"/>
                <w:highlight w:val="none"/>
                <w:vertAlign w:val="baseline"/>
                <w:lang w:val="en-US" w:eastAsia="zh-CN"/>
              </w:rPr>
            </w:pPr>
          </w:p>
        </w:tc>
        <w:tc>
          <w:tcPr>
            <w:tcW w:w="1240" w:type="dxa"/>
            <w:noWrap w:val="0"/>
            <w:vAlign w:val="center"/>
          </w:tcPr>
          <w:p w14:paraId="0C8932DB">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b/>
                <w:bCs/>
                <w:color w:val="auto"/>
                <w:sz w:val="21"/>
                <w:szCs w:val="21"/>
                <w:highlight w:val="none"/>
                <w:vertAlign w:val="baseline"/>
                <w:lang w:val="en-US" w:eastAsia="zh-CN"/>
              </w:rPr>
            </w:pPr>
          </w:p>
        </w:tc>
      </w:tr>
      <w:tr w14:paraId="561C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691" w:type="dxa"/>
            <w:gridSpan w:val="2"/>
            <w:noWrap w:val="0"/>
            <w:vAlign w:val="center"/>
          </w:tcPr>
          <w:p w14:paraId="3081F4FC">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7894" w:type="dxa"/>
            <w:gridSpan w:val="7"/>
            <w:noWrap w:val="0"/>
            <w:vAlign w:val="center"/>
          </w:tcPr>
          <w:p w14:paraId="0685D403">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bCs/>
                <w:color w:val="auto"/>
                <w:sz w:val="24"/>
                <w:szCs w:val="24"/>
                <w:highlight w:val="none"/>
                <w:vertAlign w:val="baseline"/>
                <w:lang w:val="en-US" w:eastAsia="zh-CN"/>
              </w:rPr>
            </w:pPr>
            <w:r>
              <w:rPr>
                <w:rFonts w:hint="eastAsia" w:asciiTheme="minorEastAsia" w:hAnsiTheme="minorEastAsia" w:eastAsiaTheme="minorEastAsia" w:cstheme="minorEastAsia"/>
                <w:color w:val="auto"/>
                <w:sz w:val="22"/>
                <w:szCs w:val="22"/>
                <w:highlight w:val="none"/>
                <w:vertAlign w:val="baseline"/>
                <w:lang w:val="en-US" w:eastAsia="zh-CN"/>
              </w:rPr>
              <w:t>适用设备型号为飞利浦Achieva 3.0T磁共振</w:t>
            </w:r>
          </w:p>
        </w:tc>
      </w:tr>
    </w:tbl>
    <w:p w14:paraId="7D201766">
      <w:pPr>
        <w:numPr>
          <w:ilvl w:val="0"/>
          <w:numId w:val="1"/>
        </w:numPr>
        <w:shd w:val="clear"/>
        <w:spacing w:line="192" w:lineRule="auto"/>
        <w:rPr>
          <w:rFonts w:hint="eastAsia" w:ascii="宋体" w:hAnsi="宋体" w:cs="宋体"/>
          <w:b/>
          <w:bCs/>
          <w:color w:val="auto"/>
          <w:szCs w:val="21"/>
          <w:highlight w:val="none"/>
        </w:rPr>
      </w:pPr>
      <w:r>
        <w:rPr>
          <w:rFonts w:hint="eastAsia" w:ascii="宋体" w:hAnsi="宋体" w:cs="宋体"/>
          <w:b/>
          <w:bCs/>
          <w:color w:val="auto"/>
          <w:szCs w:val="21"/>
          <w:highlight w:val="none"/>
        </w:rPr>
        <w:t>技术要求</w:t>
      </w:r>
    </w:p>
    <w:p w14:paraId="1F4854B1">
      <w:pPr>
        <w:shd w:val="clear"/>
        <w:spacing w:line="460" w:lineRule="exact"/>
        <w:ind w:firstLine="440" w:firstLineChars="200"/>
        <w:rPr>
          <w:rFonts w:hint="eastAsia" w:ascii="Times New Roman" w:hAnsi="Times New Roman" w:eastAsia="宋体" w:cs="宋体"/>
          <w:color w:val="auto"/>
          <w:sz w:val="22"/>
          <w:szCs w:val="22"/>
          <w:highlight w:val="none"/>
        </w:rPr>
      </w:pPr>
      <w:r>
        <w:rPr>
          <w:rFonts w:hint="eastAsia" w:ascii="Times New Roman" w:hAnsi="Times New Roman" w:eastAsia="宋体" w:cs="宋体"/>
          <w:color w:val="auto"/>
          <w:sz w:val="22"/>
          <w:szCs w:val="22"/>
          <w:highlight w:val="none"/>
        </w:rPr>
        <w:t>16通道线圈、8通道头颈联合线圈维修</w:t>
      </w:r>
      <w:r>
        <w:rPr>
          <w:rFonts w:hint="eastAsia" w:cs="宋体"/>
          <w:color w:val="auto"/>
          <w:sz w:val="22"/>
          <w:szCs w:val="22"/>
          <w:highlight w:val="none"/>
          <w:lang w:val="en-US" w:eastAsia="zh-CN"/>
        </w:rPr>
        <w:t>要求如下</w:t>
      </w:r>
      <w:r>
        <w:rPr>
          <w:rFonts w:hint="eastAsia" w:ascii="Times New Roman" w:hAnsi="Times New Roman" w:eastAsia="宋体" w:cs="宋体"/>
          <w:color w:val="auto"/>
          <w:sz w:val="22"/>
          <w:szCs w:val="22"/>
          <w:highlight w:val="none"/>
        </w:rPr>
        <w:t>：</w:t>
      </w:r>
    </w:p>
    <w:p w14:paraId="6D21ACDB">
      <w:pPr>
        <w:shd w:val="clear"/>
        <w:spacing w:line="460" w:lineRule="exact"/>
        <w:ind w:firstLine="440" w:firstLineChars="200"/>
        <w:rPr>
          <w:rFonts w:hint="eastAsia" w:ascii="Times New Roman" w:hAnsi="Times New Roman" w:eastAsia="宋体" w:cs="宋体"/>
          <w:color w:val="auto"/>
          <w:sz w:val="22"/>
          <w:szCs w:val="22"/>
          <w:highlight w:val="none"/>
        </w:rPr>
      </w:pPr>
      <w:r>
        <w:rPr>
          <w:rFonts w:hint="eastAsia" w:ascii="Times New Roman" w:hAnsi="Times New Roman" w:eastAsia="宋体" w:cs="宋体"/>
          <w:color w:val="auto"/>
          <w:sz w:val="22"/>
          <w:szCs w:val="22"/>
          <w:highlight w:val="none"/>
        </w:rPr>
        <w:t>(1)维修后线圈满足设备使用要求</w:t>
      </w:r>
    </w:p>
    <w:p w14:paraId="24D85B5A">
      <w:pPr>
        <w:shd w:val="clear"/>
        <w:spacing w:line="460" w:lineRule="exact"/>
        <w:ind w:firstLine="440" w:firstLineChars="200"/>
        <w:rPr>
          <w:rFonts w:hint="eastAsia" w:ascii="Times New Roman" w:hAnsi="Times New Roman" w:eastAsia="宋体" w:cs="宋体"/>
          <w:color w:val="auto"/>
          <w:sz w:val="22"/>
          <w:szCs w:val="22"/>
          <w:highlight w:val="none"/>
        </w:rPr>
      </w:pPr>
      <w:r>
        <w:rPr>
          <w:rFonts w:hint="eastAsia" w:ascii="Times New Roman" w:hAnsi="Times New Roman" w:eastAsia="宋体" w:cs="宋体"/>
          <w:color w:val="auto"/>
          <w:sz w:val="22"/>
          <w:szCs w:val="22"/>
          <w:highlight w:val="none"/>
        </w:rPr>
        <w:t>(2)16通道线圈需更换一个原厂全新线圈电缆</w:t>
      </w:r>
    </w:p>
    <w:p w14:paraId="61F1ED75">
      <w:pPr>
        <w:shd w:val="clear"/>
        <w:spacing w:line="460" w:lineRule="exact"/>
        <w:ind w:firstLine="440" w:firstLineChars="200"/>
        <w:rPr>
          <w:rFonts w:hint="eastAsia" w:ascii="Times New Roman" w:hAnsi="Times New Roman" w:eastAsia="宋体" w:cs="宋体"/>
          <w:color w:val="auto"/>
          <w:sz w:val="22"/>
          <w:szCs w:val="22"/>
          <w:highlight w:val="none"/>
        </w:rPr>
      </w:pPr>
      <w:r>
        <w:rPr>
          <w:rFonts w:hint="eastAsia" w:ascii="Times New Roman" w:hAnsi="Times New Roman" w:eastAsia="宋体" w:cs="宋体"/>
          <w:color w:val="auto"/>
          <w:sz w:val="22"/>
          <w:szCs w:val="22"/>
          <w:highlight w:val="none"/>
        </w:rPr>
        <w:t>(3)维修期内，提供备用线圈给医院使用</w:t>
      </w:r>
    </w:p>
    <w:p w14:paraId="462700B6">
      <w:pPr>
        <w:shd w:val="clear"/>
        <w:spacing w:line="460" w:lineRule="exact"/>
        <w:ind w:firstLine="440" w:firstLineChars="200"/>
        <w:rPr>
          <w:rFonts w:hint="eastAsia" w:cs="宋体"/>
          <w:color w:val="auto"/>
          <w:sz w:val="22"/>
          <w:szCs w:val="22"/>
          <w:highlight w:val="none"/>
          <w:lang w:eastAsia="zh-CN"/>
        </w:rPr>
      </w:pPr>
      <w:r>
        <w:rPr>
          <w:rFonts w:hint="eastAsia" w:ascii="Times New Roman" w:hAnsi="Times New Roman" w:eastAsia="宋体" w:cs="宋体"/>
          <w:color w:val="auto"/>
          <w:sz w:val="22"/>
          <w:szCs w:val="22"/>
          <w:highlight w:val="none"/>
        </w:rPr>
        <w:t>(4)包含线圈拆卸、安装、调试等</w:t>
      </w:r>
      <w:r>
        <w:rPr>
          <w:rFonts w:hint="eastAsia" w:cs="宋体"/>
          <w:color w:val="auto"/>
          <w:sz w:val="22"/>
          <w:szCs w:val="22"/>
          <w:highlight w:val="none"/>
          <w:lang w:eastAsia="zh-CN"/>
        </w:rPr>
        <w:t>。</w:t>
      </w:r>
    </w:p>
    <w:p w14:paraId="3EA85683">
      <w:pPr>
        <w:pStyle w:val="22"/>
        <w:shd w:val="clear"/>
        <w:rPr>
          <w:rFonts w:hint="eastAsia"/>
          <w:color w:val="auto"/>
          <w:highlight w:val="none"/>
          <w:lang w:eastAsia="zh-CN"/>
        </w:rPr>
      </w:pPr>
    </w:p>
    <w:p w14:paraId="313215B3">
      <w:pPr>
        <w:shd w:val="clear"/>
        <w:spacing w:line="360" w:lineRule="auto"/>
        <w:ind w:firstLine="602" w:firstLineChars="200"/>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商务要求</w:t>
      </w:r>
    </w:p>
    <w:tbl>
      <w:tblPr>
        <w:tblStyle w:val="34"/>
        <w:tblpPr w:leftFromText="180" w:rightFromText="180" w:vertAnchor="text" w:tblpXSpec="center" w:tblpY="1"/>
        <w:tblOverlap w:val="never"/>
        <w:tblW w:w="948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09"/>
        <w:gridCol w:w="7877"/>
      </w:tblGrid>
      <w:tr w14:paraId="792068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09" w:type="dxa"/>
            <w:tcBorders>
              <w:top w:val="single" w:color="auto" w:sz="4" w:space="0"/>
              <w:left w:val="single" w:color="auto" w:sz="4" w:space="0"/>
              <w:bottom w:val="single" w:color="auto" w:sz="4" w:space="0"/>
              <w:right w:val="single" w:color="auto" w:sz="4" w:space="0"/>
            </w:tcBorders>
            <w:noWrap/>
            <w:vAlign w:val="center"/>
          </w:tcPr>
          <w:p w14:paraId="69772F38">
            <w:pPr>
              <w:pStyle w:val="7"/>
              <w:shd w:val="clear"/>
              <w:jc w:val="center"/>
              <w:rPr>
                <w:rFonts w:hint="eastAsia"/>
                <w:color w:val="auto"/>
                <w:sz w:val="21"/>
                <w:szCs w:val="21"/>
                <w:highlight w:val="none"/>
              </w:rPr>
            </w:pPr>
            <w:r>
              <w:rPr>
                <w:rFonts w:hint="eastAsia"/>
                <w:color w:val="auto"/>
                <w:sz w:val="21"/>
                <w:szCs w:val="21"/>
                <w:highlight w:val="none"/>
              </w:rPr>
              <w:t>交货期</w:t>
            </w:r>
          </w:p>
        </w:tc>
        <w:tc>
          <w:tcPr>
            <w:tcW w:w="7877" w:type="dxa"/>
            <w:tcBorders>
              <w:top w:val="single" w:color="auto" w:sz="4" w:space="0"/>
              <w:left w:val="single" w:color="auto" w:sz="4" w:space="0"/>
              <w:bottom w:val="single" w:color="auto" w:sz="4" w:space="0"/>
              <w:right w:val="single" w:color="auto" w:sz="4" w:space="0"/>
            </w:tcBorders>
            <w:noWrap/>
            <w:vAlign w:val="center"/>
          </w:tcPr>
          <w:p w14:paraId="1C5B6438">
            <w:pPr>
              <w:pStyle w:val="7"/>
              <w:shd w:val="clear"/>
              <w:rPr>
                <w:rFonts w:hint="eastAsia"/>
                <w:color w:val="auto"/>
                <w:sz w:val="21"/>
                <w:szCs w:val="21"/>
                <w:highlight w:val="none"/>
              </w:rPr>
            </w:pPr>
            <w:r>
              <w:rPr>
                <w:rFonts w:hint="eastAsia"/>
                <w:color w:val="auto"/>
                <w:sz w:val="21"/>
                <w:szCs w:val="21"/>
                <w:highlight w:val="none"/>
              </w:rPr>
              <w:t>以合同约定内容为准。</w:t>
            </w:r>
          </w:p>
        </w:tc>
      </w:tr>
      <w:tr w14:paraId="3D840E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09" w:type="dxa"/>
            <w:tcBorders>
              <w:top w:val="single" w:color="auto" w:sz="4" w:space="0"/>
              <w:left w:val="single" w:color="auto" w:sz="4" w:space="0"/>
              <w:bottom w:val="single" w:color="auto" w:sz="4" w:space="0"/>
              <w:right w:val="single" w:color="auto" w:sz="4" w:space="0"/>
            </w:tcBorders>
            <w:noWrap/>
            <w:vAlign w:val="center"/>
          </w:tcPr>
          <w:p w14:paraId="6B650E01">
            <w:pPr>
              <w:pStyle w:val="7"/>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交货地点</w:t>
            </w:r>
          </w:p>
        </w:tc>
        <w:tc>
          <w:tcPr>
            <w:tcW w:w="7877" w:type="dxa"/>
            <w:tcBorders>
              <w:top w:val="single" w:color="auto" w:sz="4" w:space="0"/>
              <w:left w:val="single" w:color="auto" w:sz="4" w:space="0"/>
              <w:bottom w:val="single" w:color="auto" w:sz="4" w:space="0"/>
              <w:right w:val="single" w:color="auto" w:sz="4" w:space="0"/>
            </w:tcBorders>
            <w:noWrap/>
            <w:vAlign w:val="center"/>
          </w:tcPr>
          <w:p w14:paraId="1ED71D19">
            <w:pPr>
              <w:pStyle w:val="7"/>
              <w:shd w:val="clea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医院指定地点</w:t>
            </w:r>
            <w:r>
              <w:rPr>
                <w:rFonts w:hint="eastAsia" w:ascii="宋体" w:hAnsi="宋体" w:eastAsia="宋体" w:cs="宋体"/>
                <w:color w:val="auto"/>
                <w:sz w:val="21"/>
                <w:szCs w:val="21"/>
                <w:highlight w:val="none"/>
              </w:rPr>
              <w:t>。</w:t>
            </w:r>
          </w:p>
        </w:tc>
      </w:tr>
      <w:tr w14:paraId="7D7611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609" w:type="dxa"/>
            <w:tcBorders>
              <w:top w:val="single" w:color="auto" w:sz="4" w:space="0"/>
              <w:left w:val="single" w:color="auto" w:sz="4" w:space="0"/>
              <w:right w:val="single" w:color="auto" w:sz="4" w:space="0"/>
            </w:tcBorders>
            <w:noWrap/>
            <w:vAlign w:val="center"/>
          </w:tcPr>
          <w:p w14:paraId="0E364D84">
            <w:pPr>
              <w:pStyle w:val="7"/>
              <w:shd w:val="clear"/>
              <w:jc w:val="center"/>
              <w:rPr>
                <w:rFonts w:hint="eastAsia"/>
                <w:color w:val="auto"/>
                <w:sz w:val="21"/>
                <w:szCs w:val="21"/>
                <w:highlight w:val="none"/>
              </w:rPr>
            </w:pPr>
            <w:r>
              <w:rPr>
                <w:rFonts w:hint="eastAsia" w:ascii="宋体" w:hAnsi="宋体" w:eastAsia="宋体" w:cs="宋体"/>
                <w:color w:val="auto"/>
                <w:sz w:val="21"/>
                <w:szCs w:val="21"/>
                <w:highlight w:val="none"/>
              </w:rPr>
              <w:t>保修期</w:t>
            </w:r>
          </w:p>
        </w:tc>
        <w:tc>
          <w:tcPr>
            <w:tcW w:w="7877" w:type="dxa"/>
            <w:tcBorders>
              <w:top w:val="single" w:color="auto" w:sz="4" w:space="0"/>
              <w:left w:val="single" w:color="auto" w:sz="4" w:space="0"/>
              <w:bottom w:val="single" w:color="auto" w:sz="4" w:space="0"/>
              <w:right w:val="single" w:color="auto" w:sz="4" w:space="0"/>
            </w:tcBorders>
            <w:noWrap/>
            <w:vAlign w:val="center"/>
          </w:tcPr>
          <w:p w14:paraId="54488729">
            <w:pPr>
              <w:pStyle w:val="7"/>
              <w:shd w:val="clear"/>
              <w:jc w:val="both"/>
              <w:rPr>
                <w:color w:val="auto"/>
                <w:szCs w:val="21"/>
                <w:highlight w:val="none"/>
              </w:rPr>
            </w:pPr>
            <w:r>
              <w:rPr>
                <w:rFonts w:hint="eastAsia" w:ascii="宋体" w:hAnsi="宋体" w:eastAsia="宋体" w:cs="宋体"/>
                <w:color w:val="auto"/>
                <w:sz w:val="21"/>
                <w:szCs w:val="21"/>
                <w:highlight w:val="none"/>
                <w:lang w:val="en-US" w:eastAsia="zh-CN"/>
              </w:rPr>
              <w:t>3个月</w:t>
            </w:r>
          </w:p>
        </w:tc>
      </w:tr>
      <w:tr w14:paraId="254C36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09" w:type="dxa"/>
            <w:tcBorders>
              <w:top w:val="single" w:color="auto" w:sz="4" w:space="0"/>
              <w:left w:val="single" w:color="auto" w:sz="4" w:space="0"/>
              <w:bottom w:val="single" w:color="auto" w:sz="4" w:space="0"/>
              <w:right w:val="single" w:color="auto" w:sz="4" w:space="0"/>
            </w:tcBorders>
            <w:noWrap/>
            <w:vAlign w:val="center"/>
          </w:tcPr>
          <w:p w14:paraId="4CD8477E">
            <w:pPr>
              <w:pStyle w:val="7"/>
              <w:shd w:val="clear"/>
              <w:jc w:val="center"/>
              <w:rPr>
                <w:rFonts w:hint="eastAsia"/>
                <w:color w:val="auto"/>
                <w:sz w:val="21"/>
                <w:szCs w:val="21"/>
                <w:highlight w:val="none"/>
              </w:rPr>
            </w:pPr>
            <w:r>
              <w:rPr>
                <w:rFonts w:hint="eastAsia"/>
                <w:color w:val="auto"/>
                <w:sz w:val="21"/>
                <w:szCs w:val="21"/>
                <w:highlight w:val="none"/>
              </w:rPr>
              <w:t>质量要求</w:t>
            </w:r>
          </w:p>
        </w:tc>
        <w:tc>
          <w:tcPr>
            <w:tcW w:w="7877" w:type="dxa"/>
            <w:tcBorders>
              <w:top w:val="single" w:color="auto" w:sz="4" w:space="0"/>
              <w:left w:val="single" w:color="auto" w:sz="4" w:space="0"/>
              <w:bottom w:val="single" w:color="auto" w:sz="4" w:space="0"/>
              <w:right w:val="single" w:color="auto" w:sz="4" w:space="0"/>
            </w:tcBorders>
            <w:noWrap/>
            <w:vAlign w:val="center"/>
          </w:tcPr>
          <w:p w14:paraId="203B7D8C">
            <w:pPr>
              <w:pStyle w:val="7"/>
              <w:shd w:val="clear"/>
              <w:rPr>
                <w:rFonts w:hint="eastAsia"/>
                <w:color w:val="auto"/>
                <w:sz w:val="21"/>
                <w:szCs w:val="21"/>
                <w:highlight w:val="none"/>
              </w:rPr>
            </w:pPr>
            <w:r>
              <w:rPr>
                <w:rFonts w:hint="eastAsia"/>
                <w:color w:val="auto"/>
                <w:sz w:val="21"/>
                <w:szCs w:val="21"/>
                <w:highlight w:val="none"/>
                <w:shd w:val="clear" w:color="auto" w:fill="FFFFFF"/>
              </w:rPr>
              <w:t>符合国家质量标准、部颁标准、行业标准，满足磋商文件规定标准。</w:t>
            </w:r>
          </w:p>
        </w:tc>
      </w:tr>
      <w:tr w14:paraId="1C30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09" w:type="dxa"/>
            <w:tcBorders>
              <w:top w:val="single" w:color="auto" w:sz="4" w:space="0"/>
              <w:left w:val="single" w:color="auto" w:sz="4" w:space="0"/>
              <w:bottom w:val="single" w:color="auto" w:sz="4" w:space="0"/>
              <w:right w:val="single" w:color="auto" w:sz="4" w:space="0"/>
            </w:tcBorders>
            <w:noWrap/>
            <w:vAlign w:val="center"/>
          </w:tcPr>
          <w:p w14:paraId="77CE1A5F">
            <w:pPr>
              <w:pStyle w:val="7"/>
              <w:shd w:val="clear"/>
              <w:jc w:val="center"/>
              <w:rPr>
                <w:rFonts w:hint="eastAsia"/>
                <w:color w:val="auto"/>
                <w:sz w:val="21"/>
                <w:szCs w:val="21"/>
                <w:highlight w:val="none"/>
              </w:rPr>
            </w:pPr>
            <w:r>
              <w:rPr>
                <w:rFonts w:hint="eastAsia"/>
                <w:color w:val="auto"/>
                <w:sz w:val="21"/>
                <w:szCs w:val="21"/>
                <w:highlight w:val="none"/>
              </w:rPr>
              <w:t>付款条件</w:t>
            </w:r>
          </w:p>
        </w:tc>
        <w:tc>
          <w:tcPr>
            <w:tcW w:w="7877" w:type="dxa"/>
            <w:tcBorders>
              <w:top w:val="single" w:color="auto" w:sz="4" w:space="0"/>
              <w:left w:val="single" w:color="auto" w:sz="4" w:space="0"/>
              <w:bottom w:val="single" w:color="auto" w:sz="4" w:space="0"/>
              <w:right w:val="single" w:color="auto" w:sz="4" w:space="0"/>
            </w:tcBorders>
            <w:noWrap/>
            <w:vAlign w:val="center"/>
          </w:tcPr>
          <w:p w14:paraId="38D69C22">
            <w:pPr>
              <w:pStyle w:val="7"/>
              <w:shd w:val="clear"/>
              <w:rPr>
                <w:rFonts w:hint="eastAsia"/>
                <w:color w:val="auto"/>
                <w:sz w:val="21"/>
                <w:szCs w:val="21"/>
                <w:highlight w:val="none"/>
              </w:rPr>
            </w:pPr>
            <w:r>
              <w:rPr>
                <w:rFonts w:hint="eastAsia"/>
                <w:color w:val="auto"/>
                <w:sz w:val="21"/>
                <w:szCs w:val="21"/>
                <w:highlight w:val="none"/>
              </w:rPr>
              <w:t>安装验收完成后付款90%，合同结束后付款10%。</w:t>
            </w:r>
          </w:p>
        </w:tc>
      </w:tr>
      <w:tr w14:paraId="25F9D9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09" w:type="dxa"/>
            <w:tcBorders>
              <w:top w:val="single" w:color="auto" w:sz="4" w:space="0"/>
              <w:left w:val="single" w:color="auto" w:sz="4" w:space="0"/>
              <w:bottom w:val="single" w:color="auto" w:sz="4" w:space="0"/>
              <w:right w:val="single" w:color="auto" w:sz="4" w:space="0"/>
            </w:tcBorders>
            <w:noWrap/>
            <w:vAlign w:val="center"/>
          </w:tcPr>
          <w:p w14:paraId="09CA1335">
            <w:pPr>
              <w:pStyle w:val="7"/>
              <w:shd w:val="clear"/>
              <w:jc w:val="center"/>
              <w:rPr>
                <w:rFonts w:hint="eastAsia"/>
                <w:color w:val="auto"/>
                <w:sz w:val="21"/>
                <w:szCs w:val="21"/>
                <w:highlight w:val="none"/>
              </w:rPr>
            </w:pPr>
            <w:r>
              <w:rPr>
                <w:rFonts w:hint="eastAsia"/>
                <w:color w:val="auto"/>
                <w:sz w:val="21"/>
                <w:szCs w:val="21"/>
                <w:highlight w:val="none"/>
              </w:rPr>
              <w:t>包装和运输</w:t>
            </w:r>
          </w:p>
        </w:tc>
        <w:tc>
          <w:tcPr>
            <w:tcW w:w="7877" w:type="dxa"/>
            <w:tcBorders>
              <w:top w:val="single" w:color="auto" w:sz="4" w:space="0"/>
              <w:left w:val="single" w:color="auto" w:sz="4" w:space="0"/>
              <w:bottom w:val="single" w:color="auto" w:sz="4" w:space="0"/>
              <w:right w:val="single" w:color="auto" w:sz="4" w:space="0"/>
            </w:tcBorders>
            <w:noWrap/>
            <w:vAlign w:val="center"/>
          </w:tcPr>
          <w:p w14:paraId="28BA31EB">
            <w:pPr>
              <w:pStyle w:val="7"/>
              <w:shd w:val="clear"/>
              <w:rPr>
                <w:rFonts w:hint="eastAsia"/>
                <w:color w:val="auto"/>
                <w:sz w:val="21"/>
                <w:szCs w:val="21"/>
                <w:highlight w:val="none"/>
              </w:rPr>
            </w:pPr>
            <w:r>
              <w:rPr>
                <w:rFonts w:hint="eastAsia" w:ascii="宋体" w:hAnsi="宋体" w:eastAsia="宋体" w:cs="宋体"/>
                <w:color w:val="auto"/>
                <w:sz w:val="21"/>
                <w:szCs w:val="21"/>
                <w:highlight w:val="none"/>
                <w:lang w:val="en-US" w:eastAsia="zh-CN"/>
              </w:rPr>
              <w:t>中标方承担包装和运输费用</w:t>
            </w:r>
          </w:p>
        </w:tc>
      </w:tr>
    </w:tbl>
    <w:p w14:paraId="48FCD7A6">
      <w:pPr>
        <w:shd w:val="clear"/>
        <w:spacing w:line="360" w:lineRule="auto"/>
        <w:ind w:firstLine="602" w:firstLineChars="200"/>
        <w:jc w:val="center"/>
        <w:rPr>
          <w:rFonts w:hint="eastAsia" w:ascii="宋体" w:hAnsi="宋体" w:cs="宋体"/>
          <w:b/>
          <w:bCs/>
          <w:color w:val="auto"/>
          <w:sz w:val="30"/>
          <w:szCs w:val="30"/>
          <w:highlight w:val="none"/>
        </w:rPr>
      </w:pPr>
    </w:p>
    <w:p w14:paraId="39CF6FFE">
      <w:pPr>
        <w:pStyle w:val="22"/>
        <w:shd w:val="clear"/>
        <w:rPr>
          <w:rFonts w:hint="eastAsia" w:ascii="宋体" w:hAnsi="宋体" w:cs="宋体"/>
          <w:b/>
          <w:bCs/>
          <w:color w:val="auto"/>
          <w:sz w:val="30"/>
          <w:szCs w:val="30"/>
          <w:highlight w:val="none"/>
        </w:rPr>
      </w:pPr>
    </w:p>
    <w:p w14:paraId="5920F055">
      <w:pPr>
        <w:pStyle w:val="22"/>
        <w:shd w:val="clear"/>
        <w:rPr>
          <w:rFonts w:hint="eastAsia" w:ascii="宋体" w:hAnsi="宋体" w:cs="宋体"/>
          <w:b/>
          <w:bCs/>
          <w:color w:val="auto"/>
          <w:sz w:val="30"/>
          <w:szCs w:val="30"/>
          <w:highlight w:val="none"/>
        </w:rPr>
      </w:pPr>
    </w:p>
    <w:p w14:paraId="55EAF898">
      <w:pPr>
        <w:shd w:val="clear"/>
        <w:spacing w:line="360" w:lineRule="auto"/>
        <w:ind w:firstLine="602" w:firstLineChars="200"/>
        <w:jc w:val="center"/>
        <w:rPr>
          <w:rFonts w:ascii="宋体" w:cs="宋体"/>
          <w:b/>
          <w:bCs/>
          <w:color w:val="auto"/>
          <w:sz w:val="30"/>
          <w:szCs w:val="30"/>
          <w:highlight w:val="none"/>
        </w:rPr>
      </w:pPr>
      <w:r>
        <w:rPr>
          <w:rFonts w:hint="eastAsia" w:ascii="宋体" w:hAnsi="宋体" w:cs="宋体"/>
          <w:b/>
          <w:bCs/>
          <w:color w:val="auto"/>
          <w:sz w:val="30"/>
          <w:szCs w:val="30"/>
          <w:highlight w:val="none"/>
        </w:rPr>
        <w:t>采购人对</w:t>
      </w:r>
      <w:r>
        <w:rPr>
          <w:rFonts w:hint="eastAsia" w:ascii="宋体" w:hAnsi="宋体" w:eastAsia="宋体" w:cs="宋体"/>
          <w:b/>
          <w:bCs/>
          <w:color w:val="auto"/>
          <w:sz w:val="32"/>
          <w:szCs w:val="32"/>
          <w:highlight w:val="none"/>
        </w:rPr>
        <w:t>项目</w:t>
      </w:r>
      <w:r>
        <w:rPr>
          <w:rFonts w:hint="eastAsia" w:ascii="宋体" w:hAnsi="宋体" w:cs="宋体"/>
          <w:b/>
          <w:bCs/>
          <w:color w:val="auto"/>
          <w:sz w:val="30"/>
          <w:szCs w:val="30"/>
          <w:highlight w:val="none"/>
        </w:rPr>
        <w:t>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7B456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bottom w:val="single" w:color="auto" w:sz="4" w:space="0"/>
              <w:right w:val="single" w:color="auto" w:sz="4" w:space="0"/>
            </w:tcBorders>
            <w:noWrap w:val="0"/>
            <w:vAlign w:val="center"/>
          </w:tcPr>
          <w:p w14:paraId="0E894B61">
            <w:pPr>
              <w:widowControl/>
              <w:shd w:val="clear"/>
              <w:snapToGrid w:val="0"/>
              <w:spacing w:line="360" w:lineRule="auto"/>
              <w:ind w:firstLine="422"/>
              <w:jc w:val="center"/>
              <w:rPr>
                <w:rFonts w:asci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tcBorders>
            <w:noWrap w:val="0"/>
            <w:vAlign w:val="center"/>
          </w:tcPr>
          <w:p w14:paraId="72803FF7">
            <w:pPr>
              <w:widowControl/>
              <w:numPr>
                <w:ilvl w:val="0"/>
                <w:numId w:val="0"/>
              </w:numPr>
              <w:shd w:val="clear"/>
              <w:snapToGrid w:val="0"/>
              <w:spacing w:line="360" w:lineRule="auto"/>
              <w:rPr>
                <w:rFonts w:ascii="宋体" w:cs="宋体"/>
                <w:color w:val="auto"/>
                <w:highlight w:val="none"/>
              </w:rPr>
            </w:pPr>
            <w:r>
              <w:rPr>
                <w:rFonts w:ascii="宋体" w:hAnsi="Times New Roman" w:eastAsia="宋体" w:cs="宋体"/>
                <w:color w:val="auto"/>
                <w:kern w:val="2"/>
                <w:sz w:val="21"/>
                <w:szCs w:val="24"/>
                <w:highlight w:val="none"/>
                <w:lang w:val="en-US" w:eastAsia="zh-CN" w:bidi="ar-SA"/>
              </w:rPr>
              <w:t>1、</w:t>
            </w:r>
            <w:r>
              <w:rPr>
                <w:rFonts w:hint="eastAsia" w:ascii="宋体" w:hAnsi="宋体" w:cs="宋体"/>
                <w:color w:val="auto"/>
                <w:highlight w:val="none"/>
              </w:rPr>
              <w:t>不接受联合体投标，不允许转包和分包。</w:t>
            </w:r>
          </w:p>
          <w:p w14:paraId="4CAF6ECB">
            <w:pPr>
              <w:widowControl/>
              <w:shd w:val="clear"/>
              <w:snapToGrid w:val="0"/>
              <w:spacing w:line="360" w:lineRule="auto"/>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rPr>
              <w:t>、授权磋商小组确定一名成交供应商并推荐一名成交候选供应商。</w:t>
            </w:r>
          </w:p>
          <w:p w14:paraId="487EC176">
            <w:pPr>
              <w:widowControl/>
              <w:shd w:val="clear"/>
              <w:snapToGrid w:val="0"/>
              <w:spacing w:line="360" w:lineRule="auto"/>
              <w:rPr>
                <w:rFonts w:ascii="宋体" w:cs="宋体"/>
                <w:color w:val="auto"/>
                <w:highlight w:val="none"/>
              </w:rPr>
            </w:pPr>
            <w:r>
              <w:rPr>
                <w:rFonts w:ascii="宋体" w:hAnsi="宋体" w:cs="宋体"/>
                <w:color w:val="auto"/>
                <w:highlight w:val="none"/>
              </w:rPr>
              <w:t>3</w:t>
            </w:r>
            <w:r>
              <w:rPr>
                <w:rFonts w:hint="eastAsia" w:ascii="宋体" w:hAnsi="宋体" w:cs="宋体"/>
                <w:color w:val="auto"/>
                <w:highlight w:val="none"/>
              </w:rPr>
              <w:t>、供应商应根据采购文件的要求提供技术响应部分、商务响应部分等内容以对采购文件作出响应。</w:t>
            </w:r>
          </w:p>
          <w:p w14:paraId="0F8925EF">
            <w:pPr>
              <w:widowControl/>
              <w:shd w:val="clear"/>
              <w:snapToGrid w:val="0"/>
              <w:spacing w:line="360" w:lineRule="auto"/>
              <w:rPr>
                <w:rFonts w:hint="eastAsia" w:eastAsia="宋体"/>
                <w:color w:val="auto"/>
                <w:highlight w:val="none"/>
                <w:lang w:val="en-US" w:eastAsia="zh-CN"/>
              </w:rPr>
            </w:pPr>
            <w:r>
              <w:rPr>
                <w:rFonts w:ascii="宋体" w:hAnsi="宋体" w:cs="宋体"/>
                <w:color w:val="auto"/>
                <w:highlight w:val="none"/>
              </w:rPr>
              <w:t>4</w:t>
            </w:r>
            <w:r>
              <w:rPr>
                <w:rFonts w:hint="eastAsia" w:ascii="宋体" w:hAnsi="宋体" w:cs="宋体"/>
                <w:color w:val="auto"/>
                <w:highlight w:val="none"/>
              </w:rPr>
              <w:t>、</w:t>
            </w:r>
            <w:r>
              <w:rPr>
                <w:rFonts w:hint="eastAsia"/>
                <w:color w:val="auto"/>
                <w:highlight w:val="none"/>
              </w:rPr>
              <w:t>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tc>
      </w:tr>
    </w:tbl>
    <w:p w14:paraId="05580FE9">
      <w:pPr>
        <w:pStyle w:val="24"/>
        <w:shd w:val="clear"/>
        <w:rPr>
          <w:rFonts w:hint="eastAsia" w:ascii="宋体" w:hAnsi="宋体" w:cs="宋体"/>
          <w:color w:val="auto"/>
          <w:szCs w:val="21"/>
          <w:highlight w:val="none"/>
        </w:rPr>
      </w:pPr>
    </w:p>
    <w:p w14:paraId="7B6690DD">
      <w:pPr>
        <w:shd w:val="clear"/>
        <w:snapToGrid w:val="0"/>
        <w:spacing w:before="159" w:beforeLines="50" w:line="360" w:lineRule="auto"/>
        <w:rPr>
          <w:rFonts w:hint="eastAsia" w:ascii="宋体" w:hAnsi="宋体" w:cs="宋体"/>
          <w:b/>
          <w:bCs/>
          <w:color w:val="auto"/>
          <w:szCs w:val="21"/>
          <w:highlight w:val="none"/>
        </w:rPr>
        <w:sectPr>
          <w:footerReference r:id="rId5" w:type="default"/>
          <w:pgSz w:w="11906" w:h="16838"/>
          <w:pgMar w:top="1417" w:right="1474" w:bottom="1417" w:left="1474" w:header="851" w:footer="624" w:gutter="0"/>
          <w:cols w:space="720" w:num="1"/>
          <w:docGrid w:type="lines" w:linePitch="319" w:charSpace="0"/>
        </w:sectPr>
      </w:pPr>
    </w:p>
    <w:p w14:paraId="5CD23B79">
      <w:pPr>
        <w:shd w:val="clear"/>
        <w:jc w:val="center"/>
        <w:outlineLvl w:val="0"/>
        <w:rPr>
          <w:rFonts w:hint="eastAsia" w:ascii="宋体" w:hAnsi="宋体" w:cs="宋体"/>
          <w:b/>
          <w:bCs/>
          <w:color w:val="auto"/>
          <w:sz w:val="32"/>
          <w:szCs w:val="32"/>
          <w:highlight w:val="none"/>
        </w:rPr>
      </w:pPr>
      <w:bookmarkStart w:id="35" w:name="_Toc8501"/>
      <w:r>
        <w:rPr>
          <w:rFonts w:hint="eastAsia" w:ascii="宋体" w:hAnsi="宋体" w:cs="宋体"/>
          <w:b/>
          <w:bCs/>
          <w:color w:val="auto"/>
          <w:sz w:val="32"/>
          <w:szCs w:val="32"/>
          <w:highlight w:val="none"/>
        </w:rPr>
        <w:t>第三章  供应商须知</w:t>
      </w:r>
      <w:bookmarkEnd w:id="35"/>
    </w:p>
    <w:p w14:paraId="08408074">
      <w:pPr>
        <w:shd w:val="clear"/>
        <w:snapToGrid w:val="0"/>
        <w:spacing w:before="159" w:beforeLines="50" w:line="360" w:lineRule="auto"/>
        <w:jc w:val="center"/>
        <w:outlineLvl w:val="1"/>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供应商须知前附表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22293C30">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8CA068">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6F28D73">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内容、要求</w:t>
            </w:r>
          </w:p>
        </w:tc>
      </w:tr>
      <w:tr w14:paraId="4E7B3A0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2F6B4E3">
            <w:pPr>
              <w:widowControl/>
              <w:shd w:val="clear"/>
              <w:spacing w:line="46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D862BD3">
            <w:pPr>
              <w:widowControl/>
              <w:shd w:val="clear"/>
              <w:snapToGrid w:val="0"/>
              <w:spacing w:line="440" w:lineRule="exact"/>
              <w:jc w:val="left"/>
              <w:outlineLvl w:val="0"/>
              <w:rPr>
                <w:rFonts w:hint="eastAsia" w:ascii="宋体" w:hAnsi="宋体" w:eastAsia="宋体" w:cs="宋体"/>
                <w:color w:val="auto"/>
                <w:highlight w:val="none"/>
                <w:lang w:eastAsia="zh-CN"/>
              </w:rPr>
            </w:pPr>
            <w:bookmarkStart w:id="36" w:name="_Toc30169"/>
            <w:bookmarkStart w:id="37" w:name="_Toc9566"/>
            <w:bookmarkStart w:id="38" w:name="_Toc27817"/>
            <w:r>
              <w:rPr>
                <w:rFonts w:hint="eastAsia" w:ascii="宋体" w:hAnsi="宋体" w:cs="宋体"/>
                <w:color w:val="auto"/>
                <w:highlight w:val="none"/>
              </w:rPr>
              <w:t>1.1项目名称：</w:t>
            </w:r>
            <w:bookmarkEnd w:id="36"/>
            <w:bookmarkEnd w:id="37"/>
            <w:bookmarkEnd w:id="38"/>
            <w:bookmarkStart w:id="39" w:name="_Toc29400"/>
            <w:bookmarkStart w:id="40" w:name="_Toc28320"/>
            <w:bookmarkStart w:id="41" w:name="_Toc23424"/>
            <w:r>
              <w:rPr>
                <w:rFonts w:hint="eastAsia" w:ascii="宋体" w:hAnsi="宋体" w:cs="宋体"/>
                <w:color w:val="auto"/>
                <w:highlight w:val="none"/>
                <w:lang w:eastAsia="zh-CN"/>
              </w:rPr>
              <w:t>驻马店市中心医院飞利浦3.0T磁共振8通道线圈和16通道头颈联合线圈维修项目</w:t>
            </w:r>
          </w:p>
          <w:p w14:paraId="4F4C22CE">
            <w:pPr>
              <w:widowControl/>
              <w:shd w:val="clear"/>
              <w:snapToGrid w:val="0"/>
              <w:spacing w:line="440" w:lineRule="exact"/>
              <w:jc w:val="left"/>
              <w:outlineLvl w:val="0"/>
              <w:rPr>
                <w:rFonts w:hint="eastAsia" w:ascii="宋体" w:hAnsi="宋体" w:cs="宋体"/>
                <w:color w:val="auto"/>
                <w:highlight w:val="none"/>
              </w:rPr>
            </w:pPr>
            <w:r>
              <w:rPr>
                <w:rFonts w:hint="eastAsia" w:ascii="宋体" w:hAnsi="宋体" w:cs="宋体"/>
                <w:color w:val="auto"/>
                <w:highlight w:val="none"/>
              </w:rPr>
              <w:t>1.2采购人名称：</w:t>
            </w:r>
            <w:bookmarkEnd w:id="39"/>
            <w:bookmarkEnd w:id="40"/>
            <w:bookmarkEnd w:id="41"/>
            <w:r>
              <w:rPr>
                <w:rFonts w:hint="eastAsia" w:ascii="宋体" w:hAnsi="宋体" w:cs="宋体"/>
                <w:color w:val="auto"/>
                <w:highlight w:val="none"/>
              </w:rPr>
              <w:t>驻马店市中心医院</w:t>
            </w:r>
          </w:p>
          <w:p w14:paraId="36E01B11">
            <w:pPr>
              <w:widowControl/>
              <w:shd w:val="clear"/>
              <w:snapToGrid w:val="0"/>
              <w:spacing w:line="440" w:lineRule="exact"/>
              <w:jc w:val="left"/>
              <w:outlineLvl w:val="0"/>
              <w:rPr>
                <w:rFonts w:hint="eastAsia" w:ascii="宋体" w:hAnsi="宋体" w:cs="宋体"/>
                <w:color w:val="auto"/>
                <w:highlight w:val="none"/>
              </w:rPr>
            </w:pPr>
            <w:bookmarkStart w:id="42" w:name="_Toc3148"/>
            <w:bookmarkStart w:id="43" w:name="_Toc24541"/>
            <w:bookmarkStart w:id="44" w:name="_Toc26199"/>
            <w:r>
              <w:rPr>
                <w:rFonts w:hint="eastAsia" w:ascii="宋体" w:hAnsi="宋体" w:cs="宋体"/>
                <w:color w:val="auto"/>
                <w:highlight w:val="none"/>
              </w:rPr>
              <w:t>1.3采购范围：详见第二章采购需求</w:t>
            </w:r>
            <w:bookmarkEnd w:id="42"/>
            <w:bookmarkEnd w:id="43"/>
            <w:bookmarkEnd w:id="44"/>
          </w:p>
        </w:tc>
      </w:tr>
      <w:tr w14:paraId="5F45624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86E4375">
            <w:pPr>
              <w:widowControl/>
              <w:shd w:val="clear"/>
              <w:spacing w:line="46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91ED7B0">
            <w:pPr>
              <w:widowControl/>
              <w:shd w:val="clear"/>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合格供应商：具备采购公告第二项规定的条件。</w:t>
            </w:r>
          </w:p>
        </w:tc>
      </w:tr>
      <w:tr w14:paraId="79CB1662">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3D790B1">
            <w:pPr>
              <w:widowControl/>
              <w:shd w:val="clear"/>
              <w:snapToGrid w:val="0"/>
              <w:spacing w:line="360" w:lineRule="auto"/>
              <w:jc w:val="center"/>
              <w:rPr>
                <w:rFonts w:hint="eastAsia" w:ascii="宋体" w:hAnsi="宋体" w:cs="宋体"/>
                <w:color w:val="auto"/>
                <w:kern w:val="0"/>
                <w:szCs w:val="21"/>
                <w:highlight w:val="none"/>
              </w:rPr>
            </w:pPr>
            <w:r>
              <w:rPr>
                <w:rFonts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FDC74C">
            <w:pPr>
              <w:widowControl/>
              <w:shd w:val="clear"/>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3.1采购预算：15.75</w:t>
            </w:r>
            <w:r>
              <w:rPr>
                <w:rFonts w:hint="eastAsia" w:ascii="宋体" w:hAnsi="宋体" w:cs="宋体"/>
                <w:b/>
                <w:bCs/>
                <w:color w:val="auto"/>
                <w:szCs w:val="21"/>
                <w:highlight w:val="none"/>
              </w:rPr>
              <w:t>万元</w:t>
            </w:r>
            <w:r>
              <w:rPr>
                <w:rFonts w:hint="eastAsia" w:ascii="宋体" w:hAnsi="宋体" w:cs="宋体"/>
                <w:color w:val="auto"/>
                <w:kern w:val="0"/>
                <w:szCs w:val="21"/>
                <w:highlight w:val="none"/>
              </w:rPr>
              <w:t>；</w:t>
            </w:r>
          </w:p>
          <w:p w14:paraId="3886FB4D">
            <w:pPr>
              <w:widowControl/>
              <w:shd w:val="clear"/>
              <w:snapToGrid w:val="0"/>
              <w:spacing w:line="440" w:lineRule="exact"/>
              <w:jc w:val="left"/>
              <w:rPr>
                <w:rFonts w:hint="eastAsia" w:ascii="宋体" w:hAnsi="宋体" w:cs="宋体"/>
                <w:color w:val="auto"/>
                <w:kern w:val="0"/>
                <w:szCs w:val="21"/>
                <w:highlight w:val="none"/>
              </w:rPr>
            </w:pPr>
            <w:r>
              <w:rPr>
                <w:rFonts w:ascii="宋体" w:hAnsi="宋体" w:cs="宋体"/>
                <w:color w:val="auto"/>
                <w:kern w:val="0"/>
                <w:szCs w:val="21"/>
                <w:highlight w:val="none"/>
              </w:rPr>
              <w:t xml:space="preserve">3.2 </w:t>
            </w:r>
            <w:r>
              <w:rPr>
                <w:rFonts w:hint="eastAsia" w:ascii="宋体" w:hAnsi="宋体" w:cs="宋体"/>
                <w:color w:val="auto"/>
                <w:kern w:val="0"/>
                <w:szCs w:val="21"/>
                <w:highlight w:val="none"/>
              </w:rPr>
              <w:t>报价要求：</w:t>
            </w:r>
          </w:p>
          <w:p w14:paraId="75728F26">
            <w:pPr>
              <w:widowControl/>
              <w:shd w:val="clear"/>
              <w:snapToGrid w:val="0"/>
              <w:spacing w:line="440" w:lineRule="exact"/>
              <w:jc w:val="left"/>
              <w:rPr>
                <w:rFonts w:ascii="宋体" w:cs="宋体"/>
                <w:color w:val="auto"/>
                <w:kern w:val="0"/>
                <w:szCs w:val="21"/>
                <w:highlight w:val="none"/>
              </w:rPr>
            </w:pPr>
            <w:r>
              <w:rPr>
                <w:rFonts w:hint="eastAsia" w:ascii="宋体" w:hAnsi="宋体" w:cs="宋体"/>
                <w:color w:val="auto"/>
                <w:kern w:val="0"/>
                <w:szCs w:val="21"/>
                <w:highlight w:val="none"/>
              </w:rPr>
              <w:t>3.2.1投标报价以人民币报价。</w:t>
            </w:r>
          </w:p>
          <w:p w14:paraId="79948220">
            <w:pPr>
              <w:widowControl/>
              <w:shd w:val="clear"/>
              <w:snapToGrid w:val="0"/>
              <w:spacing w:line="440" w:lineRule="exact"/>
              <w:jc w:val="left"/>
              <w:rPr>
                <w:rFonts w:ascii="宋体" w:cs="宋体"/>
                <w:color w:val="auto"/>
                <w:kern w:val="0"/>
                <w:szCs w:val="21"/>
                <w:highlight w:val="none"/>
              </w:rPr>
            </w:pPr>
            <w:r>
              <w:rPr>
                <w:rFonts w:ascii="宋体" w:hAnsi="宋体" w:cs="宋体"/>
                <w:color w:val="auto"/>
                <w:kern w:val="0"/>
                <w:szCs w:val="21"/>
                <w:highlight w:val="none"/>
              </w:rPr>
              <w:t>3.2</w:t>
            </w:r>
            <w:r>
              <w:rPr>
                <w:rFonts w:hint="eastAsia" w:ascii="宋体" w:hAnsi="宋体" w:cs="宋体"/>
                <w:color w:val="auto"/>
                <w:kern w:val="0"/>
                <w:szCs w:val="21"/>
                <w:highlight w:val="none"/>
              </w:rPr>
              <w:t>.2</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供应商的报价超过采购预算，采购人不能支付的，按废标处理。</w:t>
            </w:r>
          </w:p>
          <w:p w14:paraId="41EF7D3B">
            <w:pPr>
              <w:widowControl/>
              <w:shd w:val="clear"/>
              <w:snapToGrid w:val="0"/>
              <w:spacing w:line="440" w:lineRule="exact"/>
              <w:jc w:val="left"/>
              <w:rPr>
                <w:rFonts w:ascii="宋体" w:cs="宋体"/>
                <w:color w:val="auto"/>
                <w:kern w:val="0"/>
                <w:szCs w:val="21"/>
                <w:highlight w:val="none"/>
              </w:rPr>
            </w:pPr>
            <w:r>
              <w:rPr>
                <w:rFonts w:ascii="宋体" w:hAnsi="宋体" w:cs="宋体"/>
                <w:color w:val="auto"/>
                <w:kern w:val="0"/>
                <w:szCs w:val="21"/>
                <w:highlight w:val="none"/>
              </w:rPr>
              <w:t xml:space="preserve">3.3 </w:t>
            </w:r>
            <w:r>
              <w:rPr>
                <w:rFonts w:hint="eastAsia" w:ascii="宋体" w:hAnsi="宋体" w:cs="宋体"/>
                <w:color w:val="auto"/>
                <w:kern w:val="0"/>
                <w:szCs w:val="21"/>
                <w:highlight w:val="none"/>
              </w:rPr>
              <w:t>本项目由成交供应商缴纳招标代理服务费。代理服务费不得高于《招代理机构服务管理暂行办法》（计价格</w:t>
            </w:r>
            <w:r>
              <w:rPr>
                <w:rFonts w:ascii="宋体" w:hAnsi="宋体" w:cs="宋体"/>
                <w:color w:val="auto"/>
                <w:kern w:val="0"/>
                <w:szCs w:val="21"/>
                <w:highlight w:val="none"/>
              </w:rPr>
              <w:t>[2002]1980</w:t>
            </w:r>
            <w:r>
              <w:rPr>
                <w:rFonts w:hint="eastAsia" w:ascii="宋体" w:hAnsi="宋体" w:cs="宋体"/>
                <w:color w:val="auto"/>
                <w:kern w:val="0"/>
                <w:szCs w:val="21"/>
                <w:highlight w:val="none"/>
              </w:rPr>
              <w:t>号）相应标准：</w:t>
            </w:r>
          </w:p>
          <w:tbl>
            <w:tblPr>
              <w:tblStyle w:val="34"/>
              <w:tblW w:w="8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7"/>
              <w:gridCol w:w="1680"/>
              <w:gridCol w:w="1785"/>
              <w:gridCol w:w="1758"/>
            </w:tblGrid>
            <w:tr w14:paraId="4AA4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287" w:type="dxa"/>
                  <w:tcBorders>
                    <w:top w:val="single" w:color="auto" w:sz="4" w:space="0"/>
                    <w:left w:val="single" w:color="auto" w:sz="4" w:space="0"/>
                    <w:bottom w:val="single" w:color="auto" w:sz="4" w:space="0"/>
                    <w:right w:val="single" w:color="auto" w:sz="4" w:space="0"/>
                  </w:tcBorders>
                  <w:noWrap w:val="0"/>
                  <w:vAlign w:val="center"/>
                </w:tcPr>
                <w:p w14:paraId="31073792">
                  <w:pPr>
                    <w:widowControl/>
                    <w:shd w:val="clear"/>
                    <w:snapToGrid w:val="0"/>
                    <w:ind w:left="0" w:leftChars="0" w:firstLine="0" w:firstLineChars="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服务费率类型</w:t>
                  </w:r>
                </w:p>
                <w:p w14:paraId="785C3BFA">
                  <w:pPr>
                    <w:widowControl/>
                    <w:shd w:val="clear"/>
                    <w:snapToGrid w:val="0"/>
                    <w:spacing w:line="440" w:lineRule="exact"/>
                    <w:jc w:val="center"/>
                    <w:rPr>
                      <w:rFonts w:ascii="宋体" w:cs="宋体"/>
                      <w:b/>
                      <w:bCs/>
                      <w:color w:val="auto"/>
                      <w:kern w:val="0"/>
                      <w:szCs w:val="21"/>
                      <w:highlight w:val="none"/>
                    </w:rPr>
                  </w:pPr>
                  <w:r>
                    <w:rPr>
                      <w:rFonts w:hint="eastAsia" w:ascii="宋体" w:hAnsi="宋体" w:cs="宋体"/>
                      <w:b/>
                      <w:bCs/>
                      <w:color w:val="auto"/>
                      <w:kern w:val="0"/>
                      <w:szCs w:val="21"/>
                      <w:highlight w:val="none"/>
                    </w:rPr>
                    <w:t>中标金额</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0FE29C3D">
                  <w:pPr>
                    <w:widowControl/>
                    <w:shd w:val="clear"/>
                    <w:snapToGrid w:val="0"/>
                    <w:spacing w:line="440" w:lineRule="exact"/>
                    <w:jc w:val="center"/>
                    <w:rPr>
                      <w:rFonts w:ascii="宋体" w:cs="宋体"/>
                      <w:b/>
                      <w:bCs/>
                      <w:color w:val="auto"/>
                      <w:kern w:val="0"/>
                      <w:szCs w:val="21"/>
                      <w:highlight w:val="none"/>
                    </w:rPr>
                  </w:pPr>
                  <w:r>
                    <w:rPr>
                      <w:rFonts w:hint="eastAsia" w:ascii="宋体" w:hAnsi="宋体" w:cs="宋体"/>
                      <w:b/>
                      <w:bCs/>
                      <w:color w:val="auto"/>
                      <w:kern w:val="0"/>
                      <w:szCs w:val="21"/>
                      <w:highlight w:val="none"/>
                    </w:rPr>
                    <w:t>货物招标</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064884C2">
                  <w:pPr>
                    <w:widowControl/>
                    <w:shd w:val="clear"/>
                    <w:snapToGrid w:val="0"/>
                    <w:spacing w:line="440" w:lineRule="exact"/>
                    <w:jc w:val="center"/>
                    <w:rPr>
                      <w:rFonts w:ascii="宋体" w:cs="宋体"/>
                      <w:b/>
                      <w:bCs/>
                      <w:color w:val="auto"/>
                      <w:kern w:val="0"/>
                      <w:szCs w:val="21"/>
                      <w:highlight w:val="none"/>
                    </w:rPr>
                  </w:pPr>
                  <w:r>
                    <w:rPr>
                      <w:rFonts w:hint="eastAsia" w:ascii="宋体" w:hAnsi="宋体" w:cs="宋体"/>
                      <w:b/>
                      <w:bCs/>
                      <w:color w:val="auto"/>
                      <w:kern w:val="0"/>
                      <w:szCs w:val="21"/>
                      <w:highlight w:val="none"/>
                    </w:rPr>
                    <w:t>服务招标</w:t>
                  </w:r>
                </w:p>
              </w:tc>
              <w:tc>
                <w:tcPr>
                  <w:tcW w:w="1758" w:type="dxa"/>
                  <w:tcBorders>
                    <w:top w:val="single" w:color="auto" w:sz="4" w:space="0"/>
                    <w:left w:val="single" w:color="auto" w:sz="4" w:space="0"/>
                    <w:bottom w:val="single" w:color="auto" w:sz="4" w:space="0"/>
                    <w:right w:val="single" w:color="auto" w:sz="4" w:space="0"/>
                  </w:tcBorders>
                  <w:noWrap w:val="0"/>
                  <w:vAlign w:val="center"/>
                </w:tcPr>
                <w:p w14:paraId="1508B9DE">
                  <w:pPr>
                    <w:widowControl/>
                    <w:shd w:val="clear"/>
                    <w:snapToGrid w:val="0"/>
                    <w:spacing w:line="440" w:lineRule="exact"/>
                    <w:jc w:val="center"/>
                    <w:rPr>
                      <w:rFonts w:ascii="宋体" w:cs="宋体"/>
                      <w:b/>
                      <w:bCs/>
                      <w:color w:val="auto"/>
                      <w:kern w:val="0"/>
                      <w:szCs w:val="21"/>
                      <w:highlight w:val="none"/>
                    </w:rPr>
                  </w:pPr>
                  <w:r>
                    <w:rPr>
                      <w:rFonts w:hint="eastAsia" w:ascii="宋体" w:hAnsi="宋体" w:cs="宋体"/>
                      <w:b/>
                      <w:bCs/>
                      <w:color w:val="auto"/>
                      <w:kern w:val="0"/>
                      <w:szCs w:val="21"/>
                      <w:highlight w:val="none"/>
                    </w:rPr>
                    <w:t>工程招标</w:t>
                  </w:r>
                </w:p>
              </w:tc>
            </w:tr>
            <w:tr w14:paraId="5AD8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287" w:type="dxa"/>
                  <w:tcBorders>
                    <w:top w:val="single" w:color="auto" w:sz="4" w:space="0"/>
                    <w:left w:val="single" w:color="auto" w:sz="4" w:space="0"/>
                    <w:bottom w:val="single" w:color="auto" w:sz="4" w:space="0"/>
                    <w:right w:val="single" w:color="auto" w:sz="4" w:space="0"/>
                  </w:tcBorders>
                  <w:noWrap w:val="0"/>
                  <w:vAlign w:val="center"/>
                </w:tcPr>
                <w:p w14:paraId="4F9CB828">
                  <w:pPr>
                    <w:widowControl/>
                    <w:shd w:val="clear"/>
                    <w:snapToGrid w:val="0"/>
                    <w:spacing w:line="440" w:lineRule="exact"/>
                    <w:jc w:val="center"/>
                    <w:rPr>
                      <w:rFonts w:ascii="宋体" w:cs="宋体"/>
                      <w:color w:val="auto"/>
                      <w:kern w:val="0"/>
                      <w:szCs w:val="21"/>
                      <w:highlight w:val="none"/>
                    </w:rPr>
                  </w:pPr>
                  <w:r>
                    <w:rPr>
                      <w:rFonts w:ascii="宋体" w:hAnsi="宋体" w:cs="宋体"/>
                      <w:color w:val="auto"/>
                      <w:kern w:val="0"/>
                      <w:szCs w:val="21"/>
                      <w:highlight w:val="none"/>
                    </w:rPr>
                    <w:t>100</w:t>
                  </w:r>
                  <w:r>
                    <w:rPr>
                      <w:rFonts w:hint="eastAsia" w:ascii="宋体" w:hAnsi="宋体" w:cs="宋体"/>
                      <w:color w:val="auto"/>
                      <w:kern w:val="0"/>
                      <w:szCs w:val="21"/>
                      <w:highlight w:val="none"/>
                    </w:rPr>
                    <w:t>万元以下</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1F51787C">
                  <w:pPr>
                    <w:widowControl/>
                    <w:shd w:val="clear"/>
                    <w:snapToGrid w:val="0"/>
                    <w:spacing w:line="440" w:lineRule="exact"/>
                    <w:jc w:val="center"/>
                    <w:rPr>
                      <w:rFonts w:ascii="宋体" w:cs="宋体"/>
                      <w:color w:val="auto"/>
                      <w:kern w:val="0"/>
                      <w:szCs w:val="21"/>
                      <w:highlight w:val="none"/>
                    </w:rPr>
                  </w:pPr>
                  <w:r>
                    <w:rPr>
                      <w:rFonts w:ascii="宋体" w:hAnsi="宋体" w:cs="宋体"/>
                      <w:color w:val="auto"/>
                      <w:kern w:val="0"/>
                      <w:szCs w:val="21"/>
                      <w:highlight w:val="none"/>
                    </w:rPr>
                    <w:t>1.5%</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2956B749">
                  <w:pPr>
                    <w:widowControl/>
                    <w:shd w:val="clear"/>
                    <w:snapToGrid w:val="0"/>
                    <w:spacing w:line="440" w:lineRule="exact"/>
                    <w:jc w:val="center"/>
                    <w:rPr>
                      <w:rFonts w:ascii="宋体" w:cs="宋体"/>
                      <w:color w:val="auto"/>
                      <w:kern w:val="0"/>
                      <w:szCs w:val="21"/>
                      <w:highlight w:val="none"/>
                    </w:rPr>
                  </w:pPr>
                  <w:r>
                    <w:rPr>
                      <w:rFonts w:ascii="宋体" w:hAnsi="宋体" w:cs="宋体"/>
                      <w:color w:val="auto"/>
                      <w:kern w:val="0"/>
                      <w:szCs w:val="21"/>
                      <w:highlight w:val="none"/>
                    </w:rPr>
                    <w:t>1.5%</w:t>
                  </w:r>
                </w:p>
              </w:tc>
              <w:tc>
                <w:tcPr>
                  <w:tcW w:w="1758" w:type="dxa"/>
                  <w:tcBorders>
                    <w:top w:val="single" w:color="auto" w:sz="4" w:space="0"/>
                    <w:left w:val="single" w:color="auto" w:sz="4" w:space="0"/>
                    <w:bottom w:val="single" w:color="auto" w:sz="4" w:space="0"/>
                    <w:right w:val="single" w:color="auto" w:sz="4" w:space="0"/>
                  </w:tcBorders>
                  <w:noWrap w:val="0"/>
                  <w:vAlign w:val="center"/>
                </w:tcPr>
                <w:p w14:paraId="3C1F86D3">
                  <w:pPr>
                    <w:widowControl/>
                    <w:shd w:val="clear"/>
                    <w:snapToGrid w:val="0"/>
                    <w:spacing w:line="440" w:lineRule="exact"/>
                    <w:jc w:val="center"/>
                    <w:rPr>
                      <w:rFonts w:ascii="宋体" w:cs="宋体"/>
                      <w:color w:val="auto"/>
                      <w:kern w:val="0"/>
                      <w:szCs w:val="21"/>
                      <w:highlight w:val="none"/>
                    </w:rPr>
                  </w:pPr>
                  <w:r>
                    <w:rPr>
                      <w:rFonts w:ascii="宋体" w:hAnsi="宋体" w:cs="宋体"/>
                      <w:color w:val="auto"/>
                      <w:kern w:val="0"/>
                      <w:szCs w:val="21"/>
                      <w:highlight w:val="none"/>
                    </w:rPr>
                    <w:t>1.0%</w:t>
                  </w:r>
                </w:p>
              </w:tc>
            </w:tr>
          </w:tbl>
          <w:p w14:paraId="09272ADF">
            <w:pPr>
              <w:pStyle w:val="13"/>
              <w:shd w:val="clear"/>
              <w:rPr>
                <w:rFonts w:hint="eastAsia" w:ascii="宋体" w:hAnsi="宋体" w:cs="宋体"/>
                <w:color w:val="auto"/>
                <w:kern w:val="0"/>
                <w:szCs w:val="21"/>
                <w:highlight w:val="none"/>
              </w:rPr>
            </w:pPr>
          </w:p>
        </w:tc>
      </w:tr>
      <w:tr w14:paraId="3CE0008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F26B13F">
            <w:pPr>
              <w:widowControl/>
              <w:shd w:val="clear"/>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A6AC3A3">
            <w:pPr>
              <w:widowControl/>
              <w:shd w:val="clear"/>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14:paraId="781F520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88143B6">
            <w:pPr>
              <w:widowControl/>
              <w:shd w:val="clear"/>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0F82F3">
            <w:pPr>
              <w:widowControl/>
              <w:shd w:val="clear"/>
              <w:snapToGrid w:val="0"/>
              <w:spacing w:line="440" w:lineRule="exact"/>
              <w:jc w:val="left"/>
              <w:rPr>
                <w:rFonts w:hint="eastAsia" w:ascii="宋体" w:hAnsi="宋体" w:cs="宋体"/>
                <w:color w:val="auto"/>
                <w:highlight w:val="none"/>
              </w:rPr>
            </w:pPr>
            <w:r>
              <w:rPr>
                <w:rFonts w:hint="eastAsia" w:ascii="宋体" w:hAnsi="宋体" w:cs="宋体"/>
                <w:color w:val="auto"/>
                <w:highlight w:val="none"/>
              </w:rPr>
              <w:t>响应文件组成：纸质响应文件正本1份、副本2份。</w:t>
            </w:r>
          </w:p>
        </w:tc>
      </w:tr>
      <w:tr w14:paraId="23A67E0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49BE29D">
            <w:pPr>
              <w:widowControl/>
              <w:shd w:val="clear"/>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B5180DE">
            <w:pPr>
              <w:widowControl/>
              <w:shd w:val="clear"/>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磋商截止时间及开标时间：</w:t>
            </w:r>
            <w:r>
              <w:rPr>
                <w:rFonts w:hint="eastAsia" w:ascii="宋体" w:hAnsi="宋体" w:cs="宋体"/>
                <w:color w:val="auto"/>
                <w:szCs w:val="21"/>
                <w:highlight w:val="none"/>
              </w:rPr>
              <w:t>另行通知</w:t>
            </w:r>
          </w:p>
          <w:p w14:paraId="10C9AAB4">
            <w:pPr>
              <w:widowControl/>
              <w:shd w:val="clear"/>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响应文件递交地点及开标地点：</w:t>
            </w:r>
            <w:r>
              <w:rPr>
                <w:rFonts w:hint="eastAsia" w:ascii="宋体" w:hAnsi="宋体" w:cs="宋体"/>
                <w:color w:val="auto"/>
                <w:szCs w:val="21"/>
                <w:highlight w:val="none"/>
              </w:rPr>
              <w:t>另行通知</w:t>
            </w:r>
            <w:r>
              <w:rPr>
                <w:rFonts w:hint="eastAsia" w:ascii="宋体" w:hAnsi="宋体" w:cs="宋体"/>
                <w:color w:val="auto"/>
                <w:kern w:val="0"/>
                <w:szCs w:val="21"/>
                <w:highlight w:val="none"/>
              </w:rPr>
              <w:t>。</w:t>
            </w:r>
          </w:p>
        </w:tc>
      </w:tr>
      <w:tr w14:paraId="077A147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53CB232">
            <w:pPr>
              <w:widowControl/>
              <w:shd w:val="clear"/>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48D0D18">
            <w:pPr>
              <w:shd w:val="clear"/>
              <w:spacing w:line="440" w:lineRule="exact"/>
              <w:rPr>
                <w:rFonts w:hint="eastAsia" w:ascii="宋体" w:hAnsi="宋体" w:cs="宋体"/>
                <w:color w:val="auto"/>
                <w:szCs w:val="21"/>
                <w:highlight w:val="none"/>
              </w:rPr>
            </w:pPr>
            <w:r>
              <w:rPr>
                <w:rFonts w:hint="eastAsia" w:ascii="宋体" w:hAnsi="宋体" w:cs="宋体"/>
                <w:color w:val="auto"/>
                <w:szCs w:val="21"/>
                <w:highlight w:val="none"/>
              </w:rPr>
              <w:t>磋商小组成</w:t>
            </w:r>
            <w:r>
              <w:rPr>
                <w:rFonts w:hint="eastAsia" w:ascii="宋体" w:hAnsi="宋体" w:cs="宋体"/>
                <w:color w:val="auto"/>
                <w:kern w:val="0"/>
                <w:szCs w:val="21"/>
                <w:highlight w:val="none"/>
              </w:rPr>
              <w:t>员：</w:t>
            </w:r>
            <w:r>
              <w:rPr>
                <w:rFonts w:hint="eastAsia" w:ascii="宋体" w:hAnsi="宋体" w:cs="宋体"/>
                <w:color w:val="auto"/>
                <w:szCs w:val="21"/>
                <w:highlight w:val="none"/>
              </w:rPr>
              <w:t>3</w:t>
            </w:r>
            <w:r>
              <w:rPr>
                <w:rFonts w:hint="eastAsia" w:ascii="宋体" w:hAnsi="宋体" w:cs="宋体"/>
                <w:color w:val="auto"/>
                <w:highlight w:val="none"/>
              </w:rPr>
              <w:t>人及以上单数</w:t>
            </w:r>
            <w:r>
              <w:rPr>
                <w:rFonts w:hint="eastAsia" w:ascii="宋体" w:hAnsi="宋体" w:cs="宋体"/>
                <w:color w:val="auto"/>
                <w:kern w:val="0"/>
                <w:szCs w:val="21"/>
                <w:highlight w:val="none"/>
              </w:rPr>
              <w:t>。</w:t>
            </w:r>
          </w:p>
          <w:p w14:paraId="723C1EE4">
            <w:pPr>
              <w:widowControl/>
              <w:shd w:val="clear"/>
              <w:spacing w:line="440" w:lineRule="exact"/>
              <w:jc w:val="left"/>
              <w:rPr>
                <w:rFonts w:hint="eastAsia"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由代理机构在河南省财政厅专家库随机抽取2名评审专家、采购人代表组成。</w:t>
            </w:r>
          </w:p>
        </w:tc>
      </w:tr>
      <w:tr w14:paraId="4872A3F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1706BB4">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0E0BB00">
            <w:pPr>
              <w:shd w:val="clear"/>
              <w:rPr>
                <w:rFonts w:hint="eastAsia"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14:paraId="3595C86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1097167">
            <w:pPr>
              <w:widowControl/>
              <w:shd w:val="clear"/>
              <w:spacing w:line="46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5081F1">
            <w:pPr>
              <w:widowControl/>
              <w:shd w:val="clear"/>
              <w:spacing w:line="440" w:lineRule="exact"/>
              <w:jc w:val="left"/>
              <w:textAlignment w:val="bottom"/>
              <w:rPr>
                <w:rFonts w:hint="eastAsia" w:ascii="宋体" w:hAnsi="宋体" w:cs="宋体"/>
                <w:color w:val="auto"/>
                <w:kern w:val="0"/>
                <w:szCs w:val="21"/>
                <w:highlight w:val="none"/>
              </w:rPr>
            </w:pPr>
            <w:r>
              <w:rPr>
                <w:rFonts w:hint="eastAsia" w:ascii="宋体" w:hAnsi="宋体" w:cs="宋体"/>
                <w:color w:val="auto"/>
                <w:kern w:val="0"/>
                <w:szCs w:val="21"/>
                <w:highlight w:val="none"/>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1EC2611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E35E6B1">
            <w:pPr>
              <w:widowControl/>
              <w:shd w:val="clear"/>
              <w:spacing w:line="46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4DFF4E3">
            <w:pPr>
              <w:widowControl/>
              <w:shd w:val="clear"/>
              <w:spacing w:line="440" w:lineRule="exact"/>
              <w:jc w:val="left"/>
              <w:textAlignment w:val="bottom"/>
              <w:rPr>
                <w:rFonts w:hint="eastAsia" w:ascii="宋体" w:hAnsi="宋体" w:cs="宋体"/>
                <w:color w:val="auto"/>
                <w:kern w:val="0"/>
                <w:szCs w:val="21"/>
                <w:highlight w:val="none"/>
              </w:rPr>
            </w:pPr>
            <w:r>
              <w:rPr>
                <w:rFonts w:hint="eastAsia" w:ascii="宋体" w:hAnsi="宋体" w:cs="宋体"/>
                <w:color w:val="auto"/>
                <w:kern w:val="0"/>
                <w:szCs w:val="21"/>
                <w:highlight w:val="none"/>
              </w:rPr>
              <w:t>签订合同：自成交通知书发出之日起30日内。</w:t>
            </w:r>
          </w:p>
        </w:tc>
      </w:tr>
      <w:tr w14:paraId="3F01ED4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214554D">
            <w:pPr>
              <w:widowControl/>
              <w:shd w:val="clear"/>
              <w:spacing w:line="46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119348E">
            <w:pPr>
              <w:widowControl/>
              <w:shd w:val="clear"/>
              <w:spacing w:line="440" w:lineRule="exact"/>
              <w:jc w:val="left"/>
              <w:textAlignment w:val="bottom"/>
              <w:rPr>
                <w:rFonts w:hint="eastAsia" w:ascii="宋体" w:hAnsi="宋体" w:cs="宋体"/>
                <w:color w:val="auto"/>
                <w:kern w:val="0"/>
                <w:szCs w:val="21"/>
                <w:highlight w:val="none"/>
              </w:rPr>
            </w:pPr>
            <w:r>
              <w:rPr>
                <w:rFonts w:hint="eastAsia" w:ascii="宋体" w:hAnsi="宋体" w:cs="宋体"/>
                <w:color w:val="auto"/>
                <w:kern w:val="0"/>
                <w:szCs w:val="21"/>
                <w:highlight w:val="none"/>
              </w:rPr>
              <w:t>采购资金来源：自筹资金。</w:t>
            </w:r>
          </w:p>
        </w:tc>
      </w:tr>
      <w:tr w14:paraId="160669A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7F961EA">
            <w:pPr>
              <w:widowControl/>
              <w:shd w:val="clear"/>
              <w:spacing w:line="46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52E2320">
            <w:pPr>
              <w:widowControl/>
              <w:shd w:val="clear"/>
              <w:spacing w:line="440" w:lineRule="exact"/>
              <w:jc w:val="left"/>
              <w:textAlignment w:val="bottom"/>
              <w:rPr>
                <w:rFonts w:hint="eastAsia" w:ascii="宋体" w:hAnsi="宋体" w:cs="宋体"/>
                <w:color w:val="auto"/>
                <w:kern w:val="0"/>
                <w:szCs w:val="21"/>
                <w:highlight w:val="none"/>
              </w:rPr>
            </w:pPr>
            <w:r>
              <w:rPr>
                <w:rFonts w:hint="eastAsia" w:ascii="宋体" w:hAnsi="宋体" w:cs="宋体"/>
                <w:color w:val="auto"/>
                <w:kern w:val="0"/>
                <w:szCs w:val="21"/>
                <w:highlight w:val="none"/>
              </w:rPr>
              <w:t>付款方式：详见第二章采购需求。</w:t>
            </w:r>
          </w:p>
        </w:tc>
      </w:tr>
      <w:tr w14:paraId="4B16259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F0FFC25">
            <w:pPr>
              <w:widowControl/>
              <w:shd w:val="clear"/>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348CE10">
            <w:pPr>
              <w:widowControl/>
              <w:shd w:val="clear"/>
              <w:spacing w:line="440" w:lineRule="exact"/>
              <w:jc w:val="left"/>
              <w:textAlignment w:val="bottom"/>
              <w:rPr>
                <w:rFonts w:hint="eastAsia" w:ascii="宋体" w:hAnsi="宋体" w:cs="宋体"/>
                <w:color w:val="auto"/>
                <w:kern w:val="0"/>
                <w:szCs w:val="21"/>
                <w:highlight w:val="none"/>
              </w:rPr>
            </w:pPr>
            <w:r>
              <w:rPr>
                <w:rFonts w:hint="eastAsia" w:ascii="宋体" w:hAnsi="宋体" w:cs="宋体"/>
                <w:color w:val="auto"/>
                <w:kern w:val="0"/>
                <w:szCs w:val="21"/>
                <w:highlight w:val="none"/>
              </w:rPr>
              <w:t>响应文件有效期：响应文件递交截止期结束后60日。成交供应商的响应文件是合同的组成部分,有效期至合同完全履行止。 </w:t>
            </w:r>
          </w:p>
        </w:tc>
      </w:tr>
      <w:tr w14:paraId="79A9DB0C">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ADBDCC">
            <w:pPr>
              <w:widowControl/>
              <w:shd w:val="clear"/>
              <w:spacing w:line="46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356F2B5">
            <w:pPr>
              <w:pStyle w:val="7"/>
              <w:widowControl w:val="0"/>
              <w:shd w:val="clear"/>
              <w:snapToGrid w:val="0"/>
              <w:spacing w:beforeAutospacing="0" w:afterAutospacing="0" w:line="360" w:lineRule="auto"/>
              <w:rPr>
                <w:rFonts w:hint="eastAsia"/>
                <w:color w:val="auto"/>
                <w:szCs w:val="21"/>
                <w:highlight w:val="none"/>
              </w:rPr>
            </w:pPr>
            <w:r>
              <w:rPr>
                <w:rFonts w:hint="eastAsia"/>
                <w:color w:val="auto"/>
                <w:kern w:val="2"/>
                <w:sz w:val="21"/>
                <w:highlight w:val="none"/>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2E99B674">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4455EA3">
            <w:pPr>
              <w:widowControl/>
              <w:shd w:val="clear"/>
              <w:spacing w:line="46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44C4FAE">
            <w:pPr>
              <w:widowControl/>
              <w:shd w:val="clear"/>
              <w:spacing w:line="360" w:lineRule="auto"/>
              <w:jc w:val="left"/>
              <w:rPr>
                <w:rFonts w:hint="eastAsia" w:ascii="宋体" w:hAnsi="宋体" w:cs="宋体"/>
                <w:color w:val="auto"/>
                <w:kern w:val="0"/>
                <w:szCs w:val="21"/>
                <w:highlight w:val="none"/>
              </w:rPr>
            </w:pPr>
            <w:r>
              <w:rPr>
                <w:rFonts w:hint="eastAsia" w:ascii="宋体" w:hAnsi="宋体" w:cs="宋体"/>
                <w:color w:val="auto"/>
                <w:szCs w:val="21"/>
                <w:highlight w:val="none"/>
              </w:rPr>
              <w:t>商品包装和快递包装应符合《商品包装政府采购需求标准（试行）》和《快递包装政府采购需求标准（试行）》规定，并提供相关的检测报告。</w:t>
            </w:r>
          </w:p>
        </w:tc>
      </w:tr>
      <w:tr w14:paraId="019D0444">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9F95DE0">
            <w:pPr>
              <w:widowControl/>
              <w:shd w:val="clear"/>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E933D21">
            <w:pPr>
              <w:shd w:val="clear"/>
              <w:spacing w:line="360" w:lineRule="auto"/>
              <w:rPr>
                <w:rFonts w:hint="eastAsia" w:ascii="宋体" w:hAnsi="宋体" w:cs="宋体"/>
                <w:color w:val="auto"/>
                <w:kern w:val="0"/>
                <w:szCs w:val="21"/>
                <w:highlight w:val="none"/>
              </w:rPr>
            </w:pPr>
            <w:r>
              <w:rPr>
                <w:rFonts w:hint="eastAsia" w:ascii="宋体" w:hAnsi="宋体" w:cs="宋体"/>
                <w:bCs/>
                <w:color w:val="auto"/>
                <w:kern w:val="0"/>
                <w:szCs w:val="21"/>
                <w:highlight w:val="none"/>
              </w:rPr>
              <w:t>质疑和投诉：供应商认为采购文件使自己的合法权益受到损害的，</w:t>
            </w:r>
            <w:r>
              <w:rPr>
                <w:rFonts w:hint="eastAsia" w:ascii="宋体" w:hAnsi="宋体" w:cs="宋体"/>
                <w:color w:val="auto"/>
                <w:kern w:val="0"/>
                <w:szCs w:val="21"/>
                <w:highlight w:val="none"/>
              </w:rPr>
              <w:t>应当在采购公告期限届满之日(或收到采购文件之日)起3个工作日之内向</w:t>
            </w:r>
            <w:r>
              <w:rPr>
                <w:rFonts w:hint="eastAsia" w:ascii="宋体" w:hAnsi="宋体" w:cs="宋体"/>
                <w:bCs/>
                <w:color w:val="auto"/>
                <w:kern w:val="0"/>
                <w:szCs w:val="21"/>
                <w:highlight w:val="none"/>
              </w:rPr>
              <w:t>采购人提出质疑；供应商认为磋商过程和成交结果使自己的合法权益受到损害的，应当在知道或者应知其权益受到损害之日起3个工作日内提出质疑。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未在规定时间内作出答复的，可以在答复期满后15个工作日内向医院纪检部门投诉。</w:t>
            </w:r>
          </w:p>
        </w:tc>
      </w:tr>
      <w:tr w14:paraId="53A455BE">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FB9600B">
            <w:pPr>
              <w:widowControl/>
              <w:shd w:val="clear"/>
              <w:spacing w:line="46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5A680CF">
            <w:pPr>
              <w:widowControl/>
              <w:shd w:val="clear"/>
              <w:spacing w:line="360" w:lineRule="auto"/>
              <w:jc w:val="left"/>
              <w:textAlignment w:val="bottom"/>
              <w:rPr>
                <w:rFonts w:hint="eastAsia" w:ascii="宋体" w:hAnsi="宋体" w:cs="宋体"/>
                <w:color w:val="auto"/>
                <w:highlight w:val="none"/>
              </w:rPr>
            </w:pPr>
            <w:r>
              <w:rPr>
                <w:rFonts w:hint="eastAsia" w:ascii="宋体" w:hAnsi="宋体" w:cs="宋体"/>
                <w:color w:val="auto"/>
                <w:highlight w:val="none"/>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5FA8391F">
            <w:pPr>
              <w:widowControl/>
              <w:shd w:val="clear"/>
              <w:spacing w:line="360" w:lineRule="auto"/>
              <w:jc w:val="left"/>
              <w:textAlignment w:val="bottom"/>
              <w:rPr>
                <w:rFonts w:hint="eastAsia" w:ascii="宋体" w:hAnsi="宋体" w:cs="宋体"/>
                <w:color w:val="auto"/>
                <w:kern w:val="0"/>
                <w:szCs w:val="21"/>
                <w:highlight w:val="none"/>
              </w:rPr>
            </w:pPr>
            <w:r>
              <w:rPr>
                <w:rFonts w:hint="eastAsia" w:ascii="宋体" w:hAnsi="宋体" w:cs="宋体"/>
                <w:color w:val="auto"/>
                <w:highlight w:val="none"/>
              </w:rPr>
              <w:t>2、本采购文件解释权归采购人。</w:t>
            </w:r>
          </w:p>
        </w:tc>
      </w:tr>
    </w:tbl>
    <w:p w14:paraId="1990C83D">
      <w:pPr>
        <w:shd w:val="clear"/>
        <w:rPr>
          <w:rFonts w:hint="eastAsia" w:ascii="宋体" w:hAnsi="宋体" w:cs="宋体"/>
          <w:color w:val="auto"/>
          <w:highlight w:val="none"/>
        </w:rPr>
      </w:pPr>
    </w:p>
    <w:p w14:paraId="071E6033">
      <w:pPr>
        <w:shd w:val="clear"/>
        <w:snapToGrid w:val="0"/>
        <w:spacing w:line="360" w:lineRule="auto"/>
        <w:jc w:val="center"/>
        <w:outlineLvl w:val="1"/>
        <w:rPr>
          <w:rFonts w:hint="eastAsia" w:ascii="宋体" w:hAnsi="宋体" w:cs="宋体"/>
          <w:color w:val="auto"/>
          <w:kern w:val="0"/>
          <w:sz w:val="24"/>
          <w:highlight w:val="none"/>
        </w:rPr>
      </w:pPr>
      <w:bookmarkStart w:id="45" w:name="_Toc4700"/>
      <w:bookmarkStart w:id="46" w:name="_Toc16669"/>
      <w:r>
        <w:rPr>
          <w:rFonts w:hint="eastAsia" w:ascii="宋体" w:hAnsi="宋体" w:cs="宋体"/>
          <w:b/>
          <w:bCs/>
          <w:color w:val="auto"/>
          <w:kern w:val="0"/>
          <w:sz w:val="28"/>
          <w:szCs w:val="28"/>
          <w:highlight w:val="none"/>
        </w:rPr>
        <w:t>一 、说 明</w:t>
      </w:r>
    </w:p>
    <w:p w14:paraId="335D3B27">
      <w:pPr>
        <w:shd w:val="clear"/>
        <w:snapToGrid w:val="0"/>
        <w:spacing w:line="360" w:lineRule="auto"/>
        <w:ind w:firstLine="420"/>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14:paraId="1AB30A9B">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本采购文件仅适用于采购公告中所叙述项目的货物采购。</w:t>
      </w:r>
    </w:p>
    <w:p w14:paraId="61AAA211">
      <w:pPr>
        <w:shd w:val="clear"/>
        <w:snapToGrid w:val="0"/>
        <w:spacing w:line="360" w:lineRule="auto"/>
        <w:ind w:firstLine="420"/>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2.定义</w:t>
      </w:r>
    </w:p>
    <w:p w14:paraId="6A184422">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2.1 “采购人”系指各级国家机关、事业单位、团体组织。</w:t>
      </w:r>
    </w:p>
    <w:p w14:paraId="3FFAC403">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 “供应商”系指领取了本采购文件，且已经提交本次响应文件的供应商。</w:t>
      </w:r>
    </w:p>
    <w:p w14:paraId="123E8401">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2.3 “供应商代表”系指代表供应商参加本次采购活动的供应商的法定代表人或其委托代理人。</w:t>
      </w:r>
    </w:p>
    <w:p w14:paraId="035AD6D6">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2.4 “货物”系指供应商按采购文件规定向采购人提供的一切设备、机械、仪器仪表、备品备件、工具、手册及其它有关技术资料和材料。</w:t>
      </w:r>
    </w:p>
    <w:p w14:paraId="4EF07342">
      <w:pPr>
        <w:widowControl/>
        <w:shd w:val="clear"/>
        <w:snapToGrid w:val="0"/>
        <w:spacing w:line="440" w:lineRule="exact"/>
        <w:ind w:firstLine="422" w:firstLineChars="200"/>
        <w:jc w:val="left"/>
        <w:rPr>
          <w:rFonts w:hint="eastAsia" w:ascii="宋体" w:hAnsi="宋体" w:eastAsia="宋体" w:cs="宋体"/>
          <w:b/>
          <w:bCs/>
          <w:color w:val="auto"/>
          <w:kern w:val="0"/>
          <w:szCs w:val="21"/>
          <w:highlight w:val="none"/>
        </w:rPr>
      </w:pPr>
      <w:r>
        <w:rPr>
          <w:rFonts w:hint="eastAsia" w:ascii="宋体" w:hAnsi="宋体" w:cs="宋体"/>
          <w:b/>
          <w:bCs/>
          <w:color w:val="auto"/>
          <w:kern w:val="0"/>
          <w:szCs w:val="21"/>
          <w:highlight w:val="none"/>
        </w:rPr>
        <w:t>3.采购</w:t>
      </w:r>
      <w:r>
        <w:rPr>
          <w:rFonts w:hint="eastAsia" w:ascii="宋体" w:hAnsi="宋体" w:eastAsia="宋体" w:cs="宋体"/>
          <w:b/>
          <w:bCs/>
          <w:color w:val="auto"/>
          <w:kern w:val="0"/>
          <w:szCs w:val="21"/>
          <w:highlight w:val="none"/>
        </w:rPr>
        <w:t>预算：</w:t>
      </w:r>
      <w:r>
        <w:rPr>
          <w:rFonts w:hint="eastAsia" w:ascii="宋体" w:hAnsi="宋体" w:cs="宋体"/>
          <w:b/>
          <w:bCs/>
          <w:color w:val="auto"/>
          <w:kern w:val="0"/>
          <w:szCs w:val="21"/>
          <w:highlight w:val="none"/>
          <w:lang w:val="en-US" w:eastAsia="zh-CN"/>
        </w:rPr>
        <w:t>157500.00</w:t>
      </w:r>
      <w:r>
        <w:rPr>
          <w:rFonts w:hint="eastAsia" w:ascii="宋体" w:hAnsi="宋体" w:eastAsia="宋体" w:cs="宋体"/>
          <w:b/>
          <w:bCs/>
          <w:color w:val="auto"/>
          <w:kern w:val="0"/>
          <w:szCs w:val="21"/>
          <w:highlight w:val="none"/>
        </w:rPr>
        <w:t>元。</w:t>
      </w:r>
    </w:p>
    <w:p w14:paraId="7982888F">
      <w:pPr>
        <w:shd w:val="clear"/>
        <w:snapToGrid w:val="0"/>
        <w:spacing w:line="360" w:lineRule="auto"/>
        <w:ind w:firstLine="420"/>
        <w:jc w:val="left"/>
        <w:rPr>
          <w:rFonts w:hint="eastAsia" w:ascii="宋体" w:hAnsi="宋体" w:cs="宋体"/>
          <w:color w:val="auto"/>
          <w:szCs w:val="21"/>
          <w:highlight w:val="none"/>
        </w:rPr>
      </w:pPr>
      <w:r>
        <w:rPr>
          <w:rFonts w:hint="eastAsia" w:ascii="宋体" w:hAnsi="宋体" w:cs="宋体"/>
          <w:b/>
          <w:bCs/>
          <w:color w:val="auto"/>
          <w:kern w:val="0"/>
          <w:szCs w:val="21"/>
          <w:highlight w:val="none"/>
        </w:rPr>
        <w:t>4.供应商应提交的证明文件</w:t>
      </w:r>
    </w:p>
    <w:p w14:paraId="1D81EFCA">
      <w:pPr>
        <w:shd w:val="clear"/>
        <w:autoSpaceDE w:val="0"/>
        <w:autoSpaceDN w:val="0"/>
        <w:adjustRightInd w:val="0"/>
        <w:snapToGrid w:val="0"/>
        <w:spacing w:line="360" w:lineRule="auto"/>
        <w:ind w:firstLine="420" w:firstLineChars="200"/>
        <w:rPr>
          <w:rFonts w:ascii="宋体" w:cs="宋体"/>
          <w:color w:val="auto"/>
          <w:highlight w:val="none"/>
        </w:rPr>
      </w:pPr>
      <w:r>
        <w:rPr>
          <w:rFonts w:ascii="宋体" w:hAnsi="宋体" w:cs="宋体"/>
          <w:color w:val="auto"/>
          <w:highlight w:val="none"/>
        </w:rPr>
        <w:t>4.1</w:t>
      </w:r>
      <w:r>
        <w:rPr>
          <w:rFonts w:hint="eastAsia" w:ascii="宋体" w:hAnsi="宋体" w:cs="宋体"/>
          <w:color w:val="auto"/>
          <w:highlight w:val="none"/>
        </w:rPr>
        <w:t xml:space="preserve"> 供应商具有独立承担民事责任能力，提供营业执照或其他证明材料。</w:t>
      </w:r>
    </w:p>
    <w:p w14:paraId="285FC818">
      <w:pPr>
        <w:shd w:val="clear"/>
        <w:autoSpaceDE w:val="0"/>
        <w:autoSpaceDN w:val="0"/>
        <w:adjustRightInd w:val="0"/>
        <w:snapToGrid w:val="0"/>
        <w:spacing w:line="360" w:lineRule="auto"/>
        <w:ind w:firstLine="420" w:firstLineChars="200"/>
        <w:rPr>
          <w:rFonts w:ascii="宋体" w:cs="宋体"/>
          <w:color w:val="auto"/>
          <w:highlight w:val="none"/>
        </w:rPr>
      </w:pPr>
      <w:r>
        <w:rPr>
          <w:rFonts w:ascii="宋体" w:hAnsi="宋体" w:cs="宋体"/>
          <w:color w:val="auto"/>
          <w:highlight w:val="none"/>
        </w:rPr>
        <w:t xml:space="preserve">4.2 </w:t>
      </w:r>
      <w:r>
        <w:rPr>
          <w:rFonts w:hint="eastAsia" w:ascii="宋体" w:hAnsi="宋体" w:cs="宋体"/>
          <w:color w:val="auto"/>
          <w:highlight w:val="none"/>
        </w:rPr>
        <w:t>供应商应提供</w:t>
      </w:r>
      <w:r>
        <w:rPr>
          <w:rFonts w:ascii="宋体" w:hAnsi="宋体" w:cs="宋体"/>
          <w:color w:val="auto"/>
          <w:highlight w:val="none"/>
        </w:rPr>
        <w:t>2024</w:t>
      </w:r>
      <w:r>
        <w:rPr>
          <w:rFonts w:hint="eastAsia" w:ascii="宋体" w:hAnsi="宋体" w:cs="宋体"/>
          <w:color w:val="auto"/>
          <w:highlight w:val="none"/>
        </w:rPr>
        <w:t>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20187492">
      <w:pPr>
        <w:widowControl/>
        <w:shd w:val="clear"/>
        <w:tabs>
          <w:tab w:val="left" w:pos="840"/>
        </w:tabs>
        <w:snapToGrid w:val="0"/>
        <w:spacing w:line="360" w:lineRule="auto"/>
        <w:ind w:firstLine="420" w:firstLineChars="200"/>
        <w:jc w:val="left"/>
        <w:rPr>
          <w:rFonts w:ascii="宋体" w:cs="宋体"/>
          <w:color w:val="auto"/>
          <w:szCs w:val="21"/>
          <w:highlight w:val="none"/>
          <w:shd w:val="clear" w:color="auto" w:fill="FFFFFF"/>
        </w:rPr>
      </w:pPr>
      <w:r>
        <w:rPr>
          <w:rFonts w:ascii="宋体" w:hAnsi="宋体" w:cs="宋体"/>
          <w:color w:val="auto"/>
          <w:szCs w:val="21"/>
          <w:highlight w:val="none"/>
          <w:shd w:val="clear" w:color="auto" w:fill="FFFFFF"/>
        </w:rPr>
        <w:t>4.3</w:t>
      </w:r>
      <w:r>
        <w:rPr>
          <w:rFonts w:hint="eastAsia" w:ascii="宋体" w:hAnsi="宋体" w:cs="宋体"/>
          <w:color w:val="auto"/>
          <w:szCs w:val="21"/>
          <w:highlight w:val="none"/>
          <w:shd w:val="clear" w:color="auto" w:fill="FFFFFF"/>
        </w:rPr>
        <w:t xml:space="preserve"> 具有履行合同所必需的设备和专业技术能力（提供书面承诺函）；</w:t>
      </w:r>
    </w:p>
    <w:p w14:paraId="710FAE41">
      <w:pPr>
        <w:widowControl/>
        <w:shd w:val="clear"/>
        <w:tabs>
          <w:tab w:val="left" w:pos="840"/>
        </w:tabs>
        <w:snapToGrid w:val="0"/>
        <w:spacing w:line="360" w:lineRule="auto"/>
        <w:ind w:firstLine="420" w:firstLineChars="200"/>
        <w:jc w:val="left"/>
        <w:rPr>
          <w:rFonts w:hint="eastAsia" w:ascii="宋体" w:hAnsi="宋体" w:cs="宋体"/>
          <w:color w:val="auto"/>
          <w:szCs w:val="21"/>
          <w:highlight w:val="none"/>
          <w:shd w:val="clear" w:color="auto" w:fill="FFFFFF"/>
        </w:rPr>
      </w:pPr>
      <w:r>
        <w:rPr>
          <w:rFonts w:ascii="宋体" w:hAnsi="宋体" w:cs="宋体"/>
          <w:color w:val="auto"/>
          <w:szCs w:val="21"/>
          <w:highlight w:val="none"/>
          <w:shd w:val="clear" w:color="auto" w:fill="FFFFFF"/>
        </w:rPr>
        <w:t>4.4</w:t>
      </w:r>
      <w:r>
        <w:rPr>
          <w:rFonts w:hint="eastAsia" w:ascii="宋体" w:hAnsi="宋体" w:cs="宋体"/>
          <w:color w:val="auto"/>
          <w:szCs w:val="21"/>
          <w:highlight w:val="none"/>
          <w:shd w:val="clear" w:color="auto" w:fill="FFFFFF"/>
        </w:rPr>
        <w:t xml:space="preserve"> 参加本采购活动前三年内，在经营活动中没有重大违法记录（提供书面承诺函）；</w:t>
      </w:r>
    </w:p>
    <w:p w14:paraId="52886051">
      <w:pPr>
        <w:shd w:val="clear"/>
        <w:autoSpaceDE w:val="0"/>
        <w:autoSpaceDN w:val="0"/>
        <w:adjustRightInd w:val="0"/>
        <w:snapToGrid w:val="0"/>
        <w:spacing w:line="360" w:lineRule="auto"/>
        <w:ind w:firstLine="420" w:firstLineChars="200"/>
        <w:rPr>
          <w:rFonts w:hint="eastAsia" w:ascii="宋体" w:hAnsi="宋体" w:cs="宋体"/>
          <w:color w:val="auto"/>
          <w:highlight w:val="none"/>
        </w:rPr>
      </w:pPr>
      <w:r>
        <w:rPr>
          <w:rFonts w:ascii="宋体" w:hAnsi="宋体" w:cs="宋体"/>
          <w:color w:val="auto"/>
          <w:highlight w:val="none"/>
        </w:rPr>
        <w:t>4.</w:t>
      </w:r>
      <w:r>
        <w:rPr>
          <w:rFonts w:hint="eastAsia" w:ascii="宋体" w:hAnsi="宋体" w:cs="宋体"/>
          <w:color w:val="auto"/>
          <w:highlight w:val="none"/>
        </w:rPr>
        <w:t>5</w:t>
      </w:r>
      <w:r>
        <w:rPr>
          <w:rFonts w:hint="eastAsia" w:ascii="宋体" w:hAnsi="宋体" w:cs="宋体"/>
          <w:color w:val="auto"/>
          <w:szCs w:val="21"/>
          <w:highlight w:val="none"/>
          <w:shd w:val="clear" w:color="auto" w:fill="FFFFFF"/>
        </w:rPr>
        <w:t xml:space="preserve"> </w:t>
      </w:r>
      <w:r>
        <w:rPr>
          <w:rFonts w:hint="eastAsia" w:ascii="宋体" w:hAnsi="宋体" w:cs="宋体"/>
          <w:color w:val="auto"/>
          <w:highlight w:val="none"/>
        </w:rPr>
        <w:t>根据《关于在政府采购活动中查询及使用信用记录有关问题的通知》（财库【</w:t>
      </w:r>
      <w:r>
        <w:rPr>
          <w:rFonts w:ascii="宋体" w:hAnsi="宋体" w:cs="宋体"/>
          <w:color w:val="auto"/>
          <w:highlight w:val="none"/>
        </w:rPr>
        <w:t>2016</w:t>
      </w:r>
      <w:r>
        <w:rPr>
          <w:rFonts w:hint="eastAsia" w:ascii="宋体" w:hAnsi="宋体" w:cs="宋体"/>
          <w:color w:val="auto"/>
          <w:highlight w:val="none"/>
        </w:rPr>
        <w:t>】</w:t>
      </w:r>
      <w:r>
        <w:rPr>
          <w:rFonts w:ascii="宋体" w:hAnsi="宋体" w:cs="宋体"/>
          <w:color w:val="auto"/>
          <w:highlight w:val="none"/>
        </w:rPr>
        <w:t>125</w:t>
      </w:r>
      <w:r>
        <w:rPr>
          <w:rFonts w:hint="eastAsia" w:ascii="宋体" w:hAnsi="宋体" w:cs="宋体"/>
          <w:color w:val="auto"/>
          <w:highlight w:val="none"/>
        </w:rPr>
        <w:t>号）的规定，对列入失信被执行人、重大税收违法失信主体、政府采购严重违法失信行为记录名单的供应商，拒绝参与本项目政府采购活动；（查询渠道：“信用中国”网站、中国政府采购网）；</w:t>
      </w:r>
    </w:p>
    <w:p w14:paraId="2B82FA39">
      <w:pPr>
        <w:widowControl/>
        <w:shd w:val="clear"/>
        <w:tabs>
          <w:tab w:val="left" w:pos="840"/>
        </w:tabs>
        <w:snapToGrid w:val="0"/>
        <w:spacing w:line="324" w:lineRule="auto"/>
        <w:ind w:firstLine="420" w:firstLineChars="20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4.6 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025D89DF">
      <w:pPr>
        <w:widowControl/>
        <w:shd w:val="clear"/>
        <w:tabs>
          <w:tab w:val="left" w:pos="840"/>
        </w:tabs>
        <w:snapToGrid w:val="0"/>
        <w:spacing w:line="324" w:lineRule="auto"/>
        <w:ind w:firstLine="420" w:firstLineChars="200"/>
        <w:jc w:val="left"/>
        <w:rPr>
          <w:rFonts w:hint="eastAsia" w:ascii="宋体" w:hAnsi="宋体" w:eastAsia="宋体" w:cs="宋体"/>
          <w:color w:val="auto"/>
          <w:kern w:val="0"/>
          <w:szCs w:val="21"/>
          <w:highlight w:val="none"/>
        </w:rPr>
      </w:pPr>
      <w:r>
        <w:rPr>
          <w:rFonts w:ascii="宋体" w:hAnsi="宋体" w:cs="宋体"/>
          <w:color w:val="auto"/>
          <w:highlight w:val="none"/>
        </w:rPr>
        <w:t>4.</w:t>
      </w:r>
      <w:r>
        <w:rPr>
          <w:rFonts w:hint="eastAsia" w:ascii="宋体" w:hAnsi="宋体" w:cs="宋体"/>
          <w:color w:val="auto"/>
          <w:highlight w:val="none"/>
        </w:rPr>
        <w:t>7</w:t>
      </w:r>
      <w:r>
        <w:rPr>
          <w:rFonts w:hint="eastAsia" w:ascii="宋体" w:hAnsi="宋体" w:cs="宋体"/>
          <w:color w:val="auto"/>
          <w:szCs w:val="21"/>
          <w:highlight w:val="none"/>
          <w:shd w:val="clear" w:color="auto" w:fill="FFFFFF"/>
        </w:rPr>
        <w:t xml:space="preserve"> 单位负责人为同一人或者存在直接控股、管理关系的不同供应商，不得参加同一合同项下的磋商（</w:t>
      </w:r>
      <w:r>
        <w:rPr>
          <w:rFonts w:hint="eastAsia" w:ascii="宋体" w:hAnsi="宋体" w:cs="宋体"/>
          <w:color w:val="auto"/>
          <w:kern w:val="0"/>
          <w:szCs w:val="21"/>
          <w:highlight w:val="none"/>
        </w:rPr>
        <w:t>提供在“国家企业信用信息公示系统”中查询的相关材料并加盖公章（需包含公司基本信息、股东信息及股权变更信息）或提供承诺函</w:t>
      </w:r>
      <w:r>
        <w:rPr>
          <w:rFonts w:hint="eastAsia" w:ascii="宋体" w:hAnsi="宋体" w:cs="宋体"/>
          <w:color w:val="auto"/>
          <w:szCs w:val="21"/>
          <w:highlight w:val="none"/>
          <w:shd w:val="clear" w:color="auto" w:fill="FFFFFF"/>
        </w:rPr>
        <w:t>）。一经发现，将导致投标同时被拒绝</w:t>
      </w:r>
      <w:r>
        <w:rPr>
          <w:rFonts w:hint="eastAsia" w:ascii="宋体" w:hAnsi="宋体" w:eastAsia="宋体" w:cs="宋体"/>
          <w:color w:val="auto"/>
          <w:kern w:val="0"/>
          <w:szCs w:val="21"/>
          <w:highlight w:val="none"/>
        </w:rPr>
        <w:t>。</w:t>
      </w:r>
    </w:p>
    <w:p w14:paraId="597EDA6B">
      <w:pPr>
        <w:shd w:val="clear"/>
        <w:snapToGrid w:val="0"/>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5.投标费用</w:t>
      </w:r>
    </w:p>
    <w:p w14:paraId="728E33BB">
      <w:pPr>
        <w:shd w:val="clear"/>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不论投标结果如何，供应商均应自行承担所有与投标有关的全部费用。</w:t>
      </w:r>
    </w:p>
    <w:p w14:paraId="54637D40">
      <w:pPr>
        <w:shd w:val="clear"/>
        <w:snapToGrid w:val="0"/>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14:paraId="07C8E4E2">
      <w:pPr>
        <w:shd w:val="clear"/>
        <w:snapToGrid w:val="0"/>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14:paraId="41016368">
      <w:pPr>
        <w:shd w:val="clear"/>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7.1 本采购文件所称关联企业,是指存在关联关系的企业。“关联关系”的界定适用《中华人民共和国公司法》第二百一十六条、《中华人民共和国政府采购法实施条例》第十八条之规定。</w:t>
      </w:r>
    </w:p>
    <w:p w14:paraId="6D4F542F">
      <w:pPr>
        <w:shd w:val="clear"/>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w:t>
      </w:r>
      <w:r>
        <w:rPr>
          <w:rFonts w:hint="eastAsia" w:ascii="宋体" w:hAnsi="宋体" w:cs="宋体"/>
          <w:color w:val="auto"/>
          <w:szCs w:val="21"/>
          <w:highlight w:val="none"/>
          <w:shd w:val="clear" w:color="auto" w:fill="FFFFFF"/>
        </w:rPr>
        <w:t>（</w:t>
      </w:r>
      <w:r>
        <w:rPr>
          <w:rFonts w:hint="eastAsia" w:ascii="宋体" w:hAnsi="宋体" w:cs="宋体"/>
          <w:color w:val="auto"/>
          <w:kern w:val="0"/>
          <w:szCs w:val="21"/>
          <w:highlight w:val="none"/>
        </w:rPr>
        <w:t>提供在“国家企业信用信息公示系统”中查询的相关材料并加盖公章（需包含公司基本信息、股东信息及股权变更信息）或提供承诺函</w:t>
      </w:r>
      <w:r>
        <w:rPr>
          <w:rFonts w:hint="eastAsia" w:ascii="宋体" w:hAnsi="宋体" w:cs="宋体"/>
          <w:color w:val="auto"/>
          <w:szCs w:val="21"/>
          <w:highlight w:val="none"/>
          <w:shd w:val="clear" w:color="auto" w:fill="FFFFFF"/>
        </w:rPr>
        <w:t>）</w:t>
      </w:r>
      <w:r>
        <w:rPr>
          <w:rFonts w:hint="eastAsia" w:ascii="宋体" w:hAnsi="宋体" w:cs="宋体"/>
          <w:color w:val="auto"/>
          <w:kern w:val="0"/>
          <w:szCs w:val="21"/>
          <w:highlight w:val="none"/>
        </w:rPr>
        <w:t>。一经发现，将导致投标同时被拒绝。</w:t>
      </w:r>
    </w:p>
    <w:p w14:paraId="175D9340">
      <w:pPr>
        <w:shd w:val="clear"/>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14:paraId="7BE6C19B">
      <w:pPr>
        <w:shd w:val="clear"/>
        <w:snapToGrid w:val="0"/>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8.转包与分包</w:t>
      </w:r>
    </w:p>
    <w:p w14:paraId="5E9E62D3">
      <w:pPr>
        <w:shd w:val="clear"/>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14:paraId="7D421AE1">
      <w:pPr>
        <w:shd w:val="clear"/>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14:paraId="6C0E2EF5">
      <w:pPr>
        <w:shd w:val="clear"/>
        <w:snapToGrid w:val="0"/>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9.特别说明：</w:t>
      </w:r>
    </w:p>
    <w:p w14:paraId="772C6BB4">
      <w:pPr>
        <w:shd w:val="clear"/>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9.1 供应商投标所使用的资格、信誉、荣誉、业绩与企业认证必须为本法人所拥有。  </w:t>
      </w:r>
    </w:p>
    <w:p w14:paraId="7E2CDE95">
      <w:pPr>
        <w:shd w:val="clear"/>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9.2 供应商代表只能接受一个供应商的委托参加投标。</w:t>
      </w:r>
    </w:p>
    <w:p w14:paraId="1A64069F">
      <w:pPr>
        <w:shd w:val="clear"/>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9.3 《政府采购法》第二十二条第五款“参加政府采购活动前三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0A5ECB6B">
      <w:pPr>
        <w:shd w:val="clear"/>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9.4供应商在投标活动中提供虚假材料或从事其他违法活动的,其投标无效，由相关部门查处。</w:t>
      </w:r>
    </w:p>
    <w:p w14:paraId="71AE908D">
      <w:pPr>
        <w:shd w:val="clear"/>
        <w:snapToGrid w:val="0"/>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14:paraId="50EC5267">
      <w:pPr>
        <w:shd w:val="clear"/>
        <w:snapToGrid w:val="0"/>
        <w:spacing w:line="360" w:lineRule="auto"/>
        <w:ind w:firstLine="411" w:firstLineChars="196"/>
        <w:jc w:val="left"/>
        <w:rPr>
          <w:rFonts w:hint="eastAsia" w:ascii="宋体" w:hAnsi="宋体" w:eastAsia="宋体" w:cs="宋体"/>
          <w:bCs/>
          <w:color w:val="auto"/>
          <w:kern w:val="0"/>
          <w:szCs w:val="21"/>
          <w:highlight w:val="none"/>
        </w:rPr>
      </w:pPr>
      <w:r>
        <w:rPr>
          <w:rFonts w:hint="eastAsia" w:ascii="宋体" w:hAnsi="宋体" w:cs="宋体"/>
          <w:color w:val="auto"/>
          <w:kern w:val="0"/>
          <w:szCs w:val="21"/>
          <w:highlight w:val="none"/>
        </w:rPr>
        <w:t xml:space="preserve">10.1 </w:t>
      </w:r>
      <w:r>
        <w:rPr>
          <w:rFonts w:hint="eastAsia" w:ascii="宋体" w:hAnsi="宋体" w:cs="宋体"/>
          <w:bCs/>
          <w:color w:val="auto"/>
          <w:kern w:val="0"/>
          <w:szCs w:val="21"/>
          <w:highlight w:val="none"/>
        </w:rPr>
        <w:t>供应商认为采购文件使自己的合法权益受到损害的，</w:t>
      </w:r>
      <w:r>
        <w:rPr>
          <w:rFonts w:hint="eastAsia" w:ascii="宋体" w:hAnsi="宋体" w:cs="宋体"/>
          <w:color w:val="auto"/>
          <w:kern w:val="0"/>
          <w:szCs w:val="21"/>
          <w:highlight w:val="none"/>
        </w:rPr>
        <w:t>应当在采购公告期限届满之日(或收到采购文件之日)起3个工作日之内向</w:t>
      </w:r>
      <w:r>
        <w:rPr>
          <w:rFonts w:hint="eastAsia" w:ascii="宋体" w:hAnsi="宋体" w:cs="宋体"/>
          <w:bCs/>
          <w:color w:val="auto"/>
          <w:kern w:val="0"/>
          <w:szCs w:val="21"/>
          <w:highlight w:val="none"/>
        </w:rPr>
        <w:t>采购人提出质疑；供应商认为磋商过程和成交结果使自己的合法权益受到损害的，应当在知道或者应知其权益受到损害之日起3个工作日内提出质疑。</w:t>
      </w:r>
      <w:r>
        <w:rPr>
          <w:rFonts w:hint="eastAsia" w:ascii="宋体" w:hAnsi="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供应商在法定质疑期内应一次性提出针对同一采购环节的质疑。供应商对采购人的质疑答复不满意,或采购人未在规定时间内作出答复的，可以在答复期满后15个工作日内向医院纪检部门投诉。</w:t>
      </w:r>
    </w:p>
    <w:p w14:paraId="152229E3">
      <w:pPr>
        <w:shd w:val="clear"/>
        <w:snapToGrid w:val="0"/>
        <w:spacing w:line="360" w:lineRule="auto"/>
        <w:ind w:firstLine="411" w:firstLineChars="196"/>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10.2 质疑、投诉应当采用书面形式，质疑书、投诉书均应明确阐述采购文件、磋商过程和成交结果中使自己合法权益受到损害的实质性内容，提供相关事实、依据和证据及其来源或线索，便于有关单位调查、答复和处理。</w:t>
      </w:r>
    </w:p>
    <w:p w14:paraId="5AADB597">
      <w:pPr>
        <w:shd w:val="clear"/>
        <w:snapToGrid w:val="0"/>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11.供应商的风险</w:t>
      </w:r>
    </w:p>
    <w:p w14:paraId="551C50AC">
      <w:pPr>
        <w:shd w:val="clear"/>
        <w:snapToGrid w:val="0"/>
        <w:spacing w:line="360" w:lineRule="auto"/>
        <w:ind w:firstLine="480"/>
        <w:jc w:val="left"/>
        <w:rPr>
          <w:rFonts w:hint="eastAsia" w:ascii="宋体" w:hAnsi="宋体" w:cs="宋体"/>
          <w:color w:val="auto"/>
          <w:kern w:val="0"/>
          <w:sz w:val="24"/>
          <w:highlight w:val="none"/>
        </w:rPr>
      </w:pPr>
      <w:r>
        <w:rPr>
          <w:rFonts w:hint="eastAsia" w:ascii="宋体" w:hAnsi="宋体" w:cs="宋体"/>
          <w:color w:val="auto"/>
          <w:kern w:val="0"/>
          <w:szCs w:val="21"/>
          <w:highlight w:val="none"/>
        </w:rPr>
        <w:t>供应商没有按照采购文件要求提供全部资料，或者供应商没有对采购文件在各方面都作出实质性响应是供应商的风险，并可能导致其投标被拒绝。</w:t>
      </w:r>
    </w:p>
    <w:p w14:paraId="3A4FC920">
      <w:pPr>
        <w:shd w:val="clear"/>
        <w:snapToGrid w:val="0"/>
        <w:spacing w:line="360" w:lineRule="auto"/>
        <w:jc w:val="center"/>
        <w:outlineLvl w:val="1"/>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二、采购文件</w:t>
      </w:r>
    </w:p>
    <w:p w14:paraId="21E3A705">
      <w:pPr>
        <w:shd w:val="clear"/>
        <w:snapToGrid w:val="0"/>
        <w:spacing w:line="360" w:lineRule="auto"/>
        <w:ind w:firstLine="417" w:firstLineChars="198"/>
        <w:rPr>
          <w:rFonts w:hint="eastAsia" w:ascii="宋体" w:hAnsi="宋体" w:cs="宋体"/>
          <w:color w:val="auto"/>
          <w:kern w:val="0"/>
          <w:szCs w:val="21"/>
          <w:highlight w:val="none"/>
        </w:rPr>
      </w:pPr>
      <w:r>
        <w:rPr>
          <w:rFonts w:hint="eastAsia" w:ascii="宋体" w:hAnsi="宋体" w:cs="宋体"/>
          <w:b/>
          <w:bCs/>
          <w:color w:val="auto"/>
          <w:kern w:val="0"/>
          <w:szCs w:val="21"/>
          <w:highlight w:val="none"/>
        </w:rPr>
        <w:t>12.采购文件的构成。本采购文件由以下部分组成：</w:t>
      </w:r>
    </w:p>
    <w:p w14:paraId="358B2EDA">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12.1 竞争性磋商公告</w:t>
      </w:r>
    </w:p>
    <w:p w14:paraId="37913856">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12.2 采购需求</w:t>
      </w:r>
    </w:p>
    <w:p w14:paraId="592B1E99">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12.3 供应商须知</w:t>
      </w:r>
    </w:p>
    <w:p w14:paraId="6641A7E0">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12.4 评标办法</w:t>
      </w:r>
    </w:p>
    <w:p w14:paraId="7FD22379">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12.5 合同主要条款</w:t>
      </w:r>
    </w:p>
    <w:p w14:paraId="3BA7D6C3">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12.6 响应文件格式</w:t>
      </w:r>
    </w:p>
    <w:p w14:paraId="30E6CFC8">
      <w:pPr>
        <w:shd w:val="clear"/>
        <w:snapToGrid w:val="0"/>
        <w:spacing w:line="360" w:lineRule="auto"/>
        <w:ind w:firstLine="417" w:firstLineChars="198"/>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13.采购文件的澄清与修改</w:t>
      </w:r>
    </w:p>
    <w:p w14:paraId="21BDF670">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13.1 采购人对已发出的采购文件进行必要澄清、修改或补充的，应当在采购文件要求提交响应文件截止时间3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前，在原采购公告发布相关媒体上发布更正公告或变更公告。采购文件公示期间对采购文件进行的澄清、修改或补充不受上述限制。</w:t>
      </w:r>
    </w:p>
    <w:p w14:paraId="0FA3E4CE">
      <w:pPr>
        <w:shd w:val="clear"/>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13.2 采购文件澄清、修改或补充的内容为采购文件的组成部分。</w:t>
      </w:r>
    </w:p>
    <w:p w14:paraId="1D8D7C91">
      <w:pPr>
        <w:shd w:val="clear"/>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13.3 采购文件的澄清、修改或补充都应以法定形式发布。采购人未对采购文件进行的澄清、修改或补充无效，评标时不予认可。</w:t>
      </w:r>
    </w:p>
    <w:p w14:paraId="57F09653">
      <w:pPr>
        <w:shd w:val="clear"/>
        <w:snapToGrid w:val="0"/>
        <w:spacing w:line="360" w:lineRule="auto"/>
        <w:ind w:firstLine="480"/>
        <w:jc w:val="left"/>
        <w:rPr>
          <w:rFonts w:hint="eastAsia"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可以视采购具体情况延长磋商截止时间和磋商时间，但至少应当在采购文件要求提交响应文件的截止时间3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前，将变更时间通知所有潜在供应商。</w:t>
      </w:r>
    </w:p>
    <w:p w14:paraId="43C3CB37">
      <w:pPr>
        <w:shd w:val="clear"/>
        <w:snapToGrid w:val="0"/>
        <w:spacing w:line="360" w:lineRule="auto"/>
        <w:jc w:val="center"/>
        <w:outlineLvl w:val="1"/>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三、响应文件的编制</w:t>
      </w:r>
    </w:p>
    <w:p w14:paraId="4957C762">
      <w:pPr>
        <w:shd w:val="clear"/>
        <w:snapToGrid w:val="0"/>
        <w:spacing w:line="360" w:lineRule="auto"/>
        <w:ind w:firstLine="417" w:firstLineChars="198"/>
        <w:rPr>
          <w:rFonts w:hint="eastAsia" w:ascii="宋体" w:hAnsi="宋体" w:cs="宋体"/>
          <w:color w:val="auto"/>
          <w:kern w:val="0"/>
          <w:szCs w:val="21"/>
          <w:highlight w:val="none"/>
        </w:rPr>
      </w:pPr>
      <w:r>
        <w:rPr>
          <w:rFonts w:hint="eastAsia" w:ascii="宋体" w:hAnsi="宋体" w:cs="宋体"/>
          <w:b/>
          <w:bCs/>
          <w:color w:val="auto"/>
          <w:kern w:val="0"/>
          <w:szCs w:val="21"/>
          <w:highlight w:val="none"/>
        </w:rPr>
        <w:t>14.要求</w:t>
      </w:r>
    </w:p>
    <w:p w14:paraId="4788E29A">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14.1 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要求、商务要求和响应文件格式中对磋商的要求），供应商对所提供的全部资料的合法性、真实性负责。</w:t>
      </w:r>
    </w:p>
    <w:p w14:paraId="696A0C47">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14.2 供应商应完整签署响应文件格式附件中《竞争性磋商响应书》，不得增减或修改内容。否则视为对采购文件未作出实质性响应。</w:t>
      </w:r>
    </w:p>
    <w:p w14:paraId="2465F3EF">
      <w:pPr>
        <w:shd w:val="clear"/>
        <w:snapToGrid w:val="0"/>
        <w:spacing w:line="360" w:lineRule="auto"/>
        <w:ind w:firstLine="417" w:firstLineChars="198"/>
        <w:rPr>
          <w:rFonts w:hint="eastAsia" w:ascii="宋体" w:hAnsi="宋体" w:cs="宋体"/>
          <w:color w:val="auto"/>
          <w:kern w:val="0"/>
          <w:szCs w:val="21"/>
          <w:highlight w:val="none"/>
        </w:rPr>
      </w:pPr>
      <w:r>
        <w:rPr>
          <w:rFonts w:hint="eastAsia" w:ascii="宋体" w:hAnsi="宋体" w:cs="宋体"/>
          <w:b/>
          <w:bCs/>
          <w:color w:val="auto"/>
          <w:kern w:val="0"/>
          <w:szCs w:val="21"/>
          <w:highlight w:val="none"/>
        </w:rPr>
        <w:t>15.响应文件的语言和计量单位</w:t>
      </w:r>
    </w:p>
    <w:p w14:paraId="764BE021">
      <w:pPr>
        <w:shd w:val="clear"/>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15.1 响应文件以及供应商与采购人就有关磋商事宜的所有来往函电均应使用简体中文书写。</w:t>
      </w:r>
    </w:p>
    <w:p w14:paraId="57E236B1">
      <w:pPr>
        <w:shd w:val="clear"/>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15.2 关于磋商计量单位，采购文件已有明确规定的，使用采购文件规定的计量单位；采购文件没有规定的，应采用中华人民共和国法定计量单位。否则视为对采购文件未作出实质性响应。</w:t>
      </w:r>
    </w:p>
    <w:p w14:paraId="1C5902F0">
      <w:pPr>
        <w:shd w:val="clear"/>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1DD2747A">
      <w:pPr>
        <w:shd w:val="clear"/>
        <w:snapToGrid w:val="0"/>
        <w:spacing w:line="360" w:lineRule="auto"/>
        <w:ind w:firstLine="417" w:firstLineChars="198"/>
        <w:rPr>
          <w:rFonts w:hint="eastAsia" w:ascii="宋体" w:hAnsi="宋体" w:cs="宋体"/>
          <w:color w:val="auto"/>
          <w:kern w:val="0"/>
          <w:szCs w:val="21"/>
          <w:highlight w:val="none"/>
        </w:rPr>
      </w:pPr>
      <w:r>
        <w:rPr>
          <w:rFonts w:hint="eastAsia" w:ascii="宋体" w:hAnsi="宋体" w:cs="宋体"/>
          <w:b/>
          <w:bCs/>
          <w:color w:val="auto"/>
          <w:kern w:val="0"/>
          <w:szCs w:val="21"/>
          <w:highlight w:val="none"/>
        </w:rPr>
        <w:t>16.响应文件的组成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响应文件应包括下列部分：</w:t>
      </w:r>
    </w:p>
    <w:p w14:paraId="2DCB2425">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16.1、竞争性磋商响应书及初次报价一览表</w:t>
      </w:r>
    </w:p>
    <w:p w14:paraId="65365F47">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16.2、报价明细表</w:t>
      </w:r>
    </w:p>
    <w:p w14:paraId="71F21DB4">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16.3、技术响应表</w:t>
      </w:r>
    </w:p>
    <w:p w14:paraId="706A6658">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16.4、商务响应表</w:t>
      </w:r>
    </w:p>
    <w:p w14:paraId="3CE523CC">
      <w:pPr>
        <w:shd w:val="clear"/>
        <w:snapToGrid w:val="0"/>
        <w:spacing w:line="360" w:lineRule="auto"/>
        <w:ind w:left="208" w:leftChars="99"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16.5、法定代表人身份证明</w:t>
      </w:r>
    </w:p>
    <w:p w14:paraId="3D9B1D41">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16.6、法定代表人授权书</w:t>
      </w:r>
    </w:p>
    <w:p w14:paraId="02BE1FC8">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16.7、证明文件</w:t>
      </w:r>
    </w:p>
    <w:p w14:paraId="52D5F4FA">
      <w:pPr>
        <w:shd w:val="clear"/>
        <w:snapToGrid w:val="0"/>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16.8、供应商承诺书</w:t>
      </w:r>
    </w:p>
    <w:p w14:paraId="7523F2EF">
      <w:pPr>
        <w:pStyle w:val="6"/>
        <w:widowControl w:val="0"/>
        <w:shd w:val="clear"/>
        <w:snapToGrid w:val="0"/>
        <w:spacing w:beforeAutospacing="0" w:afterAutospacing="0" w:line="360" w:lineRule="auto"/>
        <w:rPr>
          <w:rFonts w:hint="eastAsia"/>
          <w:color w:val="auto"/>
          <w:sz w:val="21"/>
          <w:szCs w:val="21"/>
          <w:highlight w:val="none"/>
        </w:rPr>
      </w:pPr>
      <w:r>
        <w:rPr>
          <w:rFonts w:hint="eastAsia"/>
          <w:color w:val="auto"/>
          <w:sz w:val="21"/>
          <w:szCs w:val="21"/>
          <w:highlight w:val="none"/>
        </w:rPr>
        <w:t>16.9、供应商信用承诺函</w:t>
      </w:r>
    </w:p>
    <w:p w14:paraId="7F2BC30A">
      <w:pPr>
        <w:shd w:val="clear"/>
        <w:snapToGrid w:val="0"/>
        <w:spacing w:line="360" w:lineRule="auto"/>
        <w:ind w:firstLine="417" w:firstLineChars="198"/>
        <w:rPr>
          <w:rFonts w:hint="eastAsia" w:ascii="宋体" w:hAnsi="宋体" w:cs="宋体"/>
          <w:b/>
          <w:color w:val="auto"/>
          <w:kern w:val="0"/>
          <w:szCs w:val="21"/>
          <w:highlight w:val="none"/>
        </w:rPr>
      </w:pPr>
      <w:r>
        <w:rPr>
          <w:rFonts w:hint="eastAsia" w:ascii="宋体" w:hAnsi="宋体" w:cs="宋体"/>
          <w:b/>
          <w:color w:val="auto"/>
          <w:kern w:val="0"/>
          <w:szCs w:val="21"/>
          <w:highlight w:val="none"/>
        </w:rPr>
        <w:t>17.响应文件有效期</w:t>
      </w:r>
    </w:p>
    <w:p w14:paraId="4CE65F87">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17.1 响应文件从采购公告所规定的投标截止期之后开始生效，在</w:t>
      </w:r>
      <w:r>
        <w:rPr>
          <w:rFonts w:hint="eastAsia" w:ascii="宋体" w:hAnsi="宋体" w:cs="宋体"/>
          <w:bCs/>
          <w:color w:val="auto"/>
          <w:kern w:val="0"/>
          <w:szCs w:val="21"/>
          <w:highlight w:val="none"/>
        </w:rPr>
        <w:t>供应商须知前附表</w:t>
      </w:r>
      <w:r>
        <w:rPr>
          <w:rFonts w:hint="eastAsia" w:ascii="宋体" w:hAnsi="宋体" w:cs="宋体"/>
          <w:color w:val="auto"/>
          <w:kern w:val="0"/>
          <w:szCs w:val="21"/>
          <w:highlight w:val="none"/>
        </w:rPr>
        <w:t>第13项所规定的期限内保持有效。有效期不足将导致其响应文件被拒绝。成交供应商的响应文件有效期至合同完全履行止。</w:t>
      </w:r>
    </w:p>
    <w:p w14:paraId="3CEB927D">
      <w:pPr>
        <w:shd w:val="clear"/>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17.2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345F9416">
      <w:pPr>
        <w:shd w:val="clear"/>
        <w:snapToGrid w:val="0"/>
        <w:spacing w:line="360" w:lineRule="auto"/>
        <w:ind w:firstLine="417" w:firstLineChars="198"/>
        <w:rPr>
          <w:rFonts w:hint="eastAsia" w:ascii="宋体" w:hAnsi="宋体" w:cs="宋体"/>
          <w:color w:val="auto"/>
          <w:kern w:val="0"/>
          <w:szCs w:val="21"/>
          <w:highlight w:val="none"/>
        </w:rPr>
      </w:pPr>
      <w:r>
        <w:rPr>
          <w:rFonts w:hint="eastAsia" w:ascii="宋体" w:hAnsi="宋体" w:cs="宋体"/>
          <w:b/>
          <w:bCs/>
          <w:color w:val="auto"/>
          <w:kern w:val="0"/>
          <w:szCs w:val="21"/>
          <w:highlight w:val="none"/>
        </w:rPr>
        <w:t>18.投标报价</w:t>
      </w:r>
    </w:p>
    <w:p w14:paraId="51C0DF31">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所有磋商报价均以人民币元为计算单位。</w:t>
      </w:r>
    </w:p>
    <w:p w14:paraId="6F3F346A">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18.2 供应商要按初次报价一览表的内容填写。</w:t>
      </w:r>
    </w:p>
    <w:p w14:paraId="66CAA9A3">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供应商投报多标包的，应对每标包分别报价并分别填报</w:t>
      </w:r>
      <w:r>
        <w:rPr>
          <w:rFonts w:hint="eastAsia" w:ascii="宋体" w:hAnsi="宋体" w:cs="宋体"/>
          <w:color w:val="auto"/>
          <w:kern w:val="0"/>
          <w:szCs w:val="21"/>
          <w:highlight w:val="none"/>
        </w:rPr>
        <w:t>初次报价一览表</w:t>
      </w:r>
      <w:r>
        <w:rPr>
          <w:rFonts w:hint="eastAsia" w:ascii="宋体" w:hAnsi="宋体" w:cs="宋体"/>
          <w:color w:val="auto"/>
          <w:spacing w:val="10"/>
          <w:kern w:val="0"/>
          <w:szCs w:val="21"/>
          <w:highlight w:val="none"/>
        </w:rPr>
        <w:t>。</w:t>
      </w:r>
    </w:p>
    <w:p w14:paraId="07DAB80C">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18.4 初次报价一览表中标明的价格在政府采购合同执行过程中是固定不变的，供应商不得以任何理由予以变更。以可调整的价格提交的投标将被作为无效投标处理。</w:t>
      </w:r>
    </w:p>
    <w:p w14:paraId="6CD35210">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18.5 采购人不接受可选择的投标报价。</w:t>
      </w:r>
    </w:p>
    <w:p w14:paraId="02002860">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18.6 对于供应商在初次报价一览表和响应文件中列出的赠送条款，在评审时不得作为价格评分因素或者调整评标价格的依据。</w:t>
      </w:r>
    </w:p>
    <w:p w14:paraId="5B19A864">
      <w:pPr>
        <w:shd w:val="clear"/>
        <w:snapToGrid w:val="0"/>
        <w:spacing w:line="360" w:lineRule="auto"/>
        <w:ind w:firstLine="417" w:firstLineChars="198"/>
        <w:rPr>
          <w:rFonts w:hint="eastAsia" w:ascii="宋体" w:hAnsi="宋体" w:cs="宋体"/>
          <w:b/>
          <w:color w:val="auto"/>
          <w:kern w:val="0"/>
          <w:szCs w:val="21"/>
          <w:highlight w:val="none"/>
        </w:rPr>
      </w:pPr>
      <w:r>
        <w:rPr>
          <w:rFonts w:hint="eastAsia" w:ascii="宋体" w:hAnsi="宋体" w:cs="宋体"/>
          <w:b/>
          <w:color w:val="auto"/>
          <w:kern w:val="0"/>
          <w:szCs w:val="21"/>
          <w:highlight w:val="none"/>
        </w:rPr>
        <w:t>19.磋商保证金（无）</w:t>
      </w:r>
    </w:p>
    <w:p w14:paraId="025DE30B">
      <w:pPr>
        <w:shd w:val="clear"/>
        <w:snapToGrid w:val="0"/>
        <w:spacing w:line="360" w:lineRule="auto"/>
        <w:ind w:firstLine="417" w:firstLineChars="198"/>
        <w:rPr>
          <w:rFonts w:hint="eastAsia" w:ascii="宋体" w:hAnsi="宋体" w:cs="宋体"/>
          <w:b/>
          <w:color w:val="auto"/>
          <w:kern w:val="0"/>
          <w:szCs w:val="21"/>
          <w:highlight w:val="none"/>
        </w:rPr>
      </w:pPr>
      <w:r>
        <w:rPr>
          <w:rFonts w:hint="eastAsia" w:ascii="宋体" w:hAnsi="宋体" w:cs="宋体"/>
          <w:b/>
          <w:color w:val="auto"/>
          <w:kern w:val="0"/>
          <w:szCs w:val="21"/>
          <w:highlight w:val="none"/>
        </w:rPr>
        <w:t>20.</w:t>
      </w:r>
      <w:r>
        <w:rPr>
          <w:rFonts w:hint="eastAsia" w:ascii="宋体" w:hAnsi="宋体" w:cs="宋体"/>
          <w:b/>
          <w:bCs/>
          <w:color w:val="auto"/>
          <w:kern w:val="0"/>
          <w:szCs w:val="21"/>
          <w:highlight w:val="none"/>
        </w:rPr>
        <w:t>响应</w:t>
      </w:r>
      <w:r>
        <w:rPr>
          <w:rFonts w:hint="eastAsia" w:ascii="宋体" w:hAnsi="宋体" w:cs="宋体"/>
          <w:b/>
          <w:color w:val="auto"/>
          <w:kern w:val="0"/>
          <w:szCs w:val="21"/>
          <w:highlight w:val="none"/>
        </w:rPr>
        <w:t>文件的签署及其他规定</w:t>
      </w:r>
    </w:p>
    <w:p w14:paraId="66DBD7E3">
      <w:pPr>
        <w:shd w:val="clear"/>
        <w:snapToGrid w:val="0"/>
        <w:spacing w:line="360" w:lineRule="auto"/>
        <w:ind w:firstLine="415" w:firstLineChars="198"/>
        <w:rPr>
          <w:rFonts w:hint="eastAsia" w:ascii="宋体" w:hAnsi="宋体" w:cs="宋体"/>
          <w:color w:val="auto"/>
          <w:kern w:val="0"/>
          <w:szCs w:val="21"/>
          <w:highlight w:val="none"/>
        </w:rPr>
      </w:pPr>
      <w:r>
        <w:rPr>
          <w:rFonts w:hint="eastAsia" w:ascii="宋体" w:hAnsi="宋体" w:cs="宋体"/>
          <w:color w:val="auto"/>
          <w:kern w:val="0"/>
          <w:szCs w:val="21"/>
          <w:highlight w:val="none"/>
        </w:rPr>
        <w:t>20.1响应文件应按第六章“响应文件格式”进行编写，如有必要，可以增加附页，作为响应文件的组成部分。其中，磋商报价一览表在满足采购文件实质性要求的基础上，可以提出比采购文件要求更有利于采购人的承诺。</w:t>
      </w:r>
    </w:p>
    <w:p w14:paraId="1AF616D5">
      <w:pPr>
        <w:shd w:val="clear"/>
        <w:snapToGrid w:val="0"/>
        <w:spacing w:line="360" w:lineRule="auto"/>
        <w:ind w:firstLine="415" w:firstLineChars="198"/>
        <w:rPr>
          <w:rFonts w:hint="eastAsia" w:ascii="宋体" w:hAnsi="宋体" w:cs="宋体"/>
          <w:color w:val="auto"/>
          <w:kern w:val="0"/>
          <w:szCs w:val="21"/>
          <w:highlight w:val="none"/>
        </w:rPr>
      </w:pPr>
      <w:r>
        <w:rPr>
          <w:rFonts w:hint="eastAsia" w:ascii="宋体" w:hAnsi="宋体" w:cs="宋体"/>
          <w:color w:val="auto"/>
          <w:kern w:val="0"/>
          <w:szCs w:val="21"/>
          <w:highlight w:val="none"/>
        </w:rPr>
        <w:t>20.2 响应文件应当对采购文件有关交货期、响应文件有效期、质量要求等实质性内容作出响应。</w:t>
      </w:r>
    </w:p>
    <w:p w14:paraId="6DD69B0E">
      <w:pPr>
        <w:shd w:val="clear"/>
        <w:snapToGrid w:val="0"/>
        <w:spacing w:line="360" w:lineRule="auto"/>
        <w:ind w:firstLine="415" w:firstLineChars="198"/>
        <w:rPr>
          <w:rFonts w:hint="eastAsia" w:ascii="宋体" w:hAnsi="宋体" w:cs="宋体"/>
          <w:color w:val="auto"/>
          <w:kern w:val="0"/>
          <w:szCs w:val="21"/>
          <w:highlight w:val="none"/>
        </w:rPr>
      </w:pPr>
      <w:r>
        <w:rPr>
          <w:rFonts w:hint="eastAsia" w:ascii="宋体" w:hAnsi="宋体" w:cs="宋体"/>
          <w:color w:val="auto"/>
          <w:kern w:val="0"/>
          <w:szCs w:val="21"/>
          <w:highlight w:val="none"/>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5D075255">
      <w:pPr>
        <w:shd w:val="clear"/>
        <w:snapToGrid w:val="0"/>
        <w:spacing w:line="360" w:lineRule="auto"/>
        <w:ind w:firstLine="415" w:firstLineChars="198"/>
        <w:rPr>
          <w:rFonts w:hint="eastAsia" w:ascii="宋体" w:hAnsi="宋体" w:cs="宋体"/>
          <w:color w:val="auto"/>
          <w:kern w:val="0"/>
          <w:szCs w:val="21"/>
          <w:highlight w:val="none"/>
        </w:rPr>
      </w:pPr>
      <w:r>
        <w:rPr>
          <w:rFonts w:hint="eastAsia" w:ascii="宋体" w:hAnsi="宋体" w:cs="宋体"/>
          <w:color w:val="auto"/>
          <w:kern w:val="0"/>
          <w:szCs w:val="21"/>
          <w:highlight w:val="none"/>
        </w:rPr>
        <w:t>20.4响应文件份数见供应商须知前附表。响应文件正本和副本的封面上应清楚地标记“正本”或“副本”的字样。</w:t>
      </w:r>
    </w:p>
    <w:p w14:paraId="7CEE7698">
      <w:pPr>
        <w:shd w:val="clear"/>
        <w:snapToGrid w:val="0"/>
        <w:spacing w:line="360" w:lineRule="auto"/>
        <w:ind w:firstLine="415" w:firstLineChars="198"/>
        <w:rPr>
          <w:rFonts w:hint="eastAsia" w:ascii="宋体" w:hAnsi="宋体" w:cs="宋体"/>
          <w:color w:val="auto"/>
          <w:kern w:val="0"/>
          <w:szCs w:val="21"/>
          <w:highlight w:val="none"/>
        </w:rPr>
      </w:pPr>
      <w:r>
        <w:rPr>
          <w:rFonts w:hint="eastAsia" w:ascii="宋体" w:hAnsi="宋体" w:cs="宋体"/>
          <w:color w:val="auto"/>
          <w:kern w:val="0"/>
          <w:szCs w:val="21"/>
          <w:highlight w:val="none"/>
        </w:rPr>
        <w:t>20.5响应文件的具体装订要求见供应商须知前附表规定。</w:t>
      </w:r>
    </w:p>
    <w:p w14:paraId="63489EC0">
      <w:pPr>
        <w:shd w:val="clear"/>
        <w:snapToGrid w:val="0"/>
        <w:spacing w:line="360" w:lineRule="auto"/>
        <w:jc w:val="center"/>
        <w:outlineLvl w:val="1"/>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四、响应文件的递交</w:t>
      </w:r>
    </w:p>
    <w:p w14:paraId="73FF1D90">
      <w:pPr>
        <w:shd w:val="clear"/>
        <w:snapToGrid w:val="0"/>
        <w:spacing w:line="360" w:lineRule="auto"/>
        <w:ind w:firstLine="417" w:firstLineChars="198"/>
        <w:rPr>
          <w:rFonts w:hint="eastAsia" w:ascii="宋体" w:hAnsi="宋体" w:cs="宋体"/>
          <w:b/>
          <w:color w:val="auto"/>
          <w:kern w:val="0"/>
          <w:szCs w:val="21"/>
          <w:highlight w:val="none"/>
        </w:rPr>
      </w:pPr>
      <w:r>
        <w:rPr>
          <w:rFonts w:hint="eastAsia" w:ascii="宋体" w:hAnsi="宋体" w:cs="宋体"/>
          <w:b/>
          <w:color w:val="auto"/>
          <w:kern w:val="0"/>
          <w:szCs w:val="21"/>
          <w:highlight w:val="none"/>
        </w:rPr>
        <w:t>21. 响应文件的密封、标记</w:t>
      </w:r>
    </w:p>
    <w:p w14:paraId="1D1E1A25">
      <w:pPr>
        <w:shd w:val="clea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21.1</w:t>
      </w:r>
      <w:r>
        <w:rPr>
          <w:rFonts w:hint="eastAsia" w:ascii="宋体" w:hAnsi="宋体" w:cs="宋体"/>
          <w:color w:val="auto"/>
          <w:highlight w:val="none"/>
        </w:rPr>
        <w:t>响应文件应密封包装，并在封套的封口处加盖供应商单位章或由供应商的法定代表人（单位负责人）或其授权的代理人签字。</w:t>
      </w:r>
    </w:p>
    <w:p w14:paraId="26DDC899">
      <w:pPr>
        <w:shd w:val="clea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21.2 未按本章第21.1项要求密封的</w:t>
      </w:r>
      <w:r>
        <w:rPr>
          <w:rFonts w:hint="eastAsia" w:ascii="宋体" w:hAnsi="宋体" w:cs="宋体"/>
          <w:color w:val="auto"/>
          <w:kern w:val="0"/>
          <w:szCs w:val="21"/>
          <w:highlight w:val="none"/>
        </w:rPr>
        <w:t>响应</w:t>
      </w:r>
      <w:r>
        <w:rPr>
          <w:rFonts w:hint="eastAsia" w:ascii="宋体" w:hAnsi="宋体" w:cs="宋体"/>
          <w:color w:val="auto"/>
          <w:highlight w:val="none"/>
        </w:rPr>
        <w:t>文件，采购人不予受理。</w:t>
      </w:r>
    </w:p>
    <w:p w14:paraId="2565502E">
      <w:pPr>
        <w:shd w:val="clear"/>
        <w:snapToGrid w:val="0"/>
        <w:spacing w:line="360" w:lineRule="auto"/>
        <w:ind w:firstLine="417" w:firstLineChars="198"/>
        <w:rPr>
          <w:rFonts w:hint="eastAsia" w:ascii="宋体" w:hAnsi="宋体" w:cs="宋体"/>
          <w:b/>
          <w:color w:val="auto"/>
          <w:kern w:val="0"/>
          <w:szCs w:val="21"/>
          <w:highlight w:val="none"/>
        </w:rPr>
      </w:pPr>
      <w:r>
        <w:rPr>
          <w:rFonts w:hint="eastAsia" w:ascii="宋体" w:hAnsi="宋体" w:cs="宋体"/>
          <w:b/>
          <w:color w:val="auto"/>
          <w:kern w:val="0"/>
          <w:szCs w:val="21"/>
          <w:highlight w:val="none"/>
        </w:rPr>
        <w:t>22. 响应文件的递交</w:t>
      </w:r>
    </w:p>
    <w:p w14:paraId="3AC1A9D6">
      <w:pPr>
        <w:shd w:val="clear"/>
        <w:autoSpaceDE w:val="0"/>
        <w:autoSpaceDN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22.1 供应商应在规定的磋商截止时间前递交响应文件。</w:t>
      </w:r>
    </w:p>
    <w:p w14:paraId="329D4844">
      <w:pPr>
        <w:shd w:val="clear"/>
        <w:autoSpaceDE w:val="0"/>
        <w:autoSpaceDN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 供应商递交响应文件的地点：见供应商须知前附表。</w:t>
      </w:r>
    </w:p>
    <w:p w14:paraId="56EA2428">
      <w:pPr>
        <w:shd w:val="clear"/>
        <w:autoSpaceDE w:val="0"/>
        <w:autoSpaceDN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 除供应商须知前附表另有规定外，供应商所递交的响应文件不予退还。</w:t>
      </w:r>
    </w:p>
    <w:p w14:paraId="6F79E8FF">
      <w:pPr>
        <w:shd w:val="clear"/>
        <w:autoSpaceDE w:val="0"/>
        <w:autoSpaceDN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22.4 逾期送达的或者未送达指定地点的响应文件，采购人不予受理。</w:t>
      </w:r>
    </w:p>
    <w:p w14:paraId="32EC7001">
      <w:pPr>
        <w:shd w:val="clear"/>
        <w:snapToGrid w:val="0"/>
        <w:spacing w:line="360" w:lineRule="auto"/>
        <w:ind w:firstLine="417" w:firstLineChars="198"/>
        <w:rPr>
          <w:rFonts w:hint="eastAsia" w:ascii="宋体" w:hAnsi="宋体" w:cs="宋体"/>
          <w:b/>
          <w:color w:val="auto"/>
          <w:kern w:val="0"/>
          <w:szCs w:val="21"/>
          <w:highlight w:val="none"/>
        </w:rPr>
      </w:pPr>
      <w:r>
        <w:rPr>
          <w:rFonts w:hint="eastAsia" w:ascii="宋体" w:hAnsi="宋体" w:cs="宋体"/>
          <w:b/>
          <w:color w:val="auto"/>
          <w:kern w:val="0"/>
          <w:szCs w:val="21"/>
          <w:highlight w:val="none"/>
        </w:rPr>
        <w:t>23. 响应文件的修改和撤回</w:t>
      </w:r>
    </w:p>
    <w:p w14:paraId="3391A976">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23.1 供应商在投标截止时间前，可以对所提交的响应文件进行补充、修改或者撤回，并书面通知采购人。补充、修改的内容和撤回通知应当按本须知要求签署、盖章、密封，并作为响应文件的组成部分。</w:t>
      </w:r>
    </w:p>
    <w:p w14:paraId="761ED833">
      <w:pPr>
        <w:shd w:val="clear"/>
        <w:snapToGrid w:val="0"/>
        <w:spacing w:line="360" w:lineRule="auto"/>
        <w:ind w:firstLine="420" w:firstLineChars="200"/>
        <w:jc w:val="left"/>
        <w:rPr>
          <w:rFonts w:hint="eastAsia" w:ascii="宋体" w:hAnsi="宋体" w:cs="宋体"/>
          <w:color w:val="auto"/>
          <w:kern w:val="0"/>
          <w:sz w:val="24"/>
          <w:highlight w:val="none"/>
        </w:rPr>
      </w:pPr>
      <w:r>
        <w:rPr>
          <w:rFonts w:hint="eastAsia" w:ascii="宋体" w:hAnsi="宋体" w:cs="宋体"/>
          <w:color w:val="auto"/>
          <w:kern w:val="0"/>
          <w:szCs w:val="21"/>
          <w:highlight w:val="none"/>
        </w:rPr>
        <w:t>23.2 供应商在磋商截止期后不得修改、撤回响应文件。供应商在投标截止期后修改响应文件的，其投标将被拒绝。</w:t>
      </w:r>
    </w:p>
    <w:p w14:paraId="18590F8C">
      <w:pPr>
        <w:shd w:val="clear"/>
        <w:snapToGrid w:val="0"/>
        <w:spacing w:line="360" w:lineRule="auto"/>
        <w:jc w:val="center"/>
        <w:outlineLvl w:val="1"/>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五、评标</w:t>
      </w:r>
    </w:p>
    <w:p w14:paraId="2BB61A71">
      <w:pPr>
        <w:shd w:val="clear"/>
        <w:snapToGrid w:val="0"/>
        <w:spacing w:line="360" w:lineRule="auto"/>
        <w:ind w:firstLine="422" w:firstLineChars="20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24. 组建磋商小组</w:t>
      </w:r>
    </w:p>
    <w:p w14:paraId="04213DD1">
      <w:pPr>
        <w:shd w:val="clea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24.1 磋商小组由采购人代表和评审专家组成。成员由3人以上单数组成。</w:t>
      </w:r>
      <w:r>
        <w:rPr>
          <w:rFonts w:hint="eastAsia" w:ascii="宋体" w:hAnsi="宋体" w:cs="宋体"/>
          <w:color w:val="auto"/>
          <w:szCs w:val="21"/>
          <w:highlight w:val="none"/>
        </w:rPr>
        <w:t>在开标后由磋商小组对</w:t>
      </w:r>
      <w:r>
        <w:rPr>
          <w:rFonts w:hint="eastAsia" w:ascii="宋体" w:hAnsi="宋体" w:cs="宋体"/>
          <w:color w:val="auto"/>
          <w:kern w:val="0"/>
          <w:szCs w:val="21"/>
          <w:highlight w:val="none"/>
        </w:rPr>
        <w:t>响应文件</w:t>
      </w:r>
      <w:r>
        <w:rPr>
          <w:rFonts w:hint="eastAsia" w:ascii="宋体" w:hAnsi="宋体" w:cs="宋体"/>
          <w:color w:val="auto"/>
          <w:szCs w:val="21"/>
          <w:highlight w:val="none"/>
        </w:rPr>
        <w:t>进行审查、质疑、评估和比较，并做合理的建议。</w:t>
      </w:r>
    </w:p>
    <w:p w14:paraId="0A4D2976">
      <w:pPr>
        <w:shd w:val="clea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24.2磋商小组成员要依法独立评审，并对评审意见承担个人责任。</w:t>
      </w:r>
      <w:r>
        <w:rPr>
          <w:rFonts w:hint="eastAsia" w:ascii="宋体" w:hAnsi="宋体" w:cs="宋体"/>
          <w:color w:val="auto"/>
          <w:szCs w:val="21"/>
          <w:highlight w:val="none"/>
        </w:rPr>
        <w:t>磋商小组成员对需要共同认定的事项存在争议的，按照少数服从多数的原则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出结论。持不同意见的磋商小组成员应当在评审报告上签署不同意见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14:paraId="4D3C3FA0">
      <w:pPr>
        <w:shd w:val="clear"/>
        <w:snapToGrid w:val="0"/>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 xml:space="preserve">25. </w:t>
      </w:r>
      <w:r>
        <w:rPr>
          <w:rFonts w:hint="eastAsia" w:ascii="宋体" w:hAnsi="宋体" w:cs="宋体"/>
          <w:b/>
          <w:bCs/>
          <w:color w:val="auto"/>
          <w:kern w:val="0"/>
          <w:szCs w:val="21"/>
          <w:highlight w:val="none"/>
        </w:rPr>
        <w:t>响应</w:t>
      </w:r>
      <w:r>
        <w:rPr>
          <w:rFonts w:hint="eastAsia" w:ascii="宋体" w:hAnsi="宋体" w:cs="宋体"/>
          <w:b/>
          <w:bCs/>
          <w:color w:val="auto"/>
          <w:szCs w:val="21"/>
          <w:highlight w:val="none"/>
        </w:rPr>
        <w:t>文件的初审</w:t>
      </w:r>
    </w:p>
    <w:p w14:paraId="1B61B9F7">
      <w:pPr>
        <w:pStyle w:val="31"/>
        <w:shd w:val="clear"/>
        <w:snapToGrid w:val="0"/>
        <w:spacing w:before="159" w:beforeAutospacing="0" w:after="0" w:afterAutospacing="0" w:line="360" w:lineRule="auto"/>
        <w:ind w:firstLine="420" w:firstLineChars="2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25.1对所有供应商的评估，都采用相同的程序和标准。评标过程将严格按照采购文件的要求和条件进行。</w:t>
      </w:r>
    </w:p>
    <w:p w14:paraId="0F27EE3C">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25.2 磋商小组将对响应文件进行检查，以确定响应文件是否完整、有无计算上的错误、文件是否已正确签署等。</w:t>
      </w:r>
    </w:p>
    <w:p w14:paraId="09EB1B70">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25.3 响应文件报价出现前后不一致的，除采购文件另有规定外，修正错误的原则如下：</w:t>
      </w:r>
    </w:p>
    <w:p w14:paraId="1B884E8A">
      <w:pPr>
        <w:pStyle w:val="31"/>
        <w:shd w:val="clear" w:color="auto"/>
        <w:snapToGrid w:val="0"/>
        <w:spacing w:before="159" w:beforeAutospacing="0" w:after="0" w:afterAutospacing="0" w:line="360" w:lineRule="auto"/>
        <w:ind w:firstLine="420" w:firstLineChars="2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25.3.1响应文件</w:t>
      </w:r>
      <w:r>
        <w:rPr>
          <w:rFonts w:hint="eastAsia" w:ascii="宋体" w:hAnsi="宋体" w:cs="宋体"/>
          <w:color w:val="auto"/>
          <w:sz w:val="21"/>
          <w:szCs w:val="21"/>
          <w:highlight w:val="none"/>
          <w:shd w:val="clear" w:color="auto" w:fill="FFFFFF"/>
        </w:rPr>
        <w:t>初次报价一览表（报价表）内容与响应文件中相应内容不一致的，以初次报价一览表（报价表）为准；</w:t>
      </w:r>
    </w:p>
    <w:p w14:paraId="5739B61C">
      <w:pPr>
        <w:pStyle w:val="31"/>
        <w:shd w:val="clear" w:color="auto"/>
        <w:snapToGrid w:val="0"/>
        <w:spacing w:before="159" w:beforeAutospacing="0" w:after="0" w:afterAutospacing="0" w:line="360" w:lineRule="auto"/>
        <w:ind w:firstLine="420" w:firstLineChars="2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25.3.2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14:paraId="5C0C2FEE">
      <w:pPr>
        <w:pStyle w:val="31"/>
        <w:shd w:val="clear" w:color="auto"/>
        <w:snapToGrid w:val="0"/>
        <w:spacing w:before="159" w:beforeAutospacing="0" w:after="0" w:afterAutospacing="0" w:line="360" w:lineRule="auto"/>
        <w:ind w:firstLine="420" w:firstLineChars="2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25.3.3</w:t>
      </w:r>
      <w:r>
        <w:rPr>
          <w:rFonts w:hint="eastAsia" w:ascii="宋体" w:hAnsi="宋体" w:cs="宋体"/>
          <w:color w:val="auto"/>
          <w:sz w:val="21"/>
          <w:szCs w:val="21"/>
          <w:highlight w:val="none"/>
          <w:shd w:val="clear" w:color="auto" w:fill="FFFFFF"/>
        </w:rPr>
        <w:t>单价金额小数点或者百分比有明显错位的，以初次报价一览表的总价为准，并修改单价；</w:t>
      </w:r>
    </w:p>
    <w:p w14:paraId="5A979C8B">
      <w:pPr>
        <w:pStyle w:val="31"/>
        <w:shd w:val="clear" w:color="auto"/>
        <w:snapToGrid w:val="0"/>
        <w:spacing w:before="159" w:beforeAutospacing="0" w:after="0" w:afterAutospacing="0" w:line="360" w:lineRule="auto"/>
        <w:ind w:firstLine="420" w:firstLineChars="2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25.3.4</w:t>
      </w:r>
      <w:r>
        <w:rPr>
          <w:rFonts w:hint="eastAsia" w:ascii="宋体" w:hAnsi="宋体" w:cs="宋体"/>
          <w:color w:val="auto"/>
          <w:sz w:val="21"/>
          <w:szCs w:val="21"/>
          <w:highlight w:val="none"/>
          <w:shd w:val="clear" w:color="auto" w:fill="FFFFFF"/>
        </w:rPr>
        <w:t>总价金额与按单价汇总金额不一致的，以单价金额计算结果为准。</w:t>
      </w:r>
    </w:p>
    <w:p w14:paraId="055D6D98">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25.3.5对不同文字文本响应文件的解释发生异议的，以中文文本为准。</w:t>
      </w:r>
    </w:p>
    <w:p w14:paraId="6C4225AD">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25.3.6同时出现两种以上不一致的，按照前款规定的顺序修正。修正后的报价按照财政部87号令第五十一条第二款的规定经供应商确认后产生约束力，供应商不确认的，其投标无效。</w:t>
      </w:r>
    </w:p>
    <w:p w14:paraId="40AC464C">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25.4 资格性检查和符合性检查。</w:t>
      </w:r>
    </w:p>
    <w:p w14:paraId="2C11B38B">
      <w:pPr>
        <w:shd w:val="clear"/>
        <w:tabs>
          <w:tab w:val="left" w:pos="0"/>
        </w:tabs>
        <w:snapToGrid w:val="0"/>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kern w:val="0"/>
          <w:szCs w:val="21"/>
          <w:highlight w:val="none"/>
        </w:rPr>
        <w:t>25.4.1</w:t>
      </w:r>
      <w:r>
        <w:rPr>
          <w:rFonts w:hint="eastAsia" w:ascii="宋体" w:hAnsi="宋体" w:cs="宋体"/>
          <w:color w:val="auto"/>
          <w:szCs w:val="21"/>
          <w:highlight w:val="none"/>
        </w:rPr>
        <w:t>资格性检查。依据法规政策和采购文件的规定，在对</w:t>
      </w:r>
      <w:r>
        <w:rPr>
          <w:rFonts w:hint="eastAsia" w:ascii="宋体" w:hAnsi="宋体" w:cs="宋体"/>
          <w:color w:val="auto"/>
          <w:szCs w:val="21"/>
          <w:highlight w:val="none"/>
          <w:shd w:val="clear" w:color="auto" w:fill="FFFFFF"/>
        </w:rPr>
        <w:t>响应文件</w:t>
      </w:r>
      <w:r>
        <w:rPr>
          <w:rFonts w:hint="eastAsia" w:ascii="宋体" w:hAnsi="宋体" w:cs="宋体"/>
          <w:color w:val="auto"/>
          <w:szCs w:val="21"/>
          <w:highlight w:val="none"/>
        </w:rPr>
        <w:t>详细评估之前，采购人将依据供应商提交的</w:t>
      </w:r>
      <w:r>
        <w:rPr>
          <w:rFonts w:hint="eastAsia" w:ascii="宋体" w:hAnsi="宋体" w:cs="宋体"/>
          <w:color w:val="auto"/>
          <w:szCs w:val="21"/>
          <w:highlight w:val="none"/>
          <w:shd w:val="clear" w:color="auto" w:fill="FFFFFF"/>
        </w:rPr>
        <w:t>响应文件</w:t>
      </w:r>
      <w:r>
        <w:rPr>
          <w:rFonts w:hint="eastAsia" w:ascii="宋体" w:hAnsi="宋体" w:cs="宋体"/>
          <w:color w:val="auto"/>
          <w:szCs w:val="21"/>
          <w:highlight w:val="none"/>
        </w:rPr>
        <w:t>按采购公告第二项和采购文件第三章4.供应商应提交的证明文件所述的资格标准对供应商进行资格审查,以确定其是否具备磋商资格。如果供应商不具备磋商资格、不满足采购文件所规定的资格标准或提供资格证明文件不全,其投标将被作为无效磋商。在审查过程中，采购人有权要求供应商按采购文件的规定提供相关资格证明材料的原件以供审查。供应商应在规定的时限内提供。供应商拒不提供的，或者不能在规定时限内提供的，视为其不具备该资格条件。</w:t>
      </w:r>
    </w:p>
    <w:p w14:paraId="3E219E7C">
      <w:pPr>
        <w:shd w:val="clea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25.4.2 资格审查后合格的供应商不足3家的，不得评标。</w:t>
      </w:r>
    </w:p>
    <w:p w14:paraId="2AC9BD5C">
      <w:pPr>
        <w:shd w:val="clea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25.4.3 符合性检查。依据采购文件的规定，磋商小组将从</w:t>
      </w:r>
      <w:r>
        <w:rPr>
          <w:rFonts w:hint="eastAsia" w:ascii="宋体" w:hAnsi="宋体" w:cs="宋体"/>
          <w:color w:val="auto"/>
          <w:szCs w:val="21"/>
          <w:highlight w:val="none"/>
          <w:shd w:val="clear" w:color="auto" w:fill="FFFFFF"/>
        </w:rPr>
        <w:t>响应文件</w:t>
      </w:r>
      <w:r>
        <w:rPr>
          <w:rFonts w:hint="eastAsia" w:ascii="宋体" w:hAnsi="宋体" w:cs="宋体"/>
          <w:color w:val="auto"/>
          <w:kern w:val="0"/>
          <w:szCs w:val="21"/>
          <w:highlight w:val="none"/>
        </w:rPr>
        <w:t>的有效性、完整性和对采购文件的响应程度进行审查，以确定是否符合对采购文件的实质性要求作出响应。对没有实质性响应的响应文件将不进行评估，其投标被作为无效磋商。凡有下列情况之一者，响应文件也将被视为未实质性响应采购文件要求：</w:t>
      </w:r>
    </w:p>
    <w:p w14:paraId="187242BF">
      <w:pPr>
        <w:shd w:val="clear"/>
        <w:tabs>
          <w:tab w:val="left" w:pos="0"/>
        </w:tabs>
        <w:snapToGrid w:val="0"/>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shd w:val="clear" w:color="auto" w:fill="FFFFFF"/>
        </w:rPr>
        <w:t>响应文件</w:t>
      </w:r>
      <w:r>
        <w:rPr>
          <w:rFonts w:hint="eastAsia" w:ascii="宋体" w:hAnsi="宋体" w:cs="宋体"/>
          <w:color w:val="auto"/>
          <w:szCs w:val="21"/>
          <w:highlight w:val="none"/>
        </w:rPr>
        <w:t>未按规定签字、盖章的。</w:t>
      </w:r>
    </w:p>
    <w:p w14:paraId="7277686F">
      <w:pPr>
        <w:shd w:val="clear"/>
        <w:tabs>
          <w:tab w:val="left" w:pos="0"/>
        </w:tabs>
        <w:snapToGrid w:val="0"/>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（2）供应商未能出具有效身份证明，或与身份不符的。</w:t>
      </w:r>
    </w:p>
    <w:p w14:paraId="69EE5C5D">
      <w:pPr>
        <w:shd w:val="clear"/>
        <w:tabs>
          <w:tab w:val="left" w:pos="0"/>
        </w:tabs>
        <w:snapToGrid w:val="0"/>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（3）未按磋商文件规定报价，报价均超过采购预算或最高限价的。</w:t>
      </w:r>
    </w:p>
    <w:p w14:paraId="785A474E">
      <w:pPr>
        <w:shd w:val="clear"/>
        <w:tabs>
          <w:tab w:val="left" w:pos="0"/>
        </w:tabs>
        <w:snapToGrid w:val="0"/>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shd w:val="clear" w:color="auto" w:fill="FFFFFF"/>
        </w:rPr>
        <w:t>响应文件</w:t>
      </w:r>
      <w:r>
        <w:rPr>
          <w:rFonts w:hint="eastAsia" w:ascii="宋体" w:hAnsi="宋体" w:cs="宋体"/>
          <w:color w:val="auto"/>
          <w:szCs w:val="21"/>
          <w:highlight w:val="none"/>
        </w:rPr>
        <w:t>有效期、交货期、质量等不满足采购文件要求的。</w:t>
      </w:r>
    </w:p>
    <w:p w14:paraId="3A6E6E47">
      <w:pPr>
        <w:shd w:val="clear"/>
        <w:tabs>
          <w:tab w:val="left" w:pos="0"/>
        </w:tabs>
        <w:snapToGrid w:val="0"/>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（5）未按采购文件提供的格式填列、项目不齐全或内容虚假的。</w:t>
      </w:r>
    </w:p>
    <w:p w14:paraId="398965D9">
      <w:pPr>
        <w:shd w:val="clear"/>
        <w:tabs>
          <w:tab w:val="left" w:pos="0"/>
        </w:tabs>
        <w:snapToGrid w:val="0"/>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shd w:val="clear" w:color="auto" w:fill="FFFFFF"/>
        </w:rPr>
        <w:t>响应文件</w:t>
      </w:r>
      <w:r>
        <w:rPr>
          <w:rFonts w:hint="eastAsia" w:ascii="宋体" w:hAnsi="宋体" w:cs="宋体"/>
          <w:color w:val="auto"/>
          <w:szCs w:val="21"/>
          <w:highlight w:val="none"/>
        </w:rPr>
        <w:t>的实质性内容未使用中文表述，或意思表述不明确，或前后矛盾，或使用计量单位不符合采购文件要求的。</w:t>
      </w:r>
    </w:p>
    <w:p w14:paraId="6714F751">
      <w:pPr>
        <w:shd w:val="clear"/>
        <w:tabs>
          <w:tab w:val="left" w:pos="0"/>
        </w:tabs>
        <w:snapToGrid w:val="0"/>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shd w:val="clear" w:color="auto" w:fill="FFFFFF"/>
        </w:rPr>
        <w:t>响应文件</w:t>
      </w:r>
      <w:r>
        <w:rPr>
          <w:rFonts w:hint="eastAsia" w:ascii="宋体" w:hAnsi="宋体" w:cs="宋体"/>
          <w:color w:val="auto"/>
          <w:szCs w:val="21"/>
          <w:highlight w:val="none"/>
        </w:rPr>
        <w:t>的关键内容字迹模糊、无法辨认,或</w:t>
      </w:r>
      <w:r>
        <w:rPr>
          <w:rFonts w:hint="eastAsia" w:ascii="宋体" w:hAnsi="宋体" w:cs="宋体"/>
          <w:color w:val="auto"/>
          <w:kern w:val="0"/>
          <w:szCs w:val="21"/>
          <w:highlight w:val="none"/>
        </w:rPr>
        <w:t>响应</w:t>
      </w:r>
      <w:r>
        <w:rPr>
          <w:rFonts w:hint="eastAsia" w:ascii="宋体" w:hAnsi="宋体" w:cs="宋体"/>
          <w:color w:val="auto"/>
          <w:szCs w:val="21"/>
          <w:highlight w:val="none"/>
        </w:rPr>
        <w:t>文件中经修正的内容字迹模糊无法辩认，或修改处未按规定签名盖章的。</w:t>
      </w:r>
    </w:p>
    <w:p w14:paraId="2A60D530">
      <w:pPr>
        <w:shd w:val="clear"/>
        <w:tabs>
          <w:tab w:val="left" w:pos="0"/>
        </w:tabs>
        <w:snapToGrid w:val="0"/>
        <w:spacing w:line="360" w:lineRule="auto"/>
        <w:ind w:firstLine="420" w:firstLineChars="200"/>
        <w:contextualSpacing/>
        <w:jc w:val="left"/>
        <w:rPr>
          <w:rFonts w:hint="eastAsia" w:ascii="宋体" w:hAnsi="宋体" w:cs="宋体"/>
          <w:color w:val="auto"/>
          <w:kern w:val="0"/>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shd w:val="clear" w:color="auto" w:fill="FFFFFF"/>
        </w:rPr>
        <w:t>响应文件</w:t>
      </w:r>
      <w:r>
        <w:rPr>
          <w:rFonts w:hint="eastAsia" w:ascii="宋体" w:hAnsi="宋体" w:cs="宋体"/>
          <w:color w:val="auto"/>
          <w:szCs w:val="21"/>
          <w:highlight w:val="none"/>
        </w:rPr>
        <w:t>内容未按采购文件响应的。</w:t>
      </w:r>
    </w:p>
    <w:p w14:paraId="5FDF6874">
      <w:pPr>
        <w:shd w:val="clear"/>
        <w:tabs>
          <w:tab w:val="left" w:pos="0"/>
        </w:tabs>
        <w:snapToGrid w:val="0"/>
        <w:spacing w:line="360" w:lineRule="auto"/>
        <w:ind w:firstLine="420" w:firstLineChars="200"/>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（9）不符合采购文件中规定的其它实质性条款。</w:t>
      </w:r>
    </w:p>
    <w:p w14:paraId="18B71810">
      <w:pPr>
        <w:shd w:val="clear"/>
        <w:tabs>
          <w:tab w:val="left" w:pos="0"/>
        </w:tabs>
        <w:snapToGrid w:val="0"/>
        <w:spacing w:line="360" w:lineRule="auto"/>
        <w:ind w:firstLine="420" w:firstLineChars="200"/>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磋商小组决定投标的响应性只根据响应文件本身的内容，而不寻求其他的外部证据。</w:t>
      </w:r>
    </w:p>
    <w:p w14:paraId="4322E332">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25.4.4 对资格性检查和符合性检查不合格的供应商，将通过评标系统告知其理由。</w:t>
      </w:r>
    </w:p>
    <w:p w14:paraId="2C72D6A6">
      <w:pPr>
        <w:pStyle w:val="31"/>
        <w:shd w:val="clear"/>
        <w:snapToGrid w:val="0"/>
        <w:spacing w:before="159" w:beforeAutospacing="0" w:after="0" w:afterAutospacing="0" w:line="360" w:lineRule="auto"/>
        <w:ind w:firstLine="420" w:firstLineChars="2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25.5 在评审过程中，磋商小组发现供应商有下列情形之一的，视为供应商串通投标，其磋商无效：</w:t>
      </w:r>
    </w:p>
    <w:p w14:paraId="4CA15DD8">
      <w:pPr>
        <w:shd w:val="clear"/>
        <w:tabs>
          <w:tab w:val="left" w:pos="0"/>
        </w:tabs>
        <w:snapToGrid w:val="0"/>
        <w:spacing w:line="360" w:lineRule="auto"/>
        <w:ind w:left="105" w:leftChars="50" w:firstLine="315" w:firstLineChars="150"/>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25.5.1不同供应商的</w:t>
      </w:r>
      <w:r>
        <w:rPr>
          <w:rFonts w:hint="eastAsia" w:ascii="宋体" w:hAnsi="宋体" w:cs="宋体"/>
          <w:color w:val="auto"/>
          <w:szCs w:val="21"/>
          <w:highlight w:val="none"/>
          <w:shd w:val="clear" w:color="auto" w:fill="FFFFFF"/>
        </w:rPr>
        <w:t>响应文件</w:t>
      </w:r>
      <w:r>
        <w:rPr>
          <w:rFonts w:hint="eastAsia" w:ascii="宋体" w:hAnsi="宋体" w:cs="宋体"/>
          <w:color w:val="auto"/>
          <w:kern w:val="0"/>
          <w:szCs w:val="21"/>
          <w:highlight w:val="none"/>
        </w:rPr>
        <w:t>异常一致。</w:t>
      </w:r>
    </w:p>
    <w:p w14:paraId="659A0281">
      <w:pPr>
        <w:shd w:val="clear"/>
        <w:tabs>
          <w:tab w:val="left" w:pos="0"/>
        </w:tabs>
        <w:snapToGrid w:val="0"/>
        <w:spacing w:line="360" w:lineRule="auto"/>
        <w:ind w:left="105" w:leftChars="50" w:firstLine="315" w:firstLineChars="150"/>
        <w:contextualSpacing/>
        <w:jc w:val="left"/>
        <w:rPr>
          <w:rFonts w:hint="eastAsia" w:ascii="宋体" w:hAnsi="宋体" w:cs="宋体"/>
          <w:color w:val="auto"/>
          <w:szCs w:val="21"/>
          <w:highlight w:val="none"/>
        </w:rPr>
      </w:pPr>
      <w:r>
        <w:rPr>
          <w:rFonts w:hint="eastAsia" w:ascii="宋体" w:hAnsi="宋体" w:cs="宋体"/>
          <w:color w:val="auto"/>
          <w:szCs w:val="21"/>
          <w:highlight w:val="none"/>
        </w:rPr>
        <w:t>25.5.2不同供应商的</w:t>
      </w:r>
      <w:r>
        <w:rPr>
          <w:rFonts w:hint="eastAsia" w:ascii="宋体" w:hAnsi="宋体" w:cs="宋体"/>
          <w:color w:val="auto"/>
          <w:szCs w:val="21"/>
          <w:highlight w:val="none"/>
          <w:shd w:val="clear" w:color="auto" w:fill="FFFFFF"/>
        </w:rPr>
        <w:t>响应文件</w:t>
      </w:r>
      <w:r>
        <w:rPr>
          <w:rFonts w:hint="eastAsia" w:ascii="宋体" w:hAnsi="宋体" w:cs="宋体"/>
          <w:color w:val="auto"/>
          <w:szCs w:val="21"/>
          <w:highlight w:val="none"/>
        </w:rPr>
        <w:t>由同一单位或者个人编制；</w:t>
      </w:r>
    </w:p>
    <w:p w14:paraId="605F034D">
      <w:pPr>
        <w:shd w:val="clear"/>
        <w:tabs>
          <w:tab w:val="left" w:pos="0"/>
        </w:tabs>
        <w:snapToGrid w:val="0"/>
        <w:spacing w:line="360" w:lineRule="auto"/>
        <w:ind w:left="105" w:leftChars="50" w:firstLine="315" w:firstLineChars="150"/>
        <w:contextualSpacing/>
        <w:jc w:val="left"/>
        <w:rPr>
          <w:rFonts w:hint="eastAsia" w:ascii="宋体" w:hAnsi="宋体" w:cs="宋体"/>
          <w:color w:val="auto"/>
          <w:szCs w:val="21"/>
          <w:highlight w:val="none"/>
        </w:rPr>
      </w:pPr>
      <w:r>
        <w:rPr>
          <w:rFonts w:hint="eastAsia" w:ascii="宋体" w:hAnsi="宋体" w:cs="宋体"/>
          <w:color w:val="auto"/>
          <w:szCs w:val="21"/>
          <w:highlight w:val="none"/>
        </w:rPr>
        <w:t>25.5.3不同供应商委托同一单位或者个人办理投标事宜；</w:t>
      </w:r>
    </w:p>
    <w:p w14:paraId="380E8527">
      <w:pPr>
        <w:shd w:val="clear"/>
        <w:tabs>
          <w:tab w:val="left" w:pos="0"/>
        </w:tabs>
        <w:snapToGrid w:val="0"/>
        <w:spacing w:line="360" w:lineRule="auto"/>
        <w:ind w:left="105" w:leftChars="50" w:firstLine="315" w:firstLineChars="150"/>
        <w:contextualSpacing/>
        <w:jc w:val="left"/>
        <w:rPr>
          <w:rFonts w:hint="eastAsia" w:ascii="宋体" w:hAnsi="宋体" w:cs="宋体"/>
          <w:color w:val="auto"/>
          <w:szCs w:val="21"/>
          <w:highlight w:val="none"/>
        </w:rPr>
      </w:pPr>
      <w:r>
        <w:rPr>
          <w:rFonts w:hint="eastAsia" w:ascii="宋体" w:hAnsi="宋体" w:cs="宋体"/>
          <w:color w:val="auto"/>
          <w:szCs w:val="21"/>
          <w:highlight w:val="none"/>
        </w:rPr>
        <w:t>25.5.4不同供应商的</w:t>
      </w:r>
      <w:r>
        <w:rPr>
          <w:rFonts w:hint="eastAsia" w:ascii="宋体" w:hAnsi="宋体" w:cs="宋体"/>
          <w:color w:val="auto"/>
          <w:szCs w:val="21"/>
          <w:highlight w:val="none"/>
          <w:shd w:val="clear" w:color="auto" w:fill="FFFFFF"/>
        </w:rPr>
        <w:t>响应文件</w:t>
      </w:r>
      <w:r>
        <w:rPr>
          <w:rFonts w:hint="eastAsia" w:ascii="宋体" w:hAnsi="宋体" w:cs="宋体"/>
          <w:color w:val="auto"/>
          <w:szCs w:val="21"/>
          <w:highlight w:val="none"/>
        </w:rPr>
        <w:t>载明的项目管理成员或者联系人员为同一人；　　</w:t>
      </w:r>
    </w:p>
    <w:p w14:paraId="2016FD64">
      <w:pPr>
        <w:shd w:val="clear"/>
        <w:tabs>
          <w:tab w:val="left" w:pos="0"/>
        </w:tabs>
        <w:snapToGrid w:val="0"/>
        <w:spacing w:line="360" w:lineRule="auto"/>
        <w:ind w:left="105" w:leftChars="50" w:firstLine="315" w:firstLineChars="150"/>
        <w:contextualSpacing/>
        <w:jc w:val="left"/>
        <w:rPr>
          <w:rFonts w:hint="eastAsia" w:ascii="宋体" w:hAnsi="宋体" w:cs="宋体"/>
          <w:color w:val="auto"/>
          <w:szCs w:val="21"/>
          <w:highlight w:val="none"/>
        </w:rPr>
      </w:pPr>
      <w:r>
        <w:rPr>
          <w:rFonts w:hint="eastAsia" w:ascii="宋体" w:hAnsi="宋体" w:cs="宋体"/>
          <w:color w:val="auto"/>
          <w:szCs w:val="21"/>
          <w:highlight w:val="none"/>
        </w:rPr>
        <w:t>25.5.5不同供应商的</w:t>
      </w:r>
      <w:r>
        <w:rPr>
          <w:rFonts w:hint="eastAsia" w:ascii="宋体" w:hAnsi="宋体" w:cs="宋体"/>
          <w:color w:val="auto"/>
          <w:szCs w:val="21"/>
          <w:highlight w:val="none"/>
          <w:shd w:val="clear" w:color="auto" w:fill="FFFFFF"/>
        </w:rPr>
        <w:t>响应文件</w:t>
      </w:r>
      <w:r>
        <w:rPr>
          <w:rFonts w:hint="eastAsia" w:ascii="宋体" w:hAnsi="宋体" w:cs="宋体"/>
          <w:color w:val="auto"/>
          <w:szCs w:val="21"/>
          <w:highlight w:val="none"/>
        </w:rPr>
        <w:t>相互混装；</w:t>
      </w:r>
    </w:p>
    <w:p w14:paraId="2D039F19">
      <w:pPr>
        <w:shd w:val="clear"/>
        <w:tabs>
          <w:tab w:val="left" w:pos="0"/>
        </w:tabs>
        <w:snapToGrid w:val="0"/>
        <w:spacing w:line="360" w:lineRule="auto"/>
        <w:ind w:left="105" w:leftChars="50" w:firstLine="315" w:firstLineChars="150"/>
        <w:contextualSpacing/>
        <w:jc w:val="left"/>
        <w:rPr>
          <w:rFonts w:hint="eastAsia" w:ascii="宋体" w:hAnsi="宋体" w:cs="宋体"/>
          <w:color w:val="auto"/>
          <w:szCs w:val="21"/>
          <w:highlight w:val="none"/>
        </w:rPr>
      </w:pPr>
      <w:r>
        <w:rPr>
          <w:rFonts w:hint="eastAsia" w:ascii="宋体" w:hAnsi="宋体" w:cs="宋体"/>
          <w:color w:val="auto"/>
          <w:szCs w:val="21"/>
          <w:highlight w:val="none"/>
        </w:rPr>
        <w:t>25.5.6不同供应商的投标保证金从同一单位或者个人的账户转出（若收取）。</w:t>
      </w:r>
    </w:p>
    <w:p w14:paraId="7EFB5DA4">
      <w:pPr>
        <w:shd w:val="clear"/>
        <w:adjustRightInd w:val="0"/>
        <w:snapToGrid w:val="0"/>
        <w:spacing w:line="360" w:lineRule="auto"/>
        <w:ind w:left="19" w:leftChars="9" w:firstLine="399" w:firstLineChars="190"/>
        <w:jc w:val="left"/>
        <w:textAlignment w:val="baseline"/>
        <w:rPr>
          <w:rFonts w:hint="eastAsia" w:ascii="宋体" w:hAnsi="宋体" w:cs="宋体"/>
          <w:color w:val="auto"/>
          <w:szCs w:val="21"/>
          <w:highlight w:val="none"/>
        </w:rPr>
      </w:pPr>
      <w:r>
        <w:rPr>
          <w:rFonts w:hint="eastAsia" w:ascii="宋体" w:hAnsi="宋体" w:cs="宋体"/>
          <w:color w:val="auto"/>
          <w:kern w:val="0"/>
          <w:szCs w:val="21"/>
          <w:highlight w:val="none"/>
        </w:rPr>
        <w:t>25.5.7 有证据证明供应商串通投标的其他情形的；</w:t>
      </w:r>
    </w:p>
    <w:p w14:paraId="0C445B6F">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25.5.8 不同供应商的</w:t>
      </w:r>
      <w:r>
        <w:rPr>
          <w:rFonts w:hint="eastAsia" w:ascii="宋体" w:hAnsi="宋体" w:cs="宋体"/>
          <w:color w:val="auto"/>
          <w:szCs w:val="21"/>
          <w:highlight w:val="none"/>
          <w:shd w:val="clear" w:color="auto" w:fill="FFFFFF"/>
        </w:rPr>
        <w:t>响应文件</w:t>
      </w:r>
      <w:r>
        <w:rPr>
          <w:rFonts w:hint="eastAsia" w:ascii="宋体" w:hAnsi="宋体" w:cs="宋体"/>
          <w:color w:val="auto"/>
          <w:kern w:val="0"/>
          <w:szCs w:val="21"/>
          <w:highlight w:val="none"/>
        </w:rPr>
        <w:t>制作机器码一致；</w:t>
      </w:r>
    </w:p>
    <w:p w14:paraId="357478BB">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25.5.9 磋商小组认定的其他串通投标情形。</w:t>
      </w:r>
    </w:p>
    <w:p w14:paraId="42C3E08A">
      <w:pPr>
        <w:keepNext w:val="0"/>
        <w:keepLines w:val="0"/>
        <w:pageBreakBefore w:val="0"/>
        <w:widowControl w:val="0"/>
        <w:shd w:val="clear"/>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25.6 磋商</w:t>
      </w:r>
    </w:p>
    <w:p w14:paraId="64E8A3AB">
      <w:pPr>
        <w:keepNext w:val="0"/>
        <w:keepLines w:val="0"/>
        <w:pageBreakBefore w:val="0"/>
        <w:widowControl w:val="0"/>
        <w:shd w:val="clear"/>
        <w:kinsoku/>
        <w:wordWrap/>
        <w:overflowPunct/>
        <w:topLinePunct w:val="0"/>
        <w:bidi w:val="0"/>
        <w:adjustRightInd w:val="0"/>
        <w:snapToGrid w:val="0"/>
        <w:spacing w:line="360" w:lineRule="auto"/>
        <w:ind w:left="19" w:leftChars="9" w:firstLine="401" w:firstLineChars="190"/>
        <w:jc w:val="left"/>
        <w:textAlignment w:val="baseline"/>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对资格性检查和符合性检查合格的供应商，进入本次磋商程序。</w:t>
      </w:r>
    </w:p>
    <w:p w14:paraId="23E8D315">
      <w:pPr>
        <w:keepNext w:val="0"/>
        <w:keepLines w:val="0"/>
        <w:pageBreakBefore w:val="0"/>
        <w:widowControl w:val="0"/>
        <w:shd w:val="clear"/>
        <w:kinsoku/>
        <w:wordWrap/>
        <w:overflowPunct/>
        <w:topLinePunct w:val="0"/>
        <w:bidi w:val="0"/>
        <w:adjustRightInd w:val="0"/>
        <w:snapToGrid w:val="0"/>
        <w:spacing w:line="360" w:lineRule="auto"/>
        <w:ind w:left="19" w:leftChars="9" w:firstLine="401" w:firstLineChars="190"/>
        <w:jc w:val="left"/>
        <w:textAlignment w:val="baseline"/>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 xml:space="preserve">25.6.1 </w:t>
      </w:r>
      <w:r>
        <w:rPr>
          <w:rFonts w:hint="eastAsia" w:ascii="宋体" w:hAnsi="宋体" w:eastAsia="宋体" w:cs="宋体"/>
          <w:b/>
          <w:bCs/>
          <w:color w:val="auto"/>
          <w:kern w:val="0"/>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48920362">
      <w:pPr>
        <w:keepNext w:val="0"/>
        <w:keepLines w:val="0"/>
        <w:pageBreakBefore w:val="0"/>
        <w:widowControl w:val="0"/>
        <w:shd w:val="clear"/>
        <w:kinsoku/>
        <w:wordWrap/>
        <w:overflowPunct/>
        <w:topLinePunct w:val="0"/>
        <w:bidi w:val="0"/>
        <w:adjustRightInd w:val="0"/>
        <w:snapToGrid w:val="0"/>
        <w:spacing w:line="360" w:lineRule="auto"/>
        <w:ind w:left="19" w:leftChars="9" w:firstLine="401" w:firstLineChars="190"/>
        <w:jc w:val="left"/>
        <w:textAlignment w:val="baseline"/>
        <w:rPr>
          <w:rFonts w:hint="eastAsia" w:ascii="宋体" w:hAnsi="宋体" w:cs="宋体"/>
          <w:color w:val="auto"/>
          <w:kern w:val="0"/>
          <w:szCs w:val="21"/>
          <w:highlight w:val="none"/>
        </w:rPr>
      </w:pPr>
      <w:r>
        <w:rPr>
          <w:rFonts w:hint="eastAsia" w:ascii="宋体" w:hAnsi="宋体" w:eastAsia="宋体" w:cs="宋体"/>
          <w:b/>
          <w:bCs/>
          <w:color w:val="auto"/>
          <w:kern w:val="0"/>
          <w:szCs w:val="21"/>
          <w:highlight w:val="none"/>
          <w:lang w:val="en-US" w:eastAsia="zh-CN"/>
        </w:rPr>
        <w:t>25.6.2 本次竞争性磋商进行</w:t>
      </w:r>
      <w:r>
        <w:rPr>
          <w:rFonts w:hint="eastAsia" w:ascii="宋体" w:hAnsi="宋体" w:eastAsia="宋体" w:cs="宋体"/>
          <w:b/>
          <w:bCs/>
          <w:color w:val="auto"/>
          <w:kern w:val="0"/>
          <w:szCs w:val="21"/>
          <w:highlight w:val="none"/>
          <w:u w:val="single"/>
          <w:lang w:val="en-US" w:eastAsia="zh-CN"/>
        </w:rPr>
        <w:t xml:space="preserve"> 多</w:t>
      </w:r>
      <w:r>
        <w:rPr>
          <w:rFonts w:hint="eastAsia" w:ascii="宋体" w:hAnsi="宋体" w:cs="宋体"/>
          <w:b/>
          <w:bCs/>
          <w:color w:val="auto"/>
          <w:kern w:val="0"/>
          <w:szCs w:val="21"/>
          <w:highlight w:val="none"/>
          <w:u w:val="single"/>
          <w:lang w:val="en-US" w:eastAsia="zh-CN"/>
        </w:rPr>
        <w:t xml:space="preserve"> </w:t>
      </w:r>
      <w:r>
        <w:rPr>
          <w:rFonts w:hint="eastAsia" w:ascii="宋体" w:hAnsi="宋体" w:eastAsia="宋体" w:cs="宋体"/>
          <w:b/>
          <w:bCs/>
          <w:color w:val="auto"/>
          <w:kern w:val="0"/>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50487BBE">
      <w:pPr>
        <w:shd w:val="clear"/>
        <w:snapToGrid w:val="0"/>
        <w:spacing w:line="360" w:lineRule="auto"/>
        <w:ind w:firstLine="422" w:firstLineChars="20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26. 响应文件的澄清</w:t>
      </w:r>
    </w:p>
    <w:p w14:paraId="07C011C0">
      <w:pPr>
        <w:shd w:val="clea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对响应文件中含义不明确、同类问题表述不一致或者有明显文字和计算错误的内容，磋商小组可以书面形式要求供应商作出必要的澄清。供应商的澄清应当在磋商小组规定的时间内以书面形式作出，由其供应商代表签字。但澄清事项不得超出响应文件的范围，不得实质性改变响应文件的内容，不得通过澄清等方式对供应商实行差别对待。磋商小组不得接受供应商主动提出的澄清和解释。</w:t>
      </w:r>
    </w:p>
    <w:p w14:paraId="6E75B18A">
      <w:pPr>
        <w:shd w:val="clear"/>
        <w:snapToGrid w:val="0"/>
        <w:spacing w:line="360" w:lineRule="auto"/>
        <w:ind w:firstLine="422" w:firstLineChars="200"/>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27. 比较与评价</w:t>
      </w:r>
    </w:p>
    <w:p w14:paraId="3428DD37">
      <w:pPr>
        <w:pStyle w:val="31"/>
        <w:shd w:val="clear"/>
        <w:snapToGrid w:val="0"/>
        <w:spacing w:before="159" w:beforeAutospacing="0" w:after="0" w:afterAutospacing="0" w:line="360" w:lineRule="auto"/>
        <w:ind w:firstLine="420" w:firstLineChars="2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27.1 磋商小组将按本采购文件规定的评标方法与标准，对资格性检查和符合性检查合格的</w:t>
      </w:r>
      <w:r>
        <w:rPr>
          <w:rFonts w:hint="eastAsia" w:ascii="宋体" w:hAnsi="宋体" w:cs="宋体"/>
          <w:color w:val="auto"/>
          <w:sz w:val="21"/>
          <w:szCs w:val="21"/>
          <w:highlight w:val="none"/>
          <w:shd w:val="clear" w:color="auto" w:fill="FFFFFF"/>
        </w:rPr>
        <w:t>响应文件</w:t>
      </w:r>
      <w:r>
        <w:rPr>
          <w:rFonts w:hint="eastAsia" w:ascii="宋体" w:hAnsi="宋体" w:cs="宋体"/>
          <w:color w:val="auto"/>
          <w:sz w:val="21"/>
          <w:szCs w:val="21"/>
          <w:highlight w:val="none"/>
        </w:rPr>
        <w:t>进行商务和技术评估，综合比较与评价。</w:t>
      </w:r>
    </w:p>
    <w:p w14:paraId="1EBB57FB">
      <w:pPr>
        <w:pStyle w:val="31"/>
        <w:shd w:val="clear"/>
        <w:snapToGrid w:val="0"/>
        <w:spacing w:before="159" w:beforeAutospacing="0" w:after="0" w:afterAutospacing="0" w:line="360" w:lineRule="auto"/>
        <w:ind w:firstLine="420" w:firstLineChars="2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27.2对漏（缺）报项的处理：竞争性磋商文件中要求列入报价的费用，漏（缺）报的视同已含在投标总价中。</w:t>
      </w:r>
    </w:p>
    <w:p w14:paraId="142AF939">
      <w:pPr>
        <w:pStyle w:val="31"/>
        <w:shd w:val="clear"/>
        <w:snapToGrid w:val="0"/>
        <w:spacing w:before="159" w:beforeAutospacing="0" w:after="0" w:afterAutospacing="0" w:line="360" w:lineRule="auto"/>
        <w:ind w:firstLine="420" w:firstLineChars="200"/>
        <w:jc w:val="both"/>
        <w:rPr>
          <w:rFonts w:hint="eastAsia" w:ascii="宋体" w:hAnsi="宋体" w:cs="宋体"/>
          <w:b/>
          <w:bCs/>
          <w:color w:val="auto"/>
          <w:sz w:val="21"/>
          <w:szCs w:val="21"/>
          <w:highlight w:val="none"/>
        </w:rPr>
      </w:pPr>
      <w:r>
        <w:rPr>
          <w:rFonts w:hint="eastAsia" w:ascii="宋体" w:hAnsi="宋体" w:cs="宋体"/>
          <w:color w:val="auto"/>
          <w:sz w:val="21"/>
          <w:szCs w:val="21"/>
          <w:highlight w:val="none"/>
        </w:rPr>
        <w:t>27.3磋商小组认为供应商的报价明显低于其他通过符合性审查供应商的报价，有可能影响服务质量或者不能诚信履约的，应当要求其在评标现场合理的时间内提供书面说明，必要时提交相关证明材料；供应商不能证明其报价合理性的，磋商小组应当将其作为无效投标处理。</w:t>
      </w:r>
    </w:p>
    <w:p w14:paraId="4FA7CCA8">
      <w:pPr>
        <w:shd w:val="clear"/>
        <w:snapToGrid w:val="0"/>
        <w:spacing w:line="360" w:lineRule="auto"/>
        <w:ind w:firstLine="422" w:firstLineChars="20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28. 评标过程及保密原则</w:t>
      </w:r>
    </w:p>
    <w:p w14:paraId="736337C6">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28.1 凡与本次采购有关人员对属于审查、澄清、评价和比较磋商的有关资料以及定标意向等，均不得向供应商或其他人员透露。否则,将按有关规定追究相关人员的责任。</w:t>
      </w:r>
    </w:p>
    <w:p w14:paraId="405F929A">
      <w:pPr>
        <w:shd w:val="clea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28.2 在评标期间，供应商试图影响或干预评审的任何行为，将导致其磋商被作为无效磋商，并承担相应的法律责任。</w:t>
      </w:r>
    </w:p>
    <w:p w14:paraId="2D87F889">
      <w:pPr>
        <w:shd w:val="clear"/>
        <w:snapToGrid w:val="0"/>
        <w:spacing w:line="360" w:lineRule="auto"/>
        <w:ind w:firstLine="422" w:firstLineChars="20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29.评标异议登记</w:t>
      </w:r>
    </w:p>
    <w:p w14:paraId="54566A66">
      <w:pPr>
        <w:shd w:val="clear"/>
        <w:snapToGrid w:val="0"/>
        <w:spacing w:line="360" w:lineRule="auto"/>
        <w:ind w:firstLine="420" w:firstLineChars="200"/>
        <w:jc w:val="left"/>
        <w:rPr>
          <w:rFonts w:hint="eastAsia"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14:paraId="123CA19A">
      <w:pPr>
        <w:shd w:val="clear"/>
        <w:snapToGrid w:val="0"/>
        <w:spacing w:line="360" w:lineRule="auto"/>
        <w:jc w:val="center"/>
        <w:outlineLvl w:val="1"/>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六、定标</w:t>
      </w:r>
    </w:p>
    <w:p w14:paraId="3B103C8E">
      <w:pPr>
        <w:shd w:val="clear"/>
        <w:snapToGrid w:val="0"/>
        <w:spacing w:line="360" w:lineRule="auto"/>
        <w:ind w:firstLine="422" w:firstLineChars="200"/>
        <w:rPr>
          <w:rFonts w:hint="eastAsia" w:ascii="宋体" w:hAnsi="宋体" w:cs="宋体"/>
          <w:color w:val="auto"/>
          <w:kern w:val="0"/>
          <w:szCs w:val="21"/>
          <w:highlight w:val="none"/>
        </w:rPr>
      </w:pPr>
      <w:r>
        <w:rPr>
          <w:rFonts w:hint="eastAsia" w:ascii="宋体" w:hAnsi="宋体" w:cs="宋体"/>
          <w:b/>
          <w:bCs/>
          <w:color w:val="auto"/>
          <w:kern w:val="0"/>
          <w:szCs w:val="21"/>
          <w:highlight w:val="none"/>
        </w:rPr>
        <w:t>30. 定标原则</w:t>
      </w:r>
    </w:p>
    <w:p w14:paraId="78EFE27B">
      <w:pPr>
        <w:shd w:val="clear"/>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30.1 最低投标价不作为成交的保证。</w:t>
      </w:r>
    </w:p>
    <w:p w14:paraId="25D09327">
      <w:pPr>
        <w:shd w:val="clear"/>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30.2 确定实质上响应采购文件且满足下列条件的为成交候选供应商（或成交供应商）</w:t>
      </w:r>
    </w:p>
    <w:p w14:paraId="4DAA0C6B">
      <w:pPr>
        <w:shd w:val="clear"/>
        <w:snapToGrid w:val="0"/>
        <w:spacing w:line="360" w:lineRule="auto"/>
        <w:ind w:firstLine="420" w:firstLineChars="200"/>
        <w:rPr>
          <w:rFonts w:hint="eastAsia" w:ascii="宋体" w:hAnsi="宋体" w:cs="宋体"/>
          <w:color w:val="auto"/>
          <w:szCs w:val="21"/>
          <w:highlight w:val="none"/>
        </w:rPr>
      </w:pPr>
      <w:bookmarkStart w:id="47" w:name="_Toc32200"/>
      <w:r>
        <w:rPr>
          <w:rFonts w:hint="eastAsia" w:ascii="宋体" w:hAnsi="宋体" w:cs="宋体"/>
          <w:bCs/>
          <w:color w:val="auto"/>
          <w:kern w:val="0"/>
          <w:szCs w:val="21"/>
          <w:highlight w:val="none"/>
        </w:rPr>
        <w:t>30.2.1</w:t>
      </w:r>
      <w:bookmarkEnd w:id="47"/>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综合评分法，是指响应文件满足采购文件全部实质性要求，且按照评审因素的量化指标评审得分最高的供应商为成交供应商的评标方法。</w:t>
      </w:r>
    </w:p>
    <w:p w14:paraId="0FAB4921">
      <w:pPr>
        <w:shd w:val="clea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w:t>
      </w:r>
      <w:r>
        <w:rPr>
          <w:rFonts w:hint="eastAsia" w:ascii="宋体" w:hAnsi="宋体" w:cs="宋体"/>
          <w:color w:val="auto"/>
          <w:szCs w:val="21"/>
          <w:highlight w:val="none"/>
          <w:shd w:val="clear" w:color="auto" w:fill="FFFFFF"/>
        </w:rPr>
        <w:t>响应文件</w:t>
      </w:r>
      <w:r>
        <w:rPr>
          <w:rFonts w:hint="eastAsia" w:ascii="宋体" w:hAnsi="宋体" w:cs="宋体"/>
          <w:color w:val="auto"/>
          <w:szCs w:val="21"/>
          <w:highlight w:val="none"/>
        </w:rPr>
        <w:t>满足采购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39212BD0">
      <w:pPr>
        <w:shd w:val="clear"/>
        <w:snapToGrid w:val="0"/>
        <w:spacing w:line="360" w:lineRule="auto"/>
        <w:ind w:firstLine="422" w:firstLineChars="200"/>
        <w:rPr>
          <w:rFonts w:hint="eastAsia" w:ascii="宋体" w:hAnsi="宋体" w:cs="宋体"/>
          <w:color w:val="auto"/>
          <w:kern w:val="0"/>
          <w:szCs w:val="21"/>
          <w:highlight w:val="none"/>
        </w:rPr>
      </w:pPr>
      <w:r>
        <w:rPr>
          <w:rFonts w:hint="eastAsia" w:ascii="宋体" w:hAnsi="宋体" w:cs="宋体"/>
          <w:b/>
          <w:bCs/>
          <w:color w:val="auto"/>
          <w:kern w:val="0"/>
          <w:szCs w:val="21"/>
          <w:highlight w:val="none"/>
        </w:rPr>
        <w:t>31. 确定成交供应商和成交候选供应商</w:t>
      </w:r>
    </w:p>
    <w:p w14:paraId="489AA693">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bCs/>
          <w:color w:val="auto"/>
          <w:kern w:val="0"/>
          <w:szCs w:val="21"/>
          <w:highlight w:val="none"/>
        </w:rPr>
        <w:t>本项目由采购人授权磋商小组确定一名成交供应商并推荐一名成交候选供应商</w:t>
      </w:r>
      <w:r>
        <w:rPr>
          <w:rFonts w:hint="eastAsia" w:ascii="宋体" w:hAnsi="宋体" w:cs="宋体"/>
          <w:color w:val="auto"/>
          <w:kern w:val="0"/>
          <w:szCs w:val="21"/>
          <w:highlight w:val="none"/>
        </w:rPr>
        <w:t>。</w:t>
      </w:r>
    </w:p>
    <w:p w14:paraId="6FF53156">
      <w:pPr>
        <w:shd w:val="clear"/>
        <w:snapToGrid w:val="0"/>
        <w:spacing w:line="360" w:lineRule="auto"/>
        <w:ind w:firstLine="422"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32. 成交通知书及成交结果公告</w:t>
      </w:r>
    </w:p>
    <w:p w14:paraId="2C72AB93">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32.1评审结束后，采购人将成交供应商的情况在本采购项目采购公告发布的同一媒介予以公示，公示期限3个工作日，公示期结束后向成交供应商发出成交通知书。</w:t>
      </w:r>
    </w:p>
    <w:p w14:paraId="462CFFA4">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32.2成交供应商在规定的时间内不领取成交通知书的，视为成交后自动放弃成交资格；成交供应商在有效报价中报价最低,非不可抗力放弃成交资格的。发生上述情况的承担由此引起的一切后果。</w:t>
      </w:r>
    </w:p>
    <w:p w14:paraId="47581D3B">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32.3成交通知书对采购人和成交供应商具有同等法律效力。成交通知书发出后，采购人改变成交结果，或者成交供应商放弃成交，应按相关法律、规章、规范性文件的要求承担相应的法律责任。</w:t>
      </w:r>
    </w:p>
    <w:p w14:paraId="1A66346E">
      <w:pPr>
        <w:shd w:val="clear"/>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color w:val="auto"/>
          <w:kern w:val="0"/>
          <w:szCs w:val="21"/>
          <w:highlight w:val="none"/>
        </w:rPr>
        <w:t>32</w:t>
      </w:r>
      <w:r>
        <w:rPr>
          <w:rFonts w:hint="eastAsia" w:ascii="宋体" w:hAnsi="宋体" w:cs="宋体"/>
          <w:bCs/>
          <w:color w:val="auto"/>
          <w:kern w:val="0"/>
          <w:szCs w:val="21"/>
          <w:highlight w:val="none"/>
        </w:rPr>
        <w:t>.4成交通知书将作为签订合同的依据。合同签订后，成交通知书成为合同的一部分。</w:t>
      </w:r>
    </w:p>
    <w:p w14:paraId="5DF62B30">
      <w:pPr>
        <w:shd w:val="clear"/>
        <w:snapToGrid w:val="0"/>
        <w:spacing w:line="360" w:lineRule="auto"/>
        <w:ind w:firstLine="422"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33. 采购人宣布废标的权利</w:t>
      </w:r>
    </w:p>
    <w:p w14:paraId="47E3B85D">
      <w:pPr>
        <w:shd w:val="clear"/>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33.1出现下列情况之一时，采购人有权宣布废标，并将理由通知所有供应商：</w:t>
      </w:r>
    </w:p>
    <w:p w14:paraId="06249F28">
      <w:pPr>
        <w:shd w:val="clear"/>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33.1.1出现影响采购公正的违法、违规行为的。</w:t>
      </w:r>
    </w:p>
    <w:p w14:paraId="45FA6D11">
      <w:pPr>
        <w:shd w:val="clear"/>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33.1.2供应商的报价均超过了采购预算金额，采购人不能支付的。</w:t>
      </w:r>
    </w:p>
    <w:p w14:paraId="3336ED1C">
      <w:pPr>
        <w:shd w:val="clear"/>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33.1.3因重大变故，采购任务取消的。</w:t>
      </w:r>
    </w:p>
    <w:p w14:paraId="5D330D08">
      <w:pPr>
        <w:shd w:val="clear"/>
        <w:snapToGrid w:val="0"/>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kern w:val="0"/>
          <w:szCs w:val="21"/>
          <w:highlight w:val="none"/>
        </w:rPr>
        <w:t>33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投标截止后供应商不足3家或通过资格性检查或符合性检查的供应商不足3家的，除采购任务取消情形外，按照以下方式处理：</w:t>
      </w:r>
    </w:p>
    <w:p w14:paraId="0A87DF26">
      <w:pPr>
        <w:numPr>
          <w:ilvl w:val="0"/>
          <w:numId w:val="2"/>
        </w:numPr>
        <w:shd w:val="clea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采购文件存在不合理条款或者招标程序不符合规定的，采购人正后依法重新招标；　</w:t>
      </w:r>
    </w:p>
    <w:p w14:paraId="19887638">
      <w:pPr>
        <w:shd w:val="clear"/>
        <w:snapToGrid w:val="0"/>
        <w:spacing w:line="360" w:lineRule="auto"/>
        <w:ind w:firstLine="420" w:firstLineChars="200"/>
        <w:rPr>
          <w:rFonts w:hint="eastAsia" w:ascii="宋体" w:hAnsi="宋体" w:cs="宋体"/>
          <w:b/>
          <w:color w:val="auto"/>
          <w:kern w:val="0"/>
          <w:sz w:val="52"/>
          <w:szCs w:val="52"/>
          <w:highlight w:val="none"/>
        </w:rPr>
      </w:pPr>
      <w:r>
        <w:rPr>
          <w:rFonts w:hint="eastAsia" w:ascii="宋体" w:hAnsi="宋体" w:cs="宋体"/>
          <w:color w:val="auto"/>
          <w:szCs w:val="21"/>
          <w:highlight w:val="none"/>
        </w:rPr>
        <w:t>（2）采购文件没有不合理条款、招标程序符合规定，需要采用其他采购方式采购的，采购人应当依法报财政部门批准。</w:t>
      </w:r>
    </w:p>
    <w:p w14:paraId="232C0BC7">
      <w:pPr>
        <w:shd w:val="clear"/>
        <w:snapToGrid w:val="0"/>
        <w:spacing w:line="360" w:lineRule="auto"/>
        <w:jc w:val="center"/>
        <w:outlineLvl w:val="1"/>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七、合同授予</w:t>
      </w:r>
    </w:p>
    <w:p w14:paraId="6BCC8511">
      <w:pPr>
        <w:shd w:val="clear"/>
        <w:snapToGrid w:val="0"/>
        <w:spacing w:line="360" w:lineRule="auto"/>
        <w:ind w:firstLine="472" w:firstLineChars="224"/>
        <w:rPr>
          <w:rFonts w:hint="eastAsia" w:ascii="宋体" w:hAnsi="宋体" w:cs="宋体"/>
          <w:color w:val="auto"/>
          <w:kern w:val="0"/>
          <w:szCs w:val="21"/>
          <w:highlight w:val="none"/>
        </w:rPr>
      </w:pPr>
      <w:r>
        <w:rPr>
          <w:rFonts w:hint="eastAsia" w:ascii="宋体" w:hAnsi="宋体" w:cs="宋体"/>
          <w:b/>
          <w:bCs/>
          <w:color w:val="auto"/>
          <w:kern w:val="0"/>
          <w:szCs w:val="21"/>
          <w:highlight w:val="none"/>
        </w:rPr>
        <w:t>34.合同签订</w:t>
      </w:r>
    </w:p>
    <w:p w14:paraId="2019CAB9">
      <w:pPr>
        <w:shd w:val="clear"/>
        <w:snapToGrid w:val="0"/>
        <w:spacing w:line="360" w:lineRule="auto"/>
        <w:ind w:firstLine="420" w:firstLineChars="200"/>
        <w:jc w:val="left"/>
        <w:rPr>
          <w:rFonts w:hint="eastAsia" w:ascii="宋体" w:hAnsi="宋体" w:cs="宋体"/>
          <w:color w:val="auto"/>
          <w:kern w:val="0"/>
          <w:szCs w:val="21"/>
          <w:highlight w:val="none"/>
          <w:u w:val="single"/>
        </w:rPr>
      </w:pPr>
      <w:bookmarkStart w:id="48" w:name="_Toc8594"/>
      <w:r>
        <w:rPr>
          <w:rFonts w:hint="eastAsia" w:ascii="宋体" w:hAnsi="宋体" w:cs="宋体"/>
          <w:color w:val="auto"/>
          <w:kern w:val="0"/>
          <w:szCs w:val="21"/>
          <w:highlight w:val="none"/>
        </w:rPr>
        <w:t>34.1 采购人、成交供应商自成交通知书发出之日起，在采购文件第三章《供应商须知前附表》规定的时间内，根据采购文件确定的事项和成交供应商</w:t>
      </w:r>
      <w:r>
        <w:rPr>
          <w:rFonts w:hint="eastAsia" w:ascii="宋体" w:hAnsi="宋体" w:cs="宋体"/>
          <w:color w:val="auto"/>
          <w:szCs w:val="21"/>
          <w:highlight w:val="none"/>
          <w:shd w:val="clear" w:color="auto" w:fill="FFFFFF"/>
        </w:rPr>
        <w:t>响应文件</w:t>
      </w:r>
      <w:r>
        <w:rPr>
          <w:rFonts w:hint="eastAsia" w:ascii="宋体" w:hAnsi="宋体" w:cs="宋体"/>
          <w:color w:val="auto"/>
          <w:kern w:val="0"/>
          <w:szCs w:val="21"/>
          <w:highlight w:val="none"/>
        </w:rPr>
        <w:t>签订合同。双方所签订的合同不得对采购文件和成交供应商</w:t>
      </w:r>
      <w:r>
        <w:rPr>
          <w:rFonts w:hint="eastAsia" w:ascii="宋体" w:hAnsi="宋体" w:cs="宋体"/>
          <w:color w:val="auto"/>
          <w:szCs w:val="21"/>
          <w:highlight w:val="none"/>
          <w:shd w:val="clear" w:color="auto" w:fill="FFFFFF"/>
        </w:rPr>
        <w:t>响应文件</w:t>
      </w:r>
      <w:r>
        <w:rPr>
          <w:rFonts w:hint="eastAsia" w:ascii="宋体" w:hAnsi="宋体" w:cs="宋体"/>
          <w:color w:val="auto"/>
          <w:kern w:val="0"/>
          <w:szCs w:val="21"/>
          <w:highlight w:val="none"/>
        </w:rPr>
        <w:t>作实质性修改。</w:t>
      </w:r>
    </w:p>
    <w:p w14:paraId="1882E444">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34.2 采购文件、采购文件的修改文件、成交供应商的</w:t>
      </w:r>
      <w:r>
        <w:rPr>
          <w:rFonts w:hint="eastAsia" w:ascii="宋体" w:hAnsi="宋体" w:cs="宋体"/>
          <w:color w:val="auto"/>
          <w:szCs w:val="21"/>
          <w:highlight w:val="none"/>
          <w:shd w:val="clear" w:color="auto" w:fill="FFFFFF"/>
        </w:rPr>
        <w:t>响应文件</w:t>
      </w:r>
      <w:r>
        <w:rPr>
          <w:rFonts w:hint="eastAsia" w:ascii="宋体" w:hAnsi="宋体" w:cs="宋体"/>
          <w:color w:val="auto"/>
          <w:kern w:val="0"/>
          <w:szCs w:val="21"/>
          <w:highlight w:val="none"/>
        </w:rPr>
        <w:t>、补充或修改的文件及澄清或承诺文件等，均为双方签订合同的组成部分，并与合同一并作为本采购文件所列采购项目的互补性法律文件，与合同具有同等法律效力。</w:t>
      </w:r>
    </w:p>
    <w:p w14:paraId="707BBBFF">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34.3 成交供应商放弃成交、因不可抗力不能履行合同、不按照采购文件要求提交履约保证金，或者被查实存在影响成交结果的违法行为等情形，不符合成交条件的，采购人可以按照磋商小组提出的成交候选供应商名单排序依次确定其他成交候选供应商为成交供应商，也可以重新招标。</w:t>
      </w:r>
    </w:p>
    <w:bookmarkEnd w:id="48"/>
    <w:p w14:paraId="55E827C9">
      <w:pPr>
        <w:shd w:val="clear"/>
        <w:rPr>
          <w:rFonts w:hint="eastAsia" w:ascii="宋体" w:hAnsi="宋体" w:cs="宋体"/>
          <w:b/>
          <w:bCs/>
          <w:color w:val="auto"/>
          <w:kern w:val="0"/>
          <w:sz w:val="32"/>
          <w:szCs w:val="32"/>
          <w:highlight w:val="none"/>
        </w:rPr>
      </w:pPr>
      <w:bookmarkStart w:id="49" w:name="_Toc31399"/>
      <w:r>
        <w:rPr>
          <w:rFonts w:hint="eastAsia" w:ascii="宋体" w:hAnsi="宋体" w:cs="宋体"/>
          <w:b/>
          <w:bCs/>
          <w:color w:val="auto"/>
          <w:kern w:val="0"/>
          <w:sz w:val="32"/>
          <w:szCs w:val="32"/>
          <w:highlight w:val="none"/>
        </w:rPr>
        <w:br w:type="page"/>
      </w:r>
    </w:p>
    <w:p w14:paraId="464B377D">
      <w:pPr>
        <w:shd w:val="clear"/>
        <w:ind w:firstLine="1928" w:firstLineChars="600"/>
        <w:rPr>
          <w:rFonts w:hint="eastAsia" w:ascii="宋体" w:hAnsi="宋体" w:cs="宋体"/>
          <w:color w:val="auto"/>
          <w:kern w:val="0"/>
          <w:sz w:val="24"/>
          <w:highlight w:val="none"/>
        </w:rPr>
      </w:pPr>
      <w:r>
        <w:rPr>
          <w:rFonts w:hint="eastAsia" w:ascii="宋体" w:hAnsi="宋体" w:cs="宋体"/>
          <w:b/>
          <w:bCs/>
          <w:color w:val="auto"/>
          <w:kern w:val="0"/>
          <w:sz w:val="32"/>
          <w:szCs w:val="32"/>
          <w:highlight w:val="none"/>
        </w:rPr>
        <w:t>第四章  评标办法及评分标准</w:t>
      </w:r>
      <w:bookmarkEnd w:id="45"/>
      <w:bookmarkEnd w:id="49"/>
    </w:p>
    <w:p w14:paraId="4E9C9EB6">
      <w:pPr>
        <w:shd w:val="clear"/>
        <w:rPr>
          <w:rFonts w:hint="eastAsia" w:ascii="宋体" w:hAnsi="宋体" w:cs="宋体"/>
          <w:color w:val="auto"/>
          <w:highlight w:val="none"/>
        </w:rPr>
      </w:pPr>
    </w:p>
    <w:p w14:paraId="69817FF6">
      <w:pPr>
        <w:shd w:val="clear"/>
        <w:tabs>
          <w:tab w:val="left" w:pos="1620"/>
        </w:tabs>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（一）评标原则</w:t>
      </w:r>
    </w:p>
    <w:p w14:paraId="2816E406">
      <w:pPr>
        <w:shd w:val="clear"/>
        <w:tabs>
          <w:tab w:val="left" w:pos="1620"/>
        </w:tabs>
        <w:snapToGrid w:val="0"/>
        <w:spacing w:line="360" w:lineRule="auto"/>
        <w:ind w:firstLine="462" w:firstLineChars="220"/>
        <w:rPr>
          <w:rFonts w:hint="eastAsia" w:ascii="宋体" w:hAnsi="宋体" w:cs="宋体"/>
          <w:color w:val="auto"/>
          <w:szCs w:val="21"/>
          <w:highlight w:val="none"/>
        </w:rPr>
      </w:pPr>
      <w:r>
        <w:rPr>
          <w:rFonts w:hint="eastAsia" w:ascii="宋体" w:hAnsi="宋体" w:cs="宋体"/>
          <w:color w:val="auto"/>
          <w:szCs w:val="21"/>
          <w:highlight w:val="none"/>
        </w:rPr>
        <w:t>按照“公平、公正”的原则对待所有供应商，按照采购文件的相关规定进行评标、定标。</w:t>
      </w:r>
    </w:p>
    <w:p w14:paraId="113683FD">
      <w:pPr>
        <w:shd w:val="clear"/>
        <w:tabs>
          <w:tab w:val="left" w:pos="1620"/>
        </w:tabs>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（二）评标办法</w:t>
      </w:r>
    </w:p>
    <w:p w14:paraId="73723129">
      <w:pPr>
        <w:shd w:val="clear"/>
        <w:tabs>
          <w:tab w:val="left" w:pos="1620"/>
        </w:tabs>
        <w:snapToGrid w:val="0"/>
        <w:spacing w:line="360" w:lineRule="auto"/>
        <w:ind w:firstLine="462" w:firstLineChars="220"/>
        <w:rPr>
          <w:rFonts w:hint="eastAsia" w:ascii="宋体" w:hAnsi="宋体" w:cs="宋体"/>
          <w:color w:val="auto"/>
          <w:szCs w:val="21"/>
          <w:highlight w:val="none"/>
        </w:rPr>
      </w:pPr>
      <w:r>
        <w:rPr>
          <w:rFonts w:hint="eastAsia" w:ascii="宋体" w:hAnsi="宋体" w:cs="宋体"/>
          <w:color w:val="auto"/>
          <w:szCs w:val="21"/>
          <w:highlight w:val="none"/>
        </w:rPr>
        <w:t>1．本项目采用综合评分法，总分为100分。</w:t>
      </w:r>
    </w:p>
    <w:p w14:paraId="7ED4F132">
      <w:pPr>
        <w:shd w:val="clear"/>
        <w:tabs>
          <w:tab w:val="left" w:pos="1620"/>
        </w:tabs>
        <w:snapToGrid w:val="0"/>
        <w:spacing w:line="360" w:lineRule="auto"/>
        <w:ind w:firstLine="462" w:firstLineChars="220"/>
        <w:rPr>
          <w:rFonts w:hint="eastAsia" w:ascii="宋体" w:hAnsi="宋体" w:cs="宋体"/>
          <w:color w:val="auto"/>
          <w:szCs w:val="21"/>
          <w:highlight w:val="none"/>
        </w:rPr>
      </w:pPr>
      <w:r>
        <w:rPr>
          <w:rFonts w:hint="eastAsia" w:ascii="宋体" w:hAnsi="宋体" w:cs="宋体"/>
          <w:color w:val="auto"/>
          <w:szCs w:val="21"/>
          <w:highlight w:val="none"/>
        </w:rPr>
        <w:t>2．磋商小组按照采购文件中规定的评标方法和标准，对</w:t>
      </w:r>
      <w:r>
        <w:rPr>
          <w:rFonts w:hint="eastAsia" w:ascii="宋体" w:hAnsi="宋体" w:cs="宋体"/>
          <w:color w:val="auto"/>
          <w:kern w:val="0"/>
          <w:szCs w:val="21"/>
          <w:highlight w:val="none"/>
        </w:rPr>
        <w:t>响应</w:t>
      </w:r>
      <w:r>
        <w:rPr>
          <w:rFonts w:hint="eastAsia" w:ascii="宋体" w:hAnsi="宋体" w:cs="宋体"/>
          <w:color w:val="auto"/>
          <w:szCs w:val="21"/>
          <w:highlight w:val="none"/>
        </w:rPr>
        <w:t>文件进行综合比较与评价。</w:t>
      </w:r>
    </w:p>
    <w:p w14:paraId="4A35FC61">
      <w:pPr>
        <w:shd w:val="clear"/>
        <w:tabs>
          <w:tab w:val="left" w:pos="1620"/>
        </w:tabs>
        <w:snapToGrid w:val="0"/>
        <w:spacing w:line="360" w:lineRule="auto"/>
        <w:ind w:firstLine="462" w:firstLineChars="220"/>
        <w:rPr>
          <w:rFonts w:hint="eastAsia" w:ascii="宋体" w:hAnsi="宋体" w:cs="宋体"/>
          <w:color w:val="auto"/>
          <w:szCs w:val="21"/>
          <w:highlight w:val="none"/>
        </w:rPr>
      </w:pPr>
      <w:r>
        <w:rPr>
          <w:rFonts w:hint="eastAsia" w:ascii="宋体" w:hAnsi="宋体" w:cs="宋体"/>
          <w:color w:val="auto"/>
          <w:szCs w:val="21"/>
          <w:highlight w:val="none"/>
        </w:rPr>
        <w:t>3. 评标结果按评审后得分由高到低顺序排列，得分相同的，按投标报价由低到高顺序排列。得分且投标报价相同的，按技术部分得分顺序排列。</w:t>
      </w:r>
    </w:p>
    <w:p w14:paraId="142000C3">
      <w:pPr>
        <w:shd w:val="clear"/>
        <w:tabs>
          <w:tab w:val="left" w:pos="1620"/>
        </w:tabs>
        <w:snapToGrid w:val="0"/>
        <w:spacing w:line="360" w:lineRule="auto"/>
        <w:ind w:firstLine="462" w:firstLineChars="22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kern w:val="0"/>
          <w:szCs w:val="21"/>
          <w:highlight w:val="none"/>
        </w:rPr>
        <w:t>响应</w:t>
      </w:r>
      <w:r>
        <w:rPr>
          <w:rFonts w:hint="eastAsia" w:ascii="宋体" w:hAnsi="宋体" w:cs="宋体"/>
          <w:color w:val="auto"/>
          <w:szCs w:val="21"/>
          <w:highlight w:val="none"/>
        </w:rPr>
        <w:t>文件满足采购文件全部实质性要求，且评审得分最高的供应商为成交供应商。</w:t>
      </w:r>
    </w:p>
    <w:p w14:paraId="2ACA056B">
      <w:pPr>
        <w:shd w:val="clear"/>
        <w:tabs>
          <w:tab w:val="left" w:pos="1620"/>
        </w:tabs>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（三）评标程序</w:t>
      </w:r>
    </w:p>
    <w:p w14:paraId="233EA5C7">
      <w:pPr>
        <w:shd w:val="clea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1.详细评审（100分）</w:t>
      </w:r>
    </w:p>
    <w:bookmarkEnd w:id="46"/>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45BEF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0BA2F604">
            <w:pPr>
              <w:shd w:val="clear"/>
              <w:tabs>
                <w:tab w:val="left" w:pos="3000"/>
              </w:tabs>
              <w:snapToGrid w:val="0"/>
              <w:jc w:val="center"/>
              <w:rPr>
                <w:rFonts w:ascii="宋体" w:cs="宋体"/>
                <w:color w:val="auto"/>
                <w:szCs w:val="21"/>
                <w:highlight w:val="none"/>
              </w:rPr>
            </w:pPr>
            <w:bookmarkStart w:id="50" w:name="_Toc11904"/>
            <w:bookmarkStart w:id="51" w:name="_Toc1947"/>
            <w:bookmarkStart w:id="52" w:name="_Toc1482"/>
            <w:bookmarkStart w:id="53" w:name="_Toc256519703"/>
            <w:bookmarkStart w:id="54" w:name="_Toc326786897"/>
            <w:r>
              <w:rPr>
                <w:rFonts w:hint="eastAsia" w:ascii="宋体" w:hAnsi="宋体" w:cs="宋体"/>
                <w:color w:val="auto"/>
                <w:szCs w:val="21"/>
                <w:highlight w:val="none"/>
              </w:rPr>
              <w:t>评审内容</w:t>
            </w:r>
          </w:p>
        </w:tc>
      </w:tr>
      <w:tr w14:paraId="1994D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8" w:hRule="atLeast"/>
          <w:jc w:val="center"/>
        </w:trPr>
        <w:tc>
          <w:tcPr>
            <w:tcW w:w="1239" w:type="dxa"/>
            <w:noWrap w:val="0"/>
            <w:vAlign w:val="center"/>
          </w:tcPr>
          <w:p w14:paraId="2AD7AF8B">
            <w:pPr>
              <w:shd w:val="clear"/>
              <w:snapToGrid w:val="0"/>
              <w:spacing w:line="320" w:lineRule="exact"/>
              <w:jc w:val="left"/>
              <w:rPr>
                <w:rFonts w:ascii="宋体" w:cs="宋体"/>
                <w:color w:val="auto"/>
                <w:szCs w:val="21"/>
                <w:highlight w:val="none"/>
              </w:rPr>
            </w:pPr>
            <w:r>
              <w:rPr>
                <w:rFonts w:hint="eastAsia" w:ascii="宋体" w:hAnsi="宋体" w:cs="宋体"/>
                <w:color w:val="auto"/>
                <w:szCs w:val="21"/>
                <w:highlight w:val="none"/>
              </w:rPr>
              <w:t>价格标部分</w:t>
            </w:r>
            <w:r>
              <w:rPr>
                <w:rFonts w:ascii="宋体" w:hAnsi="宋体" w:cs="宋体"/>
                <w:color w:val="auto"/>
                <w:szCs w:val="21"/>
                <w:highlight w:val="non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r>
              <w:rPr>
                <w:rFonts w:ascii="宋体" w:hAnsi="宋体" w:cs="宋体"/>
                <w:color w:val="auto"/>
                <w:szCs w:val="21"/>
                <w:highlight w:val="none"/>
              </w:rPr>
              <w:t>)</w:t>
            </w:r>
          </w:p>
        </w:tc>
        <w:tc>
          <w:tcPr>
            <w:tcW w:w="8243" w:type="dxa"/>
            <w:gridSpan w:val="2"/>
            <w:noWrap w:val="0"/>
            <w:vAlign w:val="center"/>
          </w:tcPr>
          <w:p w14:paraId="56BBA39C">
            <w:pPr>
              <w:pStyle w:val="4"/>
              <w:shd w:val="clear"/>
              <w:snapToGrid w:val="0"/>
              <w:spacing w:line="360" w:lineRule="exact"/>
              <w:jc w:val="both"/>
              <w:rPr>
                <w:rFonts w:hAnsi="宋体"/>
                <w:color w:val="auto"/>
                <w:sz w:val="21"/>
                <w:szCs w:val="21"/>
                <w:highlight w:val="none"/>
              </w:rPr>
            </w:pPr>
            <w:r>
              <w:rPr>
                <w:rFonts w:hint="eastAsia" w:hAnsi="宋体"/>
                <w:color w:val="auto"/>
                <w:sz w:val="21"/>
                <w:szCs w:val="21"/>
                <w:highlight w:val="none"/>
              </w:rPr>
              <w:t>说明：当磋商小组发现供应商的磋商报价明显低于其他磋商报价，使其磋商报价可能低于其个别成本的，磋商小组可对其质询，并要求该供应商做出书面说明和提供相关的证明材料；该供应商不能合理说明或提供证明材料的，磋商小组应按无效磋商处理。</w:t>
            </w:r>
          </w:p>
          <w:p w14:paraId="249474C6">
            <w:pPr>
              <w:pStyle w:val="4"/>
              <w:shd w:val="clear"/>
              <w:snapToGrid w:val="0"/>
              <w:spacing w:line="360" w:lineRule="exact"/>
              <w:jc w:val="both"/>
              <w:rPr>
                <w:rFonts w:hint="eastAsia" w:hAnsi="宋体"/>
                <w:color w:val="auto"/>
                <w:sz w:val="21"/>
                <w:szCs w:val="21"/>
                <w:highlight w:val="none"/>
              </w:rPr>
            </w:pPr>
            <w:r>
              <w:rPr>
                <w:rFonts w:hint="eastAsia" w:hAnsi="宋体"/>
                <w:color w:val="auto"/>
                <w:sz w:val="21"/>
                <w:szCs w:val="21"/>
                <w:highlight w:val="none"/>
              </w:rPr>
              <w:t>有效磋商报价：磋商报价不高于采购预算价的为有效磋商报价。</w:t>
            </w:r>
          </w:p>
          <w:p w14:paraId="70928B69">
            <w:pPr>
              <w:shd w:val="clear"/>
              <w:snapToGrid w:val="0"/>
              <w:spacing w:line="320" w:lineRule="exact"/>
              <w:rPr>
                <w:rFonts w:ascii="宋体" w:cs="宋体"/>
                <w:b/>
                <w:color w:val="auto"/>
                <w:szCs w:val="21"/>
                <w:highlight w:val="none"/>
              </w:rPr>
            </w:pPr>
            <w:r>
              <w:rPr>
                <w:rFonts w:hint="eastAsia" w:ascii="宋体" w:hAnsi="宋体" w:cs="宋体"/>
                <w:b/>
                <w:color w:val="auto"/>
                <w:szCs w:val="21"/>
                <w:highlight w:val="none"/>
              </w:rPr>
              <w:t>磋商报价（</w:t>
            </w:r>
            <w:r>
              <w:rPr>
                <w:rFonts w:hint="eastAsia" w:ascii="宋体" w:hAnsi="宋体" w:cs="宋体"/>
                <w:b/>
                <w:color w:val="auto"/>
                <w:szCs w:val="21"/>
                <w:highlight w:val="none"/>
                <w:lang w:val="en-US" w:eastAsia="zh-CN"/>
              </w:rPr>
              <w:t>20</w:t>
            </w:r>
            <w:r>
              <w:rPr>
                <w:rFonts w:hint="eastAsia" w:ascii="宋体" w:hAnsi="宋体" w:cs="宋体"/>
                <w:b/>
                <w:color w:val="auto"/>
                <w:szCs w:val="21"/>
                <w:highlight w:val="none"/>
              </w:rPr>
              <w:t>分）</w:t>
            </w:r>
          </w:p>
          <w:p w14:paraId="18D2F516">
            <w:pPr>
              <w:pStyle w:val="4"/>
              <w:shd w:val="clear"/>
              <w:snapToGrid w:val="0"/>
              <w:spacing w:line="360" w:lineRule="exact"/>
              <w:jc w:val="both"/>
              <w:rPr>
                <w:rFonts w:hAnsi="宋体"/>
                <w:color w:val="auto"/>
                <w:sz w:val="21"/>
                <w:szCs w:val="21"/>
                <w:highlight w:val="none"/>
              </w:rPr>
            </w:pPr>
            <w:r>
              <w:rPr>
                <w:rFonts w:hint="eastAsia" w:hAnsi="宋体"/>
                <w:color w:val="auto"/>
                <w:sz w:val="21"/>
                <w:szCs w:val="21"/>
                <w:highlight w:val="none"/>
              </w:rPr>
              <w:t>报价评标基准值的确定：满足采购文件要求且磋商价格最低的有效磋商报价为评标基准价。</w:t>
            </w:r>
          </w:p>
          <w:p w14:paraId="7DF078E9">
            <w:pPr>
              <w:shd w:val="clea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磋商报价得分</w:t>
            </w:r>
            <w:r>
              <w:rPr>
                <w:rFonts w:ascii="宋体" w:hAnsi="宋体" w:cs="宋体"/>
                <w:color w:val="auto"/>
                <w:szCs w:val="21"/>
                <w:highlight w:val="none"/>
              </w:rPr>
              <w:t>=</w:t>
            </w:r>
            <w:r>
              <w:rPr>
                <w:rFonts w:hint="eastAsia" w:ascii="宋体" w:hAnsi="宋体" w:cs="宋体"/>
                <w:color w:val="auto"/>
                <w:szCs w:val="21"/>
                <w:highlight w:val="none"/>
              </w:rPr>
              <w:t>（评标基准价</w:t>
            </w:r>
            <w:r>
              <w:rPr>
                <w:rFonts w:ascii="宋体" w:hAnsi="宋体" w:cs="宋体"/>
                <w:color w:val="auto"/>
                <w:szCs w:val="21"/>
                <w:highlight w:val="none"/>
              </w:rPr>
              <w:t>/</w:t>
            </w:r>
            <w:r>
              <w:rPr>
                <w:rFonts w:hint="eastAsia" w:ascii="宋体" w:hAnsi="宋体" w:cs="宋体"/>
                <w:color w:val="auto"/>
                <w:szCs w:val="21"/>
                <w:highlight w:val="none"/>
              </w:rPr>
              <w:t>有效磋商报价）×</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p w14:paraId="1FFEEF47">
            <w:pPr>
              <w:shd w:val="clear"/>
              <w:snapToGrid w:val="0"/>
              <w:spacing w:line="360" w:lineRule="exact"/>
              <w:rPr>
                <w:rFonts w:hAnsi="宋体"/>
                <w:b/>
                <w:color w:val="auto"/>
                <w:szCs w:val="21"/>
                <w:highlight w:val="none"/>
              </w:rPr>
            </w:pPr>
            <w:r>
              <w:rPr>
                <w:rFonts w:hint="eastAsia" w:hAnsi="宋体"/>
                <w:color w:val="auto"/>
                <w:szCs w:val="21"/>
                <w:highlight w:val="none"/>
              </w:rPr>
              <w:t>评分分值计算保留小数点后两位，小数点后第三位“四舍五入”。</w:t>
            </w:r>
          </w:p>
        </w:tc>
      </w:tr>
      <w:tr w14:paraId="4CBA3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14:paraId="10C1FD45">
            <w:pPr>
              <w:shd w:val="clear"/>
              <w:snapToGrid w:val="0"/>
              <w:spacing w:line="320" w:lineRule="exact"/>
              <w:jc w:val="center"/>
              <w:rPr>
                <w:rFonts w:hint="eastAsia" w:ascii="宋体" w:cs="宋体"/>
                <w:color w:val="auto"/>
                <w:szCs w:val="21"/>
                <w:highlight w:val="none"/>
              </w:rPr>
            </w:pPr>
            <w:r>
              <w:rPr>
                <w:rFonts w:hint="eastAsia" w:ascii="宋体" w:hAnsi="宋体" w:cs="宋体"/>
                <w:color w:val="auto"/>
                <w:szCs w:val="21"/>
                <w:highlight w:val="none"/>
              </w:rPr>
              <w:t>技术部分</w:t>
            </w:r>
          </w:p>
          <w:p w14:paraId="4C2DC829">
            <w:pPr>
              <w:shd w:val="clear"/>
              <w:snapToGrid w:val="0"/>
              <w:spacing w:line="320" w:lineRule="exact"/>
              <w:jc w:val="center"/>
              <w:rPr>
                <w:rFonts w:asci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tc>
        <w:tc>
          <w:tcPr>
            <w:tcW w:w="1473" w:type="dxa"/>
            <w:noWrap w:val="0"/>
            <w:vAlign w:val="center"/>
          </w:tcPr>
          <w:p w14:paraId="2C7E4BAA">
            <w:pPr>
              <w:shd w:val="clea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1.服务能力响应程度</w:t>
            </w:r>
          </w:p>
          <w:p w14:paraId="689E607B">
            <w:pPr>
              <w:shd w:val="clear"/>
              <w:snapToGrid w:val="0"/>
              <w:spacing w:line="360" w:lineRule="exact"/>
              <w:jc w:val="center"/>
              <w:rPr>
                <w:rFonts w:asci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6770" w:type="dxa"/>
            <w:noWrap w:val="0"/>
            <w:vAlign w:val="center"/>
          </w:tcPr>
          <w:p w14:paraId="03787EEA">
            <w:pPr>
              <w:widowControl/>
              <w:shd w:val="clea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完全满足采购文件第二章 采购需求“</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、技术要求”的得</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分；每有一项不满足扣</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分，扣完为止；若得分为0，则磋商无效。</w:t>
            </w:r>
          </w:p>
          <w:p w14:paraId="25731550">
            <w:pPr>
              <w:widowControl/>
              <w:shd w:val="clea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供应商需如实填写技术响应表，并标注偏离情况。</w:t>
            </w:r>
          </w:p>
          <w:p w14:paraId="136441B8">
            <w:pPr>
              <w:widowControl/>
              <w:shd w:val="clear"/>
              <w:snapToGrid w:val="0"/>
              <w:spacing w:line="320" w:lineRule="exact"/>
              <w:rPr>
                <w:rFonts w:ascii="宋体" w:hAnsi="宋体" w:cs="宋体"/>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线圈</w:t>
            </w:r>
            <w:r>
              <w:rPr>
                <w:rFonts w:hint="eastAsia" w:ascii="宋体" w:hAnsi="宋体" w:cs="宋体"/>
                <w:b/>
                <w:bCs/>
                <w:color w:val="auto"/>
                <w:szCs w:val="21"/>
                <w:highlight w:val="none"/>
                <w:lang w:val="en-US" w:eastAsia="zh-CN"/>
              </w:rPr>
              <w:t>配件须</w:t>
            </w:r>
            <w:r>
              <w:rPr>
                <w:rFonts w:hint="eastAsia" w:ascii="宋体" w:hAnsi="宋体" w:cs="宋体"/>
                <w:b/>
                <w:bCs/>
                <w:color w:val="auto"/>
                <w:szCs w:val="21"/>
                <w:highlight w:val="none"/>
              </w:rPr>
              <w:t>提供医疗器械注册证或备案凭证。</w:t>
            </w:r>
          </w:p>
        </w:tc>
      </w:tr>
      <w:tr w14:paraId="7019D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9" w:type="dxa"/>
            <w:vMerge w:val="continue"/>
            <w:noWrap w:val="0"/>
            <w:vAlign w:val="center"/>
          </w:tcPr>
          <w:p w14:paraId="3361A1BF">
            <w:pPr>
              <w:shd w:val="clear"/>
              <w:snapToGrid w:val="0"/>
              <w:spacing w:line="320" w:lineRule="exact"/>
              <w:jc w:val="center"/>
              <w:rPr>
                <w:rFonts w:hint="eastAsia" w:ascii="宋体" w:hAnsi="宋体" w:cs="宋体"/>
                <w:color w:val="auto"/>
                <w:szCs w:val="21"/>
                <w:highlight w:val="none"/>
              </w:rPr>
            </w:pPr>
          </w:p>
        </w:tc>
        <w:tc>
          <w:tcPr>
            <w:tcW w:w="1473" w:type="dxa"/>
            <w:vMerge w:val="restart"/>
            <w:noWrap w:val="0"/>
            <w:vAlign w:val="center"/>
          </w:tcPr>
          <w:p w14:paraId="68904EDA">
            <w:pPr>
              <w:shd w:val="clear"/>
              <w:snapToGrid w:val="0"/>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服务方案（</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6770" w:type="dxa"/>
            <w:noWrap w:val="0"/>
            <w:vAlign w:val="center"/>
          </w:tcPr>
          <w:p w14:paraId="506FC6D8">
            <w:pPr>
              <w:widowControl/>
              <w:snapToGrid w:val="0"/>
              <w:spacing w:line="36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根据供应商提供的线圈</w:t>
            </w:r>
            <w:r>
              <w:rPr>
                <w:rFonts w:hint="default" w:ascii="宋体" w:hAnsi="宋体" w:cs="宋体"/>
                <w:color w:val="auto"/>
                <w:szCs w:val="21"/>
                <w:highlight w:val="none"/>
                <w:lang w:val="en-US" w:eastAsia="zh-CN"/>
              </w:rPr>
              <w:t>安装方案</w:t>
            </w:r>
            <w:r>
              <w:rPr>
                <w:rFonts w:hint="eastAsia" w:ascii="宋体" w:hAnsi="宋体" w:cs="宋体"/>
                <w:color w:val="auto"/>
                <w:szCs w:val="21"/>
                <w:highlight w:val="none"/>
                <w:lang w:val="en-US" w:eastAsia="zh-CN"/>
              </w:rPr>
              <w:t>进行评分，包括但不限于：前期准备工作、安装流程、安装后调试与检测等。</w:t>
            </w:r>
          </w:p>
          <w:p w14:paraId="36376BBD">
            <w:pPr>
              <w:widowControl/>
              <w:snapToGrid w:val="0"/>
              <w:spacing w:line="36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安装</w:t>
            </w:r>
            <w:r>
              <w:rPr>
                <w:rFonts w:hint="eastAsia" w:ascii="宋体" w:hAnsi="宋体" w:cs="宋体"/>
                <w:color w:val="auto"/>
                <w:szCs w:val="21"/>
                <w:highlight w:val="none"/>
                <w:lang w:eastAsia="zh-CN"/>
              </w:rPr>
              <w:t>方案完善、合理的</w:t>
            </w:r>
            <w:r>
              <w:rPr>
                <w:rFonts w:hint="eastAsia" w:ascii="宋体" w:hAnsi="宋体" w:cs="宋体"/>
                <w:color w:val="auto"/>
                <w:szCs w:val="21"/>
                <w:highlight w:val="none"/>
                <w:lang w:val="en-US" w:eastAsia="zh-CN"/>
              </w:rPr>
              <w:t>得10分；安装</w:t>
            </w:r>
            <w:r>
              <w:rPr>
                <w:rFonts w:hint="eastAsia" w:ascii="宋体" w:hAnsi="宋体" w:cs="宋体"/>
                <w:color w:val="auto"/>
                <w:szCs w:val="21"/>
                <w:highlight w:val="none"/>
                <w:lang w:eastAsia="zh-CN"/>
              </w:rPr>
              <w:t>方案</w:t>
            </w:r>
            <w:r>
              <w:rPr>
                <w:rFonts w:hint="eastAsia" w:ascii="宋体" w:hAnsi="宋体" w:cs="宋体"/>
                <w:color w:val="auto"/>
                <w:szCs w:val="21"/>
                <w:highlight w:val="none"/>
                <w:lang w:val="en-US" w:eastAsia="zh-CN"/>
              </w:rPr>
              <w:t>较完善、较合理的得6分；</w:t>
            </w:r>
          </w:p>
          <w:p w14:paraId="0CED8620">
            <w:pPr>
              <w:widowControl/>
              <w:shd w:val="clea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方案不完善或不合理得2分；无</w:t>
            </w:r>
            <w:r>
              <w:rPr>
                <w:rFonts w:hint="eastAsia" w:ascii="宋体" w:hAnsi="宋体" w:cs="宋体"/>
                <w:color w:val="auto"/>
                <w:szCs w:val="21"/>
                <w:highlight w:val="none"/>
                <w:lang w:eastAsia="zh-CN"/>
              </w:rPr>
              <w:t>方案</w:t>
            </w:r>
            <w:r>
              <w:rPr>
                <w:rFonts w:hint="eastAsia" w:ascii="宋体" w:hAnsi="宋体" w:cs="宋体"/>
                <w:color w:val="auto"/>
                <w:szCs w:val="21"/>
                <w:highlight w:val="none"/>
                <w:lang w:val="en-US" w:eastAsia="zh-CN"/>
              </w:rPr>
              <w:t>不得分。</w:t>
            </w:r>
          </w:p>
        </w:tc>
      </w:tr>
      <w:tr w14:paraId="5FCDC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9" w:type="dxa"/>
            <w:vMerge w:val="continue"/>
            <w:noWrap w:val="0"/>
            <w:vAlign w:val="center"/>
          </w:tcPr>
          <w:p w14:paraId="596B1611">
            <w:pPr>
              <w:shd w:val="clear"/>
              <w:snapToGrid w:val="0"/>
              <w:spacing w:line="320" w:lineRule="exact"/>
              <w:jc w:val="center"/>
              <w:rPr>
                <w:rFonts w:hint="eastAsia" w:ascii="宋体" w:hAnsi="宋体" w:cs="宋体"/>
                <w:color w:val="auto"/>
                <w:szCs w:val="21"/>
                <w:highlight w:val="none"/>
              </w:rPr>
            </w:pPr>
          </w:p>
        </w:tc>
        <w:tc>
          <w:tcPr>
            <w:tcW w:w="1473" w:type="dxa"/>
            <w:vMerge w:val="continue"/>
            <w:noWrap w:val="0"/>
            <w:vAlign w:val="center"/>
          </w:tcPr>
          <w:p w14:paraId="54F959BE">
            <w:pPr>
              <w:shd w:val="clear"/>
              <w:snapToGrid w:val="0"/>
              <w:spacing w:line="320" w:lineRule="exact"/>
              <w:jc w:val="center"/>
              <w:rPr>
                <w:rFonts w:hint="eastAsia" w:ascii="宋体" w:hAnsi="宋体" w:cs="宋体"/>
                <w:color w:val="auto"/>
                <w:szCs w:val="21"/>
                <w:highlight w:val="none"/>
              </w:rPr>
            </w:pPr>
          </w:p>
        </w:tc>
        <w:tc>
          <w:tcPr>
            <w:tcW w:w="6770" w:type="dxa"/>
            <w:noWrap w:val="0"/>
            <w:vAlign w:val="center"/>
          </w:tcPr>
          <w:p w14:paraId="6231361B">
            <w:pPr>
              <w:widowControl/>
              <w:snapToGrid w:val="0"/>
              <w:spacing w:line="36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根据供应商提供的</w:t>
            </w:r>
            <w:r>
              <w:rPr>
                <w:rFonts w:hint="default" w:ascii="宋体" w:hAnsi="宋体" w:cs="宋体"/>
                <w:color w:val="auto"/>
                <w:szCs w:val="21"/>
                <w:highlight w:val="none"/>
                <w:lang w:val="en-US" w:eastAsia="zh-CN"/>
              </w:rPr>
              <w:t>设备故障预防措施</w:t>
            </w:r>
            <w:r>
              <w:rPr>
                <w:rFonts w:hint="eastAsia" w:ascii="宋体" w:hAnsi="宋体" w:cs="宋体"/>
                <w:color w:val="auto"/>
                <w:szCs w:val="21"/>
                <w:highlight w:val="none"/>
                <w:lang w:val="en-US" w:eastAsia="zh-CN"/>
              </w:rPr>
              <w:t>进行评分，包括但不限于：常见故障类型分析及应对措施等。</w:t>
            </w:r>
          </w:p>
          <w:p w14:paraId="4D7ECB99">
            <w:pPr>
              <w:widowControl/>
              <w:shd w:val="clea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分析全面、应对措施可操作性强的得10分；分析较全面、应对措施可操作性较强的得6分；内容分析、应对措施有待完善的得2分；无</w:t>
            </w:r>
            <w:r>
              <w:rPr>
                <w:rFonts w:hint="eastAsia" w:ascii="宋体" w:hAnsi="宋体" w:cs="宋体"/>
                <w:color w:val="auto"/>
                <w:szCs w:val="21"/>
                <w:highlight w:val="none"/>
                <w:lang w:eastAsia="zh-CN"/>
              </w:rPr>
              <w:t>方案</w:t>
            </w:r>
            <w:r>
              <w:rPr>
                <w:rFonts w:hint="eastAsia" w:ascii="宋体" w:hAnsi="宋体" w:cs="宋体"/>
                <w:color w:val="auto"/>
                <w:szCs w:val="21"/>
                <w:highlight w:val="none"/>
                <w:lang w:val="en-US" w:eastAsia="zh-CN"/>
              </w:rPr>
              <w:t>不得分。</w:t>
            </w:r>
          </w:p>
        </w:tc>
      </w:tr>
      <w:tr w14:paraId="21E08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1239" w:type="dxa"/>
            <w:vMerge w:val="continue"/>
            <w:noWrap w:val="0"/>
            <w:vAlign w:val="center"/>
          </w:tcPr>
          <w:p w14:paraId="786CA2E2">
            <w:pPr>
              <w:shd w:val="clear"/>
              <w:snapToGrid w:val="0"/>
              <w:spacing w:line="320" w:lineRule="exact"/>
              <w:jc w:val="center"/>
              <w:rPr>
                <w:rFonts w:hint="eastAsia" w:ascii="宋体" w:hAnsi="宋体" w:cs="宋体"/>
                <w:color w:val="auto"/>
                <w:szCs w:val="21"/>
                <w:highlight w:val="none"/>
              </w:rPr>
            </w:pPr>
          </w:p>
        </w:tc>
        <w:tc>
          <w:tcPr>
            <w:tcW w:w="1473" w:type="dxa"/>
            <w:noWrap w:val="0"/>
            <w:vAlign w:val="center"/>
          </w:tcPr>
          <w:p w14:paraId="271BD1BB">
            <w:pPr>
              <w:shd w:val="clear"/>
              <w:snapToGrid w:val="0"/>
              <w:spacing w:line="320" w:lineRule="exact"/>
              <w:jc w:val="center"/>
              <w:rPr>
                <w:rFonts w:asci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服务团队</w:t>
            </w:r>
          </w:p>
          <w:p w14:paraId="33E703C0">
            <w:pPr>
              <w:shd w:val="clear"/>
              <w:snapToGrid w:val="0"/>
              <w:spacing w:line="320" w:lineRule="exact"/>
              <w:jc w:val="center"/>
              <w:rPr>
                <w:rFonts w:ascii="宋体" w:hAnsi="宋体" w:cs="宋体"/>
                <w:color w:val="auto"/>
                <w:szCs w:val="21"/>
                <w:highlight w:val="none"/>
              </w:rPr>
            </w:pPr>
            <w:r>
              <w:rPr>
                <w:rFonts w:hint="eastAsia" w:ascii="宋体" w:hAnsi="宋体" w:cs="宋体"/>
                <w:color w:val="auto"/>
                <w:szCs w:val="21"/>
                <w:highlight w:val="none"/>
              </w:rPr>
              <w:t>（10分）</w:t>
            </w:r>
          </w:p>
        </w:tc>
        <w:tc>
          <w:tcPr>
            <w:tcW w:w="6770" w:type="dxa"/>
            <w:noWrap w:val="0"/>
            <w:vAlign w:val="center"/>
          </w:tcPr>
          <w:p w14:paraId="0D0C2D88">
            <w:pPr>
              <w:widowControl/>
              <w:shd w:val="clear"/>
              <w:snapToGrid w:val="0"/>
              <w:spacing w:line="320" w:lineRule="exact"/>
              <w:rPr>
                <w:rFonts w:ascii="宋体" w:cs="宋体"/>
                <w:color w:val="auto"/>
                <w:szCs w:val="21"/>
                <w:highlight w:val="none"/>
              </w:rPr>
            </w:pPr>
            <w:r>
              <w:rPr>
                <w:rFonts w:hint="eastAsia" w:ascii="宋体" w:hAnsi="宋体" w:cs="宋体"/>
                <w:color w:val="auto"/>
                <w:szCs w:val="21"/>
                <w:highlight w:val="none"/>
              </w:rPr>
              <w:t>根据供应商制定的服务团队计划进行打分，包括但不仅限于：服务团队组织结构、人员分工及职责明确、持证上岗等。</w:t>
            </w:r>
          </w:p>
          <w:p w14:paraId="37F5C900">
            <w:pPr>
              <w:widowControl/>
              <w:shd w:val="clear"/>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有明确的管理架构组成、服务团队人员职责，人员配备合理、人员岗位安排分配计划明确，专业技术能力强、经验丰富，完全满足采购需求的得10分；</w:t>
            </w:r>
          </w:p>
          <w:p w14:paraId="7028A95C">
            <w:pPr>
              <w:widowControl/>
              <w:shd w:val="clear"/>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有完整的管理架构组成及人员职责，人员配备基本合理，专业技术能力及工作经验基本满足采购需求的得6分；</w:t>
            </w:r>
          </w:p>
          <w:p w14:paraId="0ACF648D">
            <w:pPr>
              <w:widowControl/>
              <w:shd w:val="clear"/>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方案不完整，人员岗位安排分配及专业能力有待提升的得2分；</w:t>
            </w:r>
          </w:p>
          <w:p w14:paraId="7918AB7C">
            <w:pPr>
              <w:shd w:val="clea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缺项的得</w:t>
            </w:r>
            <w:r>
              <w:rPr>
                <w:rFonts w:ascii="宋体" w:hAnsi="宋体" w:cs="宋体"/>
                <w:color w:val="auto"/>
                <w:szCs w:val="21"/>
                <w:highlight w:val="none"/>
              </w:rPr>
              <w:t>0</w:t>
            </w:r>
            <w:r>
              <w:rPr>
                <w:rFonts w:hint="eastAsia" w:ascii="宋体" w:hAnsi="宋体" w:cs="宋体"/>
                <w:color w:val="auto"/>
                <w:szCs w:val="21"/>
                <w:highlight w:val="none"/>
              </w:rPr>
              <w:t>分。</w:t>
            </w:r>
          </w:p>
          <w:p w14:paraId="1C2E7BFB">
            <w:pPr>
              <w:shd w:val="clear"/>
              <w:snapToGrid w:val="0"/>
              <w:spacing w:line="32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注：</w:t>
            </w:r>
            <w:r>
              <w:rPr>
                <w:rFonts w:hint="eastAsia" w:ascii="宋体" w:hAnsi="宋体" w:cs="宋体"/>
                <w:color w:val="auto"/>
                <w:szCs w:val="21"/>
                <w:highlight w:val="none"/>
              </w:rPr>
              <w:t>注：提供人员清单及所需证明材料。</w:t>
            </w:r>
          </w:p>
        </w:tc>
      </w:tr>
      <w:tr w14:paraId="195EB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30AEA6DC">
            <w:pPr>
              <w:shd w:val="clear"/>
              <w:snapToGrid w:val="0"/>
              <w:spacing w:line="320" w:lineRule="exact"/>
              <w:jc w:val="center"/>
              <w:rPr>
                <w:rFonts w:ascii="宋体" w:cs="宋体"/>
                <w:color w:val="auto"/>
                <w:szCs w:val="21"/>
                <w:highlight w:val="none"/>
              </w:rPr>
            </w:pPr>
          </w:p>
        </w:tc>
        <w:tc>
          <w:tcPr>
            <w:tcW w:w="1473" w:type="dxa"/>
            <w:noWrap w:val="0"/>
            <w:vAlign w:val="center"/>
          </w:tcPr>
          <w:p w14:paraId="7B672FAC">
            <w:pPr>
              <w:shd w:val="clear"/>
              <w:snapToGrid w:val="0"/>
              <w:spacing w:line="32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4.质量保障措施（6分）</w:t>
            </w:r>
          </w:p>
        </w:tc>
        <w:tc>
          <w:tcPr>
            <w:tcW w:w="6770" w:type="dxa"/>
            <w:noWrap w:val="0"/>
            <w:vAlign w:val="center"/>
          </w:tcPr>
          <w:p w14:paraId="081E1251">
            <w:pPr>
              <w:widowControl/>
              <w:shd w:val="clear"/>
              <w:snapToGrid w:val="0"/>
              <w:spacing w:line="320" w:lineRule="exact"/>
              <w:rPr>
                <w:rFonts w:hint="eastAsia" w:ascii="宋体" w:hAnsi="宋体" w:cs="宋体"/>
                <w:color w:val="auto"/>
                <w:szCs w:val="21"/>
                <w:highlight w:val="none"/>
                <w:lang w:eastAsia="zh-CN"/>
              </w:rPr>
            </w:pPr>
            <w:r>
              <w:rPr>
                <w:rFonts w:hint="eastAsia" w:ascii="宋体" w:hAnsi="宋体" w:cs="宋体"/>
                <w:color w:val="auto"/>
                <w:szCs w:val="21"/>
                <w:highlight w:val="none"/>
              </w:rPr>
              <w:t>根据供应商制定的</w:t>
            </w:r>
            <w:r>
              <w:rPr>
                <w:rFonts w:hint="eastAsia" w:ascii="宋体" w:hAnsi="宋体" w:cs="宋体"/>
                <w:color w:val="auto"/>
                <w:szCs w:val="21"/>
                <w:highlight w:val="none"/>
                <w:lang w:val="en-US" w:eastAsia="zh-CN"/>
              </w:rPr>
              <w:t>线圈质量保障措施</w:t>
            </w:r>
            <w:r>
              <w:rPr>
                <w:rFonts w:hint="eastAsia" w:ascii="宋体" w:hAnsi="宋体" w:cs="宋体"/>
                <w:color w:val="auto"/>
                <w:szCs w:val="21"/>
                <w:highlight w:val="none"/>
              </w:rPr>
              <w:t>进行打分</w:t>
            </w:r>
            <w:r>
              <w:rPr>
                <w:rFonts w:hint="eastAsia" w:ascii="宋体" w:hAnsi="宋体" w:cs="宋体"/>
                <w:color w:val="auto"/>
                <w:szCs w:val="21"/>
                <w:highlight w:val="none"/>
                <w:lang w:eastAsia="zh-CN"/>
              </w:rPr>
              <w:t>。</w:t>
            </w:r>
          </w:p>
          <w:p w14:paraId="2E160EB9">
            <w:pPr>
              <w:shd w:val="clea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线圈</w:t>
            </w:r>
            <w:r>
              <w:rPr>
                <w:rFonts w:hint="eastAsia" w:ascii="宋体" w:hAnsi="宋体" w:cs="宋体"/>
                <w:color w:val="auto"/>
                <w:szCs w:val="21"/>
                <w:highlight w:val="none"/>
              </w:rPr>
              <w:t>质量</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安装过程等</w:t>
            </w:r>
            <w:r>
              <w:rPr>
                <w:rFonts w:hint="eastAsia" w:ascii="宋体" w:hAnsi="宋体" w:cs="宋体"/>
                <w:color w:val="auto"/>
                <w:szCs w:val="21"/>
                <w:highlight w:val="none"/>
              </w:rPr>
              <w:t>重点环节有严格的管理标准，完全能够满足项目的需要者得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r>
              <w:rPr>
                <w:rFonts w:hint="eastAsia" w:ascii="宋体" w:hAnsi="宋体" w:cs="宋体"/>
                <w:color w:val="auto"/>
                <w:szCs w:val="21"/>
                <w:highlight w:val="none"/>
                <w:lang w:val="en-US" w:eastAsia="zh-CN"/>
              </w:rPr>
              <w:t>基本满足采购需求的得4分；无法满足采购需求的得2分；</w:t>
            </w:r>
            <w:r>
              <w:rPr>
                <w:rFonts w:hint="eastAsia" w:ascii="宋体" w:hAnsi="宋体" w:cs="宋体"/>
                <w:color w:val="auto"/>
                <w:szCs w:val="21"/>
                <w:highlight w:val="none"/>
              </w:rPr>
              <w:t>缺项的得</w:t>
            </w:r>
            <w:r>
              <w:rPr>
                <w:rFonts w:ascii="宋体" w:hAnsi="宋体" w:cs="宋体"/>
                <w:color w:val="auto"/>
                <w:szCs w:val="21"/>
                <w:highlight w:val="none"/>
              </w:rPr>
              <w:t>0</w:t>
            </w:r>
            <w:r>
              <w:rPr>
                <w:rFonts w:hint="eastAsia" w:ascii="宋体" w:hAnsi="宋体" w:cs="宋体"/>
                <w:color w:val="auto"/>
                <w:szCs w:val="21"/>
                <w:highlight w:val="none"/>
              </w:rPr>
              <w:t>分。</w:t>
            </w:r>
          </w:p>
        </w:tc>
      </w:tr>
      <w:tr w14:paraId="040E8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1B6C8846">
            <w:pPr>
              <w:shd w:val="clear"/>
              <w:snapToGrid w:val="0"/>
              <w:spacing w:line="320" w:lineRule="exact"/>
              <w:jc w:val="center"/>
              <w:rPr>
                <w:rFonts w:ascii="宋体" w:cs="宋体"/>
                <w:color w:val="auto"/>
                <w:szCs w:val="21"/>
                <w:highlight w:val="none"/>
              </w:rPr>
            </w:pPr>
          </w:p>
        </w:tc>
        <w:tc>
          <w:tcPr>
            <w:tcW w:w="1473" w:type="dxa"/>
            <w:noWrap w:val="0"/>
            <w:vAlign w:val="center"/>
          </w:tcPr>
          <w:p w14:paraId="6BFB8099">
            <w:pPr>
              <w:shd w:val="clear"/>
              <w:snapToGrid w:val="0"/>
              <w:spacing w:line="320" w:lineRule="exact"/>
              <w:jc w:val="center"/>
              <w:rPr>
                <w:rFonts w:ascii="宋体" w:hAnsi="宋体" w:cs="宋体"/>
                <w:color w:val="auto"/>
                <w:sz w:val="24"/>
                <w:highlight w:val="none"/>
              </w:rPr>
            </w:pPr>
            <w:r>
              <w:rPr>
                <w:rFonts w:hint="eastAsia" w:ascii="宋体" w:hAnsi="宋体" w:cs="宋体"/>
                <w:color w:val="auto"/>
                <w:szCs w:val="21"/>
                <w:highlight w:val="none"/>
              </w:rPr>
              <w:t>5</w:t>
            </w:r>
            <w:r>
              <w:rPr>
                <w:rFonts w:ascii="宋体" w:hAnsi="宋体" w:cs="宋体"/>
                <w:color w:val="auto"/>
                <w:szCs w:val="21"/>
                <w:highlight w:val="none"/>
              </w:rPr>
              <w:t>.</w:t>
            </w:r>
            <w:r>
              <w:rPr>
                <w:rFonts w:hint="eastAsia" w:ascii="宋体" w:hAnsi="宋体" w:cs="宋体"/>
                <w:color w:val="auto"/>
                <w:szCs w:val="21"/>
                <w:highlight w:val="none"/>
              </w:rPr>
              <w:t>应急响应措施（</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tc>
        <w:tc>
          <w:tcPr>
            <w:tcW w:w="6770" w:type="dxa"/>
            <w:noWrap w:val="0"/>
            <w:vAlign w:val="center"/>
          </w:tcPr>
          <w:p w14:paraId="744095D3">
            <w:pPr>
              <w:widowControl/>
              <w:shd w:val="clear"/>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针对本项目采购需求，提供应急服务方案及保障措施，包括但不仅限于：应急响应流程及响应时间、应急保障措施、意外事故应急预案等。</w:t>
            </w:r>
          </w:p>
          <w:p w14:paraId="5AE1385E">
            <w:pPr>
              <w:widowControl/>
              <w:shd w:val="clea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内容详实，方案科学、合理，有完整的处理流程，应急保障方案具备快速响应能力，各项处理措施详细完善，完全能够满足项目的需要者，得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14:paraId="65015456">
            <w:pPr>
              <w:widowControl/>
              <w:shd w:val="clea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内容完整，具有完整的处理流程和应急保障方案，可以满足项目的需要，但有个别细节需要进一步完善或提高的，得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0ACD7F68">
            <w:pPr>
              <w:widowControl/>
              <w:shd w:val="clea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方案不完整、内容简单、未贴合项目实际，得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5C370A01">
            <w:pPr>
              <w:widowControl/>
              <w:shd w:val="clea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缺项的得</w:t>
            </w:r>
            <w:r>
              <w:rPr>
                <w:rFonts w:ascii="宋体" w:hAnsi="宋体" w:cs="宋体"/>
                <w:color w:val="auto"/>
                <w:szCs w:val="21"/>
                <w:highlight w:val="none"/>
              </w:rPr>
              <w:t>0</w:t>
            </w:r>
            <w:r>
              <w:rPr>
                <w:rFonts w:hint="eastAsia" w:ascii="宋体" w:hAnsi="宋体" w:cs="宋体"/>
                <w:color w:val="auto"/>
                <w:szCs w:val="21"/>
                <w:highlight w:val="none"/>
              </w:rPr>
              <w:t>分。</w:t>
            </w:r>
          </w:p>
        </w:tc>
      </w:tr>
      <w:tr w14:paraId="15DDA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239" w:type="dxa"/>
            <w:vMerge w:val="restart"/>
            <w:noWrap w:val="0"/>
            <w:vAlign w:val="center"/>
          </w:tcPr>
          <w:p w14:paraId="27AEE0F3">
            <w:pPr>
              <w:shd w:val="clear"/>
              <w:snapToGrid w:val="0"/>
              <w:spacing w:line="320" w:lineRule="exact"/>
              <w:jc w:val="center"/>
              <w:rPr>
                <w:rFonts w:ascii="宋体" w:cs="宋体"/>
                <w:color w:val="auto"/>
                <w:szCs w:val="21"/>
                <w:highlight w:val="none"/>
              </w:rPr>
            </w:pPr>
            <w:r>
              <w:rPr>
                <w:rFonts w:hint="eastAsia" w:ascii="宋体" w:hAnsi="宋体" w:cs="宋体"/>
                <w:color w:val="auto"/>
                <w:szCs w:val="21"/>
                <w:highlight w:val="none"/>
              </w:rPr>
              <w:t>商务评价</w:t>
            </w:r>
          </w:p>
          <w:p w14:paraId="6D527EFB">
            <w:pPr>
              <w:shd w:val="clear"/>
              <w:snapToGrid w:val="0"/>
              <w:spacing w:line="320" w:lineRule="exact"/>
              <w:jc w:val="center"/>
              <w:rPr>
                <w:rFonts w:asci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分</w:t>
            </w:r>
            <w:r>
              <w:rPr>
                <w:rFonts w:ascii="宋体" w:hAnsi="宋体" w:cs="宋体"/>
                <w:color w:val="auto"/>
                <w:szCs w:val="21"/>
                <w:highlight w:val="none"/>
              </w:rPr>
              <w:t>)</w:t>
            </w:r>
          </w:p>
        </w:tc>
        <w:tc>
          <w:tcPr>
            <w:tcW w:w="1473" w:type="dxa"/>
            <w:noWrap w:val="0"/>
            <w:vAlign w:val="center"/>
          </w:tcPr>
          <w:p w14:paraId="2B218CAF">
            <w:pPr>
              <w:shd w:val="clear"/>
              <w:snapToGrid w:val="0"/>
              <w:spacing w:line="320" w:lineRule="exact"/>
              <w:jc w:val="center"/>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类似业绩（6分）</w:t>
            </w:r>
          </w:p>
        </w:tc>
        <w:tc>
          <w:tcPr>
            <w:tcW w:w="6770" w:type="dxa"/>
            <w:noWrap w:val="0"/>
            <w:vAlign w:val="center"/>
          </w:tcPr>
          <w:p w14:paraId="3229B3D8">
            <w:pPr>
              <w:shd w:val="clear"/>
              <w:snapToGrid w:val="0"/>
              <w:spacing w:line="320" w:lineRule="exact"/>
              <w:rPr>
                <w:rFonts w:hint="eastAsia" w:ascii="宋体" w:hAnsi="宋体" w:cs="宋体"/>
                <w:color w:val="auto"/>
                <w:highlight w:val="none"/>
              </w:rPr>
            </w:pPr>
            <w:r>
              <w:rPr>
                <w:rFonts w:hint="eastAsia" w:ascii="宋体" w:hAnsi="宋体" w:cs="宋体"/>
                <w:color w:val="auto"/>
                <w:highlight w:val="none"/>
              </w:rPr>
              <w:t>供应商</w:t>
            </w:r>
            <w:r>
              <w:rPr>
                <w:rFonts w:ascii="宋体" w:hAnsi="宋体" w:cs="宋体"/>
                <w:color w:val="auto"/>
                <w:highlight w:val="none"/>
              </w:rPr>
              <w:t>202</w:t>
            </w:r>
            <w:r>
              <w:rPr>
                <w:rFonts w:hint="eastAsia" w:ascii="宋体" w:hAnsi="宋体" w:cs="宋体"/>
                <w:color w:val="auto"/>
                <w:highlight w:val="none"/>
              </w:rPr>
              <w:t>2年</w:t>
            </w:r>
            <w:r>
              <w:rPr>
                <w:rFonts w:ascii="宋体" w:hAnsi="宋体" w:cs="宋体"/>
                <w:color w:val="auto"/>
                <w:highlight w:val="none"/>
              </w:rPr>
              <w:t>1</w:t>
            </w:r>
            <w:r>
              <w:rPr>
                <w:rFonts w:hint="eastAsia" w:ascii="宋体" w:hAnsi="宋体" w:cs="宋体"/>
                <w:color w:val="auto"/>
                <w:highlight w:val="none"/>
              </w:rPr>
              <w:t>月</w:t>
            </w:r>
            <w:r>
              <w:rPr>
                <w:rFonts w:ascii="宋体" w:hAnsi="宋体" w:cs="宋体"/>
                <w:color w:val="auto"/>
                <w:highlight w:val="none"/>
              </w:rPr>
              <w:t>1</w:t>
            </w:r>
            <w:r>
              <w:rPr>
                <w:rFonts w:hint="eastAsia" w:ascii="宋体" w:hAnsi="宋体" w:cs="宋体"/>
                <w:color w:val="auto"/>
                <w:highlight w:val="none"/>
              </w:rPr>
              <w:t>日具有的类似业绩</w:t>
            </w:r>
            <w:r>
              <w:rPr>
                <w:rFonts w:ascii="宋体" w:hAnsi="宋体" w:cs="宋体"/>
                <w:color w:val="auto"/>
                <w:highlight w:val="none"/>
              </w:rPr>
              <w:t>(</w:t>
            </w:r>
            <w:r>
              <w:rPr>
                <w:rFonts w:hint="eastAsia" w:ascii="宋体" w:hAnsi="宋体" w:cs="宋体"/>
                <w:color w:val="auto"/>
                <w:highlight w:val="none"/>
              </w:rPr>
              <w:t>以合同文件为准），每提供一份得2分，最多得6分。</w:t>
            </w:r>
          </w:p>
          <w:p w14:paraId="097726F9">
            <w:pPr>
              <w:shd w:val="clear"/>
              <w:snapToGrid w:val="0"/>
              <w:spacing w:line="320" w:lineRule="exact"/>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注：提供合同复印件，</w:t>
            </w:r>
            <w:r>
              <w:rPr>
                <w:rFonts w:hint="eastAsia" w:ascii="宋体" w:hAnsi="宋体" w:eastAsia="宋体" w:cs="宋体"/>
                <w:b w:val="0"/>
                <w:bCs w:val="0"/>
                <w:color w:val="auto"/>
                <w:kern w:val="0"/>
                <w:sz w:val="21"/>
                <w:szCs w:val="21"/>
                <w:highlight w:val="none"/>
                <w:u w:val="none"/>
                <w:lang w:val="en-US" w:eastAsia="zh-CN" w:bidi="ar-SA"/>
              </w:rPr>
              <w:t>否则不得分。</w:t>
            </w:r>
          </w:p>
        </w:tc>
      </w:tr>
      <w:tr w14:paraId="70C0C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239" w:type="dxa"/>
            <w:vMerge w:val="continue"/>
            <w:noWrap w:val="0"/>
            <w:vAlign w:val="center"/>
          </w:tcPr>
          <w:p w14:paraId="156D49A5">
            <w:pPr>
              <w:shd w:val="clear"/>
              <w:snapToGrid w:val="0"/>
              <w:spacing w:line="320" w:lineRule="exact"/>
              <w:jc w:val="center"/>
              <w:rPr>
                <w:rFonts w:ascii="宋体" w:cs="宋体"/>
                <w:color w:val="auto"/>
                <w:szCs w:val="21"/>
                <w:highlight w:val="none"/>
              </w:rPr>
            </w:pPr>
          </w:p>
        </w:tc>
        <w:tc>
          <w:tcPr>
            <w:tcW w:w="1473" w:type="dxa"/>
            <w:noWrap w:val="0"/>
            <w:vAlign w:val="center"/>
          </w:tcPr>
          <w:p w14:paraId="6C2FD18F">
            <w:pPr>
              <w:shd w:val="clear"/>
              <w:snapToGrid w:val="0"/>
              <w:spacing w:line="320" w:lineRule="exact"/>
              <w:jc w:val="center"/>
              <w:rPr>
                <w:rFonts w:asci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售后服务</w:t>
            </w:r>
          </w:p>
          <w:p w14:paraId="21FA4F22">
            <w:pPr>
              <w:shd w:val="clear"/>
              <w:snapToGrid w:val="0"/>
              <w:spacing w:line="320" w:lineRule="exact"/>
              <w:jc w:val="center"/>
              <w:rPr>
                <w:rFonts w:asci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8分</w:t>
            </w:r>
            <w:r>
              <w:rPr>
                <w:rFonts w:ascii="宋体" w:hAnsi="宋体" w:cs="宋体"/>
                <w:color w:val="auto"/>
                <w:szCs w:val="21"/>
                <w:highlight w:val="none"/>
              </w:rPr>
              <w:t>)</w:t>
            </w:r>
          </w:p>
        </w:tc>
        <w:tc>
          <w:tcPr>
            <w:tcW w:w="6770" w:type="dxa"/>
            <w:noWrap w:val="0"/>
            <w:vAlign w:val="center"/>
          </w:tcPr>
          <w:p w14:paraId="264528FF">
            <w:pPr>
              <w:widowControl/>
              <w:shd w:val="clear"/>
              <w:snapToGrid w:val="0"/>
              <w:spacing w:line="320" w:lineRule="exact"/>
              <w:jc w:val="left"/>
              <w:rPr>
                <w:rFonts w:ascii="宋体" w:hAnsi="宋体" w:cs="宋体"/>
                <w:color w:val="auto"/>
                <w:szCs w:val="21"/>
                <w:highlight w:val="none"/>
              </w:rPr>
            </w:pPr>
            <w:r>
              <w:rPr>
                <w:rFonts w:hint="eastAsia" w:ascii="宋体" w:hAnsi="宋体" w:cs="宋体"/>
                <w:color w:val="auto"/>
                <w:szCs w:val="21"/>
                <w:highlight w:val="none"/>
              </w:rPr>
              <w:t>根据供应商提供的售后服务流程、售后服务网点设立、售后服务人员配备及专业技术能力说明、故障响应时间、售后服务保障措施等进行打分。</w:t>
            </w:r>
          </w:p>
          <w:p w14:paraId="67768BA5">
            <w:pPr>
              <w:widowControl/>
              <w:shd w:val="clear"/>
              <w:snapToGrid w:val="0"/>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服务承诺符合本项目特点，服务体系及服务措施承诺及计划内容完整，措施详尽，服务响应时间短、人员安排合理，服务配合度高，跟踪服务到位，能主动配合得8分；</w:t>
            </w:r>
          </w:p>
          <w:p w14:paraId="57848CA9">
            <w:pPr>
              <w:widowControl/>
              <w:shd w:val="clear"/>
              <w:snapToGrid w:val="0"/>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服务承诺符合本项目特点，服务体系及服务措施承诺及计划内容完整，有服务响应、人员安排计划，能配合开展工作，得5分；</w:t>
            </w:r>
          </w:p>
          <w:p w14:paraId="44CF0122">
            <w:pPr>
              <w:widowControl/>
              <w:shd w:val="clear"/>
              <w:snapToGrid w:val="0"/>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服务体系及服务措施承诺及计划内容不完善，故障响应时间较长、维修措施预案不完备，配合度不高，得2分；</w:t>
            </w:r>
          </w:p>
          <w:p w14:paraId="797F4BF1">
            <w:pPr>
              <w:widowControl/>
              <w:shd w:val="clear"/>
              <w:snapToGrid w:val="0"/>
              <w:spacing w:line="320" w:lineRule="exact"/>
              <w:jc w:val="left"/>
              <w:rPr>
                <w:rFonts w:ascii="宋体" w:cs="宋体"/>
                <w:color w:val="auto"/>
                <w:highlight w:val="none"/>
              </w:rPr>
            </w:pPr>
            <w:r>
              <w:rPr>
                <w:rFonts w:hint="eastAsia" w:ascii="宋体" w:hAnsi="宋体" w:cs="宋体"/>
                <w:color w:val="auto"/>
                <w:szCs w:val="21"/>
                <w:highlight w:val="none"/>
              </w:rPr>
              <w:t>缺项得0分。</w:t>
            </w:r>
          </w:p>
        </w:tc>
      </w:tr>
      <w:tr w14:paraId="7C890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239" w:type="dxa"/>
            <w:vMerge w:val="continue"/>
            <w:noWrap w:val="0"/>
            <w:vAlign w:val="center"/>
          </w:tcPr>
          <w:p w14:paraId="3ECCE6B4">
            <w:pPr>
              <w:shd w:val="clear"/>
              <w:snapToGrid w:val="0"/>
              <w:spacing w:line="320" w:lineRule="exact"/>
              <w:jc w:val="center"/>
              <w:rPr>
                <w:rFonts w:ascii="宋体" w:cs="宋体"/>
                <w:color w:val="auto"/>
                <w:szCs w:val="21"/>
                <w:highlight w:val="none"/>
              </w:rPr>
            </w:pPr>
          </w:p>
        </w:tc>
        <w:tc>
          <w:tcPr>
            <w:tcW w:w="1473" w:type="dxa"/>
            <w:noWrap w:val="0"/>
            <w:vAlign w:val="center"/>
          </w:tcPr>
          <w:p w14:paraId="316843CA">
            <w:pPr>
              <w:shd w:val="clear"/>
              <w:snapToGrid w:val="0"/>
              <w:spacing w:line="320" w:lineRule="exact"/>
              <w:jc w:val="center"/>
              <w:rPr>
                <w:rFonts w:asci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其他优惠承诺</w:t>
            </w:r>
          </w:p>
          <w:p w14:paraId="0A2D18A5">
            <w:pPr>
              <w:shd w:val="clear"/>
              <w:snapToGrid w:val="0"/>
              <w:spacing w:line="320" w:lineRule="exact"/>
              <w:jc w:val="center"/>
              <w:rPr>
                <w:rFonts w:ascii="宋体" w:cs="宋体"/>
                <w:color w:val="auto"/>
                <w:szCs w:val="21"/>
                <w:highlight w:val="none"/>
              </w:rPr>
            </w:pPr>
            <w:r>
              <w:rPr>
                <w:rFonts w:hint="eastAsia" w:ascii="宋体" w:hAnsi="宋体" w:cs="宋体"/>
                <w:color w:val="auto"/>
                <w:szCs w:val="21"/>
                <w:highlight w:val="none"/>
              </w:rPr>
              <w:t>（4分）</w:t>
            </w:r>
          </w:p>
        </w:tc>
        <w:tc>
          <w:tcPr>
            <w:tcW w:w="6770" w:type="dxa"/>
            <w:noWrap w:val="0"/>
            <w:vAlign w:val="center"/>
          </w:tcPr>
          <w:p w14:paraId="736FEC8D">
            <w:pPr>
              <w:widowControl/>
              <w:shd w:val="clear"/>
              <w:snapToGrid w:val="0"/>
              <w:spacing w:line="320" w:lineRule="exact"/>
              <w:jc w:val="left"/>
              <w:rPr>
                <w:rFonts w:ascii="宋体" w:cs="宋体"/>
                <w:color w:val="auto"/>
                <w:szCs w:val="21"/>
                <w:highlight w:val="none"/>
              </w:rPr>
            </w:pPr>
            <w:r>
              <w:rPr>
                <w:rFonts w:hint="eastAsia" w:ascii="宋体" w:hAnsi="宋体" w:cs="宋体"/>
                <w:color w:val="auto"/>
                <w:szCs w:val="21"/>
                <w:highlight w:val="none"/>
              </w:rPr>
              <w:t>根据供应商在满足采购文件基本要求的基础上提供的实质性优惠承诺。</w:t>
            </w:r>
          </w:p>
          <w:p w14:paraId="723AD56A">
            <w:pPr>
              <w:widowControl/>
              <w:shd w:val="clear"/>
              <w:snapToGrid w:val="0"/>
              <w:spacing w:line="320" w:lineRule="exact"/>
              <w:jc w:val="left"/>
              <w:rPr>
                <w:color w:val="auto"/>
                <w:highlight w:val="none"/>
              </w:rPr>
            </w:pPr>
            <w:r>
              <w:rPr>
                <w:rFonts w:hint="eastAsia" w:ascii="宋体" w:hAnsi="宋体" w:cs="宋体"/>
                <w:color w:val="auto"/>
                <w:szCs w:val="21"/>
                <w:highlight w:val="none"/>
              </w:rPr>
              <w:t>每提供一项对采购人有利的、切实可行的实质性优惠承诺得</w:t>
            </w:r>
            <w:r>
              <w:rPr>
                <w:rFonts w:ascii="宋体" w:hAnsi="宋体" w:cs="宋体"/>
                <w:color w:val="auto"/>
                <w:szCs w:val="21"/>
                <w:highlight w:val="none"/>
              </w:rPr>
              <w:t>2</w:t>
            </w:r>
            <w:r>
              <w:rPr>
                <w:rFonts w:hint="eastAsia" w:ascii="宋体" w:hAnsi="宋体" w:cs="宋体"/>
                <w:color w:val="auto"/>
                <w:szCs w:val="21"/>
                <w:highlight w:val="none"/>
              </w:rPr>
              <w:t>分，最多得4分。未提供者不得分。</w:t>
            </w:r>
            <w:r>
              <w:rPr>
                <w:rFonts w:ascii="宋体" w:hAnsi="宋体" w:cs="宋体"/>
                <w:color w:val="auto"/>
                <w:szCs w:val="21"/>
                <w:highlight w:val="none"/>
              </w:rPr>
              <w:t xml:space="preserve"> </w:t>
            </w:r>
          </w:p>
        </w:tc>
      </w:tr>
      <w:tr w14:paraId="6612D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67D041C4">
            <w:pPr>
              <w:shd w:val="clear"/>
              <w:snapToGrid w:val="0"/>
              <w:spacing w:line="320" w:lineRule="exact"/>
              <w:jc w:val="center"/>
              <w:rPr>
                <w:rFonts w:ascii="宋体" w:cs="宋体"/>
                <w:color w:val="auto"/>
                <w:szCs w:val="21"/>
                <w:highlight w:val="none"/>
              </w:rPr>
            </w:pPr>
            <w:r>
              <w:rPr>
                <w:rFonts w:hint="eastAsia" w:ascii="宋体" w:hAnsi="宋体" w:cs="宋体"/>
                <w:color w:val="auto"/>
                <w:szCs w:val="21"/>
                <w:highlight w:val="none"/>
              </w:rPr>
              <w:t>得分的计算</w:t>
            </w:r>
          </w:p>
        </w:tc>
        <w:tc>
          <w:tcPr>
            <w:tcW w:w="8243" w:type="dxa"/>
            <w:gridSpan w:val="2"/>
            <w:noWrap w:val="0"/>
            <w:vAlign w:val="center"/>
          </w:tcPr>
          <w:p w14:paraId="42CB53BD">
            <w:pPr>
              <w:shd w:val="clear"/>
              <w:snapToGrid w:val="0"/>
              <w:spacing w:line="320" w:lineRule="exact"/>
              <w:rPr>
                <w:rFonts w:ascii="宋体" w:cs="宋体"/>
                <w:color w:val="auto"/>
                <w:szCs w:val="21"/>
                <w:highlight w:val="none"/>
              </w:rPr>
            </w:pPr>
            <w:r>
              <w:rPr>
                <w:rFonts w:hint="eastAsia" w:ascii="宋体" w:hAnsi="宋体" w:cs="宋体"/>
                <w:color w:val="auto"/>
                <w:szCs w:val="21"/>
                <w:highlight w:val="none"/>
              </w:rPr>
              <w:t>磋商小组成员评分</w:t>
            </w:r>
            <w:r>
              <w:rPr>
                <w:rFonts w:ascii="宋体" w:hAnsi="宋体" w:cs="宋体"/>
                <w:color w:val="auto"/>
                <w:szCs w:val="21"/>
                <w:highlight w:val="none"/>
              </w:rPr>
              <w:t>=</w:t>
            </w:r>
            <w:r>
              <w:rPr>
                <w:rFonts w:hint="eastAsia" w:ascii="宋体" w:hAnsi="宋体" w:cs="宋体"/>
                <w:color w:val="auto"/>
                <w:szCs w:val="21"/>
                <w:highlight w:val="none"/>
              </w:rPr>
              <w:t>各项评分因素的汇总得分。</w:t>
            </w:r>
          </w:p>
          <w:p w14:paraId="76E40D07">
            <w:pPr>
              <w:shd w:val="clear"/>
              <w:snapToGrid w:val="0"/>
              <w:spacing w:line="320" w:lineRule="exact"/>
              <w:rPr>
                <w:rFonts w:ascii="宋体" w:cs="宋体"/>
                <w:color w:val="auto"/>
                <w:szCs w:val="21"/>
                <w:highlight w:val="none"/>
              </w:rPr>
            </w:pPr>
            <w:r>
              <w:rPr>
                <w:rFonts w:hint="eastAsia" w:ascii="宋体" w:hAnsi="宋体" w:cs="宋体"/>
                <w:color w:val="auto"/>
                <w:szCs w:val="21"/>
                <w:highlight w:val="none"/>
              </w:rPr>
              <w:t>评标总得分</w:t>
            </w:r>
            <w:r>
              <w:rPr>
                <w:rFonts w:ascii="宋体" w:hAnsi="宋体" w:cs="宋体"/>
                <w:color w:val="auto"/>
                <w:szCs w:val="21"/>
                <w:highlight w:val="none"/>
              </w:rPr>
              <w:t>=</w:t>
            </w:r>
            <w:r>
              <w:rPr>
                <w:rFonts w:hint="eastAsia" w:ascii="宋体" w:hAnsi="宋体" w:cs="宋体"/>
                <w:color w:val="auto"/>
                <w:szCs w:val="21"/>
                <w:highlight w:val="none"/>
              </w:rPr>
              <w:t>磋商小组所有成员合计评分</w:t>
            </w:r>
            <w:r>
              <w:rPr>
                <w:rFonts w:ascii="宋体" w:hAnsi="宋体" w:cs="宋体"/>
                <w:color w:val="auto"/>
                <w:szCs w:val="21"/>
                <w:highlight w:val="none"/>
              </w:rPr>
              <w:t>/</w:t>
            </w:r>
            <w:r>
              <w:rPr>
                <w:rFonts w:hint="eastAsia" w:ascii="宋体" w:hAnsi="宋体" w:cs="宋体"/>
                <w:color w:val="auto"/>
                <w:szCs w:val="21"/>
                <w:highlight w:val="none"/>
              </w:rPr>
              <w:t>磋商小组组成人员数。</w:t>
            </w:r>
          </w:p>
        </w:tc>
      </w:tr>
    </w:tbl>
    <w:p w14:paraId="0B8E7357">
      <w:pPr>
        <w:pStyle w:val="8"/>
        <w:shd w:val="clear"/>
        <w:jc w:val="center"/>
        <w:rPr>
          <w:rFonts w:hint="eastAsia" w:ascii="宋体" w:hAnsi="宋体" w:cs="宋体"/>
          <w:color w:val="auto"/>
          <w:sz w:val="28"/>
          <w:szCs w:val="28"/>
          <w:highlight w:val="none"/>
        </w:rPr>
        <w:sectPr>
          <w:pgSz w:w="11906" w:h="16838"/>
          <w:pgMar w:top="1417" w:right="1474" w:bottom="1417" w:left="1474" w:header="851" w:footer="624" w:gutter="0"/>
          <w:cols w:space="720" w:num="1"/>
          <w:docGrid w:type="lines" w:linePitch="319" w:charSpace="0"/>
        </w:sectPr>
      </w:pPr>
    </w:p>
    <w:p w14:paraId="2B833749">
      <w:pPr>
        <w:pStyle w:val="2"/>
        <w:shd w:val="clear"/>
        <w:snapToGrid w:val="0"/>
        <w:spacing w:before="159" w:after="0" w:line="48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第五章  采购合同</w:t>
      </w:r>
      <w:bookmarkEnd w:id="50"/>
    </w:p>
    <w:p w14:paraId="63ECA882">
      <w:pPr>
        <w:shd w:val="clea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（以实际合同为准）</w:t>
      </w:r>
    </w:p>
    <w:p w14:paraId="09097DE3">
      <w:pPr>
        <w:shd w:val="clear"/>
        <w:rPr>
          <w:rFonts w:hint="eastAsia" w:ascii="宋体" w:hAnsi="宋体" w:cs="宋体"/>
          <w:color w:val="auto"/>
          <w:sz w:val="32"/>
          <w:szCs w:val="32"/>
          <w:highlight w:val="none"/>
        </w:rPr>
      </w:pPr>
    </w:p>
    <w:p w14:paraId="4C2F2E34">
      <w:pPr>
        <w:shd w:val="clear"/>
        <w:rPr>
          <w:rFonts w:hint="eastAsia" w:ascii="宋体" w:hAnsi="宋体" w:cs="宋体"/>
          <w:color w:val="auto"/>
          <w:highlight w:val="none"/>
        </w:rPr>
      </w:pPr>
      <w:r>
        <w:rPr>
          <w:rFonts w:hint="eastAsia" w:ascii="宋体" w:hAnsi="宋体" w:cs="宋体"/>
          <w:color w:val="auto"/>
          <w:highlight w:val="none"/>
        </w:rPr>
        <w:br w:type="page"/>
      </w:r>
    </w:p>
    <w:p w14:paraId="490C5855">
      <w:pPr>
        <w:pStyle w:val="2"/>
        <w:shd w:val="clear"/>
        <w:spacing w:before="159"/>
        <w:jc w:val="center"/>
        <w:rPr>
          <w:rFonts w:hint="eastAsia" w:ascii="宋体" w:hAnsi="宋体" w:cs="宋体"/>
          <w:color w:val="auto"/>
          <w:kern w:val="0"/>
          <w:highlight w:val="none"/>
        </w:rPr>
      </w:pPr>
      <w:bookmarkStart w:id="55" w:name="_Toc18702"/>
      <w:r>
        <w:rPr>
          <w:rFonts w:hint="eastAsia" w:ascii="宋体" w:hAnsi="宋体" w:cs="宋体"/>
          <w:color w:val="auto"/>
          <w:sz w:val="32"/>
          <w:szCs w:val="32"/>
          <w:highlight w:val="none"/>
        </w:rPr>
        <w:t>第六章  响应文件格式</w:t>
      </w:r>
      <w:bookmarkEnd w:id="51"/>
      <w:bookmarkEnd w:id="52"/>
      <w:bookmarkEnd w:id="55"/>
    </w:p>
    <w:p w14:paraId="79A58DBE">
      <w:pPr>
        <w:shd w:val="clear"/>
        <w:spacing w:line="440" w:lineRule="exact"/>
        <w:rPr>
          <w:rFonts w:hint="eastAsia" w:ascii="宋体" w:hAnsi="宋体" w:cs="宋体"/>
          <w:color w:val="auto"/>
          <w:sz w:val="24"/>
          <w:highlight w:val="none"/>
        </w:rPr>
      </w:pPr>
    </w:p>
    <w:p w14:paraId="5F3B9C32">
      <w:pPr>
        <w:shd w:val="clear"/>
        <w:jc w:val="center"/>
        <w:rPr>
          <w:rFonts w:hint="eastAsia" w:ascii="宋体" w:hAnsi="宋体" w:cs="宋体"/>
          <w:b/>
          <w:bCs/>
          <w:color w:val="auto"/>
          <w:sz w:val="32"/>
          <w:szCs w:val="32"/>
          <w:highlight w:val="none"/>
        </w:rPr>
      </w:pPr>
      <w:bookmarkStart w:id="56" w:name="_Toc13604"/>
      <w:r>
        <w:rPr>
          <w:rFonts w:hint="eastAsia" w:ascii="宋体" w:hAnsi="宋体" w:cs="宋体"/>
          <w:b/>
          <w:bCs/>
          <w:color w:val="auto"/>
          <w:sz w:val="32"/>
          <w:szCs w:val="32"/>
          <w:highlight w:val="none"/>
        </w:rPr>
        <w:t>目    录</w:t>
      </w:r>
      <w:bookmarkEnd w:id="56"/>
    </w:p>
    <w:p w14:paraId="0CE412D8">
      <w:pPr>
        <w:widowControl/>
        <w:shd w:val="clear"/>
        <w:wordWrap w:val="0"/>
        <w:spacing w:line="460" w:lineRule="exact"/>
        <w:ind w:firstLine="480" w:firstLineChars="200"/>
        <w:jc w:val="left"/>
        <w:rPr>
          <w:rFonts w:hint="eastAsia" w:ascii="宋体" w:hAnsi="宋体" w:cs="宋体"/>
          <w:color w:val="auto"/>
          <w:kern w:val="0"/>
          <w:sz w:val="24"/>
          <w:highlight w:val="none"/>
        </w:rPr>
      </w:pPr>
    </w:p>
    <w:p w14:paraId="24B3926E">
      <w:pPr>
        <w:shd w:val="clear"/>
        <w:snapToGrid w:val="0"/>
        <w:spacing w:line="360" w:lineRule="auto"/>
        <w:ind w:firstLine="480" w:firstLineChars="200"/>
        <w:rPr>
          <w:rFonts w:hint="eastAsia" w:ascii="宋体" w:hAnsi="宋体" w:cs="宋体"/>
          <w:color w:val="auto"/>
          <w:sz w:val="24"/>
          <w:highlight w:val="none"/>
        </w:rPr>
      </w:pPr>
      <w:bookmarkStart w:id="57" w:name="_Toc11308"/>
      <w:r>
        <w:rPr>
          <w:rFonts w:hint="eastAsia" w:ascii="宋体" w:hAnsi="宋体" w:cs="宋体"/>
          <w:color w:val="auto"/>
          <w:sz w:val="24"/>
          <w:highlight w:val="none"/>
        </w:rPr>
        <w:t>附件1 响应文件封面（格式）</w:t>
      </w:r>
      <w:bookmarkEnd w:id="57"/>
    </w:p>
    <w:p w14:paraId="18055503">
      <w:pPr>
        <w:shd w:val="clear"/>
        <w:snapToGrid w:val="0"/>
        <w:spacing w:line="360" w:lineRule="auto"/>
        <w:ind w:firstLine="480" w:firstLineChars="200"/>
        <w:rPr>
          <w:rFonts w:hint="eastAsia" w:ascii="宋体" w:hAnsi="宋体" w:cs="宋体"/>
          <w:color w:val="auto"/>
          <w:sz w:val="24"/>
          <w:highlight w:val="none"/>
        </w:rPr>
      </w:pPr>
      <w:bookmarkStart w:id="58" w:name="_Toc25345"/>
      <w:r>
        <w:rPr>
          <w:rFonts w:hint="eastAsia" w:ascii="宋体" w:hAnsi="宋体" w:cs="宋体"/>
          <w:color w:val="auto"/>
          <w:sz w:val="24"/>
          <w:highlight w:val="none"/>
        </w:rPr>
        <w:t xml:space="preserve">附件2 </w:t>
      </w:r>
      <w:r>
        <w:rPr>
          <w:rFonts w:hint="eastAsia" w:ascii="宋体" w:hAnsi="宋体" w:cs="宋体"/>
          <w:color w:val="auto"/>
          <w:kern w:val="0"/>
          <w:sz w:val="24"/>
          <w:highlight w:val="none"/>
        </w:rPr>
        <w:t>竞争性磋商响应书</w:t>
      </w:r>
      <w:r>
        <w:rPr>
          <w:rFonts w:hint="eastAsia" w:ascii="宋体" w:hAnsi="宋体" w:cs="宋体"/>
          <w:color w:val="auto"/>
          <w:sz w:val="24"/>
          <w:highlight w:val="none"/>
        </w:rPr>
        <w:t>（格式）</w:t>
      </w:r>
      <w:bookmarkEnd w:id="58"/>
    </w:p>
    <w:p w14:paraId="1F9B1FC5">
      <w:pPr>
        <w:shd w:val="clear"/>
        <w:snapToGrid w:val="0"/>
        <w:spacing w:line="360" w:lineRule="auto"/>
        <w:ind w:firstLine="480" w:firstLineChars="200"/>
        <w:rPr>
          <w:rFonts w:hint="eastAsia" w:ascii="宋体" w:hAnsi="宋体" w:cs="宋体"/>
          <w:color w:val="auto"/>
          <w:sz w:val="24"/>
          <w:highlight w:val="none"/>
        </w:rPr>
      </w:pPr>
      <w:bookmarkStart w:id="59" w:name="_Toc10217"/>
      <w:r>
        <w:rPr>
          <w:rFonts w:hint="eastAsia" w:ascii="宋体" w:hAnsi="宋体" w:cs="宋体"/>
          <w:color w:val="auto"/>
          <w:sz w:val="24"/>
          <w:highlight w:val="none"/>
        </w:rPr>
        <w:t xml:space="preserve">附件3 </w:t>
      </w:r>
      <w:r>
        <w:rPr>
          <w:rFonts w:hint="eastAsia" w:ascii="宋体" w:hAnsi="宋体" w:cs="宋体"/>
          <w:color w:val="auto"/>
          <w:kern w:val="0"/>
          <w:sz w:val="24"/>
          <w:highlight w:val="none"/>
        </w:rPr>
        <w:t>初次报价一览表</w:t>
      </w:r>
      <w:r>
        <w:rPr>
          <w:rFonts w:hint="eastAsia" w:ascii="宋体" w:hAnsi="宋体" w:cs="宋体"/>
          <w:color w:val="auto"/>
          <w:sz w:val="24"/>
          <w:highlight w:val="none"/>
        </w:rPr>
        <w:t>（格式）</w:t>
      </w:r>
      <w:bookmarkEnd w:id="59"/>
    </w:p>
    <w:p w14:paraId="1D1E8D94">
      <w:pPr>
        <w:shd w:val="clear"/>
        <w:snapToGrid w:val="0"/>
        <w:spacing w:line="360" w:lineRule="auto"/>
        <w:ind w:firstLine="480" w:firstLineChars="200"/>
        <w:rPr>
          <w:rFonts w:hint="eastAsia" w:ascii="宋体" w:hAnsi="宋体" w:cs="宋体"/>
          <w:color w:val="auto"/>
          <w:sz w:val="24"/>
          <w:highlight w:val="none"/>
        </w:rPr>
      </w:pPr>
      <w:bookmarkStart w:id="60" w:name="_Toc9579"/>
      <w:r>
        <w:rPr>
          <w:rFonts w:hint="eastAsia" w:ascii="宋体" w:hAnsi="宋体" w:cs="宋体"/>
          <w:color w:val="auto"/>
          <w:sz w:val="24"/>
          <w:highlight w:val="none"/>
        </w:rPr>
        <w:t xml:space="preserve">附件4 </w:t>
      </w:r>
      <w:bookmarkEnd w:id="60"/>
      <w:r>
        <w:rPr>
          <w:rFonts w:hint="eastAsia" w:ascii="宋体" w:hAnsi="宋体" w:cs="宋体"/>
          <w:color w:val="auto"/>
          <w:sz w:val="24"/>
          <w:highlight w:val="none"/>
        </w:rPr>
        <w:t>报价明细表（格式）</w:t>
      </w:r>
    </w:p>
    <w:p w14:paraId="382A2568">
      <w:pPr>
        <w:shd w:val="clear"/>
        <w:snapToGrid w:val="0"/>
        <w:spacing w:line="360" w:lineRule="auto"/>
        <w:ind w:firstLine="480" w:firstLineChars="200"/>
        <w:rPr>
          <w:rFonts w:hint="eastAsia" w:ascii="宋体" w:hAnsi="宋体" w:cs="宋体"/>
          <w:color w:val="auto"/>
          <w:sz w:val="24"/>
          <w:highlight w:val="none"/>
        </w:rPr>
      </w:pPr>
      <w:bookmarkStart w:id="61" w:name="_Toc28392"/>
      <w:r>
        <w:rPr>
          <w:rFonts w:hint="eastAsia" w:ascii="宋体" w:hAnsi="宋体" w:cs="宋体"/>
          <w:color w:val="auto"/>
          <w:sz w:val="24"/>
          <w:highlight w:val="none"/>
        </w:rPr>
        <w:t>附件5 技术响应</w:t>
      </w:r>
      <w:bookmarkEnd w:id="61"/>
      <w:r>
        <w:rPr>
          <w:rFonts w:hint="eastAsia" w:ascii="宋体" w:hAnsi="宋体" w:cs="宋体"/>
          <w:color w:val="auto"/>
          <w:sz w:val="24"/>
          <w:highlight w:val="none"/>
        </w:rPr>
        <w:t>表（格式）</w:t>
      </w:r>
    </w:p>
    <w:p w14:paraId="43E9DAED">
      <w:pPr>
        <w:shd w:val="clear"/>
        <w:snapToGrid w:val="0"/>
        <w:spacing w:line="360" w:lineRule="auto"/>
        <w:ind w:firstLine="480" w:firstLineChars="200"/>
        <w:rPr>
          <w:rFonts w:hint="eastAsia" w:ascii="宋体" w:hAnsi="宋体" w:cs="宋体"/>
          <w:color w:val="auto"/>
          <w:sz w:val="24"/>
          <w:highlight w:val="none"/>
        </w:rPr>
      </w:pPr>
      <w:bookmarkStart w:id="62" w:name="_Toc6234"/>
      <w:r>
        <w:rPr>
          <w:rFonts w:hint="eastAsia" w:ascii="宋体" w:hAnsi="宋体" w:cs="宋体"/>
          <w:color w:val="auto"/>
          <w:sz w:val="24"/>
          <w:highlight w:val="none"/>
        </w:rPr>
        <w:t>附件6 商务</w:t>
      </w:r>
      <w:bookmarkEnd w:id="62"/>
      <w:r>
        <w:rPr>
          <w:rFonts w:hint="eastAsia" w:ascii="宋体" w:hAnsi="宋体" w:cs="宋体"/>
          <w:color w:val="auto"/>
          <w:sz w:val="24"/>
          <w:highlight w:val="none"/>
        </w:rPr>
        <w:t>响应表（格式）</w:t>
      </w:r>
    </w:p>
    <w:p w14:paraId="7D808F42">
      <w:pPr>
        <w:shd w:val="clear"/>
        <w:snapToGrid w:val="0"/>
        <w:spacing w:line="360" w:lineRule="auto"/>
        <w:ind w:firstLine="480" w:firstLineChars="200"/>
        <w:rPr>
          <w:rFonts w:hint="eastAsia" w:ascii="宋体" w:hAnsi="宋体" w:cs="宋体"/>
          <w:color w:val="auto"/>
          <w:sz w:val="24"/>
          <w:highlight w:val="none"/>
        </w:rPr>
      </w:pPr>
      <w:bookmarkStart w:id="63" w:name="_Toc26231"/>
      <w:r>
        <w:rPr>
          <w:rFonts w:hint="eastAsia" w:ascii="宋体" w:hAnsi="宋体" w:cs="宋体"/>
          <w:color w:val="auto"/>
          <w:sz w:val="24"/>
          <w:highlight w:val="none"/>
        </w:rPr>
        <w:t>附件7 法定代表人身份证明（格式）</w:t>
      </w:r>
      <w:bookmarkEnd w:id="63"/>
    </w:p>
    <w:p w14:paraId="4804DD06">
      <w:pPr>
        <w:shd w:val="clear"/>
        <w:snapToGrid w:val="0"/>
        <w:spacing w:line="360" w:lineRule="auto"/>
        <w:ind w:firstLine="480" w:firstLineChars="200"/>
        <w:rPr>
          <w:rFonts w:hint="eastAsia" w:ascii="宋体" w:hAnsi="宋体" w:cs="宋体"/>
          <w:color w:val="auto"/>
          <w:sz w:val="24"/>
          <w:highlight w:val="none"/>
        </w:rPr>
      </w:pPr>
      <w:bookmarkStart w:id="64" w:name="_Toc18484"/>
      <w:r>
        <w:rPr>
          <w:rFonts w:hint="eastAsia" w:ascii="宋体" w:hAnsi="宋体" w:cs="宋体"/>
          <w:color w:val="auto"/>
          <w:sz w:val="24"/>
          <w:highlight w:val="none"/>
        </w:rPr>
        <w:t>附件8 法定代表人授权书（格式）</w:t>
      </w:r>
      <w:bookmarkEnd w:id="64"/>
    </w:p>
    <w:p w14:paraId="7DA0075E">
      <w:pPr>
        <w:shd w:val="clear"/>
        <w:snapToGrid w:val="0"/>
        <w:spacing w:line="360" w:lineRule="auto"/>
        <w:ind w:firstLine="480" w:firstLineChars="200"/>
        <w:rPr>
          <w:rFonts w:hint="eastAsia" w:ascii="宋体" w:hAnsi="宋体" w:cs="宋体"/>
          <w:color w:val="auto"/>
          <w:sz w:val="24"/>
          <w:highlight w:val="none"/>
        </w:rPr>
      </w:pPr>
      <w:bookmarkStart w:id="65" w:name="_Toc31857"/>
      <w:r>
        <w:rPr>
          <w:rFonts w:hint="eastAsia" w:ascii="宋体" w:hAnsi="宋体" w:cs="宋体"/>
          <w:color w:val="auto"/>
          <w:sz w:val="24"/>
          <w:highlight w:val="none"/>
        </w:rPr>
        <w:t>附件9 证明文件</w:t>
      </w:r>
      <w:bookmarkEnd w:id="65"/>
    </w:p>
    <w:p w14:paraId="7F479954">
      <w:pPr>
        <w:shd w:val="clear"/>
        <w:snapToGrid w:val="0"/>
        <w:spacing w:line="360" w:lineRule="auto"/>
        <w:ind w:firstLine="480" w:firstLineChars="200"/>
        <w:rPr>
          <w:rFonts w:hint="eastAsia" w:ascii="宋体" w:hAnsi="宋体" w:cs="宋体"/>
          <w:color w:val="auto"/>
          <w:sz w:val="24"/>
          <w:highlight w:val="none"/>
        </w:rPr>
      </w:pPr>
      <w:bookmarkStart w:id="66" w:name="_Toc23116"/>
      <w:r>
        <w:rPr>
          <w:rFonts w:hint="eastAsia" w:ascii="宋体" w:hAnsi="宋体" w:cs="宋体"/>
          <w:color w:val="auto"/>
          <w:sz w:val="24"/>
          <w:highlight w:val="none"/>
        </w:rPr>
        <w:t>附件10 供应商承诺书（格式）</w:t>
      </w:r>
      <w:bookmarkEnd w:id="66"/>
    </w:p>
    <w:p w14:paraId="78D23934">
      <w:pPr>
        <w:shd w:val="clea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附件11 供应商信用承诺函（格式）</w:t>
      </w:r>
    </w:p>
    <w:p w14:paraId="33E96C50">
      <w:pPr>
        <w:shd w:val="clear"/>
        <w:snapToGrid w:val="0"/>
        <w:spacing w:line="360" w:lineRule="auto"/>
        <w:ind w:firstLine="480" w:firstLineChars="200"/>
        <w:rPr>
          <w:rFonts w:hint="eastAsia" w:ascii="宋体" w:hAnsi="宋体" w:cs="宋体"/>
          <w:color w:val="auto"/>
          <w:sz w:val="24"/>
          <w:highlight w:val="none"/>
        </w:rPr>
      </w:pPr>
    </w:p>
    <w:p w14:paraId="1CED0C9C">
      <w:pPr>
        <w:pStyle w:val="33"/>
        <w:shd w:val="clear"/>
        <w:ind w:firstLine="210"/>
        <w:rPr>
          <w:rFonts w:hint="eastAsia" w:ascii="宋体" w:hAnsi="宋体" w:cs="宋体"/>
          <w:color w:val="auto"/>
          <w:highlight w:val="none"/>
        </w:rPr>
      </w:pPr>
    </w:p>
    <w:p w14:paraId="4D098474">
      <w:pPr>
        <w:widowControl/>
        <w:shd w:val="clear"/>
        <w:wordWrap w:val="0"/>
        <w:snapToGrid w:val="0"/>
        <w:spacing w:line="460" w:lineRule="exact"/>
        <w:ind w:firstLine="482" w:firstLineChars="200"/>
        <w:jc w:val="center"/>
        <w:rPr>
          <w:rFonts w:hint="eastAsia" w:ascii="宋体" w:hAnsi="宋体" w:cs="宋体"/>
          <w:b/>
          <w:bCs/>
          <w:color w:val="auto"/>
          <w:kern w:val="0"/>
          <w:sz w:val="24"/>
          <w:highlight w:val="none"/>
        </w:rPr>
      </w:pPr>
    </w:p>
    <w:p w14:paraId="012B306F">
      <w:pPr>
        <w:widowControl/>
        <w:shd w:val="clear"/>
        <w:wordWrap w:val="0"/>
        <w:snapToGrid w:val="0"/>
        <w:spacing w:line="460" w:lineRule="exact"/>
        <w:ind w:firstLine="482" w:firstLineChars="200"/>
        <w:jc w:val="center"/>
        <w:rPr>
          <w:rFonts w:hint="eastAsia" w:ascii="宋体" w:hAnsi="宋体" w:cs="宋体"/>
          <w:b/>
          <w:bCs/>
          <w:color w:val="auto"/>
          <w:kern w:val="0"/>
          <w:sz w:val="24"/>
          <w:highlight w:val="none"/>
        </w:rPr>
      </w:pPr>
    </w:p>
    <w:p w14:paraId="70EDC114">
      <w:pPr>
        <w:widowControl/>
        <w:shd w:val="clear"/>
        <w:wordWrap w:val="0"/>
        <w:snapToGrid w:val="0"/>
        <w:spacing w:line="460" w:lineRule="exact"/>
        <w:ind w:firstLine="482" w:firstLineChars="200"/>
        <w:jc w:val="center"/>
        <w:rPr>
          <w:rFonts w:hint="eastAsia" w:ascii="宋体" w:hAnsi="宋体" w:cs="宋体"/>
          <w:b/>
          <w:bCs/>
          <w:color w:val="auto"/>
          <w:kern w:val="0"/>
          <w:sz w:val="24"/>
          <w:highlight w:val="none"/>
        </w:rPr>
      </w:pPr>
    </w:p>
    <w:p w14:paraId="6C15034A">
      <w:pPr>
        <w:pStyle w:val="3"/>
        <w:shd w:val="clear"/>
        <w:rPr>
          <w:rFonts w:hint="eastAsia" w:ascii="宋体" w:hAnsi="宋体" w:cs="宋体"/>
          <w:b/>
          <w:bCs/>
          <w:color w:val="auto"/>
          <w:kern w:val="0"/>
          <w:sz w:val="24"/>
          <w:highlight w:val="none"/>
        </w:rPr>
      </w:pPr>
    </w:p>
    <w:p w14:paraId="7D2C3054">
      <w:pPr>
        <w:pStyle w:val="4"/>
        <w:shd w:val="clear"/>
        <w:rPr>
          <w:rFonts w:hint="eastAsia" w:hAnsi="宋体"/>
          <w:b/>
          <w:bCs/>
          <w:color w:val="auto"/>
          <w:highlight w:val="none"/>
        </w:rPr>
      </w:pPr>
    </w:p>
    <w:p w14:paraId="23470FDC">
      <w:pPr>
        <w:pStyle w:val="4"/>
        <w:shd w:val="clear"/>
        <w:rPr>
          <w:rFonts w:hint="eastAsia" w:hAnsi="宋体"/>
          <w:b/>
          <w:bCs/>
          <w:color w:val="auto"/>
          <w:highlight w:val="none"/>
        </w:rPr>
      </w:pPr>
    </w:p>
    <w:p w14:paraId="783842CF">
      <w:pPr>
        <w:shd w:val="clear"/>
        <w:rPr>
          <w:rFonts w:hint="eastAsia" w:ascii="宋体" w:hAnsi="宋体" w:cs="宋体"/>
          <w:color w:val="auto"/>
          <w:highlight w:val="none"/>
        </w:rPr>
      </w:pPr>
      <w:r>
        <w:rPr>
          <w:rFonts w:hint="eastAsia" w:ascii="宋体" w:hAnsi="宋体" w:cs="宋体"/>
          <w:color w:val="auto"/>
          <w:highlight w:val="none"/>
        </w:rPr>
        <w:br w:type="page"/>
      </w:r>
    </w:p>
    <w:p w14:paraId="216801E0">
      <w:pPr>
        <w:pStyle w:val="28"/>
        <w:shd w:val="clear"/>
        <w:rPr>
          <w:rFonts w:hint="eastAsia" w:ascii="宋体" w:hAnsi="宋体" w:cs="宋体"/>
          <w:color w:val="auto"/>
          <w:highlight w:val="none"/>
        </w:rPr>
      </w:pPr>
    </w:p>
    <w:p w14:paraId="2E1CBFD3">
      <w:pPr>
        <w:pStyle w:val="8"/>
        <w:shd w:val="clear"/>
        <w:snapToGrid w:val="0"/>
        <w:spacing w:before="159" w:after="20" w:line="360" w:lineRule="auto"/>
        <w:rPr>
          <w:rFonts w:hint="eastAsia" w:ascii="宋体" w:hAnsi="宋体" w:eastAsia="宋体" w:cs="宋体"/>
          <w:color w:val="auto"/>
          <w:sz w:val="28"/>
          <w:szCs w:val="28"/>
          <w:highlight w:val="none"/>
        </w:rPr>
      </w:pPr>
      <w:bookmarkStart w:id="67" w:name="_Toc31798"/>
      <w:bookmarkStart w:id="68" w:name="_Toc24743"/>
      <w:r>
        <w:rPr>
          <w:rFonts w:hint="eastAsia" w:ascii="宋体" w:hAnsi="宋体" w:eastAsia="宋体" w:cs="宋体"/>
          <w:color w:val="auto"/>
          <w:sz w:val="28"/>
          <w:szCs w:val="28"/>
          <w:highlight w:val="none"/>
        </w:rPr>
        <w:t>附件1               响应文件封面（格式）</w:t>
      </w:r>
      <w:bookmarkEnd w:id="67"/>
      <w:bookmarkEnd w:id="68"/>
    </w:p>
    <w:p w14:paraId="1FF7C624">
      <w:pPr>
        <w:widowControl/>
        <w:shd w:val="clear"/>
        <w:wordWrap w:val="0"/>
        <w:spacing w:line="460" w:lineRule="exact"/>
        <w:ind w:firstLine="482" w:firstLineChars="200"/>
        <w:jc w:val="center"/>
        <w:rPr>
          <w:rFonts w:hint="eastAsia" w:ascii="宋体" w:hAnsi="宋体" w:cs="宋体"/>
          <w:b/>
          <w:color w:val="auto"/>
          <w:kern w:val="0"/>
          <w:sz w:val="24"/>
          <w:highlight w:val="none"/>
        </w:rPr>
      </w:pPr>
    </w:p>
    <w:p w14:paraId="7F79074D">
      <w:pPr>
        <w:shd w:val="clear"/>
        <w:snapToGrid w:val="0"/>
        <w:spacing w:line="360" w:lineRule="auto"/>
        <w:jc w:val="center"/>
        <w:rPr>
          <w:rFonts w:hint="eastAsia" w:ascii="宋体" w:hAnsi="宋体" w:cs="宋体"/>
          <w:b/>
          <w:color w:val="auto"/>
          <w:spacing w:val="90"/>
          <w:sz w:val="52"/>
          <w:szCs w:val="52"/>
          <w:highlight w:val="none"/>
        </w:rPr>
      </w:pPr>
      <w:r>
        <w:rPr>
          <w:rFonts w:hint="eastAsia" w:ascii="宋体" w:hAnsi="宋体" w:cs="宋体"/>
          <w:b/>
          <w:snapToGrid w:val="0"/>
          <w:color w:val="auto"/>
          <w:kern w:val="0"/>
          <w:sz w:val="44"/>
          <w:szCs w:val="44"/>
          <w:highlight w:val="none"/>
        </w:rPr>
        <w:t>驻马店市中心医院</w:t>
      </w:r>
      <w:r>
        <w:rPr>
          <w:rFonts w:hint="eastAsia" w:ascii="宋体" w:hAnsi="宋体" w:cs="宋体"/>
          <w:b/>
          <w:snapToGrid w:val="0"/>
          <w:color w:val="auto"/>
          <w:kern w:val="0"/>
          <w:sz w:val="44"/>
          <w:szCs w:val="44"/>
          <w:highlight w:val="none"/>
          <w:u w:val="single"/>
        </w:rPr>
        <w:t xml:space="preserve">      </w:t>
      </w:r>
      <w:r>
        <w:rPr>
          <w:rFonts w:hint="eastAsia" w:ascii="宋体" w:hAnsi="宋体" w:cs="宋体"/>
          <w:b/>
          <w:snapToGrid w:val="0"/>
          <w:color w:val="auto"/>
          <w:kern w:val="0"/>
          <w:sz w:val="44"/>
          <w:szCs w:val="44"/>
          <w:highlight w:val="none"/>
        </w:rPr>
        <w:t>项目</w:t>
      </w:r>
    </w:p>
    <w:p w14:paraId="611A05F6">
      <w:pPr>
        <w:shd w:val="clear"/>
        <w:snapToGrid w:val="0"/>
        <w:spacing w:line="360" w:lineRule="auto"/>
        <w:jc w:val="center"/>
        <w:rPr>
          <w:rFonts w:hint="eastAsia" w:ascii="宋体" w:hAnsi="宋体" w:cs="宋体"/>
          <w:b/>
          <w:color w:val="auto"/>
          <w:spacing w:val="90"/>
          <w:sz w:val="52"/>
          <w:szCs w:val="52"/>
          <w:highlight w:val="none"/>
        </w:rPr>
      </w:pPr>
      <w:r>
        <w:rPr>
          <w:rFonts w:hint="eastAsia" w:ascii="宋体" w:hAnsi="宋体" w:cs="宋体"/>
          <w:b/>
          <w:color w:val="auto"/>
          <w:spacing w:val="90"/>
          <w:sz w:val="52"/>
          <w:szCs w:val="52"/>
          <w:highlight w:val="none"/>
        </w:rPr>
        <w:t>响应文件</w:t>
      </w:r>
    </w:p>
    <w:p w14:paraId="3E63AB46">
      <w:pPr>
        <w:shd w:val="clear"/>
        <w:spacing w:line="360" w:lineRule="auto"/>
        <w:rPr>
          <w:rFonts w:hint="eastAsia" w:ascii="宋体" w:hAnsi="宋体" w:cs="宋体"/>
          <w:color w:val="auto"/>
          <w:sz w:val="28"/>
          <w:highlight w:val="none"/>
        </w:rPr>
      </w:pPr>
    </w:p>
    <w:p w14:paraId="10AE6E68">
      <w:pPr>
        <w:pStyle w:val="4"/>
        <w:shd w:val="clear"/>
        <w:spacing w:line="360" w:lineRule="auto"/>
        <w:rPr>
          <w:rFonts w:hint="eastAsia" w:hAnsi="宋体"/>
          <w:color w:val="auto"/>
          <w:highlight w:val="none"/>
        </w:rPr>
      </w:pPr>
    </w:p>
    <w:p w14:paraId="0ECE3452">
      <w:pPr>
        <w:pStyle w:val="4"/>
        <w:shd w:val="clear"/>
        <w:spacing w:line="360" w:lineRule="auto"/>
        <w:rPr>
          <w:rFonts w:hint="eastAsia" w:hAnsi="宋体"/>
          <w:color w:val="auto"/>
          <w:highlight w:val="none"/>
        </w:rPr>
      </w:pPr>
    </w:p>
    <w:p w14:paraId="528D8DA8">
      <w:pPr>
        <w:shd w:val="clear"/>
        <w:spacing w:line="360" w:lineRule="auto"/>
        <w:rPr>
          <w:rFonts w:hint="eastAsia" w:ascii="宋体" w:hAnsi="宋体" w:cs="宋体"/>
          <w:color w:val="auto"/>
          <w:sz w:val="28"/>
          <w:highlight w:val="none"/>
        </w:rPr>
      </w:pPr>
    </w:p>
    <w:p w14:paraId="1B804A4A">
      <w:pPr>
        <w:shd w:val="clear"/>
        <w:spacing w:line="360" w:lineRule="auto"/>
        <w:rPr>
          <w:rFonts w:hint="eastAsia" w:ascii="宋体" w:hAnsi="宋体" w:cs="宋体"/>
          <w:color w:val="auto"/>
          <w:sz w:val="28"/>
          <w:highlight w:val="none"/>
        </w:rPr>
      </w:pPr>
    </w:p>
    <w:p w14:paraId="23AEADB6">
      <w:pPr>
        <w:shd w:val="clear"/>
        <w:spacing w:line="360" w:lineRule="auto"/>
        <w:rPr>
          <w:rFonts w:hint="eastAsia" w:ascii="宋体" w:hAnsi="宋体" w:cs="宋体"/>
          <w:color w:val="auto"/>
          <w:sz w:val="28"/>
          <w:highlight w:val="none"/>
        </w:rPr>
      </w:pPr>
    </w:p>
    <w:p w14:paraId="7F4AD4C3">
      <w:pPr>
        <w:shd w:val="clear"/>
        <w:spacing w:line="360" w:lineRule="auto"/>
        <w:rPr>
          <w:rFonts w:hint="eastAsia" w:ascii="宋体" w:hAnsi="宋体" w:cs="宋体"/>
          <w:color w:val="auto"/>
          <w:sz w:val="28"/>
          <w:highlight w:val="none"/>
        </w:rPr>
      </w:pPr>
    </w:p>
    <w:p w14:paraId="74D13F23">
      <w:pPr>
        <w:shd w:val="clear"/>
        <w:spacing w:line="360" w:lineRule="auto"/>
        <w:rPr>
          <w:rFonts w:hint="eastAsia" w:ascii="宋体" w:hAnsi="宋体" w:cs="宋体"/>
          <w:color w:val="auto"/>
          <w:sz w:val="28"/>
          <w:highlight w:val="none"/>
        </w:rPr>
      </w:pPr>
    </w:p>
    <w:p w14:paraId="1A701D20">
      <w:pPr>
        <w:shd w:val="clear"/>
        <w:spacing w:line="360" w:lineRule="auto"/>
        <w:rPr>
          <w:rFonts w:hint="eastAsia" w:ascii="宋体" w:hAnsi="宋体" w:cs="宋体"/>
          <w:color w:val="auto"/>
          <w:sz w:val="28"/>
          <w:highlight w:val="none"/>
        </w:rPr>
      </w:pPr>
    </w:p>
    <w:p w14:paraId="5A1A0E65">
      <w:pPr>
        <w:shd w:val="clea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rPr>
        <w:t>（全称并加盖公章）</w:t>
      </w:r>
    </w:p>
    <w:p w14:paraId="34A71441">
      <w:pPr>
        <w:widowControl/>
        <w:shd w:val="clear"/>
        <w:wordWrap w:val="0"/>
        <w:spacing w:line="46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法定代表人或委托代理人（签字或盖章）：</w:t>
      </w:r>
    </w:p>
    <w:p w14:paraId="08C0DA1B">
      <w:pPr>
        <w:widowControl/>
        <w:shd w:val="clear"/>
        <w:wordWrap w:val="0"/>
        <w:spacing w:line="460" w:lineRule="exact"/>
        <w:jc w:val="center"/>
        <w:rPr>
          <w:rFonts w:hint="eastAsia" w:ascii="宋体" w:hAnsi="宋体" w:cs="宋体"/>
          <w:b/>
          <w:color w:val="auto"/>
          <w:kern w:val="0"/>
          <w:sz w:val="24"/>
          <w:highlight w:val="none"/>
        </w:rPr>
      </w:pPr>
      <w:r>
        <w:rPr>
          <w:rFonts w:hint="eastAsia" w:ascii="宋体" w:hAnsi="宋体" w:cs="宋体"/>
          <w:color w:val="auto"/>
          <w:sz w:val="28"/>
          <w:szCs w:val="28"/>
          <w:highlight w:val="none"/>
        </w:rPr>
        <w:t>年   月   日</w:t>
      </w:r>
    </w:p>
    <w:p w14:paraId="697C0523">
      <w:pPr>
        <w:widowControl/>
        <w:shd w:val="clear"/>
        <w:wordWrap w:val="0"/>
        <w:spacing w:line="460" w:lineRule="exact"/>
        <w:ind w:firstLine="482" w:firstLineChars="200"/>
        <w:jc w:val="left"/>
        <w:rPr>
          <w:rFonts w:hint="eastAsia" w:ascii="宋体" w:hAnsi="宋体" w:cs="宋体"/>
          <w:b/>
          <w:color w:val="auto"/>
          <w:kern w:val="0"/>
          <w:sz w:val="24"/>
          <w:highlight w:val="none"/>
        </w:rPr>
      </w:pPr>
    </w:p>
    <w:p w14:paraId="55DE0CEB">
      <w:pPr>
        <w:pStyle w:val="3"/>
        <w:shd w:val="clear"/>
        <w:rPr>
          <w:rFonts w:hint="eastAsia" w:ascii="宋体" w:hAnsi="宋体" w:cs="宋体"/>
          <w:b/>
          <w:color w:val="auto"/>
          <w:kern w:val="0"/>
          <w:sz w:val="24"/>
          <w:highlight w:val="none"/>
        </w:rPr>
      </w:pPr>
    </w:p>
    <w:p w14:paraId="42A28137">
      <w:pPr>
        <w:shd w:val="clear"/>
        <w:rPr>
          <w:rFonts w:hint="eastAsia" w:ascii="宋体" w:hAnsi="宋体" w:cs="宋体"/>
          <w:b/>
          <w:color w:val="auto"/>
          <w:kern w:val="0"/>
          <w:sz w:val="24"/>
          <w:highlight w:val="none"/>
        </w:rPr>
      </w:pPr>
      <w:r>
        <w:rPr>
          <w:rFonts w:hint="eastAsia" w:ascii="宋体" w:hAnsi="宋体" w:cs="宋体"/>
          <w:b/>
          <w:color w:val="auto"/>
          <w:kern w:val="0"/>
          <w:sz w:val="24"/>
          <w:highlight w:val="none"/>
        </w:rPr>
        <w:br w:type="page"/>
      </w:r>
    </w:p>
    <w:p w14:paraId="6F43FFC2">
      <w:pPr>
        <w:pStyle w:val="8"/>
        <w:keepNext w:val="0"/>
        <w:shd w:val="clear"/>
        <w:snapToGrid w:val="0"/>
        <w:spacing w:before="159" w:after="20" w:line="360" w:lineRule="auto"/>
        <w:jc w:val="center"/>
        <w:rPr>
          <w:rFonts w:hint="eastAsia" w:ascii="宋体" w:hAnsi="宋体" w:eastAsia="宋体" w:cs="宋体"/>
          <w:color w:val="auto"/>
          <w:sz w:val="28"/>
          <w:szCs w:val="28"/>
          <w:highlight w:val="none"/>
        </w:rPr>
      </w:pPr>
      <w:bookmarkStart w:id="69" w:name="_Toc14560"/>
      <w:bookmarkStart w:id="70" w:name="_Toc8818"/>
      <w:r>
        <w:rPr>
          <w:rFonts w:hint="eastAsia" w:ascii="宋体" w:hAnsi="宋体" w:eastAsia="宋体" w:cs="宋体"/>
          <w:color w:val="auto"/>
          <w:sz w:val="28"/>
          <w:szCs w:val="28"/>
          <w:highlight w:val="none"/>
        </w:rPr>
        <w:t>附件2      竞争性磋商响应书（格式）</w:t>
      </w:r>
      <w:bookmarkEnd w:id="69"/>
      <w:bookmarkEnd w:id="70"/>
    </w:p>
    <w:p w14:paraId="1EB79B15">
      <w:pPr>
        <w:shd w:val="clear"/>
        <w:wordWrap w:val="0"/>
        <w:snapToGrid w:val="0"/>
        <w:spacing w:line="4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（采购人名称）</w:t>
      </w:r>
      <w:r>
        <w:rPr>
          <w:rFonts w:hint="eastAsia" w:ascii="宋体" w:hAnsi="宋体" w:cs="宋体"/>
          <w:color w:val="auto"/>
          <w:kern w:val="0"/>
          <w:szCs w:val="21"/>
          <w:highlight w:val="none"/>
        </w:rPr>
        <w:t>：</w:t>
      </w:r>
    </w:p>
    <w:p w14:paraId="04C533CC">
      <w:pPr>
        <w:shd w:val="clear"/>
        <w:wordWrap w:val="0"/>
        <w:spacing w:line="460" w:lineRule="exact"/>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（供应商名称）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项目的磋商。现正式提交下述文件1份：</w:t>
      </w:r>
    </w:p>
    <w:p w14:paraId="1C60D14F">
      <w:pPr>
        <w:shd w:val="clear"/>
        <w:wordWrap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1、初次报价一览表。</w:t>
      </w:r>
    </w:p>
    <w:p w14:paraId="494A8004">
      <w:pPr>
        <w:shd w:val="clear"/>
        <w:wordWrap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2、报价明细表。</w:t>
      </w:r>
    </w:p>
    <w:p w14:paraId="4A1DFBC2">
      <w:pPr>
        <w:shd w:val="clear"/>
        <w:wordWrap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3、技术响应表。</w:t>
      </w:r>
    </w:p>
    <w:p w14:paraId="7B50274D">
      <w:pPr>
        <w:shd w:val="clear"/>
        <w:wordWrap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4、商务响应表。</w:t>
      </w:r>
    </w:p>
    <w:p w14:paraId="4D00AF68">
      <w:pPr>
        <w:shd w:val="clear"/>
        <w:wordWrap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5、证明文件。</w:t>
      </w:r>
    </w:p>
    <w:p w14:paraId="2E55FB21">
      <w:pPr>
        <w:shd w:val="clear"/>
        <w:wordWrap w:val="0"/>
        <w:snapToGrid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为便于贵方公正、择优地确定成交供应商，我方就本次投标有关事项郑重声明并宣布同意如下：</w:t>
      </w:r>
    </w:p>
    <w:p w14:paraId="338FEC5E">
      <w:pPr>
        <w:shd w:val="clear"/>
        <w:wordWrap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我方承诺已经具备采购文件中规定的参加政府采购活动的供应商应当具备的条件。我方愿意向贵方提供任何与本采购项目投标有关的数据、情况和技术资料，并根据需要提供一切承诺的证明材料，并保证其真实、合法、有效。</w:t>
      </w:r>
    </w:p>
    <w:p w14:paraId="336BA1A6">
      <w:pPr>
        <w:shd w:val="clear"/>
        <w:wordWrap w:val="0"/>
        <w:snapToGrid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2、我方承诺在磋商活动中提供的各种材料真实有效。</w:t>
      </w:r>
    </w:p>
    <w:p w14:paraId="43252C6E">
      <w:pPr>
        <w:shd w:val="clear"/>
        <w:wordWrap w:val="0"/>
        <w:snapToGrid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3、我方同意在响应文件有效期内遵守本响应文件中的承诺且在此期限期满之前均具有约束力。如果我方成交，响应文件有效期与合同履行期相同。</w:t>
      </w:r>
    </w:p>
    <w:p w14:paraId="04264A9C">
      <w:pPr>
        <w:shd w:val="clear"/>
        <w:wordWrap w:val="0"/>
        <w:snapToGrid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4、我方已详细审查全部采购文件，包括修改文件（如有的话）和有关附件，将自行承担因对全部采购文件理解不正确或误解而产生的相应后果。</w:t>
      </w:r>
    </w:p>
    <w:p w14:paraId="4C09038F">
      <w:pPr>
        <w:shd w:val="clear"/>
        <w:wordWrap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5、我方保证尊重磋商小组的评审结果，完全理解本采购项目最低投标价不作为成交的保证。</w:t>
      </w:r>
    </w:p>
    <w:p w14:paraId="10DA6A55">
      <w:pPr>
        <w:shd w:val="clear"/>
        <w:wordWrap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6、我方理解并遵守采购文件的全部规定，接受采购文件中政府采购合同的全部条款且无任何异议。</w:t>
      </w:r>
    </w:p>
    <w:p w14:paraId="262DE924">
      <w:pPr>
        <w:shd w:val="clear"/>
        <w:wordWrap w:val="0"/>
        <w:snapToGrid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14:paraId="4A55CEA3">
      <w:pPr>
        <w:shd w:val="clear"/>
        <w:wordWrap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8、如果我方存在供应商须知第9.3项所述情况，同意被认定为在经营活动中有重大违法记录。</w:t>
      </w:r>
    </w:p>
    <w:p w14:paraId="58E524C5">
      <w:pPr>
        <w:shd w:val="clear"/>
        <w:wordWrap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9、如果发生供应商须知第25.4.1、25.4.3项所述情况，同意我方投标被作为无效磋商处理。</w:t>
      </w:r>
    </w:p>
    <w:p w14:paraId="69C0866F">
      <w:pPr>
        <w:shd w:val="clear"/>
        <w:wordWrap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10、如果发生供应商须知第25.5项所述情况，同意磋商小组认定我方的行为属于串通投标的行为，并自愿接受监管部门的处罚。</w:t>
      </w:r>
    </w:p>
    <w:p w14:paraId="19F24D9B">
      <w:pPr>
        <w:shd w:val="clear"/>
        <w:wordWrap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11、如果现场变更采购方式，我方同意在不改变采购需求、资质条件等情况下，按变更后的采购方式的规定程序进行采购。</w:t>
      </w:r>
    </w:p>
    <w:p w14:paraId="7F9801C1">
      <w:pPr>
        <w:shd w:val="clear"/>
        <w:wordWrap w:val="0"/>
        <w:snapToGrid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12、如果被确定为成交供应商，我方同意按采购文件的规定领取成交通知书并缴纳服务费。否则，视为我方成交后自动放弃成交资格，承担由此引起的一切后果。</w:t>
      </w:r>
    </w:p>
    <w:p w14:paraId="05885023">
      <w:pPr>
        <w:shd w:val="clear"/>
        <w:wordWrap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13、如果被确定为成交供应商，我方同意在领取成交通知书之日起</w:t>
      </w:r>
      <w:r>
        <w:rPr>
          <w:rFonts w:hint="eastAsia" w:ascii="宋体" w:hAnsi="宋体" w:cs="宋体"/>
          <w:color w:val="auto"/>
          <w:kern w:val="0"/>
          <w:szCs w:val="21"/>
          <w:highlight w:val="none"/>
          <w:u w:val="single"/>
        </w:rPr>
        <w:t xml:space="preserve"> 30  </w:t>
      </w:r>
      <w:r>
        <w:rPr>
          <w:rFonts w:hint="eastAsia" w:ascii="宋体" w:hAnsi="宋体" w:cs="宋体"/>
          <w:color w:val="auto"/>
          <w:kern w:val="0"/>
          <w:szCs w:val="21"/>
          <w:highlight w:val="none"/>
        </w:rPr>
        <w:t>日内，按照采购文件的规定与采购人签订采购合同。否则，视为我方成交后无正当理由不与采购人签订合同并承担相应法律责任。</w:t>
      </w:r>
    </w:p>
    <w:p w14:paraId="59770E7A">
      <w:pPr>
        <w:shd w:val="clear"/>
        <w:wordWrap w:val="0"/>
        <w:snapToGrid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（若无，则填无；若有，逐一列明）</w:t>
      </w:r>
    </w:p>
    <w:p w14:paraId="47734E43">
      <w:pPr>
        <w:shd w:val="clear"/>
        <w:tabs>
          <w:tab w:val="left" w:pos="939"/>
        </w:tabs>
        <w:wordWrap w:val="0"/>
        <w:snapToGrid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14:paraId="2D8E486B">
      <w:pPr>
        <w:shd w:val="clear"/>
        <w:wordWrap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16、与磋商有关的一切正式往来通讯请寄（地址电话必须为最新并可以联系到）：</w:t>
      </w:r>
    </w:p>
    <w:p w14:paraId="467CEFD0">
      <w:pPr>
        <w:shd w:val="clear"/>
        <w:wordWrap w:val="0"/>
        <w:spacing w:line="460" w:lineRule="exact"/>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14:paraId="4208C838">
      <w:pPr>
        <w:shd w:val="clear"/>
        <w:wordWrap w:val="0"/>
        <w:spacing w:line="460" w:lineRule="exact"/>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14:paraId="65F5D506">
      <w:pPr>
        <w:shd w:val="clear"/>
        <w:wordWrap w:val="0"/>
        <w:spacing w:line="460" w:lineRule="exact"/>
        <w:ind w:firstLine="420" w:firstLineChars="200"/>
        <w:jc w:val="left"/>
        <w:rPr>
          <w:rFonts w:hint="eastAsia" w:ascii="宋体" w:hAnsi="宋体" w:cs="宋体"/>
          <w:color w:val="auto"/>
          <w:kern w:val="0"/>
          <w:szCs w:val="21"/>
          <w:highlight w:val="none"/>
        </w:rPr>
      </w:pPr>
    </w:p>
    <w:p w14:paraId="22FA285D">
      <w:pPr>
        <w:shd w:val="clear"/>
        <w:wordWrap w:val="0"/>
        <w:spacing w:line="460" w:lineRule="exact"/>
        <w:ind w:firstLine="735" w:firstLineChars="350"/>
        <w:jc w:val="left"/>
        <w:rPr>
          <w:rFonts w:hint="eastAsia" w:ascii="宋体" w:hAnsi="宋体" w:cs="宋体"/>
          <w:color w:val="auto"/>
          <w:kern w:val="0"/>
          <w:szCs w:val="21"/>
          <w:highlight w:val="none"/>
          <w:u w:val="single"/>
        </w:rPr>
      </w:pPr>
      <w:r>
        <w:rPr>
          <w:rFonts w:hint="eastAsia" w:ascii="宋体" w:hAnsi="宋体" w:cs="宋体"/>
          <w:color w:val="auto"/>
          <w:szCs w:val="21"/>
          <w:highlight w:val="none"/>
        </w:rPr>
        <w:t>法定代表人或委托代理人（签字</w:t>
      </w:r>
      <w:r>
        <w:rPr>
          <w:rFonts w:hint="eastAsia" w:ascii="宋体" w:hAnsi="宋体" w:cs="宋体"/>
          <w:color w:val="auto"/>
          <w:kern w:val="0"/>
          <w:szCs w:val="21"/>
          <w:highlight w:val="none"/>
        </w:rPr>
        <w:t>或盖章</w:t>
      </w:r>
      <w:r>
        <w:rPr>
          <w:rFonts w:hint="eastAsia" w:ascii="宋体" w:hAnsi="宋体" w:cs="宋体"/>
          <w:color w:val="auto"/>
          <w:szCs w:val="21"/>
          <w:highlight w:val="none"/>
        </w:rPr>
        <w:t>）</w:t>
      </w:r>
      <w:r>
        <w:rPr>
          <w:rFonts w:hint="eastAsia" w:ascii="宋体" w:hAnsi="宋体" w:cs="宋体"/>
          <w:color w:val="auto"/>
          <w:kern w:val="0"/>
          <w:szCs w:val="21"/>
          <w:highlight w:val="none"/>
        </w:rPr>
        <w:t xml:space="preserve">： </w:t>
      </w:r>
    </w:p>
    <w:p w14:paraId="71EB41D0">
      <w:pPr>
        <w:shd w:val="clear"/>
        <w:wordWrap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供应商：</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（全称并加盖公章）  </w:t>
      </w:r>
    </w:p>
    <w:p w14:paraId="6948B415">
      <w:pPr>
        <w:shd w:val="clear"/>
        <w:snapToGrid w:val="0"/>
        <w:spacing w:line="460" w:lineRule="exact"/>
        <w:ind w:firstLine="1260" w:firstLineChars="600"/>
        <w:rPr>
          <w:rFonts w:hint="eastAsia"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14:paraId="25317CA5">
      <w:pPr>
        <w:widowControl/>
        <w:shd w:val="clear"/>
        <w:wordWrap w:val="0"/>
        <w:snapToGrid w:val="0"/>
        <w:spacing w:before="159" w:after="50" w:line="480" w:lineRule="auto"/>
        <w:jc w:val="left"/>
        <w:rPr>
          <w:rFonts w:hint="eastAsia" w:ascii="宋体" w:hAnsi="宋体" w:cs="宋体"/>
          <w:b/>
          <w:color w:val="auto"/>
          <w:kern w:val="0"/>
          <w:sz w:val="24"/>
          <w:highlight w:val="none"/>
        </w:rPr>
      </w:pPr>
    </w:p>
    <w:p w14:paraId="768798CF">
      <w:pPr>
        <w:shd w:val="clear"/>
        <w:spacing w:line="500" w:lineRule="exact"/>
        <w:jc w:val="center"/>
        <w:rPr>
          <w:rFonts w:hint="eastAsia" w:ascii="宋体" w:hAnsi="宋体" w:cs="宋体"/>
          <w:b/>
          <w:bCs/>
          <w:color w:val="auto"/>
          <w:sz w:val="24"/>
          <w:highlight w:val="none"/>
        </w:rPr>
      </w:pPr>
    </w:p>
    <w:p w14:paraId="4AFE395B">
      <w:pPr>
        <w:shd w:val="clear"/>
        <w:rPr>
          <w:rFonts w:hint="eastAsia" w:ascii="宋体" w:hAnsi="宋体" w:cs="宋体"/>
          <w:color w:val="auto"/>
          <w:sz w:val="28"/>
          <w:szCs w:val="28"/>
          <w:highlight w:val="none"/>
        </w:rPr>
      </w:pPr>
      <w:r>
        <w:rPr>
          <w:rFonts w:hint="eastAsia" w:ascii="宋体" w:hAnsi="宋体" w:cs="宋体"/>
          <w:color w:val="auto"/>
          <w:sz w:val="28"/>
          <w:szCs w:val="28"/>
          <w:highlight w:val="none"/>
        </w:rPr>
        <w:br w:type="page"/>
      </w:r>
    </w:p>
    <w:p w14:paraId="15EB3127">
      <w:pPr>
        <w:shd w:val="clear"/>
        <w:rPr>
          <w:rFonts w:hint="eastAsia" w:ascii="宋体" w:hAnsi="宋体" w:cs="宋体"/>
          <w:color w:val="auto"/>
          <w:highlight w:val="none"/>
        </w:rPr>
      </w:pPr>
    </w:p>
    <w:p w14:paraId="7AC95784">
      <w:pPr>
        <w:pStyle w:val="8"/>
        <w:shd w:val="clear"/>
        <w:snapToGrid w:val="0"/>
        <w:spacing w:before="159" w:after="20" w:line="360" w:lineRule="auto"/>
        <w:jc w:val="center"/>
        <w:rPr>
          <w:rFonts w:hint="eastAsia" w:ascii="宋体" w:hAnsi="宋体" w:eastAsia="宋体" w:cs="宋体"/>
          <w:color w:val="auto"/>
          <w:sz w:val="28"/>
          <w:szCs w:val="28"/>
          <w:highlight w:val="none"/>
        </w:rPr>
      </w:pPr>
      <w:bookmarkStart w:id="71" w:name="_Toc7838"/>
      <w:r>
        <w:rPr>
          <w:rFonts w:hint="eastAsia" w:ascii="宋体" w:hAnsi="宋体" w:eastAsia="宋体" w:cs="宋体"/>
          <w:color w:val="auto"/>
          <w:sz w:val="28"/>
          <w:szCs w:val="28"/>
          <w:highlight w:val="none"/>
        </w:rPr>
        <w:t>附件3            初次报价一览表</w:t>
      </w:r>
      <w:bookmarkEnd w:id="71"/>
      <w:r>
        <w:rPr>
          <w:rFonts w:hint="eastAsia" w:ascii="宋体" w:hAnsi="宋体" w:eastAsia="宋体" w:cs="宋体"/>
          <w:color w:val="auto"/>
          <w:sz w:val="28"/>
          <w:szCs w:val="28"/>
          <w:highlight w:val="none"/>
        </w:rPr>
        <w:t>（格式）</w:t>
      </w:r>
    </w:p>
    <w:p w14:paraId="192F658E">
      <w:pPr>
        <w:shd w:val="clear"/>
        <w:spacing w:line="239" w:lineRule="auto"/>
        <w:jc w:val="right"/>
        <w:rPr>
          <w:rFonts w:hint="eastAsia" w:ascii="宋体" w:hAnsi="宋体" w:cs="宋体"/>
          <w:color w:val="auto"/>
          <w:sz w:val="24"/>
          <w:highlight w:val="none"/>
        </w:rPr>
      </w:pPr>
      <w:r>
        <w:rPr>
          <w:rFonts w:hint="eastAsia" w:ascii="宋体" w:hAnsi="宋体" w:cs="宋体"/>
          <w:color w:val="auto"/>
          <w:sz w:val="24"/>
          <w:highlight w:val="none"/>
        </w:rPr>
        <w:t>单位：人民币元</w:t>
      </w:r>
    </w:p>
    <w:p w14:paraId="4A57C324">
      <w:pPr>
        <w:shd w:val="clear"/>
        <w:rPr>
          <w:rFonts w:hint="eastAsia" w:ascii="宋体" w:hAnsi="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51509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3E60BA7">
            <w:pPr>
              <w:widowControl/>
              <w:shd w:val="clear"/>
              <w:snapToGrid w:val="0"/>
              <w:spacing w:before="159" w:after="50"/>
              <w:jc w:val="center"/>
              <w:rPr>
                <w:rFonts w:hint="eastAsia" w:ascii="宋体" w:hAnsi="宋体" w:cs="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14:paraId="4B59DBC3">
            <w:pPr>
              <w:shd w:val="clear"/>
              <w:rPr>
                <w:rFonts w:hint="eastAsia" w:ascii="宋体" w:hAnsi="宋体" w:cs="宋体"/>
                <w:bCs/>
                <w:color w:val="auto"/>
                <w:szCs w:val="21"/>
                <w:highlight w:val="none"/>
              </w:rPr>
            </w:pPr>
          </w:p>
        </w:tc>
      </w:tr>
      <w:tr w14:paraId="6377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BA5556A">
            <w:pPr>
              <w:widowControl/>
              <w:shd w:val="clear"/>
              <w:snapToGrid w:val="0"/>
              <w:spacing w:before="159" w:after="50"/>
              <w:jc w:val="center"/>
              <w:rPr>
                <w:rFonts w:hint="eastAsia" w:ascii="宋体" w:hAnsi="宋体" w:cs="宋体"/>
                <w:color w:val="auto"/>
                <w:szCs w:val="21"/>
                <w:highlight w:val="none"/>
              </w:rPr>
            </w:pPr>
            <w:r>
              <w:rPr>
                <w:rFonts w:hint="eastAsia" w:ascii="宋体" w:hAnsi="宋体" w:cs="宋体"/>
                <w:color w:val="auto"/>
                <w:kern w:val="0"/>
                <w:szCs w:val="21"/>
                <w:highlight w:val="none"/>
              </w:rPr>
              <w:t>供应商名称</w:t>
            </w:r>
          </w:p>
        </w:tc>
        <w:tc>
          <w:tcPr>
            <w:tcW w:w="7708" w:type="dxa"/>
            <w:noWrap/>
            <w:vAlign w:val="center"/>
          </w:tcPr>
          <w:p w14:paraId="30CA7F01">
            <w:pPr>
              <w:shd w:val="clear"/>
              <w:rPr>
                <w:rFonts w:hint="eastAsia" w:ascii="宋体" w:hAnsi="宋体" w:cs="宋体"/>
                <w:color w:val="auto"/>
                <w:szCs w:val="21"/>
                <w:highlight w:val="none"/>
              </w:rPr>
            </w:pPr>
          </w:p>
        </w:tc>
      </w:tr>
      <w:tr w14:paraId="5633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68164708">
            <w:pPr>
              <w:shd w:val="clear"/>
              <w:jc w:val="center"/>
              <w:rPr>
                <w:rFonts w:hint="eastAsia" w:ascii="宋体" w:hAnsi="宋体" w:cs="宋体"/>
                <w:color w:val="auto"/>
                <w:spacing w:val="-20"/>
                <w:szCs w:val="21"/>
                <w:highlight w:val="none"/>
              </w:rPr>
            </w:pPr>
            <w:r>
              <w:rPr>
                <w:rFonts w:hint="eastAsia" w:ascii="宋体" w:hAnsi="宋体" w:cs="宋体"/>
                <w:color w:val="auto"/>
                <w:szCs w:val="21"/>
                <w:highlight w:val="none"/>
              </w:rPr>
              <w:t>磋商报价</w:t>
            </w:r>
          </w:p>
        </w:tc>
        <w:tc>
          <w:tcPr>
            <w:tcW w:w="7708" w:type="dxa"/>
            <w:noWrap/>
            <w:vAlign w:val="center"/>
          </w:tcPr>
          <w:p w14:paraId="39AFF438">
            <w:pPr>
              <w:shd w:val="clear"/>
              <w:rPr>
                <w:rFonts w:hint="eastAsia" w:ascii="宋体" w:hAnsi="宋体" w:cs="宋体"/>
                <w:color w:val="auto"/>
                <w:szCs w:val="21"/>
                <w:highlight w:val="none"/>
              </w:rPr>
            </w:pPr>
            <w:r>
              <w:rPr>
                <w:rFonts w:hint="eastAsia" w:ascii="宋体" w:hAnsi="宋体" w:cs="宋体"/>
                <w:color w:val="auto"/>
                <w:szCs w:val="21"/>
                <w:highlight w:val="none"/>
              </w:rPr>
              <w:t>大写：</w:t>
            </w:r>
            <w:r>
              <w:rPr>
                <w:rFonts w:hint="eastAsia"/>
                <w:color w:val="auto"/>
                <w:highlight w:val="none"/>
                <w:u w:val="single"/>
              </w:rPr>
              <w:t xml:space="preserve">          </w:t>
            </w:r>
            <w:r>
              <w:rPr>
                <w:rFonts w:hint="eastAsia" w:ascii="宋体" w:hAnsi="宋体" w:cs="宋体"/>
                <w:color w:val="auto"/>
                <w:szCs w:val="21"/>
                <w:highlight w:val="none"/>
              </w:rPr>
              <w:t xml:space="preserve">        </w:t>
            </w:r>
          </w:p>
          <w:p w14:paraId="2E38DAEB">
            <w:pPr>
              <w:shd w:val="clear"/>
              <w:rPr>
                <w:rFonts w:hint="eastAsia" w:ascii="宋体" w:hAnsi="宋体" w:cs="宋体"/>
                <w:color w:val="auto"/>
                <w:szCs w:val="21"/>
                <w:highlight w:val="none"/>
              </w:rPr>
            </w:pPr>
            <w:r>
              <w:rPr>
                <w:rFonts w:hint="eastAsia" w:ascii="宋体" w:hAnsi="宋体" w:cs="宋体"/>
                <w:color w:val="auto"/>
                <w:szCs w:val="21"/>
                <w:highlight w:val="none"/>
              </w:rPr>
              <w:t>小写：</w:t>
            </w:r>
            <w:r>
              <w:rPr>
                <w:rFonts w:hint="eastAsia"/>
                <w:color w:val="auto"/>
                <w:highlight w:val="none"/>
                <w:u w:val="single"/>
              </w:rPr>
              <w:t xml:space="preserve">       </w:t>
            </w:r>
            <w:r>
              <w:rPr>
                <w:rFonts w:hint="eastAsia" w:ascii="宋体" w:hAnsi="宋体" w:cs="宋体"/>
                <w:color w:val="auto"/>
                <w:szCs w:val="21"/>
                <w:highlight w:val="none"/>
              </w:rPr>
              <w:t>元（详见报价明细表）</w:t>
            </w:r>
          </w:p>
        </w:tc>
      </w:tr>
      <w:tr w14:paraId="0234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2DDB763">
            <w:pPr>
              <w:shd w:val="clear"/>
              <w:jc w:val="center"/>
              <w:rPr>
                <w:rFonts w:hint="eastAsia" w:ascii="宋体" w:hAnsi="宋体" w:cs="宋体"/>
                <w:color w:val="auto"/>
                <w:szCs w:val="21"/>
                <w:highlight w:val="none"/>
              </w:rPr>
            </w:pPr>
            <w:r>
              <w:rPr>
                <w:rFonts w:hint="eastAsia" w:ascii="宋体" w:hAnsi="宋体" w:cs="宋体"/>
                <w:color w:val="auto"/>
                <w:kern w:val="0"/>
                <w:szCs w:val="21"/>
                <w:highlight w:val="none"/>
              </w:rPr>
              <w:t>响应文件有效期</w:t>
            </w:r>
          </w:p>
        </w:tc>
        <w:tc>
          <w:tcPr>
            <w:tcW w:w="7708" w:type="dxa"/>
            <w:noWrap/>
            <w:vAlign w:val="center"/>
          </w:tcPr>
          <w:p w14:paraId="0ED0FADA">
            <w:pPr>
              <w:pStyle w:val="21"/>
              <w:shd w:val="clear"/>
              <w:ind w:left="0" w:leftChars="0"/>
              <w:rPr>
                <w:rFonts w:hint="eastAsia" w:cs="宋体"/>
                <w:color w:val="auto"/>
                <w:szCs w:val="21"/>
                <w:highlight w:val="none"/>
                <w:u w:val="single"/>
              </w:rPr>
            </w:pPr>
            <w:r>
              <w:rPr>
                <w:rFonts w:hint="eastAsia" w:cs="宋体"/>
                <w:color w:val="auto"/>
                <w:kern w:val="0"/>
                <w:sz w:val="21"/>
                <w:szCs w:val="21"/>
                <w:highlight w:val="none"/>
              </w:rPr>
              <w:t>响应文件递交截止期结束后60日。</w:t>
            </w:r>
          </w:p>
        </w:tc>
      </w:tr>
      <w:tr w14:paraId="1E67C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A529B99">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质保期</w:t>
            </w:r>
          </w:p>
        </w:tc>
        <w:tc>
          <w:tcPr>
            <w:tcW w:w="7708" w:type="dxa"/>
            <w:noWrap/>
            <w:vAlign w:val="center"/>
          </w:tcPr>
          <w:p w14:paraId="3E27F827">
            <w:pPr>
              <w:pStyle w:val="21"/>
              <w:shd w:val="clear"/>
              <w:ind w:left="0" w:leftChars="0"/>
              <w:rPr>
                <w:rFonts w:hint="eastAsia" w:cs="宋体"/>
                <w:color w:val="auto"/>
                <w:sz w:val="21"/>
                <w:szCs w:val="21"/>
                <w:highlight w:val="none"/>
              </w:rPr>
            </w:pPr>
          </w:p>
        </w:tc>
      </w:tr>
      <w:tr w14:paraId="2244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EC34025">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备  注</w:t>
            </w:r>
          </w:p>
        </w:tc>
        <w:tc>
          <w:tcPr>
            <w:tcW w:w="7708" w:type="dxa"/>
            <w:noWrap/>
            <w:vAlign w:val="center"/>
          </w:tcPr>
          <w:p w14:paraId="73807639">
            <w:pPr>
              <w:pStyle w:val="21"/>
              <w:shd w:val="clear"/>
              <w:ind w:left="0" w:leftChars="0"/>
              <w:rPr>
                <w:rFonts w:hint="eastAsia" w:cs="宋体"/>
                <w:color w:val="auto"/>
                <w:sz w:val="21"/>
                <w:szCs w:val="21"/>
                <w:highlight w:val="none"/>
              </w:rPr>
            </w:pPr>
          </w:p>
        </w:tc>
      </w:tr>
    </w:tbl>
    <w:p w14:paraId="33D8B738">
      <w:pPr>
        <w:shd w:val="clea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1、报价一经涂改，应在涂改处加盖单位公章或供应商代表签字或盖章，否则其投标作无效标处理。</w:t>
      </w:r>
    </w:p>
    <w:p w14:paraId="1BF9B66A">
      <w:pPr>
        <w:shd w:val="clear"/>
        <w:spacing w:line="360" w:lineRule="auto"/>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2、供应商按格式填列，不得自行更改。否则引起的不利后果由供应商承担。</w:t>
      </w:r>
    </w:p>
    <w:p w14:paraId="55D7B688">
      <w:pPr>
        <w:shd w:val="clear"/>
        <w:spacing w:line="360" w:lineRule="auto"/>
        <w:ind w:firstLine="420" w:firstLineChars="200"/>
        <w:jc w:val="center"/>
        <w:rPr>
          <w:rFonts w:hint="eastAsia" w:ascii="宋体" w:hAnsi="宋体" w:cs="宋体"/>
          <w:color w:val="auto"/>
          <w:szCs w:val="21"/>
          <w:highlight w:val="none"/>
        </w:rPr>
      </w:pPr>
      <w:bookmarkStart w:id="72" w:name="_Toc20877"/>
      <w:bookmarkStart w:id="73" w:name="_Toc11620"/>
    </w:p>
    <w:p w14:paraId="4F8257D2">
      <w:pPr>
        <w:shd w:val="clear"/>
        <w:spacing w:line="360" w:lineRule="auto"/>
        <w:ind w:firstLine="420" w:firstLineChars="200"/>
        <w:jc w:val="center"/>
        <w:rPr>
          <w:rFonts w:hint="eastAsia"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（全称并加盖公章）</w:t>
      </w:r>
      <w:bookmarkEnd w:id="72"/>
      <w:bookmarkEnd w:id="73"/>
    </w:p>
    <w:p w14:paraId="566FFA04">
      <w:pPr>
        <w:shd w:val="clear"/>
        <w:spacing w:line="360" w:lineRule="auto"/>
        <w:ind w:firstLine="420" w:firstLineChars="200"/>
        <w:jc w:val="center"/>
        <w:rPr>
          <w:rFonts w:hint="eastAsia" w:ascii="宋体" w:hAnsi="宋体" w:cs="宋体"/>
          <w:color w:val="auto"/>
          <w:szCs w:val="21"/>
          <w:highlight w:val="none"/>
          <w:u w:val="single"/>
        </w:rPr>
      </w:pPr>
      <w:bookmarkStart w:id="74" w:name="_Toc625"/>
      <w:bookmarkStart w:id="75" w:name="_Toc12222"/>
      <w:r>
        <w:rPr>
          <w:rFonts w:hint="eastAsia" w:ascii="宋体" w:hAnsi="宋体" w:cs="宋体"/>
          <w:color w:val="auto"/>
          <w:szCs w:val="21"/>
          <w:highlight w:val="none"/>
        </w:rPr>
        <w:t>法定代表人或委托代理人（签字</w:t>
      </w:r>
      <w:r>
        <w:rPr>
          <w:rFonts w:hint="eastAsia" w:ascii="宋体" w:hAnsi="宋体" w:cs="宋体"/>
          <w:color w:val="auto"/>
          <w:kern w:val="0"/>
          <w:szCs w:val="21"/>
          <w:highlight w:val="none"/>
        </w:rPr>
        <w:t>或盖章</w:t>
      </w:r>
      <w:r>
        <w:rPr>
          <w:rFonts w:hint="eastAsia" w:ascii="宋体" w:hAnsi="宋体" w:cs="宋体"/>
          <w:color w:val="auto"/>
          <w:szCs w:val="21"/>
          <w:highlight w:val="none"/>
        </w:rPr>
        <w:t>）：</w:t>
      </w:r>
      <w:bookmarkEnd w:id="74"/>
      <w:bookmarkEnd w:id="75"/>
    </w:p>
    <w:p w14:paraId="20D7466B">
      <w:pPr>
        <w:shd w:val="clear"/>
        <w:jc w:val="center"/>
        <w:rPr>
          <w:rFonts w:hint="eastAsia" w:ascii="宋体" w:hAnsi="宋体" w:cs="宋体"/>
          <w:color w:val="auto"/>
          <w:szCs w:val="21"/>
          <w:highlight w:val="none"/>
        </w:rPr>
      </w:pPr>
    </w:p>
    <w:p w14:paraId="7DB53DF9">
      <w:pPr>
        <w:shd w:val="clear"/>
        <w:spacing w:line="360" w:lineRule="auto"/>
        <w:ind w:firstLine="420" w:firstLineChars="200"/>
        <w:jc w:val="center"/>
        <w:rPr>
          <w:rFonts w:hint="eastAsia" w:ascii="宋体" w:hAnsi="宋体" w:cs="宋体"/>
          <w:color w:val="auto"/>
          <w:highlight w:val="none"/>
        </w:rPr>
      </w:pPr>
      <w:bookmarkStart w:id="76" w:name="_Toc9950"/>
      <w:bookmarkStart w:id="77" w:name="_Toc1330"/>
      <w:r>
        <w:rPr>
          <w:rFonts w:hint="eastAsia" w:ascii="宋体" w:hAnsi="宋体" w:cs="宋体"/>
          <w:color w:val="auto"/>
          <w:szCs w:val="21"/>
          <w:highlight w:val="none"/>
        </w:rPr>
        <w:t>年  月  日</w:t>
      </w:r>
      <w:bookmarkEnd w:id="76"/>
      <w:bookmarkEnd w:id="77"/>
    </w:p>
    <w:p w14:paraId="2D17881F">
      <w:pPr>
        <w:shd w:val="clear"/>
        <w:rPr>
          <w:rFonts w:hint="eastAsia" w:ascii="宋体" w:hAnsi="宋体" w:cs="宋体"/>
          <w:color w:val="auto"/>
          <w:highlight w:val="none"/>
        </w:rPr>
      </w:pPr>
    </w:p>
    <w:bookmarkEnd w:id="53"/>
    <w:bookmarkEnd w:id="54"/>
    <w:p w14:paraId="7ACDE11A">
      <w:pPr>
        <w:shd w:val="clear"/>
        <w:spacing w:before="159" w:after="20"/>
        <w:rPr>
          <w:rFonts w:hint="eastAsia" w:ascii="宋体" w:hAnsi="宋体" w:cs="宋体"/>
          <w:color w:val="auto"/>
          <w:highlight w:val="none"/>
        </w:rPr>
      </w:pPr>
      <w:bookmarkStart w:id="78" w:name="_Toc22004"/>
      <w:bookmarkStart w:id="79" w:name="_Toc24984"/>
    </w:p>
    <w:p w14:paraId="4741AC77">
      <w:pPr>
        <w:shd w:val="clear"/>
        <w:rPr>
          <w:rFonts w:hint="eastAsia" w:ascii="宋体" w:hAnsi="宋体" w:cs="宋体"/>
          <w:color w:val="auto"/>
          <w:highlight w:val="none"/>
        </w:rPr>
      </w:pPr>
    </w:p>
    <w:p w14:paraId="3D821B2F">
      <w:pPr>
        <w:shd w:val="clear"/>
        <w:rPr>
          <w:rFonts w:hint="eastAsia" w:ascii="宋体" w:hAnsi="宋体" w:cs="宋体"/>
          <w:color w:val="auto"/>
          <w:highlight w:val="none"/>
        </w:rPr>
      </w:pPr>
      <w:r>
        <w:rPr>
          <w:rFonts w:hint="eastAsia" w:ascii="宋体" w:hAnsi="宋体" w:cs="宋体"/>
          <w:color w:val="auto"/>
          <w:highlight w:val="none"/>
        </w:rPr>
        <w:br w:type="page"/>
      </w:r>
    </w:p>
    <w:p w14:paraId="4359BEA1">
      <w:pPr>
        <w:pStyle w:val="8"/>
        <w:shd w:val="clear"/>
        <w:snapToGrid w:val="0"/>
        <w:spacing w:before="159" w:after="2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附件4            </w:t>
      </w:r>
      <w:bookmarkEnd w:id="78"/>
      <w:bookmarkEnd w:id="79"/>
      <w:r>
        <w:rPr>
          <w:rFonts w:hint="eastAsia" w:ascii="宋体" w:hAnsi="宋体" w:eastAsia="宋体" w:cs="宋体"/>
          <w:color w:val="auto"/>
          <w:sz w:val="28"/>
          <w:szCs w:val="28"/>
          <w:highlight w:val="none"/>
        </w:rPr>
        <w:t>报价明细表（格式）</w:t>
      </w:r>
    </w:p>
    <w:p w14:paraId="64F2F72F">
      <w:pPr>
        <w:shd w:val="clear"/>
        <w:jc w:val="right"/>
        <w:rPr>
          <w:color w:val="auto"/>
          <w:highlight w:val="none"/>
        </w:rPr>
      </w:pPr>
      <w:r>
        <w:rPr>
          <w:rFonts w:hint="eastAsia" w:ascii="宋体" w:hAnsi="宋体" w:cs="宋体"/>
          <w:color w:val="auto"/>
          <w:kern w:val="0"/>
          <w:sz w:val="24"/>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20D9AB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801B7F7">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54FB5C2A">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r>
              <w:rPr>
                <w:rFonts w:hint="eastAsia" w:ascii="宋体" w:hAnsi="宋体" w:cs="宋体"/>
                <w:color w:val="auto"/>
                <w:spacing w:val="20"/>
                <w:kern w:val="0"/>
                <w:sz w:val="24"/>
                <w:highlight w:val="none"/>
              </w:rPr>
              <w:t>货物名称</w:t>
            </w:r>
          </w:p>
        </w:tc>
        <w:tc>
          <w:tcPr>
            <w:tcW w:w="1424" w:type="dxa"/>
            <w:tcBorders>
              <w:top w:val="single" w:color="auto" w:sz="4" w:space="0"/>
              <w:left w:val="single" w:color="auto" w:sz="4" w:space="0"/>
              <w:bottom w:val="nil"/>
              <w:right w:val="single" w:color="auto" w:sz="4" w:space="0"/>
            </w:tcBorders>
            <w:vAlign w:val="center"/>
          </w:tcPr>
          <w:p w14:paraId="4A0BA481">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r>
              <w:rPr>
                <w:rFonts w:hint="eastAsia" w:ascii="宋体" w:hAnsi="宋体" w:cs="宋体"/>
                <w:color w:val="auto"/>
                <w:spacing w:val="20"/>
                <w:kern w:val="0"/>
                <w:sz w:val="24"/>
                <w:highlight w:val="none"/>
              </w:rPr>
              <w:t>品牌</w:t>
            </w:r>
          </w:p>
        </w:tc>
        <w:tc>
          <w:tcPr>
            <w:tcW w:w="1424" w:type="dxa"/>
            <w:tcBorders>
              <w:top w:val="single" w:color="auto" w:sz="4" w:space="0"/>
              <w:left w:val="single" w:color="auto" w:sz="4" w:space="0"/>
              <w:bottom w:val="nil"/>
              <w:right w:val="single" w:color="auto" w:sz="4" w:space="0"/>
            </w:tcBorders>
            <w:vAlign w:val="center"/>
          </w:tcPr>
          <w:p w14:paraId="3BB2BC42">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r>
              <w:rPr>
                <w:rFonts w:hint="eastAsia" w:ascii="宋体" w:hAnsi="宋体" w:cs="宋体"/>
                <w:color w:val="auto"/>
                <w:spacing w:val="20"/>
                <w:kern w:val="0"/>
                <w:sz w:val="24"/>
                <w:highlight w:val="none"/>
              </w:rPr>
              <w:t>规格型号</w:t>
            </w:r>
          </w:p>
        </w:tc>
        <w:tc>
          <w:tcPr>
            <w:tcW w:w="1447" w:type="dxa"/>
            <w:tcBorders>
              <w:top w:val="single" w:color="auto" w:sz="4" w:space="0"/>
              <w:left w:val="single" w:color="auto" w:sz="4" w:space="0"/>
              <w:bottom w:val="nil"/>
              <w:right w:val="single" w:color="auto" w:sz="4" w:space="0"/>
            </w:tcBorders>
            <w:vAlign w:val="center"/>
          </w:tcPr>
          <w:p w14:paraId="52ED102F">
            <w:pPr>
              <w:widowControl/>
              <w:shd w:val="clear"/>
              <w:tabs>
                <w:tab w:val="left" w:pos="1418"/>
              </w:tabs>
              <w:snapToGrid w:val="0"/>
              <w:spacing w:before="159" w:after="50" w:line="4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产地</w:t>
            </w:r>
          </w:p>
        </w:tc>
        <w:tc>
          <w:tcPr>
            <w:tcW w:w="822" w:type="dxa"/>
            <w:tcBorders>
              <w:top w:val="single" w:color="auto" w:sz="4" w:space="0"/>
              <w:left w:val="single" w:color="auto" w:sz="4" w:space="0"/>
              <w:bottom w:val="nil"/>
              <w:right w:val="single" w:color="auto" w:sz="4" w:space="0"/>
            </w:tcBorders>
            <w:vAlign w:val="center"/>
          </w:tcPr>
          <w:p w14:paraId="6B92BD9A">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7780B7AD">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20135612">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r>
              <w:rPr>
                <w:rFonts w:hint="eastAsia" w:ascii="宋体" w:hAnsi="宋体" w:cs="宋体"/>
                <w:color w:val="auto"/>
                <w:spacing w:val="20"/>
                <w:kern w:val="0"/>
                <w:sz w:val="24"/>
                <w:highlight w:val="none"/>
              </w:rPr>
              <w:t>总价</w:t>
            </w:r>
          </w:p>
        </w:tc>
      </w:tr>
      <w:tr w14:paraId="6D664A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9957231">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r>
              <w:rPr>
                <w:rFonts w:hint="eastAsia" w:ascii="宋体" w:hAnsi="宋体" w:cs="宋体"/>
                <w:color w:val="auto"/>
                <w:spacing w:val="20"/>
                <w:kern w:val="0"/>
                <w:sz w:val="24"/>
                <w:highlight w:val="none"/>
              </w:rPr>
              <w:t>1</w:t>
            </w:r>
          </w:p>
        </w:tc>
        <w:tc>
          <w:tcPr>
            <w:tcW w:w="2097" w:type="dxa"/>
            <w:tcBorders>
              <w:top w:val="single" w:color="auto" w:sz="4" w:space="0"/>
              <w:left w:val="single" w:color="auto" w:sz="4" w:space="0"/>
              <w:bottom w:val="single" w:color="auto" w:sz="4" w:space="0"/>
              <w:right w:val="single" w:color="auto" w:sz="4" w:space="0"/>
            </w:tcBorders>
          </w:tcPr>
          <w:p w14:paraId="554AA514">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BABE3F5">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C54F2DC">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1F5DF5A">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0865C3C">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D8D29C9">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B88E282">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r>
      <w:tr w14:paraId="48C3C3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847CFD5">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r>
              <w:rPr>
                <w:rFonts w:hint="eastAsia" w:ascii="宋体" w:hAnsi="宋体" w:cs="宋体"/>
                <w:color w:val="auto"/>
                <w:spacing w:val="20"/>
                <w:kern w:val="0"/>
                <w:sz w:val="24"/>
                <w:highlight w:val="none"/>
              </w:rPr>
              <w:t>2</w:t>
            </w:r>
          </w:p>
        </w:tc>
        <w:tc>
          <w:tcPr>
            <w:tcW w:w="2097" w:type="dxa"/>
            <w:tcBorders>
              <w:top w:val="single" w:color="auto" w:sz="4" w:space="0"/>
              <w:left w:val="single" w:color="auto" w:sz="4" w:space="0"/>
              <w:bottom w:val="single" w:color="auto" w:sz="4" w:space="0"/>
              <w:right w:val="single" w:color="auto" w:sz="4" w:space="0"/>
            </w:tcBorders>
          </w:tcPr>
          <w:p w14:paraId="45FCDD8B">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0CBFC0F">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C9187C3">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76124C82">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70DFD0E">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EB1D63B">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77746E98">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r>
      <w:tr w14:paraId="342325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926DFE5">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r>
              <w:rPr>
                <w:rFonts w:hint="eastAsia" w:ascii="宋体" w:hAnsi="宋体" w:cs="宋体"/>
                <w:color w:val="auto"/>
                <w:spacing w:val="20"/>
                <w:kern w:val="0"/>
                <w:sz w:val="24"/>
                <w:highlight w:val="none"/>
              </w:rPr>
              <w:t>3</w:t>
            </w:r>
          </w:p>
        </w:tc>
        <w:tc>
          <w:tcPr>
            <w:tcW w:w="2097" w:type="dxa"/>
            <w:tcBorders>
              <w:top w:val="single" w:color="auto" w:sz="4" w:space="0"/>
              <w:left w:val="single" w:color="auto" w:sz="4" w:space="0"/>
              <w:bottom w:val="single" w:color="auto" w:sz="4" w:space="0"/>
              <w:right w:val="single" w:color="auto" w:sz="4" w:space="0"/>
            </w:tcBorders>
          </w:tcPr>
          <w:p w14:paraId="03682604">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D87286A">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2656DA">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3ADEDC10">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2AD16C0">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154E7B6D">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7EE1B67F">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r>
      <w:tr w14:paraId="32C6AF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35A6B2A">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r>
              <w:rPr>
                <w:rFonts w:hint="eastAsia" w:ascii="宋体" w:hAnsi="宋体" w:cs="宋体"/>
                <w:color w:val="auto"/>
                <w:spacing w:val="20"/>
                <w:kern w:val="0"/>
                <w:sz w:val="24"/>
                <w:highlight w:val="none"/>
              </w:rPr>
              <w:t>4</w:t>
            </w:r>
          </w:p>
        </w:tc>
        <w:tc>
          <w:tcPr>
            <w:tcW w:w="2097" w:type="dxa"/>
            <w:tcBorders>
              <w:top w:val="single" w:color="auto" w:sz="4" w:space="0"/>
              <w:left w:val="single" w:color="auto" w:sz="4" w:space="0"/>
              <w:bottom w:val="single" w:color="auto" w:sz="4" w:space="0"/>
              <w:right w:val="single" w:color="auto" w:sz="4" w:space="0"/>
            </w:tcBorders>
          </w:tcPr>
          <w:p w14:paraId="7ECDF795">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E9FFA5A">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A5425D7">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93C6619">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0D25A161">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7ACC6F9">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A5A3C43">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r>
      <w:tr w14:paraId="35EA15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B3F27F0">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10EBE04E">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408DA11">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2A28DD4">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127B4B6">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B4C9AE2">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4DEB81A">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2F499BC8">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r>
      <w:tr w14:paraId="4ECD7F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0450BA1">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r>
              <w:rPr>
                <w:rFonts w:hint="eastAsia" w:ascii="宋体" w:hAnsi="宋体" w:cs="宋体"/>
                <w:color w:val="auto"/>
                <w:spacing w:val="20"/>
                <w:kern w:val="0"/>
                <w:sz w:val="24"/>
                <w:highlight w:val="none"/>
              </w:rPr>
              <w:t>...</w:t>
            </w:r>
          </w:p>
        </w:tc>
        <w:tc>
          <w:tcPr>
            <w:tcW w:w="2097" w:type="dxa"/>
            <w:tcBorders>
              <w:top w:val="single" w:color="auto" w:sz="4" w:space="0"/>
              <w:left w:val="single" w:color="auto" w:sz="4" w:space="0"/>
              <w:bottom w:val="single" w:color="auto" w:sz="4" w:space="0"/>
              <w:right w:val="single" w:color="auto" w:sz="4" w:space="0"/>
            </w:tcBorders>
          </w:tcPr>
          <w:p w14:paraId="23DC0432">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r>
              <w:rPr>
                <w:rFonts w:hint="eastAsia" w:ascii="宋体" w:hAnsi="宋体" w:cs="宋体"/>
                <w:color w:val="auto"/>
                <w:spacing w:val="20"/>
                <w:kern w:val="0"/>
                <w:sz w:val="24"/>
                <w:highlight w:val="none"/>
              </w:rPr>
              <w:t>总计</w:t>
            </w:r>
          </w:p>
        </w:tc>
        <w:tc>
          <w:tcPr>
            <w:tcW w:w="1424" w:type="dxa"/>
            <w:tcBorders>
              <w:top w:val="single" w:color="auto" w:sz="4" w:space="0"/>
              <w:left w:val="single" w:color="auto" w:sz="4" w:space="0"/>
              <w:bottom w:val="single" w:color="auto" w:sz="4" w:space="0"/>
              <w:right w:val="single" w:color="auto" w:sz="4" w:space="0"/>
            </w:tcBorders>
          </w:tcPr>
          <w:p w14:paraId="4A99AA6F">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42C4DFA">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32B827A5">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5DD5A4C7">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681F5D34">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64777D9">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r>
      <w:tr w14:paraId="297CB4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tcPr>
          <w:p w14:paraId="3C939AF0">
            <w:pPr>
              <w:widowControl/>
              <w:shd w:val="clear"/>
              <w:tabs>
                <w:tab w:val="left" w:pos="1418"/>
              </w:tabs>
              <w:snapToGrid w:val="0"/>
              <w:spacing w:before="159" w:after="50" w:line="400" w:lineRule="exact"/>
              <w:jc w:val="left"/>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tcPr>
          <w:p w14:paraId="05ABC3A1">
            <w:pPr>
              <w:widowControl/>
              <w:shd w:val="clear"/>
              <w:tabs>
                <w:tab w:val="left" w:pos="1418"/>
              </w:tabs>
              <w:snapToGrid w:val="0"/>
              <w:spacing w:before="159" w:after="50" w:line="400" w:lineRule="exact"/>
              <w:jc w:val="left"/>
              <w:rPr>
                <w:rFonts w:hint="eastAsia" w:ascii="宋体" w:hAnsi="宋体" w:cs="宋体"/>
                <w:color w:val="auto"/>
                <w:spacing w:val="20"/>
                <w:kern w:val="0"/>
                <w:sz w:val="24"/>
                <w:highlight w:val="none"/>
              </w:rPr>
            </w:pPr>
            <w:r>
              <w:rPr>
                <w:rFonts w:hint="eastAsia" w:ascii="宋体" w:hAnsi="宋体" w:cs="宋体"/>
                <w:color w:val="auto"/>
                <w:spacing w:val="20"/>
                <w:kern w:val="0"/>
                <w:sz w:val="24"/>
                <w:highlight w:val="none"/>
              </w:rPr>
              <w:t>磋商报价(</w:t>
            </w:r>
            <w:r>
              <w:rPr>
                <w:rFonts w:hint="eastAsia" w:ascii="宋体" w:hAnsi="宋体" w:cs="宋体"/>
                <w:color w:val="auto"/>
                <w:kern w:val="0"/>
                <w:sz w:val="24"/>
                <w:szCs w:val="21"/>
                <w:highlight w:val="none"/>
              </w:rPr>
              <w:t>大写)：</w:t>
            </w:r>
          </w:p>
        </w:tc>
      </w:tr>
    </w:tbl>
    <w:p w14:paraId="500D045C">
      <w:pPr>
        <w:pStyle w:val="33"/>
        <w:shd w:val="clear"/>
        <w:ind w:firstLine="3990" w:firstLineChars="1900"/>
        <w:rPr>
          <w:rFonts w:hint="eastAsia" w:ascii="宋体" w:hAnsi="宋体" w:cs="宋体"/>
          <w:color w:val="auto"/>
          <w:highlight w:val="none"/>
        </w:rPr>
      </w:pPr>
    </w:p>
    <w:p w14:paraId="1E6D135E">
      <w:pPr>
        <w:shd w:val="clear"/>
        <w:spacing w:line="360" w:lineRule="auto"/>
        <w:ind w:firstLine="420" w:firstLineChars="200"/>
        <w:jc w:val="center"/>
        <w:rPr>
          <w:rFonts w:hint="eastAsia"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（全称并加盖公章）</w:t>
      </w:r>
    </w:p>
    <w:p w14:paraId="598CBDBC">
      <w:pPr>
        <w:widowControl/>
        <w:shd w:val="clear" w:color="auto"/>
        <w:spacing w:line="360" w:lineRule="auto"/>
        <w:ind w:left="1480" w:leftChars="705" w:firstLine="1524" w:firstLineChars="726"/>
        <w:rPr>
          <w:rFonts w:hint="eastAsia" w:ascii="宋体" w:hAnsi="宋体" w:cs="宋体"/>
          <w:color w:val="auto"/>
          <w:szCs w:val="21"/>
          <w:highlight w:val="none"/>
        </w:rPr>
      </w:pPr>
      <w:r>
        <w:rPr>
          <w:rFonts w:hint="eastAsia" w:ascii="宋体" w:hAnsi="宋体" w:cs="宋体"/>
          <w:color w:val="auto"/>
          <w:kern w:val="0"/>
          <w:szCs w:val="21"/>
          <w:highlight w:val="none"/>
        </w:rPr>
        <w:t>法定代表人或委托代理人（签字或盖章）：</w:t>
      </w:r>
      <w:r>
        <w:rPr>
          <w:rFonts w:hint="eastAsia" w:ascii="宋体" w:hAnsi="宋体" w:cs="宋体"/>
          <w:color w:val="auto"/>
          <w:kern w:val="0"/>
          <w:szCs w:val="21"/>
          <w:highlight w:val="none"/>
          <w:u w:val="single"/>
        </w:rPr>
        <w:t xml:space="preserve">           </w:t>
      </w:r>
    </w:p>
    <w:p w14:paraId="0757C52B">
      <w:pPr>
        <w:widowControl/>
        <w:shd w:val="clear"/>
        <w:wordWrap w:val="0"/>
        <w:spacing w:line="460" w:lineRule="exact"/>
        <w:ind w:firstLine="4410" w:firstLineChars="2100"/>
        <w:jc w:val="left"/>
        <w:rPr>
          <w:rFonts w:hint="eastAsia" w:ascii="宋体" w:hAnsi="宋体" w:cs="宋体"/>
          <w:color w:val="auto"/>
          <w:szCs w:val="21"/>
          <w:highlight w:val="none"/>
        </w:rPr>
      </w:pPr>
      <w:r>
        <w:rPr>
          <w:rFonts w:hint="eastAsia" w:ascii="宋体" w:hAnsi="宋体" w:cs="宋体"/>
          <w:color w:val="auto"/>
          <w:kern w:val="0"/>
          <w:szCs w:val="21"/>
          <w:highlight w:val="none"/>
        </w:rPr>
        <w:t>年    月    日</w:t>
      </w:r>
    </w:p>
    <w:p w14:paraId="4D33BD5D">
      <w:pPr>
        <w:widowControl/>
        <w:shd w:val="clear"/>
        <w:wordWrap w:val="0"/>
        <w:spacing w:line="460" w:lineRule="exact"/>
        <w:ind w:firstLine="4800" w:firstLineChars="2000"/>
        <w:jc w:val="left"/>
        <w:rPr>
          <w:rFonts w:hint="eastAsia" w:ascii="宋体" w:hAnsi="宋体" w:cs="宋体"/>
          <w:color w:val="auto"/>
          <w:sz w:val="28"/>
          <w:szCs w:val="28"/>
          <w:highlight w:val="none"/>
        </w:rPr>
      </w:pPr>
      <w:r>
        <w:rPr>
          <w:rFonts w:hint="eastAsia" w:ascii="宋体" w:hAnsi="宋体" w:cs="宋体"/>
          <w:color w:val="auto"/>
          <w:kern w:val="0"/>
          <w:sz w:val="24"/>
          <w:highlight w:val="none"/>
        </w:rPr>
        <w:t xml:space="preserve">     </w:t>
      </w:r>
    </w:p>
    <w:p w14:paraId="54F48235">
      <w:pPr>
        <w:pStyle w:val="24"/>
        <w:shd w:val="clear"/>
        <w:rPr>
          <w:rFonts w:hint="eastAsia" w:ascii="宋体" w:hAnsi="宋体" w:cs="宋体"/>
          <w:color w:val="auto"/>
          <w:kern w:val="0"/>
          <w:sz w:val="24"/>
          <w:highlight w:val="none"/>
        </w:rPr>
        <w:sectPr>
          <w:pgSz w:w="11906" w:h="16838"/>
          <w:pgMar w:top="1417" w:right="1474" w:bottom="1417" w:left="1474" w:header="851" w:footer="624" w:gutter="0"/>
          <w:cols w:space="720" w:num="1"/>
          <w:docGrid w:type="lines" w:linePitch="319" w:charSpace="0"/>
        </w:sectPr>
      </w:pPr>
    </w:p>
    <w:p w14:paraId="54FA6CE6">
      <w:pPr>
        <w:pStyle w:val="8"/>
        <w:shd w:val="clear"/>
        <w:snapToGrid w:val="0"/>
        <w:spacing w:before="159" w:after="20" w:line="360" w:lineRule="auto"/>
        <w:jc w:val="center"/>
        <w:rPr>
          <w:rFonts w:hint="eastAsia" w:ascii="宋体" w:hAnsi="宋体" w:eastAsia="宋体" w:cs="宋体"/>
          <w:color w:val="auto"/>
          <w:sz w:val="28"/>
          <w:szCs w:val="28"/>
          <w:highlight w:val="none"/>
        </w:rPr>
      </w:pPr>
      <w:bookmarkStart w:id="80" w:name="_Toc226"/>
      <w:bookmarkStart w:id="81" w:name="_Toc15804"/>
      <w:r>
        <w:rPr>
          <w:rFonts w:hint="eastAsia" w:ascii="宋体" w:hAnsi="宋体" w:eastAsia="宋体" w:cs="宋体"/>
          <w:color w:val="auto"/>
          <w:sz w:val="28"/>
          <w:szCs w:val="28"/>
          <w:highlight w:val="none"/>
        </w:rPr>
        <w:t xml:space="preserve">附件5         </w:t>
      </w:r>
      <w:bookmarkEnd w:id="80"/>
      <w:bookmarkEnd w:id="81"/>
      <w:r>
        <w:rPr>
          <w:rFonts w:hint="eastAsia" w:ascii="宋体" w:hAnsi="宋体" w:eastAsia="宋体" w:cs="宋体"/>
          <w:color w:val="auto"/>
          <w:sz w:val="28"/>
          <w:szCs w:val="28"/>
          <w:highlight w:val="none"/>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5307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vAlign w:val="center"/>
          </w:tcPr>
          <w:p w14:paraId="2630950A">
            <w:pPr>
              <w:widowControl/>
              <w:shd w:val="clear"/>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837" w:type="dxa"/>
            <w:vAlign w:val="center"/>
          </w:tcPr>
          <w:p w14:paraId="30D2602C">
            <w:pPr>
              <w:widowControl/>
              <w:shd w:val="clear"/>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货物名称</w:t>
            </w:r>
          </w:p>
        </w:tc>
        <w:tc>
          <w:tcPr>
            <w:tcW w:w="2160" w:type="dxa"/>
            <w:vAlign w:val="center"/>
          </w:tcPr>
          <w:p w14:paraId="11C05307">
            <w:pPr>
              <w:widowControl/>
              <w:shd w:val="clear"/>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磋商文件要求</w:t>
            </w:r>
          </w:p>
        </w:tc>
        <w:tc>
          <w:tcPr>
            <w:tcW w:w="2205" w:type="dxa"/>
            <w:vAlign w:val="center"/>
          </w:tcPr>
          <w:p w14:paraId="1A3DDB42">
            <w:pPr>
              <w:widowControl/>
              <w:shd w:val="clear"/>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响应文件响应</w:t>
            </w:r>
          </w:p>
        </w:tc>
        <w:tc>
          <w:tcPr>
            <w:tcW w:w="1425" w:type="dxa"/>
            <w:vAlign w:val="center"/>
          </w:tcPr>
          <w:p w14:paraId="521130CB">
            <w:pPr>
              <w:widowControl/>
              <w:shd w:val="clear"/>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偏离情况</w:t>
            </w:r>
          </w:p>
        </w:tc>
        <w:tc>
          <w:tcPr>
            <w:tcW w:w="930" w:type="dxa"/>
            <w:vAlign w:val="center"/>
          </w:tcPr>
          <w:p w14:paraId="7889AFF6">
            <w:pPr>
              <w:widowControl/>
              <w:shd w:val="clear"/>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3D975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vAlign w:val="center"/>
          </w:tcPr>
          <w:p w14:paraId="3F4CD7EC">
            <w:pPr>
              <w:widowControl/>
              <w:shd w:val="clear"/>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1</w:t>
            </w:r>
          </w:p>
        </w:tc>
        <w:tc>
          <w:tcPr>
            <w:tcW w:w="1837" w:type="dxa"/>
            <w:vAlign w:val="center"/>
          </w:tcPr>
          <w:p w14:paraId="02045832">
            <w:pPr>
              <w:widowControl/>
              <w:shd w:val="clear"/>
              <w:spacing w:line="360" w:lineRule="auto"/>
              <w:jc w:val="center"/>
              <w:textAlignment w:val="baseline"/>
              <w:rPr>
                <w:rFonts w:hint="eastAsia" w:ascii="宋体" w:hAnsi="宋体" w:cs="宋体"/>
                <w:color w:val="auto"/>
                <w:szCs w:val="21"/>
                <w:highlight w:val="none"/>
              </w:rPr>
            </w:pPr>
          </w:p>
        </w:tc>
        <w:tc>
          <w:tcPr>
            <w:tcW w:w="2160" w:type="dxa"/>
            <w:vAlign w:val="center"/>
          </w:tcPr>
          <w:p w14:paraId="7BB8395F">
            <w:pPr>
              <w:widowControl/>
              <w:shd w:val="clear"/>
              <w:spacing w:line="360" w:lineRule="auto"/>
              <w:jc w:val="center"/>
              <w:textAlignment w:val="baseline"/>
              <w:rPr>
                <w:rFonts w:hint="eastAsia" w:ascii="宋体" w:hAnsi="宋体" w:cs="宋体"/>
                <w:color w:val="auto"/>
                <w:szCs w:val="21"/>
                <w:highlight w:val="none"/>
              </w:rPr>
            </w:pPr>
          </w:p>
        </w:tc>
        <w:tc>
          <w:tcPr>
            <w:tcW w:w="2205" w:type="dxa"/>
            <w:vAlign w:val="center"/>
          </w:tcPr>
          <w:p w14:paraId="657DEF18">
            <w:pPr>
              <w:widowControl/>
              <w:shd w:val="clear"/>
              <w:spacing w:line="360" w:lineRule="auto"/>
              <w:jc w:val="center"/>
              <w:textAlignment w:val="baseline"/>
              <w:rPr>
                <w:rFonts w:hint="eastAsia" w:ascii="宋体" w:hAnsi="宋体" w:cs="宋体"/>
                <w:color w:val="auto"/>
                <w:szCs w:val="21"/>
                <w:highlight w:val="none"/>
              </w:rPr>
            </w:pPr>
          </w:p>
        </w:tc>
        <w:tc>
          <w:tcPr>
            <w:tcW w:w="1425" w:type="dxa"/>
            <w:vAlign w:val="center"/>
          </w:tcPr>
          <w:p w14:paraId="2B4A46C2">
            <w:pPr>
              <w:widowControl/>
              <w:shd w:val="clear"/>
              <w:spacing w:line="360" w:lineRule="auto"/>
              <w:jc w:val="center"/>
              <w:textAlignment w:val="baseline"/>
              <w:rPr>
                <w:rFonts w:hint="eastAsia" w:ascii="宋体" w:hAnsi="宋体" w:cs="宋体"/>
                <w:color w:val="auto"/>
                <w:szCs w:val="21"/>
                <w:highlight w:val="none"/>
              </w:rPr>
            </w:pPr>
          </w:p>
        </w:tc>
        <w:tc>
          <w:tcPr>
            <w:tcW w:w="930" w:type="dxa"/>
            <w:vAlign w:val="center"/>
          </w:tcPr>
          <w:p w14:paraId="5B894E8D">
            <w:pPr>
              <w:widowControl/>
              <w:shd w:val="clear"/>
              <w:spacing w:line="360" w:lineRule="auto"/>
              <w:jc w:val="center"/>
              <w:textAlignment w:val="baseline"/>
              <w:rPr>
                <w:rFonts w:hint="eastAsia" w:ascii="宋体" w:hAnsi="宋体" w:cs="宋体"/>
                <w:color w:val="auto"/>
                <w:szCs w:val="21"/>
                <w:highlight w:val="none"/>
              </w:rPr>
            </w:pPr>
          </w:p>
        </w:tc>
      </w:tr>
      <w:tr w14:paraId="2E71D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vAlign w:val="center"/>
          </w:tcPr>
          <w:p w14:paraId="729A52A2">
            <w:pPr>
              <w:widowControl/>
              <w:shd w:val="clear"/>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2</w:t>
            </w:r>
          </w:p>
        </w:tc>
        <w:tc>
          <w:tcPr>
            <w:tcW w:w="1837" w:type="dxa"/>
            <w:vAlign w:val="center"/>
          </w:tcPr>
          <w:p w14:paraId="2561175A">
            <w:pPr>
              <w:widowControl/>
              <w:shd w:val="clear"/>
              <w:spacing w:line="360" w:lineRule="auto"/>
              <w:jc w:val="center"/>
              <w:textAlignment w:val="baseline"/>
              <w:rPr>
                <w:rFonts w:hint="eastAsia" w:ascii="宋体" w:hAnsi="宋体" w:cs="宋体"/>
                <w:color w:val="auto"/>
                <w:szCs w:val="21"/>
                <w:highlight w:val="none"/>
              </w:rPr>
            </w:pPr>
          </w:p>
        </w:tc>
        <w:tc>
          <w:tcPr>
            <w:tcW w:w="2160" w:type="dxa"/>
            <w:vAlign w:val="center"/>
          </w:tcPr>
          <w:p w14:paraId="18C98CF9">
            <w:pPr>
              <w:widowControl/>
              <w:shd w:val="clear"/>
              <w:spacing w:line="360" w:lineRule="auto"/>
              <w:jc w:val="center"/>
              <w:textAlignment w:val="baseline"/>
              <w:rPr>
                <w:rFonts w:hint="eastAsia" w:ascii="宋体" w:hAnsi="宋体" w:cs="宋体"/>
                <w:color w:val="auto"/>
                <w:szCs w:val="21"/>
                <w:highlight w:val="none"/>
              </w:rPr>
            </w:pPr>
          </w:p>
        </w:tc>
        <w:tc>
          <w:tcPr>
            <w:tcW w:w="2205" w:type="dxa"/>
            <w:vAlign w:val="center"/>
          </w:tcPr>
          <w:p w14:paraId="0731E58E">
            <w:pPr>
              <w:widowControl/>
              <w:shd w:val="clear"/>
              <w:spacing w:line="360" w:lineRule="auto"/>
              <w:jc w:val="center"/>
              <w:textAlignment w:val="baseline"/>
              <w:rPr>
                <w:rFonts w:hint="eastAsia" w:ascii="宋体" w:hAnsi="宋体" w:cs="宋体"/>
                <w:color w:val="auto"/>
                <w:szCs w:val="21"/>
                <w:highlight w:val="none"/>
              </w:rPr>
            </w:pPr>
          </w:p>
        </w:tc>
        <w:tc>
          <w:tcPr>
            <w:tcW w:w="1425" w:type="dxa"/>
            <w:vAlign w:val="center"/>
          </w:tcPr>
          <w:p w14:paraId="20403BCD">
            <w:pPr>
              <w:widowControl/>
              <w:shd w:val="clear"/>
              <w:spacing w:line="360" w:lineRule="auto"/>
              <w:jc w:val="center"/>
              <w:textAlignment w:val="baseline"/>
              <w:rPr>
                <w:rFonts w:hint="eastAsia" w:ascii="宋体" w:hAnsi="宋体" w:cs="宋体"/>
                <w:color w:val="auto"/>
                <w:szCs w:val="21"/>
                <w:highlight w:val="none"/>
              </w:rPr>
            </w:pPr>
          </w:p>
        </w:tc>
        <w:tc>
          <w:tcPr>
            <w:tcW w:w="930" w:type="dxa"/>
            <w:vAlign w:val="center"/>
          </w:tcPr>
          <w:p w14:paraId="5B42D853">
            <w:pPr>
              <w:widowControl/>
              <w:shd w:val="clear"/>
              <w:spacing w:line="360" w:lineRule="auto"/>
              <w:jc w:val="center"/>
              <w:textAlignment w:val="baseline"/>
              <w:rPr>
                <w:rFonts w:hint="eastAsia" w:ascii="宋体" w:hAnsi="宋体" w:cs="宋体"/>
                <w:color w:val="auto"/>
                <w:szCs w:val="21"/>
                <w:highlight w:val="none"/>
              </w:rPr>
            </w:pPr>
          </w:p>
        </w:tc>
      </w:tr>
      <w:tr w14:paraId="729B1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vAlign w:val="center"/>
          </w:tcPr>
          <w:p w14:paraId="5FA4627E">
            <w:pPr>
              <w:widowControl/>
              <w:shd w:val="clear"/>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w:t>
            </w:r>
          </w:p>
        </w:tc>
        <w:tc>
          <w:tcPr>
            <w:tcW w:w="1837" w:type="dxa"/>
            <w:vAlign w:val="center"/>
          </w:tcPr>
          <w:p w14:paraId="40636340">
            <w:pPr>
              <w:widowControl/>
              <w:shd w:val="clear"/>
              <w:spacing w:line="360" w:lineRule="auto"/>
              <w:jc w:val="center"/>
              <w:textAlignment w:val="baseline"/>
              <w:rPr>
                <w:rFonts w:hint="eastAsia" w:ascii="宋体" w:hAnsi="宋体" w:cs="宋体"/>
                <w:color w:val="auto"/>
                <w:szCs w:val="21"/>
                <w:highlight w:val="none"/>
              </w:rPr>
            </w:pPr>
          </w:p>
        </w:tc>
        <w:tc>
          <w:tcPr>
            <w:tcW w:w="2160" w:type="dxa"/>
            <w:vAlign w:val="center"/>
          </w:tcPr>
          <w:p w14:paraId="3FE3622C">
            <w:pPr>
              <w:widowControl/>
              <w:shd w:val="clear"/>
              <w:spacing w:line="360" w:lineRule="auto"/>
              <w:jc w:val="center"/>
              <w:textAlignment w:val="baseline"/>
              <w:rPr>
                <w:rFonts w:hint="eastAsia" w:ascii="宋体" w:hAnsi="宋体" w:cs="宋体"/>
                <w:color w:val="auto"/>
                <w:szCs w:val="21"/>
                <w:highlight w:val="none"/>
              </w:rPr>
            </w:pPr>
          </w:p>
        </w:tc>
        <w:tc>
          <w:tcPr>
            <w:tcW w:w="2205" w:type="dxa"/>
            <w:vAlign w:val="center"/>
          </w:tcPr>
          <w:p w14:paraId="1139F63F">
            <w:pPr>
              <w:widowControl/>
              <w:shd w:val="clear"/>
              <w:spacing w:line="360" w:lineRule="auto"/>
              <w:jc w:val="center"/>
              <w:textAlignment w:val="baseline"/>
              <w:rPr>
                <w:rFonts w:hint="eastAsia" w:ascii="宋体" w:hAnsi="宋体" w:cs="宋体"/>
                <w:color w:val="auto"/>
                <w:szCs w:val="21"/>
                <w:highlight w:val="none"/>
              </w:rPr>
            </w:pPr>
          </w:p>
        </w:tc>
        <w:tc>
          <w:tcPr>
            <w:tcW w:w="1425" w:type="dxa"/>
            <w:vAlign w:val="center"/>
          </w:tcPr>
          <w:p w14:paraId="77A89491">
            <w:pPr>
              <w:widowControl/>
              <w:shd w:val="clear"/>
              <w:spacing w:line="360" w:lineRule="auto"/>
              <w:jc w:val="center"/>
              <w:textAlignment w:val="baseline"/>
              <w:rPr>
                <w:rFonts w:hint="eastAsia" w:ascii="宋体" w:hAnsi="宋体" w:cs="宋体"/>
                <w:color w:val="auto"/>
                <w:szCs w:val="21"/>
                <w:highlight w:val="none"/>
              </w:rPr>
            </w:pPr>
          </w:p>
        </w:tc>
        <w:tc>
          <w:tcPr>
            <w:tcW w:w="930" w:type="dxa"/>
            <w:vAlign w:val="center"/>
          </w:tcPr>
          <w:p w14:paraId="19587C09">
            <w:pPr>
              <w:widowControl/>
              <w:shd w:val="clear"/>
              <w:spacing w:line="360" w:lineRule="auto"/>
              <w:jc w:val="center"/>
              <w:textAlignment w:val="baseline"/>
              <w:rPr>
                <w:rFonts w:hint="eastAsia" w:ascii="宋体" w:hAnsi="宋体" w:cs="宋体"/>
                <w:color w:val="auto"/>
                <w:szCs w:val="21"/>
                <w:highlight w:val="none"/>
              </w:rPr>
            </w:pPr>
          </w:p>
        </w:tc>
      </w:tr>
    </w:tbl>
    <w:p w14:paraId="426A708F">
      <w:pPr>
        <w:widowControl/>
        <w:shd w:val="clear"/>
        <w:wordWrap w:val="0"/>
        <w:spacing w:line="460" w:lineRule="exact"/>
        <w:ind w:firstLine="422" w:firstLineChars="200"/>
        <w:jc w:val="left"/>
        <w:rPr>
          <w:rFonts w:hint="eastAsia" w:ascii="宋体" w:hAnsi="宋体" w:cs="宋体"/>
          <w:b/>
          <w:color w:val="auto"/>
          <w:kern w:val="0"/>
          <w:szCs w:val="21"/>
          <w:highlight w:val="none"/>
        </w:rPr>
      </w:pPr>
    </w:p>
    <w:p w14:paraId="086D002F">
      <w:pPr>
        <w:widowControl/>
        <w:shd w:val="clear"/>
        <w:spacing w:line="360" w:lineRule="auto"/>
        <w:textAlignment w:val="baseline"/>
        <w:rPr>
          <w:rFonts w:hint="eastAsia" w:ascii="宋体" w:hAnsi="宋体" w:cs="宋体"/>
          <w:color w:val="auto"/>
          <w:szCs w:val="21"/>
          <w:highlight w:val="none"/>
        </w:rPr>
      </w:pPr>
      <w:r>
        <w:rPr>
          <w:rFonts w:hint="eastAsia" w:ascii="宋体" w:hAnsi="宋体" w:cs="宋体"/>
          <w:color w:val="auto"/>
          <w:szCs w:val="21"/>
          <w:highlight w:val="none"/>
        </w:rPr>
        <w:t>注：供应商必须如实完整填写表格，“偏离情况”是指“正偏离”、“负偏离”或“无偏离”。</w:t>
      </w:r>
    </w:p>
    <w:p w14:paraId="58ACC392">
      <w:pPr>
        <w:widowControl/>
        <w:shd w:val="clear"/>
        <w:spacing w:line="360" w:lineRule="auto"/>
        <w:textAlignment w:val="baseline"/>
        <w:rPr>
          <w:rFonts w:hint="eastAsia" w:ascii="宋体" w:hAnsi="宋体" w:cs="宋体"/>
          <w:color w:val="auto"/>
          <w:szCs w:val="21"/>
          <w:highlight w:val="none"/>
        </w:rPr>
      </w:pPr>
    </w:p>
    <w:p w14:paraId="76D7903A">
      <w:pPr>
        <w:widowControl/>
        <w:shd w:val="clear"/>
        <w:spacing w:line="360" w:lineRule="auto"/>
        <w:textAlignment w:val="baseline"/>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46C4F941">
      <w:pPr>
        <w:widowControl/>
        <w:shd w:val="clear"/>
        <w:spacing w:line="360" w:lineRule="auto"/>
        <w:ind w:firstLine="2100" w:firstLineChars="1000"/>
        <w:textAlignment w:val="baseline"/>
        <w:rPr>
          <w:rFonts w:hint="eastAsia"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（全称并加盖公章）</w:t>
      </w:r>
    </w:p>
    <w:p w14:paraId="0D9B19F1">
      <w:pPr>
        <w:widowControl/>
        <w:shd w:val="clear"/>
        <w:wordWrap w:val="0"/>
        <w:spacing w:line="460" w:lineRule="exact"/>
        <w:ind w:firstLine="3570" w:firstLineChars="1700"/>
        <w:jc w:val="left"/>
        <w:rPr>
          <w:rFonts w:hint="eastAsia" w:ascii="宋体" w:hAnsi="宋体" w:cs="宋体"/>
          <w:b/>
          <w:color w:val="auto"/>
          <w:kern w:val="0"/>
          <w:sz w:val="32"/>
          <w:szCs w:val="32"/>
          <w:highlight w:val="none"/>
        </w:rPr>
      </w:pPr>
      <w:r>
        <w:rPr>
          <w:rFonts w:hint="eastAsia" w:ascii="宋体" w:hAnsi="宋体" w:cs="宋体"/>
          <w:color w:val="auto"/>
          <w:szCs w:val="21"/>
          <w:highlight w:val="none"/>
        </w:rPr>
        <w:t>年    月    日</w:t>
      </w:r>
    </w:p>
    <w:p w14:paraId="123EF889">
      <w:pPr>
        <w:widowControl/>
        <w:shd w:val="clear"/>
        <w:wordWrap w:val="0"/>
        <w:spacing w:line="460" w:lineRule="exact"/>
        <w:ind w:firstLine="643" w:firstLineChars="200"/>
        <w:jc w:val="left"/>
        <w:rPr>
          <w:rFonts w:hint="eastAsia" w:ascii="宋体" w:hAnsi="宋体" w:cs="宋体"/>
          <w:b/>
          <w:color w:val="auto"/>
          <w:kern w:val="0"/>
          <w:sz w:val="32"/>
          <w:szCs w:val="32"/>
          <w:highlight w:val="none"/>
        </w:rPr>
      </w:pPr>
    </w:p>
    <w:p w14:paraId="14D16C46">
      <w:pPr>
        <w:widowControl/>
        <w:shd w:val="clear"/>
        <w:wordWrap w:val="0"/>
        <w:spacing w:line="460" w:lineRule="exact"/>
        <w:ind w:firstLine="643" w:firstLineChars="200"/>
        <w:jc w:val="left"/>
        <w:rPr>
          <w:rFonts w:hint="eastAsia" w:ascii="宋体" w:hAnsi="宋体" w:cs="宋体"/>
          <w:b/>
          <w:color w:val="auto"/>
          <w:kern w:val="0"/>
          <w:sz w:val="32"/>
          <w:szCs w:val="32"/>
          <w:highlight w:val="none"/>
        </w:rPr>
      </w:pPr>
    </w:p>
    <w:p w14:paraId="41337E5D">
      <w:pPr>
        <w:widowControl/>
        <w:shd w:val="clear"/>
        <w:wordWrap w:val="0"/>
        <w:spacing w:line="460" w:lineRule="exact"/>
        <w:ind w:firstLine="643" w:firstLineChars="200"/>
        <w:jc w:val="left"/>
        <w:rPr>
          <w:rFonts w:hint="eastAsia" w:ascii="宋体" w:hAnsi="宋体" w:cs="宋体"/>
          <w:b/>
          <w:color w:val="auto"/>
          <w:kern w:val="0"/>
          <w:sz w:val="32"/>
          <w:szCs w:val="32"/>
          <w:highlight w:val="none"/>
        </w:rPr>
      </w:pPr>
    </w:p>
    <w:p w14:paraId="6F8393D1">
      <w:pPr>
        <w:widowControl/>
        <w:shd w:val="clear"/>
        <w:wordWrap w:val="0"/>
        <w:spacing w:line="460" w:lineRule="exact"/>
        <w:ind w:firstLine="643" w:firstLineChars="200"/>
        <w:jc w:val="left"/>
        <w:rPr>
          <w:rFonts w:hint="eastAsia" w:ascii="宋体" w:hAnsi="宋体" w:cs="宋体"/>
          <w:b/>
          <w:color w:val="auto"/>
          <w:kern w:val="0"/>
          <w:sz w:val="32"/>
          <w:szCs w:val="32"/>
          <w:highlight w:val="none"/>
        </w:rPr>
      </w:pPr>
    </w:p>
    <w:p w14:paraId="25CAB78E">
      <w:pPr>
        <w:widowControl/>
        <w:shd w:val="clear"/>
        <w:wordWrap w:val="0"/>
        <w:spacing w:line="460" w:lineRule="exact"/>
        <w:ind w:firstLine="643" w:firstLineChars="200"/>
        <w:jc w:val="left"/>
        <w:rPr>
          <w:rFonts w:hint="eastAsia" w:ascii="宋体" w:hAnsi="宋体" w:cs="宋体"/>
          <w:b/>
          <w:color w:val="auto"/>
          <w:kern w:val="0"/>
          <w:sz w:val="32"/>
          <w:szCs w:val="32"/>
          <w:highlight w:val="none"/>
        </w:rPr>
      </w:pPr>
    </w:p>
    <w:p w14:paraId="6CF09B86">
      <w:pPr>
        <w:widowControl/>
        <w:shd w:val="clear"/>
        <w:wordWrap w:val="0"/>
        <w:snapToGrid w:val="0"/>
        <w:spacing w:before="159" w:after="159" w:afterLines="50"/>
        <w:jc w:val="left"/>
        <w:rPr>
          <w:rFonts w:hint="eastAsia" w:ascii="宋体" w:hAnsi="宋体" w:cs="宋体"/>
          <w:color w:val="auto"/>
          <w:kern w:val="0"/>
          <w:sz w:val="24"/>
          <w:highlight w:val="none"/>
          <w:u w:val="single"/>
        </w:rPr>
      </w:pPr>
    </w:p>
    <w:p w14:paraId="15D88A12">
      <w:pPr>
        <w:shd w:val="clear"/>
        <w:rPr>
          <w:rFonts w:hint="eastAsia" w:ascii="宋体" w:hAnsi="宋体" w:cs="宋体"/>
          <w:b/>
          <w:color w:val="auto"/>
          <w:kern w:val="0"/>
          <w:sz w:val="24"/>
          <w:highlight w:val="none"/>
        </w:rPr>
      </w:pPr>
      <w:r>
        <w:rPr>
          <w:rFonts w:hint="eastAsia" w:ascii="宋体" w:hAnsi="宋体" w:eastAsia="宋体" w:cs="宋体"/>
          <w:color w:val="auto"/>
          <w:kern w:val="0"/>
          <w:sz w:val="24"/>
          <w:highlight w:val="none"/>
        </w:rPr>
        <w:br w:type="page"/>
      </w:r>
    </w:p>
    <w:p w14:paraId="2F357F53">
      <w:pPr>
        <w:shd w:val="clear"/>
        <w:rPr>
          <w:rFonts w:hint="eastAsia" w:ascii="宋体" w:hAnsi="宋体" w:cs="宋体"/>
          <w:b/>
          <w:color w:val="auto"/>
          <w:kern w:val="0"/>
          <w:sz w:val="24"/>
          <w:highlight w:val="none"/>
        </w:rPr>
      </w:pPr>
    </w:p>
    <w:p w14:paraId="32626221">
      <w:pPr>
        <w:pStyle w:val="8"/>
        <w:shd w:val="clear"/>
        <w:snapToGrid w:val="0"/>
        <w:spacing w:before="159" w:after="20" w:line="360" w:lineRule="auto"/>
        <w:jc w:val="center"/>
        <w:rPr>
          <w:rFonts w:hint="eastAsia" w:ascii="宋体" w:hAnsi="宋体" w:eastAsia="宋体" w:cs="宋体"/>
          <w:color w:val="auto"/>
          <w:sz w:val="28"/>
          <w:szCs w:val="28"/>
          <w:highlight w:val="none"/>
        </w:rPr>
      </w:pPr>
      <w:bookmarkStart w:id="82" w:name="_Toc24168"/>
      <w:bookmarkStart w:id="83" w:name="_Toc29960"/>
      <w:bookmarkStart w:id="84" w:name="_Toc20420"/>
      <w:r>
        <w:rPr>
          <w:rFonts w:hint="eastAsia" w:ascii="宋体" w:hAnsi="宋体" w:eastAsia="宋体" w:cs="宋体"/>
          <w:color w:val="auto"/>
          <w:sz w:val="28"/>
          <w:szCs w:val="28"/>
          <w:highlight w:val="none"/>
        </w:rPr>
        <w:t>附件6            商务响应</w:t>
      </w:r>
      <w:bookmarkEnd w:id="82"/>
      <w:bookmarkEnd w:id="83"/>
      <w:bookmarkEnd w:id="84"/>
      <w:r>
        <w:rPr>
          <w:rFonts w:hint="eastAsia" w:ascii="宋体" w:hAnsi="宋体" w:eastAsia="宋体" w:cs="宋体"/>
          <w:color w:val="auto"/>
          <w:sz w:val="28"/>
          <w:szCs w:val="28"/>
          <w:highlight w:val="none"/>
        </w:rPr>
        <w:t>表（格式）</w:t>
      </w:r>
    </w:p>
    <w:tbl>
      <w:tblPr>
        <w:tblStyle w:val="91"/>
        <w:tblW w:w="91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307"/>
        <w:gridCol w:w="1620"/>
        <w:gridCol w:w="2169"/>
      </w:tblGrid>
      <w:tr w14:paraId="03977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noWrap/>
            <w:vAlign w:val="center"/>
          </w:tcPr>
          <w:p w14:paraId="16605F2A">
            <w:pPr>
              <w:widowControl/>
              <w:shd w:val="clear"/>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133" w:type="dxa"/>
            <w:noWrap/>
            <w:vAlign w:val="center"/>
          </w:tcPr>
          <w:p w14:paraId="0A2F7F90">
            <w:pPr>
              <w:widowControl/>
              <w:shd w:val="clear"/>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2307" w:type="dxa"/>
            <w:noWrap/>
            <w:vAlign w:val="center"/>
          </w:tcPr>
          <w:p w14:paraId="5B3D7EB8">
            <w:pPr>
              <w:widowControl/>
              <w:shd w:val="clear"/>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采购文件要求</w:t>
            </w:r>
          </w:p>
        </w:tc>
        <w:tc>
          <w:tcPr>
            <w:tcW w:w="1620" w:type="dxa"/>
            <w:noWrap/>
            <w:vAlign w:val="center"/>
          </w:tcPr>
          <w:p w14:paraId="613336A7">
            <w:pPr>
              <w:widowControl/>
              <w:shd w:val="clear"/>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响应情况</w:t>
            </w:r>
          </w:p>
        </w:tc>
        <w:tc>
          <w:tcPr>
            <w:tcW w:w="2169" w:type="dxa"/>
            <w:noWrap/>
            <w:vAlign w:val="center"/>
          </w:tcPr>
          <w:p w14:paraId="04C48E65">
            <w:pPr>
              <w:widowControl/>
              <w:shd w:val="clear"/>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投标人的承诺或说明</w:t>
            </w:r>
          </w:p>
        </w:tc>
      </w:tr>
      <w:tr w14:paraId="1D13D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64CF8BC3">
            <w:pPr>
              <w:widowControl/>
              <w:shd w:val="clear"/>
              <w:spacing w:line="360" w:lineRule="auto"/>
              <w:jc w:val="center"/>
              <w:textAlignment w:val="baseline"/>
              <w:rPr>
                <w:rFonts w:hint="eastAsia" w:ascii="宋体" w:hAnsi="宋体" w:cs="宋体"/>
                <w:color w:val="auto"/>
                <w:szCs w:val="21"/>
                <w:highlight w:val="none"/>
              </w:rPr>
            </w:pPr>
          </w:p>
        </w:tc>
        <w:tc>
          <w:tcPr>
            <w:tcW w:w="2133" w:type="dxa"/>
            <w:noWrap/>
            <w:vAlign w:val="center"/>
          </w:tcPr>
          <w:p w14:paraId="0931AF21">
            <w:pPr>
              <w:widowControl/>
              <w:shd w:val="clear"/>
              <w:spacing w:line="360" w:lineRule="auto"/>
              <w:jc w:val="center"/>
              <w:textAlignment w:val="baseline"/>
              <w:rPr>
                <w:rFonts w:hint="eastAsia" w:asciiTheme="majorEastAsia" w:hAnsiTheme="majorEastAsia" w:eastAsiaTheme="majorEastAsia"/>
                <w:color w:val="auto"/>
                <w:szCs w:val="21"/>
                <w:highlight w:val="none"/>
              </w:rPr>
            </w:pPr>
          </w:p>
        </w:tc>
        <w:tc>
          <w:tcPr>
            <w:tcW w:w="2307" w:type="dxa"/>
            <w:noWrap/>
            <w:vAlign w:val="center"/>
          </w:tcPr>
          <w:p w14:paraId="52183F0F">
            <w:pPr>
              <w:widowControl/>
              <w:shd w:val="clear"/>
              <w:spacing w:line="360" w:lineRule="auto"/>
              <w:jc w:val="center"/>
              <w:textAlignment w:val="baseline"/>
              <w:rPr>
                <w:rFonts w:hint="eastAsia" w:ascii="宋体" w:hAnsi="宋体" w:cs="宋体"/>
                <w:color w:val="auto"/>
                <w:szCs w:val="21"/>
                <w:highlight w:val="none"/>
              </w:rPr>
            </w:pPr>
          </w:p>
        </w:tc>
        <w:tc>
          <w:tcPr>
            <w:tcW w:w="1620" w:type="dxa"/>
            <w:noWrap/>
            <w:vAlign w:val="center"/>
          </w:tcPr>
          <w:p w14:paraId="0737F387">
            <w:pPr>
              <w:widowControl/>
              <w:shd w:val="clear"/>
              <w:spacing w:line="360" w:lineRule="auto"/>
              <w:jc w:val="center"/>
              <w:textAlignment w:val="baseline"/>
              <w:rPr>
                <w:rFonts w:hint="eastAsia" w:ascii="宋体" w:hAnsi="宋体" w:cs="宋体"/>
                <w:color w:val="auto"/>
                <w:szCs w:val="21"/>
                <w:highlight w:val="none"/>
              </w:rPr>
            </w:pPr>
          </w:p>
        </w:tc>
        <w:tc>
          <w:tcPr>
            <w:tcW w:w="2169" w:type="dxa"/>
            <w:noWrap/>
            <w:vAlign w:val="center"/>
          </w:tcPr>
          <w:p w14:paraId="088623B1">
            <w:pPr>
              <w:widowControl/>
              <w:shd w:val="clear"/>
              <w:spacing w:line="360" w:lineRule="auto"/>
              <w:jc w:val="center"/>
              <w:textAlignment w:val="baseline"/>
              <w:rPr>
                <w:rFonts w:hint="eastAsia" w:ascii="宋体" w:hAnsi="宋体" w:cs="宋体"/>
                <w:color w:val="auto"/>
                <w:szCs w:val="21"/>
                <w:highlight w:val="none"/>
              </w:rPr>
            </w:pPr>
          </w:p>
        </w:tc>
      </w:tr>
      <w:tr w14:paraId="3E63D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1E7C5153">
            <w:pPr>
              <w:widowControl/>
              <w:shd w:val="clear"/>
              <w:spacing w:line="360" w:lineRule="auto"/>
              <w:jc w:val="center"/>
              <w:textAlignment w:val="baseline"/>
              <w:rPr>
                <w:rFonts w:hint="eastAsia" w:ascii="宋体" w:hAnsi="宋体" w:cs="宋体"/>
                <w:color w:val="auto"/>
                <w:szCs w:val="21"/>
                <w:highlight w:val="none"/>
              </w:rPr>
            </w:pPr>
          </w:p>
        </w:tc>
        <w:tc>
          <w:tcPr>
            <w:tcW w:w="2133" w:type="dxa"/>
            <w:noWrap/>
            <w:vAlign w:val="center"/>
          </w:tcPr>
          <w:p w14:paraId="22489EF1">
            <w:pPr>
              <w:widowControl/>
              <w:shd w:val="clear"/>
              <w:spacing w:line="360" w:lineRule="auto"/>
              <w:jc w:val="center"/>
              <w:textAlignment w:val="baseline"/>
              <w:rPr>
                <w:rFonts w:hint="eastAsia" w:asciiTheme="majorEastAsia" w:hAnsiTheme="majorEastAsia" w:eastAsiaTheme="majorEastAsia"/>
                <w:color w:val="auto"/>
                <w:szCs w:val="21"/>
                <w:highlight w:val="none"/>
              </w:rPr>
            </w:pPr>
          </w:p>
        </w:tc>
        <w:tc>
          <w:tcPr>
            <w:tcW w:w="2307" w:type="dxa"/>
            <w:noWrap/>
            <w:vAlign w:val="center"/>
          </w:tcPr>
          <w:p w14:paraId="57064975">
            <w:pPr>
              <w:widowControl/>
              <w:shd w:val="clear"/>
              <w:spacing w:line="360" w:lineRule="auto"/>
              <w:jc w:val="center"/>
              <w:textAlignment w:val="baseline"/>
              <w:rPr>
                <w:rFonts w:hint="eastAsia" w:ascii="宋体" w:hAnsi="宋体" w:cs="宋体"/>
                <w:color w:val="auto"/>
                <w:szCs w:val="21"/>
                <w:highlight w:val="none"/>
              </w:rPr>
            </w:pPr>
          </w:p>
        </w:tc>
        <w:tc>
          <w:tcPr>
            <w:tcW w:w="1620" w:type="dxa"/>
            <w:noWrap/>
            <w:vAlign w:val="center"/>
          </w:tcPr>
          <w:p w14:paraId="273CF967">
            <w:pPr>
              <w:widowControl/>
              <w:shd w:val="clear"/>
              <w:spacing w:line="360" w:lineRule="auto"/>
              <w:jc w:val="center"/>
              <w:textAlignment w:val="baseline"/>
              <w:rPr>
                <w:rFonts w:hint="eastAsia" w:ascii="宋体" w:hAnsi="宋体" w:cs="宋体"/>
                <w:color w:val="auto"/>
                <w:szCs w:val="21"/>
                <w:highlight w:val="none"/>
              </w:rPr>
            </w:pPr>
          </w:p>
        </w:tc>
        <w:tc>
          <w:tcPr>
            <w:tcW w:w="2169" w:type="dxa"/>
            <w:noWrap/>
            <w:vAlign w:val="center"/>
          </w:tcPr>
          <w:p w14:paraId="6938AD79">
            <w:pPr>
              <w:widowControl/>
              <w:shd w:val="clear"/>
              <w:spacing w:line="360" w:lineRule="auto"/>
              <w:jc w:val="center"/>
              <w:textAlignment w:val="baseline"/>
              <w:rPr>
                <w:rFonts w:hint="eastAsia" w:ascii="宋体" w:hAnsi="宋体" w:cs="宋体"/>
                <w:color w:val="auto"/>
                <w:szCs w:val="21"/>
                <w:highlight w:val="none"/>
              </w:rPr>
            </w:pPr>
          </w:p>
        </w:tc>
      </w:tr>
      <w:tr w14:paraId="0396D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177A0130">
            <w:pPr>
              <w:widowControl/>
              <w:shd w:val="clear"/>
              <w:spacing w:line="360" w:lineRule="auto"/>
              <w:jc w:val="center"/>
              <w:textAlignment w:val="baseline"/>
              <w:rPr>
                <w:rFonts w:hint="eastAsia" w:ascii="宋体" w:hAnsi="宋体" w:cs="宋体"/>
                <w:color w:val="auto"/>
                <w:szCs w:val="21"/>
                <w:highlight w:val="none"/>
              </w:rPr>
            </w:pPr>
          </w:p>
        </w:tc>
        <w:tc>
          <w:tcPr>
            <w:tcW w:w="2133" w:type="dxa"/>
            <w:noWrap/>
            <w:vAlign w:val="center"/>
          </w:tcPr>
          <w:p w14:paraId="3E8C5578">
            <w:pPr>
              <w:widowControl/>
              <w:shd w:val="clear"/>
              <w:spacing w:line="360" w:lineRule="auto"/>
              <w:jc w:val="center"/>
              <w:textAlignment w:val="baseline"/>
              <w:rPr>
                <w:rFonts w:hint="eastAsia" w:cs="仿宋" w:asciiTheme="majorEastAsia" w:hAnsiTheme="majorEastAsia" w:eastAsiaTheme="majorEastAsia"/>
                <w:color w:val="auto"/>
                <w:szCs w:val="21"/>
                <w:highlight w:val="none"/>
              </w:rPr>
            </w:pPr>
          </w:p>
        </w:tc>
        <w:tc>
          <w:tcPr>
            <w:tcW w:w="2307" w:type="dxa"/>
            <w:noWrap/>
            <w:vAlign w:val="center"/>
          </w:tcPr>
          <w:p w14:paraId="28B7BDED">
            <w:pPr>
              <w:widowControl/>
              <w:shd w:val="clear"/>
              <w:spacing w:line="360" w:lineRule="auto"/>
              <w:jc w:val="center"/>
              <w:textAlignment w:val="baseline"/>
              <w:rPr>
                <w:rFonts w:hint="eastAsia" w:ascii="宋体" w:hAnsi="宋体" w:cs="宋体"/>
                <w:color w:val="auto"/>
                <w:szCs w:val="21"/>
                <w:highlight w:val="none"/>
              </w:rPr>
            </w:pPr>
          </w:p>
        </w:tc>
        <w:tc>
          <w:tcPr>
            <w:tcW w:w="1620" w:type="dxa"/>
            <w:noWrap/>
            <w:vAlign w:val="center"/>
          </w:tcPr>
          <w:p w14:paraId="2BFE0511">
            <w:pPr>
              <w:widowControl/>
              <w:shd w:val="clear"/>
              <w:spacing w:line="360" w:lineRule="auto"/>
              <w:jc w:val="center"/>
              <w:textAlignment w:val="baseline"/>
              <w:rPr>
                <w:rFonts w:hint="eastAsia" w:ascii="宋体" w:hAnsi="宋体" w:cs="宋体"/>
                <w:color w:val="auto"/>
                <w:szCs w:val="21"/>
                <w:highlight w:val="none"/>
              </w:rPr>
            </w:pPr>
          </w:p>
        </w:tc>
        <w:tc>
          <w:tcPr>
            <w:tcW w:w="2169" w:type="dxa"/>
            <w:noWrap/>
            <w:vAlign w:val="center"/>
          </w:tcPr>
          <w:p w14:paraId="4B151A18">
            <w:pPr>
              <w:widowControl/>
              <w:shd w:val="clear"/>
              <w:spacing w:line="360" w:lineRule="auto"/>
              <w:jc w:val="center"/>
              <w:textAlignment w:val="baseline"/>
              <w:rPr>
                <w:rFonts w:hint="eastAsia" w:ascii="宋体" w:hAnsi="宋体" w:cs="宋体"/>
                <w:color w:val="auto"/>
                <w:szCs w:val="21"/>
                <w:highlight w:val="none"/>
              </w:rPr>
            </w:pPr>
          </w:p>
        </w:tc>
      </w:tr>
      <w:tr w14:paraId="754B9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4CEB0938">
            <w:pPr>
              <w:widowControl/>
              <w:shd w:val="clear"/>
              <w:spacing w:line="360" w:lineRule="auto"/>
              <w:jc w:val="center"/>
              <w:textAlignment w:val="baseline"/>
              <w:rPr>
                <w:rFonts w:hint="eastAsia" w:ascii="宋体" w:hAnsi="宋体" w:cs="宋体"/>
                <w:color w:val="auto"/>
                <w:szCs w:val="21"/>
                <w:highlight w:val="none"/>
              </w:rPr>
            </w:pPr>
          </w:p>
        </w:tc>
        <w:tc>
          <w:tcPr>
            <w:tcW w:w="2133" w:type="dxa"/>
            <w:noWrap/>
            <w:vAlign w:val="center"/>
          </w:tcPr>
          <w:p w14:paraId="6FCD8068">
            <w:pPr>
              <w:widowControl/>
              <w:shd w:val="clear"/>
              <w:spacing w:line="360" w:lineRule="auto"/>
              <w:jc w:val="center"/>
              <w:textAlignment w:val="baseline"/>
              <w:rPr>
                <w:rFonts w:hint="eastAsia" w:asciiTheme="majorEastAsia" w:hAnsiTheme="majorEastAsia" w:eastAsiaTheme="majorEastAsia"/>
                <w:color w:val="auto"/>
                <w:szCs w:val="21"/>
                <w:highlight w:val="none"/>
              </w:rPr>
            </w:pPr>
          </w:p>
        </w:tc>
        <w:tc>
          <w:tcPr>
            <w:tcW w:w="2307" w:type="dxa"/>
            <w:noWrap/>
            <w:vAlign w:val="center"/>
          </w:tcPr>
          <w:p w14:paraId="39C41888">
            <w:pPr>
              <w:widowControl/>
              <w:shd w:val="clear"/>
              <w:spacing w:line="360" w:lineRule="auto"/>
              <w:jc w:val="center"/>
              <w:textAlignment w:val="baseline"/>
              <w:rPr>
                <w:rFonts w:hint="eastAsia" w:ascii="宋体" w:hAnsi="宋体" w:cs="宋体"/>
                <w:color w:val="auto"/>
                <w:szCs w:val="21"/>
                <w:highlight w:val="none"/>
              </w:rPr>
            </w:pPr>
          </w:p>
        </w:tc>
        <w:tc>
          <w:tcPr>
            <w:tcW w:w="1620" w:type="dxa"/>
            <w:noWrap/>
            <w:vAlign w:val="center"/>
          </w:tcPr>
          <w:p w14:paraId="32EDF1E6">
            <w:pPr>
              <w:widowControl/>
              <w:shd w:val="clear"/>
              <w:spacing w:line="360" w:lineRule="auto"/>
              <w:jc w:val="center"/>
              <w:textAlignment w:val="baseline"/>
              <w:rPr>
                <w:rFonts w:hint="eastAsia" w:ascii="宋体" w:hAnsi="宋体" w:cs="宋体"/>
                <w:color w:val="auto"/>
                <w:szCs w:val="21"/>
                <w:highlight w:val="none"/>
              </w:rPr>
            </w:pPr>
          </w:p>
        </w:tc>
        <w:tc>
          <w:tcPr>
            <w:tcW w:w="2169" w:type="dxa"/>
            <w:noWrap/>
            <w:vAlign w:val="center"/>
          </w:tcPr>
          <w:p w14:paraId="6D65CBE2">
            <w:pPr>
              <w:widowControl/>
              <w:shd w:val="clear"/>
              <w:spacing w:line="360" w:lineRule="auto"/>
              <w:jc w:val="center"/>
              <w:textAlignment w:val="baseline"/>
              <w:rPr>
                <w:rFonts w:hint="eastAsia" w:ascii="宋体" w:hAnsi="宋体" w:cs="宋体"/>
                <w:color w:val="auto"/>
                <w:szCs w:val="21"/>
                <w:highlight w:val="none"/>
              </w:rPr>
            </w:pPr>
          </w:p>
        </w:tc>
      </w:tr>
      <w:tr w14:paraId="08A5E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706B9041">
            <w:pPr>
              <w:widowControl/>
              <w:shd w:val="clear"/>
              <w:spacing w:line="360" w:lineRule="auto"/>
              <w:jc w:val="center"/>
              <w:textAlignment w:val="baseline"/>
              <w:rPr>
                <w:rFonts w:hint="eastAsia" w:ascii="宋体" w:hAnsi="宋体" w:cs="宋体"/>
                <w:color w:val="auto"/>
                <w:szCs w:val="21"/>
                <w:highlight w:val="none"/>
              </w:rPr>
            </w:pPr>
          </w:p>
        </w:tc>
        <w:tc>
          <w:tcPr>
            <w:tcW w:w="2133" w:type="dxa"/>
            <w:noWrap/>
            <w:vAlign w:val="center"/>
          </w:tcPr>
          <w:p w14:paraId="6989F96F">
            <w:pPr>
              <w:widowControl/>
              <w:shd w:val="clear"/>
              <w:spacing w:line="360" w:lineRule="auto"/>
              <w:jc w:val="center"/>
              <w:textAlignment w:val="baseline"/>
              <w:rPr>
                <w:rFonts w:hint="eastAsia" w:asciiTheme="majorEastAsia" w:hAnsiTheme="majorEastAsia" w:eastAsiaTheme="majorEastAsia"/>
                <w:color w:val="auto"/>
                <w:szCs w:val="21"/>
                <w:highlight w:val="none"/>
              </w:rPr>
            </w:pPr>
          </w:p>
        </w:tc>
        <w:tc>
          <w:tcPr>
            <w:tcW w:w="2307" w:type="dxa"/>
            <w:noWrap/>
            <w:vAlign w:val="center"/>
          </w:tcPr>
          <w:p w14:paraId="6D32FFD9">
            <w:pPr>
              <w:widowControl/>
              <w:shd w:val="clear"/>
              <w:spacing w:line="360" w:lineRule="auto"/>
              <w:jc w:val="center"/>
              <w:textAlignment w:val="baseline"/>
              <w:rPr>
                <w:rFonts w:hint="eastAsia" w:ascii="宋体" w:hAnsi="宋体" w:cs="宋体"/>
                <w:color w:val="auto"/>
                <w:szCs w:val="21"/>
                <w:highlight w:val="none"/>
              </w:rPr>
            </w:pPr>
          </w:p>
        </w:tc>
        <w:tc>
          <w:tcPr>
            <w:tcW w:w="1620" w:type="dxa"/>
            <w:noWrap/>
            <w:vAlign w:val="center"/>
          </w:tcPr>
          <w:p w14:paraId="588E1095">
            <w:pPr>
              <w:widowControl/>
              <w:shd w:val="clear"/>
              <w:spacing w:line="360" w:lineRule="auto"/>
              <w:jc w:val="center"/>
              <w:textAlignment w:val="baseline"/>
              <w:rPr>
                <w:rFonts w:hint="eastAsia" w:ascii="宋体" w:hAnsi="宋体" w:cs="宋体"/>
                <w:color w:val="auto"/>
                <w:szCs w:val="21"/>
                <w:highlight w:val="none"/>
              </w:rPr>
            </w:pPr>
          </w:p>
        </w:tc>
        <w:tc>
          <w:tcPr>
            <w:tcW w:w="2169" w:type="dxa"/>
            <w:noWrap/>
            <w:vAlign w:val="center"/>
          </w:tcPr>
          <w:p w14:paraId="5D1EFB92">
            <w:pPr>
              <w:widowControl/>
              <w:shd w:val="clear"/>
              <w:spacing w:line="360" w:lineRule="auto"/>
              <w:jc w:val="center"/>
              <w:textAlignment w:val="baseline"/>
              <w:rPr>
                <w:rFonts w:hint="eastAsia" w:ascii="宋体" w:hAnsi="宋体" w:cs="宋体"/>
                <w:color w:val="auto"/>
                <w:szCs w:val="21"/>
                <w:highlight w:val="none"/>
              </w:rPr>
            </w:pPr>
          </w:p>
        </w:tc>
      </w:tr>
      <w:tr w14:paraId="5FE4E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5FE4D017">
            <w:pPr>
              <w:widowControl/>
              <w:shd w:val="clear"/>
              <w:spacing w:line="360" w:lineRule="auto"/>
              <w:jc w:val="center"/>
              <w:textAlignment w:val="baseline"/>
              <w:rPr>
                <w:rFonts w:hint="eastAsia" w:ascii="宋体" w:hAnsi="宋体" w:cs="宋体"/>
                <w:color w:val="auto"/>
                <w:szCs w:val="21"/>
                <w:highlight w:val="none"/>
              </w:rPr>
            </w:pPr>
          </w:p>
        </w:tc>
        <w:tc>
          <w:tcPr>
            <w:tcW w:w="2133" w:type="dxa"/>
            <w:noWrap/>
            <w:vAlign w:val="center"/>
          </w:tcPr>
          <w:p w14:paraId="680FEAF4">
            <w:pPr>
              <w:widowControl/>
              <w:shd w:val="clear"/>
              <w:spacing w:line="360" w:lineRule="auto"/>
              <w:jc w:val="center"/>
              <w:textAlignment w:val="baseline"/>
              <w:rPr>
                <w:rFonts w:hint="eastAsia" w:cs="仿宋" w:asciiTheme="majorEastAsia" w:hAnsiTheme="majorEastAsia" w:eastAsiaTheme="majorEastAsia"/>
                <w:color w:val="auto"/>
                <w:szCs w:val="21"/>
                <w:highlight w:val="none"/>
              </w:rPr>
            </w:pPr>
          </w:p>
        </w:tc>
        <w:tc>
          <w:tcPr>
            <w:tcW w:w="2307" w:type="dxa"/>
            <w:noWrap/>
            <w:vAlign w:val="center"/>
          </w:tcPr>
          <w:p w14:paraId="45B5825C">
            <w:pPr>
              <w:widowControl/>
              <w:shd w:val="clear"/>
              <w:spacing w:line="360" w:lineRule="auto"/>
              <w:jc w:val="center"/>
              <w:textAlignment w:val="baseline"/>
              <w:rPr>
                <w:rFonts w:hint="eastAsia" w:ascii="宋体" w:hAnsi="宋体" w:cs="宋体"/>
                <w:color w:val="auto"/>
                <w:szCs w:val="21"/>
                <w:highlight w:val="none"/>
              </w:rPr>
            </w:pPr>
          </w:p>
        </w:tc>
        <w:tc>
          <w:tcPr>
            <w:tcW w:w="1620" w:type="dxa"/>
            <w:noWrap/>
            <w:vAlign w:val="center"/>
          </w:tcPr>
          <w:p w14:paraId="5F56D697">
            <w:pPr>
              <w:widowControl/>
              <w:shd w:val="clear"/>
              <w:spacing w:line="360" w:lineRule="auto"/>
              <w:jc w:val="center"/>
              <w:textAlignment w:val="baseline"/>
              <w:rPr>
                <w:rFonts w:hint="eastAsia" w:ascii="宋体" w:hAnsi="宋体" w:cs="宋体"/>
                <w:color w:val="auto"/>
                <w:szCs w:val="21"/>
                <w:highlight w:val="none"/>
              </w:rPr>
            </w:pPr>
          </w:p>
        </w:tc>
        <w:tc>
          <w:tcPr>
            <w:tcW w:w="2169" w:type="dxa"/>
            <w:noWrap/>
            <w:vAlign w:val="center"/>
          </w:tcPr>
          <w:p w14:paraId="21735086">
            <w:pPr>
              <w:widowControl/>
              <w:shd w:val="clear"/>
              <w:spacing w:line="360" w:lineRule="auto"/>
              <w:jc w:val="center"/>
              <w:textAlignment w:val="baseline"/>
              <w:rPr>
                <w:rFonts w:hint="eastAsia" w:ascii="宋体" w:hAnsi="宋体" w:cs="宋体"/>
                <w:color w:val="auto"/>
                <w:szCs w:val="21"/>
                <w:highlight w:val="none"/>
              </w:rPr>
            </w:pPr>
          </w:p>
        </w:tc>
      </w:tr>
    </w:tbl>
    <w:p w14:paraId="6C6D03DC">
      <w:pPr>
        <w:shd w:val="clear"/>
        <w:rPr>
          <w:rFonts w:hint="eastAsia" w:ascii="宋体" w:hAnsi="宋体" w:cs="宋体"/>
          <w:b/>
          <w:color w:val="auto"/>
          <w:kern w:val="0"/>
          <w:szCs w:val="21"/>
          <w:highlight w:val="none"/>
        </w:rPr>
      </w:pPr>
    </w:p>
    <w:p w14:paraId="2D3A078F">
      <w:pPr>
        <w:pStyle w:val="33"/>
        <w:shd w:val="clear"/>
        <w:ind w:firstLine="210"/>
        <w:rPr>
          <w:rFonts w:hint="eastAsia" w:ascii="宋体" w:hAnsi="宋体" w:cs="宋体"/>
          <w:color w:val="auto"/>
          <w:highlight w:val="none"/>
        </w:rPr>
      </w:pPr>
    </w:p>
    <w:p w14:paraId="2640BD83">
      <w:pPr>
        <w:widowControl/>
        <w:shd w:val="clear"/>
        <w:spacing w:line="360" w:lineRule="auto"/>
        <w:ind w:firstLine="3360" w:firstLineChars="1600"/>
        <w:textAlignment w:val="baseline"/>
        <w:rPr>
          <w:rFonts w:hint="eastAsia"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（全称并加盖公章）</w:t>
      </w:r>
    </w:p>
    <w:p w14:paraId="1CB305C9">
      <w:pPr>
        <w:widowControl/>
        <w:shd w:val="clear"/>
        <w:spacing w:line="360" w:lineRule="auto"/>
        <w:ind w:firstLine="4410" w:firstLineChars="2100"/>
        <w:textAlignment w:val="baseline"/>
        <w:rPr>
          <w:rFonts w:hint="eastAsia" w:ascii="宋体" w:hAnsi="宋体" w:cs="宋体"/>
          <w:color w:val="auto"/>
          <w:sz w:val="24"/>
          <w:highlight w:val="none"/>
        </w:rPr>
      </w:pPr>
      <w:r>
        <w:rPr>
          <w:rFonts w:hint="eastAsia" w:ascii="宋体" w:hAnsi="宋体" w:cs="宋体"/>
          <w:color w:val="auto"/>
          <w:szCs w:val="21"/>
          <w:highlight w:val="none"/>
        </w:rPr>
        <w:t>年    月    日</w:t>
      </w:r>
    </w:p>
    <w:p w14:paraId="1AF1B688">
      <w:pPr>
        <w:shd w:val="clear"/>
        <w:rPr>
          <w:rFonts w:hint="eastAsia" w:ascii="宋体" w:hAnsi="宋体" w:cs="宋体"/>
          <w:color w:val="auto"/>
          <w:highlight w:val="none"/>
        </w:rPr>
      </w:pPr>
    </w:p>
    <w:p w14:paraId="45F42FF6">
      <w:pPr>
        <w:shd w:val="clear"/>
        <w:rPr>
          <w:rFonts w:hint="eastAsia" w:ascii="宋体" w:hAnsi="宋体" w:cs="宋体"/>
          <w:color w:val="auto"/>
          <w:highlight w:val="none"/>
        </w:rPr>
      </w:pPr>
    </w:p>
    <w:p w14:paraId="43E0BED1">
      <w:pPr>
        <w:shd w:val="clear"/>
        <w:rPr>
          <w:rFonts w:hint="eastAsia" w:ascii="宋体" w:hAnsi="宋体" w:cs="宋体"/>
          <w:color w:val="auto"/>
          <w:highlight w:val="none"/>
        </w:rPr>
      </w:pPr>
    </w:p>
    <w:p w14:paraId="20053896">
      <w:pPr>
        <w:shd w:val="clear"/>
        <w:rPr>
          <w:rFonts w:hint="eastAsia" w:ascii="宋体" w:hAnsi="宋体" w:cs="宋体"/>
          <w:color w:val="auto"/>
          <w:highlight w:val="none"/>
        </w:rPr>
      </w:pPr>
    </w:p>
    <w:p w14:paraId="0358921C">
      <w:pPr>
        <w:shd w:val="clear"/>
        <w:rPr>
          <w:rFonts w:hint="eastAsia" w:ascii="宋体" w:hAnsi="宋体" w:cs="宋体"/>
          <w:color w:val="auto"/>
          <w:highlight w:val="none"/>
        </w:rPr>
      </w:pPr>
    </w:p>
    <w:p w14:paraId="77E9F7D0">
      <w:pPr>
        <w:shd w:val="clear"/>
        <w:rPr>
          <w:rFonts w:hint="eastAsia" w:ascii="宋体" w:hAnsi="宋体" w:cs="宋体"/>
          <w:color w:val="auto"/>
          <w:highlight w:val="none"/>
        </w:rPr>
      </w:pPr>
    </w:p>
    <w:p w14:paraId="65D4D6E1">
      <w:pPr>
        <w:shd w:val="clear"/>
        <w:rPr>
          <w:rFonts w:hint="eastAsia" w:ascii="宋体" w:hAnsi="宋体" w:cs="宋体"/>
          <w:color w:val="auto"/>
          <w:highlight w:val="none"/>
        </w:rPr>
      </w:pPr>
    </w:p>
    <w:p w14:paraId="31445A5E">
      <w:pPr>
        <w:shd w:val="clear"/>
        <w:rPr>
          <w:rFonts w:hint="eastAsia" w:ascii="宋体" w:hAnsi="宋体" w:cs="宋体"/>
          <w:color w:val="auto"/>
          <w:highlight w:val="none"/>
        </w:rPr>
      </w:pPr>
    </w:p>
    <w:p w14:paraId="264B9FD1">
      <w:pPr>
        <w:shd w:val="clear"/>
        <w:rPr>
          <w:rFonts w:hint="eastAsia" w:ascii="宋体" w:hAnsi="宋体" w:cs="宋体"/>
          <w:color w:val="auto"/>
          <w:highlight w:val="none"/>
        </w:rPr>
      </w:pPr>
    </w:p>
    <w:p w14:paraId="3E3EDC55">
      <w:pPr>
        <w:shd w:val="clear"/>
        <w:rPr>
          <w:rFonts w:hint="eastAsia" w:ascii="宋体" w:hAnsi="宋体" w:cs="宋体"/>
          <w:color w:val="auto"/>
          <w:highlight w:val="none"/>
        </w:rPr>
      </w:pPr>
    </w:p>
    <w:p w14:paraId="0C9786B1">
      <w:pPr>
        <w:shd w:val="clear"/>
        <w:rPr>
          <w:rFonts w:hint="eastAsia" w:ascii="宋体" w:hAnsi="宋体" w:cs="宋体"/>
          <w:color w:val="auto"/>
          <w:highlight w:val="none"/>
        </w:rPr>
      </w:pPr>
    </w:p>
    <w:p w14:paraId="2C16F7AA">
      <w:pPr>
        <w:shd w:val="clear"/>
        <w:rPr>
          <w:rFonts w:hint="eastAsia" w:ascii="宋体" w:hAnsi="宋体" w:cs="宋体"/>
          <w:color w:val="auto"/>
          <w:highlight w:val="none"/>
        </w:rPr>
      </w:pPr>
    </w:p>
    <w:p w14:paraId="0827F38D">
      <w:pPr>
        <w:shd w:val="clear"/>
        <w:rPr>
          <w:rFonts w:hint="eastAsia" w:ascii="宋体" w:hAnsi="宋体" w:cs="宋体"/>
          <w:color w:val="auto"/>
          <w:highlight w:val="none"/>
        </w:rPr>
      </w:pPr>
    </w:p>
    <w:p w14:paraId="7FB723F0">
      <w:pPr>
        <w:shd w:val="clear"/>
        <w:rPr>
          <w:rFonts w:hint="eastAsia" w:ascii="宋体" w:hAnsi="宋体" w:cs="宋体"/>
          <w:color w:val="auto"/>
          <w:highlight w:val="none"/>
        </w:rPr>
      </w:pPr>
    </w:p>
    <w:p w14:paraId="2FEAA57A">
      <w:pPr>
        <w:shd w:val="clear"/>
        <w:rPr>
          <w:rFonts w:hint="eastAsia" w:ascii="宋体" w:hAnsi="宋体" w:cs="宋体"/>
          <w:color w:val="auto"/>
          <w:highlight w:val="none"/>
        </w:rPr>
      </w:pPr>
    </w:p>
    <w:p w14:paraId="57DAF363">
      <w:pPr>
        <w:shd w:val="clear"/>
        <w:rPr>
          <w:rFonts w:hint="eastAsia" w:ascii="宋体" w:hAnsi="宋体" w:cs="宋体"/>
          <w:b/>
          <w:color w:val="auto"/>
          <w:sz w:val="28"/>
          <w:highlight w:val="none"/>
        </w:rPr>
      </w:pPr>
      <w:bookmarkStart w:id="85" w:name="_Toc28621"/>
      <w:bookmarkStart w:id="86" w:name="_Toc31526"/>
      <w:r>
        <w:rPr>
          <w:rFonts w:hint="eastAsia" w:ascii="宋体" w:hAnsi="宋体" w:cs="宋体"/>
          <w:b/>
          <w:color w:val="auto"/>
          <w:sz w:val="28"/>
          <w:highlight w:val="none"/>
        </w:rPr>
        <w:br w:type="page"/>
      </w:r>
    </w:p>
    <w:p w14:paraId="05B81468">
      <w:pPr>
        <w:pStyle w:val="8"/>
        <w:shd w:val="clear"/>
        <w:snapToGrid w:val="0"/>
        <w:spacing w:before="159" w:after="20" w:line="360" w:lineRule="auto"/>
        <w:jc w:val="center"/>
        <w:rPr>
          <w:rFonts w:hint="eastAsia" w:ascii="宋体" w:hAnsi="宋体" w:eastAsia="宋体" w:cs="宋体"/>
          <w:color w:val="auto"/>
          <w:sz w:val="28"/>
          <w:szCs w:val="28"/>
          <w:highlight w:val="none"/>
        </w:rPr>
      </w:pPr>
      <w:bookmarkStart w:id="87" w:name="_Toc29406"/>
      <w:r>
        <w:rPr>
          <w:rFonts w:hint="eastAsia" w:ascii="宋体" w:hAnsi="宋体" w:eastAsia="宋体" w:cs="宋体"/>
          <w:color w:val="auto"/>
          <w:sz w:val="28"/>
          <w:szCs w:val="28"/>
          <w:highlight w:val="none"/>
        </w:rPr>
        <w:t>附件7         法定代表人身份证明（格式）</w:t>
      </w:r>
      <w:bookmarkEnd w:id="85"/>
      <w:bookmarkEnd w:id="86"/>
      <w:bookmarkEnd w:id="87"/>
    </w:p>
    <w:p w14:paraId="01F37B6E">
      <w:pPr>
        <w:widowControl/>
        <w:shd w:val="clear"/>
        <w:wordWrap w:val="0"/>
        <w:spacing w:line="460" w:lineRule="exact"/>
        <w:jc w:val="left"/>
        <w:rPr>
          <w:rFonts w:hint="eastAsia" w:ascii="宋体" w:hAnsi="宋体" w:cs="宋体"/>
          <w:color w:val="auto"/>
          <w:kern w:val="0"/>
          <w:sz w:val="24"/>
          <w:highlight w:val="none"/>
        </w:rPr>
      </w:pPr>
    </w:p>
    <w:p w14:paraId="74D2CD6D">
      <w:pPr>
        <w:widowControl/>
        <w:shd w:val="clear"/>
        <w:wordWrap w:val="0"/>
        <w:spacing w:line="46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w:t>
      </w:r>
      <w:r>
        <w:rPr>
          <w:rFonts w:hint="eastAsia" w:ascii="宋体" w:hAnsi="宋体" w:cs="宋体"/>
          <w:color w:val="auto"/>
          <w:kern w:val="0"/>
          <w:szCs w:val="21"/>
          <w:highlight w:val="none"/>
          <w:u w:val="single"/>
        </w:rPr>
        <w:t xml:space="preserve">                                </w:t>
      </w:r>
    </w:p>
    <w:p w14:paraId="561FBDB8">
      <w:pPr>
        <w:widowControl/>
        <w:shd w:val="clear"/>
        <w:wordWrap w:val="0"/>
        <w:spacing w:line="460" w:lineRule="exact"/>
        <w:ind w:firstLine="480" w:firstLineChars="200"/>
        <w:jc w:val="left"/>
        <w:rPr>
          <w:rFonts w:hint="eastAsia"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rPr>
        <w:t xml:space="preserve">                                        </w:t>
      </w:r>
    </w:p>
    <w:p w14:paraId="1ABE14A3">
      <w:pPr>
        <w:widowControl/>
        <w:shd w:val="clear"/>
        <w:wordWrap w:val="0"/>
        <w:spacing w:line="460" w:lineRule="exact"/>
        <w:ind w:firstLine="480" w:firstLineChars="200"/>
        <w:jc w:val="left"/>
        <w:rPr>
          <w:rFonts w:hint="eastAsia"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szCs w:val="20"/>
          <w:highlight w:val="none"/>
        </w:rPr>
        <w:t xml:space="preserve">年 </w:t>
      </w:r>
      <w:r>
        <w:rPr>
          <w:rFonts w:hint="eastAsia" w:ascii="宋体" w:hAnsi="宋体" w:cs="宋体"/>
          <w:color w:val="auto"/>
          <w:kern w:val="0"/>
          <w:szCs w:val="21"/>
          <w:highlight w:val="none"/>
          <w:u w:val="single"/>
        </w:rPr>
        <w:t xml:space="preserve">        </w:t>
      </w:r>
      <w:r>
        <w:rPr>
          <w:rFonts w:hint="eastAsia" w:ascii="宋体" w:hAnsi="宋体" w:cs="宋体"/>
          <w:color w:val="auto"/>
          <w:kern w:val="0"/>
          <w:sz w:val="24"/>
          <w:szCs w:val="20"/>
          <w:highlight w:val="none"/>
        </w:rPr>
        <w:t xml:space="preserve">月 </w:t>
      </w:r>
      <w:r>
        <w:rPr>
          <w:rFonts w:hint="eastAsia" w:ascii="宋体" w:hAnsi="宋体" w:cs="宋体"/>
          <w:color w:val="auto"/>
          <w:kern w:val="0"/>
          <w:szCs w:val="21"/>
          <w:highlight w:val="none"/>
          <w:u w:val="single"/>
        </w:rPr>
        <w:t xml:space="preserve">        </w:t>
      </w:r>
      <w:r>
        <w:rPr>
          <w:rFonts w:hint="eastAsia" w:ascii="宋体" w:hAnsi="宋体" w:cs="宋体"/>
          <w:color w:val="auto"/>
          <w:kern w:val="0"/>
          <w:sz w:val="24"/>
          <w:szCs w:val="20"/>
          <w:highlight w:val="none"/>
        </w:rPr>
        <w:t>日</w:t>
      </w:r>
    </w:p>
    <w:p w14:paraId="092A6E0F">
      <w:pPr>
        <w:widowControl/>
        <w:shd w:val="clear"/>
        <w:wordWrap w:val="0"/>
        <w:spacing w:line="460" w:lineRule="exact"/>
        <w:ind w:firstLine="480" w:firstLineChars="200"/>
        <w:jc w:val="left"/>
        <w:rPr>
          <w:rFonts w:hint="eastAsia"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rPr>
        <w:t xml:space="preserve">                        </w:t>
      </w:r>
    </w:p>
    <w:p w14:paraId="3BCCFBCF">
      <w:pPr>
        <w:widowControl/>
        <w:shd w:val="clear"/>
        <w:wordWrap w:val="0"/>
        <w:spacing w:line="460" w:lineRule="exact"/>
        <w:ind w:firstLine="480" w:firstLineChars="200"/>
        <w:jc w:val="left"/>
        <w:rPr>
          <w:rFonts w:hint="eastAsia"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rPr>
        <w:t xml:space="preserve">        </w:t>
      </w:r>
    </w:p>
    <w:p w14:paraId="41E4FD2E">
      <w:pPr>
        <w:widowControl/>
        <w:shd w:val="clear"/>
        <w:wordWrap w:val="0"/>
        <w:spacing w:line="460" w:lineRule="exact"/>
        <w:jc w:val="left"/>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kern w:val="0"/>
          <w:sz w:val="24"/>
          <w:szCs w:val="20"/>
          <w:highlight w:val="none"/>
        </w:rPr>
        <w:t>（供应商名称）的法定代表人。</w:t>
      </w:r>
    </w:p>
    <w:p w14:paraId="08D1A468">
      <w:pPr>
        <w:widowControl/>
        <w:shd w:val="clear"/>
        <w:wordWrap w:val="0"/>
        <w:spacing w:line="460" w:lineRule="exact"/>
        <w:jc w:val="left"/>
        <w:rPr>
          <w:rFonts w:hint="eastAsia" w:ascii="宋体" w:hAnsi="宋体" w:cs="宋体"/>
          <w:color w:val="auto"/>
          <w:kern w:val="0"/>
          <w:sz w:val="24"/>
          <w:szCs w:val="20"/>
          <w:highlight w:val="none"/>
        </w:rPr>
      </w:pPr>
    </w:p>
    <w:p w14:paraId="6D9CE353">
      <w:pPr>
        <w:widowControl/>
        <w:shd w:val="clear"/>
        <w:wordWrap w:val="0"/>
        <w:spacing w:line="460" w:lineRule="exact"/>
        <w:ind w:firstLine="480" w:firstLineChars="200"/>
        <w:jc w:val="left"/>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14:paraId="36C9D42D">
      <w:pPr>
        <w:widowControl/>
        <w:shd w:val="clear"/>
        <w:wordWrap w:val="0"/>
        <w:spacing w:line="460" w:lineRule="exact"/>
        <w:jc w:val="left"/>
        <w:rPr>
          <w:rFonts w:hint="eastAsia" w:ascii="宋体" w:hAnsi="宋体" w:cs="宋体"/>
          <w:color w:val="auto"/>
          <w:kern w:val="0"/>
          <w:sz w:val="24"/>
          <w:szCs w:val="20"/>
          <w:highlight w:val="none"/>
        </w:rPr>
      </w:pPr>
    </w:p>
    <w:p w14:paraId="77DD80E9">
      <w:pPr>
        <w:widowControl/>
        <w:shd w:val="clear"/>
        <w:wordWrap w:val="0"/>
        <w:spacing w:before="319" w:beforeLines="100" w:after="319" w:afterLines="100" w:line="480" w:lineRule="exact"/>
        <w:jc w:val="center"/>
        <w:rPr>
          <w:rFonts w:hint="eastAsia" w:ascii="宋体" w:hAnsi="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33F2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7A75E30">
            <w:pPr>
              <w:widowControl/>
              <w:shd w:val="clear"/>
              <w:spacing w:line="480" w:lineRule="exact"/>
              <w:jc w:val="left"/>
              <w:rPr>
                <w:rFonts w:hint="eastAsia" w:ascii="宋体" w:hAnsi="宋体" w:cs="宋体"/>
                <w:bCs/>
                <w:color w:val="auto"/>
                <w:kern w:val="0"/>
                <w:sz w:val="24"/>
                <w:highlight w:val="none"/>
              </w:rPr>
            </w:pPr>
            <w:r>
              <w:rPr>
                <w:rFonts w:hint="eastAsia" w:ascii="宋体" w:hAnsi="宋体" w:cs="宋体"/>
                <w:bCs/>
                <w:color w:val="auto"/>
                <w:kern w:val="0"/>
                <w:sz w:val="24"/>
                <w:highlight w:val="none"/>
              </w:rPr>
              <w:t>此处请粘贴法定代表人身份证复印件</w:t>
            </w:r>
          </w:p>
          <w:p w14:paraId="3AD50E83">
            <w:pPr>
              <w:widowControl/>
              <w:shd w:val="clear"/>
              <w:spacing w:line="480" w:lineRule="exact"/>
              <w:jc w:val="left"/>
              <w:rPr>
                <w:rFonts w:hint="eastAsia" w:ascii="宋体" w:hAnsi="宋体" w:cs="宋体"/>
                <w:color w:val="auto"/>
                <w:kern w:val="0"/>
                <w:sz w:val="24"/>
                <w:highlight w:val="none"/>
              </w:rPr>
            </w:pPr>
          </w:p>
          <w:p w14:paraId="1A9A7E7A">
            <w:pPr>
              <w:widowControl/>
              <w:shd w:val="clear"/>
              <w:spacing w:line="480" w:lineRule="exact"/>
              <w:jc w:val="left"/>
              <w:rPr>
                <w:rFonts w:hint="eastAsia" w:ascii="宋体" w:hAnsi="宋体" w:cs="宋体"/>
                <w:color w:val="auto"/>
                <w:kern w:val="0"/>
                <w:sz w:val="24"/>
                <w:highlight w:val="none"/>
              </w:rPr>
            </w:pPr>
          </w:p>
        </w:tc>
      </w:tr>
    </w:tbl>
    <w:p w14:paraId="020A4BE8">
      <w:pPr>
        <w:widowControl/>
        <w:shd w:val="clear"/>
        <w:wordWrap w:val="0"/>
        <w:spacing w:before="319" w:beforeLines="100" w:after="319" w:afterLines="100" w:line="480" w:lineRule="exact"/>
        <w:jc w:val="center"/>
        <w:rPr>
          <w:rFonts w:hint="eastAsia" w:ascii="宋体" w:hAnsi="宋体" w:cs="宋体"/>
          <w:b/>
          <w:color w:val="auto"/>
          <w:kern w:val="0"/>
          <w:sz w:val="24"/>
          <w:highlight w:val="none"/>
        </w:rPr>
      </w:pPr>
    </w:p>
    <w:p w14:paraId="600EBF72">
      <w:pPr>
        <w:widowControl/>
        <w:shd w:val="clear"/>
        <w:wordWrap w:val="0"/>
        <w:spacing w:before="319" w:beforeLines="100" w:after="319" w:afterLines="100" w:line="480" w:lineRule="exact"/>
        <w:jc w:val="center"/>
        <w:rPr>
          <w:rFonts w:hint="eastAsia" w:ascii="宋体" w:hAnsi="宋体" w:cs="宋体"/>
          <w:b/>
          <w:color w:val="auto"/>
          <w:kern w:val="0"/>
          <w:sz w:val="36"/>
          <w:szCs w:val="36"/>
          <w:highlight w:val="none"/>
        </w:rPr>
      </w:pPr>
    </w:p>
    <w:p w14:paraId="30D37326">
      <w:pPr>
        <w:widowControl/>
        <w:shd w:val="clear"/>
        <w:wordWrap w:val="0"/>
        <w:spacing w:before="319" w:beforeLines="100" w:after="319" w:afterLines="100" w:line="480" w:lineRule="exact"/>
        <w:jc w:val="center"/>
        <w:rPr>
          <w:rFonts w:hint="eastAsia" w:ascii="宋体" w:hAnsi="宋体" w:cs="宋体"/>
          <w:b/>
          <w:color w:val="auto"/>
          <w:kern w:val="0"/>
          <w:sz w:val="36"/>
          <w:szCs w:val="36"/>
          <w:highlight w:val="none"/>
        </w:rPr>
      </w:pPr>
    </w:p>
    <w:p w14:paraId="3AF55784">
      <w:pPr>
        <w:widowControl/>
        <w:shd w:val="clear"/>
        <w:wordWrap w:val="0"/>
        <w:spacing w:line="480" w:lineRule="exact"/>
        <w:jc w:val="right"/>
        <w:rPr>
          <w:rFonts w:hint="eastAsia" w:ascii="宋体" w:hAnsi="宋体" w:cs="宋体"/>
          <w:color w:val="auto"/>
          <w:kern w:val="0"/>
          <w:sz w:val="24"/>
          <w:highlight w:val="none"/>
        </w:rPr>
      </w:pPr>
    </w:p>
    <w:p w14:paraId="712B2D34">
      <w:pPr>
        <w:widowControl/>
        <w:shd w:val="clear"/>
        <w:wordWrap w:val="0"/>
        <w:spacing w:line="480" w:lineRule="exact"/>
        <w:jc w:val="right"/>
        <w:rPr>
          <w:rFonts w:hint="eastAsia" w:ascii="宋体" w:hAnsi="宋体" w:cs="宋体"/>
          <w:color w:val="auto"/>
          <w:kern w:val="0"/>
          <w:sz w:val="24"/>
          <w:highlight w:val="none"/>
        </w:rPr>
      </w:pPr>
    </w:p>
    <w:p w14:paraId="20722452">
      <w:pPr>
        <w:widowControl/>
        <w:shd w:val="clear"/>
        <w:wordWrap w:val="0"/>
        <w:snapToGrid w:val="0"/>
        <w:spacing w:line="460" w:lineRule="exact"/>
        <w:ind w:firstLine="2760" w:firstLineChars="1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供应商：</w:t>
      </w:r>
      <w:r>
        <w:rPr>
          <w:rFonts w:hint="eastAsia" w:ascii="宋体" w:hAnsi="宋体" w:cs="宋体"/>
          <w:color w:val="auto"/>
          <w:kern w:val="0"/>
          <w:szCs w:val="21"/>
          <w:highlight w:val="none"/>
          <w:u w:val="single"/>
        </w:rPr>
        <w:t xml:space="preserve">                </w:t>
      </w:r>
      <w:r>
        <w:rPr>
          <w:rFonts w:hint="eastAsia" w:ascii="宋体" w:hAnsi="宋体" w:cs="宋体"/>
          <w:color w:val="auto"/>
          <w:kern w:val="0"/>
          <w:sz w:val="24"/>
          <w:highlight w:val="none"/>
        </w:rPr>
        <w:t>（全称并加盖公章）</w:t>
      </w:r>
    </w:p>
    <w:p w14:paraId="55E81E27">
      <w:pPr>
        <w:widowControl/>
        <w:shd w:val="clear"/>
        <w:wordWrap w:val="0"/>
        <w:spacing w:line="460" w:lineRule="exact"/>
        <w:ind w:left="3780" w:leftChars="180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年    月    日</w:t>
      </w:r>
    </w:p>
    <w:p w14:paraId="44D99922">
      <w:pPr>
        <w:shd w:val="clear"/>
        <w:rPr>
          <w:rFonts w:hint="eastAsia" w:ascii="宋体" w:hAnsi="宋体" w:cs="宋体"/>
          <w:color w:val="auto"/>
          <w:highlight w:val="none"/>
        </w:rPr>
      </w:pPr>
    </w:p>
    <w:p w14:paraId="6AD47475">
      <w:pPr>
        <w:shd w:val="clear"/>
        <w:rPr>
          <w:rFonts w:hint="eastAsia" w:ascii="宋体" w:hAnsi="宋体" w:cs="宋体"/>
          <w:color w:val="auto"/>
          <w:highlight w:val="none"/>
        </w:rPr>
      </w:pPr>
      <w:r>
        <w:rPr>
          <w:rFonts w:hint="eastAsia" w:ascii="宋体" w:hAnsi="宋体" w:cs="宋体"/>
          <w:color w:val="auto"/>
          <w:highlight w:val="none"/>
        </w:rPr>
        <w:br w:type="page"/>
      </w:r>
    </w:p>
    <w:p w14:paraId="738494CD">
      <w:pPr>
        <w:pStyle w:val="8"/>
        <w:shd w:val="clear"/>
        <w:snapToGrid w:val="0"/>
        <w:spacing w:before="159" w:after="20" w:line="360" w:lineRule="auto"/>
        <w:jc w:val="center"/>
        <w:rPr>
          <w:rFonts w:hint="eastAsia" w:ascii="宋体" w:hAnsi="宋体" w:eastAsia="宋体" w:cs="宋体"/>
          <w:color w:val="auto"/>
          <w:sz w:val="28"/>
          <w:szCs w:val="28"/>
          <w:highlight w:val="none"/>
        </w:rPr>
      </w:pPr>
      <w:bookmarkStart w:id="88" w:name="_Toc13976"/>
      <w:bookmarkStart w:id="89" w:name="_Toc12939"/>
      <w:bookmarkStart w:id="90" w:name="_Toc30519"/>
      <w:r>
        <w:rPr>
          <w:rFonts w:hint="eastAsia" w:ascii="宋体" w:hAnsi="宋体" w:eastAsia="宋体" w:cs="宋体"/>
          <w:color w:val="auto"/>
          <w:sz w:val="28"/>
          <w:szCs w:val="28"/>
          <w:highlight w:val="none"/>
        </w:rPr>
        <w:t>附件8         法定代表人授权书（格式）</w:t>
      </w:r>
      <w:bookmarkEnd w:id="88"/>
      <w:bookmarkEnd w:id="89"/>
      <w:bookmarkEnd w:id="90"/>
    </w:p>
    <w:p w14:paraId="404D76AE">
      <w:pPr>
        <w:widowControl/>
        <w:shd w:val="clear"/>
        <w:tabs>
          <w:tab w:val="left" w:pos="420"/>
          <w:tab w:val="left" w:pos="2160"/>
        </w:tabs>
        <w:wordWrap w:val="0"/>
        <w:spacing w:line="460" w:lineRule="exact"/>
        <w:ind w:firstLine="480" w:firstLineChars="200"/>
        <w:jc w:val="left"/>
        <w:rPr>
          <w:rFonts w:hint="eastAsia" w:ascii="宋体" w:hAnsi="宋体" w:cs="宋体"/>
          <w:color w:val="auto"/>
          <w:kern w:val="0"/>
          <w:sz w:val="24"/>
          <w:highlight w:val="none"/>
        </w:rPr>
      </w:pPr>
    </w:p>
    <w:p w14:paraId="76CED4F0">
      <w:pPr>
        <w:widowControl/>
        <w:shd w:val="clear"/>
        <w:wordWrap w:val="0"/>
        <w:snapToGrid w:val="0"/>
        <w:spacing w:line="460" w:lineRule="exact"/>
        <w:jc w:val="left"/>
        <w:rPr>
          <w:rFonts w:hint="eastAsia"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 w:val="24"/>
          <w:highlight w:val="none"/>
        </w:rPr>
        <w:t>（采购人名称）：</w:t>
      </w:r>
    </w:p>
    <w:p w14:paraId="77CBF252">
      <w:pPr>
        <w:widowControl/>
        <w:shd w:val="clear"/>
        <w:wordWrap w:val="0"/>
        <w:snapToGrid w:val="0"/>
        <w:spacing w:line="46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rPr>
        <w:t xml:space="preserve">                </w:t>
      </w:r>
      <w:r>
        <w:rPr>
          <w:rFonts w:hint="eastAsia" w:ascii="宋体" w:hAnsi="宋体" w:cs="宋体"/>
          <w:color w:val="auto"/>
          <w:kern w:val="0"/>
          <w:sz w:val="24"/>
          <w:highlight w:val="none"/>
        </w:rPr>
        <w:t xml:space="preserve">（供应商名称）的法定代表人，现委托 </w:t>
      </w:r>
      <w:r>
        <w:rPr>
          <w:rFonts w:hint="eastAsia" w:ascii="宋体" w:hAnsi="宋体" w:cs="宋体"/>
          <w:color w:val="auto"/>
          <w:kern w:val="0"/>
          <w:szCs w:val="21"/>
          <w:highlight w:val="none"/>
          <w:u w:val="single"/>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rPr>
        <w:t xml:space="preserve">             </w:t>
      </w:r>
      <w:r>
        <w:rPr>
          <w:rFonts w:hint="eastAsia" w:ascii="宋体" w:hAnsi="宋体" w:cs="宋体"/>
          <w:color w:val="auto"/>
          <w:kern w:val="0"/>
          <w:sz w:val="24"/>
          <w:highlight w:val="none"/>
        </w:rPr>
        <w:t>项目的投标活动，并代表我方全权办理针对上述项目的磋商、开标、评审、签约等具体事务和签署相关文件。</w:t>
      </w:r>
    </w:p>
    <w:p w14:paraId="661C2CCC">
      <w:pPr>
        <w:widowControl/>
        <w:shd w:val="clear"/>
        <w:wordWrap w:val="0"/>
        <w:snapToGrid w:val="0"/>
        <w:spacing w:line="46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61EF756F">
      <w:pPr>
        <w:widowControl/>
        <w:shd w:val="clear"/>
        <w:wordWrap w:val="0"/>
        <w:snapToGrid w:val="0"/>
        <w:spacing w:line="46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14:paraId="3A790FAC">
      <w:pPr>
        <w:widowControl/>
        <w:shd w:val="clear"/>
        <w:wordWrap w:val="0"/>
        <w:snapToGrid w:val="0"/>
        <w:spacing w:line="46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代理人无转委托权。</w:t>
      </w:r>
    </w:p>
    <w:p w14:paraId="515B05FC">
      <w:pPr>
        <w:widowControl/>
        <w:shd w:val="clear"/>
        <w:wordWrap w:val="0"/>
        <w:snapToGrid w:val="0"/>
        <w:spacing w:line="46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委托期限：</w:t>
      </w:r>
    </w:p>
    <w:p w14:paraId="2C017FD9">
      <w:pPr>
        <w:widowControl/>
        <w:shd w:val="clear"/>
        <w:wordWrap w:val="0"/>
        <w:snapToGrid w:val="0"/>
        <w:spacing w:line="460" w:lineRule="exact"/>
        <w:ind w:firstLine="480" w:firstLineChars="200"/>
        <w:jc w:val="left"/>
        <w:rPr>
          <w:rFonts w:hint="eastAsia" w:ascii="宋体" w:hAnsi="宋体" w:cs="宋体"/>
          <w:color w:val="auto"/>
          <w:kern w:val="0"/>
          <w:sz w:val="24"/>
          <w:highlight w:val="none"/>
        </w:rPr>
      </w:pPr>
    </w:p>
    <w:p w14:paraId="50925F81">
      <w:pPr>
        <w:widowControl/>
        <w:shd w:val="clear"/>
        <w:wordWrap w:val="0"/>
        <w:snapToGrid w:val="0"/>
        <w:spacing w:line="460" w:lineRule="exact"/>
        <w:ind w:firstLine="480" w:firstLineChars="200"/>
        <w:jc w:val="left"/>
        <w:rPr>
          <w:rFonts w:hint="eastAsia"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法定代表人签名或盖章：</w:t>
      </w:r>
    </w:p>
    <w:p w14:paraId="1A66B022">
      <w:pPr>
        <w:widowControl/>
        <w:shd w:val="clear"/>
        <w:wordWrap w:val="0"/>
        <w:snapToGrid w:val="0"/>
        <w:spacing w:line="46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F2D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707FBAC7">
            <w:pPr>
              <w:widowControl/>
              <w:shd w:val="clear"/>
              <w:spacing w:line="480" w:lineRule="exact"/>
              <w:jc w:val="left"/>
              <w:rPr>
                <w:rFonts w:hint="eastAsia" w:ascii="宋体" w:hAnsi="宋体" w:cs="宋体"/>
                <w:color w:val="auto"/>
                <w:kern w:val="0"/>
                <w:sz w:val="24"/>
                <w:highlight w:val="none"/>
              </w:rPr>
            </w:pPr>
            <w:r>
              <w:rPr>
                <w:rFonts w:hint="eastAsia" w:ascii="宋体" w:hAnsi="宋体" w:cs="宋体"/>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宋体"/>
                <w:bCs/>
                <w:color w:val="auto"/>
                <w:kern w:val="0"/>
                <w:sz w:val="24"/>
                <w:highlight w:val="none"/>
              </w:rPr>
              <w:t>身份证复印件</w:t>
            </w:r>
          </w:p>
        </w:tc>
      </w:tr>
    </w:tbl>
    <w:p w14:paraId="371CBFDC">
      <w:pPr>
        <w:widowControl/>
        <w:shd w:val="clear"/>
        <w:wordWrap w:val="0"/>
        <w:snapToGrid w:val="0"/>
        <w:spacing w:line="46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14:paraId="64F923FA">
      <w:pPr>
        <w:widowControl/>
        <w:shd w:val="clear"/>
        <w:wordWrap w:val="0"/>
        <w:spacing w:line="460" w:lineRule="exact"/>
        <w:ind w:firstLine="4800" w:firstLineChars="2000"/>
        <w:jc w:val="left"/>
        <w:rPr>
          <w:rFonts w:hint="eastAsia" w:ascii="宋体" w:hAnsi="宋体" w:cs="宋体"/>
          <w:color w:val="auto"/>
          <w:kern w:val="0"/>
          <w:sz w:val="24"/>
          <w:highlight w:val="none"/>
        </w:rPr>
      </w:pPr>
    </w:p>
    <w:p w14:paraId="44E60B7B">
      <w:pPr>
        <w:widowControl/>
        <w:shd w:val="clear"/>
        <w:wordWrap w:val="0"/>
        <w:spacing w:line="360" w:lineRule="auto"/>
        <w:jc w:val="center"/>
        <w:rPr>
          <w:rFonts w:hint="eastAsia" w:ascii="宋体" w:hAnsi="宋体" w:cs="宋体"/>
          <w:color w:val="auto"/>
          <w:kern w:val="0"/>
          <w:sz w:val="24"/>
          <w:highlight w:val="none"/>
        </w:rPr>
      </w:pPr>
    </w:p>
    <w:p w14:paraId="48534978">
      <w:pPr>
        <w:widowControl/>
        <w:shd w:val="clear"/>
        <w:wordWrap w:val="0"/>
        <w:spacing w:line="360" w:lineRule="auto"/>
        <w:jc w:val="right"/>
        <w:rPr>
          <w:rFonts w:hint="eastAsia" w:ascii="宋体" w:hAnsi="宋体" w:cs="宋体"/>
          <w:color w:val="auto"/>
          <w:kern w:val="0"/>
          <w:sz w:val="24"/>
          <w:highlight w:val="none"/>
        </w:rPr>
      </w:pPr>
    </w:p>
    <w:p w14:paraId="3E366DFD">
      <w:pPr>
        <w:widowControl/>
        <w:shd w:val="clear"/>
        <w:wordWrap w:val="0"/>
        <w:spacing w:line="360" w:lineRule="auto"/>
        <w:jc w:val="right"/>
        <w:rPr>
          <w:rFonts w:hint="eastAsia" w:ascii="宋体" w:hAnsi="宋体" w:cs="宋体"/>
          <w:color w:val="auto"/>
          <w:kern w:val="0"/>
          <w:sz w:val="24"/>
          <w:highlight w:val="none"/>
        </w:rPr>
      </w:pPr>
    </w:p>
    <w:p w14:paraId="4926643E">
      <w:pPr>
        <w:widowControl/>
        <w:shd w:val="clear"/>
        <w:wordWrap w:val="0"/>
        <w:spacing w:line="360" w:lineRule="auto"/>
        <w:jc w:val="right"/>
        <w:rPr>
          <w:rFonts w:hint="eastAsia" w:ascii="宋体" w:hAnsi="宋体" w:cs="宋体"/>
          <w:color w:val="auto"/>
          <w:kern w:val="0"/>
          <w:sz w:val="24"/>
          <w:highlight w:val="none"/>
        </w:rPr>
      </w:pPr>
    </w:p>
    <w:p w14:paraId="60E0767D">
      <w:pPr>
        <w:widowControl/>
        <w:shd w:val="clear"/>
        <w:wordWrap w:val="0"/>
        <w:spacing w:line="360" w:lineRule="auto"/>
        <w:jc w:val="right"/>
        <w:rPr>
          <w:rFonts w:hint="eastAsia" w:ascii="宋体" w:hAnsi="宋体" w:cs="宋体"/>
          <w:color w:val="auto"/>
          <w:kern w:val="0"/>
          <w:sz w:val="24"/>
          <w:highlight w:val="none"/>
        </w:rPr>
      </w:pPr>
    </w:p>
    <w:p w14:paraId="1E2E7CB1">
      <w:pPr>
        <w:widowControl/>
        <w:shd w:val="clear"/>
        <w:wordWrap w:val="0"/>
        <w:spacing w:line="360" w:lineRule="auto"/>
        <w:jc w:val="right"/>
        <w:rPr>
          <w:rFonts w:hint="eastAsia" w:ascii="宋体" w:hAnsi="宋体" w:cs="宋体"/>
          <w:color w:val="auto"/>
          <w:kern w:val="0"/>
          <w:sz w:val="24"/>
          <w:highlight w:val="none"/>
        </w:rPr>
      </w:pPr>
    </w:p>
    <w:p w14:paraId="78725FA0">
      <w:pPr>
        <w:widowControl/>
        <w:shd w:val="clea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供应商：</w:t>
      </w:r>
      <w:r>
        <w:rPr>
          <w:rFonts w:hint="eastAsia" w:ascii="宋体" w:hAnsi="宋体" w:cs="宋体"/>
          <w:color w:val="auto"/>
          <w:kern w:val="0"/>
          <w:szCs w:val="21"/>
          <w:highlight w:val="none"/>
          <w:u w:val="single"/>
        </w:rPr>
        <w:t xml:space="preserve">                </w:t>
      </w:r>
      <w:r>
        <w:rPr>
          <w:rFonts w:hint="eastAsia" w:ascii="宋体" w:hAnsi="宋体" w:cs="宋体"/>
          <w:color w:val="auto"/>
          <w:kern w:val="0"/>
          <w:sz w:val="24"/>
          <w:highlight w:val="none"/>
        </w:rPr>
        <w:t>（全称并加盖公章）</w:t>
      </w:r>
    </w:p>
    <w:p w14:paraId="56CB6859">
      <w:pPr>
        <w:widowControl/>
        <w:shd w:val="clear"/>
        <w:wordWrap w:val="0"/>
        <w:spacing w:line="460" w:lineRule="exact"/>
        <w:ind w:firstLine="3840" w:firstLineChars="1600"/>
        <w:jc w:val="left"/>
        <w:rPr>
          <w:rFonts w:hint="eastAsia" w:ascii="宋体" w:hAnsi="宋体" w:cs="宋体"/>
          <w:b/>
          <w:color w:val="auto"/>
          <w:kern w:val="0"/>
          <w:sz w:val="32"/>
          <w:szCs w:val="32"/>
          <w:highlight w:val="none"/>
        </w:rPr>
      </w:pPr>
      <w:r>
        <w:rPr>
          <w:rFonts w:hint="eastAsia" w:ascii="宋体" w:hAnsi="宋体" w:cs="宋体"/>
          <w:color w:val="auto"/>
          <w:kern w:val="0"/>
          <w:sz w:val="24"/>
          <w:highlight w:val="none"/>
        </w:rPr>
        <w:t>年    月    日</w:t>
      </w:r>
    </w:p>
    <w:p w14:paraId="546EF579">
      <w:pPr>
        <w:widowControl/>
        <w:shd w:val="clear"/>
        <w:spacing w:line="360" w:lineRule="auto"/>
        <w:ind w:firstLine="7228" w:firstLineChars="2250"/>
        <w:jc w:val="left"/>
        <w:rPr>
          <w:rFonts w:hint="eastAsia" w:ascii="宋体" w:hAnsi="宋体" w:cs="宋体"/>
          <w:b/>
          <w:color w:val="auto"/>
          <w:kern w:val="0"/>
          <w:sz w:val="32"/>
          <w:szCs w:val="32"/>
          <w:highlight w:val="none"/>
        </w:rPr>
      </w:pPr>
    </w:p>
    <w:p w14:paraId="3FCC0650">
      <w:pPr>
        <w:shd w:val="clea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111AFF5C">
      <w:pPr>
        <w:pStyle w:val="8"/>
        <w:shd w:val="clear"/>
        <w:snapToGrid w:val="0"/>
        <w:spacing w:before="159" w:after="20" w:line="360" w:lineRule="auto"/>
        <w:jc w:val="center"/>
        <w:rPr>
          <w:rFonts w:hint="eastAsia" w:ascii="宋体" w:hAnsi="宋体" w:eastAsia="宋体" w:cs="宋体"/>
          <w:color w:val="auto"/>
          <w:sz w:val="28"/>
          <w:szCs w:val="28"/>
          <w:highlight w:val="none"/>
        </w:rPr>
      </w:pPr>
      <w:bookmarkStart w:id="91" w:name="_Toc3342"/>
      <w:bookmarkStart w:id="92" w:name="_Toc18105"/>
      <w:bookmarkStart w:id="93" w:name="_Toc24693"/>
      <w:r>
        <w:rPr>
          <w:rFonts w:hint="eastAsia" w:ascii="宋体" w:hAnsi="宋体" w:eastAsia="宋体" w:cs="宋体"/>
          <w:color w:val="auto"/>
          <w:sz w:val="28"/>
          <w:szCs w:val="28"/>
          <w:highlight w:val="none"/>
        </w:rPr>
        <w:t>附件9          证明文件</w:t>
      </w:r>
      <w:bookmarkEnd w:id="91"/>
      <w:bookmarkEnd w:id="92"/>
      <w:bookmarkEnd w:id="93"/>
    </w:p>
    <w:p w14:paraId="53C32D29">
      <w:pPr>
        <w:pStyle w:val="13"/>
        <w:shd w:val="clear"/>
        <w:spacing w:beforeAutospacing="0" w:afterAutospacing="0" w:line="480" w:lineRule="auto"/>
        <w:ind w:firstLine="470" w:firstLineChars="224"/>
        <w:jc w:val="both"/>
        <w:rPr>
          <w:rFonts w:hint="eastAsia"/>
          <w:bCs/>
          <w:color w:val="auto"/>
          <w:sz w:val="21"/>
          <w:szCs w:val="21"/>
          <w:highlight w:val="none"/>
        </w:rPr>
      </w:pPr>
    </w:p>
    <w:p w14:paraId="01A85557">
      <w:pPr>
        <w:pStyle w:val="13"/>
        <w:shd w:val="clear"/>
        <w:spacing w:beforeAutospacing="0" w:afterAutospacing="0" w:line="480" w:lineRule="auto"/>
        <w:ind w:firstLine="472" w:firstLineChars="224"/>
        <w:jc w:val="both"/>
        <w:rPr>
          <w:rFonts w:hint="eastAsia"/>
          <w:b/>
          <w:color w:val="auto"/>
          <w:sz w:val="21"/>
          <w:szCs w:val="21"/>
          <w:highlight w:val="none"/>
        </w:rPr>
      </w:pPr>
      <w:r>
        <w:rPr>
          <w:rFonts w:hint="eastAsia"/>
          <w:b/>
          <w:color w:val="auto"/>
          <w:sz w:val="21"/>
          <w:szCs w:val="21"/>
          <w:highlight w:val="none"/>
        </w:rPr>
        <w:t>9.1 资格审查资料</w:t>
      </w:r>
    </w:p>
    <w:p w14:paraId="31DE9D1C">
      <w:pPr>
        <w:pStyle w:val="13"/>
        <w:shd w:val="clear"/>
        <w:spacing w:beforeAutospacing="0" w:afterAutospacing="0" w:line="480" w:lineRule="auto"/>
        <w:ind w:firstLine="470" w:firstLineChars="224"/>
        <w:jc w:val="both"/>
        <w:rPr>
          <w:rFonts w:hint="eastAsia"/>
          <w:bCs/>
          <w:color w:val="auto"/>
          <w:sz w:val="21"/>
          <w:szCs w:val="21"/>
          <w:highlight w:val="none"/>
        </w:rPr>
      </w:pPr>
    </w:p>
    <w:p w14:paraId="443DFEFC">
      <w:pPr>
        <w:pStyle w:val="13"/>
        <w:shd w:val="clear"/>
        <w:spacing w:beforeAutospacing="0" w:afterAutospacing="0" w:line="480" w:lineRule="auto"/>
        <w:ind w:firstLine="470" w:firstLineChars="224"/>
        <w:jc w:val="both"/>
        <w:rPr>
          <w:rFonts w:hint="eastAsia"/>
          <w:bCs/>
          <w:color w:val="auto"/>
          <w:sz w:val="21"/>
          <w:szCs w:val="21"/>
          <w:highlight w:val="none"/>
        </w:rPr>
      </w:pPr>
    </w:p>
    <w:p w14:paraId="196BD74A">
      <w:pPr>
        <w:pStyle w:val="13"/>
        <w:shd w:val="clear"/>
        <w:spacing w:beforeAutospacing="0" w:afterAutospacing="0" w:line="480" w:lineRule="auto"/>
        <w:ind w:firstLine="472" w:firstLineChars="224"/>
        <w:jc w:val="both"/>
        <w:rPr>
          <w:rFonts w:hint="eastAsia"/>
          <w:b/>
          <w:color w:val="auto"/>
          <w:sz w:val="21"/>
          <w:szCs w:val="21"/>
          <w:highlight w:val="none"/>
        </w:rPr>
      </w:pPr>
      <w:r>
        <w:rPr>
          <w:rFonts w:hint="eastAsia"/>
          <w:b/>
          <w:color w:val="auto"/>
          <w:sz w:val="21"/>
          <w:szCs w:val="21"/>
          <w:highlight w:val="none"/>
        </w:rPr>
        <w:t xml:space="preserve">9.2 </w:t>
      </w:r>
      <w:bookmarkStart w:id="94" w:name="_Toc17966"/>
      <w:r>
        <w:rPr>
          <w:rFonts w:hint="eastAsia"/>
          <w:b/>
          <w:color w:val="auto"/>
          <w:sz w:val="21"/>
          <w:szCs w:val="21"/>
          <w:highlight w:val="none"/>
        </w:rPr>
        <w:t>评分标准中需提供的证明材料</w:t>
      </w:r>
    </w:p>
    <w:p w14:paraId="592EE37C">
      <w:pPr>
        <w:pStyle w:val="13"/>
        <w:shd w:val="clear"/>
        <w:spacing w:beforeAutospacing="0" w:afterAutospacing="0" w:line="480" w:lineRule="auto"/>
        <w:ind w:firstLine="470" w:firstLineChars="224"/>
        <w:jc w:val="both"/>
        <w:rPr>
          <w:rFonts w:hint="eastAsia"/>
          <w:bCs/>
          <w:color w:val="auto"/>
          <w:sz w:val="21"/>
          <w:szCs w:val="21"/>
          <w:highlight w:val="none"/>
        </w:rPr>
      </w:pPr>
    </w:p>
    <w:p w14:paraId="76D9EF53">
      <w:pPr>
        <w:pStyle w:val="13"/>
        <w:shd w:val="clear"/>
        <w:spacing w:beforeAutospacing="0" w:afterAutospacing="0" w:line="480" w:lineRule="auto"/>
        <w:ind w:firstLine="470" w:firstLineChars="224"/>
        <w:jc w:val="both"/>
        <w:rPr>
          <w:rFonts w:hint="eastAsia"/>
          <w:bCs/>
          <w:color w:val="auto"/>
          <w:sz w:val="21"/>
          <w:szCs w:val="21"/>
          <w:highlight w:val="none"/>
        </w:rPr>
      </w:pPr>
    </w:p>
    <w:p w14:paraId="21BF36D8">
      <w:pPr>
        <w:pStyle w:val="13"/>
        <w:shd w:val="clear"/>
        <w:spacing w:beforeAutospacing="0" w:afterAutospacing="0" w:line="480" w:lineRule="auto"/>
        <w:ind w:firstLine="472" w:firstLineChars="224"/>
        <w:jc w:val="both"/>
        <w:rPr>
          <w:rFonts w:hint="eastAsia"/>
          <w:b/>
          <w:color w:val="auto"/>
          <w:sz w:val="21"/>
          <w:szCs w:val="21"/>
          <w:highlight w:val="none"/>
        </w:rPr>
      </w:pPr>
      <w:r>
        <w:rPr>
          <w:rFonts w:hint="eastAsia"/>
          <w:b/>
          <w:color w:val="auto"/>
          <w:sz w:val="21"/>
          <w:szCs w:val="21"/>
          <w:highlight w:val="none"/>
        </w:rPr>
        <w:t>9.3 供应商认为其他需要提供的证明材料</w:t>
      </w:r>
    </w:p>
    <w:p w14:paraId="3FA7C154">
      <w:pPr>
        <w:pStyle w:val="13"/>
        <w:shd w:val="clear"/>
        <w:spacing w:beforeAutospacing="0" w:afterAutospacing="0" w:line="480" w:lineRule="auto"/>
        <w:ind w:firstLine="540" w:firstLineChars="224"/>
        <w:jc w:val="both"/>
        <w:rPr>
          <w:rFonts w:hint="eastAsia"/>
          <w:b/>
          <w:bCs/>
          <w:color w:val="auto"/>
          <w:highlight w:val="none"/>
        </w:rPr>
      </w:pPr>
    </w:p>
    <w:p w14:paraId="21B08A96">
      <w:pPr>
        <w:pStyle w:val="13"/>
        <w:shd w:val="clear"/>
        <w:spacing w:beforeAutospacing="0" w:afterAutospacing="0" w:line="480" w:lineRule="auto"/>
        <w:ind w:firstLine="540" w:firstLineChars="224"/>
        <w:jc w:val="both"/>
        <w:rPr>
          <w:rFonts w:hint="eastAsia"/>
          <w:b/>
          <w:bCs/>
          <w:color w:val="auto"/>
          <w:highlight w:val="none"/>
        </w:rPr>
      </w:pPr>
    </w:p>
    <w:p w14:paraId="0CC15285">
      <w:pPr>
        <w:pStyle w:val="13"/>
        <w:shd w:val="clear"/>
        <w:spacing w:beforeAutospacing="0" w:afterAutospacing="0" w:line="480" w:lineRule="auto"/>
        <w:ind w:firstLine="540" w:firstLineChars="224"/>
        <w:jc w:val="both"/>
        <w:rPr>
          <w:rFonts w:hint="eastAsia"/>
          <w:b/>
          <w:bCs/>
          <w:color w:val="auto"/>
          <w:highlight w:val="none"/>
        </w:rPr>
      </w:pPr>
    </w:p>
    <w:p w14:paraId="6F876A5E">
      <w:pPr>
        <w:pStyle w:val="13"/>
        <w:shd w:val="clear"/>
        <w:spacing w:beforeAutospacing="0" w:afterAutospacing="0" w:line="480" w:lineRule="auto"/>
        <w:ind w:firstLine="540" w:firstLineChars="224"/>
        <w:jc w:val="both"/>
        <w:rPr>
          <w:rFonts w:hint="eastAsia"/>
          <w:b/>
          <w:bCs/>
          <w:color w:val="auto"/>
          <w:highlight w:val="none"/>
        </w:rPr>
      </w:pPr>
    </w:p>
    <w:p w14:paraId="39087EE0">
      <w:pPr>
        <w:pStyle w:val="13"/>
        <w:shd w:val="clear"/>
        <w:spacing w:beforeAutospacing="0" w:afterAutospacing="0" w:line="480" w:lineRule="auto"/>
        <w:ind w:firstLine="540" w:firstLineChars="224"/>
        <w:jc w:val="both"/>
        <w:rPr>
          <w:rFonts w:hint="eastAsia"/>
          <w:b/>
          <w:bCs/>
          <w:color w:val="auto"/>
          <w:highlight w:val="none"/>
        </w:rPr>
      </w:pPr>
    </w:p>
    <w:p w14:paraId="15F8326A">
      <w:pPr>
        <w:pStyle w:val="13"/>
        <w:shd w:val="clear"/>
        <w:spacing w:beforeAutospacing="0" w:afterAutospacing="0" w:line="480" w:lineRule="auto"/>
        <w:ind w:firstLine="540" w:firstLineChars="224"/>
        <w:jc w:val="both"/>
        <w:rPr>
          <w:rFonts w:hint="eastAsia"/>
          <w:b/>
          <w:bCs/>
          <w:color w:val="auto"/>
          <w:highlight w:val="none"/>
        </w:rPr>
      </w:pPr>
    </w:p>
    <w:p w14:paraId="6DB2DA95">
      <w:pPr>
        <w:pStyle w:val="13"/>
        <w:shd w:val="clear"/>
        <w:spacing w:beforeAutospacing="0" w:afterAutospacing="0" w:line="480" w:lineRule="auto"/>
        <w:ind w:firstLine="540" w:firstLineChars="224"/>
        <w:jc w:val="both"/>
        <w:rPr>
          <w:rFonts w:hint="eastAsia"/>
          <w:b/>
          <w:bCs/>
          <w:color w:val="auto"/>
          <w:highlight w:val="none"/>
        </w:rPr>
      </w:pPr>
    </w:p>
    <w:p w14:paraId="01786A50">
      <w:pPr>
        <w:pStyle w:val="13"/>
        <w:shd w:val="clear"/>
        <w:spacing w:beforeAutospacing="0" w:afterAutospacing="0" w:line="480" w:lineRule="auto"/>
        <w:ind w:firstLine="540" w:firstLineChars="224"/>
        <w:jc w:val="both"/>
        <w:rPr>
          <w:rFonts w:hint="eastAsia"/>
          <w:b/>
          <w:bCs/>
          <w:color w:val="auto"/>
          <w:highlight w:val="none"/>
        </w:rPr>
      </w:pPr>
    </w:p>
    <w:p w14:paraId="03932CFF">
      <w:pPr>
        <w:pStyle w:val="13"/>
        <w:shd w:val="clear"/>
        <w:spacing w:beforeAutospacing="0" w:afterAutospacing="0" w:line="480" w:lineRule="auto"/>
        <w:ind w:firstLine="540" w:firstLineChars="224"/>
        <w:jc w:val="both"/>
        <w:rPr>
          <w:rFonts w:hint="eastAsia"/>
          <w:b/>
          <w:bCs/>
          <w:color w:val="auto"/>
          <w:highlight w:val="none"/>
        </w:rPr>
      </w:pPr>
    </w:p>
    <w:p w14:paraId="4031F360">
      <w:pPr>
        <w:pStyle w:val="13"/>
        <w:shd w:val="clear"/>
        <w:spacing w:beforeAutospacing="0" w:afterAutospacing="0" w:line="480" w:lineRule="auto"/>
        <w:ind w:firstLine="540" w:firstLineChars="224"/>
        <w:jc w:val="both"/>
        <w:rPr>
          <w:rFonts w:hint="eastAsia"/>
          <w:b/>
          <w:bCs/>
          <w:color w:val="auto"/>
          <w:highlight w:val="none"/>
        </w:rPr>
      </w:pPr>
    </w:p>
    <w:p w14:paraId="57528CD0">
      <w:pPr>
        <w:pStyle w:val="13"/>
        <w:shd w:val="clear"/>
        <w:spacing w:beforeAutospacing="0" w:afterAutospacing="0" w:line="480" w:lineRule="auto"/>
        <w:ind w:firstLine="540" w:firstLineChars="224"/>
        <w:jc w:val="both"/>
        <w:rPr>
          <w:rFonts w:hint="eastAsia"/>
          <w:b/>
          <w:bCs/>
          <w:color w:val="auto"/>
          <w:highlight w:val="none"/>
        </w:rPr>
      </w:pPr>
    </w:p>
    <w:p w14:paraId="14F0E779">
      <w:pPr>
        <w:pStyle w:val="13"/>
        <w:shd w:val="clear"/>
        <w:spacing w:beforeAutospacing="0" w:afterAutospacing="0" w:line="480" w:lineRule="auto"/>
        <w:ind w:firstLine="540" w:firstLineChars="224"/>
        <w:jc w:val="both"/>
        <w:rPr>
          <w:rFonts w:hint="eastAsia"/>
          <w:b/>
          <w:bCs/>
          <w:color w:val="auto"/>
          <w:highlight w:val="none"/>
        </w:rPr>
      </w:pPr>
    </w:p>
    <w:p w14:paraId="78ECD39C">
      <w:pPr>
        <w:pStyle w:val="13"/>
        <w:shd w:val="clear"/>
        <w:spacing w:beforeAutospacing="0" w:afterAutospacing="0" w:line="480" w:lineRule="auto"/>
        <w:ind w:firstLine="540" w:firstLineChars="224"/>
        <w:jc w:val="both"/>
        <w:rPr>
          <w:rFonts w:hint="eastAsia"/>
          <w:b/>
          <w:bCs/>
          <w:color w:val="auto"/>
          <w:highlight w:val="none"/>
        </w:rPr>
      </w:pPr>
    </w:p>
    <w:p w14:paraId="307F12E4">
      <w:pPr>
        <w:pStyle w:val="8"/>
        <w:shd w:val="clear"/>
        <w:snapToGrid w:val="0"/>
        <w:spacing w:before="159" w:after="20" w:line="360" w:lineRule="auto"/>
        <w:jc w:val="center"/>
        <w:rPr>
          <w:rFonts w:hint="eastAsia" w:ascii="宋体" w:hAnsi="宋体" w:eastAsia="宋体" w:cs="宋体"/>
          <w:color w:val="auto"/>
          <w:sz w:val="28"/>
          <w:szCs w:val="28"/>
          <w:highlight w:val="none"/>
        </w:rPr>
      </w:pPr>
      <w:bookmarkStart w:id="95" w:name="_Toc13726"/>
      <w:bookmarkStart w:id="96" w:name="_Toc12888"/>
      <w:bookmarkStart w:id="97" w:name="_Toc16083"/>
      <w:r>
        <w:rPr>
          <w:rFonts w:hint="eastAsia" w:ascii="宋体" w:hAnsi="宋体" w:eastAsia="宋体" w:cs="宋体"/>
          <w:color w:val="auto"/>
          <w:sz w:val="28"/>
          <w:szCs w:val="28"/>
          <w:highlight w:val="none"/>
        </w:rPr>
        <w:t xml:space="preserve">附件10      </w:t>
      </w:r>
      <w:bookmarkEnd w:id="94"/>
      <w:r>
        <w:rPr>
          <w:rFonts w:hint="eastAsia" w:ascii="宋体" w:hAnsi="宋体" w:eastAsia="宋体" w:cs="宋体"/>
          <w:color w:val="auto"/>
          <w:sz w:val="28"/>
          <w:szCs w:val="28"/>
          <w:highlight w:val="none"/>
        </w:rPr>
        <w:t>供 应 商 承 诺 书 （格式）</w:t>
      </w:r>
      <w:bookmarkEnd w:id="95"/>
      <w:bookmarkEnd w:id="96"/>
      <w:bookmarkEnd w:id="97"/>
    </w:p>
    <w:p w14:paraId="16047B30">
      <w:pPr>
        <w:shd w:val="clear"/>
        <w:rPr>
          <w:rFonts w:hint="eastAsia" w:ascii="宋体" w:hAnsi="宋体" w:cs="宋体"/>
          <w:color w:val="auto"/>
          <w:highlight w:val="none"/>
        </w:rPr>
      </w:pPr>
    </w:p>
    <w:p w14:paraId="44F6A96B">
      <w:pPr>
        <w:shd w:val="clear"/>
        <w:snapToGrid w:val="0"/>
        <w:spacing w:line="480" w:lineRule="auto"/>
        <w:ind w:firstLine="640"/>
        <w:rPr>
          <w:rFonts w:hint="eastAsia" w:ascii="宋体" w:hAnsi="宋体" w:cs="宋体"/>
          <w:color w:val="auto"/>
          <w:szCs w:val="21"/>
          <w:highlight w:val="none"/>
        </w:rPr>
      </w:pPr>
      <w:r>
        <w:rPr>
          <w:rFonts w:hint="eastAsia" w:ascii="宋体" w:hAnsi="宋体" w:cs="宋体"/>
          <w:color w:val="auto"/>
          <w:szCs w:val="21"/>
          <w:highlight w:val="none"/>
        </w:rPr>
        <w:t>我院（以下简称甲方）组织的本次采购，在遵守《招标投标法》、《政府采购法》、《</w:t>
      </w:r>
      <w:r>
        <w:rPr>
          <w:rFonts w:hint="eastAsia" w:ascii="宋体" w:hAnsi="宋体" w:cs="宋体"/>
          <w:color w:val="auto"/>
          <w:szCs w:val="21"/>
          <w:highlight w:val="none"/>
          <w:lang w:val="en-US" w:eastAsia="zh-CN"/>
        </w:rPr>
        <w:t>民法典</w:t>
      </w:r>
      <w:r>
        <w:rPr>
          <w:rFonts w:hint="eastAsia" w:ascii="宋体" w:hAnsi="宋体" w:cs="宋体"/>
          <w:color w:val="auto"/>
          <w:szCs w:val="21"/>
          <w:highlight w:val="none"/>
        </w:rPr>
        <w:t>》、《反不正当竞争法》和《关于推进招投标监督领域诚信建设的意见》等法律法规的基础上，要求贵方（以下简称乙方）做出如下承诺：</w:t>
      </w:r>
    </w:p>
    <w:p w14:paraId="45CE4490">
      <w:pPr>
        <w:shd w:val="clear"/>
        <w:snapToGrid w:val="0"/>
        <w:spacing w:line="480" w:lineRule="auto"/>
        <w:ind w:firstLine="640"/>
        <w:rPr>
          <w:rFonts w:hint="eastAsia" w:ascii="宋体" w:hAnsi="宋体" w:cs="宋体"/>
          <w:color w:val="auto"/>
          <w:szCs w:val="21"/>
          <w:highlight w:val="none"/>
        </w:rPr>
      </w:pPr>
      <w:r>
        <w:rPr>
          <w:rFonts w:hint="eastAsia" w:ascii="宋体" w:hAnsi="宋体" w:cs="宋体"/>
          <w:color w:val="auto"/>
          <w:szCs w:val="21"/>
          <w:highlight w:val="none"/>
        </w:rPr>
        <w:t>1、遵循公开、公平、公正和诚实信用的原则自愿参加，所提供的一切材料真实、有效、合法。</w:t>
      </w:r>
    </w:p>
    <w:p w14:paraId="15292839">
      <w:pPr>
        <w:shd w:val="clear"/>
        <w:snapToGrid w:val="0"/>
        <w:spacing w:line="480" w:lineRule="auto"/>
        <w:ind w:firstLine="640"/>
        <w:rPr>
          <w:rFonts w:hint="eastAsia" w:ascii="宋体" w:hAnsi="宋体" w:cs="宋体"/>
          <w:color w:val="auto"/>
          <w:szCs w:val="21"/>
          <w:highlight w:val="none"/>
        </w:rPr>
      </w:pPr>
      <w:r>
        <w:rPr>
          <w:rFonts w:hint="eastAsia" w:ascii="宋体" w:hAnsi="宋体" w:cs="宋体"/>
          <w:color w:val="auto"/>
          <w:szCs w:val="21"/>
          <w:highlight w:val="none"/>
        </w:rPr>
        <w:t>2、遵守甲方采购纪律，诚实守信地为甲方提供安全可靠的产品、服务及相关技术，保证质量并主动做好售后服务工作。</w:t>
      </w:r>
    </w:p>
    <w:p w14:paraId="66F8D95D">
      <w:pPr>
        <w:shd w:val="clear"/>
        <w:snapToGrid w:val="0"/>
        <w:spacing w:line="480" w:lineRule="auto"/>
        <w:ind w:firstLine="640"/>
        <w:rPr>
          <w:rFonts w:hint="eastAsia" w:ascii="宋体" w:hAnsi="宋体" w:cs="宋体"/>
          <w:color w:val="auto"/>
          <w:szCs w:val="21"/>
          <w:highlight w:val="none"/>
        </w:rPr>
      </w:pPr>
      <w:r>
        <w:rPr>
          <w:rFonts w:hint="eastAsia" w:ascii="宋体" w:hAnsi="宋体" w:cs="宋体"/>
          <w:color w:val="auto"/>
          <w:szCs w:val="21"/>
          <w:highlight w:val="none"/>
        </w:rPr>
        <w:t>3、杜绝利用提供财物或给予其他不正当利益谋取中标的不良行为。</w:t>
      </w:r>
    </w:p>
    <w:p w14:paraId="73B7A9A3">
      <w:pPr>
        <w:shd w:val="clear"/>
        <w:snapToGrid w:val="0"/>
        <w:spacing w:line="480" w:lineRule="auto"/>
        <w:ind w:firstLine="640"/>
        <w:rPr>
          <w:rFonts w:hint="eastAsia" w:ascii="宋体" w:hAnsi="宋体" w:cs="宋体"/>
          <w:color w:val="auto"/>
          <w:szCs w:val="21"/>
          <w:highlight w:val="none"/>
        </w:rPr>
      </w:pPr>
      <w:r>
        <w:rPr>
          <w:rFonts w:hint="eastAsia" w:ascii="宋体" w:hAnsi="宋体" w:cs="宋体"/>
          <w:color w:val="auto"/>
          <w:szCs w:val="21"/>
          <w:highlight w:val="none"/>
        </w:rPr>
        <w:t>4、不发生其他任何可能影响甲方工作人员公正执行公务或者职务廉洁的行为。</w:t>
      </w:r>
    </w:p>
    <w:p w14:paraId="67F3BEC9">
      <w:pPr>
        <w:shd w:val="clear"/>
        <w:snapToGrid w:val="0"/>
        <w:spacing w:line="480" w:lineRule="auto"/>
        <w:ind w:firstLine="640"/>
        <w:rPr>
          <w:rFonts w:hint="eastAsia" w:ascii="宋体" w:hAnsi="宋体" w:cs="宋体"/>
          <w:color w:val="auto"/>
          <w:szCs w:val="21"/>
          <w:highlight w:val="none"/>
        </w:rPr>
      </w:pPr>
      <w:r>
        <w:rPr>
          <w:rFonts w:hint="eastAsia" w:ascii="宋体" w:hAnsi="宋体" w:cs="宋体"/>
          <w:color w:val="auto"/>
          <w:szCs w:val="21"/>
          <w:highlight w:val="none"/>
        </w:rPr>
        <w:t>5、不参与串标、围标或其他不正当竞争行为；杜绝以虚报资质、业绩或其他弄虚作假等方式骗取中标。</w:t>
      </w:r>
    </w:p>
    <w:p w14:paraId="0CEB0681">
      <w:pPr>
        <w:shd w:val="clear"/>
        <w:snapToGrid w:val="0"/>
        <w:spacing w:line="480" w:lineRule="auto"/>
        <w:ind w:firstLine="640"/>
        <w:rPr>
          <w:rFonts w:hint="eastAsia" w:ascii="宋体" w:hAnsi="宋体" w:cs="宋体"/>
          <w:color w:val="auto"/>
          <w:szCs w:val="21"/>
          <w:highlight w:val="none"/>
        </w:rPr>
      </w:pPr>
      <w:r>
        <w:rPr>
          <w:rFonts w:hint="eastAsia" w:ascii="宋体" w:hAnsi="宋体" w:cs="宋体"/>
          <w:color w:val="auto"/>
          <w:szCs w:val="21"/>
          <w:highlight w:val="none"/>
        </w:rPr>
        <w:t>6、响应时，杜绝擅自修改采购文件或技术标准（包括差异表）技术配置的行为。</w:t>
      </w:r>
    </w:p>
    <w:p w14:paraId="2F654267">
      <w:pPr>
        <w:shd w:val="clear"/>
        <w:snapToGrid w:val="0"/>
        <w:spacing w:line="480" w:lineRule="auto"/>
        <w:ind w:firstLine="640"/>
        <w:rPr>
          <w:rFonts w:hint="eastAsia" w:ascii="宋体" w:hAnsi="宋体" w:cs="宋体"/>
          <w:color w:val="auto"/>
          <w:szCs w:val="21"/>
          <w:highlight w:val="none"/>
        </w:rPr>
      </w:pPr>
      <w:r>
        <w:rPr>
          <w:rFonts w:hint="eastAsia" w:ascii="宋体" w:hAnsi="宋体" w:cs="宋体"/>
          <w:color w:val="auto"/>
          <w:szCs w:val="21"/>
          <w:highlight w:val="none"/>
        </w:rPr>
        <w:t>7、严格按照采购、响应文件要求签订合同，不违反法律无故拒签合同，不签订背离合同（或技术协议书）实质性内容的协议。</w:t>
      </w:r>
    </w:p>
    <w:p w14:paraId="5AB14474">
      <w:pPr>
        <w:shd w:val="clear"/>
        <w:snapToGrid w:val="0"/>
        <w:spacing w:line="480" w:lineRule="auto"/>
        <w:rPr>
          <w:rFonts w:hint="eastAsia" w:ascii="宋体" w:hAnsi="宋体" w:cs="宋体"/>
          <w:color w:val="auto"/>
          <w:szCs w:val="21"/>
          <w:highlight w:val="none"/>
        </w:rPr>
      </w:pPr>
    </w:p>
    <w:p w14:paraId="19CE5130">
      <w:pPr>
        <w:widowControl/>
        <w:shd w:val="clear"/>
        <w:spacing w:line="360" w:lineRule="auto"/>
        <w:textAlignment w:val="baseline"/>
        <w:rPr>
          <w:rFonts w:hint="eastAsia"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（全称并加盖公章）</w:t>
      </w:r>
    </w:p>
    <w:p w14:paraId="6FD825AB">
      <w:pPr>
        <w:shd w:val="clear"/>
        <w:snapToGrid w:val="0"/>
        <w:spacing w:line="480" w:lineRule="auto"/>
        <w:rPr>
          <w:rFonts w:hint="eastAsia" w:ascii="宋体" w:hAnsi="宋体" w:cs="宋体"/>
          <w:color w:val="auto"/>
          <w:szCs w:val="21"/>
          <w:highlight w:val="none"/>
        </w:rPr>
      </w:pPr>
      <w:r>
        <w:rPr>
          <w:rFonts w:hint="eastAsia" w:ascii="宋体" w:hAnsi="宋体" w:cs="宋体"/>
          <w:color w:val="auto"/>
          <w:szCs w:val="21"/>
          <w:highlight w:val="none"/>
        </w:rPr>
        <w:t xml:space="preserve">法定代表人或委托人（签字或盖章）：          </w:t>
      </w:r>
    </w:p>
    <w:p w14:paraId="464EB3F2">
      <w:pPr>
        <w:shd w:val="clear"/>
        <w:snapToGrid w:val="0"/>
        <w:spacing w:line="480" w:lineRule="auto"/>
        <w:rPr>
          <w:rFonts w:hint="eastAsia" w:ascii="宋体" w:hAnsi="宋体" w:cs="宋体"/>
          <w:color w:val="auto"/>
          <w:sz w:val="28"/>
          <w:szCs w:val="28"/>
          <w:highlight w:val="none"/>
        </w:rPr>
      </w:pPr>
      <w:r>
        <w:rPr>
          <w:rFonts w:hint="eastAsia" w:ascii="宋体" w:hAnsi="宋体" w:cs="宋体"/>
          <w:color w:val="auto"/>
          <w:szCs w:val="21"/>
          <w:highlight w:val="none"/>
        </w:rPr>
        <w:t xml:space="preserve">         年   月   日</w:t>
      </w:r>
    </w:p>
    <w:p w14:paraId="545A1F22">
      <w:pPr>
        <w:widowControl/>
        <w:shd w:val="clear"/>
        <w:spacing w:line="360" w:lineRule="auto"/>
        <w:ind w:firstLine="4305" w:firstLineChars="2050"/>
        <w:jc w:val="left"/>
        <w:rPr>
          <w:rFonts w:hint="eastAsia" w:ascii="宋体" w:hAnsi="宋体" w:cs="宋体"/>
          <w:color w:val="auto"/>
          <w:kern w:val="0"/>
          <w:szCs w:val="21"/>
          <w:highlight w:val="none"/>
        </w:rPr>
      </w:pPr>
    </w:p>
    <w:p w14:paraId="20693B7D">
      <w:pPr>
        <w:pStyle w:val="33"/>
        <w:shd w:val="clear"/>
        <w:ind w:firstLine="210"/>
        <w:rPr>
          <w:rFonts w:hint="eastAsia" w:ascii="宋体" w:hAnsi="宋体" w:cs="宋体"/>
          <w:color w:val="auto"/>
          <w:kern w:val="0"/>
          <w:highlight w:val="none"/>
        </w:rPr>
      </w:pPr>
    </w:p>
    <w:p w14:paraId="001BDF9D">
      <w:pPr>
        <w:pStyle w:val="6"/>
        <w:shd w:val="clear"/>
        <w:ind w:firstLine="480"/>
        <w:rPr>
          <w:rFonts w:hint="eastAsia"/>
          <w:color w:val="auto"/>
          <w:szCs w:val="21"/>
          <w:highlight w:val="none"/>
        </w:rPr>
        <w:sectPr>
          <w:pgSz w:w="11906" w:h="16838"/>
          <w:pgMar w:top="1417" w:right="1474" w:bottom="1417" w:left="1474" w:header="851" w:footer="624" w:gutter="0"/>
          <w:cols w:space="720" w:num="1"/>
          <w:docGrid w:type="lines" w:linePitch="319" w:charSpace="0"/>
        </w:sectPr>
      </w:pPr>
    </w:p>
    <w:p w14:paraId="485E3C29">
      <w:pPr>
        <w:pStyle w:val="8"/>
        <w:shd w:val="clear"/>
        <w:snapToGrid w:val="0"/>
        <w:spacing w:before="159" w:after="2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附件11     供应商信用承诺函（格式）</w:t>
      </w:r>
    </w:p>
    <w:p w14:paraId="6236DE97">
      <w:pPr>
        <w:shd w:val="clear"/>
        <w:snapToGrid w:val="0"/>
        <w:spacing w:line="360" w:lineRule="auto"/>
        <w:ind w:firstLine="641"/>
        <w:rPr>
          <w:rFonts w:hint="eastAsia" w:ascii="宋体" w:hAnsi="宋体" w:cs="宋体"/>
          <w:color w:val="auto"/>
          <w:szCs w:val="21"/>
          <w:highlight w:val="none"/>
        </w:rPr>
      </w:pPr>
      <w:r>
        <w:rPr>
          <w:rFonts w:hint="eastAsia" w:ascii="宋体" w:hAnsi="宋体" w:cs="宋体"/>
          <w:color w:val="auto"/>
          <w:szCs w:val="21"/>
          <w:highlight w:val="none"/>
        </w:rPr>
        <w:t>致（采购人或政府采购代理机构）：</w:t>
      </w:r>
    </w:p>
    <w:p w14:paraId="6E062C15">
      <w:pPr>
        <w:shd w:val="clear"/>
        <w:snapToGrid w:val="0"/>
        <w:spacing w:line="360" w:lineRule="auto"/>
        <w:ind w:firstLine="641"/>
        <w:rPr>
          <w:rFonts w:hint="eastAsia" w:ascii="宋体" w:hAnsi="宋体" w:cs="宋体"/>
          <w:color w:val="auto"/>
          <w:szCs w:val="21"/>
          <w:highlight w:val="none"/>
        </w:rPr>
      </w:pPr>
      <w:r>
        <w:rPr>
          <w:rFonts w:hint="eastAsia" w:ascii="宋体" w:hAnsi="宋体" w:cs="宋体"/>
          <w:color w:val="auto"/>
          <w:szCs w:val="21"/>
          <w:highlight w:val="none"/>
        </w:rPr>
        <w:t>单位名称（自然人姓名）：</w:t>
      </w:r>
    </w:p>
    <w:p w14:paraId="7DD60AAD">
      <w:pPr>
        <w:shd w:val="clear"/>
        <w:snapToGrid w:val="0"/>
        <w:spacing w:line="360" w:lineRule="auto"/>
        <w:ind w:firstLine="641"/>
        <w:rPr>
          <w:rFonts w:hint="eastAsia" w:ascii="宋体" w:hAnsi="宋体" w:cs="宋体"/>
          <w:color w:val="auto"/>
          <w:szCs w:val="21"/>
          <w:highlight w:val="none"/>
        </w:rPr>
      </w:pPr>
      <w:r>
        <w:rPr>
          <w:rFonts w:hint="eastAsia" w:ascii="宋体" w:hAnsi="宋体" w:cs="宋体"/>
          <w:color w:val="auto"/>
          <w:szCs w:val="21"/>
          <w:highlight w:val="none"/>
        </w:rPr>
        <w:t>统一社会信用代码（身份证号码）：</w:t>
      </w:r>
    </w:p>
    <w:p w14:paraId="1764822A">
      <w:pPr>
        <w:shd w:val="clear"/>
        <w:snapToGrid w:val="0"/>
        <w:spacing w:line="360" w:lineRule="auto"/>
        <w:ind w:firstLine="641"/>
        <w:rPr>
          <w:rFonts w:hint="eastAsia" w:ascii="宋体" w:hAnsi="宋体" w:cs="宋体"/>
          <w:color w:val="auto"/>
          <w:szCs w:val="21"/>
          <w:highlight w:val="none"/>
        </w:rPr>
      </w:pPr>
      <w:r>
        <w:rPr>
          <w:rFonts w:hint="eastAsia" w:ascii="宋体" w:hAnsi="宋体" w:cs="宋体"/>
          <w:color w:val="auto"/>
          <w:szCs w:val="21"/>
          <w:highlight w:val="none"/>
        </w:rPr>
        <w:t>法定代表人（负责人）：</w:t>
      </w:r>
    </w:p>
    <w:p w14:paraId="05E24DB8">
      <w:pPr>
        <w:shd w:val="clear"/>
        <w:snapToGrid w:val="0"/>
        <w:spacing w:line="360" w:lineRule="auto"/>
        <w:ind w:firstLine="641"/>
        <w:rPr>
          <w:rFonts w:hint="eastAsia" w:ascii="宋体" w:hAnsi="宋体" w:cs="宋体"/>
          <w:color w:val="auto"/>
          <w:szCs w:val="21"/>
          <w:highlight w:val="none"/>
        </w:rPr>
      </w:pPr>
      <w:r>
        <w:rPr>
          <w:rFonts w:hint="eastAsia" w:ascii="宋体" w:hAnsi="宋体" w:cs="宋体"/>
          <w:color w:val="auto"/>
          <w:szCs w:val="21"/>
          <w:highlight w:val="none"/>
        </w:rPr>
        <w:t>联系地址和电话：</w:t>
      </w:r>
    </w:p>
    <w:p w14:paraId="55CC31C2">
      <w:pPr>
        <w:shd w:val="clear"/>
        <w:snapToGrid w:val="0"/>
        <w:spacing w:line="360" w:lineRule="auto"/>
        <w:ind w:firstLine="641"/>
        <w:rPr>
          <w:rFonts w:hint="eastAsia" w:ascii="宋体" w:hAnsi="宋体" w:cs="宋体"/>
          <w:color w:val="auto"/>
          <w:szCs w:val="21"/>
          <w:highlight w:val="none"/>
        </w:rPr>
      </w:pPr>
      <w:r>
        <w:rPr>
          <w:rFonts w:hint="eastAsia" w:ascii="宋体" w:hAnsi="宋体" w:cs="宋体"/>
          <w:color w:val="auto"/>
          <w:szCs w:val="21"/>
          <w:highlight w:val="none"/>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159DB5DF">
      <w:pPr>
        <w:shd w:val="clear"/>
        <w:snapToGrid w:val="0"/>
        <w:spacing w:line="360" w:lineRule="auto"/>
        <w:ind w:firstLine="641"/>
        <w:rPr>
          <w:rFonts w:hint="eastAsia" w:ascii="宋体" w:hAnsi="宋体" w:cs="宋体"/>
          <w:color w:val="auto"/>
          <w:szCs w:val="21"/>
          <w:highlight w:val="none"/>
        </w:rPr>
      </w:pPr>
      <w:r>
        <w:rPr>
          <w:rFonts w:hint="eastAsia" w:ascii="宋体" w:hAnsi="宋体" w:cs="宋体"/>
          <w:color w:val="auto"/>
          <w:szCs w:val="21"/>
          <w:highlight w:val="none"/>
        </w:rPr>
        <w:t>（一）具有独立承担民事责任的能力；</w:t>
      </w:r>
    </w:p>
    <w:p w14:paraId="5E56F00C">
      <w:pPr>
        <w:shd w:val="clear"/>
        <w:snapToGrid w:val="0"/>
        <w:spacing w:line="360" w:lineRule="auto"/>
        <w:ind w:firstLine="641"/>
        <w:rPr>
          <w:rFonts w:hint="eastAsia" w:ascii="宋体" w:hAnsi="宋体" w:cs="宋体"/>
          <w:color w:val="auto"/>
          <w:szCs w:val="21"/>
          <w:highlight w:val="none"/>
        </w:rPr>
      </w:pPr>
      <w:r>
        <w:rPr>
          <w:rFonts w:hint="eastAsia" w:ascii="宋体" w:hAnsi="宋体" w:cs="宋体"/>
          <w:color w:val="auto"/>
          <w:szCs w:val="21"/>
          <w:highlight w:val="none"/>
        </w:rPr>
        <w:t>（二）具有良好的商业信誉和健全的财务会计制度；</w:t>
      </w:r>
    </w:p>
    <w:p w14:paraId="4843D380">
      <w:pPr>
        <w:shd w:val="clear"/>
        <w:snapToGrid w:val="0"/>
        <w:spacing w:line="360" w:lineRule="auto"/>
        <w:ind w:firstLine="641"/>
        <w:rPr>
          <w:rFonts w:hint="eastAsia" w:ascii="宋体" w:hAnsi="宋体" w:cs="宋体"/>
          <w:color w:val="auto"/>
          <w:szCs w:val="21"/>
          <w:highlight w:val="none"/>
        </w:rPr>
      </w:pPr>
      <w:r>
        <w:rPr>
          <w:rFonts w:hint="eastAsia" w:ascii="宋体" w:hAnsi="宋体" w:cs="宋体"/>
          <w:color w:val="auto"/>
          <w:szCs w:val="21"/>
          <w:highlight w:val="none"/>
        </w:rPr>
        <w:t>（三）具有履行合同所必需的设备和专业技术能力；</w:t>
      </w:r>
    </w:p>
    <w:p w14:paraId="6D15B8DA">
      <w:pPr>
        <w:shd w:val="clear"/>
        <w:snapToGrid w:val="0"/>
        <w:spacing w:line="360" w:lineRule="auto"/>
        <w:ind w:firstLine="641"/>
        <w:rPr>
          <w:rFonts w:hint="eastAsia" w:ascii="宋体" w:hAnsi="宋体" w:cs="宋体"/>
          <w:color w:val="auto"/>
          <w:szCs w:val="21"/>
          <w:highlight w:val="none"/>
        </w:rPr>
      </w:pPr>
      <w:r>
        <w:rPr>
          <w:rFonts w:hint="eastAsia" w:ascii="宋体" w:hAnsi="宋体" w:cs="宋体"/>
          <w:color w:val="auto"/>
          <w:szCs w:val="21"/>
          <w:highlight w:val="none"/>
        </w:rPr>
        <w:t>（四）有依法缴纳税收和社会保障资金的良好记录；</w:t>
      </w:r>
    </w:p>
    <w:p w14:paraId="75617DDA">
      <w:pPr>
        <w:shd w:val="clear"/>
        <w:snapToGrid w:val="0"/>
        <w:spacing w:line="360" w:lineRule="auto"/>
        <w:ind w:firstLine="641"/>
        <w:rPr>
          <w:rFonts w:hint="eastAsia" w:ascii="宋体" w:hAnsi="宋体" w:cs="宋体"/>
          <w:color w:val="auto"/>
          <w:szCs w:val="21"/>
          <w:highlight w:val="none"/>
        </w:rPr>
      </w:pPr>
      <w:r>
        <w:rPr>
          <w:rFonts w:hint="eastAsia" w:ascii="宋体" w:hAnsi="宋体" w:cs="宋体"/>
          <w:color w:val="auto"/>
          <w:szCs w:val="21"/>
          <w:highlight w:val="none"/>
        </w:rPr>
        <w:t>（五）参加政府采购活动前三年内，在经营活动中没有重大违法记录；</w:t>
      </w:r>
    </w:p>
    <w:p w14:paraId="3825FB5F">
      <w:pPr>
        <w:shd w:val="clear"/>
        <w:snapToGrid w:val="0"/>
        <w:spacing w:line="360" w:lineRule="auto"/>
        <w:ind w:firstLine="641"/>
        <w:rPr>
          <w:rFonts w:hint="eastAsia" w:ascii="宋体" w:hAnsi="宋体" w:cs="宋体"/>
          <w:color w:val="auto"/>
          <w:szCs w:val="21"/>
          <w:highlight w:val="none"/>
        </w:rPr>
      </w:pPr>
      <w:r>
        <w:rPr>
          <w:rFonts w:hint="eastAsia" w:ascii="宋体" w:hAnsi="宋体" w:cs="宋体"/>
          <w:color w:val="auto"/>
          <w:szCs w:val="21"/>
          <w:highlight w:val="none"/>
        </w:rPr>
        <w:t>（六）未被列入严重失信主体名单、失信被执行人、税收违法黑名单、政府采购严重违法失信行为记录名单，未曾作出虚假承诺；</w:t>
      </w:r>
    </w:p>
    <w:p w14:paraId="24294A00">
      <w:pPr>
        <w:shd w:val="clear"/>
        <w:snapToGrid w:val="0"/>
        <w:spacing w:line="360" w:lineRule="auto"/>
        <w:ind w:firstLine="641"/>
        <w:rPr>
          <w:rFonts w:hint="eastAsia" w:ascii="宋体" w:hAnsi="宋体" w:cs="宋体"/>
          <w:color w:val="auto"/>
          <w:szCs w:val="21"/>
          <w:highlight w:val="none"/>
        </w:rPr>
      </w:pPr>
      <w:r>
        <w:rPr>
          <w:rFonts w:hint="eastAsia" w:ascii="宋体" w:hAnsi="宋体" w:cs="宋体"/>
          <w:color w:val="auto"/>
          <w:szCs w:val="21"/>
          <w:highlight w:val="none"/>
        </w:rPr>
        <w:t>（七）符合法律、行政法规规定的其他条件。</w:t>
      </w:r>
    </w:p>
    <w:p w14:paraId="5F089759">
      <w:pPr>
        <w:shd w:val="clear"/>
        <w:snapToGrid w:val="0"/>
        <w:spacing w:line="360" w:lineRule="auto"/>
        <w:ind w:firstLine="641"/>
        <w:rPr>
          <w:rFonts w:hint="eastAsia" w:ascii="宋体" w:hAnsi="宋体" w:cs="宋体"/>
          <w:color w:val="auto"/>
          <w:szCs w:val="21"/>
          <w:highlight w:val="none"/>
        </w:rPr>
      </w:pPr>
      <w:r>
        <w:rPr>
          <w:rFonts w:hint="eastAsia" w:ascii="宋体" w:hAnsi="宋体" w:cs="宋体"/>
          <w:color w:val="auto"/>
          <w:szCs w:val="21"/>
          <w:highlight w:val="none"/>
        </w:rPr>
        <w:t>我单位（本人）保证上述承诺事项的真实性，如有弄虚作假或其他违法违规行为，愿意承担一切法律责任，并承担因此所造成的一切损失。</w:t>
      </w:r>
    </w:p>
    <w:p w14:paraId="67A317C2">
      <w:pPr>
        <w:shd w:val="clear"/>
        <w:snapToGrid w:val="0"/>
        <w:spacing w:line="360" w:lineRule="auto"/>
        <w:ind w:firstLine="641"/>
        <w:rPr>
          <w:rFonts w:hint="eastAsia" w:ascii="宋体" w:hAnsi="宋体" w:cs="宋体"/>
          <w:color w:val="auto"/>
          <w:szCs w:val="21"/>
          <w:highlight w:val="none"/>
        </w:rPr>
      </w:pPr>
    </w:p>
    <w:p w14:paraId="4C4FC743">
      <w:pPr>
        <w:widowControl/>
        <w:shd w:val="clear"/>
        <w:spacing w:line="360" w:lineRule="auto"/>
        <w:ind w:firstLine="630" w:firstLineChars="300"/>
        <w:textAlignment w:val="baseline"/>
        <w:rPr>
          <w:rFonts w:hint="eastAsia"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（全称并加盖公章）</w:t>
      </w:r>
    </w:p>
    <w:p w14:paraId="24214C0E">
      <w:pPr>
        <w:shd w:val="clear"/>
        <w:snapToGrid w:val="0"/>
        <w:spacing w:line="360" w:lineRule="auto"/>
        <w:ind w:firstLine="641"/>
        <w:rPr>
          <w:rFonts w:hint="eastAsia" w:ascii="宋体" w:hAnsi="宋体" w:cs="宋体"/>
          <w:color w:val="auto"/>
          <w:szCs w:val="21"/>
          <w:highlight w:val="none"/>
        </w:rPr>
      </w:pPr>
      <w:r>
        <w:rPr>
          <w:rFonts w:hint="eastAsia" w:ascii="宋体" w:hAnsi="宋体" w:cs="宋体"/>
          <w:color w:val="auto"/>
          <w:szCs w:val="21"/>
          <w:highlight w:val="none"/>
        </w:rPr>
        <w:t>法定代表人、负责人、自然人或授权代表(签字或盖章)：</w:t>
      </w:r>
    </w:p>
    <w:p w14:paraId="2C6F759A">
      <w:pPr>
        <w:shd w:val="clear"/>
        <w:snapToGrid w:val="0"/>
        <w:spacing w:line="360" w:lineRule="auto"/>
        <w:ind w:firstLine="641"/>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4AFF577B">
      <w:pPr>
        <w:shd w:val="clear"/>
        <w:snapToGrid w:val="0"/>
        <w:spacing w:line="360" w:lineRule="auto"/>
        <w:ind w:firstLine="641"/>
        <w:rPr>
          <w:rFonts w:hint="eastAsia" w:ascii="宋体" w:hAnsi="宋体" w:cs="宋体"/>
          <w:color w:val="auto"/>
          <w:szCs w:val="21"/>
          <w:highlight w:val="none"/>
        </w:rPr>
      </w:pPr>
    </w:p>
    <w:p w14:paraId="40CBEEE9">
      <w:pPr>
        <w:shd w:val="clear"/>
        <w:snapToGrid w:val="0"/>
        <w:spacing w:line="360" w:lineRule="auto"/>
        <w:ind w:firstLine="641"/>
        <w:rPr>
          <w:rFonts w:hint="eastAsia" w:ascii="宋体" w:hAnsi="宋体" w:cs="宋体"/>
          <w:color w:val="auto"/>
          <w:szCs w:val="21"/>
          <w:highlight w:val="none"/>
        </w:rPr>
      </w:pPr>
    </w:p>
    <w:p w14:paraId="6A9949B1">
      <w:pPr>
        <w:shd w:val="clear"/>
        <w:snapToGrid w:val="0"/>
        <w:spacing w:line="360" w:lineRule="auto"/>
        <w:ind w:firstLine="641"/>
        <w:rPr>
          <w:rFonts w:hint="eastAsia" w:ascii="宋体" w:hAnsi="宋体" w:cs="宋体"/>
          <w:color w:val="auto"/>
          <w:szCs w:val="21"/>
          <w:highlight w:val="none"/>
        </w:rPr>
      </w:pPr>
      <w:r>
        <w:rPr>
          <w:rFonts w:hint="eastAsia" w:ascii="宋体" w:hAnsi="宋体" w:cs="宋体"/>
          <w:color w:val="auto"/>
          <w:szCs w:val="21"/>
          <w:highlight w:val="none"/>
        </w:rPr>
        <w:t>注：1.供应商须在投标（响应性）文件中按此模板提供承诺函，未提供视为未实质性响应招标文件要求，按无效投标（响应）处理。</w:t>
      </w:r>
    </w:p>
    <w:p w14:paraId="15ACFE78">
      <w:pPr>
        <w:shd w:val="clear"/>
        <w:snapToGrid w:val="0"/>
        <w:spacing w:line="360" w:lineRule="auto"/>
        <w:ind w:firstLine="641"/>
        <w:rPr>
          <w:rFonts w:hint="eastAsia" w:ascii="宋体" w:hAnsi="宋体" w:cs="宋体"/>
          <w:color w:val="auto"/>
          <w:szCs w:val="21"/>
          <w:highlight w:val="none"/>
        </w:rPr>
      </w:pPr>
      <w:r>
        <w:rPr>
          <w:rFonts w:hint="eastAsia" w:ascii="宋体" w:hAnsi="宋体" w:cs="宋体"/>
          <w:color w:val="auto"/>
          <w:szCs w:val="21"/>
          <w:highlight w:val="none"/>
        </w:rPr>
        <w:t>2.供应商的法定代表人或者授权代表的签字或盖章应真实、有效，如由授权代表签字或盖章的，应提供“法定代表人授权书”。</w:t>
      </w:r>
    </w:p>
    <w:p w14:paraId="28AAFC0A">
      <w:pPr>
        <w:pStyle w:val="13"/>
        <w:shd w:val="clear"/>
        <w:spacing w:beforeAutospacing="0" w:afterAutospacing="0" w:line="460" w:lineRule="atLeast"/>
        <w:jc w:val="both"/>
        <w:rPr>
          <w:rFonts w:hint="eastAsia"/>
          <w:b/>
          <w:bCs/>
          <w:color w:val="auto"/>
          <w:sz w:val="28"/>
          <w:szCs w:val="28"/>
          <w:highlight w:val="none"/>
        </w:rPr>
        <w:sectPr>
          <w:pgSz w:w="11906" w:h="16838"/>
          <w:pgMar w:top="1417" w:right="1474" w:bottom="1417" w:left="1474" w:header="851" w:footer="624" w:gutter="0"/>
          <w:cols w:space="720" w:num="1"/>
          <w:docGrid w:type="lines" w:linePitch="319" w:charSpace="0"/>
        </w:sectPr>
      </w:pPr>
    </w:p>
    <w:p w14:paraId="4293D92F">
      <w:pPr>
        <w:shd w:val="clear"/>
        <w:rPr>
          <w:rFonts w:hint="eastAsia" w:ascii="宋体" w:hAnsi="宋体" w:cs="宋体"/>
          <w:color w:val="auto"/>
          <w:highlight w:val="none"/>
        </w:rPr>
      </w:pPr>
      <w:bookmarkStart w:id="98" w:name="_Toc25094"/>
      <w:bookmarkStart w:id="99" w:name="_Toc31685"/>
      <w:bookmarkStart w:id="100" w:name="_Toc23394"/>
    </w:p>
    <w:p w14:paraId="3CFFB9D7">
      <w:pPr>
        <w:pStyle w:val="8"/>
        <w:shd w:val="clear"/>
        <w:snapToGrid w:val="0"/>
        <w:spacing w:before="159" w:after="2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供应商认为有必要的其他资料</w:t>
      </w:r>
      <w:bookmarkEnd w:id="98"/>
      <w:bookmarkEnd w:id="99"/>
      <w:bookmarkEnd w:id="100"/>
    </w:p>
    <w:p w14:paraId="398937CF">
      <w:pPr>
        <w:widowControl/>
        <w:shd w:val="clear"/>
        <w:spacing w:line="360" w:lineRule="auto"/>
        <w:ind w:firstLine="420" w:firstLineChars="200"/>
        <w:jc w:val="left"/>
        <w:rPr>
          <w:rFonts w:hint="eastAsia" w:ascii="宋体" w:hAnsi="宋体" w:cs="宋体"/>
          <w:color w:val="auto"/>
          <w:kern w:val="0"/>
          <w:sz w:val="24"/>
          <w:highlight w:val="none"/>
        </w:rPr>
      </w:pPr>
      <w:r>
        <w:rPr>
          <w:rFonts w:hint="eastAsia" w:ascii="宋体" w:hAnsi="宋体" w:cs="宋体"/>
          <w:color w:val="auto"/>
          <w:kern w:val="0"/>
          <w:szCs w:val="21"/>
          <w:highlight w:val="none"/>
        </w:rPr>
        <w:t>备注：供应商应当仔细核对采购文件中有关废标条款和评标标准，提供供应商认为应当附加的其它内容，以充分证明其投标符合采购文件规定，并为评标提供充分依据。如果供应商未能提供相关证明文件，将有可能导致废标或者无法得分。</w:t>
      </w:r>
    </w:p>
    <w:p w14:paraId="602EDDB5">
      <w:pPr>
        <w:pStyle w:val="13"/>
        <w:shd w:val="clear"/>
        <w:spacing w:beforeAutospacing="0" w:afterAutospacing="0" w:line="460" w:lineRule="atLeast"/>
        <w:jc w:val="both"/>
        <w:rPr>
          <w:rFonts w:hint="eastAsia"/>
          <w:b/>
          <w:bCs/>
          <w:color w:val="auto"/>
          <w:sz w:val="28"/>
          <w:szCs w:val="28"/>
          <w:highlight w:val="none"/>
        </w:rPr>
      </w:pPr>
    </w:p>
    <w:sectPr>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AC560">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309DCF0">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5309DCF0">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56964">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5AEDB0B6">
                          <w:pPr>
                            <w:pStyle w:val="23"/>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5AEDB0B6">
                    <w:pPr>
                      <w:pStyle w:val="23"/>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44E8D9F9">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0F7">
    <w:pPr>
      <w:pStyle w:val="25"/>
      <w:jc w:val="right"/>
      <w:rPr>
        <w:rFonts w:hint="eastAsia" w:eastAsia="宋体"/>
        <w:lang w:eastAsia="zh-CN"/>
      </w:rPr>
    </w:pPr>
    <w:r>
      <w:rPr>
        <w:rFonts w:hint="eastAsia" w:ascii="宋体" w:hAnsi="宋体" w:cs="宋体"/>
        <w:szCs w:val="21"/>
        <w:shd w:val="clear" w:color="auto" w:fill="FFFFFF"/>
        <w:lang w:eastAsia="zh-CN"/>
      </w:rPr>
      <w:t>驻马店市中心医院飞利浦3.0T磁共振8通道线圈和16通道头颈联合线圈维修项目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1D1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19D"/>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5E89"/>
    <w:rsid w:val="001D784A"/>
    <w:rsid w:val="001D7D80"/>
    <w:rsid w:val="001E3D17"/>
    <w:rsid w:val="001E50E4"/>
    <w:rsid w:val="001E6E7E"/>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55A3D"/>
    <w:rsid w:val="00256B31"/>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C62E9"/>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E7CB3"/>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832"/>
    <w:rsid w:val="004D7B42"/>
    <w:rsid w:val="004F0462"/>
    <w:rsid w:val="00503E97"/>
    <w:rsid w:val="005068C0"/>
    <w:rsid w:val="00512A1F"/>
    <w:rsid w:val="005226EE"/>
    <w:rsid w:val="00523A5C"/>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1ACA"/>
    <w:rsid w:val="00592A6D"/>
    <w:rsid w:val="00592CCA"/>
    <w:rsid w:val="005946C4"/>
    <w:rsid w:val="00595847"/>
    <w:rsid w:val="00597269"/>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4FED"/>
    <w:rsid w:val="0064622C"/>
    <w:rsid w:val="0064748F"/>
    <w:rsid w:val="0064772A"/>
    <w:rsid w:val="006506F3"/>
    <w:rsid w:val="006527BA"/>
    <w:rsid w:val="00654D3A"/>
    <w:rsid w:val="00657186"/>
    <w:rsid w:val="00657B85"/>
    <w:rsid w:val="00662038"/>
    <w:rsid w:val="00662F1B"/>
    <w:rsid w:val="00663912"/>
    <w:rsid w:val="00665A28"/>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A7FC8"/>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0172"/>
    <w:rsid w:val="0073362A"/>
    <w:rsid w:val="00734E23"/>
    <w:rsid w:val="007361D9"/>
    <w:rsid w:val="00742A39"/>
    <w:rsid w:val="007442BF"/>
    <w:rsid w:val="007451B7"/>
    <w:rsid w:val="007454DB"/>
    <w:rsid w:val="007477B9"/>
    <w:rsid w:val="00752D80"/>
    <w:rsid w:val="007539E6"/>
    <w:rsid w:val="00753B1A"/>
    <w:rsid w:val="0075506B"/>
    <w:rsid w:val="00755D91"/>
    <w:rsid w:val="00756A8B"/>
    <w:rsid w:val="007635C6"/>
    <w:rsid w:val="00766B59"/>
    <w:rsid w:val="0076783A"/>
    <w:rsid w:val="00770296"/>
    <w:rsid w:val="0077380E"/>
    <w:rsid w:val="00776A44"/>
    <w:rsid w:val="007819D5"/>
    <w:rsid w:val="00784D17"/>
    <w:rsid w:val="007855DC"/>
    <w:rsid w:val="00790C7F"/>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87144"/>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2692"/>
    <w:rsid w:val="009F4C0F"/>
    <w:rsid w:val="00A00877"/>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08B8"/>
    <w:rsid w:val="00A514B4"/>
    <w:rsid w:val="00A52955"/>
    <w:rsid w:val="00A54D5F"/>
    <w:rsid w:val="00A55D2D"/>
    <w:rsid w:val="00A62166"/>
    <w:rsid w:val="00A62E07"/>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2CB9"/>
    <w:rsid w:val="00A9622A"/>
    <w:rsid w:val="00A965DA"/>
    <w:rsid w:val="00AA2C6F"/>
    <w:rsid w:val="00AA53A8"/>
    <w:rsid w:val="00AA6A35"/>
    <w:rsid w:val="00AA6C76"/>
    <w:rsid w:val="00AA721E"/>
    <w:rsid w:val="00AB0080"/>
    <w:rsid w:val="00AB0CF3"/>
    <w:rsid w:val="00AB1F09"/>
    <w:rsid w:val="00AB4031"/>
    <w:rsid w:val="00AB4C61"/>
    <w:rsid w:val="00AB55EA"/>
    <w:rsid w:val="00AB60E8"/>
    <w:rsid w:val="00AC0269"/>
    <w:rsid w:val="00AC0B8C"/>
    <w:rsid w:val="00AC201A"/>
    <w:rsid w:val="00AC3299"/>
    <w:rsid w:val="00AC33E8"/>
    <w:rsid w:val="00AC6684"/>
    <w:rsid w:val="00AC6DB7"/>
    <w:rsid w:val="00AC7267"/>
    <w:rsid w:val="00AD1762"/>
    <w:rsid w:val="00AD208D"/>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190D"/>
    <w:rsid w:val="00BE208F"/>
    <w:rsid w:val="00BE313E"/>
    <w:rsid w:val="00BE31D1"/>
    <w:rsid w:val="00BE45C7"/>
    <w:rsid w:val="00BE615C"/>
    <w:rsid w:val="00BE76F7"/>
    <w:rsid w:val="00BE7760"/>
    <w:rsid w:val="00BE793B"/>
    <w:rsid w:val="00BE7C3C"/>
    <w:rsid w:val="00BF1735"/>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48BE"/>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3E81"/>
    <w:rsid w:val="00D26944"/>
    <w:rsid w:val="00D32CA4"/>
    <w:rsid w:val="00D32D1C"/>
    <w:rsid w:val="00D353D1"/>
    <w:rsid w:val="00D40F53"/>
    <w:rsid w:val="00D4134E"/>
    <w:rsid w:val="00D446F3"/>
    <w:rsid w:val="00D465A6"/>
    <w:rsid w:val="00D515FF"/>
    <w:rsid w:val="00D543BA"/>
    <w:rsid w:val="00D57EC9"/>
    <w:rsid w:val="00D6263E"/>
    <w:rsid w:val="00D63D1A"/>
    <w:rsid w:val="00D644FD"/>
    <w:rsid w:val="00D73DB3"/>
    <w:rsid w:val="00D7434F"/>
    <w:rsid w:val="00D74FBF"/>
    <w:rsid w:val="00D75153"/>
    <w:rsid w:val="00D7542B"/>
    <w:rsid w:val="00D836FD"/>
    <w:rsid w:val="00D908DF"/>
    <w:rsid w:val="00D91BFF"/>
    <w:rsid w:val="00D92E03"/>
    <w:rsid w:val="00D955C8"/>
    <w:rsid w:val="00D95A7C"/>
    <w:rsid w:val="00D97115"/>
    <w:rsid w:val="00DA47D9"/>
    <w:rsid w:val="00DA61DA"/>
    <w:rsid w:val="00DA748A"/>
    <w:rsid w:val="00DB3E61"/>
    <w:rsid w:val="00DB49B6"/>
    <w:rsid w:val="00DB7A53"/>
    <w:rsid w:val="00DC3769"/>
    <w:rsid w:val="00DD5E95"/>
    <w:rsid w:val="00DE0848"/>
    <w:rsid w:val="00DE393A"/>
    <w:rsid w:val="00DE59DD"/>
    <w:rsid w:val="00DE5EB4"/>
    <w:rsid w:val="00DE70B4"/>
    <w:rsid w:val="00DF7185"/>
    <w:rsid w:val="00E022A9"/>
    <w:rsid w:val="00E06419"/>
    <w:rsid w:val="00E13130"/>
    <w:rsid w:val="00E13275"/>
    <w:rsid w:val="00E145E9"/>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478C"/>
    <w:rsid w:val="00F76397"/>
    <w:rsid w:val="00F77AB3"/>
    <w:rsid w:val="00F77C03"/>
    <w:rsid w:val="00F82064"/>
    <w:rsid w:val="00F86D49"/>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685CBB"/>
    <w:rsid w:val="01745FBF"/>
    <w:rsid w:val="017E6D95"/>
    <w:rsid w:val="018D0058"/>
    <w:rsid w:val="01944054"/>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04634"/>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870342"/>
    <w:rsid w:val="03A011E9"/>
    <w:rsid w:val="03A93979"/>
    <w:rsid w:val="03AE7F27"/>
    <w:rsid w:val="03BD2BCD"/>
    <w:rsid w:val="03CC058D"/>
    <w:rsid w:val="03E017D2"/>
    <w:rsid w:val="03F447E2"/>
    <w:rsid w:val="03F77068"/>
    <w:rsid w:val="03FB660C"/>
    <w:rsid w:val="042E37DB"/>
    <w:rsid w:val="04416C20"/>
    <w:rsid w:val="04732647"/>
    <w:rsid w:val="047968B1"/>
    <w:rsid w:val="04870542"/>
    <w:rsid w:val="04B30F7A"/>
    <w:rsid w:val="050E236F"/>
    <w:rsid w:val="052102F4"/>
    <w:rsid w:val="054C0111"/>
    <w:rsid w:val="05545DD3"/>
    <w:rsid w:val="056E2AD6"/>
    <w:rsid w:val="05720B50"/>
    <w:rsid w:val="057523EE"/>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793368"/>
    <w:rsid w:val="078E18EB"/>
    <w:rsid w:val="07AA2823"/>
    <w:rsid w:val="07B02D9F"/>
    <w:rsid w:val="07B10EA5"/>
    <w:rsid w:val="07C510CB"/>
    <w:rsid w:val="07CD6512"/>
    <w:rsid w:val="07CE3FA1"/>
    <w:rsid w:val="07EC2ECB"/>
    <w:rsid w:val="07FE66CB"/>
    <w:rsid w:val="08030185"/>
    <w:rsid w:val="080B4D47"/>
    <w:rsid w:val="08183C31"/>
    <w:rsid w:val="081B727D"/>
    <w:rsid w:val="081D2FF5"/>
    <w:rsid w:val="08321601"/>
    <w:rsid w:val="08326375"/>
    <w:rsid w:val="083D5C91"/>
    <w:rsid w:val="0847191F"/>
    <w:rsid w:val="08591DC3"/>
    <w:rsid w:val="085B58CB"/>
    <w:rsid w:val="08672793"/>
    <w:rsid w:val="08695E80"/>
    <w:rsid w:val="087C4541"/>
    <w:rsid w:val="087E5595"/>
    <w:rsid w:val="08BA4CE8"/>
    <w:rsid w:val="08BC0A60"/>
    <w:rsid w:val="08C52D6F"/>
    <w:rsid w:val="08E42BE4"/>
    <w:rsid w:val="08EF0201"/>
    <w:rsid w:val="08F41DE8"/>
    <w:rsid w:val="09045F63"/>
    <w:rsid w:val="093D1475"/>
    <w:rsid w:val="094840A2"/>
    <w:rsid w:val="09644C54"/>
    <w:rsid w:val="09737462"/>
    <w:rsid w:val="098552F6"/>
    <w:rsid w:val="09864BCA"/>
    <w:rsid w:val="099156C3"/>
    <w:rsid w:val="09A33F5B"/>
    <w:rsid w:val="09A53F39"/>
    <w:rsid w:val="09A60E13"/>
    <w:rsid w:val="09A82D92"/>
    <w:rsid w:val="09AB2883"/>
    <w:rsid w:val="09C35E1E"/>
    <w:rsid w:val="09CC324E"/>
    <w:rsid w:val="09CD0A4B"/>
    <w:rsid w:val="09D206F0"/>
    <w:rsid w:val="0A321AC2"/>
    <w:rsid w:val="0A343D4E"/>
    <w:rsid w:val="0A344626"/>
    <w:rsid w:val="0A3E6D2E"/>
    <w:rsid w:val="0A410AF1"/>
    <w:rsid w:val="0A4232E4"/>
    <w:rsid w:val="0A4F145F"/>
    <w:rsid w:val="0A8455AD"/>
    <w:rsid w:val="0A8729A8"/>
    <w:rsid w:val="0ABA2D7D"/>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2D57D1"/>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6669E"/>
    <w:rsid w:val="0D0C38CA"/>
    <w:rsid w:val="0D206810"/>
    <w:rsid w:val="0D4861FD"/>
    <w:rsid w:val="0D735465"/>
    <w:rsid w:val="0DC577E0"/>
    <w:rsid w:val="0DDC6319"/>
    <w:rsid w:val="0DE1181F"/>
    <w:rsid w:val="0DFA5B87"/>
    <w:rsid w:val="0DFC36AD"/>
    <w:rsid w:val="0DFE4F67"/>
    <w:rsid w:val="0E0C0D4C"/>
    <w:rsid w:val="0E115DA1"/>
    <w:rsid w:val="0E1409F6"/>
    <w:rsid w:val="0E162D6D"/>
    <w:rsid w:val="0E460DCC"/>
    <w:rsid w:val="0E541CA2"/>
    <w:rsid w:val="0E56100F"/>
    <w:rsid w:val="0E576B35"/>
    <w:rsid w:val="0E594756"/>
    <w:rsid w:val="0E7D159B"/>
    <w:rsid w:val="0E95596D"/>
    <w:rsid w:val="0EAE6205"/>
    <w:rsid w:val="0EAE6579"/>
    <w:rsid w:val="0EAF71BF"/>
    <w:rsid w:val="0ECE6257"/>
    <w:rsid w:val="0EE4129D"/>
    <w:rsid w:val="0F171032"/>
    <w:rsid w:val="0F296723"/>
    <w:rsid w:val="0F335E69"/>
    <w:rsid w:val="0F372614"/>
    <w:rsid w:val="0F3D59C9"/>
    <w:rsid w:val="0F516D5A"/>
    <w:rsid w:val="0F565B36"/>
    <w:rsid w:val="0F684933"/>
    <w:rsid w:val="0F6E2388"/>
    <w:rsid w:val="0F821E7D"/>
    <w:rsid w:val="0F9C18C3"/>
    <w:rsid w:val="0FC91CB4"/>
    <w:rsid w:val="0FCA42ED"/>
    <w:rsid w:val="0FDB5F4F"/>
    <w:rsid w:val="0FE7592C"/>
    <w:rsid w:val="0FFC17A5"/>
    <w:rsid w:val="0FFD20F0"/>
    <w:rsid w:val="10142F30"/>
    <w:rsid w:val="10352857"/>
    <w:rsid w:val="103E6E57"/>
    <w:rsid w:val="1041497B"/>
    <w:rsid w:val="10425FF6"/>
    <w:rsid w:val="106612B1"/>
    <w:rsid w:val="10760DF8"/>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23ACC"/>
    <w:rsid w:val="11437C85"/>
    <w:rsid w:val="114A2981"/>
    <w:rsid w:val="11575085"/>
    <w:rsid w:val="1166372C"/>
    <w:rsid w:val="11700D10"/>
    <w:rsid w:val="1178125A"/>
    <w:rsid w:val="118441E0"/>
    <w:rsid w:val="1196056D"/>
    <w:rsid w:val="11A025A1"/>
    <w:rsid w:val="11B85B3D"/>
    <w:rsid w:val="11CC783A"/>
    <w:rsid w:val="11CD20A0"/>
    <w:rsid w:val="11D34654"/>
    <w:rsid w:val="12010480"/>
    <w:rsid w:val="12040D82"/>
    <w:rsid w:val="120E707F"/>
    <w:rsid w:val="121D0051"/>
    <w:rsid w:val="12413D84"/>
    <w:rsid w:val="127A7D1C"/>
    <w:rsid w:val="12836D8B"/>
    <w:rsid w:val="12993BC0"/>
    <w:rsid w:val="12AB0349"/>
    <w:rsid w:val="12B66520"/>
    <w:rsid w:val="12CD57F1"/>
    <w:rsid w:val="12CE5941"/>
    <w:rsid w:val="12CE7AFA"/>
    <w:rsid w:val="12D67466"/>
    <w:rsid w:val="12ED1816"/>
    <w:rsid w:val="13036052"/>
    <w:rsid w:val="13272A5D"/>
    <w:rsid w:val="132A2A6A"/>
    <w:rsid w:val="133C40E3"/>
    <w:rsid w:val="133F4BFF"/>
    <w:rsid w:val="13410069"/>
    <w:rsid w:val="13493108"/>
    <w:rsid w:val="134A4EBA"/>
    <w:rsid w:val="13616720"/>
    <w:rsid w:val="13713CFE"/>
    <w:rsid w:val="13733928"/>
    <w:rsid w:val="13741F37"/>
    <w:rsid w:val="13857CA0"/>
    <w:rsid w:val="13920D68"/>
    <w:rsid w:val="139C16C9"/>
    <w:rsid w:val="13A5238E"/>
    <w:rsid w:val="13B01005"/>
    <w:rsid w:val="13B63CE1"/>
    <w:rsid w:val="13BC6684"/>
    <w:rsid w:val="13C72B3A"/>
    <w:rsid w:val="13D12EE6"/>
    <w:rsid w:val="13DF575E"/>
    <w:rsid w:val="13E470BD"/>
    <w:rsid w:val="13E669F4"/>
    <w:rsid w:val="13EE3A98"/>
    <w:rsid w:val="13F3280A"/>
    <w:rsid w:val="142123F7"/>
    <w:rsid w:val="142A11D8"/>
    <w:rsid w:val="144B544C"/>
    <w:rsid w:val="145002AE"/>
    <w:rsid w:val="145B7B45"/>
    <w:rsid w:val="14627FE2"/>
    <w:rsid w:val="14717443"/>
    <w:rsid w:val="14825F8A"/>
    <w:rsid w:val="148C70AD"/>
    <w:rsid w:val="148D52E3"/>
    <w:rsid w:val="14992B90"/>
    <w:rsid w:val="149F10C7"/>
    <w:rsid w:val="14A26281"/>
    <w:rsid w:val="14A5642A"/>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4FA3"/>
    <w:rsid w:val="153A36AA"/>
    <w:rsid w:val="15477903"/>
    <w:rsid w:val="1557566D"/>
    <w:rsid w:val="1565422D"/>
    <w:rsid w:val="156E0971"/>
    <w:rsid w:val="15785B3E"/>
    <w:rsid w:val="15811F1B"/>
    <w:rsid w:val="159A3ED7"/>
    <w:rsid w:val="15A30135"/>
    <w:rsid w:val="15A34015"/>
    <w:rsid w:val="15B605E5"/>
    <w:rsid w:val="15BB487B"/>
    <w:rsid w:val="15CE086D"/>
    <w:rsid w:val="15E2236F"/>
    <w:rsid w:val="15EE4223"/>
    <w:rsid w:val="16005D04"/>
    <w:rsid w:val="16111CBF"/>
    <w:rsid w:val="161D09ED"/>
    <w:rsid w:val="162323A3"/>
    <w:rsid w:val="162F30B1"/>
    <w:rsid w:val="1650762F"/>
    <w:rsid w:val="16510F12"/>
    <w:rsid w:val="166448F9"/>
    <w:rsid w:val="1677211D"/>
    <w:rsid w:val="16774218"/>
    <w:rsid w:val="167954F9"/>
    <w:rsid w:val="168D2708"/>
    <w:rsid w:val="169311EC"/>
    <w:rsid w:val="169C5A2D"/>
    <w:rsid w:val="169F7296"/>
    <w:rsid w:val="16A060BA"/>
    <w:rsid w:val="16A57EAF"/>
    <w:rsid w:val="16A918E4"/>
    <w:rsid w:val="16AC6E3F"/>
    <w:rsid w:val="16AE652A"/>
    <w:rsid w:val="16B56AEF"/>
    <w:rsid w:val="16C872D5"/>
    <w:rsid w:val="16CB6312"/>
    <w:rsid w:val="16D54FA3"/>
    <w:rsid w:val="16D84D9F"/>
    <w:rsid w:val="16E94D3E"/>
    <w:rsid w:val="170D06E0"/>
    <w:rsid w:val="17213E99"/>
    <w:rsid w:val="17233E03"/>
    <w:rsid w:val="17332185"/>
    <w:rsid w:val="17397720"/>
    <w:rsid w:val="17475951"/>
    <w:rsid w:val="175C542D"/>
    <w:rsid w:val="175D0ED4"/>
    <w:rsid w:val="17704879"/>
    <w:rsid w:val="17793FC0"/>
    <w:rsid w:val="179D33A9"/>
    <w:rsid w:val="179F2E61"/>
    <w:rsid w:val="17A06264"/>
    <w:rsid w:val="17BE19D3"/>
    <w:rsid w:val="17C227C0"/>
    <w:rsid w:val="17D66D7C"/>
    <w:rsid w:val="17DE0EDF"/>
    <w:rsid w:val="17EE5BFF"/>
    <w:rsid w:val="18097740"/>
    <w:rsid w:val="18136133"/>
    <w:rsid w:val="184055B9"/>
    <w:rsid w:val="184A2082"/>
    <w:rsid w:val="185A16FC"/>
    <w:rsid w:val="185D3C42"/>
    <w:rsid w:val="185F38AF"/>
    <w:rsid w:val="188F0211"/>
    <w:rsid w:val="18AD1BEB"/>
    <w:rsid w:val="18B3004A"/>
    <w:rsid w:val="18B31B6D"/>
    <w:rsid w:val="18B83CF9"/>
    <w:rsid w:val="18B96080"/>
    <w:rsid w:val="18CB43A7"/>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B117EF"/>
    <w:rsid w:val="19B36563"/>
    <w:rsid w:val="19D1685C"/>
    <w:rsid w:val="1A125525"/>
    <w:rsid w:val="1A1678A4"/>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43A53"/>
    <w:rsid w:val="1B8C18B7"/>
    <w:rsid w:val="1BB73AE1"/>
    <w:rsid w:val="1BDA6D68"/>
    <w:rsid w:val="1BF14125"/>
    <w:rsid w:val="1C002CEE"/>
    <w:rsid w:val="1C4032FE"/>
    <w:rsid w:val="1C4E77C9"/>
    <w:rsid w:val="1C555978"/>
    <w:rsid w:val="1C6554A1"/>
    <w:rsid w:val="1C7971B7"/>
    <w:rsid w:val="1C8036FB"/>
    <w:rsid w:val="1C880C11"/>
    <w:rsid w:val="1C917D91"/>
    <w:rsid w:val="1CAB2820"/>
    <w:rsid w:val="1CD221A8"/>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B06A5"/>
    <w:rsid w:val="1E7554E1"/>
    <w:rsid w:val="1E7F7D9E"/>
    <w:rsid w:val="1E82375A"/>
    <w:rsid w:val="1E840DA4"/>
    <w:rsid w:val="1E935967"/>
    <w:rsid w:val="1EA5444C"/>
    <w:rsid w:val="1EA5569B"/>
    <w:rsid w:val="1EB350EF"/>
    <w:rsid w:val="1EC21749"/>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BE47F2"/>
    <w:rsid w:val="20EA3839"/>
    <w:rsid w:val="2100305C"/>
    <w:rsid w:val="210F579E"/>
    <w:rsid w:val="21163FF0"/>
    <w:rsid w:val="211B39F2"/>
    <w:rsid w:val="212550B5"/>
    <w:rsid w:val="212705E9"/>
    <w:rsid w:val="21592B62"/>
    <w:rsid w:val="2172049B"/>
    <w:rsid w:val="21747CD2"/>
    <w:rsid w:val="219263AA"/>
    <w:rsid w:val="219E5782"/>
    <w:rsid w:val="21C36564"/>
    <w:rsid w:val="21D10545"/>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32608"/>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70869"/>
    <w:rsid w:val="247C52A2"/>
    <w:rsid w:val="24942917"/>
    <w:rsid w:val="24AE34FB"/>
    <w:rsid w:val="24CC106B"/>
    <w:rsid w:val="24D00598"/>
    <w:rsid w:val="24D725E9"/>
    <w:rsid w:val="24EC31CF"/>
    <w:rsid w:val="25045F70"/>
    <w:rsid w:val="250474F1"/>
    <w:rsid w:val="25056E93"/>
    <w:rsid w:val="25092EBA"/>
    <w:rsid w:val="250E5D48"/>
    <w:rsid w:val="25241020"/>
    <w:rsid w:val="25302410"/>
    <w:rsid w:val="253F23A5"/>
    <w:rsid w:val="255B6AB3"/>
    <w:rsid w:val="257572C3"/>
    <w:rsid w:val="25790E85"/>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0932"/>
    <w:rsid w:val="269772F0"/>
    <w:rsid w:val="26997893"/>
    <w:rsid w:val="26A30712"/>
    <w:rsid w:val="26AC0C27"/>
    <w:rsid w:val="26BD2FD8"/>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B3D96"/>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F6D07"/>
    <w:rsid w:val="2A852253"/>
    <w:rsid w:val="2A8645D2"/>
    <w:rsid w:val="2A882500"/>
    <w:rsid w:val="2AA35184"/>
    <w:rsid w:val="2AAB4E76"/>
    <w:rsid w:val="2AB63ABC"/>
    <w:rsid w:val="2AB63D0A"/>
    <w:rsid w:val="2AC31382"/>
    <w:rsid w:val="2AC46EA9"/>
    <w:rsid w:val="2AD0584D"/>
    <w:rsid w:val="2AD549F8"/>
    <w:rsid w:val="2AEA74E5"/>
    <w:rsid w:val="2AFB4FC0"/>
    <w:rsid w:val="2B003D00"/>
    <w:rsid w:val="2B074D5E"/>
    <w:rsid w:val="2B0A6991"/>
    <w:rsid w:val="2B100BA9"/>
    <w:rsid w:val="2B142300"/>
    <w:rsid w:val="2B1B5825"/>
    <w:rsid w:val="2B1E3AFC"/>
    <w:rsid w:val="2B342280"/>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220D9"/>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142369"/>
    <w:rsid w:val="2D3F2453"/>
    <w:rsid w:val="2D6F134E"/>
    <w:rsid w:val="2D835174"/>
    <w:rsid w:val="2D9331F9"/>
    <w:rsid w:val="2D99461C"/>
    <w:rsid w:val="2DA76D39"/>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16D92"/>
    <w:rsid w:val="2E5C0A3D"/>
    <w:rsid w:val="2E742F70"/>
    <w:rsid w:val="2E884DBD"/>
    <w:rsid w:val="2E8C3288"/>
    <w:rsid w:val="2E9077CD"/>
    <w:rsid w:val="2E9574DA"/>
    <w:rsid w:val="2E9A689E"/>
    <w:rsid w:val="2EA64CE7"/>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9B4F5A"/>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311AB"/>
    <w:rsid w:val="3136622A"/>
    <w:rsid w:val="31393501"/>
    <w:rsid w:val="3139422E"/>
    <w:rsid w:val="31403E26"/>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610D"/>
    <w:rsid w:val="33886F33"/>
    <w:rsid w:val="33AA5979"/>
    <w:rsid w:val="33C03E90"/>
    <w:rsid w:val="33C96649"/>
    <w:rsid w:val="33CC3D88"/>
    <w:rsid w:val="33D939C5"/>
    <w:rsid w:val="33DD0306"/>
    <w:rsid w:val="33FD722F"/>
    <w:rsid w:val="3400362D"/>
    <w:rsid w:val="340B09C5"/>
    <w:rsid w:val="341E4CAB"/>
    <w:rsid w:val="34316ACF"/>
    <w:rsid w:val="344C063B"/>
    <w:rsid w:val="34584EE2"/>
    <w:rsid w:val="346559BF"/>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5D50B2"/>
    <w:rsid w:val="356E46AA"/>
    <w:rsid w:val="357235B0"/>
    <w:rsid w:val="3578502D"/>
    <w:rsid w:val="3586192A"/>
    <w:rsid w:val="358625C7"/>
    <w:rsid w:val="35A815CB"/>
    <w:rsid w:val="35A85BD0"/>
    <w:rsid w:val="35AA1B9C"/>
    <w:rsid w:val="35D501BC"/>
    <w:rsid w:val="35DB09A6"/>
    <w:rsid w:val="36080591"/>
    <w:rsid w:val="3609472F"/>
    <w:rsid w:val="3619454C"/>
    <w:rsid w:val="36203B2D"/>
    <w:rsid w:val="363E0457"/>
    <w:rsid w:val="365B4B65"/>
    <w:rsid w:val="369B4CF0"/>
    <w:rsid w:val="36D62629"/>
    <w:rsid w:val="36D76172"/>
    <w:rsid w:val="36D84407"/>
    <w:rsid w:val="36E833BB"/>
    <w:rsid w:val="36EB1E1B"/>
    <w:rsid w:val="36F17F0D"/>
    <w:rsid w:val="36FB00F6"/>
    <w:rsid w:val="37103BA1"/>
    <w:rsid w:val="37224581"/>
    <w:rsid w:val="37265173"/>
    <w:rsid w:val="3735197D"/>
    <w:rsid w:val="373756A2"/>
    <w:rsid w:val="374A416C"/>
    <w:rsid w:val="375E0DA6"/>
    <w:rsid w:val="377639AE"/>
    <w:rsid w:val="378142CB"/>
    <w:rsid w:val="378B61A6"/>
    <w:rsid w:val="37B90F0B"/>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06F01"/>
    <w:rsid w:val="38CC268D"/>
    <w:rsid w:val="38DF1FDA"/>
    <w:rsid w:val="38EC2960"/>
    <w:rsid w:val="390069DD"/>
    <w:rsid w:val="39030CF9"/>
    <w:rsid w:val="39070CE6"/>
    <w:rsid w:val="39091F35"/>
    <w:rsid w:val="390D6F7F"/>
    <w:rsid w:val="392536E2"/>
    <w:rsid w:val="39465F15"/>
    <w:rsid w:val="39505209"/>
    <w:rsid w:val="396453C5"/>
    <w:rsid w:val="39922CCF"/>
    <w:rsid w:val="39A24859"/>
    <w:rsid w:val="39A65327"/>
    <w:rsid w:val="39A65C9B"/>
    <w:rsid w:val="39BC5ED6"/>
    <w:rsid w:val="39D27231"/>
    <w:rsid w:val="39E82BB3"/>
    <w:rsid w:val="39EB39E0"/>
    <w:rsid w:val="39EE7A9E"/>
    <w:rsid w:val="39EF02D4"/>
    <w:rsid w:val="39EF3F42"/>
    <w:rsid w:val="3A11342A"/>
    <w:rsid w:val="3A127C30"/>
    <w:rsid w:val="3A153110"/>
    <w:rsid w:val="3A2149EA"/>
    <w:rsid w:val="3A2507C0"/>
    <w:rsid w:val="3A285AD8"/>
    <w:rsid w:val="3A393FA7"/>
    <w:rsid w:val="3A3A5A22"/>
    <w:rsid w:val="3A524858"/>
    <w:rsid w:val="3A634E4A"/>
    <w:rsid w:val="3A64203E"/>
    <w:rsid w:val="3A663D00"/>
    <w:rsid w:val="3A7428D0"/>
    <w:rsid w:val="3A747EDD"/>
    <w:rsid w:val="3A8F302F"/>
    <w:rsid w:val="3A923AE4"/>
    <w:rsid w:val="3AA50E25"/>
    <w:rsid w:val="3AC566E3"/>
    <w:rsid w:val="3AD6747A"/>
    <w:rsid w:val="3AD95C48"/>
    <w:rsid w:val="3ADF5D0A"/>
    <w:rsid w:val="3B0F5F1E"/>
    <w:rsid w:val="3B312338"/>
    <w:rsid w:val="3B337E5E"/>
    <w:rsid w:val="3B3C5B77"/>
    <w:rsid w:val="3B3D0FF2"/>
    <w:rsid w:val="3B501351"/>
    <w:rsid w:val="3B521A18"/>
    <w:rsid w:val="3B8D2B96"/>
    <w:rsid w:val="3B923660"/>
    <w:rsid w:val="3BCA44BE"/>
    <w:rsid w:val="3C061F3A"/>
    <w:rsid w:val="3C0A04F9"/>
    <w:rsid w:val="3C495480"/>
    <w:rsid w:val="3C4C3A42"/>
    <w:rsid w:val="3C4D4F50"/>
    <w:rsid w:val="3C557EA4"/>
    <w:rsid w:val="3C6F0167"/>
    <w:rsid w:val="3C71667B"/>
    <w:rsid w:val="3C7C75E3"/>
    <w:rsid w:val="3C914F3B"/>
    <w:rsid w:val="3CC17F13"/>
    <w:rsid w:val="3CD15B81"/>
    <w:rsid w:val="3CD50B40"/>
    <w:rsid w:val="3CE320A3"/>
    <w:rsid w:val="3CE47F7D"/>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A53531"/>
    <w:rsid w:val="3DB54E0C"/>
    <w:rsid w:val="3DB900C1"/>
    <w:rsid w:val="3DE51866"/>
    <w:rsid w:val="3DE91725"/>
    <w:rsid w:val="3DE9514C"/>
    <w:rsid w:val="3DF159B1"/>
    <w:rsid w:val="3E135D25"/>
    <w:rsid w:val="3E1A106E"/>
    <w:rsid w:val="3E36303B"/>
    <w:rsid w:val="3E526044"/>
    <w:rsid w:val="3E5C591E"/>
    <w:rsid w:val="3E6C2B3A"/>
    <w:rsid w:val="3E8C5311"/>
    <w:rsid w:val="3E8E7E55"/>
    <w:rsid w:val="3EB61473"/>
    <w:rsid w:val="3EC66011"/>
    <w:rsid w:val="3ED25BE0"/>
    <w:rsid w:val="3ED75B7F"/>
    <w:rsid w:val="3EEF6792"/>
    <w:rsid w:val="3EF9316D"/>
    <w:rsid w:val="3F315E6B"/>
    <w:rsid w:val="3F5175E2"/>
    <w:rsid w:val="3F56276A"/>
    <w:rsid w:val="3F6C10E0"/>
    <w:rsid w:val="3F963015"/>
    <w:rsid w:val="3F964D35"/>
    <w:rsid w:val="3FA327ED"/>
    <w:rsid w:val="3FB11738"/>
    <w:rsid w:val="3FB5581B"/>
    <w:rsid w:val="3FC33D05"/>
    <w:rsid w:val="3FE23C01"/>
    <w:rsid w:val="3FF46B18"/>
    <w:rsid w:val="3FF74A2E"/>
    <w:rsid w:val="3FFC36E2"/>
    <w:rsid w:val="4005572D"/>
    <w:rsid w:val="4025758F"/>
    <w:rsid w:val="402833BA"/>
    <w:rsid w:val="40283C2B"/>
    <w:rsid w:val="40394FD1"/>
    <w:rsid w:val="40425879"/>
    <w:rsid w:val="405C1C05"/>
    <w:rsid w:val="405E3BCF"/>
    <w:rsid w:val="405F16F6"/>
    <w:rsid w:val="406B3DDC"/>
    <w:rsid w:val="40765D15"/>
    <w:rsid w:val="407B4FC1"/>
    <w:rsid w:val="407F2DE9"/>
    <w:rsid w:val="40866C82"/>
    <w:rsid w:val="40920B61"/>
    <w:rsid w:val="40953369"/>
    <w:rsid w:val="40991379"/>
    <w:rsid w:val="40994546"/>
    <w:rsid w:val="409B3C3D"/>
    <w:rsid w:val="409B6EA7"/>
    <w:rsid w:val="409F1D81"/>
    <w:rsid w:val="40C37EEF"/>
    <w:rsid w:val="40F701DF"/>
    <w:rsid w:val="40F90417"/>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DA1507"/>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25335"/>
    <w:rsid w:val="4476661F"/>
    <w:rsid w:val="447E3AC5"/>
    <w:rsid w:val="44805ED4"/>
    <w:rsid w:val="448E5DEE"/>
    <w:rsid w:val="449E4142"/>
    <w:rsid w:val="44A90BAA"/>
    <w:rsid w:val="44B24A20"/>
    <w:rsid w:val="44B32010"/>
    <w:rsid w:val="44BC0BEE"/>
    <w:rsid w:val="44BF6C07"/>
    <w:rsid w:val="44C24001"/>
    <w:rsid w:val="44C55A88"/>
    <w:rsid w:val="44FB1C9C"/>
    <w:rsid w:val="45392A13"/>
    <w:rsid w:val="453E3FCF"/>
    <w:rsid w:val="454F1836"/>
    <w:rsid w:val="45887B45"/>
    <w:rsid w:val="458B66DF"/>
    <w:rsid w:val="45904403"/>
    <w:rsid w:val="45940F0E"/>
    <w:rsid w:val="45AC5DBA"/>
    <w:rsid w:val="45C647AF"/>
    <w:rsid w:val="45DD529D"/>
    <w:rsid w:val="45E57886"/>
    <w:rsid w:val="45E945CC"/>
    <w:rsid w:val="46003076"/>
    <w:rsid w:val="46026F63"/>
    <w:rsid w:val="46113492"/>
    <w:rsid w:val="46177E29"/>
    <w:rsid w:val="46182FF9"/>
    <w:rsid w:val="46205B7F"/>
    <w:rsid w:val="462A4554"/>
    <w:rsid w:val="462A6010"/>
    <w:rsid w:val="4642189D"/>
    <w:rsid w:val="465D501C"/>
    <w:rsid w:val="466367DB"/>
    <w:rsid w:val="46686D18"/>
    <w:rsid w:val="466D15DA"/>
    <w:rsid w:val="468B403A"/>
    <w:rsid w:val="46BF7E28"/>
    <w:rsid w:val="46C3037C"/>
    <w:rsid w:val="46EF26BD"/>
    <w:rsid w:val="46FF15E0"/>
    <w:rsid w:val="4700581C"/>
    <w:rsid w:val="4702516A"/>
    <w:rsid w:val="4724600B"/>
    <w:rsid w:val="47294E56"/>
    <w:rsid w:val="472E597E"/>
    <w:rsid w:val="474A4B33"/>
    <w:rsid w:val="47665A15"/>
    <w:rsid w:val="47677941"/>
    <w:rsid w:val="477F1660"/>
    <w:rsid w:val="4788232A"/>
    <w:rsid w:val="478B0398"/>
    <w:rsid w:val="478F5D0B"/>
    <w:rsid w:val="479D5A47"/>
    <w:rsid w:val="47A10846"/>
    <w:rsid w:val="47A11E6C"/>
    <w:rsid w:val="47A31F5F"/>
    <w:rsid w:val="47A84BA6"/>
    <w:rsid w:val="47B52444"/>
    <w:rsid w:val="47B8724E"/>
    <w:rsid w:val="47BD6DA4"/>
    <w:rsid w:val="47BE4F54"/>
    <w:rsid w:val="47E509D3"/>
    <w:rsid w:val="47ED7BCA"/>
    <w:rsid w:val="47F46BC7"/>
    <w:rsid w:val="48016F34"/>
    <w:rsid w:val="480556DB"/>
    <w:rsid w:val="4814634D"/>
    <w:rsid w:val="48185C56"/>
    <w:rsid w:val="48254C34"/>
    <w:rsid w:val="48450F81"/>
    <w:rsid w:val="48455675"/>
    <w:rsid w:val="484E729D"/>
    <w:rsid w:val="48566773"/>
    <w:rsid w:val="485A23C2"/>
    <w:rsid w:val="48623B31"/>
    <w:rsid w:val="48691107"/>
    <w:rsid w:val="48895289"/>
    <w:rsid w:val="48A16B62"/>
    <w:rsid w:val="48AE0D54"/>
    <w:rsid w:val="48BB30A0"/>
    <w:rsid w:val="48BC6222"/>
    <w:rsid w:val="48C245E9"/>
    <w:rsid w:val="48DB312A"/>
    <w:rsid w:val="48DF49D9"/>
    <w:rsid w:val="492108CC"/>
    <w:rsid w:val="49413F52"/>
    <w:rsid w:val="494F6304"/>
    <w:rsid w:val="49792B95"/>
    <w:rsid w:val="49E113CD"/>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BF74ED8"/>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1F24C4"/>
    <w:rsid w:val="4E2423AC"/>
    <w:rsid w:val="4E261AA5"/>
    <w:rsid w:val="4E287F63"/>
    <w:rsid w:val="4E304B5D"/>
    <w:rsid w:val="4E3F66C2"/>
    <w:rsid w:val="4E611B8B"/>
    <w:rsid w:val="4E6279D7"/>
    <w:rsid w:val="4E682F8C"/>
    <w:rsid w:val="4E6A7BB7"/>
    <w:rsid w:val="4E6C5D89"/>
    <w:rsid w:val="4E9133C2"/>
    <w:rsid w:val="4E994025"/>
    <w:rsid w:val="4EB23220"/>
    <w:rsid w:val="4EE661F8"/>
    <w:rsid w:val="4EF27A04"/>
    <w:rsid w:val="4F0773B4"/>
    <w:rsid w:val="4F241019"/>
    <w:rsid w:val="4F307BB1"/>
    <w:rsid w:val="4F336227"/>
    <w:rsid w:val="4F3C3EF2"/>
    <w:rsid w:val="4F3D562D"/>
    <w:rsid w:val="4F5C4EE0"/>
    <w:rsid w:val="4F681AF1"/>
    <w:rsid w:val="4F6E1972"/>
    <w:rsid w:val="4F7F146C"/>
    <w:rsid w:val="4F943166"/>
    <w:rsid w:val="4F9C19A5"/>
    <w:rsid w:val="4FBA02A1"/>
    <w:rsid w:val="4FCC48AC"/>
    <w:rsid w:val="4FE7106E"/>
    <w:rsid w:val="4FF82FCD"/>
    <w:rsid w:val="50053943"/>
    <w:rsid w:val="50260569"/>
    <w:rsid w:val="50374A3C"/>
    <w:rsid w:val="50487AB0"/>
    <w:rsid w:val="50550E55"/>
    <w:rsid w:val="50901457"/>
    <w:rsid w:val="509F43E4"/>
    <w:rsid w:val="50A54D3E"/>
    <w:rsid w:val="50B82E88"/>
    <w:rsid w:val="50BB32A7"/>
    <w:rsid w:val="50C17863"/>
    <w:rsid w:val="50CC5CB2"/>
    <w:rsid w:val="50E01A29"/>
    <w:rsid w:val="50ED1473"/>
    <w:rsid w:val="50F1402B"/>
    <w:rsid w:val="50FD2AD9"/>
    <w:rsid w:val="51081E85"/>
    <w:rsid w:val="51097D9A"/>
    <w:rsid w:val="511A650F"/>
    <w:rsid w:val="51237D2E"/>
    <w:rsid w:val="514229EF"/>
    <w:rsid w:val="514F1FA1"/>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95634"/>
    <w:rsid w:val="536A5F90"/>
    <w:rsid w:val="537155BE"/>
    <w:rsid w:val="53757C6B"/>
    <w:rsid w:val="537E1075"/>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B514D"/>
    <w:rsid w:val="545E1D01"/>
    <w:rsid w:val="54674051"/>
    <w:rsid w:val="5472334E"/>
    <w:rsid w:val="54935B8F"/>
    <w:rsid w:val="549D3677"/>
    <w:rsid w:val="54B03E76"/>
    <w:rsid w:val="54BF230B"/>
    <w:rsid w:val="54CC6227"/>
    <w:rsid w:val="54D10F9B"/>
    <w:rsid w:val="54D97871"/>
    <w:rsid w:val="54DC4C6B"/>
    <w:rsid w:val="550B5550"/>
    <w:rsid w:val="551D586C"/>
    <w:rsid w:val="55200298"/>
    <w:rsid w:val="55335E1B"/>
    <w:rsid w:val="5536079B"/>
    <w:rsid w:val="554A7E31"/>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666B5B"/>
    <w:rsid w:val="56717635"/>
    <w:rsid w:val="56990B7C"/>
    <w:rsid w:val="569E1126"/>
    <w:rsid w:val="56A8690E"/>
    <w:rsid w:val="56B679AB"/>
    <w:rsid w:val="56B80DEB"/>
    <w:rsid w:val="56DF6C95"/>
    <w:rsid w:val="56E0560F"/>
    <w:rsid w:val="56E06E61"/>
    <w:rsid w:val="56EF3C74"/>
    <w:rsid w:val="56F653FE"/>
    <w:rsid w:val="57007337"/>
    <w:rsid w:val="574448FC"/>
    <w:rsid w:val="57561D39"/>
    <w:rsid w:val="575B7AFD"/>
    <w:rsid w:val="57660D3F"/>
    <w:rsid w:val="5785783C"/>
    <w:rsid w:val="578F06BB"/>
    <w:rsid w:val="57A469A0"/>
    <w:rsid w:val="57CC4BC2"/>
    <w:rsid w:val="57D10760"/>
    <w:rsid w:val="57D1153D"/>
    <w:rsid w:val="57D77297"/>
    <w:rsid w:val="57FA3774"/>
    <w:rsid w:val="58084A3C"/>
    <w:rsid w:val="581A4428"/>
    <w:rsid w:val="582772A7"/>
    <w:rsid w:val="5847689F"/>
    <w:rsid w:val="585243F3"/>
    <w:rsid w:val="58531B77"/>
    <w:rsid w:val="585D2975"/>
    <w:rsid w:val="585E3492"/>
    <w:rsid w:val="585F64F9"/>
    <w:rsid w:val="587E3341"/>
    <w:rsid w:val="587F428B"/>
    <w:rsid w:val="58843A9C"/>
    <w:rsid w:val="58A261C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11BE3"/>
    <w:rsid w:val="59670F51"/>
    <w:rsid w:val="596A44F9"/>
    <w:rsid w:val="596C19BB"/>
    <w:rsid w:val="59790BDB"/>
    <w:rsid w:val="597E3F42"/>
    <w:rsid w:val="598653AC"/>
    <w:rsid w:val="59AC3C86"/>
    <w:rsid w:val="59B817D3"/>
    <w:rsid w:val="59C11856"/>
    <w:rsid w:val="59C153AB"/>
    <w:rsid w:val="59D42FDA"/>
    <w:rsid w:val="59D6437F"/>
    <w:rsid w:val="59DA4E01"/>
    <w:rsid w:val="59F64E82"/>
    <w:rsid w:val="5A0A5DD6"/>
    <w:rsid w:val="5A10435C"/>
    <w:rsid w:val="5A2654CC"/>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3F714E"/>
    <w:rsid w:val="5B4405D1"/>
    <w:rsid w:val="5B461090"/>
    <w:rsid w:val="5B585171"/>
    <w:rsid w:val="5B585B78"/>
    <w:rsid w:val="5B6D62B9"/>
    <w:rsid w:val="5B746CFA"/>
    <w:rsid w:val="5B9A2B59"/>
    <w:rsid w:val="5BA652E6"/>
    <w:rsid w:val="5BC0085A"/>
    <w:rsid w:val="5BE03293"/>
    <w:rsid w:val="5BF03D58"/>
    <w:rsid w:val="5BF20AFB"/>
    <w:rsid w:val="5C1A6BB2"/>
    <w:rsid w:val="5C306D31"/>
    <w:rsid w:val="5C37233A"/>
    <w:rsid w:val="5C5355FE"/>
    <w:rsid w:val="5C5A49A5"/>
    <w:rsid w:val="5C6519EA"/>
    <w:rsid w:val="5C6715FE"/>
    <w:rsid w:val="5C6F4105"/>
    <w:rsid w:val="5CBB7F6F"/>
    <w:rsid w:val="5CC248CE"/>
    <w:rsid w:val="5CC826A5"/>
    <w:rsid w:val="5CF1327E"/>
    <w:rsid w:val="5D042FB1"/>
    <w:rsid w:val="5D1C479E"/>
    <w:rsid w:val="5D442CB4"/>
    <w:rsid w:val="5D7C3F11"/>
    <w:rsid w:val="5D9200D4"/>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8B00D8"/>
    <w:rsid w:val="5E9842F9"/>
    <w:rsid w:val="5E9D0E18"/>
    <w:rsid w:val="5EA26F25"/>
    <w:rsid w:val="5EA341D7"/>
    <w:rsid w:val="5EA755DE"/>
    <w:rsid w:val="5EAE7678"/>
    <w:rsid w:val="5ED35F0E"/>
    <w:rsid w:val="5EDF7832"/>
    <w:rsid w:val="5EEC01A1"/>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A90D68"/>
    <w:rsid w:val="61B43A15"/>
    <w:rsid w:val="61B57A78"/>
    <w:rsid w:val="61CB6119"/>
    <w:rsid w:val="61DA0425"/>
    <w:rsid w:val="62065A1D"/>
    <w:rsid w:val="6213792C"/>
    <w:rsid w:val="621775E2"/>
    <w:rsid w:val="621C0D9D"/>
    <w:rsid w:val="622F7552"/>
    <w:rsid w:val="623F14BB"/>
    <w:rsid w:val="6250406E"/>
    <w:rsid w:val="625F161B"/>
    <w:rsid w:val="6267666C"/>
    <w:rsid w:val="627D6831"/>
    <w:rsid w:val="62811B1C"/>
    <w:rsid w:val="62A20409"/>
    <w:rsid w:val="62AC0373"/>
    <w:rsid w:val="62B54B44"/>
    <w:rsid w:val="62E045DA"/>
    <w:rsid w:val="62E454A1"/>
    <w:rsid w:val="62E95123"/>
    <w:rsid w:val="62EF025F"/>
    <w:rsid w:val="62F36E4C"/>
    <w:rsid w:val="62F47F8F"/>
    <w:rsid w:val="62F7233F"/>
    <w:rsid w:val="631321A0"/>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AD4BBC"/>
    <w:rsid w:val="63B75221"/>
    <w:rsid w:val="63B82D47"/>
    <w:rsid w:val="63C74D38"/>
    <w:rsid w:val="63D7242F"/>
    <w:rsid w:val="63EA73A4"/>
    <w:rsid w:val="63EE4692"/>
    <w:rsid w:val="63FD622D"/>
    <w:rsid w:val="64177A6E"/>
    <w:rsid w:val="641B24FC"/>
    <w:rsid w:val="643F32F9"/>
    <w:rsid w:val="64582686"/>
    <w:rsid w:val="64673C87"/>
    <w:rsid w:val="64877733"/>
    <w:rsid w:val="64925346"/>
    <w:rsid w:val="64A170D2"/>
    <w:rsid w:val="64A251DD"/>
    <w:rsid w:val="64BC182A"/>
    <w:rsid w:val="650242F0"/>
    <w:rsid w:val="65365B2B"/>
    <w:rsid w:val="653F447E"/>
    <w:rsid w:val="65405B73"/>
    <w:rsid w:val="65542778"/>
    <w:rsid w:val="655829AF"/>
    <w:rsid w:val="655C4F9E"/>
    <w:rsid w:val="656B70C3"/>
    <w:rsid w:val="657038D9"/>
    <w:rsid w:val="65711400"/>
    <w:rsid w:val="658F4798"/>
    <w:rsid w:val="659B1EBA"/>
    <w:rsid w:val="65A11CE5"/>
    <w:rsid w:val="65A83379"/>
    <w:rsid w:val="65B461E9"/>
    <w:rsid w:val="65BE39A8"/>
    <w:rsid w:val="65C23A09"/>
    <w:rsid w:val="65FB3FBE"/>
    <w:rsid w:val="65FE2039"/>
    <w:rsid w:val="66101A71"/>
    <w:rsid w:val="66171FA7"/>
    <w:rsid w:val="66247D11"/>
    <w:rsid w:val="663B3EC9"/>
    <w:rsid w:val="665A1E94"/>
    <w:rsid w:val="66736112"/>
    <w:rsid w:val="667F5B5B"/>
    <w:rsid w:val="6694262A"/>
    <w:rsid w:val="66990381"/>
    <w:rsid w:val="66B31B01"/>
    <w:rsid w:val="66C51A03"/>
    <w:rsid w:val="66CE1E80"/>
    <w:rsid w:val="66E362F9"/>
    <w:rsid w:val="66E47FD9"/>
    <w:rsid w:val="66E520A5"/>
    <w:rsid w:val="66E55C01"/>
    <w:rsid w:val="66F04175"/>
    <w:rsid w:val="66F127F8"/>
    <w:rsid w:val="67071922"/>
    <w:rsid w:val="673B73C0"/>
    <w:rsid w:val="674743C8"/>
    <w:rsid w:val="675608B6"/>
    <w:rsid w:val="67754402"/>
    <w:rsid w:val="677D54ED"/>
    <w:rsid w:val="678B726C"/>
    <w:rsid w:val="67B25E27"/>
    <w:rsid w:val="67B4646D"/>
    <w:rsid w:val="67B464CA"/>
    <w:rsid w:val="67C021CA"/>
    <w:rsid w:val="67C4383B"/>
    <w:rsid w:val="67D35E1A"/>
    <w:rsid w:val="67D839B8"/>
    <w:rsid w:val="67F2122F"/>
    <w:rsid w:val="67F35317"/>
    <w:rsid w:val="67F73E3E"/>
    <w:rsid w:val="68016A6B"/>
    <w:rsid w:val="680201B7"/>
    <w:rsid w:val="68040309"/>
    <w:rsid w:val="68060525"/>
    <w:rsid w:val="68362BFB"/>
    <w:rsid w:val="683D085A"/>
    <w:rsid w:val="683F1130"/>
    <w:rsid w:val="684456A1"/>
    <w:rsid w:val="684C2838"/>
    <w:rsid w:val="685E1363"/>
    <w:rsid w:val="68667859"/>
    <w:rsid w:val="687731D1"/>
    <w:rsid w:val="6878475E"/>
    <w:rsid w:val="688B4E68"/>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5C0459"/>
    <w:rsid w:val="696C3D80"/>
    <w:rsid w:val="696D7E94"/>
    <w:rsid w:val="698A5EE4"/>
    <w:rsid w:val="69B144C0"/>
    <w:rsid w:val="69BB6FEF"/>
    <w:rsid w:val="69C811ED"/>
    <w:rsid w:val="69D33070"/>
    <w:rsid w:val="69E97E75"/>
    <w:rsid w:val="69FB5D9E"/>
    <w:rsid w:val="69FF6FDA"/>
    <w:rsid w:val="6A09542B"/>
    <w:rsid w:val="6A1A3007"/>
    <w:rsid w:val="6A1E645E"/>
    <w:rsid w:val="6A3C6480"/>
    <w:rsid w:val="6A417049"/>
    <w:rsid w:val="6A576E16"/>
    <w:rsid w:val="6A7639E9"/>
    <w:rsid w:val="6A7903E5"/>
    <w:rsid w:val="6A8219B9"/>
    <w:rsid w:val="6A8641F2"/>
    <w:rsid w:val="6A9701A5"/>
    <w:rsid w:val="6AA03032"/>
    <w:rsid w:val="6AA86FEC"/>
    <w:rsid w:val="6ACB20F7"/>
    <w:rsid w:val="6ADA6AC4"/>
    <w:rsid w:val="6ADB11D6"/>
    <w:rsid w:val="6AFE2664"/>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F6F7D"/>
    <w:rsid w:val="6D480984"/>
    <w:rsid w:val="6D8079F9"/>
    <w:rsid w:val="6DB13E57"/>
    <w:rsid w:val="6DC245A2"/>
    <w:rsid w:val="6DC5053A"/>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03395"/>
    <w:rsid w:val="6EF773A4"/>
    <w:rsid w:val="6F174DC6"/>
    <w:rsid w:val="6F1E2E65"/>
    <w:rsid w:val="6F2F2D9E"/>
    <w:rsid w:val="6F4147D9"/>
    <w:rsid w:val="6F581F47"/>
    <w:rsid w:val="6F5B0D5A"/>
    <w:rsid w:val="6F5C35EA"/>
    <w:rsid w:val="6F63625D"/>
    <w:rsid w:val="6F6B6A15"/>
    <w:rsid w:val="6F6D2C38"/>
    <w:rsid w:val="6F947E4B"/>
    <w:rsid w:val="6FA30BDA"/>
    <w:rsid w:val="6FAF2F35"/>
    <w:rsid w:val="6FB21D4C"/>
    <w:rsid w:val="6FB80698"/>
    <w:rsid w:val="6FFD5E0F"/>
    <w:rsid w:val="701021F4"/>
    <w:rsid w:val="701C29A6"/>
    <w:rsid w:val="7024611F"/>
    <w:rsid w:val="7038498C"/>
    <w:rsid w:val="704347D3"/>
    <w:rsid w:val="70637B96"/>
    <w:rsid w:val="70716936"/>
    <w:rsid w:val="70797317"/>
    <w:rsid w:val="707E201F"/>
    <w:rsid w:val="707F0E75"/>
    <w:rsid w:val="7099044B"/>
    <w:rsid w:val="709A06E1"/>
    <w:rsid w:val="709D518F"/>
    <w:rsid w:val="70B754F7"/>
    <w:rsid w:val="70B76860"/>
    <w:rsid w:val="70C759D3"/>
    <w:rsid w:val="70CD7E32"/>
    <w:rsid w:val="70CF2B23"/>
    <w:rsid w:val="70D70CB1"/>
    <w:rsid w:val="70D80585"/>
    <w:rsid w:val="70FA674D"/>
    <w:rsid w:val="710952C1"/>
    <w:rsid w:val="713954C7"/>
    <w:rsid w:val="713F70AB"/>
    <w:rsid w:val="71452CD8"/>
    <w:rsid w:val="714A6892"/>
    <w:rsid w:val="71583F2D"/>
    <w:rsid w:val="7158683A"/>
    <w:rsid w:val="715B2F52"/>
    <w:rsid w:val="7167680B"/>
    <w:rsid w:val="71764F23"/>
    <w:rsid w:val="717F0929"/>
    <w:rsid w:val="71881188"/>
    <w:rsid w:val="71946576"/>
    <w:rsid w:val="71967E84"/>
    <w:rsid w:val="7197629F"/>
    <w:rsid w:val="71A61873"/>
    <w:rsid w:val="71AF4936"/>
    <w:rsid w:val="71B12351"/>
    <w:rsid w:val="71BB4E1E"/>
    <w:rsid w:val="71D07496"/>
    <w:rsid w:val="71D75D0F"/>
    <w:rsid w:val="71F437A4"/>
    <w:rsid w:val="72127AC6"/>
    <w:rsid w:val="721623E7"/>
    <w:rsid w:val="721919B3"/>
    <w:rsid w:val="721A6098"/>
    <w:rsid w:val="721D18D3"/>
    <w:rsid w:val="722851A2"/>
    <w:rsid w:val="72310D1A"/>
    <w:rsid w:val="725D6B54"/>
    <w:rsid w:val="72676064"/>
    <w:rsid w:val="72986FA0"/>
    <w:rsid w:val="72A17C99"/>
    <w:rsid w:val="72A2709C"/>
    <w:rsid w:val="72A5093A"/>
    <w:rsid w:val="72AD7197"/>
    <w:rsid w:val="72AF6F7E"/>
    <w:rsid w:val="72BD2C86"/>
    <w:rsid w:val="72CD226C"/>
    <w:rsid w:val="72D27981"/>
    <w:rsid w:val="72E01973"/>
    <w:rsid w:val="73047407"/>
    <w:rsid w:val="73047904"/>
    <w:rsid w:val="731A4E85"/>
    <w:rsid w:val="73253EFA"/>
    <w:rsid w:val="73353A6C"/>
    <w:rsid w:val="734C1A6A"/>
    <w:rsid w:val="73542C4E"/>
    <w:rsid w:val="735663B7"/>
    <w:rsid w:val="735C5949"/>
    <w:rsid w:val="73671287"/>
    <w:rsid w:val="73737DA5"/>
    <w:rsid w:val="73740A39"/>
    <w:rsid w:val="73783823"/>
    <w:rsid w:val="73887B3E"/>
    <w:rsid w:val="73892412"/>
    <w:rsid w:val="73AF2114"/>
    <w:rsid w:val="73AF381F"/>
    <w:rsid w:val="73E96BCA"/>
    <w:rsid w:val="73EE4A6E"/>
    <w:rsid w:val="741048BC"/>
    <w:rsid w:val="742E78D4"/>
    <w:rsid w:val="74317498"/>
    <w:rsid w:val="74335A84"/>
    <w:rsid w:val="743A6A13"/>
    <w:rsid w:val="745C79EC"/>
    <w:rsid w:val="74676A28"/>
    <w:rsid w:val="747131CA"/>
    <w:rsid w:val="747E40B6"/>
    <w:rsid w:val="74AA2238"/>
    <w:rsid w:val="74AC3224"/>
    <w:rsid w:val="74B21065"/>
    <w:rsid w:val="74BB2C83"/>
    <w:rsid w:val="74C33758"/>
    <w:rsid w:val="74D476FB"/>
    <w:rsid w:val="74D72451"/>
    <w:rsid w:val="74DE4E5F"/>
    <w:rsid w:val="74E60D00"/>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34F63"/>
    <w:rsid w:val="75907680"/>
    <w:rsid w:val="75916599"/>
    <w:rsid w:val="759926FC"/>
    <w:rsid w:val="75A153E9"/>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6FF4ABD"/>
    <w:rsid w:val="77076007"/>
    <w:rsid w:val="771A36A5"/>
    <w:rsid w:val="772861B3"/>
    <w:rsid w:val="77413F7E"/>
    <w:rsid w:val="77464076"/>
    <w:rsid w:val="7758241F"/>
    <w:rsid w:val="776E4B73"/>
    <w:rsid w:val="777A7D22"/>
    <w:rsid w:val="777E28EC"/>
    <w:rsid w:val="77835654"/>
    <w:rsid w:val="7797109C"/>
    <w:rsid w:val="779A2A38"/>
    <w:rsid w:val="77B4450A"/>
    <w:rsid w:val="77B46E73"/>
    <w:rsid w:val="77E37A12"/>
    <w:rsid w:val="77F42148"/>
    <w:rsid w:val="77FE3468"/>
    <w:rsid w:val="781C392B"/>
    <w:rsid w:val="78250553"/>
    <w:rsid w:val="78257099"/>
    <w:rsid w:val="782A5B6A"/>
    <w:rsid w:val="783B17B1"/>
    <w:rsid w:val="784E2046"/>
    <w:rsid w:val="78546F0C"/>
    <w:rsid w:val="786778FE"/>
    <w:rsid w:val="789D588A"/>
    <w:rsid w:val="78B65E3A"/>
    <w:rsid w:val="78E0091E"/>
    <w:rsid w:val="78EE1C79"/>
    <w:rsid w:val="78F85605"/>
    <w:rsid w:val="78FA66FA"/>
    <w:rsid w:val="79345B6A"/>
    <w:rsid w:val="79424F6E"/>
    <w:rsid w:val="795A0050"/>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9B12DC"/>
    <w:rsid w:val="7AA2343E"/>
    <w:rsid w:val="7AD60EB8"/>
    <w:rsid w:val="7ADA73A4"/>
    <w:rsid w:val="7AE66B99"/>
    <w:rsid w:val="7AF34646"/>
    <w:rsid w:val="7AFE508C"/>
    <w:rsid w:val="7B0A3BCA"/>
    <w:rsid w:val="7B0E7241"/>
    <w:rsid w:val="7B165B37"/>
    <w:rsid w:val="7B1C0EF4"/>
    <w:rsid w:val="7B212805"/>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91F3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818C9"/>
    <w:rsid w:val="7D1E1A15"/>
    <w:rsid w:val="7D1F6674"/>
    <w:rsid w:val="7D475E29"/>
    <w:rsid w:val="7D480B34"/>
    <w:rsid w:val="7D777A3E"/>
    <w:rsid w:val="7D9005BC"/>
    <w:rsid w:val="7D9F0AD0"/>
    <w:rsid w:val="7DB22BDF"/>
    <w:rsid w:val="7DD12BB7"/>
    <w:rsid w:val="7DF223A2"/>
    <w:rsid w:val="7DFF0955"/>
    <w:rsid w:val="7E055DED"/>
    <w:rsid w:val="7E0B750E"/>
    <w:rsid w:val="7E1939E8"/>
    <w:rsid w:val="7E2400E7"/>
    <w:rsid w:val="7E2822EA"/>
    <w:rsid w:val="7E2A20CE"/>
    <w:rsid w:val="7E355A7B"/>
    <w:rsid w:val="7E455322"/>
    <w:rsid w:val="7E527BC8"/>
    <w:rsid w:val="7E682F48"/>
    <w:rsid w:val="7E6E3E85"/>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after="290" w:line="372" w:lineRule="auto"/>
      <w:outlineLvl w:val="4"/>
    </w:pPr>
    <w:rPr>
      <w:b/>
      <w:sz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link w:val="97"/>
    <w:autoRedefine/>
    <w:qFormat/>
    <w:uiPriority w:val="99"/>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字符"/>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字符"/>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cs="宋体"/>
      <w:sz w:val="45"/>
      <w:szCs w:val="45"/>
      <w:lang w:eastAsia="en-US"/>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character" w:customStyle="1" w:styleId="97">
    <w:name w:val="正文文本缩进 2 字符"/>
    <w:basedOn w:val="36"/>
    <w:link w:val="22"/>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34</Pages>
  <Words>16373</Words>
  <Characters>17164</Characters>
  <Lines>193</Lines>
  <Paragraphs>54</Paragraphs>
  <TotalTime>0</TotalTime>
  <ScaleCrop>false</ScaleCrop>
  <LinksUpToDate>false</LinksUpToDate>
  <CharactersWithSpaces>18214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2025-11-10T07:15:55Z</dcterms:modified>
  <dc:title>驻马店市政府采购货物项目</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1B5F8C836E9446E7B006BEDFBE8DAFC0_13</vt:lpwstr>
  </property>
  <property fmtid="{D5CDD505-2E9C-101B-9397-08002B2CF9AE}" pid="4" name="KSOTemplateDocerSaveRecord">
    <vt:lpwstr>eyJoZGlkIjoiYzIwMjRmYTY4OTJhZjc1NTA1MGQwNDc0NzZhNTkwMmUiLCJ1c2VySWQiOiIxNjg0NTc5MjM2In0=</vt:lpwstr>
  </property>
</Properties>
</file>