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102715AE">
      <w:pPr>
        <w:pStyle w:val="20"/>
        <w:bidi w:val="0"/>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驻马店市中心医院无创呼吸机、科研级正置光学显微镜医疗设备采购项目</w:t>
      </w:r>
    </w:p>
    <w:p w14:paraId="614B8527">
      <w:pPr>
        <w:pStyle w:val="20"/>
        <w:bidi w:val="0"/>
        <w:jc w:val="center"/>
        <w:rPr>
          <w:rFonts w:hint="eastAsia" w:ascii="宋体" w:hAnsi="宋体" w:eastAsia="宋体" w:cs="宋体"/>
          <w:b/>
          <w:bCs/>
          <w:color w:val="auto"/>
          <w:sz w:val="44"/>
          <w:szCs w:val="44"/>
          <w:highlight w:val="none"/>
          <w:lang w:val="en-US" w:eastAsia="zh-CN"/>
        </w:rPr>
      </w:pPr>
    </w:p>
    <w:p w14:paraId="156EDF7B">
      <w:pPr>
        <w:pStyle w:val="20"/>
        <w:bidi w:val="0"/>
        <w:jc w:val="both"/>
        <w:rPr>
          <w:rFonts w:hint="eastAsia" w:ascii="宋体" w:hAnsi="宋体" w:eastAsia="宋体"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both"/>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河南博库工程咨询有限公司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05" w:h="16838"/>
          <w:pgMar w:top="1417" w:right="1417" w:bottom="1417" w:left="1417" w:header="850" w:footer="624" w:gutter="0"/>
          <w:pgNumType w:fmt="decimal" w:start="1"/>
          <w:cols w:space="0" w:num="1"/>
          <w:rtlGutter w:val="0"/>
          <w:docGrid w:type="lines" w:linePitch="326"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5" w:h="16838"/>
          <w:pgMar w:top="1417" w:right="1417" w:bottom="1417" w:left="1417" w:header="850" w:footer="624" w:gutter="0"/>
          <w:pgNumType w:fmt="decimal" w:start="1"/>
          <w:cols w:space="0" w:num="1"/>
          <w:rtlGutter w:val="0"/>
          <w:docGrid w:type="lines" w:linePitch="326"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驻马店市中心医院无创呼吸机、科研级正置光学显微镜医疗设备采购项目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驻马店市中心医院无创呼吸机、科研级正置光学显微镜医疗设备采购项目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驻马店市中心医院无创呼吸机、科研级正置光学显微镜医疗设备采购项目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35274D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、预算金额：31.2万元</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最高限价31.2万元。其中：</w:t>
      </w:r>
    </w:p>
    <w:tbl>
      <w:tblPr>
        <w:tblStyle w:val="35"/>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2375"/>
        <w:gridCol w:w="1438"/>
        <w:gridCol w:w="2125"/>
        <w:gridCol w:w="2280"/>
      </w:tblGrid>
      <w:tr w14:paraId="13B0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vAlign w:val="center"/>
          </w:tcPr>
          <w:p w14:paraId="2674B32C">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包号</w:t>
            </w:r>
          </w:p>
        </w:tc>
        <w:tc>
          <w:tcPr>
            <w:tcW w:w="2375" w:type="dxa"/>
            <w:vAlign w:val="center"/>
          </w:tcPr>
          <w:p w14:paraId="55881B5F">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包名称</w:t>
            </w:r>
          </w:p>
        </w:tc>
        <w:tc>
          <w:tcPr>
            <w:tcW w:w="1438" w:type="dxa"/>
            <w:vAlign w:val="center"/>
          </w:tcPr>
          <w:p w14:paraId="62173354">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数量及单位</w:t>
            </w:r>
          </w:p>
        </w:tc>
        <w:tc>
          <w:tcPr>
            <w:tcW w:w="2125" w:type="dxa"/>
            <w:vAlign w:val="center"/>
          </w:tcPr>
          <w:p w14:paraId="330DD75D">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包预算金额</w:t>
            </w:r>
            <w:r>
              <w:rPr>
                <w:rFonts w:hint="eastAsia" w:ascii="宋体" w:hAnsi="宋体" w:cs="宋体"/>
                <w:color w:val="auto"/>
                <w:szCs w:val="21"/>
                <w:highlight w:val="none"/>
                <w:shd w:val="clear" w:color="auto" w:fill="FFFFFF"/>
                <w:lang w:val="en-US" w:eastAsia="zh-CN"/>
              </w:rPr>
              <w:t>（万元）</w:t>
            </w:r>
          </w:p>
        </w:tc>
        <w:tc>
          <w:tcPr>
            <w:tcW w:w="2280" w:type="dxa"/>
            <w:vAlign w:val="center"/>
          </w:tcPr>
          <w:p w14:paraId="035FE49D">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包最高限价</w:t>
            </w:r>
            <w:r>
              <w:rPr>
                <w:rFonts w:hint="eastAsia" w:ascii="宋体" w:hAnsi="宋体" w:cs="宋体"/>
                <w:color w:val="auto"/>
                <w:szCs w:val="21"/>
                <w:highlight w:val="none"/>
                <w:shd w:val="clear" w:color="auto" w:fill="FFFFFF"/>
                <w:lang w:val="en-US" w:eastAsia="zh-CN"/>
              </w:rPr>
              <w:t>（万元）</w:t>
            </w:r>
          </w:p>
        </w:tc>
      </w:tr>
      <w:tr w14:paraId="2B22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vAlign w:val="center"/>
          </w:tcPr>
          <w:p w14:paraId="7CE9DA74">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包1</w:t>
            </w:r>
          </w:p>
        </w:tc>
        <w:tc>
          <w:tcPr>
            <w:tcW w:w="2375" w:type="dxa"/>
            <w:vAlign w:val="center"/>
          </w:tcPr>
          <w:p w14:paraId="619E1FD3">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无创呼吸机</w:t>
            </w:r>
          </w:p>
        </w:tc>
        <w:tc>
          <w:tcPr>
            <w:tcW w:w="1438" w:type="dxa"/>
            <w:vAlign w:val="center"/>
          </w:tcPr>
          <w:p w14:paraId="0FEE168C">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4台</w:t>
            </w:r>
          </w:p>
        </w:tc>
        <w:tc>
          <w:tcPr>
            <w:tcW w:w="2125" w:type="dxa"/>
            <w:vAlign w:val="center"/>
          </w:tcPr>
          <w:p w14:paraId="50663378">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21.2</w:t>
            </w:r>
          </w:p>
        </w:tc>
        <w:tc>
          <w:tcPr>
            <w:tcW w:w="2280" w:type="dxa"/>
            <w:vAlign w:val="center"/>
          </w:tcPr>
          <w:p w14:paraId="6D5CA2B5">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21.2</w:t>
            </w:r>
          </w:p>
        </w:tc>
      </w:tr>
      <w:tr w14:paraId="43E6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6" w:type="dxa"/>
            <w:vAlign w:val="center"/>
          </w:tcPr>
          <w:p w14:paraId="1DBF78F5">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包2</w:t>
            </w:r>
          </w:p>
        </w:tc>
        <w:tc>
          <w:tcPr>
            <w:tcW w:w="2375" w:type="dxa"/>
            <w:vAlign w:val="center"/>
          </w:tcPr>
          <w:p w14:paraId="5D72C2CA">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default" w:ascii="宋体" w:hAnsi="宋体" w:eastAsia="宋体" w:cs="宋体"/>
                <w:color w:val="auto"/>
                <w:szCs w:val="21"/>
                <w:highlight w:val="none"/>
                <w:shd w:val="clear" w:color="auto" w:fill="FFFFFF"/>
                <w:lang w:val="en-US" w:eastAsia="zh-CN"/>
              </w:rPr>
              <w:t>科研级正置光学显微镜</w:t>
            </w:r>
          </w:p>
        </w:tc>
        <w:tc>
          <w:tcPr>
            <w:tcW w:w="1438" w:type="dxa"/>
            <w:vAlign w:val="center"/>
          </w:tcPr>
          <w:p w14:paraId="18A4AD7F">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2台</w:t>
            </w:r>
          </w:p>
        </w:tc>
        <w:tc>
          <w:tcPr>
            <w:tcW w:w="2125" w:type="dxa"/>
            <w:vAlign w:val="center"/>
          </w:tcPr>
          <w:p w14:paraId="120541E4">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10</w:t>
            </w:r>
          </w:p>
        </w:tc>
        <w:tc>
          <w:tcPr>
            <w:tcW w:w="2280" w:type="dxa"/>
            <w:vAlign w:val="center"/>
          </w:tcPr>
          <w:p w14:paraId="204CAB3F">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10</w:t>
            </w:r>
          </w:p>
        </w:tc>
      </w:tr>
    </w:tbl>
    <w:p w14:paraId="68B9D611">
      <w:pPr>
        <w:keepNext w:val="0"/>
        <w:keepLines w:val="0"/>
        <w:pageBreakBefore w:val="0"/>
        <w:widowControl/>
        <w:tabs>
          <w:tab w:val="left" w:pos="840"/>
        </w:tabs>
        <w:kinsoku/>
        <w:wordWrap/>
        <w:overflowPunct/>
        <w:topLinePunct w:val="0"/>
        <w:autoSpaceDE/>
        <w:autoSpaceDN/>
        <w:bidi w:val="0"/>
        <w:adjustRightInd/>
        <w:snapToGrid w:val="0"/>
        <w:spacing w:before="161" w:beforeLines="50"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8607"/>
      <w:bookmarkStart w:id="6" w:name="_Toc16639"/>
      <w:bookmarkStart w:id="7" w:name="_Toc23626"/>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971"/>
      <w:bookmarkStart w:id="9" w:name="_Toc23395"/>
      <w:bookmarkStart w:id="10" w:name="_Toc30643"/>
      <w:bookmarkStart w:id="11" w:name="_Toc9562"/>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08BDA34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green"/>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医疗器械注册人、备案人经营其注册备案的医疗器械，无需办理医疗器械经营许可或者备案</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但应当符合医疗器械监督管理条例规定的经营条件。（投标产品不属于医疗器械的，投标人可不提供）</w:t>
      </w:r>
    </w:p>
    <w:p w14:paraId="523822FE">
      <w:pPr>
        <w:keepNext w:val="0"/>
        <w:keepLines w:val="0"/>
        <w:pageBreakBefore w:val="0"/>
        <w:widowControl/>
        <w:numPr>
          <w:ilvl w:val="0"/>
          <w:numId w:val="1"/>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22</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下午17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w:t>
      </w:r>
      <w:bookmarkStart w:id="101" w:name="_GoBack"/>
      <w:bookmarkEnd w:id="101"/>
      <w:r>
        <w:rPr>
          <w:rFonts w:hint="eastAsia" w:ascii="宋体" w:hAnsi="宋体" w:eastAsia="宋体" w:cs="宋体"/>
          <w:color w:val="auto"/>
          <w:kern w:val="0"/>
          <w:sz w:val="21"/>
          <w:szCs w:val="21"/>
          <w:highlight w:val="none"/>
          <w:shd w:val="clear" w:color="auto" w:fill="FFFFFF"/>
          <w:lang w:val="en-US" w:eastAsia="zh-CN" w:bidi="ar-SA"/>
        </w:rPr>
        <w:t>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752667438</w:t>
      </w:r>
      <w:r>
        <w:rPr>
          <w:rFonts w:hint="eastAsia" w:ascii="宋体" w:hAnsi="宋体" w:eastAsia="宋体" w:cs="宋体"/>
          <w:color w:val="auto"/>
          <w:kern w:val="0"/>
          <w:sz w:val="21"/>
          <w:szCs w:val="21"/>
          <w:highlight w:val="none"/>
          <w:shd w:val="clear" w:color="auto" w:fill="FFFFFF"/>
          <w:lang w:val="en-US" w:eastAsia="zh-CN" w:bidi="ar-SA"/>
        </w:rPr>
        <w:t>@qq.com,并标明XX公司XX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27480"/>
      <w:bookmarkStart w:id="15" w:name="_Toc15111"/>
      <w:bookmarkStart w:id="16" w:name="_Toc10738"/>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20287"/>
      <w:bookmarkStart w:id="20" w:name="_Toc6523"/>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27370"/>
      <w:bookmarkStart w:id="26" w:name="_Toc24274"/>
      <w:bookmarkStart w:id="27" w:name="_Toc31928"/>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采购代理机构：河南博库工程咨询有限公司</w:t>
      </w:r>
    </w:p>
    <w:p w14:paraId="5DA617E2">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地址：驻马店市文明路中段东高国际花园小区7号楼1单元903室</w:t>
      </w:r>
    </w:p>
    <w:p w14:paraId="0AC84B0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联系人：徐经理</w:t>
      </w:r>
    </w:p>
    <w:p w14:paraId="1B04693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联系方式：18538186058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19</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驻马店市中心医院无创呼吸机、科研级正置光学显微镜医疗设备采购项目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758"/>
        <w:gridCol w:w="2371"/>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lang w:val="en-US" w:eastAsia="zh-CN"/>
              </w:rPr>
              <w:t>包号</w:t>
            </w:r>
          </w:p>
        </w:tc>
        <w:tc>
          <w:tcPr>
            <w:tcW w:w="758"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rPr>
              <w:t>序号</w:t>
            </w:r>
          </w:p>
        </w:tc>
        <w:tc>
          <w:tcPr>
            <w:tcW w:w="2371" w:type="dxa"/>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rPr>
              <w:t>标的名称</w:t>
            </w:r>
          </w:p>
        </w:tc>
        <w:tc>
          <w:tcPr>
            <w:tcW w:w="850"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lang w:val="en-US" w:eastAsia="zh-CN"/>
              </w:rPr>
              <w:t>单位</w:t>
            </w:r>
          </w:p>
        </w:tc>
        <w:tc>
          <w:tcPr>
            <w:tcW w:w="967"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rPr>
              <w:t>数量</w:t>
            </w:r>
          </w:p>
        </w:tc>
        <w:tc>
          <w:tcPr>
            <w:tcW w:w="1384" w:type="dxa"/>
            <w:vAlign w:val="center"/>
          </w:tcPr>
          <w:p w14:paraId="665A7C5C">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资金</w:t>
            </w:r>
          </w:p>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rPr>
              <w:t>预算</w:t>
            </w:r>
          </w:p>
        </w:tc>
        <w:tc>
          <w:tcPr>
            <w:tcW w:w="1110" w:type="dxa"/>
            <w:vAlign w:val="center"/>
          </w:tcPr>
          <w:p w14:paraId="0C32BA6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资金</w:t>
            </w:r>
          </w:p>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lang w:val="en-US" w:eastAsia="zh-CN"/>
              </w:rPr>
              <w:t>性质</w:t>
            </w:r>
          </w:p>
        </w:tc>
        <w:tc>
          <w:tcPr>
            <w:tcW w:w="1245" w:type="dxa"/>
            <w:vAlign w:val="center"/>
          </w:tcPr>
          <w:p w14:paraId="0D5173FD">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国产/</w:t>
            </w:r>
          </w:p>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00" w:type="dxa"/>
            <w:vAlign w:val="center"/>
          </w:tcPr>
          <w:p w14:paraId="3FA5EC0F">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包1</w:t>
            </w:r>
          </w:p>
        </w:tc>
        <w:tc>
          <w:tcPr>
            <w:tcW w:w="758" w:type="dxa"/>
            <w:shd w:val="clear" w:color="auto" w:fill="auto"/>
            <w:vAlign w:val="center"/>
          </w:tcPr>
          <w:p w14:paraId="7E2267B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1</w:t>
            </w:r>
          </w:p>
        </w:tc>
        <w:tc>
          <w:tcPr>
            <w:tcW w:w="2371" w:type="dxa"/>
            <w:shd w:val="clear" w:color="auto" w:fill="auto"/>
            <w:vAlign w:val="center"/>
          </w:tcPr>
          <w:p w14:paraId="32751584">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无创呼吸机</w:t>
            </w:r>
          </w:p>
        </w:tc>
        <w:tc>
          <w:tcPr>
            <w:tcW w:w="850" w:type="dxa"/>
            <w:shd w:val="clear" w:color="auto" w:fill="auto"/>
            <w:vAlign w:val="center"/>
          </w:tcPr>
          <w:p w14:paraId="2D610A1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台</w:t>
            </w:r>
          </w:p>
        </w:tc>
        <w:tc>
          <w:tcPr>
            <w:tcW w:w="967" w:type="dxa"/>
            <w:shd w:val="clear" w:color="auto" w:fill="auto"/>
            <w:vAlign w:val="center"/>
          </w:tcPr>
          <w:p w14:paraId="6E5A7B3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4</w:t>
            </w:r>
          </w:p>
        </w:tc>
        <w:tc>
          <w:tcPr>
            <w:tcW w:w="1384" w:type="dxa"/>
            <w:shd w:val="clear" w:color="auto" w:fill="auto"/>
            <w:vAlign w:val="center"/>
          </w:tcPr>
          <w:p w14:paraId="3326862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21.2万元</w:t>
            </w:r>
          </w:p>
        </w:tc>
        <w:tc>
          <w:tcPr>
            <w:tcW w:w="1110" w:type="dxa"/>
            <w:shd w:val="clear" w:color="auto" w:fill="auto"/>
            <w:vAlign w:val="center"/>
          </w:tcPr>
          <w:p w14:paraId="18BFE3E9">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自筹</w:t>
            </w:r>
          </w:p>
        </w:tc>
        <w:tc>
          <w:tcPr>
            <w:tcW w:w="1245" w:type="dxa"/>
            <w:shd w:val="clear" w:color="auto" w:fill="auto"/>
            <w:vAlign w:val="center"/>
          </w:tcPr>
          <w:p w14:paraId="1F5FAC60">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国产</w:t>
            </w:r>
          </w:p>
        </w:tc>
      </w:tr>
      <w:tr w14:paraId="53D7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00" w:type="dxa"/>
            <w:vAlign w:val="center"/>
          </w:tcPr>
          <w:p w14:paraId="22101D29">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包2</w:t>
            </w:r>
          </w:p>
        </w:tc>
        <w:tc>
          <w:tcPr>
            <w:tcW w:w="758" w:type="dxa"/>
            <w:shd w:val="clear" w:color="auto" w:fill="auto"/>
            <w:vAlign w:val="center"/>
          </w:tcPr>
          <w:p w14:paraId="1B2AE1C1">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2</w:t>
            </w:r>
          </w:p>
        </w:tc>
        <w:tc>
          <w:tcPr>
            <w:tcW w:w="2371" w:type="dxa"/>
            <w:shd w:val="clear" w:color="auto" w:fill="auto"/>
            <w:vAlign w:val="center"/>
          </w:tcPr>
          <w:p w14:paraId="259707D3">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科研级正置光学显微镜</w:t>
            </w:r>
          </w:p>
        </w:tc>
        <w:tc>
          <w:tcPr>
            <w:tcW w:w="850" w:type="dxa"/>
            <w:shd w:val="clear" w:color="auto" w:fill="auto"/>
            <w:vAlign w:val="center"/>
          </w:tcPr>
          <w:p w14:paraId="361C95B0">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台</w:t>
            </w:r>
          </w:p>
        </w:tc>
        <w:tc>
          <w:tcPr>
            <w:tcW w:w="967" w:type="dxa"/>
            <w:shd w:val="clear" w:color="auto" w:fill="auto"/>
            <w:vAlign w:val="center"/>
          </w:tcPr>
          <w:p w14:paraId="077091C1">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2</w:t>
            </w:r>
          </w:p>
        </w:tc>
        <w:tc>
          <w:tcPr>
            <w:tcW w:w="1384" w:type="dxa"/>
            <w:shd w:val="clear" w:color="auto" w:fill="auto"/>
            <w:vAlign w:val="center"/>
          </w:tcPr>
          <w:p w14:paraId="21D86C63">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10万元</w:t>
            </w:r>
          </w:p>
        </w:tc>
        <w:tc>
          <w:tcPr>
            <w:tcW w:w="1110" w:type="dxa"/>
            <w:shd w:val="clear" w:color="auto" w:fill="auto"/>
            <w:vAlign w:val="center"/>
          </w:tcPr>
          <w:p w14:paraId="7029BF6D">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自筹</w:t>
            </w:r>
          </w:p>
        </w:tc>
        <w:tc>
          <w:tcPr>
            <w:tcW w:w="1245" w:type="dxa"/>
            <w:shd w:val="clear" w:color="auto" w:fill="auto"/>
            <w:vAlign w:val="center"/>
          </w:tcPr>
          <w:p w14:paraId="52DE73EC">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国产</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927"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473A5838">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2"/>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4E447255">
      <w:pPr>
        <w:keepNext w:val="0"/>
        <w:keepLines w:val="0"/>
        <w:pageBreakBefore w:val="0"/>
        <w:widowControl w:val="0"/>
        <w:kinsoku/>
        <w:wordWrap/>
        <w:overflowPunct/>
        <w:topLinePunct w:val="0"/>
        <w:autoSpaceDE/>
        <w:autoSpaceDN/>
        <w:bidi w:val="0"/>
        <w:adjustRightInd/>
        <w:snapToGrid/>
        <w:spacing w:before="161" w:beforeLines="50" w:after="161" w:afterLines="50" w:line="360" w:lineRule="auto"/>
        <w:jc w:val="center"/>
        <w:textAlignment w:val="auto"/>
        <w:rPr>
          <w:rFonts w:hint="eastAsia"/>
          <w:b/>
          <w:bCs/>
          <w:i w:val="0"/>
          <w:iCs w:val="0"/>
          <w:lang w:val="en-US" w:eastAsia="zh-CN"/>
        </w:rPr>
      </w:pPr>
      <w:r>
        <w:rPr>
          <w:rFonts w:hint="eastAsia"/>
          <w:b/>
          <w:bCs/>
          <w:i w:val="0"/>
          <w:iCs w:val="0"/>
          <w:lang w:val="en-US" w:eastAsia="zh-CN"/>
        </w:rPr>
        <w:t>包1：无创呼吸机技术参数</w:t>
      </w:r>
    </w:p>
    <w:p w14:paraId="1D88659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1、基本要求：</w:t>
      </w:r>
    </w:p>
    <w:p w14:paraId="3DD58B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1.1通气类型：无创通气，具备高流量氧疗功能。</w:t>
      </w:r>
    </w:p>
    <w:p w14:paraId="352E8D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1.2显示屏尺寸≥10寸。</w:t>
      </w:r>
    </w:p>
    <w:p w14:paraId="346AFE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1.3电动电控呼吸机。</w:t>
      </w:r>
    </w:p>
    <w:p w14:paraId="16B2FD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1.4可同屏显示≥3波形和监测参数。</w:t>
      </w:r>
    </w:p>
    <w:p w14:paraId="053925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1.5 内置锂电池，电池工作时间≥4.0小时。</w:t>
      </w:r>
    </w:p>
    <w:p w14:paraId="09C013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1.6 具备高压氧及低压氧接口优先。</w:t>
      </w:r>
    </w:p>
    <w:p w14:paraId="164662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1.7 具有波形冻结、屏幕截图、录像功能。</w:t>
      </w:r>
    </w:p>
    <w:p w14:paraId="0A5717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1.8 数据管理≥120小时趋势图。</w:t>
      </w:r>
    </w:p>
    <w:p w14:paraId="3BF21F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1.9.具备氧浓度监测功能。</w:t>
      </w:r>
    </w:p>
    <w:p w14:paraId="413C3C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1.10具有面罩类型及呼气端口选择，并匹配不同漏气量算法。</w:t>
      </w:r>
    </w:p>
    <w:p w14:paraId="69C31E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1.11自动触发通气功能：可设置是否在戴面罩后自动触发通气。</w:t>
      </w:r>
    </w:p>
    <w:p w14:paraId="2F9BB2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1.12 吸气、呼气触发灵敏度可以自动调节，机器根据患者实时呼吸情况自动调整，无需手动调节触发阈值。</w:t>
      </w:r>
    </w:p>
    <w:p w14:paraId="530AE4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1.13具有增氧功能，HACOR计算器，窒息通气，呼气压力调节功能。</w:t>
      </w:r>
    </w:p>
    <w:p w14:paraId="759D85D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2、呼吸模式  具有以下模式：</w:t>
      </w:r>
    </w:p>
    <w:p w14:paraId="7EF3C1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2.1 CPAP（持续气道正压通气）模式</w:t>
      </w:r>
    </w:p>
    <w:p w14:paraId="297B03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2.2 PCV（压力控制通气）模式</w:t>
      </w:r>
    </w:p>
    <w:p w14:paraId="740197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2.3 S/T（自主/时间控制通气）模式</w:t>
      </w:r>
    </w:p>
    <w:p w14:paraId="046477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2.4 S（自主通气）模式</w:t>
      </w:r>
    </w:p>
    <w:p w14:paraId="3B1954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2.5 T（时间控制通气）模式</w:t>
      </w:r>
    </w:p>
    <w:p w14:paraId="5D6A07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2.6 PPS（比例压力支持通气）模式</w:t>
      </w:r>
    </w:p>
    <w:p w14:paraId="0B3D33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2.7 VS(平均容量保证压力支持通气)模式</w:t>
      </w:r>
    </w:p>
    <w:p w14:paraId="325B1D6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 xml:space="preserve">3、参数设置：  </w:t>
      </w:r>
    </w:p>
    <w:p w14:paraId="206209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3.1吸气压力：4-40 cmH2O</w:t>
      </w:r>
    </w:p>
    <w:p w14:paraId="6F0B08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3.2呼气压力：2-25 cmH2O</w:t>
      </w:r>
    </w:p>
    <w:p w14:paraId="6EA5C9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 xml:space="preserve">3.3持续气道正压: 4-25 cmH2O </w:t>
      </w:r>
    </w:p>
    <w:p w14:paraId="514FA7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3.4吸气时间：0.20-4.00S</w:t>
      </w:r>
    </w:p>
    <w:p w14:paraId="12A846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3.5潮气量：成人：200-3000mL</w:t>
      </w:r>
    </w:p>
    <w:p w14:paraId="48B001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3.6吸气触发：自动,1-6档</w:t>
      </w:r>
    </w:p>
    <w:p w14:paraId="686C12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3.7呼气触发：自动,1-8档</w:t>
      </w:r>
    </w:p>
    <w:p w14:paraId="1D4B95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3.8智能压力释放：关,1-3档</w:t>
      </w:r>
    </w:p>
    <w:p w14:paraId="57097F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3.9 高流量氧疗流量设置：2-100L/min</w:t>
      </w:r>
    </w:p>
    <w:p w14:paraId="21B070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3.10 最大漏气补偿：130L/min</w:t>
      </w:r>
    </w:p>
    <w:p w14:paraId="723C7B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3.11 最大吸气流速：≥240L/min</w:t>
      </w:r>
    </w:p>
    <w:p w14:paraId="4C6E75C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4、监测参数 具有以下监测功能：</w:t>
      </w:r>
    </w:p>
    <w:p w14:paraId="61CA95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4.1 潮气量</w:t>
      </w:r>
    </w:p>
    <w:p w14:paraId="6F6861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4.2 分钟通气量</w:t>
      </w:r>
    </w:p>
    <w:p w14:paraId="13DA02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4.3 呼吸频率</w:t>
      </w:r>
    </w:p>
    <w:p w14:paraId="5A8624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4.4 吸气峰压</w:t>
      </w:r>
    </w:p>
    <w:p w14:paraId="605D7A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4.5 吸呼比</w:t>
      </w:r>
    </w:p>
    <w:p w14:paraId="63E3B7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4.6 患者触发百分比</w:t>
      </w:r>
    </w:p>
    <w:p w14:paraId="7D9EA1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4.7 病人端漏气量</w:t>
      </w:r>
    </w:p>
    <w:p w14:paraId="6A2DA5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4.8 总漏气量</w:t>
      </w:r>
    </w:p>
    <w:p w14:paraId="0938438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5、报警：</w:t>
      </w:r>
    </w:p>
    <w:p w14:paraId="412C02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5.1分级报警，不同颜色显示</w:t>
      </w:r>
    </w:p>
    <w:p w14:paraId="34AE81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5.2 报警参数：压力过高报警、压力过低报警、潮气量过高报警、潮气量过低报警、呼吸频率过高、呼吸频率过低报警、分钟通气量过低报警、吸入氧浓度过高、吸入氧浓度过低报警、窒息、窒息通气、窒息通气结束等。</w:t>
      </w:r>
    </w:p>
    <w:p w14:paraId="5197E4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r>
        <w:rPr>
          <w:rFonts w:hint="eastAsia"/>
          <w:b w:val="0"/>
          <w:bCs w:val="0"/>
          <w:lang w:val="en-US" w:eastAsia="zh-CN"/>
        </w:rPr>
        <w:t>6、★使用年限6年。</w:t>
      </w:r>
    </w:p>
    <w:p w14:paraId="0AF19F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val="0"/>
          <w:bCs w:val="0"/>
          <w:lang w:val="en-US" w:eastAsia="zh-CN"/>
        </w:rPr>
      </w:pPr>
    </w:p>
    <w:p w14:paraId="43950CBF">
      <w:pPr>
        <w:keepNext w:val="0"/>
        <w:keepLines w:val="0"/>
        <w:pageBreakBefore w:val="0"/>
        <w:widowControl w:val="0"/>
        <w:kinsoku/>
        <w:wordWrap/>
        <w:overflowPunct/>
        <w:topLinePunct w:val="0"/>
        <w:autoSpaceDE/>
        <w:autoSpaceDN/>
        <w:bidi w:val="0"/>
        <w:adjustRightInd/>
        <w:snapToGrid/>
        <w:spacing w:before="161" w:beforeLines="50" w:after="161" w:afterLines="50" w:line="360" w:lineRule="auto"/>
        <w:jc w:val="center"/>
        <w:textAlignment w:val="auto"/>
        <w:rPr>
          <w:rFonts w:hint="eastAsia"/>
          <w:b/>
          <w:bCs/>
          <w:i w:val="0"/>
          <w:iCs w:val="0"/>
          <w:lang w:val="en-US" w:eastAsia="zh-CN"/>
        </w:rPr>
      </w:pPr>
      <w:r>
        <w:rPr>
          <w:rFonts w:hint="eastAsia"/>
          <w:b/>
          <w:bCs/>
          <w:i w:val="0"/>
          <w:iCs w:val="0"/>
          <w:lang w:val="en-US" w:eastAsia="zh-CN"/>
        </w:rPr>
        <w:t>包2：科研级正置光学显微镜技术参数</w:t>
      </w:r>
    </w:p>
    <w:p w14:paraId="755BF0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1、光学系统：无限远色差像差矫正光学系统,具有轴向和径向双重色差校正。45mm 国际标准齐焦距离，光学部件镀膜防霉；</w:t>
      </w:r>
    </w:p>
    <w:p w14:paraId="5039FD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2、主机:带状态指示灯的照明切换按钮、图像捕捉按钮。一体化机身,防震机座,结构稳定,符合IS0 22196标准的抗菌表面；</w:t>
      </w:r>
    </w:p>
    <w:p w14:paraId="4594F8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w:t>
      </w:r>
      <w:r>
        <w:rPr>
          <w:rFonts w:hint="eastAsia"/>
          <w:b w:val="0"/>
          <w:bCs w:val="0"/>
          <w:lang w:val="en-US" w:eastAsia="zh-CN"/>
        </w:rPr>
        <w:t>★</w:t>
      </w:r>
      <w:r>
        <w:rPr>
          <w:rFonts w:hint="eastAsia" w:ascii="宋体" w:hAnsi="宋体" w:eastAsia="宋体" w:cs="宋体"/>
          <w:lang w:val="en-US" w:eastAsia="zh-CN"/>
        </w:rPr>
        <w:t>调焦机构:具有可调的调焦旋钮，行程范围≥19mm。载物台总行程≥28mm。调焦与 X-Y调节全对称；带有1μm刻度的两齿轮对焦驱动器(粗调/细调)；带有40、4和1μm刻度的三齿轮对焦驱动器(粗调/中调/细调)，可扭矩调节，并配备可调的上部对焦限位装置；</w:t>
      </w:r>
    </w:p>
    <w:p w14:paraId="20E2BF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4、光源:高亮度LED光源，4500K恒色温;</w:t>
      </w:r>
    </w:p>
    <w:p w14:paraId="3849AB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5、观察方法:具有明场、暗场、荧光、微分干涉、定性偏振；</w:t>
      </w:r>
    </w:p>
    <w:p w14:paraId="3AFC25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6、聚光镜:配备彩色编码光圈辅助装置，可手动、固定和翻盖式聚光镜操作。内置对焦限位装置，可保护样本和物镜免受意外损坏；</w:t>
      </w:r>
    </w:p>
    <w:p w14:paraId="798A9F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w:t>
      </w:r>
      <w:r>
        <w:rPr>
          <w:rFonts w:hint="eastAsia"/>
          <w:b w:val="0"/>
          <w:bCs w:val="0"/>
          <w:lang w:val="en-US" w:eastAsia="zh-CN"/>
        </w:rPr>
        <w:t>★</w:t>
      </w:r>
      <w:r>
        <w:rPr>
          <w:rFonts w:hint="eastAsia" w:ascii="宋体" w:hAnsi="宋体" w:eastAsia="宋体" w:cs="宋体"/>
          <w:lang w:val="en-US" w:eastAsia="zh-CN"/>
        </w:rPr>
        <w:t>物镜转盘:内倾式6位编码物镜；</w:t>
      </w:r>
    </w:p>
    <w:p w14:paraId="5630C9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8、</w:t>
      </w:r>
      <w:r>
        <w:rPr>
          <w:rFonts w:hint="eastAsia"/>
          <w:b w:val="0"/>
          <w:bCs w:val="0"/>
          <w:lang w:val="en-US" w:eastAsia="zh-CN"/>
        </w:rPr>
        <w:t>★</w:t>
      </w:r>
      <w:r>
        <w:rPr>
          <w:rFonts w:hint="eastAsia" w:ascii="宋体" w:hAnsi="宋体" w:eastAsia="宋体" w:cs="宋体"/>
          <w:lang w:val="en-US" w:eastAsia="zh-CN"/>
        </w:rPr>
        <w:t>自动光强调节:通过显微镜的编码功能，物镜切换后照明设置会自动应用。具有快速调节亮度功能；</w:t>
      </w:r>
    </w:p>
    <w:p w14:paraId="0E452F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w:t>
      </w:r>
      <w:r>
        <w:rPr>
          <w:rFonts w:hint="eastAsia"/>
          <w:b w:val="0"/>
          <w:bCs w:val="0"/>
          <w:lang w:val="en-US" w:eastAsia="zh-CN"/>
        </w:rPr>
        <w:t>★</w:t>
      </w:r>
      <w:r>
        <w:rPr>
          <w:rFonts w:hint="eastAsia" w:ascii="宋体" w:hAnsi="宋体" w:eastAsia="宋体" w:cs="宋体"/>
          <w:lang w:val="en-US" w:eastAsia="zh-CN"/>
        </w:rPr>
        <w:t>目镜:10X目镜，视野数20/22，屈光度、瞳间距可调；</w:t>
      </w:r>
    </w:p>
    <w:p w14:paraId="1EC11F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10、物镜:</w:t>
      </w:r>
    </w:p>
    <w:p w14:paraId="0B235B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10.1、4X平场消色差物镜(NA=0.1，WD=18mm)</w:t>
      </w:r>
    </w:p>
    <w:p w14:paraId="504276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10.2、10X平场消色差物镜(NA=0.25，WD=12mm)</w:t>
      </w:r>
    </w:p>
    <w:p w14:paraId="4C8B45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10.3、20X平场消色差物镜(NA=0.4，WD=0.92mm)</w:t>
      </w:r>
    </w:p>
    <w:p w14:paraId="440EF9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10.4、40X平场消色差物镜(NA=0.65，WD=0.35mm)</w:t>
      </w:r>
    </w:p>
    <w:p w14:paraId="539D7C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10.5、100X平场消色差物镜(NA=1.25,WD=0.10mm)</w:t>
      </w:r>
    </w:p>
    <w:p w14:paraId="10E008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11、观察筒:30度倾角，三目观察筒，瞳距55-75mm可调，50%/50%分光；</w:t>
      </w:r>
    </w:p>
    <w:p w14:paraId="195E2F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12、成像系统</w:t>
      </w:r>
    </w:p>
    <w:p w14:paraId="36A2FB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12.1、有效像素:≥1200万</w:t>
      </w:r>
    </w:p>
    <w:p w14:paraId="6AFFDF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12.2、芯片类型:CM0S传感器</w:t>
      </w:r>
    </w:p>
    <w:p w14:paraId="62C112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12.3、数据接口:USB3.0数据传输</w:t>
      </w:r>
    </w:p>
    <w:p w14:paraId="63B05F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12.4、最大图像分辨率:≥4000x3000</w:t>
      </w:r>
    </w:p>
    <w:p w14:paraId="03737F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12.5、图像速度:25幅/秒@4000x3000，50幅/秒@2048x1080</w:t>
      </w:r>
    </w:p>
    <w:p w14:paraId="6DE28E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12.6、曝光时间:0.1ms~15s</w:t>
      </w:r>
    </w:p>
    <w:p w14:paraId="57DC702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13、配置清单（包含但不限于）：</w:t>
      </w:r>
    </w:p>
    <w:p w14:paraId="100CA9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cs="宋体"/>
          <w:lang w:val="en-US" w:eastAsia="zh-CN"/>
        </w:rPr>
        <w:t>（1）</w:t>
      </w:r>
      <w:r>
        <w:rPr>
          <w:rFonts w:hint="eastAsia" w:ascii="宋体" w:hAnsi="宋体" w:eastAsia="宋体" w:cs="宋体"/>
          <w:lang w:val="en-US" w:eastAsia="zh-CN"/>
        </w:rPr>
        <w:t>主机1台；</w:t>
      </w:r>
      <w:r>
        <w:rPr>
          <w:rFonts w:hint="eastAsia" w:ascii="宋体" w:hAnsi="宋体" w:cs="宋体"/>
          <w:lang w:val="en-US" w:eastAsia="zh-CN"/>
        </w:rPr>
        <w:t>（2）</w:t>
      </w:r>
      <w:r>
        <w:rPr>
          <w:rFonts w:hint="eastAsia" w:ascii="宋体" w:hAnsi="宋体" w:eastAsia="宋体" w:cs="宋体"/>
          <w:lang w:val="en-US" w:eastAsia="zh-CN"/>
        </w:rPr>
        <w:t>目镜2个；</w:t>
      </w:r>
      <w:r>
        <w:rPr>
          <w:rFonts w:hint="eastAsia" w:ascii="宋体" w:hAnsi="宋体" w:cs="宋体"/>
          <w:lang w:val="en-US" w:eastAsia="zh-CN"/>
        </w:rPr>
        <w:t>（3）</w:t>
      </w:r>
      <w:r>
        <w:rPr>
          <w:rFonts w:hint="eastAsia" w:ascii="宋体" w:hAnsi="宋体" w:eastAsia="宋体" w:cs="宋体"/>
          <w:lang w:val="en-US" w:eastAsia="zh-CN"/>
        </w:rPr>
        <w:t>4倍物镜1个；</w:t>
      </w:r>
      <w:r>
        <w:rPr>
          <w:rFonts w:hint="eastAsia" w:ascii="宋体" w:hAnsi="宋体" w:cs="宋体"/>
          <w:lang w:val="en-US" w:eastAsia="zh-CN"/>
        </w:rPr>
        <w:t>（4）</w:t>
      </w:r>
      <w:r>
        <w:rPr>
          <w:rFonts w:hint="eastAsia" w:ascii="宋体" w:hAnsi="宋体" w:eastAsia="宋体" w:cs="宋体"/>
          <w:lang w:val="en-US" w:eastAsia="zh-CN"/>
        </w:rPr>
        <w:t>10倍物镜1个；</w:t>
      </w:r>
      <w:r>
        <w:rPr>
          <w:rFonts w:hint="eastAsia" w:ascii="宋体" w:hAnsi="宋体" w:cs="宋体"/>
          <w:lang w:val="en-US" w:eastAsia="zh-CN"/>
        </w:rPr>
        <w:t>（5）</w:t>
      </w:r>
      <w:r>
        <w:rPr>
          <w:rFonts w:hint="eastAsia" w:ascii="宋体" w:hAnsi="宋体" w:eastAsia="宋体" w:cs="宋体"/>
          <w:lang w:val="en-US" w:eastAsia="zh-CN"/>
        </w:rPr>
        <w:t>20倍物镜1个；</w:t>
      </w:r>
      <w:r>
        <w:rPr>
          <w:rFonts w:hint="eastAsia" w:ascii="宋体" w:hAnsi="宋体" w:cs="宋体"/>
          <w:lang w:val="en-US" w:eastAsia="zh-CN"/>
        </w:rPr>
        <w:t>（6）</w:t>
      </w:r>
      <w:r>
        <w:rPr>
          <w:rFonts w:hint="eastAsia" w:ascii="宋体" w:hAnsi="宋体" w:eastAsia="宋体" w:cs="宋体"/>
          <w:lang w:val="en-US" w:eastAsia="zh-CN"/>
        </w:rPr>
        <w:t>40倍物镜1个；</w:t>
      </w:r>
      <w:r>
        <w:rPr>
          <w:rFonts w:hint="eastAsia" w:ascii="宋体" w:hAnsi="宋体" w:cs="宋体"/>
          <w:lang w:val="en-US" w:eastAsia="zh-CN"/>
        </w:rPr>
        <w:t>（7）</w:t>
      </w:r>
      <w:r>
        <w:rPr>
          <w:rFonts w:hint="eastAsia" w:ascii="宋体" w:hAnsi="宋体" w:eastAsia="宋体" w:cs="宋体"/>
          <w:lang w:val="en-US" w:eastAsia="zh-CN"/>
        </w:rPr>
        <w:t>100倍物镜1个；</w:t>
      </w:r>
      <w:r>
        <w:rPr>
          <w:rFonts w:hint="eastAsia" w:ascii="宋体" w:hAnsi="宋体" w:cs="宋体"/>
          <w:lang w:val="en-US" w:eastAsia="zh-CN"/>
        </w:rPr>
        <w:t>（8）</w:t>
      </w:r>
      <w:r>
        <w:rPr>
          <w:rFonts w:hint="eastAsia" w:ascii="宋体" w:hAnsi="宋体" w:eastAsia="宋体" w:cs="宋体"/>
          <w:lang w:val="en-US" w:eastAsia="zh-CN"/>
        </w:rPr>
        <w:t>聚光灯1个；</w:t>
      </w:r>
      <w:r>
        <w:rPr>
          <w:rFonts w:hint="eastAsia" w:ascii="宋体" w:hAnsi="宋体" w:cs="宋体"/>
          <w:lang w:val="en-US" w:eastAsia="zh-CN"/>
        </w:rPr>
        <w:t>（9）</w:t>
      </w:r>
      <w:r>
        <w:rPr>
          <w:rFonts w:hint="eastAsia" w:ascii="宋体" w:hAnsi="宋体" w:eastAsia="宋体" w:cs="宋体"/>
          <w:lang w:val="en-US" w:eastAsia="zh-CN"/>
        </w:rPr>
        <w:t>夹片器1个；</w:t>
      </w:r>
      <w:r>
        <w:rPr>
          <w:rFonts w:hint="eastAsia" w:ascii="宋体" w:hAnsi="宋体" w:cs="宋体"/>
          <w:lang w:val="en-US" w:eastAsia="zh-CN"/>
        </w:rPr>
        <w:t>（10）</w:t>
      </w:r>
      <w:r>
        <w:rPr>
          <w:rFonts w:hint="eastAsia" w:ascii="宋体" w:hAnsi="宋体" w:eastAsia="宋体" w:cs="宋体"/>
          <w:lang w:val="en-US" w:eastAsia="zh-CN"/>
        </w:rPr>
        <w:t>X-Y控制轴1个；</w:t>
      </w:r>
      <w:r>
        <w:rPr>
          <w:rFonts w:hint="eastAsia" w:ascii="宋体" w:hAnsi="宋体" w:cs="宋体"/>
          <w:lang w:val="en-US" w:eastAsia="zh-CN"/>
        </w:rPr>
        <w:t>（11）</w:t>
      </w:r>
      <w:r>
        <w:rPr>
          <w:rFonts w:hint="eastAsia" w:ascii="宋体" w:hAnsi="宋体" w:eastAsia="宋体" w:cs="宋体"/>
          <w:lang w:val="en-US" w:eastAsia="zh-CN"/>
        </w:rPr>
        <w:t>镜筒1个；</w:t>
      </w:r>
      <w:r>
        <w:rPr>
          <w:rFonts w:hint="eastAsia" w:ascii="宋体" w:hAnsi="宋体" w:cs="宋体"/>
          <w:lang w:val="en-US" w:eastAsia="zh-CN"/>
        </w:rPr>
        <w:t>（12）</w:t>
      </w:r>
      <w:r>
        <w:rPr>
          <w:rFonts w:hint="eastAsia" w:ascii="宋体" w:hAnsi="宋体" w:eastAsia="宋体" w:cs="宋体"/>
          <w:lang w:val="en-US" w:eastAsia="zh-CN"/>
        </w:rPr>
        <w:t>电源线1根。</w:t>
      </w:r>
    </w:p>
    <w:p w14:paraId="271963A7">
      <w:pPr>
        <w:jc w:val="center"/>
        <w:rPr>
          <w:rFonts w:hint="eastAsia" w:ascii="宋体" w:hAnsi="宋体" w:eastAsia="宋体" w:cs="宋体"/>
          <w:b/>
          <w:bCs/>
          <w:color w:val="auto"/>
          <w:sz w:val="30"/>
          <w:szCs w:val="30"/>
          <w:highlight w:val="none"/>
          <w:lang w:val="en-US" w:eastAsia="zh-CN"/>
        </w:rPr>
      </w:pPr>
    </w:p>
    <w:p w14:paraId="15A9FB8A">
      <w:pPr>
        <w:jc w:val="center"/>
        <w:rPr>
          <w:rFonts w:hint="eastAsia" w:ascii="宋体" w:hAnsi="宋体" w:eastAsia="宋体" w:cs="宋体"/>
          <w:b/>
          <w:bCs/>
          <w:color w:val="auto"/>
          <w:sz w:val="30"/>
          <w:szCs w:val="30"/>
          <w:highlight w:val="none"/>
          <w:lang w:val="en-US" w:eastAsia="zh-CN"/>
        </w:rPr>
      </w:pPr>
    </w:p>
    <w:p w14:paraId="5AEC2C5D">
      <w:pPr>
        <w:jc w:val="center"/>
        <w:rPr>
          <w:rFonts w:hint="eastAsia" w:ascii="宋体" w:hAnsi="宋体" w:eastAsia="宋体" w:cs="宋体"/>
          <w:b/>
          <w:bCs/>
          <w:color w:val="auto"/>
          <w:sz w:val="30"/>
          <w:szCs w:val="30"/>
          <w:highlight w:val="none"/>
          <w:lang w:val="en-US" w:eastAsia="zh-CN"/>
        </w:rPr>
      </w:pPr>
    </w:p>
    <w:p w14:paraId="7DF6C0E2">
      <w:pPr>
        <w:jc w:val="center"/>
        <w:rPr>
          <w:rFonts w:hint="eastAsia" w:ascii="宋体" w:hAnsi="宋体" w:eastAsia="宋体" w:cs="宋体"/>
          <w:b/>
          <w:bCs/>
          <w:color w:val="auto"/>
          <w:sz w:val="30"/>
          <w:szCs w:val="30"/>
          <w:highlight w:val="none"/>
          <w:lang w:val="en-US" w:eastAsia="zh-CN"/>
        </w:rPr>
      </w:pPr>
    </w:p>
    <w:p w14:paraId="2BE93779">
      <w:pPr>
        <w:jc w:val="center"/>
        <w:rPr>
          <w:rFonts w:hint="eastAsia" w:ascii="宋体" w:hAnsi="宋体" w:eastAsia="宋体" w:cs="宋体"/>
          <w:b/>
          <w:bCs/>
          <w:color w:val="auto"/>
          <w:sz w:val="30"/>
          <w:szCs w:val="30"/>
          <w:highlight w:val="none"/>
          <w:lang w:val="en-US" w:eastAsia="zh-CN"/>
        </w:rPr>
      </w:pPr>
    </w:p>
    <w:p w14:paraId="3A95C16F">
      <w:pPr>
        <w:jc w:val="center"/>
        <w:rPr>
          <w:rFonts w:hint="eastAsia" w:ascii="宋体" w:hAnsi="宋体" w:eastAsia="宋体" w:cs="宋体"/>
          <w:b/>
          <w:bCs/>
          <w:color w:val="auto"/>
          <w:sz w:val="30"/>
          <w:szCs w:val="30"/>
          <w:highlight w:val="none"/>
          <w:lang w:val="en-US" w:eastAsia="zh-CN"/>
        </w:rPr>
      </w:pPr>
    </w:p>
    <w:p w14:paraId="310870DC">
      <w:pPr>
        <w:jc w:val="center"/>
        <w:rPr>
          <w:rFonts w:hint="eastAsia" w:ascii="宋体" w:hAnsi="宋体" w:eastAsia="宋体" w:cs="宋体"/>
          <w:b/>
          <w:bCs/>
          <w:color w:val="auto"/>
          <w:sz w:val="30"/>
          <w:szCs w:val="30"/>
          <w:highlight w:val="none"/>
          <w:lang w:val="en-US" w:eastAsia="zh-CN"/>
        </w:rPr>
      </w:pPr>
    </w:p>
    <w:p w14:paraId="72A39B15">
      <w:pPr>
        <w:jc w:val="center"/>
        <w:rPr>
          <w:rFonts w:hint="eastAsia" w:ascii="宋体" w:hAnsi="宋体" w:eastAsia="宋体" w:cs="宋体"/>
          <w:b/>
          <w:bCs/>
          <w:color w:val="auto"/>
          <w:sz w:val="30"/>
          <w:szCs w:val="30"/>
          <w:highlight w:val="none"/>
          <w:lang w:val="en-US" w:eastAsia="zh-CN"/>
        </w:rPr>
      </w:pPr>
    </w:p>
    <w:p w14:paraId="4D6B8630">
      <w:pPr>
        <w:jc w:val="center"/>
        <w:rPr>
          <w:rFonts w:hint="eastAsia" w:ascii="宋体" w:hAnsi="宋体" w:eastAsia="宋体" w:cs="宋体"/>
          <w:b/>
          <w:bCs/>
          <w:color w:val="auto"/>
          <w:sz w:val="30"/>
          <w:szCs w:val="30"/>
          <w:highlight w:val="none"/>
          <w:lang w:val="en-US" w:eastAsia="zh-CN"/>
        </w:rPr>
      </w:pPr>
    </w:p>
    <w:p w14:paraId="4B5A0BE6">
      <w:pPr>
        <w:jc w:val="center"/>
        <w:rPr>
          <w:rFonts w:hint="eastAsia" w:ascii="宋体" w:hAnsi="宋体" w:eastAsia="宋体" w:cs="宋体"/>
          <w:b/>
          <w:bCs/>
          <w:color w:val="auto"/>
          <w:sz w:val="30"/>
          <w:szCs w:val="30"/>
          <w:highlight w:val="none"/>
          <w:lang w:val="en-US" w:eastAsia="zh-CN"/>
        </w:rPr>
      </w:pPr>
    </w:p>
    <w:p w14:paraId="306F57F8">
      <w:pPr>
        <w:jc w:val="center"/>
        <w:rPr>
          <w:rFonts w:hint="eastAsia" w:ascii="宋体" w:hAnsi="宋体" w:eastAsia="宋体" w:cs="宋体"/>
          <w:b/>
          <w:bCs/>
          <w:color w:val="auto"/>
          <w:sz w:val="30"/>
          <w:szCs w:val="30"/>
          <w:highlight w:val="none"/>
          <w:lang w:val="en-US" w:eastAsia="zh-CN"/>
        </w:rPr>
        <w:sectPr>
          <w:pgSz w:w="11905" w:h="16838"/>
          <w:pgMar w:top="1417" w:right="1417" w:bottom="1417" w:left="1417" w:header="850" w:footer="624" w:gutter="0"/>
          <w:pgNumType w:fmt="decimal"/>
          <w:cols w:space="0" w:num="1"/>
          <w:rtlGutter w:val="0"/>
          <w:docGrid w:type="lines" w:linePitch="326" w:charSpace="0"/>
        </w:sectPr>
      </w:pPr>
    </w:p>
    <w:p w14:paraId="106ADFC5">
      <w:pPr>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8"/>
              <w:ind w:left="0" w:leftChars="0"/>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合同签订后30日内交货</w:t>
            </w:r>
          </w:p>
        </w:tc>
      </w:tr>
      <w:tr w14:paraId="4A1DF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786A8EA">
            <w:pPr>
              <w:pStyle w:val="8"/>
              <w:ind w:left="0" w:leftChars="0"/>
              <w:jc w:val="center"/>
              <w:rPr>
                <w:rFonts w:hint="default"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4F0643FB">
            <w:pPr>
              <w:pStyle w:val="8"/>
              <w:ind w:left="0" w:leftChars="0"/>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从产品入库之日起，整机保修三年，出具相关服务承诺书</w:t>
            </w:r>
            <w:r>
              <w:rPr>
                <w:rFonts w:hint="eastAsia" w:cs="宋体"/>
                <w:color w:val="auto"/>
                <w:kern w:val="2"/>
                <w:sz w:val="21"/>
                <w:szCs w:val="21"/>
                <w:highlight w:val="none"/>
                <w:shd w:val="clear" w:color="auto" w:fill="FFFFFF"/>
                <w:lang w:val="en-US" w:eastAsia="zh-CN" w:bidi="ar-SA"/>
              </w:rPr>
              <w:t>。</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3CE68FD3">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符合国家质量标准、部颁标准、行业标准，满足磋商文件规定标准</w:t>
            </w:r>
          </w:p>
        </w:tc>
      </w:tr>
      <w:tr w14:paraId="403D3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667D334">
            <w:pPr>
              <w:pStyle w:val="8"/>
              <w:ind w:left="0" w:leftChars="0"/>
              <w:jc w:val="center"/>
              <w:rPr>
                <w:rFonts w:hint="default"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1029822B">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以合同签订为准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8"/>
              <w:ind w:left="0" w:leftChars="0"/>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采购人指定地点</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0244C5E">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质保期内应当为采购人提供以下技术支持和服务：</w:t>
            </w:r>
          </w:p>
          <w:p w14:paraId="64F5403D">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a、现场响应：供应商应保证在12小时内对用户提出的问题或故障予以响应及处理。可提供备用设备或核心部件应急使用。</w:t>
            </w:r>
          </w:p>
          <w:p w14:paraId="6E6C60AA">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b、</w:t>
            </w:r>
            <w:r>
              <w:rPr>
                <w:rFonts w:hint="eastAsia" w:cs="宋体"/>
                <w:color w:val="auto"/>
                <w:kern w:val="2"/>
                <w:sz w:val="21"/>
                <w:szCs w:val="21"/>
                <w:highlight w:val="none"/>
                <w:shd w:val="clear" w:color="auto" w:fill="FFFFFF"/>
                <w:lang w:val="en-US" w:eastAsia="zh-CN" w:bidi="ar-SA"/>
              </w:rPr>
              <w:t>成交供应商</w:t>
            </w:r>
            <w:r>
              <w:rPr>
                <w:rFonts w:hint="eastAsia" w:ascii="宋体" w:hAnsi="宋体" w:eastAsia="宋体" w:cs="宋体"/>
                <w:color w:val="auto"/>
                <w:kern w:val="2"/>
                <w:sz w:val="21"/>
                <w:szCs w:val="21"/>
                <w:highlight w:val="none"/>
                <w:shd w:val="clear" w:color="auto" w:fill="FFFFFF"/>
                <w:lang w:val="en-US" w:eastAsia="zh-CN" w:bidi="ar-SA"/>
              </w:rPr>
              <w:t>应当应每季度对该设备进行保养不少于一次,并出具保养报告，具体保养内容见合同。</w:t>
            </w:r>
          </w:p>
          <w:p w14:paraId="04AD3D1C">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c、质保期内该设备应保证大于95%（含）的开机率，如达不到要求，每少于一天质保期顺延7天，如造成严重损失需赔偿用户经济损失或换货或退货。</w:t>
            </w:r>
          </w:p>
          <w:p w14:paraId="4ABD0190">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d、技术升级，如果制造商的产品技术升级，</w:t>
            </w:r>
            <w:r>
              <w:rPr>
                <w:rFonts w:hint="eastAsia" w:cs="宋体"/>
                <w:color w:val="auto"/>
                <w:kern w:val="2"/>
                <w:sz w:val="21"/>
                <w:szCs w:val="21"/>
                <w:highlight w:val="none"/>
                <w:shd w:val="clear" w:color="auto" w:fill="FFFFFF"/>
                <w:lang w:val="en-US" w:eastAsia="zh-CN" w:bidi="ar-SA"/>
              </w:rPr>
              <w:t>成交供应商</w:t>
            </w:r>
            <w:r>
              <w:rPr>
                <w:rFonts w:hint="eastAsia" w:ascii="宋体" w:hAnsi="宋体" w:eastAsia="宋体" w:cs="宋体"/>
                <w:color w:val="auto"/>
                <w:kern w:val="2"/>
                <w:sz w:val="21"/>
                <w:szCs w:val="21"/>
                <w:highlight w:val="none"/>
                <w:shd w:val="clear" w:color="auto" w:fill="FFFFFF"/>
                <w:lang w:val="en-US" w:eastAsia="zh-CN" w:bidi="ar-SA"/>
              </w:rPr>
              <w:t>应及时通知采购人，如采购人有相应要求，</w:t>
            </w:r>
            <w:r>
              <w:rPr>
                <w:rFonts w:hint="eastAsia" w:cs="宋体"/>
                <w:color w:val="auto"/>
                <w:kern w:val="2"/>
                <w:sz w:val="21"/>
                <w:szCs w:val="21"/>
                <w:highlight w:val="none"/>
                <w:shd w:val="clear" w:color="auto" w:fill="FFFFFF"/>
                <w:lang w:val="en-US" w:eastAsia="zh-CN" w:bidi="ar-SA"/>
              </w:rPr>
              <w:t>成交供应商</w:t>
            </w:r>
            <w:r>
              <w:rPr>
                <w:rFonts w:hint="eastAsia" w:ascii="宋体" w:hAnsi="宋体" w:eastAsia="宋体" w:cs="宋体"/>
                <w:color w:val="auto"/>
                <w:kern w:val="2"/>
                <w:sz w:val="21"/>
                <w:szCs w:val="21"/>
                <w:highlight w:val="none"/>
                <w:shd w:val="clear" w:color="auto" w:fill="FFFFFF"/>
                <w:lang w:val="en-US" w:eastAsia="zh-CN" w:bidi="ar-SA"/>
              </w:rPr>
              <w:t>和制造商应对采购人购买的产品进行免费升级服务。</w:t>
            </w:r>
          </w:p>
          <w:p w14:paraId="44D11017">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e、投标人交付设备时，应按照《国家食品药品监督管理总局》第18号令第17条的要求提供相应的维护手册、维修手册、软件备份、故障代码表、备件清单、零部件、维修密码等维护维修必需的材料和信息。</w:t>
            </w:r>
          </w:p>
          <w:p w14:paraId="7E284E25">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 xml:space="preserve">f、除火灾、洪水、地震等天灾外，在保修期内，由于货物故障所产生的所有费用均由供应商负责。 </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8"/>
              <w:ind w:left="0" w:leftChars="0"/>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免费提供操作培训和维修培训</w:t>
            </w:r>
          </w:p>
        </w:tc>
      </w:tr>
      <w:tr w14:paraId="59DCF8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B39B7DA">
            <w:pPr>
              <w:pStyle w:val="8"/>
              <w:ind w:left="0" w:leftChars="0"/>
              <w:jc w:val="center"/>
              <w:rPr>
                <w:rFonts w:hint="default"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4E3D36F6">
            <w:pPr>
              <w:pStyle w:val="8"/>
              <w:ind w:left="0" w:leftChars="0"/>
              <w:jc w:val="left"/>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 xml:space="preserve">要求设备为最新出厂设备，出厂日期不得早于招标日期6个月。 </w:t>
            </w:r>
          </w:p>
        </w:tc>
      </w:tr>
    </w:tbl>
    <w:p w14:paraId="22CF7CAB">
      <w:pPr>
        <w:pStyle w:val="24"/>
        <w:rPr>
          <w:rFonts w:hint="eastAsia" w:ascii="宋体" w:hAnsi="宋体" w:eastAsia="宋体" w:cs="宋体"/>
          <w:color w:val="auto"/>
          <w:highlight w:val="none"/>
        </w:rPr>
      </w:pPr>
    </w:p>
    <w:p w14:paraId="680E7614">
      <w:pPr>
        <w:jc w:val="center"/>
        <w:rPr>
          <w:rFonts w:hint="eastAsia" w:ascii="宋体" w:hAnsi="宋体" w:eastAsia="宋体" w:cs="宋体"/>
          <w:b/>
          <w:bCs/>
          <w:color w:val="auto"/>
          <w:sz w:val="30"/>
          <w:szCs w:val="30"/>
          <w:highlight w:val="none"/>
          <w:lang w:val="en-US" w:eastAsia="zh-CN"/>
        </w:rPr>
      </w:pPr>
    </w:p>
    <w:p w14:paraId="435BF6B8">
      <w:pPr>
        <w:jc w:val="center"/>
        <w:rPr>
          <w:rFonts w:hint="eastAsia" w:ascii="宋体" w:hAnsi="宋体" w:eastAsia="宋体" w:cs="宋体"/>
          <w:b/>
          <w:bCs/>
          <w:color w:val="auto"/>
          <w:sz w:val="30"/>
          <w:szCs w:val="30"/>
          <w:highlight w:val="none"/>
          <w:lang w:val="en-US" w:eastAsia="zh-CN"/>
        </w:rPr>
      </w:pPr>
    </w:p>
    <w:p w14:paraId="54D61F37">
      <w:pPr>
        <w:jc w:val="center"/>
        <w:rPr>
          <w:rFonts w:hint="eastAsia" w:ascii="宋体" w:hAnsi="宋体" w:eastAsia="宋体" w:cs="宋体"/>
          <w:b/>
          <w:bCs/>
          <w:color w:val="auto"/>
          <w:sz w:val="30"/>
          <w:szCs w:val="30"/>
          <w:highlight w:val="none"/>
          <w:lang w:val="en-US" w:eastAsia="zh-CN"/>
        </w:rPr>
      </w:pPr>
    </w:p>
    <w:p w14:paraId="346EC806">
      <w:pPr>
        <w:jc w:val="center"/>
        <w:rPr>
          <w:rFonts w:hint="eastAsia" w:ascii="宋体" w:hAnsi="宋体" w:eastAsia="宋体" w:cs="宋体"/>
          <w:b/>
          <w:bCs/>
          <w:color w:val="auto"/>
          <w:sz w:val="30"/>
          <w:szCs w:val="30"/>
          <w:highlight w:val="none"/>
          <w:lang w:val="en-US" w:eastAsia="zh-CN"/>
        </w:rPr>
      </w:pPr>
    </w:p>
    <w:p w14:paraId="35E13EB9">
      <w:pPr>
        <w:jc w:val="center"/>
        <w:rPr>
          <w:rFonts w:hint="eastAsia" w:ascii="宋体" w:hAnsi="宋体" w:eastAsia="宋体" w:cs="宋体"/>
          <w:b/>
          <w:bCs/>
          <w:color w:val="auto"/>
          <w:sz w:val="30"/>
          <w:szCs w:val="30"/>
          <w:highlight w:val="none"/>
          <w:lang w:val="en-US" w:eastAsia="zh-CN"/>
        </w:rPr>
      </w:pPr>
    </w:p>
    <w:p w14:paraId="302EC608">
      <w:pPr>
        <w:jc w:val="center"/>
        <w:rPr>
          <w:rFonts w:hint="eastAsia" w:ascii="宋体" w:hAnsi="宋体" w:eastAsia="宋体" w:cs="宋体"/>
          <w:b/>
          <w:bCs/>
          <w:color w:val="auto"/>
          <w:sz w:val="30"/>
          <w:szCs w:val="30"/>
          <w:highlight w:val="none"/>
          <w:lang w:val="en-US" w:eastAsia="zh-CN"/>
        </w:rPr>
      </w:pPr>
    </w:p>
    <w:p w14:paraId="043827F2">
      <w:pPr>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2、授权磋商小组确定一名成交供应商并推荐一名成交候选供应商。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1E63FC9A">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0A02ABB4">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tc>
      </w:tr>
    </w:tbl>
    <w:p w14:paraId="3E3E650D">
      <w:pPr>
        <w:rPr>
          <w:rFonts w:hint="eastAsia" w:ascii="宋体" w:hAnsi="宋体" w:eastAsia="宋体" w:cs="宋体"/>
          <w:color w:val="auto"/>
          <w:highlight w:val="none"/>
        </w:rPr>
      </w:pPr>
    </w:p>
    <w:p w14:paraId="606E7B06">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27817"/>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驻马店市中心医院无创呼吸机、科研级正置光学显微镜医疗设备采购项目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3424"/>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31.2万元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 xml:space="preserve"> 31.2</w:t>
            </w:r>
            <w:r>
              <w:rPr>
                <w:rFonts w:hint="eastAsia" w:ascii="宋体" w:hAnsi="宋体" w:cs="宋体"/>
                <w:color w:val="auto"/>
                <w:highlight w:val="none"/>
                <w:lang w:val="en-US" w:eastAsia="zh-CN"/>
              </w:rPr>
              <w:t>万元。</w:t>
            </w:r>
          </w:p>
          <w:p w14:paraId="455E184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包1：预算金额：</w:t>
            </w:r>
            <w:r>
              <w:rPr>
                <w:rFonts w:hint="eastAsia" w:ascii="宋体" w:hAnsi="宋体" w:cs="宋体"/>
                <w:color w:val="auto"/>
                <w:kern w:val="0"/>
                <w:szCs w:val="21"/>
                <w:highlight w:val="none"/>
                <w:lang w:val="en-US" w:eastAsia="zh-CN"/>
              </w:rPr>
              <w:t>21.2</w:t>
            </w:r>
            <w:r>
              <w:rPr>
                <w:rFonts w:hint="eastAsia" w:ascii="宋体" w:hAnsi="宋体" w:eastAsia="宋体" w:cs="宋体"/>
                <w:color w:val="auto"/>
                <w:kern w:val="0"/>
                <w:szCs w:val="21"/>
                <w:highlight w:val="none"/>
              </w:rPr>
              <w:t>万元；最高限价：</w:t>
            </w:r>
            <w:r>
              <w:rPr>
                <w:rFonts w:hint="eastAsia" w:ascii="宋体" w:hAnsi="宋体" w:cs="宋体"/>
                <w:color w:val="auto"/>
                <w:kern w:val="0"/>
                <w:szCs w:val="21"/>
                <w:highlight w:val="none"/>
                <w:lang w:val="en-US" w:eastAsia="zh-CN"/>
              </w:rPr>
              <w:t>21.2</w:t>
            </w:r>
            <w:r>
              <w:rPr>
                <w:rFonts w:hint="eastAsia" w:ascii="宋体" w:hAnsi="宋体" w:eastAsia="宋体" w:cs="宋体"/>
                <w:color w:val="auto"/>
                <w:kern w:val="0"/>
                <w:szCs w:val="21"/>
                <w:highlight w:val="none"/>
              </w:rPr>
              <w:t xml:space="preserve">万元。 </w:t>
            </w:r>
          </w:p>
          <w:p w14:paraId="7AA5B18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包2：预算金额：</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万元；最高限价：</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6EBB053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31.2万元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 31.2万元</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其中：</w:t>
      </w:r>
    </w:p>
    <w:p w14:paraId="292840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包1：预算金额：</w:t>
      </w:r>
      <w:r>
        <w:rPr>
          <w:rFonts w:hint="eastAsia" w:ascii="宋体" w:hAnsi="宋体" w:eastAsia="宋体" w:cs="宋体"/>
          <w:color w:val="auto"/>
          <w:kern w:val="0"/>
          <w:szCs w:val="21"/>
          <w:highlight w:val="none"/>
          <w:lang w:val="en-US" w:eastAsia="zh-CN"/>
        </w:rPr>
        <w:t>21.2</w:t>
      </w:r>
      <w:r>
        <w:rPr>
          <w:rFonts w:hint="eastAsia" w:ascii="宋体" w:hAnsi="宋体" w:eastAsia="宋体" w:cs="宋体"/>
          <w:color w:val="auto"/>
          <w:kern w:val="0"/>
          <w:szCs w:val="21"/>
          <w:highlight w:val="none"/>
        </w:rPr>
        <w:t>万元；最高限价：</w:t>
      </w:r>
      <w:r>
        <w:rPr>
          <w:rFonts w:hint="eastAsia" w:ascii="宋体" w:hAnsi="宋体" w:eastAsia="宋体" w:cs="宋体"/>
          <w:color w:val="auto"/>
          <w:kern w:val="0"/>
          <w:szCs w:val="21"/>
          <w:highlight w:val="none"/>
          <w:lang w:val="en-US" w:eastAsia="zh-CN"/>
        </w:rPr>
        <w:t>21.2</w:t>
      </w:r>
      <w:r>
        <w:rPr>
          <w:rFonts w:hint="eastAsia" w:ascii="宋体" w:hAnsi="宋体" w:eastAsia="宋体" w:cs="宋体"/>
          <w:color w:val="auto"/>
          <w:kern w:val="0"/>
          <w:szCs w:val="21"/>
          <w:highlight w:val="none"/>
        </w:rPr>
        <w:t xml:space="preserve">万元。 </w:t>
      </w:r>
    </w:p>
    <w:p w14:paraId="413AD1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包2：预算金额：</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万元；最高限价：</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万元。</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057AF86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投标产品不属于医疗器械的，投标人可不提供）</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248D8B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重大违法记录是指供应商因违法经营受到刑事处罚或者责令停产停业、吊销许可证或者执照、较大数额罚款等行政处罚。</w:t>
      </w:r>
      <w:r>
        <w:rPr>
          <w:rFonts w:hint="eastAsia" w:ascii="宋体" w:hAnsi="宋体" w:cs="宋体"/>
          <w:color w:val="auto"/>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color w:val="auto"/>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2BBA0C5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 磋商</w:t>
      </w:r>
    </w:p>
    <w:p w14:paraId="757BF954">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对资格性检查和符合性检查合格的供应商，进入本次磋商程序。</w:t>
      </w:r>
    </w:p>
    <w:p w14:paraId="599C3D1E">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3CE8A080">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25.6.2 本次竞争性磋商进行</w:t>
      </w:r>
      <w:r>
        <w:rPr>
          <w:rFonts w:hint="eastAsia" w:ascii="宋体" w:hAnsi="宋体" w:eastAsia="宋体" w:cs="宋体"/>
          <w:b/>
          <w:bCs/>
          <w:color w:val="auto"/>
          <w:kern w:val="0"/>
          <w:szCs w:val="21"/>
          <w:highlight w:val="none"/>
          <w:u w:val="single"/>
        </w:rPr>
        <w:t xml:space="preserve"> 多 </w:t>
      </w:r>
      <w:r>
        <w:rPr>
          <w:rFonts w:hint="eastAsia" w:ascii="宋体" w:hAnsi="宋体" w:eastAsia="宋体" w:cs="宋体"/>
          <w:b/>
          <w:bCs/>
          <w:color w:val="auto"/>
          <w:kern w:val="0"/>
          <w:szCs w:val="21"/>
          <w:highlight w:val="none"/>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6CA94356">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6D979DEE">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包1：</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46</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1.产品技术参数（3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，所投产品</w:t>
            </w:r>
            <w:r>
              <w:rPr>
                <w:rFonts w:hint="eastAsia" w:ascii="宋体" w:hAnsi="宋体" w:cs="宋体"/>
                <w:color w:val="auto"/>
                <w:sz w:val="21"/>
                <w:szCs w:val="21"/>
                <w:highlight w:val="none"/>
                <w:lang w:val="en-US" w:eastAsia="zh-CN"/>
              </w:rPr>
              <w:t>技术参数</w:t>
            </w:r>
            <w:r>
              <w:rPr>
                <w:rFonts w:hint="eastAsia" w:ascii="宋体" w:hAnsi="宋体" w:eastAsia="宋体" w:cs="宋体"/>
                <w:color w:val="auto"/>
                <w:sz w:val="21"/>
                <w:szCs w:val="21"/>
                <w:highlight w:val="none"/>
                <w:lang w:val="en-US" w:eastAsia="zh-CN"/>
              </w:rPr>
              <w:t>全部满足磋商文件要求得3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分，带“★”号的技术参数为重要技术参数，有一项不满足的扣5分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不带“★”号的技术参数为一般性技术参数，有一项不满足的扣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分，扣完为止；如得分为0，则磋商无效。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129D9FD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2）供应商所投产品需提供医疗器械注册证【含附件：产品技术要求（如有）】或医疗器械备案凭证（非医疗器械可不提供），如未按要求提供，则磋商无效。</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产品注册检验报告（其中检验报告照片页必须提供）及响应技术参数条款的技术白皮书和彩页等相关文件，并对响应技术参数部分做出明显标注。未提供对应证明材料的，视为不满足该项参数要求，做扣分处理。</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1239" w:type="dxa"/>
            <w:vMerge w:val="continue"/>
            <w:noWrap w:val="0"/>
            <w:vAlign w:val="center"/>
          </w:tcPr>
          <w:p w14:paraId="719392E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6770" w:type="dxa"/>
            <w:noWrap w:val="0"/>
            <w:vAlign w:val="center"/>
          </w:tcPr>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0" w:hRule="atLeast"/>
          <w:jc w:val="center"/>
        </w:trPr>
        <w:tc>
          <w:tcPr>
            <w:tcW w:w="1239" w:type="dxa"/>
            <w:vMerge w:val="continue"/>
            <w:noWrap w:val="0"/>
            <w:vAlign w:val="center"/>
          </w:tcPr>
          <w:p w14:paraId="76E82C8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3A2586D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供应商提供的供货、安装、调试措施包括：①供货时间安排及保障措施；②人员配备及职责分工；③安装、调试服务方案及保障措施。</w:t>
            </w:r>
          </w:p>
          <w:p w14:paraId="13CF31D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措施具体详实、人员及工具配备合理、完全满足采购需求的得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3892985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有较具体的措施，基本满足采购需求的得2分；</w:t>
            </w:r>
          </w:p>
          <w:p w14:paraId="6D2763D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措施不完备，不能满足采购需求的得1分；</w:t>
            </w:r>
          </w:p>
          <w:p w14:paraId="5B49AF6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56ED69B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2953AB0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4F31F7E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26EFF6F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6C84F3A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r>
      <w:tr w14:paraId="728C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239" w:type="dxa"/>
            <w:vMerge w:val="continue"/>
            <w:noWrap w:val="0"/>
            <w:vAlign w:val="center"/>
          </w:tcPr>
          <w:p w14:paraId="348A9C4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74742F35">
            <w:pPr>
              <w:keepNext w:val="0"/>
              <w:keepLines w:val="0"/>
              <w:pageBreakBefore w:val="0"/>
              <w:kinsoku/>
              <w:wordWrap/>
              <w:overflowPunct/>
              <w:topLinePunct w:val="0"/>
              <w:bidi w:val="0"/>
              <w:snapToGrid w:val="0"/>
              <w:spacing w:line="36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2.质保期</w:t>
            </w:r>
          </w:p>
          <w:p w14:paraId="505836FE">
            <w:pPr>
              <w:keepNext w:val="0"/>
              <w:keepLines w:val="0"/>
              <w:pageBreakBefore w:val="0"/>
              <w:kinsoku/>
              <w:wordWrap/>
              <w:overflowPunct/>
              <w:topLinePunct w:val="0"/>
              <w:bidi w:val="0"/>
              <w:snapToGrid w:val="0"/>
              <w:spacing w:line="36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（4分）</w:t>
            </w:r>
          </w:p>
        </w:tc>
        <w:tc>
          <w:tcPr>
            <w:tcW w:w="6770" w:type="dxa"/>
            <w:noWrap w:val="0"/>
            <w:vAlign w:val="center"/>
          </w:tcPr>
          <w:p w14:paraId="6E61390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3BF4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239" w:type="dxa"/>
            <w:vMerge w:val="continue"/>
            <w:noWrap w:val="0"/>
            <w:vAlign w:val="center"/>
          </w:tcPr>
          <w:p w14:paraId="5C4076D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shd w:val="clear" w:color="auto" w:fill="auto"/>
            <w:noWrap w:val="0"/>
            <w:vAlign w:val="center"/>
          </w:tcPr>
          <w:p w14:paraId="4CC3A574">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cs="宋体"/>
                <w:b w:val="0"/>
                <w:bCs w:val="0"/>
                <w:color w:val="auto"/>
                <w:kern w:val="0"/>
                <w:sz w:val="21"/>
                <w:szCs w:val="21"/>
                <w:highlight w:val="none"/>
                <w:lang w:val="en-US" w:eastAsia="zh-CN"/>
              </w:rPr>
              <w:t>3.设备使用年限</w:t>
            </w:r>
            <w:r>
              <w:rPr>
                <w:rFonts w:hint="eastAsia" w:ascii="宋体" w:hAnsi="宋体" w:cs="宋体"/>
                <w:b w:val="0"/>
                <w:bCs w:val="0"/>
                <w:color w:val="auto"/>
                <w:sz w:val="21"/>
                <w:szCs w:val="21"/>
                <w:highlight w:val="none"/>
                <w:lang w:val="en-US" w:eastAsia="zh-CN"/>
              </w:rPr>
              <w:t>（4分）</w:t>
            </w:r>
          </w:p>
        </w:tc>
        <w:tc>
          <w:tcPr>
            <w:tcW w:w="6770" w:type="dxa"/>
            <w:shd w:val="clear" w:color="auto" w:fill="auto"/>
            <w:noWrap w:val="0"/>
            <w:vAlign w:val="center"/>
          </w:tcPr>
          <w:p w14:paraId="1DC783AC">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设备使用年限在6年的基础上，每增加一年加2分，最多加4分。</w:t>
            </w:r>
          </w:p>
          <w:p w14:paraId="64CC37A8">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注</w:t>
            </w:r>
            <w:r>
              <w:rPr>
                <w:rFonts w:hint="eastAsia" w:ascii="宋体" w:hAnsi="宋体" w:cs="宋体"/>
                <w:b w:val="0"/>
                <w:bCs w:val="0"/>
                <w:color w:val="auto"/>
                <w:sz w:val="21"/>
                <w:szCs w:val="21"/>
                <w:highlight w:val="none"/>
                <w:lang w:val="en-US" w:eastAsia="zh-CN"/>
              </w:rPr>
              <w:t>：</w:t>
            </w:r>
            <w:r>
              <w:rPr>
                <w:rFonts w:hint="eastAsia" w:ascii="宋体" w:hAnsi="宋体" w:cs="宋体"/>
                <w:color w:val="auto"/>
                <w:sz w:val="21"/>
                <w:szCs w:val="21"/>
                <w:highlight w:val="none"/>
                <w:lang w:val="en-US" w:eastAsia="zh-CN"/>
              </w:rPr>
              <w:t>提供注册检验报告照片页或备案证明</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未提供不得分。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atLeast"/>
          <w:jc w:val="center"/>
        </w:trPr>
        <w:tc>
          <w:tcPr>
            <w:tcW w:w="1239" w:type="dxa"/>
            <w:vMerge w:val="continue"/>
            <w:noWrap w:val="0"/>
            <w:vAlign w:val="center"/>
          </w:tcPr>
          <w:p w14:paraId="3909891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4.优惠承诺（4分）</w:t>
            </w:r>
          </w:p>
        </w:tc>
        <w:tc>
          <w:tcPr>
            <w:tcW w:w="6770" w:type="dxa"/>
            <w:noWrap w:val="0"/>
            <w:vAlign w:val="center"/>
          </w:tcPr>
          <w:p w14:paraId="6A730A71">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5</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6</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0CCAC1D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根据供应商提供的售后服务及培训方案进行评分，包括但不限于：①服务站点设立，售后服务团队及其联系方式、技术水平能力及职责分工；②日常设备维保方案；③故障响应时间；④应急维修措施预案；⑤培训方案。 </w:t>
            </w:r>
          </w:p>
          <w:p w14:paraId="0CAC90F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服务承诺符合本项目特点，措施详尽、人员专业性强、故障响应时间极快、日常维保方案及应急维修措施预案合理且可行，有具体的培训方案，得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 xml:space="preserve">分。 </w:t>
            </w:r>
          </w:p>
          <w:p w14:paraId="397949C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服务承诺符合本项目特点，人员专业性较强、故障响应时间快、日常维保方案及应急维修措施预案较合理，有较具体的培训方案的得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 xml:space="preserve">分； </w:t>
            </w:r>
          </w:p>
          <w:p w14:paraId="6D31447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服务承诺符合本项目特点，故障响应时间较长、应急维修措施预案不完备，培训方案不完备的得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 xml:space="preserve">分； </w:t>
            </w:r>
          </w:p>
          <w:p w14:paraId="7C694A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0C8306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jc w:val="center"/>
        <w:rPr>
          <w:rFonts w:hint="default" w:ascii="宋体" w:hAnsi="宋体" w:eastAsia="宋体" w:cs="宋体"/>
          <w:b/>
          <w:color w:val="auto"/>
          <w:highlight w:val="none"/>
          <w:lang w:val="en-US" w:eastAsia="zh-CN"/>
        </w:rPr>
      </w:pPr>
      <w:r>
        <w:rPr>
          <w:rFonts w:hint="eastAsia" w:ascii="宋体" w:hAnsi="宋体" w:eastAsia="宋体" w:cs="宋体"/>
          <w:b/>
          <w:color w:val="auto"/>
          <w:highlight w:val="none"/>
        </w:rPr>
        <w:br w:type="page"/>
      </w:r>
      <w:r>
        <w:rPr>
          <w:rFonts w:hint="eastAsia" w:ascii="宋体" w:hAnsi="宋体" w:cs="宋体"/>
          <w:b/>
          <w:color w:val="auto"/>
          <w:highlight w:val="none"/>
          <w:lang w:val="en-US" w:eastAsia="zh-CN"/>
        </w:rPr>
        <w:t>包2：</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B13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482" w:type="dxa"/>
            <w:gridSpan w:val="3"/>
            <w:noWrap w:val="0"/>
            <w:vAlign w:val="center"/>
          </w:tcPr>
          <w:p w14:paraId="746908E9">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39AA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atLeast"/>
          <w:jc w:val="center"/>
        </w:trPr>
        <w:tc>
          <w:tcPr>
            <w:tcW w:w="1239" w:type="dxa"/>
            <w:noWrap w:val="0"/>
            <w:vAlign w:val="center"/>
          </w:tcPr>
          <w:p w14:paraId="544CFED4">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9BEFCC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0F2AC4F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72CB0DB3">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6CF9A5BD">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6A03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0" w:hRule="atLeast"/>
          <w:jc w:val="center"/>
        </w:trPr>
        <w:tc>
          <w:tcPr>
            <w:tcW w:w="1239" w:type="dxa"/>
            <w:vMerge w:val="restart"/>
            <w:noWrap w:val="0"/>
            <w:vAlign w:val="center"/>
          </w:tcPr>
          <w:p w14:paraId="02466E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48</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08869E6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1.产品技术参数（35分）</w:t>
            </w:r>
          </w:p>
        </w:tc>
        <w:tc>
          <w:tcPr>
            <w:tcW w:w="6770" w:type="dxa"/>
            <w:noWrap w:val="0"/>
            <w:vAlign w:val="center"/>
          </w:tcPr>
          <w:p w14:paraId="34365E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，所投产品</w:t>
            </w:r>
            <w:r>
              <w:rPr>
                <w:rFonts w:hint="eastAsia" w:ascii="宋体" w:hAnsi="宋体" w:cs="宋体"/>
                <w:color w:val="auto"/>
                <w:sz w:val="21"/>
                <w:szCs w:val="21"/>
                <w:highlight w:val="none"/>
                <w:lang w:val="en-US" w:eastAsia="zh-CN"/>
              </w:rPr>
              <w:t>技术参数</w:t>
            </w:r>
            <w:r>
              <w:rPr>
                <w:rFonts w:hint="eastAsia" w:ascii="宋体" w:hAnsi="宋体" w:eastAsia="宋体" w:cs="宋体"/>
                <w:color w:val="auto"/>
                <w:sz w:val="21"/>
                <w:szCs w:val="21"/>
                <w:highlight w:val="none"/>
                <w:lang w:val="en-US" w:eastAsia="zh-CN"/>
              </w:rPr>
              <w:t>全部满足磋商文件要求得35分，带“★”号的技术参数为重要技术参数，有一项不满足的扣5分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不带“★”号的技术参数为一般性技术参数，有一项不满足的扣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分，扣完为止；如得分为0，则磋商无效。 </w:t>
            </w:r>
          </w:p>
          <w:p w14:paraId="20A300D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1A6793B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2）供应商所投产品需提供医疗器械注册证【含附件：产品技术要求（如有）】或医疗器械备案凭证（非医疗器械可不提供），如未按要求提供，则磋商无效。</w:t>
            </w:r>
          </w:p>
          <w:p w14:paraId="16EBA3B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产品注册检验报告（其中检验报告照片页必须提供）及响应技术参数条款的技术白皮书和彩页等相关文件，并对响应技术参数部分做出明显标注。未提供对应证明材料的，视为不满足该项参数要求，做扣分处理。</w:t>
            </w:r>
          </w:p>
        </w:tc>
      </w:tr>
      <w:tr w14:paraId="044D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1239" w:type="dxa"/>
            <w:vMerge w:val="continue"/>
            <w:noWrap w:val="0"/>
            <w:vAlign w:val="center"/>
          </w:tcPr>
          <w:p w14:paraId="3FBD1A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44BF7C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6770" w:type="dxa"/>
            <w:noWrap w:val="0"/>
            <w:vAlign w:val="center"/>
          </w:tcPr>
          <w:p w14:paraId="7403932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73A3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0" w:hRule="atLeast"/>
          <w:jc w:val="center"/>
        </w:trPr>
        <w:tc>
          <w:tcPr>
            <w:tcW w:w="1239" w:type="dxa"/>
            <w:vMerge w:val="continue"/>
            <w:noWrap w:val="0"/>
            <w:vAlign w:val="center"/>
          </w:tcPr>
          <w:p w14:paraId="4D6FC60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C577C45">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8</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6132CE6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供应商提供的供货、安装、调试措施包括：①供货时间安排及保障措施；②人员配备及职责分工；③安装、调试服务方案及保障措施。</w:t>
            </w:r>
          </w:p>
          <w:p w14:paraId="1D6013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措施具体详实、人员及工具配备合理、完全满足采购需求的得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20942A1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有较具体的措施，基本满足采购需求的得2分；</w:t>
            </w:r>
          </w:p>
          <w:p w14:paraId="6F5FBF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措施不完备，不能满足采购需求的得1分；</w:t>
            </w:r>
          </w:p>
          <w:p w14:paraId="1789164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缺项得0分。</w:t>
            </w:r>
          </w:p>
        </w:tc>
      </w:tr>
      <w:tr w14:paraId="2606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9" w:hRule="atLeast"/>
          <w:jc w:val="center"/>
        </w:trPr>
        <w:tc>
          <w:tcPr>
            <w:tcW w:w="1239" w:type="dxa"/>
            <w:vMerge w:val="continue"/>
            <w:noWrap w:val="0"/>
            <w:vAlign w:val="center"/>
          </w:tcPr>
          <w:p w14:paraId="4E61510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1D8057F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00949C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47CF1F1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2C1BBA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1E9592E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2696DDE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缺项得0分。</w:t>
            </w:r>
          </w:p>
        </w:tc>
      </w:tr>
      <w:tr w14:paraId="7677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1239" w:type="dxa"/>
            <w:vMerge w:val="restart"/>
            <w:noWrap w:val="0"/>
            <w:vAlign w:val="center"/>
          </w:tcPr>
          <w:p w14:paraId="2F7F7E1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69D79B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22</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72703450">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888C71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r>
      <w:tr w14:paraId="2149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1239" w:type="dxa"/>
            <w:vMerge w:val="continue"/>
            <w:noWrap w:val="0"/>
            <w:vAlign w:val="center"/>
          </w:tcPr>
          <w:p w14:paraId="50F2C77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6B546643">
            <w:pPr>
              <w:keepNext w:val="0"/>
              <w:keepLines w:val="0"/>
              <w:pageBreakBefore w:val="0"/>
              <w:kinsoku/>
              <w:wordWrap/>
              <w:overflowPunct/>
              <w:topLinePunct w:val="0"/>
              <w:bidi w:val="0"/>
              <w:snapToGrid w:val="0"/>
              <w:spacing w:line="360" w:lineRule="exact"/>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2.质保期（4分）</w:t>
            </w:r>
          </w:p>
        </w:tc>
        <w:tc>
          <w:tcPr>
            <w:tcW w:w="6770" w:type="dxa"/>
            <w:noWrap w:val="0"/>
            <w:vAlign w:val="center"/>
          </w:tcPr>
          <w:p w14:paraId="6227DA6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4155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atLeast"/>
          <w:jc w:val="center"/>
        </w:trPr>
        <w:tc>
          <w:tcPr>
            <w:tcW w:w="1239" w:type="dxa"/>
            <w:vMerge w:val="continue"/>
            <w:noWrap w:val="0"/>
            <w:vAlign w:val="center"/>
          </w:tcPr>
          <w:p w14:paraId="32FB4B3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3944F867">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3.优惠承诺（4分）</w:t>
            </w:r>
          </w:p>
        </w:tc>
        <w:tc>
          <w:tcPr>
            <w:tcW w:w="6770" w:type="dxa"/>
            <w:noWrap w:val="0"/>
            <w:vAlign w:val="center"/>
          </w:tcPr>
          <w:p w14:paraId="5F9D1C3C">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分。缺项得0分。</w:t>
            </w:r>
          </w:p>
        </w:tc>
      </w:tr>
      <w:tr w14:paraId="077A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239" w:type="dxa"/>
            <w:vMerge w:val="continue"/>
            <w:noWrap w:val="0"/>
            <w:vAlign w:val="center"/>
          </w:tcPr>
          <w:p w14:paraId="097A9C3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0F90AD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6B0AF02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根据供应商提供的售后服务及培训方案进行评分，包括但不限于：①服务站点设立，售后服务团队及其联系方式、技术水平能力及职责分工；②日常设备维保方案；③故障响应时间；④应急维修措施预案；⑤培训方案。 </w:t>
            </w:r>
          </w:p>
          <w:p w14:paraId="4FC1D61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服务承诺符合本项目特点，措施详尽、人员专业性强、故障响应时间极快、日常维保方案及应急维修措施预案合理且可行，有具体的培训方案，得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 xml:space="preserve">分。 </w:t>
            </w:r>
          </w:p>
          <w:p w14:paraId="7C1B9C8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服务承诺符合本项目特点，人员专业性较强、故障响应时间快、日常维保方案及应急维修措施预案较合理，有较具体的培训方案的得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 xml:space="preserve">分； </w:t>
            </w:r>
          </w:p>
          <w:p w14:paraId="6C50232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服务承诺符合本项目特点，故障响应时间较长、应急维修措施预案不完备，培训方案不完备的得2 分； </w:t>
            </w:r>
          </w:p>
          <w:p w14:paraId="6E017924">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缺项得0分。</w:t>
            </w:r>
          </w:p>
        </w:tc>
      </w:tr>
      <w:tr w14:paraId="385C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1239" w:type="dxa"/>
            <w:noWrap w:val="0"/>
            <w:vAlign w:val="top"/>
          </w:tcPr>
          <w:p w14:paraId="5BA23DF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78A348E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3693E2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C15B7B0">
      <w:pPr>
        <w:rPr>
          <w:rFonts w:hint="eastAsia" w:ascii="宋体" w:hAnsi="宋体" w:eastAsia="宋体" w:cs="宋体"/>
          <w:b/>
          <w:color w:val="auto"/>
          <w:highlight w:val="none"/>
        </w:rPr>
      </w:pP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02FA2CBF">
      <w:pPr>
        <w:pStyle w:val="3"/>
        <w:snapToGrid w:val="0"/>
        <w:spacing w:before="0" w:after="0" w:line="480" w:lineRule="auto"/>
        <w:jc w:val="center"/>
        <w:rPr>
          <w:rFonts w:hint="eastAsia" w:ascii="宋体" w:hAnsi="宋体" w:eastAsia="宋体" w:cs="宋体"/>
          <w:color w:val="auto"/>
          <w:sz w:val="28"/>
          <w:szCs w:val="28"/>
          <w:highlight w:val="none"/>
        </w:rPr>
        <w:sectPr>
          <w:pgSz w:w="11905" w:h="16838"/>
          <w:pgMar w:top="1417" w:right="1417" w:bottom="1417" w:left="1417" w:header="850" w:footer="624" w:gutter="0"/>
          <w:pgNumType w:fmt="decimal"/>
          <w:cols w:space="0" w:num="1"/>
          <w:rtlGutter w:val="0"/>
          <w:docGrid w:type="lines" w:linePitch="326" w:charSpace="0"/>
        </w:sectPr>
      </w:pPr>
      <w:bookmarkStart w:id="54" w:name="_Toc11904"/>
    </w:p>
    <w:p w14:paraId="5A0BE0D1">
      <w:pPr>
        <w:pStyle w:val="3"/>
        <w:snapToGrid w:val="0"/>
        <w:spacing w:before="0" w:after="0"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2564A523">
      <w:pPr>
        <w:snapToGrid w:val="0"/>
        <w:spacing w:line="360" w:lineRule="auto"/>
        <w:jc w:val="center"/>
        <w:rPr>
          <w:rFonts w:hint="eastAsia" w:ascii="宋体" w:hAnsi="宋体" w:eastAsia="宋体" w:cs="宋体"/>
          <w:b/>
          <w:color w:val="auto"/>
          <w:spacing w:val="90"/>
          <w:sz w:val="44"/>
          <w:szCs w:val="44"/>
          <w:highlight w:val="none"/>
          <w:lang w:val="en-US" w:eastAsia="zh-CN"/>
        </w:rPr>
      </w:pPr>
      <w:r>
        <w:rPr>
          <w:rFonts w:hint="eastAsia" w:ascii="宋体" w:hAnsi="宋体" w:eastAsia="宋体" w:cs="宋体"/>
          <w:b/>
          <w:color w:val="auto"/>
          <w:spacing w:val="90"/>
          <w:sz w:val="44"/>
          <w:szCs w:val="44"/>
          <w:highlight w:val="none"/>
          <w:lang w:val="en-US" w:eastAsia="zh-CN"/>
        </w:rPr>
        <w:t>包号及</w:t>
      </w:r>
      <w:r>
        <w:rPr>
          <w:rFonts w:hint="eastAsia" w:ascii="宋体" w:hAnsi="宋体" w:cs="宋体"/>
          <w:b/>
          <w:color w:val="auto"/>
          <w:spacing w:val="90"/>
          <w:sz w:val="44"/>
          <w:szCs w:val="44"/>
          <w:highlight w:val="none"/>
          <w:lang w:val="en-US" w:eastAsia="zh-CN"/>
        </w:rPr>
        <w:t>包</w:t>
      </w:r>
      <w:r>
        <w:rPr>
          <w:rFonts w:hint="eastAsia" w:ascii="宋体" w:hAnsi="宋体" w:eastAsia="宋体" w:cs="宋体"/>
          <w:b/>
          <w:color w:val="auto"/>
          <w:spacing w:val="90"/>
          <w:sz w:val="44"/>
          <w:szCs w:val="44"/>
          <w:highlight w:val="none"/>
          <w:lang w:val="en-US" w:eastAsia="zh-CN"/>
        </w:rPr>
        <w:t>名称：</w:t>
      </w:r>
    </w:p>
    <w:p w14:paraId="12BAAB55">
      <w:pPr>
        <w:snapToGrid w:val="0"/>
        <w:spacing w:line="360" w:lineRule="auto"/>
        <w:jc w:val="center"/>
        <w:rPr>
          <w:rFonts w:hint="eastAsia" w:ascii="宋体" w:hAnsi="宋体" w:eastAsia="宋体" w:cs="宋体"/>
          <w:b/>
          <w:color w:val="auto"/>
          <w:spacing w:val="90"/>
          <w:sz w:val="52"/>
          <w:szCs w:val="52"/>
          <w:highlight w:val="none"/>
          <w:lang w:val="en-US" w:eastAsia="zh-CN"/>
        </w:rPr>
      </w:pP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项目（包号及</w:t>
      </w:r>
      <w:r>
        <w:rPr>
          <w:rFonts w:hint="eastAsia" w:ascii="宋体" w:hAnsi="宋体" w:cs="宋体"/>
          <w:color w:val="auto"/>
          <w:kern w:val="0"/>
          <w:szCs w:val="21"/>
          <w:highlight w:val="none"/>
          <w:lang w:val="en-US" w:eastAsia="zh-CN"/>
        </w:rPr>
        <w:t>包</w:t>
      </w:r>
      <w:r>
        <w:rPr>
          <w:rFonts w:hint="eastAsia" w:ascii="宋体" w:hAnsi="宋体" w:eastAsia="宋体" w:cs="宋体"/>
          <w:color w:val="auto"/>
          <w:kern w:val="0"/>
          <w:szCs w:val="21"/>
          <w:highlight w:val="none"/>
        </w:rPr>
        <w:t>名称：</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154A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90ECC00">
            <w:pPr>
              <w:widowControl/>
              <w:snapToGrid w:val="0"/>
              <w:spacing w:before="50" w:after="5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包号及</w:t>
            </w:r>
            <w:r>
              <w:rPr>
                <w:rFonts w:hint="eastAsia" w:ascii="宋体" w:hAnsi="宋体" w:cs="宋体"/>
                <w:color w:val="auto"/>
                <w:kern w:val="0"/>
                <w:szCs w:val="21"/>
                <w:highlight w:val="none"/>
                <w:lang w:val="en-US" w:eastAsia="zh-CN"/>
              </w:rPr>
              <w:t>包</w:t>
            </w:r>
            <w:r>
              <w:rPr>
                <w:rFonts w:hint="eastAsia" w:ascii="宋体" w:hAnsi="宋体" w:eastAsia="宋体" w:cs="宋体"/>
                <w:color w:val="auto"/>
                <w:kern w:val="0"/>
                <w:szCs w:val="21"/>
                <w:highlight w:val="none"/>
              </w:rPr>
              <w:t>名称</w:t>
            </w:r>
          </w:p>
        </w:tc>
        <w:tc>
          <w:tcPr>
            <w:tcW w:w="7708" w:type="dxa"/>
            <w:noWrap/>
            <w:vAlign w:val="center"/>
          </w:tcPr>
          <w:p w14:paraId="4EFCCBD9">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单价（元）</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r>
              <w:rPr>
                <w:rFonts w:hint="eastAsia" w:ascii="宋体" w:hAnsi="宋体" w:cs="宋体"/>
                <w:color w:val="auto"/>
                <w:kern w:val="0"/>
                <w:sz w:val="24"/>
                <w:highlight w:val="none"/>
              </w:rPr>
              <w:t>（元）</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包号</w:t>
      </w:r>
      <w:r>
        <w:rPr>
          <w:rFonts w:hint="eastAsia" w:ascii="宋体" w:hAnsi="宋体" w:eastAsia="宋体" w:cs="宋体"/>
          <w:b/>
          <w:bCs/>
          <w:color w:val="auto"/>
          <w:kern w:val="0"/>
          <w:szCs w:val="21"/>
          <w:highlight w:val="none"/>
          <w:lang w:val="en-US" w:eastAsia="zh-CN"/>
        </w:rPr>
        <w:t>：</w:t>
      </w:r>
    </w:p>
    <w:p w14:paraId="48F290DC">
      <w:pPr>
        <w:pStyle w:val="33"/>
        <w:ind w:firstLine="3990" w:firstLineChars="1900"/>
        <w:rPr>
          <w:rFonts w:hint="eastAsia" w:ascii="宋体" w:hAnsi="宋体" w:eastAsia="宋体" w:cs="宋体"/>
          <w:color w:val="auto"/>
          <w:sz w:val="21"/>
          <w:szCs w:val="21"/>
          <w:highlight w:val="none"/>
          <w:lang w:eastAsia="zh-CN"/>
        </w:rPr>
      </w:pPr>
    </w:p>
    <w:p w14:paraId="3C53A5A9">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1078895F">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27ED91C5">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55B61DC8">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55B48089">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3C4107F0">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12FCF1E1">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60BF678F">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5FB8667">
      <w:pPr>
        <w:widowControl/>
        <w:wordWrap w:val="0"/>
        <w:spacing w:line="460" w:lineRule="exact"/>
        <w:ind w:firstLine="4800" w:firstLineChars="2000"/>
        <w:jc w:val="left"/>
        <w:rPr>
          <w:rFonts w:hint="eastAsia" w:ascii="宋体" w:hAnsi="宋体" w:eastAsia="宋体" w:cs="宋体"/>
          <w:color w:val="auto"/>
          <w:kern w:val="0"/>
          <w:sz w:val="24"/>
          <w:highlight w:val="none"/>
        </w:rPr>
        <w:sectPr>
          <w:pgSz w:w="11905" w:h="16838"/>
          <w:pgMar w:top="1417" w:right="1417" w:bottom="1417" w:left="1417" w:header="850" w:footer="624" w:gutter="0"/>
          <w:pgNumType w:fmt="decimal"/>
          <w:cols w:space="0" w:num="1"/>
          <w:rtlGutter w:val="0"/>
          <w:docGrid w:type="lines" w:linePitch="326" w:charSpace="0"/>
        </w:sectPr>
      </w:pPr>
    </w:p>
    <w:p w14:paraId="6C9E45D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5485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5FE0171E">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36895C4B">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3745E6E2">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2E817D0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83DCC3D">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6190FBCF">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30A9555B">
            <w:pPr>
              <w:keepNext w:val="0"/>
              <w:keepLines w:val="0"/>
              <w:widowControl/>
              <w:suppressLineNumbers w:val="0"/>
              <w:jc w:val="center"/>
              <w:rPr>
                <w:color w:val="auto"/>
                <w:sz w:val="21"/>
                <w:szCs w:val="21"/>
                <w:highlight w:val="none"/>
                <w:vertAlign w:val="baseline"/>
              </w:rPr>
            </w:pPr>
          </w:p>
        </w:tc>
        <w:tc>
          <w:tcPr>
            <w:tcW w:w="1046" w:type="dxa"/>
            <w:vAlign w:val="center"/>
          </w:tcPr>
          <w:p w14:paraId="29707C95">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2BFB2BD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21A4CA5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60D45F35">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7CB8AE26">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520C1D09">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570D1E25">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B1EEDD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3A57D450">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省、市、县</w:t>
            </w:r>
          </w:p>
          <w:p w14:paraId="6514EF41">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收费编码</w:t>
            </w:r>
          </w:p>
          <w:p w14:paraId="1E538380">
            <w:pPr>
              <w:widowControl w:val="0"/>
              <w:spacing w:line="320" w:lineRule="exact"/>
              <w:jc w:val="center"/>
              <w:outlineLvl w:val="0"/>
              <w:rPr>
                <w:color w:val="auto"/>
                <w:sz w:val="21"/>
                <w:szCs w:val="21"/>
                <w:highlight w:val="none"/>
                <w:vertAlign w:val="baseline"/>
              </w:rPr>
            </w:pPr>
            <w:r>
              <w:rPr>
                <w:rFonts w:hint="eastAsia" w:ascii="宋体" w:hAnsi="宋体" w:eastAsia="宋体" w:cs="宋体"/>
                <w:b/>
                <w:color w:val="auto"/>
                <w:sz w:val="21"/>
                <w:szCs w:val="21"/>
                <w:highlight w:val="none"/>
              </w:rPr>
              <w:t>收费标准</w:t>
            </w:r>
          </w:p>
        </w:tc>
      </w:tr>
      <w:tr w14:paraId="1289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0187621B">
            <w:pPr>
              <w:widowControl w:val="0"/>
              <w:rPr>
                <w:color w:val="auto"/>
                <w:highlight w:val="none"/>
                <w:vertAlign w:val="baseline"/>
              </w:rPr>
            </w:pPr>
          </w:p>
        </w:tc>
        <w:tc>
          <w:tcPr>
            <w:tcW w:w="1447" w:type="dxa"/>
            <w:vMerge w:val="restart"/>
          </w:tcPr>
          <w:p w14:paraId="54FB675A">
            <w:pPr>
              <w:widowControl w:val="0"/>
              <w:rPr>
                <w:color w:val="auto"/>
                <w:highlight w:val="none"/>
                <w:vertAlign w:val="baseline"/>
              </w:rPr>
            </w:pPr>
          </w:p>
        </w:tc>
        <w:tc>
          <w:tcPr>
            <w:tcW w:w="1447" w:type="dxa"/>
          </w:tcPr>
          <w:p w14:paraId="2C7124E3">
            <w:pPr>
              <w:widowControl w:val="0"/>
              <w:rPr>
                <w:color w:val="auto"/>
                <w:highlight w:val="none"/>
                <w:vertAlign w:val="baseline"/>
              </w:rPr>
            </w:pPr>
          </w:p>
        </w:tc>
        <w:tc>
          <w:tcPr>
            <w:tcW w:w="1046" w:type="dxa"/>
          </w:tcPr>
          <w:p w14:paraId="716D3B0E">
            <w:pPr>
              <w:widowControl w:val="0"/>
              <w:rPr>
                <w:color w:val="auto"/>
                <w:highlight w:val="none"/>
                <w:vertAlign w:val="baseline"/>
              </w:rPr>
            </w:pPr>
          </w:p>
        </w:tc>
        <w:tc>
          <w:tcPr>
            <w:tcW w:w="1046" w:type="dxa"/>
          </w:tcPr>
          <w:p w14:paraId="62B7F70D">
            <w:pPr>
              <w:widowControl w:val="0"/>
              <w:rPr>
                <w:color w:val="auto"/>
                <w:highlight w:val="none"/>
                <w:vertAlign w:val="baseline"/>
              </w:rPr>
            </w:pPr>
          </w:p>
        </w:tc>
        <w:tc>
          <w:tcPr>
            <w:tcW w:w="1046" w:type="dxa"/>
          </w:tcPr>
          <w:p w14:paraId="73988888">
            <w:pPr>
              <w:widowControl w:val="0"/>
              <w:rPr>
                <w:color w:val="auto"/>
                <w:highlight w:val="none"/>
                <w:vertAlign w:val="baseline"/>
              </w:rPr>
            </w:pPr>
          </w:p>
        </w:tc>
        <w:tc>
          <w:tcPr>
            <w:tcW w:w="1164" w:type="dxa"/>
          </w:tcPr>
          <w:p w14:paraId="5293AA4F">
            <w:pPr>
              <w:widowControl w:val="0"/>
              <w:rPr>
                <w:color w:val="auto"/>
                <w:highlight w:val="none"/>
                <w:vertAlign w:val="baseline"/>
              </w:rPr>
            </w:pPr>
          </w:p>
        </w:tc>
        <w:tc>
          <w:tcPr>
            <w:tcW w:w="929" w:type="dxa"/>
          </w:tcPr>
          <w:p w14:paraId="5C02F784">
            <w:pPr>
              <w:widowControl w:val="0"/>
              <w:rPr>
                <w:color w:val="auto"/>
                <w:highlight w:val="none"/>
                <w:vertAlign w:val="baseline"/>
              </w:rPr>
            </w:pPr>
          </w:p>
        </w:tc>
        <w:tc>
          <w:tcPr>
            <w:tcW w:w="929" w:type="dxa"/>
          </w:tcPr>
          <w:p w14:paraId="6EC410E7">
            <w:pPr>
              <w:widowControl w:val="0"/>
              <w:rPr>
                <w:color w:val="auto"/>
                <w:highlight w:val="none"/>
                <w:vertAlign w:val="baseline"/>
              </w:rPr>
            </w:pPr>
          </w:p>
        </w:tc>
        <w:tc>
          <w:tcPr>
            <w:tcW w:w="1046" w:type="dxa"/>
          </w:tcPr>
          <w:p w14:paraId="51877425">
            <w:pPr>
              <w:widowControl w:val="0"/>
              <w:rPr>
                <w:color w:val="auto"/>
                <w:highlight w:val="none"/>
                <w:vertAlign w:val="baseline"/>
              </w:rPr>
            </w:pPr>
          </w:p>
        </w:tc>
        <w:tc>
          <w:tcPr>
            <w:tcW w:w="1609" w:type="dxa"/>
          </w:tcPr>
          <w:p w14:paraId="75AAFF6C">
            <w:pPr>
              <w:widowControl w:val="0"/>
              <w:rPr>
                <w:color w:val="auto"/>
                <w:highlight w:val="none"/>
                <w:vertAlign w:val="baseline"/>
              </w:rPr>
            </w:pPr>
          </w:p>
        </w:tc>
        <w:tc>
          <w:tcPr>
            <w:tcW w:w="1908" w:type="dxa"/>
          </w:tcPr>
          <w:p w14:paraId="6CC91C2F">
            <w:pPr>
              <w:widowControl w:val="0"/>
              <w:rPr>
                <w:color w:val="auto"/>
                <w:highlight w:val="none"/>
                <w:vertAlign w:val="baseline"/>
              </w:rPr>
            </w:pPr>
          </w:p>
        </w:tc>
      </w:tr>
      <w:tr w14:paraId="5B13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317721BF">
            <w:pPr>
              <w:widowControl w:val="0"/>
              <w:rPr>
                <w:color w:val="auto"/>
                <w:highlight w:val="none"/>
                <w:vertAlign w:val="baseline"/>
              </w:rPr>
            </w:pPr>
          </w:p>
        </w:tc>
        <w:tc>
          <w:tcPr>
            <w:tcW w:w="1447" w:type="dxa"/>
            <w:vMerge w:val="continue"/>
          </w:tcPr>
          <w:p w14:paraId="182F5D1A">
            <w:pPr>
              <w:widowControl w:val="0"/>
              <w:rPr>
                <w:color w:val="auto"/>
                <w:highlight w:val="none"/>
                <w:vertAlign w:val="baseline"/>
              </w:rPr>
            </w:pPr>
          </w:p>
        </w:tc>
        <w:tc>
          <w:tcPr>
            <w:tcW w:w="1447" w:type="dxa"/>
          </w:tcPr>
          <w:p w14:paraId="2645A85D">
            <w:pPr>
              <w:widowControl w:val="0"/>
              <w:rPr>
                <w:color w:val="auto"/>
                <w:highlight w:val="none"/>
                <w:vertAlign w:val="baseline"/>
              </w:rPr>
            </w:pPr>
          </w:p>
        </w:tc>
        <w:tc>
          <w:tcPr>
            <w:tcW w:w="1046" w:type="dxa"/>
          </w:tcPr>
          <w:p w14:paraId="322F03A3">
            <w:pPr>
              <w:widowControl w:val="0"/>
              <w:rPr>
                <w:color w:val="auto"/>
                <w:highlight w:val="none"/>
                <w:vertAlign w:val="baseline"/>
              </w:rPr>
            </w:pPr>
          </w:p>
        </w:tc>
        <w:tc>
          <w:tcPr>
            <w:tcW w:w="1046" w:type="dxa"/>
          </w:tcPr>
          <w:p w14:paraId="5839E488">
            <w:pPr>
              <w:widowControl w:val="0"/>
              <w:rPr>
                <w:color w:val="auto"/>
                <w:highlight w:val="none"/>
                <w:vertAlign w:val="baseline"/>
              </w:rPr>
            </w:pPr>
          </w:p>
        </w:tc>
        <w:tc>
          <w:tcPr>
            <w:tcW w:w="1046" w:type="dxa"/>
          </w:tcPr>
          <w:p w14:paraId="61E554C5">
            <w:pPr>
              <w:widowControl w:val="0"/>
              <w:rPr>
                <w:color w:val="auto"/>
                <w:highlight w:val="none"/>
                <w:vertAlign w:val="baseline"/>
              </w:rPr>
            </w:pPr>
          </w:p>
        </w:tc>
        <w:tc>
          <w:tcPr>
            <w:tcW w:w="1164" w:type="dxa"/>
          </w:tcPr>
          <w:p w14:paraId="7325F22F">
            <w:pPr>
              <w:widowControl w:val="0"/>
              <w:rPr>
                <w:color w:val="auto"/>
                <w:highlight w:val="none"/>
                <w:vertAlign w:val="baseline"/>
              </w:rPr>
            </w:pPr>
          </w:p>
        </w:tc>
        <w:tc>
          <w:tcPr>
            <w:tcW w:w="929" w:type="dxa"/>
          </w:tcPr>
          <w:p w14:paraId="1E3A93EC">
            <w:pPr>
              <w:widowControl w:val="0"/>
              <w:rPr>
                <w:color w:val="auto"/>
                <w:highlight w:val="none"/>
                <w:vertAlign w:val="baseline"/>
              </w:rPr>
            </w:pPr>
          </w:p>
        </w:tc>
        <w:tc>
          <w:tcPr>
            <w:tcW w:w="929" w:type="dxa"/>
          </w:tcPr>
          <w:p w14:paraId="55FD2E33">
            <w:pPr>
              <w:widowControl w:val="0"/>
              <w:rPr>
                <w:color w:val="auto"/>
                <w:highlight w:val="none"/>
                <w:vertAlign w:val="baseline"/>
              </w:rPr>
            </w:pPr>
          </w:p>
        </w:tc>
        <w:tc>
          <w:tcPr>
            <w:tcW w:w="1046" w:type="dxa"/>
          </w:tcPr>
          <w:p w14:paraId="72386FDE">
            <w:pPr>
              <w:widowControl w:val="0"/>
              <w:rPr>
                <w:color w:val="auto"/>
                <w:highlight w:val="none"/>
                <w:vertAlign w:val="baseline"/>
              </w:rPr>
            </w:pPr>
          </w:p>
        </w:tc>
        <w:tc>
          <w:tcPr>
            <w:tcW w:w="1609" w:type="dxa"/>
          </w:tcPr>
          <w:p w14:paraId="1E79FC71">
            <w:pPr>
              <w:widowControl w:val="0"/>
              <w:rPr>
                <w:color w:val="auto"/>
                <w:highlight w:val="none"/>
                <w:vertAlign w:val="baseline"/>
              </w:rPr>
            </w:pPr>
          </w:p>
        </w:tc>
        <w:tc>
          <w:tcPr>
            <w:tcW w:w="1908" w:type="dxa"/>
          </w:tcPr>
          <w:p w14:paraId="19F256E7">
            <w:pPr>
              <w:widowControl w:val="0"/>
              <w:rPr>
                <w:color w:val="auto"/>
                <w:highlight w:val="none"/>
                <w:vertAlign w:val="baseline"/>
              </w:rPr>
            </w:pPr>
          </w:p>
        </w:tc>
      </w:tr>
      <w:tr w14:paraId="5BBB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04141500">
            <w:pPr>
              <w:widowControl w:val="0"/>
              <w:rPr>
                <w:color w:val="auto"/>
                <w:highlight w:val="none"/>
                <w:vertAlign w:val="baseline"/>
              </w:rPr>
            </w:pPr>
          </w:p>
        </w:tc>
        <w:tc>
          <w:tcPr>
            <w:tcW w:w="1447" w:type="dxa"/>
            <w:vMerge w:val="restart"/>
          </w:tcPr>
          <w:p w14:paraId="2E837B42">
            <w:pPr>
              <w:widowControl w:val="0"/>
              <w:rPr>
                <w:color w:val="auto"/>
                <w:highlight w:val="none"/>
                <w:vertAlign w:val="baseline"/>
              </w:rPr>
            </w:pPr>
          </w:p>
        </w:tc>
        <w:tc>
          <w:tcPr>
            <w:tcW w:w="1447" w:type="dxa"/>
          </w:tcPr>
          <w:p w14:paraId="5C4C6C19">
            <w:pPr>
              <w:widowControl w:val="0"/>
              <w:rPr>
                <w:color w:val="auto"/>
                <w:highlight w:val="none"/>
                <w:vertAlign w:val="baseline"/>
              </w:rPr>
            </w:pPr>
          </w:p>
        </w:tc>
        <w:tc>
          <w:tcPr>
            <w:tcW w:w="1046" w:type="dxa"/>
          </w:tcPr>
          <w:p w14:paraId="7BF710A3">
            <w:pPr>
              <w:widowControl w:val="0"/>
              <w:rPr>
                <w:color w:val="auto"/>
                <w:highlight w:val="none"/>
                <w:vertAlign w:val="baseline"/>
              </w:rPr>
            </w:pPr>
          </w:p>
        </w:tc>
        <w:tc>
          <w:tcPr>
            <w:tcW w:w="1046" w:type="dxa"/>
          </w:tcPr>
          <w:p w14:paraId="788EB814">
            <w:pPr>
              <w:widowControl w:val="0"/>
              <w:rPr>
                <w:color w:val="auto"/>
                <w:highlight w:val="none"/>
                <w:vertAlign w:val="baseline"/>
              </w:rPr>
            </w:pPr>
          </w:p>
        </w:tc>
        <w:tc>
          <w:tcPr>
            <w:tcW w:w="1046" w:type="dxa"/>
          </w:tcPr>
          <w:p w14:paraId="0FCE72F1">
            <w:pPr>
              <w:widowControl w:val="0"/>
              <w:rPr>
                <w:color w:val="auto"/>
                <w:highlight w:val="none"/>
                <w:vertAlign w:val="baseline"/>
              </w:rPr>
            </w:pPr>
          </w:p>
        </w:tc>
        <w:tc>
          <w:tcPr>
            <w:tcW w:w="1164" w:type="dxa"/>
          </w:tcPr>
          <w:p w14:paraId="7448F49D">
            <w:pPr>
              <w:widowControl w:val="0"/>
              <w:rPr>
                <w:color w:val="auto"/>
                <w:highlight w:val="none"/>
                <w:vertAlign w:val="baseline"/>
              </w:rPr>
            </w:pPr>
          </w:p>
        </w:tc>
        <w:tc>
          <w:tcPr>
            <w:tcW w:w="929" w:type="dxa"/>
          </w:tcPr>
          <w:p w14:paraId="7FD9CBB1">
            <w:pPr>
              <w:widowControl w:val="0"/>
              <w:rPr>
                <w:color w:val="auto"/>
                <w:highlight w:val="none"/>
                <w:vertAlign w:val="baseline"/>
              </w:rPr>
            </w:pPr>
          </w:p>
        </w:tc>
        <w:tc>
          <w:tcPr>
            <w:tcW w:w="929" w:type="dxa"/>
          </w:tcPr>
          <w:p w14:paraId="194C8DAD">
            <w:pPr>
              <w:widowControl w:val="0"/>
              <w:rPr>
                <w:color w:val="auto"/>
                <w:highlight w:val="none"/>
                <w:vertAlign w:val="baseline"/>
              </w:rPr>
            </w:pPr>
          </w:p>
        </w:tc>
        <w:tc>
          <w:tcPr>
            <w:tcW w:w="1046" w:type="dxa"/>
          </w:tcPr>
          <w:p w14:paraId="5B994240">
            <w:pPr>
              <w:widowControl w:val="0"/>
              <w:rPr>
                <w:color w:val="auto"/>
                <w:highlight w:val="none"/>
                <w:vertAlign w:val="baseline"/>
              </w:rPr>
            </w:pPr>
          </w:p>
        </w:tc>
        <w:tc>
          <w:tcPr>
            <w:tcW w:w="1609" w:type="dxa"/>
          </w:tcPr>
          <w:p w14:paraId="116C39C8">
            <w:pPr>
              <w:widowControl w:val="0"/>
              <w:rPr>
                <w:color w:val="auto"/>
                <w:highlight w:val="none"/>
                <w:vertAlign w:val="baseline"/>
              </w:rPr>
            </w:pPr>
          </w:p>
        </w:tc>
        <w:tc>
          <w:tcPr>
            <w:tcW w:w="1908" w:type="dxa"/>
          </w:tcPr>
          <w:p w14:paraId="2FA01083">
            <w:pPr>
              <w:widowControl w:val="0"/>
              <w:rPr>
                <w:color w:val="auto"/>
                <w:highlight w:val="none"/>
                <w:vertAlign w:val="baseline"/>
              </w:rPr>
            </w:pPr>
          </w:p>
        </w:tc>
      </w:tr>
      <w:tr w14:paraId="5B96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517C685">
            <w:pPr>
              <w:widowControl w:val="0"/>
              <w:rPr>
                <w:color w:val="auto"/>
                <w:highlight w:val="none"/>
                <w:vertAlign w:val="baseline"/>
              </w:rPr>
            </w:pPr>
          </w:p>
        </w:tc>
        <w:tc>
          <w:tcPr>
            <w:tcW w:w="1447" w:type="dxa"/>
            <w:vMerge w:val="continue"/>
          </w:tcPr>
          <w:p w14:paraId="1F762871">
            <w:pPr>
              <w:widowControl w:val="0"/>
              <w:rPr>
                <w:color w:val="auto"/>
                <w:highlight w:val="none"/>
                <w:vertAlign w:val="baseline"/>
              </w:rPr>
            </w:pPr>
          </w:p>
        </w:tc>
        <w:tc>
          <w:tcPr>
            <w:tcW w:w="1447" w:type="dxa"/>
          </w:tcPr>
          <w:p w14:paraId="7BAAADC4">
            <w:pPr>
              <w:widowControl w:val="0"/>
              <w:rPr>
                <w:color w:val="auto"/>
                <w:highlight w:val="none"/>
                <w:vertAlign w:val="baseline"/>
              </w:rPr>
            </w:pPr>
          </w:p>
        </w:tc>
        <w:tc>
          <w:tcPr>
            <w:tcW w:w="1046" w:type="dxa"/>
          </w:tcPr>
          <w:p w14:paraId="76F3830B">
            <w:pPr>
              <w:widowControl w:val="0"/>
              <w:rPr>
                <w:color w:val="auto"/>
                <w:highlight w:val="none"/>
                <w:vertAlign w:val="baseline"/>
              </w:rPr>
            </w:pPr>
          </w:p>
        </w:tc>
        <w:tc>
          <w:tcPr>
            <w:tcW w:w="1046" w:type="dxa"/>
          </w:tcPr>
          <w:p w14:paraId="438FAC11">
            <w:pPr>
              <w:widowControl w:val="0"/>
              <w:rPr>
                <w:color w:val="auto"/>
                <w:highlight w:val="none"/>
                <w:vertAlign w:val="baseline"/>
              </w:rPr>
            </w:pPr>
          </w:p>
        </w:tc>
        <w:tc>
          <w:tcPr>
            <w:tcW w:w="1046" w:type="dxa"/>
          </w:tcPr>
          <w:p w14:paraId="46798584">
            <w:pPr>
              <w:widowControl w:val="0"/>
              <w:rPr>
                <w:color w:val="auto"/>
                <w:highlight w:val="none"/>
                <w:vertAlign w:val="baseline"/>
              </w:rPr>
            </w:pPr>
          </w:p>
        </w:tc>
        <w:tc>
          <w:tcPr>
            <w:tcW w:w="1164" w:type="dxa"/>
          </w:tcPr>
          <w:p w14:paraId="4DAE3F5A">
            <w:pPr>
              <w:widowControl w:val="0"/>
              <w:rPr>
                <w:color w:val="auto"/>
                <w:highlight w:val="none"/>
                <w:vertAlign w:val="baseline"/>
              </w:rPr>
            </w:pPr>
          </w:p>
        </w:tc>
        <w:tc>
          <w:tcPr>
            <w:tcW w:w="929" w:type="dxa"/>
          </w:tcPr>
          <w:p w14:paraId="7316F991">
            <w:pPr>
              <w:widowControl w:val="0"/>
              <w:rPr>
                <w:color w:val="auto"/>
                <w:highlight w:val="none"/>
                <w:vertAlign w:val="baseline"/>
              </w:rPr>
            </w:pPr>
          </w:p>
        </w:tc>
        <w:tc>
          <w:tcPr>
            <w:tcW w:w="929" w:type="dxa"/>
          </w:tcPr>
          <w:p w14:paraId="28DC1957">
            <w:pPr>
              <w:widowControl w:val="0"/>
              <w:rPr>
                <w:color w:val="auto"/>
                <w:highlight w:val="none"/>
                <w:vertAlign w:val="baseline"/>
              </w:rPr>
            </w:pPr>
          </w:p>
        </w:tc>
        <w:tc>
          <w:tcPr>
            <w:tcW w:w="1046" w:type="dxa"/>
          </w:tcPr>
          <w:p w14:paraId="24CB3E17">
            <w:pPr>
              <w:widowControl w:val="0"/>
              <w:rPr>
                <w:color w:val="auto"/>
                <w:highlight w:val="none"/>
                <w:vertAlign w:val="baseline"/>
              </w:rPr>
            </w:pPr>
          </w:p>
        </w:tc>
        <w:tc>
          <w:tcPr>
            <w:tcW w:w="1609" w:type="dxa"/>
          </w:tcPr>
          <w:p w14:paraId="6D9DED3D">
            <w:pPr>
              <w:widowControl w:val="0"/>
              <w:rPr>
                <w:color w:val="auto"/>
                <w:highlight w:val="none"/>
                <w:vertAlign w:val="baseline"/>
              </w:rPr>
            </w:pPr>
          </w:p>
        </w:tc>
        <w:tc>
          <w:tcPr>
            <w:tcW w:w="1908" w:type="dxa"/>
          </w:tcPr>
          <w:p w14:paraId="38794F9A">
            <w:pPr>
              <w:widowControl w:val="0"/>
              <w:rPr>
                <w:color w:val="auto"/>
                <w:highlight w:val="none"/>
                <w:vertAlign w:val="baseline"/>
              </w:rPr>
            </w:pPr>
          </w:p>
        </w:tc>
      </w:tr>
    </w:tbl>
    <w:p w14:paraId="1CD73064">
      <w:pPr>
        <w:rPr>
          <w:color w:val="auto"/>
          <w:highlight w:val="none"/>
        </w:rPr>
      </w:pPr>
    </w:p>
    <w:p w14:paraId="7A2683C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67812197">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C84FE5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FB6A11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6FD82E09">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30E7F0E6">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2AD56EF7">
      <w:pPr>
        <w:pStyle w:val="24"/>
        <w:rPr>
          <w:rFonts w:hint="eastAsia" w:ascii="宋体" w:hAnsi="宋体" w:cs="宋体"/>
          <w:color w:val="auto"/>
          <w:kern w:val="0"/>
          <w:sz w:val="24"/>
          <w:highlight w:val="none"/>
        </w:rPr>
      </w:pPr>
    </w:p>
    <w:p w14:paraId="6FD5CC4F">
      <w:pPr>
        <w:pStyle w:val="24"/>
        <w:rPr>
          <w:rFonts w:hint="eastAsia" w:ascii="宋体" w:hAnsi="宋体" w:cs="宋体"/>
          <w:color w:val="auto"/>
          <w:kern w:val="0"/>
          <w:sz w:val="24"/>
          <w:highlight w:val="none"/>
        </w:rPr>
      </w:pPr>
    </w:p>
    <w:p w14:paraId="4C2A423C">
      <w:pPr>
        <w:pStyle w:val="24"/>
        <w:rPr>
          <w:rFonts w:hint="eastAsia" w:ascii="宋体" w:hAnsi="宋体" w:cs="宋体"/>
          <w:color w:val="auto"/>
          <w:kern w:val="0"/>
          <w:sz w:val="24"/>
          <w:highlight w:val="none"/>
        </w:rPr>
      </w:pPr>
    </w:p>
    <w:p w14:paraId="18AF9744">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60AAACF1">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4E26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14EF42B">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78C0A65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7C5B8371">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7E1D66CA">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2682F914">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6651ACED">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06EEED94">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2A640F83">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2380A2F5">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6C972D7B">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0E52C15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555A91FA">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63150940">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1E5A0A98">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6F95EF4">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1AD671F2">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3DFBE64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F0F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FEF0B72">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03FCC955">
            <w:pPr>
              <w:widowControl w:val="0"/>
              <w:rPr>
                <w:color w:val="auto"/>
                <w:highlight w:val="none"/>
                <w:vertAlign w:val="baseline"/>
              </w:rPr>
            </w:pPr>
          </w:p>
        </w:tc>
        <w:tc>
          <w:tcPr>
            <w:tcW w:w="1393" w:type="dxa"/>
          </w:tcPr>
          <w:p w14:paraId="1C02FB8D">
            <w:pPr>
              <w:widowControl w:val="0"/>
              <w:rPr>
                <w:color w:val="auto"/>
                <w:highlight w:val="none"/>
                <w:vertAlign w:val="baseline"/>
              </w:rPr>
            </w:pPr>
          </w:p>
        </w:tc>
        <w:tc>
          <w:tcPr>
            <w:tcW w:w="1060" w:type="dxa"/>
          </w:tcPr>
          <w:p w14:paraId="25D7A055">
            <w:pPr>
              <w:widowControl w:val="0"/>
              <w:rPr>
                <w:color w:val="auto"/>
                <w:highlight w:val="none"/>
                <w:vertAlign w:val="baseline"/>
              </w:rPr>
            </w:pPr>
          </w:p>
        </w:tc>
        <w:tc>
          <w:tcPr>
            <w:tcW w:w="1060" w:type="dxa"/>
          </w:tcPr>
          <w:p w14:paraId="3ACED026">
            <w:pPr>
              <w:widowControl w:val="0"/>
              <w:rPr>
                <w:color w:val="auto"/>
                <w:highlight w:val="none"/>
                <w:vertAlign w:val="baseline"/>
              </w:rPr>
            </w:pPr>
          </w:p>
        </w:tc>
        <w:tc>
          <w:tcPr>
            <w:tcW w:w="1060" w:type="dxa"/>
          </w:tcPr>
          <w:p w14:paraId="731BA564">
            <w:pPr>
              <w:widowControl w:val="0"/>
              <w:rPr>
                <w:color w:val="auto"/>
                <w:highlight w:val="none"/>
                <w:vertAlign w:val="baseline"/>
              </w:rPr>
            </w:pPr>
          </w:p>
        </w:tc>
        <w:tc>
          <w:tcPr>
            <w:tcW w:w="1060" w:type="dxa"/>
          </w:tcPr>
          <w:p w14:paraId="23C59B16">
            <w:pPr>
              <w:widowControl w:val="0"/>
              <w:rPr>
                <w:color w:val="auto"/>
                <w:highlight w:val="none"/>
                <w:vertAlign w:val="baseline"/>
              </w:rPr>
            </w:pPr>
          </w:p>
        </w:tc>
        <w:tc>
          <w:tcPr>
            <w:tcW w:w="1060" w:type="dxa"/>
          </w:tcPr>
          <w:p w14:paraId="449E1500">
            <w:pPr>
              <w:widowControl w:val="0"/>
              <w:rPr>
                <w:color w:val="auto"/>
                <w:highlight w:val="none"/>
                <w:vertAlign w:val="baseline"/>
              </w:rPr>
            </w:pPr>
          </w:p>
        </w:tc>
        <w:tc>
          <w:tcPr>
            <w:tcW w:w="1277" w:type="dxa"/>
          </w:tcPr>
          <w:p w14:paraId="4A9277D7">
            <w:pPr>
              <w:widowControl w:val="0"/>
              <w:rPr>
                <w:color w:val="auto"/>
                <w:highlight w:val="none"/>
                <w:vertAlign w:val="baseline"/>
              </w:rPr>
            </w:pPr>
          </w:p>
        </w:tc>
        <w:tc>
          <w:tcPr>
            <w:tcW w:w="1486" w:type="dxa"/>
          </w:tcPr>
          <w:p w14:paraId="795DACD8">
            <w:pPr>
              <w:widowControl w:val="0"/>
              <w:rPr>
                <w:color w:val="auto"/>
                <w:highlight w:val="none"/>
                <w:vertAlign w:val="baseline"/>
              </w:rPr>
            </w:pPr>
          </w:p>
        </w:tc>
        <w:tc>
          <w:tcPr>
            <w:tcW w:w="1560" w:type="dxa"/>
          </w:tcPr>
          <w:p w14:paraId="727355DC">
            <w:pPr>
              <w:widowControl w:val="0"/>
              <w:rPr>
                <w:color w:val="auto"/>
                <w:highlight w:val="none"/>
                <w:vertAlign w:val="baseline"/>
              </w:rPr>
            </w:pPr>
          </w:p>
        </w:tc>
        <w:tc>
          <w:tcPr>
            <w:tcW w:w="1080" w:type="dxa"/>
          </w:tcPr>
          <w:p w14:paraId="4ED6AC5A">
            <w:pPr>
              <w:widowControl w:val="0"/>
              <w:rPr>
                <w:color w:val="auto"/>
                <w:highlight w:val="none"/>
                <w:vertAlign w:val="baseline"/>
              </w:rPr>
            </w:pPr>
          </w:p>
        </w:tc>
      </w:tr>
      <w:tr w14:paraId="7FFC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79F98A61">
            <w:pPr>
              <w:widowControl w:val="0"/>
              <w:jc w:val="center"/>
              <w:rPr>
                <w:rFonts w:hint="eastAsia" w:ascii="宋体" w:hAnsi="宋体" w:eastAsia="宋体" w:cs="宋体"/>
                <w:color w:val="auto"/>
                <w:highlight w:val="none"/>
                <w:vertAlign w:val="baseline"/>
              </w:rPr>
            </w:pPr>
          </w:p>
        </w:tc>
        <w:tc>
          <w:tcPr>
            <w:tcW w:w="1543" w:type="dxa"/>
            <w:vMerge w:val="continue"/>
          </w:tcPr>
          <w:p w14:paraId="0351D36A">
            <w:pPr>
              <w:widowControl w:val="0"/>
              <w:rPr>
                <w:color w:val="auto"/>
                <w:highlight w:val="none"/>
                <w:vertAlign w:val="baseline"/>
              </w:rPr>
            </w:pPr>
          </w:p>
        </w:tc>
        <w:tc>
          <w:tcPr>
            <w:tcW w:w="1393" w:type="dxa"/>
          </w:tcPr>
          <w:p w14:paraId="34EE2A20">
            <w:pPr>
              <w:widowControl w:val="0"/>
              <w:rPr>
                <w:color w:val="auto"/>
                <w:highlight w:val="none"/>
                <w:vertAlign w:val="baseline"/>
              </w:rPr>
            </w:pPr>
          </w:p>
        </w:tc>
        <w:tc>
          <w:tcPr>
            <w:tcW w:w="1060" w:type="dxa"/>
          </w:tcPr>
          <w:p w14:paraId="433C3640">
            <w:pPr>
              <w:widowControl w:val="0"/>
              <w:rPr>
                <w:color w:val="auto"/>
                <w:highlight w:val="none"/>
                <w:vertAlign w:val="baseline"/>
              </w:rPr>
            </w:pPr>
          </w:p>
        </w:tc>
        <w:tc>
          <w:tcPr>
            <w:tcW w:w="1060" w:type="dxa"/>
          </w:tcPr>
          <w:p w14:paraId="2B7BB963">
            <w:pPr>
              <w:widowControl w:val="0"/>
              <w:rPr>
                <w:color w:val="auto"/>
                <w:highlight w:val="none"/>
                <w:vertAlign w:val="baseline"/>
              </w:rPr>
            </w:pPr>
          </w:p>
        </w:tc>
        <w:tc>
          <w:tcPr>
            <w:tcW w:w="1060" w:type="dxa"/>
          </w:tcPr>
          <w:p w14:paraId="2EB8C574">
            <w:pPr>
              <w:widowControl w:val="0"/>
              <w:rPr>
                <w:color w:val="auto"/>
                <w:highlight w:val="none"/>
                <w:vertAlign w:val="baseline"/>
              </w:rPr>
            </w:pPr>
          </w:p>
        </w:tc>
        <w:tc>
          <w:tcPr>
            <w:tcW w:w="1060" w:type="dxa"/>
          </w:tcPr>
          <w:p w14:paraId="29798D8B">
            <w:pPr>
              <w:widowControl w:val="0"/>
              <w:rPr>
                <w:color w:val="auto"/>
                <w:highlight w:val="none"/>
                <w:vertAlign w:val="baseline"/>
              </w:rPr>
            </w:pPr>
          </w:p>
        </w:tc>
        <w:tc>
          <w:tcPr>
            <w:tcW w:w="1060" w:type="dxa"/>
          </w:tcPr>
          <w:p w14:paraId="48776E6A">
            <w:pPr>
              <w:widowControl w:val="0"/>
              <w:rPr>
                <w:color w:val="auto"/>
                <w:highlight w:val="none"/>
                <w:vertAlign w:val="baseline"/>
              </w:rPr>
            </w:pPr>
          </w:p>
        </w:tc>
        <w:tc>
          <w:tcPr>
            <w:tcW w:w="1277" w:type="dxa"/>
          </w:tcPr>
          <w:p w14:paraId="02ECA3DA">
            <w:pPr>
              <w:widowControl w:val="0"/>
              <w:rPr>
                <w:color w:val="auto"/>
                <w:highlight w:val="none"/>
                <w:vertAlign w:val="baseline"/>
              </w:rPr>
            </w:pPr>
          </w:p>
        </w:tc>
        <w:tc>
          <w:tcPr>
            <w:tcW w:w="1486" w:type="dxa"/>
          </w:tcPr>
          <w:p w14:paraId="4D5865F4">
            <w:pPr>
              <w:widowControl w:val="0"/>
              <w:rPr>
                <w:color w:val="auto"/>
                <w:highlight w:val="none"/>
                <w:vertAlign w:val="baseline"/>
              </w:rPr>
            </w:pPr>
          </w:p>
        </w:tc>
        <w:tc>
          <w:tcPr>
            <w:tcW w:w="1560" w:type="dxa"/>
          </w:tcPr>
          <w:p w14:paraId="33454DD6">
            <w:pPr>
              <w:widowControl w:val="0"/>
              <w:rPr>
                <w:color w:val="auto"/>
                <w:highlight w:val="none"/>
                <w:vertAlign w:val="baseline"/>
              </w:rPr>
            </w:pPr>
          </w:p>
        </w:tc>
        <w:tc>
          <w:tcPr>
            <w:tcW w:w="1080" w:type="dxa"/>
          </w:tcPr>
          <w:p w14:paraId="78CE114A">
            <w:pPr>
              <w:widowControl w:val="0"/>
              <w:rPr>
                <w:color w:val="auto"/>
                <w:highlight w:val="none"/>
                <w:vertAlign w:val="baseline"/>
              </w:rPr>
            </w:pPr>
          </w:p>
        </w:tc>
      </w:tr>
      <w:tr w14:paraId="3894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5FBD0781">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29F11A88">
            <w:pPr>
              <w:widowControl w:val="0"/>
              <w:rPr>
                <w:color w:val="auto"/>
                <w:highlight w:val="none"/>
                <w:vertAlign w:val="baseline"/>
              </w:rPr>
            </w:pPr>
          </w:p>
        </w:tc>
        <w:tc>
          <w:tcPr>
            <w:tcW w:w="1393" w:type="dxa"/>
          </w:tcPr>
          <w:p w14:paraId="24A3E097">
            <w:pPr>
              <w:widowControl w:val="0"/>
              <w:rPr>
                <w:color w:val="auto"/>
                <w:highlight w:val="none"/>
                <w:vertAlign w:val="baseline"/>
              </w:rPr>
            </w:pPr>
          </w:p>
        </w:tc>
        <w:tc>
          <w:tcPr>
            <w:tcW w:w="1060" w:type="dxa"/>
          </w:tcPr>
          <w:p w14:paraId="79E94F62">
            <w:pPr>
              <w:widowControl w:val="0"/>
              <w:rPr>
                <w:color w:val="auto"/>
                <w:highlight w:val="none"/>
                <w:vertAlign w:val="baseline"/>
              </w:rPr>
            </w:pPr>
          </w:p>
        </w:tc>
        <w:tc>
          <w:tcPr>
            <w:tcW w:w="1060" w:type="dxa"/>
          </w:tcPr>
          <w:p w14:paraId="078DCFF1">
            <w:pPr>
              <w:widowControl w:val="0"/>
              <w:rPr>
                <w:color w:val="auto"/>
                <w:highlight w:val="none"/>
                <w:vertAlign w:val="baseline"/>
              </w:rPr>
            </w:pPr>
          </w:p>
        </w:tc>
        <w:tc>
          <w:tcPr>
            <w:tcW w:w="1060" w:type="dxa"/>
          </w:tcPr>
          <w:p w14:paraId="776DF200">
            <w:pPr>
              <w:widowControl w:val="0"/>
              <w:rPr>
                <w:color w:val="auto"/>
                <w:highlight w:val="none"/>
                <w:vertAlign w:val="baseline"/>
              </w:rPr>
            </w:pPr>
          </w:p>
        </w:tc>
        <w:tc>
          <w:tcPr>
            <w:tcW w:w="1060" w:type="dxa"/>
          </w:tcPr>
          <w:p w14:paraId="6EBA35D6">
            <w:pPr>
              <w:widowControl w:val="0"/>
              <w:rPr>
                <w:color w:val="auto"/>
                <w:highlight w:val="none"/>
                <w:vertAlign w:val="baseline"/>
              </w:rPr>
            </w:pPr>
          </w:p>
        </w:tc>
        <w:tc>
          <w:tcPr>
            <w:tcW w:w="1060" w:type="dxa"/>
          </w:tcPr>
          <w:p w14:paraId="4D36E946">
            <w:pPr>
              <w:widowControl w:val="0"/>
              <w:rPr>
                <w:color w:val="auto"/>
                <w:highlight w:val="none"/>
                <w:vertAlign w:val="baseline"/>
              </w:rPr>
            </w:pPr>
          </w:p>
        </w:tc>
        <w:tc>
          <w:tcPr>
            <w:tcW w:w="1277" w:type="dxa"/>
          </w:tcPr>
          <w:p w14:paraId="6B52766B">
            <w:pPr>
              <w:widowControl w:val="0"/>
              <w:rPr>
                <w:color w:val="auto"/>
                <w:highlight w:val="none"/>
                <w:vertAlign w:val="baseline"/>
              </w:rPr>
            </w:pPr>
          </w:p>
        </w:tc>
        <w:tc>
          <w:tcPr>
            <w:tcW w:w="1486" w:type="dxa"/>
          </w:tcPr>
          <w:p w14:paraId="6BFF364F">
            <w:pPr>
              <w:widowControl w:val="0"/>
              <w:rPr>
                <w:color w:val="auto"/>
                <w:highlight w:val="none"/>
                <w:vertAlign w:val="baseline"/>
              </w:rPr>
            </w:pPr>
          </w:p>
        </w:tc>
        <w:tc>
          <w:tcPr>
            <w:tcW w:w="1560" w:type="dxa"/>
          </w:tcPr>
          <w:p w14:paraId="2313DD2D">
            <w:pPr>
              <w:widowControl w:val="0"/>
              <w:rPr>
                <w:color w:val="auto"/>
                <w:highlight w:val="none"/>
                <w:vertAlign w:val="baseline"/>
              </w:rPr>
            </w:pPr>
          </w:p>
        </w:tc>
        <w:tc>
          <w:tcPr>
            <w:tcW w:w="1080" w:type="dxa"/>
          </w:tcPr>
          <w:p w14:paraId="3E69212A">
            <w:pPr>
              <w:widowControl w:val="0"/>
              <w:rPr>
                <w:color w:val="auto"/>
                <w:highlight w:val="none"/>
                <w:vertAlign w:val="baseline"/>
              </w:rPr>
            </w:pPr>
          </w:p>
        </w:tc>
      </w:tr>
      <w:tr w14:paraId="639A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1412FF56">
            <w:pPr>
              <w:widowControl w:val="0"/>
              <w:rPr>
                <w:color w:val="auto"/>
                <w:highlight w:val="none"/>
                <w:vertAlign w:val="baseline"/>
              </w:rPr>
            </w:pPr>
          </w:p>
        </w:tc>
        <w:tc>
          <w:tcPr>
            <w:tcW w:w="1543" w:type="dxa"/>
            <w:vMerge w:val="continue"/>
          </w:tcPr>
          <w:p w14:paraId="78D594FC">
            <w:pPr>
              <w:widowControl w:val="0"/>
              <w:rPr>
                <w:color w:val="auto"/>
                <w:highlight w:val="none"/>
                <w:vertAlign w:val="baseline"/>
              </w:rPr>
            </w:pPr>
          </w:p>
        </w:tc>
        <w:tc>
          <w:tcPr>
            <w:tcW w:w="1393" w:type="dxa"/>
          </w:tcPr>
          <w:p w14:paraId="5A9A025A">
            <w:pPr>
              <w:widowControl w:val="0"/>
              <w:rPr>
                <w:color w:val="auto"/>
                <w:highlight w:val="none"/>
                <w:vertAlign w:val="baseline"/>
              </w:rPr>
            </w:pPr>
          </w:p>
        </w:tc>
        <w:tc>
          <w:tcPr>
            <w:tcW w:w="1060" w:type="dxa"/>
          </w:tcPr>
          <w:p w14:paraId="6F853041">
            <w:pPr>
              <w:widowControl w:val="0"/>
              <w:rPr>
                <w:color w:val="auto"/>
                <w:highlight w:val="none"/>
                <w:vertAlign w:val="baseline"/>
              </w:rPr>
            </w:pPr>
          </w:p>
        </w:tc>
        <w:tc>
          <w:tcPr>
            <w:tcW w:w="1060" w:type="dxa"/>
          </w:tcPr>
          <w:p w14:paraId="54A58F72">
            <w:pPr>
              <w:widowControl w:val="0"/>
              <w:rPr>
                <w:color w:val="auto"/>
                <w:highlight w:val="none"/>
                <w:vertAlign w:val="baseline"/>
              </w:rPr>
            </w:pPr>
          </w:p>
        </w:tc>
        <w:tc>
          <w:tcPr>
            <w:tcW w:w="1060" w:type="dxa"/>
          </w:tcPr>
          <w:p w14:paraId="564DD258">
            <w:pPr>
              <w:widowControl w:val="0"/>
              <w:rPr>
                <w:color w:val="auto"/>
                <w:highlight w:val="none"/>
                <w:vertAlign w:val="baseline"/>
              </w:rPr>
            </w:pPr>
          </w:p>
        </w:tc>
        <w:tc>
          <w:tcPr>
            <w:tcW w:w="1060" w:type="dxa"/>
          </w:tcPr>
          <w:p w14:paraId="7BE2C6F5">
            <w:pPr>
              <w:widowControl w:val="0"/>
              <w:rPr>
                <w:color w:val="auto"/>
                <w:highlight w:val="none"/>
                <w:vertAlign w:val="baseline"/>
              </w:rPr>
            </w:pPr>
          </w:p>
        </w:tc>
        <w:tc>
          <w:tcPr>
            <w:tcW w:w="1060" w:type="dxa"/>
          </w:tcPr>
          <w:p w14:paraId="7A937128">
            <w:pPr>
              <w:widowControl w:val="0"/>
              <w:rPr>
                <w:color w:val="auto"/>
                <w:highlight w:val="none"/>
                <w:vertAlign w:val="baseline"/>
              </w:rPr>
            </w:pPr>
          </w:p>
        </w:tc>
        <w:tc>
          <w:tcPr>
            <w:tcW w:w="1277" w:type="dxa"/>
          </w:tcPr>
          <w:p w14:paraId="28013A28">
            <w:pPr>
              <w:widowControl w:val="0"/>
              <w:rPr>
                <w:color w:val="auto"/>
                <w:highlight w:val="none"/>
                <w:vertAlign w:val="baseline"/>
              </w:rPr>
            </w:pPr>
          </w:p>
        </w:tc>
        <w:tc>
          <w:tcPr>
            <w:tcW w:w="1486" w:type="dxa"/>
          </w:tcPr>
          <w:p w14:paraId="1BAD6D9C">
            <w:pPr>
              <w:widowControl w:val="0"/>
              <w:rPr>
                <w:color w:val="auto"/>
                <w:highlight w:val="none"/>
                <w:vertAlign w:val="baseline"/>
              </w:rPr>
            </w:pPr>
          </w:p>
        </w:tc>
        <w:tc>
          <w:tcPr>
            <w:tcW w:w="1560" w:type="dxa"/>
          </w:tcPr>
          <w:p w14:paraId="756A0248">
            <w:pPr>
              <w:widowControl w:val="0"/>
              <w:rPr>
                <w:color w:val="auto"/>
                <w:highlight w:val="none"/>
                <w:vertAlign w:val="baseline"/>
              </w:rPr>
            </w:pPr>
          </w:p>
        </w:tc>
        <w:tc>
          <w:tcPr>
            <w:tcW w:w="1080" w:type="dxa"/>
          </w:tcPr>
          <w:p w14:paraId="75FB7A35">
            <w:pPr>
              <w:widowControl w:val="0"/>
              <w:rPr>
                <w:color w:val="auto"/>
                <w:highlight w:val="none"/>
                <w:vertAlign w:val="baseline"/>
              </w:rPr>
            </w:pPr>
          </w:p>
        </w:tc>
      </w:tr>
    </w:tbl>
    <w:p w14:paraId="05366F6B">
      <w:pPr>
        <w:rPr>
          <w:color w:val="auto"/>
          <w:highlight w:val="none"/>
        </w:rPr>
      </w:pPr>
    </w:p>
    <w:p w14:paraId="17D3467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70D154E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B965E72">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34ACBA2">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645DBB56">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2B8AE523">
      <w:pPr>
        <w:pStyle w:val="24"/>
        <w:rPr>
          <w:rFonts w:hint="eastAsia" w:ascii="宋体" w:hAnsi="宋体" w:cs="宋体"/>
          <w:color w:val="auto"/>
          <w:kern w:val="0"/>
          <w:sz w:val="24"/>
          <w:highlight w:val="none"/>
        </w:rPr>
      </w:pPr>
    </w:p>
    <w:p w14:paraId="5684A79D">
      <w:pPr>
        <w:pStyle w:val="24"/>
        <w:rPr>
          <w:rFonts w:hint="eastAsia" w:ascii="宋体" w:hAnsi="宋体" w:cs="宋体"/>
          <w:color w:val="auto"/>
          <w:kern w:val="0"/>
          <w:sz w:val="24"/>
          <w:highlight w:val="none"/>
        </w:rPr>
        <w:sectPr>
          <w:pgSz w:w="16838" w:h="11905" w:orient="landscape"/>
          <w:pgMar w:top="1417" w:right="1417" w:bottom="1417" w:left="1417" w:header="850" w:footer="624" w:gutter="0"/>
          <w:pgNumType w:fmt="decimal"/>
          <w:cols w:space="0" w:num="1"/>
          <w:rtlGutter w:val="0"/>
          <w:docGrid w:type="lines" w:linePitch="326" w:charSpace="0"/>
        </w:sectPr>
      </w:pPr>
    </w:p>
    <w:p w14:paraId="5CD84FBB">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70CD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7090551">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7527D61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64A26DE1">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49FE96B">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65C936E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7F8E0D98">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3592B1E2">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25E0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6ED13EA">
            <w:pPr>
              <w:widowControl w:val="0"/>
              <w:jc w:val="center"/>
              <w:rPr>
                <w:rFonts w:hint="default"/>
                <w:color w:val="auto"/>
                <w:highlight w:val="none"/>
                <w:vertAlign w:val="baseline"/>
                <w:lang w:val="en-US" w:eastAsia="zh-CN"/>
              </w:rPr>
            </w:pPr>
          </w:p>
        </w:tc>
        <w:tc>
          <w:tcPr>
            <w:tcW w:w="1676" w:type="dxa"/>
            <w:vAlign w:val="center"/>
          </w:tcPr>
          <w:p w14:paraId="38943755">
            <w:pPr>
              <w:widowControl w:val="0"/>
              <w:jc w:val="center"/>
              <w:rPr>
                <w:rFonts w:hint="default"/>
                <w:color w:val="auto"/>
                <w:highlight w:val="none"/>
                <w:vertAlign w:val="baseline"/>
                <w:lang w:val="en-US" w:eastAsia="zh-CN"/>
              </w:rPr>
            </w:pPr>
          </w:p>
        </w:tc>
        <w:tc>
          <w:tcPr>
            <w:tcW w:w="1238" w:type="dxa"/>
            <w:vAlign w:val="center"/>
          </w:tcPr>
          <w:p w14:paraId="1AED8B40">
            <w:pPr>
              <w:widowControl w:val="0"/>
              <w:jc w:val="center"/>
              <w:rPr>
                <w:rFonts w:hint="default"/>
                <w:color w:val="auto"/>
                <w:highlight w:val="none"/>
                <w:vertAlign w:val="baseline"/>
                <w:lang w:val="en-US" w:eastAsia="zh-CN"/>
              </w:rPr>
            </w:pPr>
          </w:p>
        </w:tc>
        <w:tc>
          <w:tcPr>
            <w:tcW w:w="1238" w:type="dxa"/>
            <w:vAlign w:val="center"/>
          </w:tcPr>
          <w:p w14:paraId="101A99CF">
            <w:pPr>
              <w:widowControl w:val="0"/>
              <w:jc w:val="center"/>
              <w:rPr>
                <w:rFonts w:hint="default"/>
                <w:color w:val="auto"/>
                <w:highlight w:val="none"/>
                <w:vertAlign w:val="baseline"/>
                <w:lang w:val="en-US" w:eastAsia="zh-CN"/>
              </w:rPr>
            </w:pPr>
          </w:p>
        </w:tc>
        <w:tc>
          <w:tcPr>
            <w:tcW w:w="1238" w:type="dxa"/>
            <w:vAlign w:val="center"/>
          </w:tcPr>
          <w:p w14:paraId="16FB57E7">
            <w:pPr>
              <w:widowControl w:val="0"/>
              <w:jc w:val="center"/>
              <w:rPr>
                <w:rFonts w:hint="default"/>
                <w:color w:val="auto"/>
                <w:highlight w:val="none"/>
                <w:vertAlign w:val="baseline"/>
                <w:lang w:val="en-US" w:eastAsia="zh-CN"/>
              </w:rPr>
            </w:pPr>
          </w:p>
        </w:tc>
        <w:tc>
          <w:tcPr>
            <w:tcW w:w="1023" w:type="dxa"/>
            <w:vAlign w:val="center"/>
          </w:tcPr>
          <w:p w14:paraId="3CC7590F">
            <w:pPr>
              <w:widowControl w:val="0"/>
              <w:jc w:val="center"/>
              <w:rPr>
                <w:rFonts w:hint="default"/>
                <w:color w:val="auto"/>
                <w:highlight w:val="none"/>
                <w:vertAlign w:val="baseline"/>
                <w:lang w:val="en-US" w:eastAsia="zh-CN"/>
              </w:rPr>
            </w:pPr>
          </w:p>
        </w:tc>
        <w:tc>
          <w:tcPr>
            <w:tcW w:w="1800" w:type="dxa"/>
            <w:vAlign w:val="center"/>
          </w:tcPr>
          <w:p w14:paraId="2D75B359">
            <w:pPr>
              <w:widowControl w:val="0"/>
              <w:jc w:val="center"/>
              <w:rPr>
                <w:rFonts w:hint="default"/>
                <w:color w:val="auto"/>
                <w:highlight w:val="none"/>
                <w:vertAlign w:val="baseline"/>
                <w:lang w:val="en-US" w:eastAsia="zh-CN"/>
              </w:rPr>
            </w:pPr>
          </w:p>
        </w:tc>
      </w:tr>
      <w:tr w14:paraId="0245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19C2BAD">
            <w:pPr>
              <w:widowControl w:val="0"/>
              <w:jc w:val="center"/>
              <w:rPr>
                <w:rFonts w:hint="default"/>
                <w:color w:val="auto"/>
                <w:highlight w:val="none"/>
                <w:vertAlign w:val="baseline"/>
                <w:lang w:val="en-US" w:eastAsia="zh-CN"/>
              </w:rPr>
            </w:pPr>
          </w:p>
        </w:tc>
        <w:tc>
          <w:tcPr>
            <w:tcW w:w="1676" w:type="dxa"/>
            <w:vAlign w:val="center"/>
          </w:tcPr>
          <w:p w14:paraId="5BD9E458">
            <w:pPr>
              <w:widowControl w:val="0"/>
              <w:jc w:val="center"/>
              <w:rPr>
                <w:rFonts w:hint="default"/>
                <w:color w:val="auto"/>
                <w:highlight w:val="none"/>
                <w:vertAlign w:val="baseline"/>
                <w:lang w:val="en-US" w:eastAsia="zh-CN"/>
              </w:rPr>
            </w:pPr>
          </w:p>
        </w:tc>
        <w:tc>
          <w:tcPr>
            <w:tcW w:w="1238" w:type="dxa"/>
            <w:vAlign w:val="center"/>
          </w:tcPr>
          <w:p w14:paraId="60216B7C">
            <w:pPr>
              <w:widowControl w:val="0"/>
              <w:jc w:val="center"/>
              <w:rPr>
                <w:rFonts w:hint="default"/>
                <w:color w:val="auto"/>
                <w:highlight w:val="none"/>
                <w:vertAlign w:val="baseline"/>
                <w:lang w:val="en-US" w:eastAsia="zh-CN"/>
              </w:rPr>
            </w:pPr>
          </w:p>
        </w:tc>
        <w:tc>
          <w:tcPr>
            <w:tcW w:w="1238" w:type="dxa"/>
            <w:vAlign w:val="center"/>
          </w:tcPr>
          <w:p w14:paraId="51A1F3C1">
            <w:pPr>
              <w:widowControl w:val="0"/>
              <w:jc w:val="center"/>
              <w:rPr>
                <w:rFonts w:hint="default"/>
                <w:color w:val="auto"/>
                <w:highlight w:val="none"/>
                <w:vertAlign w:val="baseline"/>
                <w:lang w:val="en-US" w:eastAsia="zh-CN"/>
              </w:rPr>
            </w:pPr>
          </w:p>
        </w:tc>
        <w:tc>
          <w:tcPr>
            <w:tcW w:w="1238" w:type="dxa"/>
            <w:vAlign w:val="center"/>
          </w:tcPr>
          <w:p w14:paraId="1F805364">
            <w:pPr>
              <w:widowControl w:val="0"/>
              <w:jc w:val="center"/>
              <w:rPr>
                <w:rFonts w:hint="default"/>
                <w:color w:val="auto"/>
                <w:highlight w:val="none"/>
                <w:vertAlign w:val="baseline"/>
                <w:lang w:val="en-US" w:eastAsia="zh-CN"/>
              </w:rPr>
            </w:pPr>
          </w:p>
        </w:tc>
        <w:tc>
          <w:tcPr>
            <w:tcW w:w="1023" w:type="dxa"/>
            <w:vAlign w:val="center"/>
          </w:tcPr>
          <w:p w14:paraId="4CA19A3D">
            <w:pPr>
              <w:widowControl w:val="0"/>
              <w:jc w:val="center"/>
              <w:rPr>
                <w:rFonts w:hint="default"/>
                <w:color w:val="auto"/>
                <w:highlight w:val="none"/>
                <w:vertAlign w:val="baseline"/>
                <w:lang w:val="en-US" w:eastAsia="zh-CN"/>
              </w:rPr>
            </w:pPr>
          </w:p>
        </w:tc>
        <w:tc>
          <w:tcPr>
            <w:tcW w:w="1800" w:type="dxa"/>
            <w:vAlign w:val="center"/>
          </w:tcPr>
          <w:p w14:paraId="141F8306">
            <w:pPr>
              <w:widowControl w:val="0"/>
              <w:jc w:val="center"/>
              <w:rPr>
                <w:rFonts w:hint="default"/>
                <w:color w:val="auto"/>
                <w:highlight w:val="none"/>
                <w:vertAlign w:val="baseline"/>
                <w:lang w:val="en-US" w:eastAsia="zh-CN"/>
              </w:rPr>
            </w:pPr>
          </w:p>
        </w:tc>
      </w:tr>
      <w:tr w14:paraId="3061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278D9CEF">
            <w:pPr>
              <w:widowControl w:val="0"/>
              <w:jc w:val="center"/>
              <w:rPr>
                <w:rFonts w:hint="default"/>
                <w:color w:val="auto"/>
                <w:highlight w:val="none"/>
                <w:vertAlign w:val="baseline"/>
                <w:lang w:val="en-US" w:eastAsia="zh-CN"/>
              </w:rPr>
            </w:pPr>
          </w:p>
        </w:tc>
        <w:tc>
          <w:tcPr>
            <w:tcW w:w="1676" w:type="dxa"/>
            <w:vAlign w:val="center"/>
          </w:tcPr>
          <w:p w14:paraId="492E9C32">
            <w:pPr>
              <w:widowControl w:val="0"/>
              <w:jc w:val="center"/>
              <w:rPr>
                <w:rFonts w:hint="default"/>
                <w:color w:val="auto"/>
                <w:highlight w:val="none"/>
                <w:vertAlign w:val="baseline"/>
                <w:lang w:val="en-US" w:eastAsia="zh-CN"/>
              </w:rPr>
            </w:pPr>
          </w:p>
        </w:tc>
        <w:tc>
          <w:tcPr>
            <w:tcW w:w="1238" w:type="dxa"/>
            <w:vAlign w:val="center"/>
          </w:tcPr>
          <w:p w14:paraId="53CEC469">
            <w:pPr>
              <w:widowControl w:val="0"/>
              <w:jc w:val="center"/>
              <w:rPr>
                <w:rFonts w:hint="default"/>
                <w:color w:val="auto"/>
                <w:highlight w:val="none"/>
                <w:vertAlign w:val="baseline"/>
                <w:lang w:val="en-US" w:eastAsia="zh-CN"/>
              </w:rPr>
            </w:pPr>
          </w:p>
        </w:tc>
        <w:tc>
          <w:tcPr>
            <w:tcW w:w="1238" w:type="dxa"/>
            <w:vAlign w:val="center"/>
          </w:tcPr>
          <w:p w14:paraId="2C05E607">
            <w:pPr>
              <w:widowControl w:val="0"/>
              <w:jc w:val="center"/>
              <w:rPr>
                <w:rFonts w:hint="default"/>
                <w:color w:val="auto"/>
                <w:highlight w:val="none"/>
                <w:vertAlign w:val="baseline"/>
                <w:lang w:val="en-US" w:eastAsia="zh-CN"/>
              </w:rPr>
            </w:pPr>
          </w:p>
        </w:tc>
        <w:tc>
          <w:tcPr>
            <w:tcW w:w="1238" w:type="dxa"/>
            <w:vAlign w:val="center"/>
          </w:tcPr>
          <w:p w14:paraId="6BBFEDB9">
            <w:pPr>
              <w:widowControl w:val="0"/>
              <w:jc w:val="center"/>
              <w:rPr>
                <w:rFonts w:hint="default"/>
                <w:color w:val="auto"/>
                <w:highlight w:val="none"/>
                <w:vertAlign w:val="baseline"/>
                <w:lang w:val="en-US" w:eastAsia="zh-CN"/>
              </w:rPr>
            </w:pPr>
          </w:p>
        </w:tc>
        <w:tc>
          <w:tcPr>
            <w:tcW w:w="1023" w:type="dxa"/>
            <w:vAlign w:val="center"/>
          </w:tcPr>
          <w:p w14:paraId="6329BFB1">
            <w:pPr>
              <w:widowControl w:val="0"/>
              <w:jc w:val="center"/>
              <w:rPr>
                <w:rFonts w:hint="default"/>
                <w:color w:val="auto"/>
                <w:highlight w:val="none"/>
                <w:vertAlign w:val="baseline"/>
                <w:lang w:val="en-US" w:eastAsia="zh-CN"/>
              </w:rPr>
            </w:pPr>
          </w:p>
        </w:tc>
        <w:tc>
          <w:tcPr>
            <w:tcW w:w="1800" w:type="dxa"/>
            <w:vAlign w:val="center"/>
          </w:tcPr>
          <w:p w14:paraId="325F38E9">
            <w:pPr>
              <w:widowControl w:val="0"/>
              <w:jc w:val="center"/>
              <w:rPr>
                <w:rFonts w:hint="default"/>
                <w:color w:val="auto"/>
                <w:highlight w:val="none"/>
                <w:vertAlign w:val="baseline"/>
                <w:lang w:val="en-US" w:eastAsia="zh-CN"/>
              </w:rPr>
            </w:pPr>
          </w:p>
        </w:tc>
      </w:tr>
      <w:tr w14:paraId="2E84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76FBD3F">
            <w:pPr>
              <w:widowControl w:val="0"/>
              <w:jc w:val="center"/>
              <w:rPr>
                <w:rFonts w:hint="default"/>
                <w:color w:val="auto"/>
                <w:highlight w:val="none"/>
                <w:vertAlign w:val="baseline"/>
                <w:lang w:val="en-US" w:eastAsia="zh-CN"/>
              </w:rPr>
            </w:pPr>
          </w:p>
        </w:tc>
        <w:tc>
          <w:tcPr>
            <w:tcW w:w="1676" w:type="dxa"/>
            <w:vAlign w:val="center"/>
          </w:tcPr>
          <w:p w14:paraId="43597EDC">
            <w:pPr>
              <w:widowControl w:val="0"/>
              <w:jc w:val="center"/>
              <w:rPr>
                <w:rFonts w:hint="default"/>
                <w:color w:val="auto"/>
                <w:highlight w:val="none"/>
                <w:vertAlign w:val="baseline"/>
                <w:lang w:val="en-US" w:eastAsia="zh-CN"/>
              </w:rPr>
            </w:pPr>
          </w:p>
        </w:tc>
        <w:tc>
          <w:tcPr>
            <w:tcW w:w="1238" w:type="dxa"/>
            <w:vAlign w:val="center"/>
          </w:tcPr>
          <w:p w14:paraId="0C2F91A5">
            <w:pPr>
              <w:widowControl w:val="0"/>
              <w:jc w:val="center"/>
              <w:rPr>
                <w:rFonts w:hint="default"/>
                <w:color w:val="auto"/>
                <w:highlight w:val="none"/>
                <w:vertAlign w:val="baseline"/>
                <w:lang w:val="en-US" w:eastAsia="zh-CN"/>
              </w:rPr>
            </w:pPr>
          </w:p>
        </w:tc>
        <w:tc>
          <w:tcPr>
            <w:tcW w:w="1238" w:type="dxa"/>
            <w:vAlign w:val="center"/>
          </w:tcPr>
          <w:p w14:paraId="2D5E9626">
            <w:pPr>
              <w:widowControl w:val="0"/>
              <w:jc w:val="center"/>
              <w:rPr>
                <w:rFonts w:hint="default"/>
                <w:color w:val="auto"/>
                <w:highlight w:val="none"/>
                <w:vertAlign w:val="baseline"/>
                <w:lang w:val="en-US" w:eastAsia="zh-CN"/>
              </w:rPr>
            </w:pPr>
          </w:p>
        </w:tc>
        <w:tc>
          <w:tcPr>
            <w:tcW w:w="1238" w:type="dxa"/>
            <w:vAlign w:val="center"/>
          </w:tcPr>
          <w:p w14:paraId="59829893">
            <w:pPr>
              <w:widowControl w:val="0"/>
              <w:jc w:val="center"/>
              <w:rPr>
                <w:rFonts w:hint="default"/>
                <w:color w:val="auto"/>
                <w:highlight w:val="none"/>
                <w:vertAlign w:val="baseline"/>
                <w:lang w:val="en-US" w:eastAsia="zh-CN"/>
              </w:rPr>
            </w:pPr>
          </w:p>
        </w:tc>
        <w:tc>
          <w:tcPr>
            <w:tcW w:w="1023" w:type="dxa"/>
            <w:vAlign w:val="center"/>
          </w:tcPr>
          <w:p w14:paraId="578896CB">
            <w:pPr>
              <w:widowControl w:val="0"/>
              <w:jc w:val="center"/>
              <w:rPr>
                <w:rFonts w:hint="default"/>
                <w:color w:val="auto"/>
                <w:highlight w:val="none"/>
                <w:vertAlign w:val="baseline"/>
                <w:lang w:val="en-US" w:eastAsia="zh-CN"/>
              </w:rPr>
            </w:pPr>
          </w:p>
        </w:tc>
        <w:tc>
          <w:tcPr>
            <w:tcW w:w="1800" w:type="dxa"/>
            <w:vAlign w:val="center"/>
          </w:tcPr>
          <w:p w14:paraId="101F764D">
            <w:pPr>
              <w:widowControl w:val="0"/>
              <w:jc w:val="center"/>
              <w:rPr>
                <w:rFonts w:hint="default"/>
                <w:color w:val="auto"/>
                <w:highlight w:val="none"/>
                <w:vertAlign w:val="baseline"/>
                <w:lang w:val="en-US" w:eastAsia="zh-CN"/>
              </w:rPr>
            </w:pPr>
          </w:p>
        </w:tc>
      </w:tr>
      <w:tr w14:paraId="2CC6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6D97EB6D">
            <w:pPr>
              <w:widowControl w:val="0"/>
              <w:jc w:val="center"/>
              <w:rPr>
                <w:rFonts w:hint="default"/>
                <w:color w:val="auto"/>
                <w:highlight w:val="none"/>
                <w:vertAlign w:val="baseline"/>
                <w:lang w:val="en-US" w:eastAsia="zh-CN"/>
              </w:rPr>
            </w:pPr>
          </w:p>
        </w:tc>
        <w:tc>
          <w:tcPr>
            <w:tcW w:w="1676" w:type="dxa"/>
            <w:vAlign w:val="center"/>
          </w:tcPr>
          <w:p w14:paraId="448363FC">
            <w:pPr>
              <w:widowControl w:val="0"/>
              <w:jc w:val="center"/>
              <w:rPr>
                <w:rFonts w:hint="default"/>
                <w:color w:val="auto"/>
                <w:highlight w:val="none"/>
                <w:vertAlign w:val="baseline"/>
                <w:lang w:val="en-US" w:eastAsia="zh-CN"/>
              </w:rPr>
            </w:pPr>
          </w:p>
        </w:tc>
        <w:tc>
          <w:tcPr>
            <w:tcW w:w="1238" w:type="dxa"/>
            <w:vAlign w:val="center"/>
          </w:tcPr>
          <w:p w14:paraId="7FD3275D">
            <w:pPr>
              <w:widowControl w:val="0"/>
              <w:jc w:val="center"/>
              <w:rPr>
                <w:rFonts w:hint="default"/>
                <w:color w:val="auto"/>
                <w:highlight w:val="none"/>
                <w:vertAlign w:val="baseline"/>
                <w:lang w:val="en-US" w:eastAsia="zh-CN"/>
              </w:rPr>
            </w:pPr>
          </w:p>
        </w:tc>
        <w:tc>
          <w:tcPr>
            <w:tcW w:w="1238" w:type="dxa"/>
            <w:vAlign w:val="center"/>
          </w:tcPr>
          <w:p w14:paraId="4250B6D2">
            <w:pPr>
              <w:widowControl w:val="0"/>
              <w:jc w:val="center"/>
              <w:rPr>
                <w:rFonts w:hint="default"/>
                <w:color w:val="auto"/>
                <w:highlight w:val="none"/>
                <w:vertAlign w:val="baseline"/>
                <w:lang w:val="en-US" w:eastAsia="zh-CN"/>
              </w:rPr>
            </w:pPr>
          </w:p>
        </w:tc>
        <w:tc>
          <w:tcPr>
            <w:tcW w:w="1238" w:type="dxa"/>
            <w:vAlign w:val="center"/>
          </w:tcPr>
          <w:p w14:paraId="4816D1E5">
            <w:pPr>
              <w:widowControl w:val="0"/>
              <w:jc w:val="center"/>
              <w:rPr>
                <w:rFonts w:hint="default"/>
                <w:color w:val="auto"/>
                <w:highlight w:val="none"/>
                <w:vertAlign w:val="baseline"/>
                <w:lang w:val="en-US" w:eastAsia="zh-CN"/>
              </w:rPr>
            </w:pPr>
          </w:p>
        </w:tc>
        <w:tc>
          <w:tcPr>
            <w:tcW w:w="1023" w:type="dxa"/>
            <w:vAlign w:val="center"/>
          </w:tcPr>
          <w:p w14:paraId="4D98EDE4">
            <w:pPr>
              <w:widowControl w:val="0"/>
              <w:jc w:val="center"/>
              <w:rPr>
                <w:rFonts w:hint="default"/>
                <w:color w:val="auto"/>
                <w:highlight w:val="none"/>
                <w:vertAlign w:val="baseline"/>
                <w:lang w:val="en-US" w:eastAsia="zh-CN"/>
              </w:rPr>
            </w:pPr>
          </w:p>
        </w:tc>
        <w:tc>
          <w:tcPr>
            <w:tcW w:w="1800" w:type="dxa"/>
            <w:vAlign w:val="center"/>
          </w:tcPr>
          <w:p w14:paraId="1A3DE4AA">
            <w:pPr>
              <w:widowControl w:val="0"/>
              <w:jc w:val="center"/>
              <w:rPr>
                <w:rFonts w:hint="default"/>
                <w:color w:val="auto"/>
                <w:highlight w:val="none"/>
                <w:vertAlign w:val="baseline"/>
                <w:lang w:val="en-US" w:eastAsia="zh-CN"/>
              </w:rPr>
            </w:pPr>
          </w:p>
        </w:tc>
      </w:tr>
    </w:tbl>
    <w:p w14:paraId="47B2FCE9">
      <w:pPr>
        <w:rPr>
          <w:rFonts w:hint="default"/>
          <w:color w:val="auto"/>
          <w:highlight w:val="none"/>
          <w:lang w:val="en-US" w:eastAsia="zh-CN"/>
        </w:rPr>
      </w:pPr>
    </w:p>
    <w:p w14:paraId="29DA81A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0734FB55">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18EE804D">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5BAA6B02">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25C6999D">
      <w:pPr>
        <w:bidi w:val="0"/>
        <w:rPr>
          <w:rFonts w:hint="default"/>
          <w:color w:val="auto"/>
          <w:highlight w:val="none"/>
          <w:lang w:val="en-US" w:eastAsia="zh-CN"/>
        </w:rPr>
      </w:pPr>
    </w:p>
    <w:p w14:paraId="305B556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6564064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B085D3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374EB9">
      <w:pPr>
        <w:bidi w:val="0"/>
        <w:rPr>
          <w:rFonts w:hint="eastAsia"/>
          <w:color w:val="auto"/>
          <w:highlight w:val="none"/>
          <w:lang w:val="en-US" w:eastAsia="zh-CN"/>
        </w:rPr>
      </w:pPr>
    </w:p>
    <w:p w14:paraId="21072AE7">
      <w:pPr>
        <w:rPr>
          <w:rFonts w:hint="eastAsia" w:ascii="宋体" w:hAnsi="宋体" w:cs="宋体"/>
          <w:color w:val="auto"/>
          <w:sz w:val="24"/>
          <w:szCs w:val="24"/>
          <w:highlight w:val="none"/>
          <w:lang w:val="en-US" w:eastAsia="zh-CN"/>
        </w:rPr>
      </w:pPr>
    </w:p>
    <w:p w14:paraId="0B046CCE">
      <w:pPr>
        <w:bidi w:val="0"/>
        <w:rPr>
          <w:rFonts w:hint="eastAsia"/>
          <w:color w:val="auto"/>
          <w:highlight w:val="none"/>
          <w:lang w:val="en-US" w:eastAsia="zh-CN"/>
        </w:rPr>
      </w:pPr>
    </w:p>
    <w:p w14:paraId="2729079D">
      <w:pPr>
        <w:pStyle w:val="24"/>
        <w:rPr>
          <w:rFonts w:hint="eastAsia" w:ascii="宋体" w:hAnsi="宋体" w:cs="宋体"/>
          <w:color w:val="auto"/>
          <w:kern w:val="0"/>
          <w:sz w:val="24"/>
          <w:highlight w:val="none"/>
          <w:lang w:val="en-US" w:eastAsia="zh-CN"/>
        </w:rPr>
      </w:pPr>
    </w:p>
    <w:p w14:paraId="68DB8124">
      <w:pPr>
        <w:pStyle w:val="24"/>
        <w:rPr>
          <w:rFonts w:hint="eastAsia" w:ascii="宋体" w:hAnsi="宋体" w:cs="宋体"/>
          <w:color w:val="auto"/>
          <w:kern w:val="0"/>
          <w:sz w:val="24"/>
          <w:highlight w:val="none"/>
          <w:lang w:val="en-US" w:eastAsia="zh-CN"/>
        </w:rPr>
      </w:pPr>
    </w:p>
    <w:p w14:paraId="0D0A4B9A">
      <w:pPr>
        <w:pStyle w:val="24"/>
        <w:rPr>
          <w:rFonts w:hint="eastAsia" w:ascii="宋体" w:hAnsi="宋体" w:cs="宋体"/>
          <w:color w:val="auto"/>
          <w:kern w:val="0"/>
          <w:sz w:val="24"/>
          <w:highlight w:val="none"/>
          <w:lang w:val="en-US" w:eastAsia="zh-CN"/>
        </w:rPr>
      </w:pPr>
    </w:p>
    <w:p w14:paraId="72D31A67">
      <w:pPr>
        <w:pStyle w:val="24"/>
        <w:rPr>
          <w:rFonts w:hint="eastAsia" w:ascii="宋体" w:hAnsi="宋体" w:cs="宋体"/>
          <w:color w:val="auto"/>
          <w:kern w:val="0"/>
          <w:sz w:val="24"/>
          <w:highlight w:val="none"/>
          <w:lang w:val="en-US" w:eastAsia="zh-CN"/>
        </w:rPr>
      </w:pPr>
    </w:p>
    <w:p w14:paraId="5DF955D2">
      <w:pPr>
        <w:pStyle w:val="24"/>
        <w:rPr>
          <w:rFonts w:hint="eastAsia" w:ascii="宋体" w:hAnsi="宋体" w:cs="宋体"/>
          <w:color w:val="auto"/>
          <w:kern w:val="0"/>
          <w:sz w:val="24"/>
          <w:highlight w:val="none"/>
          <w:lang w:val="en-US" w:eastAsia="zh-CN"/>
        </w:rPr>
      </w:pPr>
    </w:p>
    <w:p w14:paraId="4ED4B497">
      <w:pPr>
        <w:pStyle w:val="24"/>
        <w:rPr>
          <w:rFonts w:hint="eastAsia" w:ascii="宋体" w:hAnsi="宋体" w:cs="宋体"/>
          <w:color w:val="auto"/>
          <w:kern w:val="0"/>
          <w:sz w:val="24"/>
          <w:highlight w:val="none"/>
          <w:lang w:val="en-US" w:eastAsia="zh-CN"/>
        </w:rPr>
      </w:pPr>
    </w:p>
    <w:p w14:paraId="2B9E5514">
      <w:pPr>
        <w:pStyle w:val="24"/>
        <w:rPr>
          <w:rFonts w:hint="default" w:ascii="宋体" w:hAnsi="宋体" w:cs="宋体"/>
          <w:color w:val="auto"/>
          <w:kern w:val="0"/>
          <w:sz w:val="24"/>
          <w:highlight w:val="none"/>
          <w:lang w:val="en-US" w:eastAsia="zh-CN"/>
        </w:rPr>
      </w:pPr>
    </w:p>
    <w:p w14:paraId="6D2C0FEC">
      <w:pPr>
        <w:pStyle w:val="24"/>
        <w:rPr>
          <w:rFonts w:hint="default" w:ascii="宋体" w:hAnsi="宋体" w:cs="宋体"/>
          <w:color w:val="auto"/>
          <w:kern w:val="0"/>
          <w:sz w:val="24"/>
          <w:highlight w:val="none"/>
          <w:lang w:val="en-US" w:eastAsia="zh-CN"/>
        </w:rPr>
      </w:pPr>
    </w:p>
    <w:p w14:paraId="247E9467">
      <w:pPr>
        <w:pStyle w:val="24"/>
        <w:rPr>
          <w:rFonts w:hint="default" w:ascii="宋体" w:hAnsi="宋体" w:cs="宋体"/>
          <w:color w:val="auto"/>
          <w:kern w:val="0"/>
          <w:sz w:val="24"/>
          <w:highlight w:val="none"/>
          <w:lang w:val="en-US" w:eastAsia="zh-CN"/>
        </w:rPr>
      </w:pPr>
    </w:p>
    <w:p w14:paraId="43BD1D29">
      <w:pPr>
        <w:pStyle w:val="24"/>
        <w:rPr>
          <w:rFonts w:hint="default" w:ascii="宋体" w:hAnsi="宋体" w:cs="宋体"/>
          <w:color w:val="auto"/>
          <w:kern w:val="0"/>
          <w:sz w:val="24"/>
          <w:highlight w:val="none"/>
          <w:lang w:val="en-US" w:eastAsia="zh-CN"/>
        </w:rPr>
      </w:pPr>
    </w:p>
    <w:p w14:paraId="61E64429">
      <w:pPr>
        <w:pStyle w:val="24"/>
        <w:rPr>
          <w:rFonts w:hint="default" w:ascii="宋体" w:hAnsi="宋体" w:cs="宋体"/>
          <w:color w:val="auto"/>
          <w:kern w:val="0"/>
          <w:sz w:val="24"/>
          <w:highlight w:val="none"/>
          <w:lang w:val="en-US" w:eastAsia="zh-CN"/>
        </w:rPr>
      </w:pPr>
    </w:p>
    <w:p w14:paraId="4D65B992">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0D60C5FE">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2F8F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790454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4F2B8296">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1298D8E2">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EDAC138">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2881A68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177B7378">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489FE8C2">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2B67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B88FD63">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59E0C8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C98D81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FD3ADA8">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7174749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497D2A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83CE453">
            <w:pPr>
              <w:widowControl w:val="0"/>
              <w:jc w:val="center"/>
              <w:rPr>
                <w:rFonts w:hint="eastAsia" w:ascii="宋体" w:hAnsi="宋体" w:eastAsia="宋体" w:cs="宋体"/>
                <w:color w:val="auto"/>
                <w:sz w:val="24"/>
                <w:szCs w:val="24"/>
                <w:highlight w:val="none"/>
                <w:vertAlign w:val="baseline"/>
                <w:lang w:val="en-US" w:eastAsia="zh-CN"/>
              </w:rPr>
            </w:pPr>
          </w:p>
        </w:tc>
      </w:tr>
      <w:tr w14:paraId="6CD7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3E25BBCA">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5064FB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B511C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FF8012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13E8AC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4293AC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7288995">
            <w:pPr>
              <w:widowControl w:val="0"/>
              <w:jc w:val="center"/>
              <w:rPr>
                <w:rFonts w:hint="eastAsia" w:ascii="宋体" w:hAnsi="宋体" w:eastAsia="宋体" w:cs="宋体"/>
                <w:color w:val="auto"/>
                <w:sz w:val="24"/>
                <w:szCs w:val="24"/>
                <w:highlight w:val="none"/>
                <w:vertAlign w:val="baseline"/>
                <w:lang w:val="en-US" w:eastAsia="zh-CN"/>
              </w:rPr>
            </w:pPr>
          </w:p>
        </w:tc>
      </w:tr>
      <w:tr w14:paraId="0256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1EEB47">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7AAE34D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28B16C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669DF7A">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BDBE5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0B6F3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D52146">
            <w:pPr>
              <w:widowControl w:val="0"/>
              <w:jc w:val="center"/>
              <w:rPr>
                <w:rFonts w:hint="eastAsia" w:ascii="宋体" w:hAnsi="宋体" w:eastAsia="宋体" w:cs="宋体"/>
                <w:color w:val="auto"/>
                <w:sz w:val="24"/>
                <w:szCs w:val="24"/>
                <w:highlight w:val="none"/>
                <w:vertAlign w:val="baseline"/>
                <w:lang w:val="en-US" w:eastAsia="zh-CN"/>
              </w:rPr>
            </w:pPr>
          </w:p>
        </w:tc>
      </w:tr>
      <w:tr w14:paraId="50FF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275B983">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D2C6A7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4882B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AF1E895">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34B5DF8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87DB04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AEE8474">
            <w:pPr>
              <w:widowControl w:val="0"/>
              <w:jc w:val="center"/>
              <w:rPr>
                <w:rFonts w:hint="eastAsia" w:ascii="宋体" w:hAnsi="宋体" w:eastAsia="宋体" w:cs="宋体"/>
                <w:color w:val="auto"/>
                <w:sz w:val="24"/>
                <w:szCs w:val="24"/>
                <w:highlight w:val="none"/>
                <w:vertAlign w:val="baseline"/>
                <w:lang w:val="en-US" w:eastAsia="zh-CN"/>
              </w:rPr>
            </w:pPr>
          </w:p>
        </w:tc>
      </w:tr>
      <w:tr w14:paraId="47C7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7D151EB">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9C15BC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944B0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A0BF33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3556725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75053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A53B0A">
            <w:pPr>
              <w:widowControl w:val="0"/>
              <w:jc w:val="center"/>
              <w:rPr>
                <w:rFonts w:hint="eastAsia" w:ascii="宋体" w:hAnsi="宋体" w:eastAsia="宋体" w:cs="宋体"/>
                <w:color w:val="auto"/>
                <w:sz w:val="24"/>
                <w:szCs w:val="24"/>
                <w:highlight w:val="none"/>
                <w:vertAlign w:val="baseline"/>
                <w:lang w:val="en-US" w:eastAsia="zh-CN"/>
              </w:rPr>
            </w:pPr>
          </w:p>
        </w:tc>
      </w:tr>
    </w:tbl>
    <w:p w14:paraId="2F96A3ED">
      <w:pPr>
        <w:rPr>
          <w:rFonts w:hint="default" w:ascii="宋体" w:hAnsi="宋体" w:cs="宋体"/>
          <w:color w:val="auto"/>
          <w:sz w:val="24"/>
          <w:szCs w:val="24"/>
          <w:highlight w:val="none"/>
          <w:lang w:val="en-US" w:eastAsia="zh-CN"/>
        </w:rPr>
      </w:pPr>
    </w:p>
    <w:p w14:paraId="6715D5CC">
      <w:pPr>
        <w:bidi w:val="0"/>
        <w:rPr>
          <w:rFonts w:hint="eastAsia"/>
          <w:color w:val="auto"/>
          <w:highlight w:val="none"/>
          <w:lang w:val="en-US" w:eastAsia="zh-CN"/>
        </w:rPr>
      </w:pPr>
    </w:p>
    <w:p w14:paraId="32A8415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BA0FBF0">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28AEFEBD">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07C62C7">
      <w:pPr>
        <w:pStyle w:val="24"/>
        <w:rPr>
          <w:rFonts w:hint="default" w:ascii="宋体" w:hAnsi="宋体" w:cs="宋体"/>
          <w:color w:val="auto"/>
          <w:kern w:val="0"/>
          <w:sz w:val="24"/>
          <w:highlight w:val="none"/>
          <w:lang w:val="en-US" w:eastAsia="zh-CN"/>
        </w:rPr>
      </w:pPr>
    </w:p>
    <w:p w14:paraId="6D3EA9FA">
      <w:pPr>
        <w:pStyle w:val="24"/>
        <w:rPr>
          <w:rFonts w:hint="default" w:ascii="宋体" w:hAnsi="宋体" w:cs="宋体"/>
          <w:color w:val="auto"/>
          <w:kern w:val="0"/>
          <w:sz w:val="24"/>
          <w:highlight w:val="none"/>
          <w:lang w:val="en-US" w:eastAsia="zh-CN"/>
        </w:rPr>
      </w:pPr>
    </w:p>
    <w:p w14:paraId="74D8036F">
      <w:pPr>
        <w:pStyle w:val="24"/>
        <w:rPr>
          <w:rFonts w:hint="default" w:ascii="宋体" w:hAnsi="宋体" w:cs="宋体"/>
          <w:color w:val="auto"/>
          <w:kern w:val="0"/>
          <w:sz w:val="24"/>
          <w:highlight w:val="none"/>
          <w:lang w:val="en-US" w:eastAsia="zh-CN"/>
        </w:rPr>
      </w:pPr>
    </w:p>
    <w:p w14:paraId="06397C84">
      <w:pPr>
        <w:pStyle w:val="24"/>
        <w:rPr>
          <w:rFonts w:hint="default" w:ascii="宋体" w:hAnsi="宋体" w:cs="宋体"/>
          <w:color w:val="auto"/>
          <w:kern w:val="0"/>
          <w:sz w:val="24"/>
          <w:highlight w:val="none"/>
          <w:lang w:val="en-US" w:eastAsia="zh-CN"/>
        </w:rPr>
      </w:pPr>
    </w:p>
    <w:p w14:paraId="1D204809">
      <w:pPr>
        <w:pStyle w:val="24"/>
        <w:rPr>
          <w:rFonts w:hint="default" w:ascii="宋体" w:hAnsi="宋体" w:cs="宋体"/>
          <w:color w:val="auto"/>
          <w:kern w:val="0"/>
          <w:sz w:val="24"/>
          <w:highlight w:val="none"/>
          <w:lang w:val="en-US" w:eastAsia="zh-CN"/>
        </w:rPr>
      </w:pPr>
    </w:p>
    <w:p w14:paraId="1A85CEAD">
      <w:pPr>
        <w:pStyle w:val="24"/>
        <w:rPr>
          <w:rFonts w:hint="default" w:ascii="宋体" w:hAnsi="宋体" w:cs="宋体"/>
          <w:color w:val="auto"/>
          <w:kern w:val="0"/>
          <w:sz w:val="24"/>
          <w:highlight w:val="none"/>
          <w:lang w:val="en-US" w:eastAsia="zh-CN"/>
        </w:rPr>
      </w:pPr>
    </w:p>
    <w:p w14:paraId="51764274">
      <w:pPr>
        <w:pStyle w:val="24"/>
        <w:rPr>
          <w:rFonts w:hint="default" w:ascii="宋体" w:hAnsi="宋体" w:cs="宋体"/>
          <w:color w:val="auto"/>
          <w:kern w:val="0"/>
          <w:sz w:val="24"/>
          <w:highlight w:val="none"/>
          <w:lang w:val="en-US" w:eastAsia="zh-CN"/>
        </w:rPr>
      </w:pPr>
    </w:p>
    <w:p w14:paraId="35B66B7E">
      <w:pPr>
        <w:pStyle w:val="24"/>
        <w:rPr>
          <w:rFonts w:hint="default" w:ascii="宋体" w:hAnsi="宋体" w:cs="宋体"/>
          <w:color w:val="auto"/>
          <w:kern w:val="0"/>
          <w:sz w:val="24"/>
          <w:highlight w:val="none"/>
          <w:lang w:val="en-US" w:eastAsia="zh-CN"/>
        </w:rPr>
      </w:pPr>
    </w:p>
    <w:p w14:paraId="6DB96210">
      <w:pPr>
        <w:pStyle w:val="24"/>
        <w:rPr>
          <w:rFonts w:hint="default" w:ascii="宋体" w:hAnsi="宋体" w:cs="宋体"/>
          <w:color w:val="auto"/>
          <w:kern w:val="0"/>
          <w:sz w:val="24"/>
          <w:highlight w:val="none"/>
          <w:lang w:val="en-US" w:eastAsia="zh-CN"/>
        </w:rPr>
      </w:pPr>
    </w:p>
    <w:p w14:paraId="491D009E">
      <w:pPr>
        <w:pStyle w:val="24"/>
        <w:rPr>
          <w:rFonts w:hint="default" w:ascii="宋体" w:hAnsi="宋体" w:cs="宋体"/>
          <w:color w:val="auto"/>
          <w:kern w:val="0"/>
          <w:sz w:val="24"/>
          <w:highlight w:val="none"/>
          <w:lang w:val="en-US" w:eastAsia="zh-CN"/>
        </w:rPr>
      </w:pPr>
    </w:p>
    <w:p w14:paraId="3B3122F0">
      <w:pPr>
        <w:pStyle w:val="24"/>
        <w:rPr>
          <w:rFonts w:hint="default" w:ascii="宋体" w:hAnsi="宋体" w:cs="宋体"/>
          <w:color w:val="auto"/>
          <w:kern w:val="0"/>
          <w:sz w:val="24"/>
          <w:highlight w:val="none"/>
          <w:lang w:val="en-US" w:eastAsia="zh-CN"/>
        </w:rPr>
      </w:pPr>
    </w:p>
    <w:p w14:paraId="7128EA00">
      <w:pPr>
        <w:pStyle w:val="24"/>
        <w:rPr>
          <w:rFonts w:hint="default" w:ascii="宋体" w:hAnsi="宋体" w:cs="宋体"/>
          <w:color w:val="auto"/>
          <w:kern w:val="0"/>
          <w:sz w:val="24"/>
          <w:highlight w:val="none"/>
          <w:lang w:val="en-US" w:eastAsia="zh-CN"/>
        </w:rPr>
      </w:pPr>
    </w:p>
    <w:p w14:paraId="1D15F48B">
      <w:pPr>
        <w:pStyle w:val="24"/>
        <w:rPr>
          <w:rFonts w:hint="default" w:ascii="宋体" w:hAnsi="宋体" w:cs="宋体"/>
          <w:color w:val="auto"/>
          <w:kern w:val="0"/>
          <w:sz w:val="24"/>
          <w:highlight w:val="none"/>
          <w:lang w:val="en-US" w:eastAsia="zh-CN"/>
        </w:rPr>
      </w:pPr>
    </w:p>
    <w:p w14:paraId="3CC4B5A7">
      <w:pPr>
        <w:pStyle w:val="24"/>
        <w:rPr>
          <w:rFonts w:hint="default" w:ascii="宋体" w:hAnsi="宋体" w:cs="宋体"/>
          <w:color w:val="auto"/>
          <w:kern w:val="0"/>
          <w:sz w:val="24"/>
          <w:highlight w:val="none"/>
          <w:lang w:val="en-US" w:eastAsia="zh-CN"/>
        </w:rPr>
      </w:pPr>
    </w:p>
    <w:p w14:paraId="3F7805F0">
      <w:pPr>
        <w:pStyle w:val="24"/>
        <w:rPr>
          <w:rFonts w:hint="default" w:ascii="宋体" w:hAnsi="宋体" w:cs="宋体"/>
          <w:color w:val="auto"/>
          <w:kern w:val="0"/>
          <w:sz w:val="24"/>
          <w:highlight w:val="none"/>
          <w:lang w:val="en-US" w:eastAsia="zh-CN"/>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footerReference r:id="rId5" w:type="default"/>
          <w:pgSz w:w="11905" w:h="16838"/>
          <w:pgMar w:top="1417" w:right="1417" w:bottom="1417" w:left="1417" w:header="850" w:footer="624" w:gutter="0"/>
          <w:pgNumType w:fmt="decimal"/>
          <w:cols w:space="0" w:num="1"/>
          <w:rtlGutter w:val="0"/>
          <w:docGrid w:type="lines" w:linePitch="326" w:charSpace="0"/>
        </w:sect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4168"/>
      <w:bookmarkStart w:id="83" w:name="_Toc20420"/>
      <w:bookmarkStart w:id="84" w:name="_Toc2996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shd w:val="clear" w:color="auto" w:fill="auto"/>
            <w:noWrap w:val="0"/>
            <w:vAlign w:val="center"/>
          </w:tcPr>
          <w:p w14:paraId="6DC2849E">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shd w:val="clear" w:color="auto" w:fill="auto"/>
            <w:noWrap w:val="0"/>
            <w:vAlign w:val="center"/>
          </w:tcPr>
          <w:p w14:paraId="0472149B">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质保期</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shd w:val="clear" w:color="auto" w:fill="auto"/>
            <w:noWrap w:val="0"/>
            <w:vAlign w:val="center"/>
          </w:tcPr>
          <w:p w14:paraId="50BB9001">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质量要求</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shd w:val="clear" w:color="auto" w:fill="auto"/>
            <w:noWrap w:val="0"/>
            <w:vAlign w:val="center"/>
          </w:tcPr>
          <w:p w14:paraId="6182A3E4">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付款方式</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shd w:val="clear" w:color="auto" w:fill="auto"/>
            <w:noWrap w:val="0"/>
            <w:vAlign w:val="center"/>
          </w:tcPr>
          <w:p w14:paraId="5C43BD33">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交货地点</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shd w:val="clear" w:color="auto" w:fill="auto"/>
            <w:noWrap w:val="0"/>
            <w:vAlign w:val="center"/>
          </w:tcPr>
          <w:p w14:paraId="56FFBDC6">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售后服务</w:t>
            </w: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CBDA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0EEE4C91">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0" w:type="auto"/>
            <w:shd w:val="clear" w:color="auto" w:fill="auto"/>
            <w:vAlign w:val="center"/>
          </w:tcPr>
          <w:p w14:paraId="0959D5E5">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培训</w:t>
            </w:r>
          </w:p>
        </w:tc>
        <w:tc>
          <w:tcPr>
            <w:tcW w:w="0" w:type="auto"/>
          </w:tcPr>
          <w:p w14:paraId="4512DD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7EC85C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260D199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308C2F0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1AED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0" w:type="auto"/>
          </w:tcPr>
          <w:p w14:paraId="7764265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0" w:type="auto"/>
            <w:shd w:val="clear" w:color="auto" w:fill="auto"/>
            <w:vAlign w:val="center"/>
          </w:tcPr>
          <w:p w14:paraId="6DCA27F7">
            <w:pPr>
              <w:pStyle w:val="8"/>
              <w:ind w:left="0" w:leftChars="0"/>
              <w:jc w:val="center"/>
              <w:rPr>
                <w:rFonts w:hint="eastAsia" w:ascii="宋体" w:hAnsi="宋体" w:eastAsia="宋体" w:cs="宋体"/>
                <w:color w:val="auto"/>
                <w:kern w:val="2"/>
                <w:sz w:val="21"/>
                <w:szCs w:val="21"/>
                <w:highlight w:val="none"/>
                <w:shd w:val="clear" w:color="auto" w:fill="FFFFFF"/>
                <w:lang w:val="en-US" w:eastAsia="zh-CN" w:bidi="ar-SA"/>
              </w:rPr>
            </w:pPr>
            <w:r>
              <w:rPr>
                <w:rFonts w:hint="eastAsia" w:cs="宋体"/>
                <w:color w:val="auto"/>
                <w:kern w:val="2"/>
                <w:sz w:val="21"/>
                <w:szCs w:val="21"/>
                <w:highlight w:val="none"/>
                <w:shd w:val="clear" w:color="auto" w:fill="FFFFFF"/>
                <w:lang w:val="en-US" w:eastAsia="zh-CN" w:bidi="ar-SA"/>
              </w:rPr>
              <w:t>其他要求</w:t>
            </w:r>
          </w:p>
        </w:tc>
        <w:tc>
          <w:tcPr>
            <w:tcW w:w="0" w:type="auto"/>
          </w:tcPr>
          <w:p w14:paraId="471CA4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45EDF46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6D8E08B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0" w:type="auto"/>
          </w:tcPr>
          <w:p w14:paraId="122626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14E8E60">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28621"/>
      <w:bookmarkStart w:id="86" w:name="_Toc31526"/>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30519"/>
      <w:bookmarkStart w:id="89" w:name="_Toc12939"/>
      <w:bookmarkStart w:id="90" w:name="_Toc13976"/>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eastAsia="宋体" w:cs="宋体"/>
          <w:color w:val="auto"/>
          <w:kern w:val="0"/>
          <w:sz w:val="24"/>
          <w:szCs w:val="24"/>
          <w:highlight w:val="none"/>
        </w:rPr>
        <w:t>（包号及</w:t>
      </w:r>
      <w:r>
        <w:rPr>
          <w:rFonts w:hint="eastAsia" w:ascii="宋体" w:hAnsi="宋体" w:cs="宋体"/>
          <w:color w:val="auto"/>
          <w:kern w:val="0"/>
          <w:sz w:val="24"/>
          <w:szCs w:val="24"/>
          <w:highlight w:val="none"/>
          <w:lang w:val="en-US" w:eastAsia="zh-CN"/>
        </w:rPr>
        <w:t>包</w:t>
      </w:r>
      <w:r>
        <w:rPr>
          <w:rFonts w:hint="eastAsia" w:ascii="宋体" w:hAnsi="宋体" w:eastAsia="宋体" w:cs="宋体"/>
          <w:color w:val="auto"/>
          <w:kern w:val="0"/>
          <w:sz w:val="24"/>
          <w:szCs w:val="24"/>
          <w:highlight w:val="none"/>
        </w:rPr>
        <w:t>名称：</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）的投</w:t>
      </w:r>
      <w:r>
        <w:rPr>
          <w:rFonts w:hint="eastAsia" w:ascii="宋体" w:hAnsi="宋体" w:eastAsia="宋体" w:cs="宋体"/>
          <w:color w:val="auto"/>
          <w:kern w:val="0"/>
          <w:sz w:val="24"/>
          <w:highlight w:val="none"/>
        </w:rPr>
        <w:t>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18105"/>
      <w:bookmarkStart w:id="92" w:name="_Toc24693"/>
      <w:bookmarkStart w:id="93" w:name="_Toc3342"/>
      <w:r>
        <w:rPr>
          <w:rFonts w:hint="eastAsia" w:ascii="宋体" w:hAnsi="宋体" w:eastAsia="宋体" w:cs="宋体"/>
          <w:color w:val="auto"/>
          <w:sz w:val="28"/>
          <w:szCs w:val="28"/>
          <w:highlight w:val="none"/>
          <w:lang w:val="en-US" w:eastAsia="zh-CN"/>
        </w:rPr>
        <w:t>附件9          证明文件</w:t>
      </w:r>
      <w:bookmarkEnd w:id="91"/>
      <w:bookmarkEnd w:id="92"/>
      <w:bookmarkEnd w:id="93"/>
    </w:p>
    <w:p w14:paraId="5EF76FA6">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4"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2888"/>
      <w:bookmarkStart w:id="96" w:name="_Toc16083"/>
      <w:bookmarkStart w:id="97" w:name="_Toc13726"/>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sectPr>
          <w:pgSz w:w="11905" w:h="16838"/>
          <w:pgMar w:top="1417" w:right="1417" w:bottom="1417" w:left="1417" w:header="850" w:footer="624" w:gutter="0"/>
          <w:pgNumType w:fmt="decimal"/>
          <w:cols w:space="0" w:num="1"/>
          <w:rtlGutter w:val="0"/>
          <w:docGrid w:type="lines" w:linePitch="326"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5" w:h="16838"/>
          <w:pgMar w:top="1417" w:right="1417" w:bottom="1417" w:left="1417" w:header="850" w:footer="624" w:gutter="0"/>
          <w:pgNumType w:fmt="decimal"/>
          <w:cols w:space="0" w:num="1"/>
          <w:rtlGutter w:val="0"/>
          <w:docGrid w:type="lines" w:linePitch="326" w:charSpace="0"/>
        </w:sectPr>
      </w:pPr>
    </w:p>
    <w:p w14:paraId="36FCA787">
      <w:pPr>
        <w:bidi w:val="0"/>
        <w:rPr>
          <w:rFonts w:hint="eastAsia" w:ascii="宋体" w:hAnsi="宋体" w:eastAsia="宋体" w:cs="宋体"/>
          <w:color w:val="auto"/>
          <w:highlight w:val="none"/>
          <w:lang w:eastAsia="zh-CN"/>
        </w:rPr>
      </w:pPr>
      <w:bookmarkStart w:id="98" w:name="_Toc25094"/>
      <w:bookmarkStart w:id="99" w:name="_Toc23394"/>
      <w:bookmarkStart w:id="100" w:name="_Toc31685"/>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5" w:h="16838"/>
      <w:pgMar w:top="1417" w:right="1417" w:bottom="1417" w:left="1417" w:header="850" w:footer="624" w:gutter="0"/>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驻马店市中心医院无创呼吸机、科研级正置光学显微镜医疗设备采购项目采购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11DF9338"/>
    <w:multiLevelType w:val="singleLevel"/>
    <w:tmpl w:val="11DF9338"/>
    <w:lvl w:ilvl="0" w:tentative="0">
      <w:start w:val="9"/>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63"/>
  <w:displayHorizontalDrawingGridEvery w:val="1"/>
  <w:displayVerticalDrawingGridEvery w:val="2"/>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B3C62"/>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A8D"/>
    <w:rsid w:val="00F52F8B"/>
    <w:rsid w:val="00F63312"/>
    <w:rsid w:val="00F65557"/>
    <w:rsid w:val="00F67593"/>
    <w:rsid w:val="00F74381"/>
    <w:rsid w:val="00F77C03"/>
    <w:rsid w:val="00F82064"/>
    <w:rsid w:val="00F87D1D"/>
    <w:rsid w:val="00F905EC"/>
    <w:rsid w:val="00F907CF"/>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9F1377"/>
    <w:rsid w:val="01BE7323"/>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7A0920"/>
    <w:rsid w:val="02890D36"/>
    <w:rsid w:val="02B726F0"/>
    <w:rsid w:val="02B97DFD"/>
    <w:rsid w:val="02C866AB"/>
    <w:rsid w:val="02CB7F49"/>
    <w:rsid w:val="02D92EF7"/>
    <w:rsid w:val="02DA4665"/>
    <w:rsid w:val="02F40325"/>
    <w:rsid w:val="02F96864"/>
    <w:rsid w:val="02FA082F"/>
    <w:rsid w:val="031126C4"/>
    <w:rsid w:val="034733B8"/>
    <w:rsid w:val="03475E56"/>
    <w:rsid w:val="0353518A"/>
    <w:rsid w:val="035E4919"/>
    <w:rsid w:val="03675F31"/>
    <w:rsid w:val="036A009A"/>
    <w:rsid w:val="037A734D"/>
    <w:rsid w:val="03825F04"/>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137986"/>
    <w:rsid w:val="051C656B"/>
    <w:rsid w:val="05340028"/>
    <w:rsid w:val="05410997"/>
    <w:rsid w:val="054C0111"/>
    <w:rsid w:val="05545DD3"/>
    <w:rsid w:val="056E2AD6"/>
    <w:rsid w:val="05720B50"/>
    <w:rsid w:val="05806815"/>
    <w:rsid w:val="058251D3"/>
    <w:rsid w:val="058C28F1"/>
    <w:rsid w:val="05945CCE"/>
    <w:rsid w:val="059D05A4"/>
    <w:rsid w:val="059D5E17"/>
    <w:rsid w:val="059E1E1A"/>
    <w:rsid w:val="05A56D21"/>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32BC0"/>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D08ED"/>
    <w:rsid w:val="06FE7278"/>
    <w:rsid w:val="070D2D5D"/>
    <w:rsid w:val="07104A12"/>
    <w:rsid w:val="07111B8D"/>
    <w:rsid w:val="072916E2"/>
    <w:rsid w:val="072C5514"/>
    <w:rsid w:val="0737768A"/>
    <w:rsid w:val="074A5B92"/>
    <w:rsid w:val="075D0147"/>
    <w:rsid w:val="075E3193"/>
    <w:rsid w:val="076D2F88"/>
    <w:rsid w:val="078E18EB"/>
    <w:rsid w:val="07AA2823"/>
    <w:rsid w:val="07B02D9F"/>
    <w:rsid w:val="07B10EA5"/>
    <w:rsid w:val="07C510CB"/>
    <w:rsid w:val="07CD6512"/>
    <w:rsid w:val="07CE3FA1"/>
    <w:rsid w:val="07EC2ECB"/>
    <w:rsid w:val="07F95559"/>
    <w:rsid w:val="07FE66CB"/>
    <w:rsid w:val="080B4D47"/>
    <w:rsid w:val="081B727D"/>
    <w:rsid w:val="081D2FF5"/>
    <w:rsid w:val="08210B42"/>
    <w:rsid w:val="08321601"/>
    <w:rsid w:val="08326375"/>
    <w:rsid w:val="083D5C91"/>
    <w:rsid w:val="0847191F"/>
    <w:rsid w:val="08591DC3"/>
    <w:rsid w:val="085B58CB"/>
    <w:rsid w:val="08634780"/>
    <w:rsid w:val="08672793"/>
    <w:rsid w:val="08695E80"/>
    <w:rsid w:val="087C4541"/>
    <w:rsid w:val="087E5595"/>
    <w:rsid w:val="08BC0A60"/>
    <w:rsid w:val="08C52D6F"/>
    <w:rsid w:val="08D31906"/>
    <w:rsid w:val="08E42BE4"/>
    <w:rsid w:val="08EF0201"/>
    <w:rsid w:val="08F41DE8"/>
    <w:rsid w:val="093D1475"/>
    <w:rsid w:val="094840A2"/>
    <w:rsid w:val="09644C54"/>
    <w:rsid w:val="09737462"/>
    <w:rsid w:val="099156C3"/>
    <w:rsid w:val="09A33F5B"/>
    <w:rsid w:val="09A53F39"/>
    <w:rsid w:val="09A60E13"/>
    <w:rsid w:val="09A82D92"/>
    <w:rsid w:val="09AB2883"/>
    <w:rsid w:val="09C35E1E"/>
    <w:rsid w:val="09CD0A4B"/>
    <w:rsid w:val="09D206F0"/>
    <w:rsid w:val="09EF451D"/>
    <w:rsid w:val="0A321AC2"/>
    <w:rsid w:val="0A343D4E"/>
    <w:rsid w:val="0A344626"/>
    <w:rsid w:val="0A3E6D2E"/>
    <w:rsid w:val="0A4232E4"/>
    <w:rsid w:val="0A4F145F"/>
    <w:rsid w:val="0A8455AD"/>
    <w:rsid w:val="0A8729A8"/>
    <w:rsid w:val="0ABA2D7D"/>
    <w:rsid w:val="0AD13A85"/>
    <w:rsid w:val="0AE0655C"/>
    <w:rsid w:val="0B091954"/>
    <w:rsid w:val="0B195776"/>
    <w:rsid w:val="0B1A7CC0"/>
    <w:rsid w:val="0B2B77D7"/>
    <w:rsid w:val="0B34773E"/>
    <w:rsid w:val="0B3B7D65"/>
    <w:rsid w:val="0B434C20"/>
    <w:rsid w:val="0B4765DB"/>
    <w:rsid w:val="0B5F0822"/>
    <w:rsid w:val="0B637D77"/>
    <w:rsid w:val="0B7006C4"/>
    <w:rsid w:val="0B726646"/>
    <w:rsid w:val="0B7606E8"/>
    <w:rsid w:val="0B7A42BB"/>
    <w:rsid w:val="0B8B471A"/>
    <w:rsid w:val="0B924545"/>
    <w:rsid w:val="0BAC324F"/>
    <w:rsid w:val="0BB40DF1"/>
    <w:rsid w:val="0BC11EE9"/>
    <w:rsid w:val="0BD53BE7"/>
    <w:rsid w:val="0BF16C73"/>
    <w:rsid w:val="0BF72F1E"/>
    <w:rsid w:val="0BF74D4E"/>
    <w:rsid w:val="0C0A7D34"/>
    <w:rsid w:val="0C230DF6"/>
    <w:rsid w:val="0C3152C1"/>
    <w:rsid w:val="0C3957A5"/>
    <w:rsid w:val="0C507E2F"/>
    <w:rsid w:val="0C600D66"/>
    <w:rsid w:val="0C626DA7"/>
    <w:rsid w:val="0C6876AE"/>
    <w:rsid w:val="0C712804"/>
    <w:rsid w:val="0C71390F"/>
    <w:rsid w:val="0C720EC8"/>
    <w:rsid w:val="0C942042"/>
    <w:rsid w:val="0C9D50DC"/>
    <w:rsid w:val="0CA5271D"/>
    <w:rsid w:val="0CAC4D10"/>
    <w:rsid w:val="0CC53C5B"/>
    <w:rsid w:val="0CC72121"/>
    <w:rsid w:val="0CEE5A21"/>
    <w:rsid w:val="0CFF716D"/>
    <w:rsid w:val="0D004C93"/>
    <w:rsid w:val="0D05268E"/>
    <w:rsid w:val="0D0646E7"/>
    <w:rsid w:val="0D0C38CA"/>
    <w:rsid w:val="0D206810"/>
    <w:rsid w:val="0D4861FD"/>
    <w:rsid w:val="0D633812"/>
    <w:rsid w:val="0D735465"/>
    <w:rsid w:val="0DA10224"/>
    <w:rsid w:val="0DC577E0"/>
    <w:rsid w:val="0DDC6319"/>
    <w:rsid w:val="0DE1181F"/>
    <w:rsid w:val="0DFA5B87"/>
    <w:rsid w:val="0DFC545B"/>
    <w:rsid w:val="0DFE4F67"/>
    <w:rsid w:val="0E0C0D4C"/>
    <w:rsid w:val="0E115DA1"/>
    <w:rsid w:val="0E1409F6"/>
    <w:rsid w:val="0E162D6D"/>
    <w:rsid w:val="0E460DCC"/>
    <w:rsid w:val="0E541CA2"/>
    <w:rsid w:val="0E576B35"/>
    <w:rsid w:val="0E594756"/>
    <w:rsid w:val="0E666D78"/>
    <w:rsid w:val="0E95596D"/>
    <w:rsid w:val="0EA578A0"/>
    <w:rsid w:val="0EAE6205"/>
    <w:rsid w:val="0EAE6579"/>
    <w:rsid w:val="0EAF71BF"/>
    <w:rsid w:val="0ECE6257"/>
    <w:rsid w:val="0EE4129D"/>
    <w:rsid w:val="0EF54B6B"/>
    <w:rsid w:val="0F0071CD"/>
    <w:rsid w:val="0F072309"/>
    <w:rsid w:val="0F171032"/>
    <w:rsid w:val="0F256F0F"/>
    <w:rsid w:val="0F310E36"/>
    <w:rsid w:val="0F335E69"/>
    <w:rsid w:val="0F372614"/>
    <w:rsid w:val="0F3D59C9"/>
    <w:rsid w:val="0F516D5A"/>
    <w:rsid w:val="0F565B36"/>
    <w:rsid w:val="0F5B02F8"/>
    <w:rsid w:val="0F684933"/>
    <w:rsid w:val="0F6E2388"/>
    <w:rsid w:val="0F821E7D"/>
    <w:rsid w:val="0FB029A1"/>
    <w:rsid w:val="0FC91CB4"/>
    <w:rsid w:val="0FCA42ED"/>
    <w:rsid w:val="0FD51400"/>
    <w:rsid w:val="0FDB5F4F"/>
    <w:rsid w:val="0FE7592C"/>
    <w:rsid w:val="0FFC17A5"/>
    <w:rsid w:val="0FFD20F0"/>
    <w:rsid w:val="10142F30"/>
    <w:rsid w:val="10352857"/>
    <w:rsid w:val="103E6E57"/>
    <w:rsid w:val="1041497B"/>
    <w:rsid w:val="10425FF6"/>
    <w:rsid w:val="106612B1"/>
    <w:rsid w:val="10685C2F"/>
    <w:rsid w:val="109010E6"/>
    <w:rsid w:val="109C4CD3"/>
    <w:rsid w:val="10B271F4"/>
    <w:rsid w:val="10B537CC"/>
    <w:rsid w:val="10C61D50"/>
    <w:rsid w:val="10C8275C"/>
    <w:rsid w:val="10C86D3B"/>
    <w:rsid w:val="10CE3FD9"/>
    <w:rsid w:val="10E03539"/>
    <w:rsid w:val="10E82D1F"/>
    <w:rsid w:val="10EE5C94"/>
    <w:rsid w:val="10F5757C"/>
    <w:rsid w:val="10F93ED3"/>
    <w:rsid w:val="10FE14EA"/>
    <w:rsid w:val="111D7BC2"/>
    <w:rsid w:val="11250F40"/>
    <w:rsid w:val="113329E7"/>
    <w:rsid w:val="113F294C"/>
    <w:rsid w:val="11437C85"/>
    <w:rsid w:val="114F1D45"/>
    <w:rsid w:val="11575085"/>
    <w:rsid w:val="1166372C"/>
    <w:rsid w:val="11700D10"/>
    <w:rsid w:val="1178125A"/>
    <w:rsid w:val="118441E0"/>
    <w:rsid w:val="1196056D"/>
    <w:rsid w:val="11B85B3D"/>
    <w:rsid w:val="11CD20A0"/>
    <w:rsid w:val="11D34654"/>
    <w:rsid w:val="11F03528"/>
    <w:rsid w:val="12010480"/>
    <w:rsid w:val="120E707F"/>
    <w:rsid w:val="121D0051"/>
    <w:rsid w:val="12413D84"/>
    <w:rsid w:val="12437AFC"/>
    <w:rsid w:val="127A7D1C"/>
    <w:rsid w:val="12800054"/>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87163"/>
    <w:rsid w:val="145B7B45"/>
    <w:rsid w:val="14627FE2"/>
    <w:rsid w:val="14717443"/>
    <w:rsid w:val="14825F8A"/>
    <w:rsid w:val="148C70AD"/>
    <w:rsid w:val="148D52E3"/>
    <w:rsid w:val="14977C8B"/>
    <w:rsid w:val="14991C55"/>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0AFF"/>
    <w:rsid w:val="152A4FA3"/>
    <w:rsid w:val="153A36AA"/>
    <w:rsid w:val="15455939"/>
    <w:rsid w:val="15477903"/>
    <w:rsid w:val="1557566D"/>
    <w:rsid w:val="1565422D"/>
    <w:rsid w:val="156E0971"/>
    <w:rsid w:val="15785B3E"/>
    <w:rsid w:val="15811F1B"/>
    <w:rsid w:val="15A30135"/>
    <w:rsid w:val="15A34015"/>
    <w:rsid w:val="15BB487B"/>
    <w:rsid w:val="15BE749A"/>
    <w:rsid w:val="15C34AB0"/>
    <w:rsid w:val="15C471A6"/>
    <w:rsid w:val="15CE086D"/>
    <w:rsid w:val="15E2236F"/>
    <w:rsid w:val="16005D04"/>
    <w:rsid w:val="161D09ED"/>
    <w:rsid w:val="162323A3"/>
    <w:rsid w:val="162F30B1"/>
    <w:rsid w:val="1650762F"/>
    <w:rsid w:val="16510F12"/>
    <w:rsid w:val="166448F9"/>
    <w:rsid w:val="1677211D"/>
    <w:rsid w:val="16774218"/>
    <w:rsid w:val="16784280"/>
    <w:rsid w:val="167954F9"/>
    <w:rsid w:val="169311EC"/>
    <w:rsid w:val="169C5A2D"/>
    <w:rsid w:val="169F7296"/>
    <w:rsid w:val="16A060BA"/>
    <w:rsid w:val="16A57EAF"/>
    <w:rsid w:val="16A918E4"/>
    <w:rsid w:val="16AC6E3F"/>
    <w:rsid w:val="16AE652A"/>
    <w:rsid w:val="16B56AEF"/>
    <w:rsid w:val="16C872D5"/>
    <w:rsid w:val="16D54FA3"/>
    <w:rsid w:val="16D84D9F"/>
    <w:rsid w:val="16E94D3E"/>
    <w:rsid w:val="170D06E0"/>
    <w:rsid w:val="170F61FF"/>
    <w:rsid w:val="17233E03"/>
    <w:rsid w:val="17332185"/>
    <w:rsid w:val="17475951"/>
    <w:rsid w:val="175C542D"/>
    <w:rsid w:val="175D0ED4"/>
    <w:rsid w:val="1763501C"/>
    <w:rsid w:val="17793FC0"/>
    <w:rsid w:val="17920BDE"/>
    <w:rsid w:val="179D33A9"/>
    <w:rsid w:val="179F2E61"/>
    <w:rsid w:val="17A06264"/>
    <w:rsid w:val="17BE19D3"/>
    <w:rsid w:val="17C227C0"/>
    <w:rsid w:val="17D66D7C"/>
    <w:rsid w:val="17DE0EDF"/>
    <w:rsid w:val="17EE5BFF"/>
    <w:rsid w:val="18097740"/>
    <w:rsid w:val="18136133"/>
    <w:rsid w:val="181924E4"/>
    <w:rsid w:val="181F179B"/>
    <w:rsid w:val="182B52BA"/>
    <w:rsid w:val="184055B9"/>
    <w:rsid w:val="184A2082"/>
    <w:rsid w:val="185A16FC"/>
    <w:rsid w:val="185D3C42"/>
    <w:rsid w:val="185F38AF"/>
    <w:rsid w:val="188F0211"/>
    <w:rsid w:val="18AD1BEB"/>
    <w:rsid w:val="18AE1A47"/>
    <w:rsid w:val="18B3004A"/>
    <w:rsid w:val="18B31B6D"/>
    <w:rsid w:val="18B83CF9"/>
    <w:rsid w:val="18B96080"/>
    <w:rsid w:val="18CB43A7"/>
    <w:rsid w:val="18CE20EA"/>
    <w:rsid w:val="18DB2CD8"/>
    <w:rsid w:val="18F67868"/>
    <w:rsid w:val="190B2D88"/>
    <w:rsid w:val="190E6B63"/>
    <w:rsid w:val="19123928"/>
    <w:rsid w:val="19194264"/>
    <w:rsid w:val="19283048"/>
    <w:rsid w:val="19420786"/>
    <w:rsid w:val="19427EC0"/>
    <w:rsid w:val="194948F2"/>
    <w:rsid w:val="195711D7"/>
    <w:rsid w:val="195D2A3F"/>
    <w:rsid w:val="198310E9"/>
    <w:rsid w:val="198D747A"/>
    <w:rsid w:val="19A15638"/>
    <w:rsid w:val="19A74DFE"/>
    <w:rsid w:val="19A753EF"/>
    <w:rsid w:val="19B117EF"/>
    <w:rsid w:val="1A125525"/>
    <w:rsid w:val="1A1E49AB"/>
    <w:rsid w:val="1A5734FE"/>
    <w:rsid w:val="1A587EBD"/>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073948"/>
    <w:rsid w:val="1C2F10F1"/>
    <w:rsid w:val="1C4032FE"/>
    <w:rsid w:val="1C4E77C9"/>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9637F"/>
    <w:rsid w:val="1DDD2BCB"/>
    <w:rsid w:val="1DDE692B"/>
    <w:rsid w:val="1E0345E3"/>
    <w:rsid w:val="1E1B7B7F"/>
    <w:rsid w:val="1E2A6014"/>
    <w:rsid w:val="1E443370"/>
    <w:rsid w:val="1E656063"/>
    <w:rsid w:val="1E6B06A5"/>
    <w:rsid w:val="1E7554E1"/>
    <w:rsid w:val="1E7F7D9E"/>
    <w:rsid w:val="1E840DA4"/>
    <w:rsid w:val="1EA5444C"/>
    <w:rsid w:val="1EA5569B"/>
    <w:rsid w:val="1EB350EF"/>
    <w:rsid w:val="1EC21749"/>
    <w:rsid w:val="1EEB7C4E"/>
    <w:rsid w:val="1F072441"/>
    <w:rsid w:val="1F171B83"/>
    <w:rsid w:val="1F1F369F"/>
    <w:rsid w:val="1F2D4691"/>
    <w:rsid w:val="1F2D491A"/>
    <w:rsid w:val="1F3F789D"/>
    <w:rsid w:val="1F4E5D32"/>
    <w:rsid w:val="1F66355F"/>
    <w:rsid w:val="1F7369C7"/>
    <w:rsid w:val="1F9113A9"/>
    <w:rsid w:val="1F94547B"/>
    <w:rsid w:val="1FA47700"/>
    <w:rsid w:val="1FAF308C"/>
    <w:rsid w:val="1FB64FF9"/>
    <w:rsid w:val="1FC11109"/>
    <w:rsid w:val="1FD44489"/>
    <w:rsid w:val="1FDA3223"/>
    <w:rsid w:val="1FDE2C12"/>
    <w:rsid w:val="1FEF08C8"/>
    <w:rsid w:val="1FF72E6A"/>
    <w:rsid w:val="1FFB6F12"/>
    <w:rsid w:val="201B3ED4"/>
    <w:rsid w:val="20230F6D"/>
    <w:rsid w:val="20310B02"/>
    <w:rsid w:val="20344F28"/>
    <w:rsid w:val="206F0406"/>
    <w:rsid w:val="207417C9"/>
    <w:rsid w:val="20784063"/>
    <w:rsid w:val="207E346A"/>
    <w:rsid w:val="2080016D"/>
    <w:rsid w:val="208E12C3"/>
    <w:rsid w:val="209502A3"/>
    <w:rsid w:val="209854B7"/>
    <w:rsid w:val="20CA3197"/>
    <w:rsid w:val="20EA3839"/>
    <w:rsid w:val="2100305C"/>
    <w:rsid w:val="210F579E"/>
    <w:rsid w:val="21163FF0"/>
    <w:rsid w:val="211B39F2"/>
    <w:rsid w:val="212550B5"/>
    <w:rsid w:val="21592B62"/>
    <w:rsid w:val="2172049B"/>
    <w:rsid w:val="21747CD2"/>
    <w:rsid w:val="219263AA"/>
    <w:rsid w:val="21983295"/>
    <w:rsid w:val="219E5782"/>
    <w:rsid w:val="21CD73E2"/>
    <w:rsid w:val="21D02A2F"/>
    <w:rsid w:val="21D10545"/>
    <w:rsid w:val="21E72B0B"/>
    <w:rsid w:val="21E76A4A"/>
    <w:rsid w:val="21EE607E"/>
    <w:rsid w:val="21F229A5"/>
    <w:rsid w:val="21F66F4C"/>
    <w:rsid w:val="221F2D96"/>
    <w:rsid w:val="22230DB0"/>
    <w:rsid w:val="22246DB1"/>
    <w:rsid w:val="22440067"/>
    <w:rsid w:val="22543660"/>
    <w:rsid w:val="225A6017"/>
    <w:rsid w:val="22631AF5"/>
    <w:rsid w:val="226B2757"/>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1E31"/>
    <w:rsid w:val="24453D05"/>
    <w:rsid w:val="244A2F6C"/>
    <w:rsid w:val="24607F91"/>
    <w:rsid w:val="246C581B"/>
    <w:rsid w:val="247C52A2"/>
    <w:rsid w:val="248F6BD1"/>
    <w:rsid w:val="248F6BEC"/>
    <w:rsid w:val="24942917"/>
    <w:rsid w:val="24AE34FB"/>
    <w:rsid w:val="24CC106B"/>
    <w:rsid w:val="24D00598"/>
    <w:rsid w:val="24D725E9"/>
    <w:rsid w:val="24E32A79"/>
    <w:rsid w:val="24EC31CF"/>
    <w:rsid w:val="25045F70"/>
    <w:rsid w:val="250474F1"/>
    <w:rsid w:val="25056E93"/>
    <w:rsid w:val="25092EBA"/>
    <w:rsid w:val="250E5D48"/>
    <w:rsid w:val="25241020"/>
    <w:rsid w:val="25302410"/>
    <w:rsid w:val="255B6AB3"/>
    <w:rsid w:val="256B319A"/>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009DE"/>
    <w:rsid w:val="26912B30"/>
    <w:rsid w:val="269772F0"/>
    <w:rsid w:val="26997893"/>
    <w:rsid w:val="269F0C21"/>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909D4"/>
    <w:rsid w:val="271B474C"/>
    <w:rsid w:val="271F6B87"/>
    <w:rsid w:val="274E2228"/>
    <w:rsid w:val="27517A93"/>
    <w:rsid w:val="27565784"/>
    <w:rsid w:val="275E53AF"/>
    <w:rsid w:val="27606603"/>
    <w:rsid w:val="276658E8"/>
    <w:rsid w:val="2769195B"/>
    <w:rsid w:val="276F6846"/>
    <w:rsid w:val="277E30D2"/>
    <w:rsid w:val="27803F2A"/>
    <w:rsid w:val="278A18D2"/>
    <w:rsid w:val="27983FEE"/>
    <w:rsid w:val="27A34941"/>
    <w:rsid w:val="27A97FAA"/>
    <w:rsid w:val="27EE3A7B"/>
    <w:rsid w:val="27F356C9"/>
    <w:rsid w:val="27FA25B3"/>
    <w:rsid w:val="28033B5E"/>
    <w:rsid w:val="28100029"/>
    <w:rsid w:val="282B09BF"/>
    <w:rsid w:val="282E4F00"/>
    <w:rsid w:val="283C23DF"/>
    <w:rsid w:val="283D69F1"/>
    <w:rsid w:val="283F090E"/>
    <w:rsid w:val="284C16F5"/>
    <w:rsid w:val="28570AB5"/>
    <w:rsid w:val="285F2CDC"/>
    <w:rsid w:val="28622C36"/>
    <w:rsid w:val="2869172C"/>
    <w:rsid w:val="288C2D07"/>
    <w:rsid w:val="288D78CB"/>
    <w:rsid w:val="289E7E22"/>
    <w:rsid w:val="28B9421C"/>
    <w:rsid w:val="28C2534B"/>
    <w:rsid w:val="28C5525A"/>
    <w:rsid w:val="28D14B96"/>
    <w:rsid w:val="29020C46"/>
    <w:rsid w:val="290240C7"/>
    <w:rsid w:val="291713AF"/>
    <w:rsid w:val="291A2B97"/>
    <w:rsid w:val="29274EE0"/>
    <w:rsid w:val="29323FCF"/>
    <w:rsid w:val="294F692F"/>
    <w:rsid w:val="295029E3"/>
    <w:rsid w:val="29543A59"/>
    <w:rsid w:val="29670ED3"/>
    <w:rsid w:val="2969197F"/>
    <w:rsid w:val="29746E87"/>
    <w:rsid w:val="297939AC"/>
    <w:rsid w:val="297C03C2"/>
    <w:rsid w:val="299573AB"/>
    <w:rsid w:val="29B05804"/>
    <w:rsid w:val="29B50E88"/>
    <w:rsid w:val="29BD1AEA"/>
    <w:rsid w:val="29BE5BD0"/>
    <w:rsid w:val="29C01572"/>
    <w:rsid w:val="29C25353"/>
    <w:rsid w:val="29CA4207"/>
    <w:rsid w:val="29D82DC8"/>
    <w:rsid w:val="29DA08EE"/>
    <w:rsid w:val="29DB6414"/>
    <w:rsid w:val="29E74CE2"/>
    <w:rsid w:val="2A133E00"/>
    <w:rsid w:val="2A241B69"/>
    <w:rsid w:val="2A306A36"/>
    <w:rsid w:val="2A3224D8"/>
    <w:rsid w:val="2A41096D"/>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7459F"/>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8E15B2"/>
    <w:rsid w:val="2CA25191"/>
    <w:rsid w:val="2CAC022C"/>
    <w:rsid w:val="2CC11807"/>
    <w:rsid w:val="2CC66CD6"/>
    <w:rsid w:val="2CD05FD9"/>
    <w:rsid w:val="2CE327BC"/>
    <w:rsid w:val="2CF16074"/>
    <w:rsid w:val="2CF81D1B"/>
    <w:rsid w:val="2D3F2453"/>
    <w:rsid w:val="2D480265"/>
    <w:rsid w:val="2D6F134E"/>
    <w:rsid w:val="2D835174"/>
    <w:rsid w:val="2D9331F9"/>
    <w:rsid w:val="2D99461C"/>
    <w:rsid w:val="2DD90B7B"/>
    <w:rsid w:val="2DD92C6B"/>
    <w:rsid w:val="2DDD3FC1"/>
    <w:rsid w:val="2DE531B8"/>
    <w:rsid w:val="2DEA131C"/>
    <w:rsid w:val="2DF701D8"/>
    <w:rsid w:val="2DF970A1"/>
    <w:rsid w:val="2E0665A9"/>
    <w:rsid w:val="2E085834"/>
    <w:rsid w:val="2E1034F8"/>
    <w:rsid w:val="2E112405"/>
    <w:rsid w:val="2E120D8E"/>
    <w:rsid w:val="2E310CF9"/>
    <w:rsid w:val="2E3D144C"/>
    <w:rsid w:val="2E443652"/>
    <w:rsid w:val="2E505773"/>
    <w:rsid w:val="2E5C0A3D"/>
    <w:rsid w:val="2E6C2DE0"/>
    <w:rsid w:val="2E7146E1"/>
    <w:rsid w:val="2E742F70"/>
    <w:rsid w:val="2E9077CD"/>
    <w:rsid w:val="2E9574DA"/>
    <w:rsid w:val="2E9A689E"/>
    <w:rsid w:val="2EB15996"/>
    <w:rsid w:val="2ED61D9E"/>
    <w:rsid w:val="2EDC2A13"/>
    <w:rsid w:val="2EED2E72"/>
    <w:rsid w:val="2EFD7DB9"/>
    <w:rsid w:val="2F1A081D"/>
    <w:rsid w:val="2F1C72B3"/>
    <w:rsid w:val="2F1E1306"/>
    <w:rsid w:val="2F1E3DC0"/>
    <w:rsid w:val="2F2D326E"/>
    <w:rsid w:val="2F3112DE"/>
    <w:rsid w:val="2F3B6922"/>
    <w:rsid w:val="2F3D7B25"/>
    <w:rsid w:val="2F480119"/>
    <w:rsid w:val="2F4A2072"/>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564A47"/>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2B7C81"/>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542D4"/>
    <w:rsid w:val="31E63B94"/>
    <w:rsid w:val="31F27AF7"/>
    <w:rsid w:val="31FA74CA"/>
    <w:rsid w:val="32176602"/>
    <w:rsid w:val="322A7699"/>
    <w:rsid w:val="322B25C6"/>
    <w:rsid w:val="32422E70"/>
    <w:rsid w:val="325E56C6"/>
    <w:rsid w:val="326E6078"/>
    <w:rsid w:val="3275698A"/>
    <w:rsid w:val="327C0679"/>
    <w:rsid w:val="32870EE7"/>
    <w:rsid w:val="32943B86"/>
    <w:rsid w:val="32A93829"/>
    <w:rsid w:val="32B943EC"/>
    <w:rsid w:val="32B9519B"/>
    <w:rsid w:val="32DC63A0"/>
    <w:rsid w:val="32E429C1"/>
    <w:rsid w:val="330503EE"/>
    <w:rsid w:val="33174961"/>
    <w:rsid w:val="33274478"/>
    <w:rsid w:val="334045BE"/>
    <w:rsid w:val="334A3B2A"/>
    <w:rsid w:val="335A65FC"/>
    <w:rsid w:val="3365592E"/>
    <w:rsid w:val="336A31F3"/>
    <w:rsid w:val="336F6533"/>
    <w:rsid w:val="337E5E2F"/>
    <w:rsid w:val="3384610D"/>
    <w:rsid w:val="33886F33"/>
    <w:rsid w:val="33A31D51"/>
    <w:rsid w:val="33AA5979"/>
    <w:rsid w:val="33C03E90"/>
    <w:rsid w:val="33C96649"/>
    <w:rsid w:val="33CC3D88"/>
    <w:rsid w:val="33D939C5"/>
    <w:rsid w:val="33DD0306"/>
    <w:rsid w:val="33FD722F"/>
    <w:rsid w:val="3400362D"/>
    <w:rsid w:val="340B09C5"/>
    <w:rsid w:val="341E4CAB"/>
    <w:rsid w:val="344463BB"/>
    <w:rsid w:val="34584EE2"/>
    <w:rsid w:val="347A1C51"/>
    <w:rsid w:val="347D373F"/>
    <w:rsid w:val="34922A93"/>
    <w:rsid w:val="34956481"/>
    <w:rsid w:val="34A35871"/>
    <w:rsid w:val="34C06C9D"/>
    <w:rsid w:val="34C87620"/>
    <w:rsid w:val="34DF24AE"/>
    <w:rsid w:val="34E72111"/>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B5220F"/>
    <w:rsid w:val="35D501BC"/>
    <w:rsid w:val="35DB09A6"/>
    <w:rsid w:val="36080591"/>
    <w:rsid w:val="3609472F"/>
    <w:rsid w:val="3619454C"/>
    <w:rsid w:val="36203B2D"/>
    <w:rsid w:val="363E0457"/>
    <w:rsid w:val="365B4B65"/>
    <w:rsid w:val="367C46AA"/>
    <w:rsid w:val="369B4CF0"/>
    <w:rsid w:val="36D62629"/>
    <w:rsid w:val="36D76172"/>
    <w:rsid w:val="36D84407"/>
    <w:rsid w:val="36E833BB"/>
    <w:rsid w:val="36EB1E1B"/>
    <w:rsid w:val="36F17F0D"/>
    <w:rsid w:val="36FB00F6"/>
    <w:rsid w:val="37103BA1"/>
    <w:rsid w:val="37135440"/>
    <w:rsid w:val="37224581"/>
    <w:rsid w:val="3735197D"/>
    <w:rsid w:val="373756A2"/>
    <w:rsid w:val="374A416C"/>
    <w:rsid w:val="375E0DA6"/>
    <w:rsid w:val="377639AE"/>
    <w:rsid w:val="378142CB"/>
    <w:rsid w:val="378B61A6"/>
    <w:rsid w:val="378D473A"/>
    <w:rsid w:val="37B90F0B"/>
    <w:rsid w:val="37CD3F98"/>
    <w:rsid w:val="37DF75BA"/>
    <w:rsid w:val="37E148E2"/>
    <w:rsid w:val="37F848EE"/>
    <w:rsid w:val="37F912FC"/>
    <w:rsid w:val="37FB65FF"/>
    <w:rsid w:val="380D59EE"/>
    <w:rsid w:val="38304889"/>
    <w:rsid w:val="3836588A"/>
    <w:rsid w:val="383733B0"/>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506A51"/>
    <w:rsid w:val="396453C5"/>
    <w:rsid w:val="39846181"/>
    <w:rsid w:val="39922CCF"/>
    <w:rsid w:val="39981C2C"/>
    <w:rsid w:val="39A24859"/>
    <w:rsid w:val="39A65327"/>
    <w:rsid w:val="39A65C9B"/>
    <w:rsid w:val="39BC5ED6"/>
    <w:rsid w:val="39D27231"/>
    <w:rsid w:val="39E82BB3"/>
    <w:rsid w:val="39EB39E0"/>
    <w:rsid w:val="39EE7A9E"/>
    <w:rsid w:val="39EF02D4"/>
    <w:rsid w:val="3A11342A"/>
    <w:rsid w:val="3A153110"/>
    <w:rsid w:val="3A2149EA"/>
    <w:rsid w:val="3A2507C0"/>
    <w:rsid w:val="3A285AD8"/>
    <w:rsid w:val="3A393FA7"/>
    <w:rsid w:val="3A3A5A22"/>
    <w:rsid w:val="3A524858"/>
    <w:rsid w:val="3A64203E"/>
    <w:rsid w:val="3A663D00"/>
    <w:rsid w:val="3A6A605D"/>
    <w:rsid w:val="3A7428D0"/>
    <w:rsid w:val="3A7461F5"/>
    <w:rsid w:val="3A747EDD"/>
    <w:rsid w:val="3A8D2519"/>
    <w:rsid w:val="3A8F302F"/>
    <w:rsid w:val="3A923AE4"/>
    <w:rsid w:val="3AA50E25"/>
    <w:rsid w:val="3ABB2076"/>
    <w:rsid w:val="3AC566E3"/>
    <w:rsid w:val="3AD6747A"/>
    <w:rsid w:val="3AD95C48"/>
    <w:rsid w:val="3ADF5D0A"/>
    <w:rsid w:val="3B312338"/>
    <w:rsid w:val="3B3C5B77"/>
    <w:rsid w:val="3B3D0FF2"/>
    <w:rsid w:val="3B501351"/>
    <w:rsid w:val="3B521A18"/>
    <w:rsid w:val="3B5C5F31"/>
    <w:rsid w:val="3B7346FF"/>
    <w:rsid w:val="3B8D2B96"/>
    <w:rsid w:val="3B923660"/>
    <w:rsid w:val="3BCA44BE"/>
    <w:rsid w:val="3BF515B8"/>
    <w:rsid w:val="3C061F3A"/>
    <w:rsid w:val="3C0A04F9"/>
    <w:rsid w:val="3C1C08F2"/>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E10046"/>
    <w:rsid w:val="3DE51866"/>
    <w:rsid w:val="3DE91725"/>
    <w:rsid w:val="3DF159B1"/>
    <w:rsid w:val="3E135D25"/>
    <w:rsid w:val="3E1A106E"/>
    <w:rsid w:val="3E280DCF"/>
    <w:rsid w:val="3E29379B"/>
    <w:rsid w:val="3E36303B"/>
    <w:rsid w:val="3E526044"/>
    <w:rsid w:val="3E5C591E"/>
    <w:rsid w:val="3E6C2B3A"/>
    <w:rsid w:val="3E8C5311"/>
    <w:rsid w:val="3E8E7E55"/>
    <w:rsid w:val="3E9A6446"/>
    <w:rsid w:val="3EB61473"/>
    <w:rsid w:val="3EC66011"/>
    <w:rsid w:val="3ED25BE0"/>
    <w:rsid w:val="3ED75B7F"/>
    <w:rsid w:val="3EF9316D"/>
    <w:rsid w:val="3F315E6B"/>
    <w:rsid w:val="3F5175E2"/>
    <w:rsid w:val="3F56276A"/>
    <w:rsid w:val="3F60143E"/>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C03A7"/>
    <w:rsid w:val="405C1C05"/>
    <w:rsid w:val="405E3BCF"/>
    <w:rsid w:val="406B3DDC"/>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9E624E"/>
    <w:rsid w:val="41B7239D"/>
    <w:rsid w:val="41C95079"/>
    <w:rsid w:val="41D852BC"/>
    <w:rsid w:val="41FF3845"/>
    <w:rsid w:val="420E33D3"/>
    <w:rsid w:val="42101488"/>
    <w:rsid w:val="421104A9"/>
    <w:rsid w:val="42143B88"/>
    <w:rsid w:val="42164586"/>
    <w:rsid w:val="421B27D5"/>
    <w:rsid w:val="422E75D1"/>
    <w:rsid w:val="42475850"/>
    <w:rsid w:val="424C7A58"/>
    <w:rsid w:val="424E1A22"/>
    <w:rsid w:val="425B5DD1"/>
    <w:rsid w:val="4260300C"/>
    <w:rsid w:val="42755200"/>
    <w:rsid w:val="42772802"/>
    <w:rsid w:val="427C799E"/>
    <w:rsid w:val="427F607F"/>
    <w:rsid w:val="42800B9B"/>
    <w:rsid w:val="4281223D"/>
    <w:rsid w:val="42894808"/>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21B3C"/>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D65EE"/>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15C6A"/>
    <w:rsid w:val="45887B45"/>
    <w:rsid w:val="458B66DF"/>
    <w:rsid w:val="45940F0E"/>
    <w:rsid w:val="459534C4"/>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F26BD"/>
    <w:rsid w:val="46F74436"/>
    <w:rsid w:val="46FF15E0"/>
    <w:rsid w:val="4700581C"/>
    <w:rsid w:val="4702516A"/>
    <w:rsid w:val="4724600B"/>
    <w:rsid w:val="472E597E"/>
    <w:rsid w:val="473C009B"/>
    <w:rsid w:val="474A4B33"/>
    <w:rsid w:val="47665A15"/>
    <w:rsid w:val="47677941"/>
    <w:rsid w:val="477F1660"/>
    <w:rsid w:val="4788232A"/>
    <w:rsid w:val="478B0398"/>
    <w:rsid w:val="478C7274"/>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755EB"/>
    <w:rsid w:val="48691107"/>
    <w:rsid w:val="48895289"/>
    <w:rsid w:val="48A16B62"/>
    <w:rsid w:val="48AE0D54"/>
    <w:rsid w:val="48BC6222"/>
    <w:rsid w:val="48C245E9"/>
    <w:rsid w:val="48DB312A"/>
    <w:rsid w:val="48DF49D9"/>
    <w:rsid w:val="48E44E8E"/>
    <w:rsid w:val="492108CC"/>
    <w:rsid w:val="49413F52"/>
    <w:rsid w:val="494F6304"/>
    <w:rsid w:val="49792B95"/>
    <w:rsid w:val="49F11610"/>
    <w:rsid w:val="4A05334F"/>
    <w:rsid w:val="4A060864"/>
    <w:rsid w:val="4A244932"/>
    <w:rsid w:val="4A2922C8"/>
    <w:rsid w:val="4A2F038B"/>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4B1FAE"/>
    <w:rsid w:val="4B520DF4"/>
    <w:rsid w:val="4B603107"/>
    <w:rsid w:val="4B7A5635"/>
    <w:rsid w:val="4B8E10E1"/>
    <w:rsid w:val="4B9802B0"/>
    <w:rsid w:val="4B9E65BE"/>
    <w:rsid w:val="4B9F33A8"/>
    <w:rsid w:val="4BA80AFD"/>
    <w:rsid w:val="4BB033BA"/>
    <w:rsid w:val="4BB469AD"/>
    <w:rsid w:val="4BB74194"/>
    <w:rsid w:val="4BC06040"/>
    <w:rsid w:val="4BC66ACD"/>
    <w:rsid w:val="4BCF5981"/>
    <w:rsid w:val="4BD846DB"/>
    <w:rsid w:val="4BE8259F"/>
    <w:rsid w:val="4BF4363A"/>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5A571F"/>
    <w:rsid w:val="4D687F27"/>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3427"/>
    <w:rsid w:val="4E151645"/>
    <w:rsid w:val="4E2423AC"/>
    <w:rsid w:val="4E261AA5"/>
    <w:rsid w:val="4E287F63"/>
    <w:rsid w:val="4E304B5D"/>
    <w:rsid w:val="4E3F66C2"/>
    <w:rsid w:val="4E4A7541"/>
    <w:rsid w:val="4E611B8B"/>
    <w:rsid w:val="4E6279D7"/>
    <w:rsid w:val="4E682F8C"/>
    <w:rsid w:val="4E6A7BB7"/>
    <w:rsid w:val="4E6C5D89"/>
    <w:rsid w:val="4E6D76D3"/>
    <w:rsid w:val="4E9133C2"/>
    <w:rsid w:val="4E994025"/>
    <w:rsid w:val="4EAC3D58"/>
    <w:rsid w:val="4EB23220"/>
    <w:rsid w:val="4EB26E94"/>
    <w:rsid w:val="4EE661F8"/>
    <w:rsid w:val="4EF27A04"/>
    <w:rsid w:val="4F0773B4"/>
    <w:rsid w:val="4F241019"/>
    <w:rsid w:val="4F307BB1"/>
    <w:rsid w:val="4F336227"/>
    <w:rsid w:val="4F3C3EF2"/>
    <w:rsid w:val="4F3D562D"/>
    <w:rsid w:val="4F473A81"/>
    <w:rsid w:val="4F5C4EE0"/>
    <w:rsid w:val="4F681AF1"/>
    <w:rsid w:val="4F6E1972"/>
    <w:rsid w:val="4F7505EE"/>
    <w:rsid w:val="4F943166"/>
    <w:rsid w:val="4F9C19A5"/>
    <w:rsid w:val="4FA2515B"/>
    <w:rsid w:val="4FBA02A1"/>
    <w:rsid w:val="4FE7106E"/>
    <w:rsid w:val="4FF82FCD"/>
    <w:rsid w:val="50053943"/>
    <w:rsid w:val="50260569"/>
    <w:rsid w:val="50374A3C"/>
    <w:rsid w:val="50487AB0"/>
    <w:rsid w:val="50550E55"/>
    <w:rsid w:val="50901457"/>
    <w:rsid w:val="509F43E4"/>
    <w:rsid w:val="50A54D3E"/>
    <w:rsid w:val="50B27620"/>
    <w:rsid w:val="50B82E88"/>
    <w:rsid w:val="50BB32A7"/>
    <w:rsid w:val="50C730CB"/>
    <w:rsid w:val="50CC5CB2"/>
    <w:rsid w:val="50CC6EA4"/>
    <w:rsid w:val="50ED0658"/>
    <w:rsid w:val="50ED1473"/>
    <w:rsid w:val="50F1402B"/>
    <w:rsid w:val="50FD2AD9"/>
    <w:rsid w:val="51081E85"/>
    <w:rsid w:val="51097D9A"/>
    <w:rsid w:val="511A650F"/>
    <w:rsid w:val="51237D2E"/>
    <w:rsid w:val="514229EF"/>
    <w:rsid w:val="515B06D0"/>
    <w:rsid w:val="51764AF1"/>
    <w:rsid w:val="518A5EA7"/>
    <w:rsid w:val="51996737"/>
    <w:rsid w:val="51A16517"/>
    <w:rsid w:val="51B408B8"/>
    <w:rsid w:val="51B80848"/>
    <w:rsid w:val="51CC0868"/>
    <w:rsid w:val="51D5340F"/>
    <w:rsid w:val="51E63A25"/>
    <w:rsid w:val="521C11F4"/>
    <w:rsid w:val="52287B99"/>
    <w:rsid w:val="52382F2A"/>
    <w:rsid w:val="52386E3D"/>
    <w:rsid w:val="523A7DD1"/>
    <w:rsid w:val="523B7711"/>
    <w:rsid w:val="5271774C"/>
    <w:rsid w:val="527A416D"/>
    <w:rsid w:val="52833022"/>
    <w:rsid w:val="528D5323"/>
    <w:rsid w:val="528D7B65"/>
    <w:rsid w:val="52AA11D3"/>
    <w:rsid w:val="52DE008D"/>
    <w:rsid w:val="52EE341E"/>
    <w:rsid w:val="52F37FE6"/>
    <w:rsid w:val="52FC1CAF"/>
    <w:rsid w:val="52FE08FA"/>
    <w:rsid w:val="52FF22FE"/>
    <w:rsid w:val="53004672"/>
    <w:rsid w:val="530B071F"/>
    <w:rsid w:val="531A330F"/>
    <w:rsid w:val="532B6CAF"/>
    <w:rsid w:val="53321D7D"/>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72334E"/>
    <w:rsid w:val="5486329D"/>
    <w:rsid w:val="54935B8F"/>
    <w:rsid w:val="549D3677"/>
    <w:rsid w:val="54B03E76"/>
    <w:rsid w:val="54BF230B"/>
    <w:rsid w:val="54CC6227"/>
    <w:rsid w:val="54D10F9B"/>
    <w:rsid w:val="54D23DEC"/>
    <w:rsid w:val="54D55AE6"/>
    <w:rsid w:val="54D97871"/>
    <w:rsid w:val="54DC4C6B"/>
    <w:rsid w:val="55055F70"/>
    <w:rsid w:val="5507618C"/>
    <w:rsid w:val="550B5550"/>
    <w:rsid w:val="551D35FD"/>
    <w:rsid w:val="551D586C"/>
    <w:rsid w:val="55200298"/>
    <w:rsid w:val="55202DAA"/>
    <w:rsid w:val="55335E1B"/>
    <w:rsid w:val="5536079B"/>
    <w:rsid w:val="554B7EF0"/>
    <w:rsid w:val="556F3D99"/>
    <w:rsid w:val="55720837"/>
    <w:rsid w:val="55860894"/>
    <w:rsid w:val="558F6181"/>
    <w:rsid w:val="55961AA0"/>
    <w:rsid w:val="55B02DF1"/>
    <w:rsid w:val="55D47A00"/>
    <w:rsid w:val="55D5456D"/>
    <w:rsid w:val="55DC290C"/>
    <w:rsid w:val="55E71B19"/>
    <w:rsid w:val="55EA5D64"/>
    <w:rsid w:val="55F01FA1"/>
    <w:rsid w:val="55FC19B9"/>
    <w:rsid w:val="56130B60"/>
    <w:rsid w:val="56234F28"/>
    <w:rsid w:val="562C1C22"/>
    <w:rsid w:val="56666B5B"/>
    <w:rsid w:val="56717635"/>
    <w:rsid w:val="56792400"/>
    <w:rsid w:val="56990B7C"/>
    <w:rsid w:val="569E1126"/>
    <w:rsid w:val="56A8690E"/>
    <w:rsid w:val="56B679AB"/>
    <w:rsid w:val="56B80DEB"/>
    <w:rsid w:val="56C50A07"/>
    <w:rsid w:val="56E0560F"/>
    <w:rsid w:val="56E06E61"/>
    <w:rsid w:val="56EF3C74"/>
    <w:rsid w:val="56F653FE"/>
    <w:rsid w:val="57007337"/>
    <w:rsid w:val="574448FC"/>
    <w:rsid w:val="57561D39"/>
    <w:rsid w:val="575B7AFD"/>
    <w:rsid w:val="57660D3F"/>
    <w:rsid w:val="57802226"/>
    <w:rsid w:val="5785783C"/>
    <w:rsid w:val="578F06BB"/>
    <w:rsid w:val="57A469A0"/>
    <w:rsid w:val="57CC4BC2"/>
    <w:rsid w:val="57D10760"/>
    <w:rsid w:val="57D1153D"/>
    <w:rsid w:val="57D77297"/>
    <w:rsid w:val="57FA3774"/>
    <w:rsid w:val="58084A3C"/>
    <w:rsid w:val="582772A7"/>
    <w:rsid w:val="58450D79"/>
    <w:rsid w:val="5847689F"/>
    <w:rsid w:val="58531B77"/>
    <w:rsid w:val="585D2975"/>
    <w:rsid w:val="585E3492"/>
    <w:rsid w:val="585F64F9"/>
    <w:rsid w:val="587E3341"/>
    <w:rsid w:val="587F428B"/>
    <w:rsid w:val="58843A9C"/>
    <w:rsid w:val="58B31855"/>
    <w:rsid w:val="58CF56D8"/>
    <w:rsid w:val="58D31010"/>
    <w:rsid w:val="58D6741E"/>
    <w:rsid w:val="58DB0535"/>
    <w:rsid w:val="58E233B1"/>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3C86"/>
    <w:rsid w:val="59AD6BD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339F0"/>
    <w:rsid w:val="5B6D62B9"/>
    <w:rsid w:val="5B746CFA"/>
    <w:rsid w:val="5B9A2B59"/>
    <w:rsid w:val="5BA652E6"/>
    <w:rsid w:val="5BC0085A"/>
    <w:rsid w:val="5BE03293"/>
    <w:rsid w:val="5BF03D58"/>
    <w:rsid w:val="5BF20AFB"/>
    <w:rsid w:val="5C1A6BB2"/>
    <w:rsid w:val="5C306D31"/>
    <w:rsid w:val="5C37233A"/>
    <w:rsid w:val="5C3D2493"/>
    <w:rsid w:val="5C4001D5"/>
    <w:rsid w:val="5C5355FE"/>
    <w:rsid w:val="5C5A49A5"/>
    <w:rsid w:val="5C6519EA"/>
    <w:rsid w:val="5C6715FE"/>
    <w:rsid w:val="5C6F4105"/>
    <w:rsid w:val="5CBB7F6F"/>
    <w:rsid w:val="5CC248CE"/>
    <w:rsid w:val="5CC826A5"/>
    <w:rsid w:val="5CF1327E"/>
    <w:rsid w:val="5D042FB1"/>
    <w:rsid w:val="5D442CB4"/>
    <w:rsid w:val="5D7C3F11"/>
    <w:rsid w:val="5D971C5A"/>
    <w:rsid w:val="5D9D49E0"/>
    <w:rsid w:val="5DA01E9E"/>
    <w:rsid w:val="5DAD3649"/>
    <w:rsid w:val="5DC310BE"/>
    <w:rsid w:val="5DC32E6C"/>
    <w:rsid w:val="5DCA5FA9"/>
    <w:rsid w:val="5DDF1821"/>
    <w:rsid w:val="5DE2656A"/>
    <w:rsid w:val="5DE352BC"/>
    <w:rsid w:val="5DEA2F91"/>
    <w:rsid w:val="5DF94AE0"/>
    <w:rsid w:val="5DFA5883"/>
    <w:rsid w:val="5E224037"/>
    <w:rsid w:val="5E3146A3"/>
    <w:rsid w:val="5E442F62"/>
    <w:rsid w:val="5E6C2C5B"/>
    <w:rsid w:val="5E6E2DD8"/>
    <w:rsid w:val="5E6F6B50"/>
    <w:rsid w:val="5E7251A2"/>
    <w:rsid w:val="5E7C3591"/>
    <w:rsid w:val="5E9842F9"/>
    <w:rsid w:val="5E9D0E18"/>
    <w:rsid w:val="5EA26F25"/>
    <w:rsid w:val="5EA341D7"/>
    <w:rsid w:val="5EA755DE"/>
    <w:rsid w:val="5EAE7678"/>
    <w:rsid w:val="5EC944B2"/>
    <w:rsid w:val="5ED35F0E"/>
    <w:rsid w:val="5EDA221B"/>
    <w:rsid w:val="5EDF7832"/>
    <w:rsid w:val="5EE35A36"/>
    <w:rsid w:val="5EFC1390"/>
    <w:rsid w:val="5EFC3EB6"/>
    <w:rsid w:val="5F03335D"/>
    <w:rsid w:val="5F0368C7"/>
    <w:rsid w:val="5F1544E7"/>
    <w:rsid w:val="5F197EE8"/>
    <w:rsid w:val="5F312D8D"/>
    <w:rsid w:val="5F3C4923"/>
    <w:rsid w:val="5F4160B0"/>
    <w:rsid w:val="5F5A7800"/>
    <w:rsid w:val="5F6368E9"/>
    <w:rsid w:val="5F7811D3"/>
    <w:rsid w:val="5F8D1984"/>
    <w:rsid w:val="5F9A65E6"/>
    <w:rsid w:val="5F9B2627"/>
    <w:rsid w:val="5F9E593F"/>
    <w:rsid w:val="5FA66B60"/>
    <w:rsid w:val="5FAC7B1F"/>
    <w:rsid w:val="5FB5266F"/>
    <w:rsid w:val="5FB80E3D"/>
    <w:rsid w:val="5FB831B4"/>
    <w:rsid w:val="5FD40999"/>
    <w:rsid w:val="5FE315A4"/>
    <w:rsid w:val="5FE5522B"/>
    <w:rsid w:val="5FF03F08"/>
    <w:rsid w:val="5FF2548E"/>
    <w:rsid w:val="5FF313D3"/>
    <w:rsid w:val="60200102"/>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7F70AA"/>
    <w:rsid w:val="618B7207"/>
    <w:rsid w:val="61907E69"/>
    <w:rsid w:val="61992BE1"/>
    <w:rsid w:val="61A90D68"/>
    <w:rsid w:val="61B43A15"/>
    <w:rsid w:val="61DA0425"/>
    <w:rsid w:val="62065A1D"/>
    <w:rsid w:val="620F77D9"/>
    <w:rsid w:val="6213792C"/>
    <w:rsid w:val="621775E2"/>
    <w:rsid w:val="621C0D9D"/>
    <w:rsid w:val="622F7552"/>
    <w:rsid w:val="6250406E"/>
    <w:rsid w:val="6263077A"/>
    <w:rsid w:val="6267666C"/>
    <w:rsid w:val="627D6831"/>
    <w:rsid w:val="62811B1C"/>
    <w:rsid w:val="62A20409"/>
    <w:rsid w:val="62AC0373"/>
    <w:rsid w:val="62B54B44"/>
    <w:rsid w:val="62BD2580"/>
    <w:rsid w:val="62E045DA"/>
    <w:rsid w:val="62E454A1"/>
    <w:rsid w:val="62E95123"/>
    <w:rsid w:val="62EF025F"/>
    <w:rsid w:val="62F36E4C"/>
    <w:rsid w:val="62F47F8F"/>
    <w:rsid w:val="62F7233F"/>
    <w:rsid w:val="631D301E"/>
    <w:rsid w:val="631F3FB4"/>
    <w:rsid w:val="63273E9D"/>
    <w:rsid w:val="632A1297"/>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0970FF"/>
    <w:rsid w:val="64177A6E"/>
    <w:rsid w:val="643F32F9"/>
    <w:rsid w:val="64533056"/>
    <w:rsid w:val="64582686"/>
    <w:rsid w:val="64673C87"/>
    <w:rsid w:val="64877733"/>
    <w:rsid w:val="64925346"/>
    <w:rsid w:val="64A170D2"/>
    <w:rsid w:val="64A251DD"/>
    <w:rsid w:val="64BC182A"/>
    <w:rsid w:val="650242F0"/>
    <w:rsid w:val="65365B2B"/>
    <w:rsid w:val="653B59DE"/>
    <w:rsid w:val="653F447E"/>
    <w:rsid w:val="65542778"/>
    <w:rsid w:val="655829AF"/>
    <w:rsid w:val="656B70C3"/>
    <w:rsid w:val="6570115F"/>
    <w:rsid w:val="657038D9"/>
    <w:rsid w:val="65711400"/>
    <w:rsid w:val="658F4798"/>
    <w:rsid w:val="659B1EBA"/>
    <w:rsid w:val="65A11CE5"/>
    <w:rsid w:val="65A83379"/>
    <w:rsid w:val="65B461E9"/>
    <w:rsid w:val="65BE39A8"/>
    <w:rsid w:val="65C23A09"/>
    <w:rsid w:val="65E41BD1"/>
    <w:rsid w:val="65ED4F2A"/>
    <w:rsid w:val="65FB3FBE"/>
    <w:rsid w:val="660B1854"/>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694A84"/>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4C2838"/>
    <w:rsid w:val="685A7CBF"/>
    <w:rsid w:val="685E1363"/>
    <w:rsid w:val="687731D1"/>
    <w:rsid w:val="6878475E"/>
    <w:rsid w:val="688651C2"/>
    <w:rsid w:val="688B4E68"/>
    <w:rsid w:val="688E1089"/>
    <w:rsid w:val="68993219"/>
    <w:rsid w:val="689E42BA"/>
    <w:rsid w:val="68A026F3"/>
    <w:rsid w:val="68AF6C13"/>
    <w:rsid w:val="68F25680"/>
    <w:rsid w:val="69074555"/>
    <w:rsid w:val="690E07C7"/>
    <w:rsid w:val="690F6F65"/>
    <w:rsid w:val="69140A20"/>
    <w:rsid w:val="69236A65"/>
    <w:rsid w:val="692E469B"/>
    <w:rsid w:val="69315C48"/>
    <w:rsid w:val="694019EC"/>
    <w:rsid w:val="694841AF"/>
    <w:rsid w:val="69584DB4"/>
    <w:rsid w:val="695B5B89"/>
    <w:rsid w:val="696C3D80"/>
    <w:rsid w:val="696D7E94"/>
    <w:rsid w:val="698A5EE4"/>
    <w:rsid w:val="69AE677E"/>
    <w:rsid w:val="69C811ED"/>
    <w:rsid w:val="69D33070"/>
    <w:rsid w:val="69E97E75"/>
    <w:rsid w:val="69FB5D9E"/>
    <w:rsid w:val="69FF6FDA"/>
    <w:rsid w:val="6A09542B"/>
    <w:rsid w:val="6A1A3007"/>
    <w:rsid w:val="6A1E645E"/>
    <w:rsid w:val="6A3C6480"/>
    <w:rsid w:val="6A417049"/>
    <w:rsid w:val="6A576E16"/>
    <w:rsid w:val="6A7903E5"/>
    <w:rsid w:val="6A8219B9"/>
    <w:rsid w:val="6A8641F2"/>
    <w:rsid w:val="6A9701A5"/>
    <w:rsid w:val="6AA03032"/>
    <w:rsid w:val="6AA86FEC"/>
    <w:rsid w:val="6ACB20F7"/>
    <w:rsid w:val="6ADA6AC4"/>
    <w:rsid w:val="6ADB11D6"/>
    <w:rsid w:val="6AEB3A02"/>
    <w:rsid w:val="6B1A2C3C"/>
    <w:rsid w:val="6B221F4E"/>
    <w:rsid w:val="6B31644D"/>
    <w:rsid w:val="6B3C7DBA"/>
    <w:rsid w:val="6B486C86"/>
    <w:rsid w:val="6B554C72"/>
    <w:rsid w:val="6B680BAF"/>
    <w:rsid w:val="6B6F63E1"/>
    <w:rsid w:val="6B774DF2"/>
    <w:rsid w:val="6B847AD7"/>
    <w:rsid w:val="6B961F07"/>
    <w:rsid w:val="6B9A2DF9"/>
    <w:rsid w:val="6BA56BC7"/>
    <w:rsid w:val="6BAA566B"/>
    <w:rsid w:val="6BAC4619"/>
    <w:rsid w:val="6BB118FD"/>
    <w:rsid w:val="6BC60150"/>
    <w:rsid w:val="6BCD2823"/>
    <w:rsid w:val="6BCD763B"/>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F6F7D"/>
    <w:rsid w:val="6D480984"/>
    <w:rsid w:val="6D8079F9"/>
    <w:rsid w:val="6DAF6F69"/>
    <w:rsid w:val="6DB13E57"/>
    <w:rsid w:val="6DC245A2"/>
    <w:rsid w:val="6DC71662"/>
    <w:rsid w:val="6DCD5126"/>
    <w:rsid w:val="6DDB6CB0"/>
    <w:rsid w:val="6DE21877"/>
    <w:rsid w:val="6DE52ACD"/>
    <w:rsid w:val="6DF36E56"/>
    <w:rsid w:val="6DFC0B44"/>
    <w:rsid w:val="6DFD5F26"/>
    <w:rsid w:val="6E0458E7"/>
    <w:rsid w:val="6E212037"/>
    <w:rsid w:val="6E263D90"/>
    <w:rsid w:val="6E3B221B"/>
    <w:rsid w:val="6E475779"/>
    <w:rsid w:val="6E51424D"/>
    <w:rsid w:val="6E663C68"/>
    <w:rsid w:val="6E7764EF"/>
    <w:rsid w:val="6E8403F6"/>
    <w:rsid w:val="6EAD447C"/>
    <w:rsid w:val="6EAE5472"/>
    <w:rsid w:val="6EAF07D3"/>
    <w:rsid w:val="6EBC069A"/>
    <w:rsid w:val="6ECD7F59"/>
    <w:rsid w:val="6ECF449B"/>
    <w:rsid w:val="6ED975CA"/>
    <w:rsid w:val="6EED7C80"/>
    <w:rsid w:val="6EF03395"/>
    <w:rsid w:val="6EF773A4"/>
    <w:rsid w:val="6F174DC6"/>
    <w:rsid w:val="6F1E2E65"/>
    <w:rsid w:val="6F2F2D9E"/>
    <w:rsid w:val="6F4147D9"/>
    <w:rsid w:val="6F581F47"/>
    <w:rsid w:val="6F5B0D5A"/>
    <w:rsid w:val="6F5C35EA"/>
    <w:rsid w:val="6F63625D"/>
    <w:rsid w:val="6F6B6A15"/>
    <w:rsid w:val="6F947E4B"/>
    <w:rsid w:val="6FA128E1"/>
    <w:rsid w:val="6FA30BDA"/>
    <w:rsid w:val="6FB21D4C"/>
    <w:rsid w:val="6FB80698"/>
    <w:rsid w:val="6FFD5E0F"/>
    <w:rsid w:val="701021F4"/>
    <w:rsid w:val="701C29A6"/>
    <w:rsid w:val="7024611F"/>
    <w:rsid w:val="702F613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1239D"/>
    <w:rsid w:val="725D6B54"/>
    <w:rsid w:val="72986FA0"/>
    <w:rsid w:val="72A17C99"/>
    <w:rsid w:val="72A2709C"/>
    <w:rsid w:val="72A5093A"/>
    <w:rsid w:val="72A9667D"/>
    <w:rsid w:val="72AD7197"/>
    <w:rsid w:val="72AF6F7E"/>
    <w:rsid w:val="72BD2C86"/>
    <w:rsid w:val="72CD226C"/>
    <w:rsid w:val="72D27981"/>
    <w:rsid w:val="72F976A0"/>
    <w:rsid w:val="73047407"/>
    <w:rsid w:val="73047904"/>
    <w:rsid w:val="731A4E85"/>
    <w:rsid w:val="73253EFA"/>
    <w:rsid w:val="73261A7B"/>
    <w:rsid w:val="73353A6C"/>
    <w:rsid w:val="734C1A6A"/>
    <w:rsid w:val="735663B7"/>
    <w:rsid w:val="735C5949"/>
    <w:rsid w:val="73671287"/>
    <w:rsid w:val="73737DA5"/>
    <w:rsid w:val="73740A39"/>
    <w:rsid w:val="73783823"/>
    <w:rsid w:val="7386076C"/>
    <w:rsid w:val="73887B3E"/>
    <w:rsid w:val="73892412"/>
    <w:rsid w:val="73AF2114"/>
    <w:rsid w:val="73AF381F"/>
    <w:rsid w:val="73C51C59"/>
    <w:rsid w:val="73E96BCA"/>
    <w:rsid w:val="73EE4A6E"/>
    <w:rsid w:val="741048BC"/>
    <w:rsid w:val="742E78D4"/>
    <w:rsid w:val="74317498"/>
    <w:rsid w:val="74335A84"/>
    <w:rsid w:val="743A6A13"/>
    <w:rsid w:val="7460720F"/>
    <w:rsid w:val="74676A28"/>
    <w:rsid w:val="747E40B6"/>
    <w:rsid w:val="74822CE1"/>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20020"/>
    <w:rsid w:val="75241FEA"/>
    <w:rsid w:val="75250574"/>
    <w:rsid w:val="75306BE1"/>
    <w:rsid w:val="753649D0"/>
    <w:rsid w:val="754459E0"/>
    <w:rsid w:val="7550443E"/>
    <w:rsid w:val="755F0BCC"/>
    <w:rsid w:val="7561323F"/>
    <w:rsid w:val="756F17F9"/>
    <w:rsid w:val="757A60AE"/>
    <w:rsid w:val="757E5B9F"/>
    <w:rsid w:val="75825461"/>
    <w:rsid w:val="75907680"/>
    <w:rsid w:val="75916599"/>
    <w:rsid w:val="759926FC"/>
    <w:rsid w:val="75A24276"/>
    <w:rsid w:val="75AA231D"/>
    <w:rsid w:val="75AA6994"/>
    <w:rsid w:val="75AD6340"/>
    <w:rsid w:val="75DF5F11"/>
    <w:rsid w:val="75E8633A"/>
    <w:rsid w:val="760429DC"/>
    <w:rsid w:val="76360227"/>
    <w:rsid w:val="76393874"/>
    <w:rsid w:val="763F09AA"/>
    <w:rsid w:val="764F3FCC"/>
    <w:rsid w:val="7650339F"/>
    <w:rsid w:val="76603C9A"/>
    <w:rsid w:val="766B00E5"/>
    <w:rsid w:val="76832D41"/>
    <w:rsid w:val="768B2C28"/>
    <w:rsid w:val="76B031E0"/>
    <w:rsid w:val="76BB1CAB"/>
    <w:rsid w:val="76C04050"/>
    <w:rsid w:val="76D67314"/>
    <w:rsid w:val="76E00193"/>
    <w:rsid w:val="76E65049"/>
    <w:rsid w:val="76FA74A7"/>
    <w:rsid w:val="77076007"/>
    <w:rsid w:val="771A36A5"/>
    <w:rsid w:val="77413F7E"/>
    <w:rsid w:val="77464076"/>
    <w:rsid w:val="7758241F"/>
    <w:rsid w:val="777A7D22"/>
    <w:rsid w:val="777C610E"/>
    <w:rsid w:val="777E28EC"/>
    <w:rsid w:val="77835654"/>
    <w:rsid w:val="77925931"/>
    <w:rsid w:val="7797109C"/>
    <w:rsid w:val="779A2A38"/>
    <w:rsid w:val="77B4450A"/>
    <w:rsid w:val="77B46E73"/>
    <w:rsid w:val="77E37A12"/>
    <w:rsid w:val="77F42148"/>
    <w:rsid w:val="77F7684A"/>
    <w:rsid w:val="77FE3468"/>
    <w:rsid w:val="78250553"/>
    <w:rsid w:val="783B17B1"/>
    <w:rsid w:val="784E2046"/>
    <w:rsid w:val="78546F0C"/>
    <w:rsid w:val="786778FE"/>
    <w:rsid w:val="789D588A"/>
    <w:rsid w:val="78AC2A23"/>
    <w:rsid w:val="78B65E3A"/>
    <w:rsid w:val="78E0091E"/>
    <w:rsid w:val="78EE1C79"/>
    <w:rsid w:val="78F85605"/>
    <w:rsid w:val="78FA66FA"/>
    <w:rsid w:val="791579DB"/>
    <w:rsid w:val="79345B6A"/>
    <w:rsid w:val="79424F6E"/>
    <w:rsid w:val="794E7636"/>
    <w:rsid w:val="795804B5"/>
    <w:rsid w:val="795C11D7"/>
    <w:rsid w:val="795F3706"/>
    <w:rsid w:val="797239CC"/>
    <w:rsid w:val="797F54AB"/>
    <w:rsid w:val="79831473"/>
    <w:rsid w:val="798B2638"/>
    <w:rsid w:val="79983E9C"/>
    <w:rsid w:val="7999527A"/>
    <w:rsid w:val="79AF76C5"/>
    <w:rsid w:val="79C25EE1"/>
    <w:rsid w:val="79CE2967"/>
    <w:rsid w:val="79D044EF"/>
    <w:rsid w:val="79E30EE8"/>
    <w:rsid w:val="79E34934"/>
    <w:rsid w:val="79EA664C"/>
    <w:rsid w:val="79F9627A"/>
    <w:rsid w:val="79FF6948"/>
    <w:rsid w:val="7A044199"/>
    <w:rsid w:val="7A0657CF"/>
    <w:rsid w:val="7A2F3BBF"/>
    <w:rsid w:val="7A2F459A"/>
    <w:rsid w:val="7A322A39"/>
    <w:rsid w:val="7A517022"/>
    <w:rsid w:val="7A601455"/>
    <w:rsid w:val="7A6F5001"/>
    <w:rsid w:val="7A7720A0"/>
    <w:rsid w:val="7A9635B3"/>
    <w:rsid w:val="7AA17C39"/>
    <w:rsid w:val="7AA2343E"/>
    <w:rsid w:val="7AD60EB8"/>
    <w:rsid w:val="7ADA73A4"/>
    <w:rsid w:val="7AE66B99"/>
    <w:rsid w:val="7AF34646"/>
    <w:rsid w:val="7AFE508C"/>
    <w:rsid w:val="7B0A3BCA"/>
    <w:rsid w:val="7B1C0EF4"/>
    <w:rsid w:val="7B212805"/>
    <w:rsid w:val="7B345AA9"/>
    <w:rsid w:val="7B4048C1"/>
    <w:rsid w:val="7B4C5DF7"/>
    <w:rsid w:val="7B560806"/>
    <w:rsid w:val="7B73082F"/>
    <w:rsid w:val="7B7715C5"/>
    <w:rsid w:val="7B7B492E"/>
    <w:rsid w:val="7B9A3D1D"/>
    <w:rsid w:val="7BB46FBD"/>
    <w:rsid w:val="7BC62E00"/>
    <w:rsid w:val="7BC73B55"/>
    <w:rsid w:val="7BE129E3"/>
    <w:rsid w:val="7BE35E2A"/>
    <w:rsid w:val="7BF538C2"/>
    <w:rsid w:val="7BF66C24"/>
    <w:rsid w:val="7BFA1CC7"/>
    <w:rsid w:val="7BFB70B3"/>
    <w:rsid w:val="7C0251DA"/>
    <w:rsid w:val="7C0C0E4A"/>
    <w:rsid w:val="7C0E41D1"/>
    <w:rsid w:val="7C1052F2"/>
    <w:rsid w:val="7C21292C"/>
    <w:rsid w:val="7C2668D9"/>
    <w:rsid w:val="7C32497F"/>
    <w:rsid w:val="7C3C69AE"/>
    <w:rsid w:val="7C541407"/>
    <w:rsid w:val="7C631577"/>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8139AF"/>
    <w:rsid w:val="7D9005BC"/>
    <w:rsid w:val="7D9B3066"/>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139E8"/>
    <w:rsid w:val="7EE70CC0"/>
    <w:rsid w:val="7EEB48DB"/>
    <w:rsid w:val="7EF27444"/>
    <w:rsid w:val="7F185A04"/>
    <w:rsid w:val="7F265C58"/>
    <w:rsid w:val="7F3B240A"/>
    <w:rsid w:val="7F4C4618"/>
    <w:rsid w:val="7F4D13A6"/>
    <w:rsid w:val="7F582CF2"/>
    <w:rsid w:val="7F951B40"/>
    <w:rsid w:val="7F9D30C5"/>
    <w:rsid w:val="7F9D619F"/>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17823</Words>
  <Characters>18994</Characters>
  <Lines>50</Lines>
  <Paragraphs>68</Paragraphs>
  <TotalTime>7</TotalTime>
  <ScaleCrop>false</ScaleCrop>
  <LinksUpToDate>false</LinksUpToDate>
  <CharactersWithSpaces>19369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2025-12-19T02:37:10Z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