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cs="宋体"/>
          <w:b/>
          <w:bCs/>
          <w:color w:val="auto"/>
          <w:sz w:val="44"/>
          <w:szCs w:val="44"/>
          <w:highlight w:val="none"/>
          <w:lang w:val="en-US" w:eastAsia="zh-CN"/>
        </w:rPr>
        <w:t>驻马店市中心医院网络安全等级保护测评服务项目（三次）</w:t>
      </w:r>
    </w:p>
    <w:bookmarkEnd w:id="101"/>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w:t>
      </w:r>
      <w:r>
        <w:rPr>
          <w:rFonts w:hint="eastAsia" w:ascii="宋体" w:hAnsi="宋体" w:cs="宋体"/>
          <w:b/>
          <w:bCs/>
          <w:color w:val="auto"/>
          <w:spacing w:val="0"/>
          <w:sz w:val="34"/>
          <w:szCs w:val="34"/>
          <w:highlight w:val="none"/>
          <w:lang w:val="en-US" w:eastAsia="zh-CN"/>
        </w:rPr>
        <w:t>6</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1</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F52E32A">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cs="宋体"/>
          <w:b/>
          <w:bCs w:val="0"/>
          <w:color w:val="auto"/>
          <w:kern w:val="0"/>
          <w:sz w:val="28"/>
          <w:szCs w:val="28"/>
          <w:highlight w:val="none"/>
          <w:lang w:eastAsia="zh-CN"/>
        </w:rPr>
      </w:pPr>
      <w:r>
        <w:rPr>
          <w:rFonts w:hint="eastAsia" w:ascii="宋体" w:hAnsi="宋体" w:cs="宋体"/>
          <w:b/>
          <w:bCs w:val="0"/>
          <w:color w:val="auto"/>
          <w:kern w:val="0"/>
          <w:sz w:val="28"/>
          <w:szCs w:val="28"/>
          <w:highlight w:val="none"/>
          <w:u w:val="none"/>
          <w:lang w:val="en-US" w:eastAsia="zh-CN"/>
        </w:rPr>
        <w:t>驻马店市中心医院网络安全等级保护测评服务项目</w:t>
      </w:r>
      <w:r>
        <w:rPr>
          <w:rFonts w:hint="eastAsia" w:ascii="宋体" w:hAnsi="宋体" w:cs="宋体"/>
          <w:b/>
          <w:bCs w:val="0"/>
          <w:color w:val="auto"/>
          <w:kern w:val="0"/>
          <w:sz w:val="28"/>
          <w:szCs w:val="28"/>
          <w:highlight w:val="none"/>
          <w:lang w:eastAsia="zh-CN"/>
        </w:rPr>
        <w:t>（</w:t>
      </w:r>
      <w:r>
        <w:rPr>
          <w:rFonts w:hint="eastAsia" w:ascii="宋体" w:hAnsi="宋体" w:cs="宋体"/>
          <w:b/>
          <w:bCs w:val="0"/>
          <w:color w:val="auto"/>
          <w:kern w:val="0"/>
          <w:sz w:val="28"/>
          <w:szCs w:val="28"/>
          <w:highlight w:val="none"/>
          <w:lang w:val="en-US" w:eastAsia="zh-CN"/>
        </w:rPr>
        <w:t>三次</w:t>
      </w:r>
      <w:r>
        <w:rPr>
          <w:rFonts w:hint="eastAsia" w:ascii="宋体" w:hAnsi="宋体" w:cs="宋体"/>
          <w:b/>
          <w:bCs w:val="0"/>
          <w:color w:val="auto"/>
          <w:kern w:val="0"/>
          <w:sz w:val="28"/>
          <w:szCs w:val="28"/>
          <w:highlight w:val="none"/>
          <w:lang w:eastAsia="zh-CN"/>
        </w:rPr>
        <w:t>）</w:t>
      </w:r>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lang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网络安全等级保护测评服务项目（三次）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驻马店市中心医院网络安全等级保护测评服务项目（三次）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23395"/>
      <w:bookmarkStart w:id="10" w:name="_Toc30971"/>
      <w:bookmarkStart w:id="11" w:name="_Toc30643"/>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14</w:t>
      </w:r>
      <w:r>
        <w:rPr>
          <w:rFonts w:hint="eastAsia" w:ascii="宋体" w:hAnsi="宋体" w:eastAsia="宋体" w:cs="宋体"/>
          <w:color w:val="auto"/>
          <w:szCs w:val="21"/>
          <w:highlight w:val="none"/>
          <w:shd w:val="clear" w:color="auto" w:fill="FFFFFF"/>
        </w:rPr>
        <w:t>日，上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25869"/>
      <w:bookmarkStart w:id="16" w:name="_Toc10738"/>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24274"/>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驻马店市中心医院网络安全等级保护测评服务项目（三次）</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网络安全等级保护测评服务</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次</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75000元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75000元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0095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（一）</w:t>
      </w:r>
      <w:r>
        <w:rPr>
          <w:rFonts w:hint="eastAsia" w:ascii="Times New Roman" w:hAnsi="Times New Roman" w:eastAsia="宋体"/>
          <w:b/>
          <w:sz w:val="21"/>
          <w:szCs w:val="21"/>
        </w:rPr>
        <w:t>服务目录</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10"/>
        <w:gridCol w:w="7058"/>
      </w:tblGrid>
      <w:tr w14:paraId="175C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8" w:type="pct"/>
            <w:noWrap w:val="0"/>
            <w:vAlign w:val="center"/>
          </w:tcPr>
          <w:p w14:paraId="5C2B2809">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4" w:type="pct"/>
            <w:noWrap w:val="0"/>
            <w:vAlign w:val="center"/>
          </w:tcPr>
          <w:p w14:paraId="4B468491">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846" w:type="pct"/>
            <w:noWrap w:val="0"/>
            <w:vAlign w:val="center"/>
          </w:tcPr>
          <w:p w14:paraId="396E49FC">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39F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trPr>
        <w:tc>
          <w:tcPr>
            <w:tcW w:w="438" w:type="pct"/>
            <w:noWrap w:val="0"/>
            <w:vAlign w:val="center"/>
          </w:tcPr>
          <w:p w14:paraId="5B273A79">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14" w:type="pct"/>
            <w:noWrap w:val="0"/>
            <w:vAlign w:val="center"/>
          </w:tcPr>
          <w:p w14:paraId="042F6F33">
            <w:pPr>
              <w:widowControl/>
              <w:spacing w:line="300" w:lineRule="exact"/>
              <w:rPr>
                <w:rFonts w:hint="eastAsia" w:ascii="宋体" w:hAnsi="宋体" w:eastAsia="宋体" w:cs="宋体"/>
                <w:b/>
                <w:color w:val="000000"/>
                <w:kern w:val="0"/>
                <w:sz w:val="21"/>
                <w:szCs w:val="21"/>
              </w:rPr>
            </w:pPr>
            <w:r>
              <w:rPr>
                <w:rFonts w:hint="eastAsia" w:ascii="宋体" w:hAnsi="宋体" w:eastAsia="宋体" w:cs="宋体"/>
                <w:sz w:val="21"/>
                <w:szCs w:val="21"/>
                <w:lang w:val="en-US" w:eastAsia="zh-CN"/>
              </w:rPr>
              <w:t>网络安全等级保护测评</w:t>
            </w:r>
          </w:p>
        </w:tc>
        <w:tc>
          <w:tcPr>
            <w:tcW w:w="3846" w:type="pct"/>
            <w:noWrap w:val="0"/>
            <w:vAlign w:val="center"/>
          </w:tcPr>
          <w:p w14:paraId="7A6CB2E2">
            <w:pPr>
              <w:pStyle w:val="91"/>
              <w:numPr>
                <w:ilvl w:val="0"/>
                <w:numId w:val="0"/>
              </w:numPr>
              <w:jc w:val="both"/>
              <w:rPr>
                <w:rFonts w:hint="eastAsia" w:hAnsi="宋体" w:eastAsia="宋体"/>
                <w:sz w:val="21"/>
                <w:szCs w:val="21"/>
              </w:rPr>
            </w:pPr>
            <w:r>
              <w:rPr>
                <w:rFonts w:hint="eastAsia" w:ascii="宋体" w:hAnsi="宋体" w:eastAsia="宋体" w:cs="宋体"/>
                <w:b/>
                <w:bCs/>
                <w:sz w:val="21"/>
                <w:szCs w:val="21"/>
              </w:rPr>
              <w:t>服务内容：</w:t>
            </w:r>
            <w:r>
              <w:rPr>
                <w:rFonts w:hint="eastAsia" w:ascii="宋体" w:hAnsi="宋体" w:eastAsia="宋体" w:cs="宋体"/>
                <w:bCs/>
                <w:sz w:val="21"/>
                <w:szCs w:val="21"/>
              </w:rPr>
              <w:t>针对</w:t>
            </w:r>
            <w:r>
              <w:rPr>
                <w:rFonts w:hint="eastAsia" w:ascii="宋体" w:hAnsi="宋体" w:eastAsia="宋体" w:cs="宋体"/>
                <w:bCs/>
                <w:sz w:val="21"/>
                <w:szCs w:val="21"/>
                <w:lang w:val="en-US" w:eastAsia="zh-CN"/>
              </w:rPr>
              <w:t>服务范围内的</w:t>
            </w:r>
            <w:r>
              <w:rPr>
                <w:rFonts w:hint="eastAsia" w:ascii="宋体" w:hAnsi="宋体" w:eastAsia="宋体" w:cs="宋体"/>
                <w:bCs/>
                <w:sz w:val="21"/>
                <w:szCs w:val="21"/>
              </w:rPr>
              <w:t>等级保护系统，按照国家网络安全等级保护相关法律法规、政策规范和技术标准的要求，完成等级保护测评工作，提交等级保护测评报告，协助完成在公安部门的等级保护备案，并取得备案证明，完成系统安全的风险评估工作，出具风险评估报告。依据等级保护测评结果和风险评估结果，制定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等，协助完成整改工作，确保测评对象的安全保护措施符合网络安全等级保护的相关要求，安全风险在可控范围。</w:t>
            </w:r>
          </w:p>
          <w:p w14:paraId="6470C9CF">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现场。</w:t>
            </w:r>
          </w:p>
          <w:p w14:paraId="512A5EB7">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服务时间：</w:t>
            </w:r>
            <w:r>
              <w:rPr>
                <w:rFonts w:hint="eastAsia" w:ascii="宋体" w:hAnsi="宋体" w:eastAsia="宋体" w:cs="宋体"/>
                <w:b w:val="0"/>
                <w:bCs w:val="0"/>
                <w:color w:val="000000"/>
                <w:kern w:val="0"/>
                <w:sz w:val="21"/>
                <w:szCs w:val="21"/>
                <w:lang w:val="en-US" w:eastAsia="zh-CN"/>
              </w:rPr>
              <w:t>5</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8</w:t>
            </w:r>
            <w:r>
              <w:rPr>
                <w:rFonts w:hint="eastAsia" w:ascii="宋体" w:hAnsi="宋体" w:eastAsia="宋体" w:cs="宋体"/>
                <w:color w:val="000000"/>
                <w:kern w:val="0"/>
                <w:sz w:val="21"/>
                <w:szCs w:val="21"/>
              </w:rPr>
              <w:t>。</w:t>
            </w:r>
          </w:p>
          <w:p w14:paraId="5FA27CA0">
            <w:pPr>
              <w:pStyle w:val="91"/>
              <w:numPr>
                <w:ilvl w:val="0"/>
                <w:numId w:val="0"/>
              </w:numPr>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服务</w:t>
            </w:r>
            <w:r>
              <w:rPr>
                <w:rFonts w:hint="eastAsia" w:ascii="宋体" w:hAnsi="宋体" w:eastAsia="宋体" w:cs="宋体"/>
                <w:b/>
                <w:bCs/>
                <w:color w:val="000000"/>
                <w:kern w:val="0"/>
                <w:sz w:val="21"/>
                <w:szCs w:val="21"/>
                <w:lang w:val="en-US" w:eastAsia="zh-CN"/>
              </w:rPr>
              <w:t>级别</w:t>
            </w:r>
            <w:r>
              <w:rPr>
                <w:rFonts w:hint="eastAsia" w:ascii="宋体" w:hAnsi="宋体" w:eastAsia="宋体" w:cs="宋体"/>
                <w:b/>
                <w:bCs/>
                <w:color w:val="000000"/>
                <w:kern w:val="0"/>
                <w:sz w:val="21"/>
                <w:szCs w:val="21"/>
              </w:rPr>
              <w:t>：</w:t>
            </w:r>
            <w:r>
              <w:rPr>
                <w:rFonts w:hint="eastAsia" w:ascii="宋体" w:hAnsi="宋体" w:eastAsia="宋体" w:cs="宋体"/>
                <w:sz w:val="21"/>
                <w:szCs w:val="21"/>
              </w:rPr>
              <w:t>合同签订后30日内交付。</w:t>
            </w:r>
          </w:p>
          <w:p w14:paraId="07485D71">
            <w:pPr>
              <w:pStyle w:val="91"/>
              <w:numPr>
                <w:ilvl w:val="0"/>
                <w:numId w:val="0"/>
              </w:numPr>
              <w:jc w:val="both"/>
              <w:rPr>
                <w:rFonts w:hint="eastAsia" w:ascii="宋体" w:hAnsi="宋体" w:eastAsia="宋体" w:cs="宋体"/>
                <w:sz w:val="21"/>
                <w:szCs w:val="21"/>
              </w:rPr>
            </w:pPr>
            <w:r>
              <w:rPr>
                <w:rFonts w:hint="eastAsia" w:ascii="宋体" w:hAnsi="宋体" w:eastAsia="宋体" w:cs="宋体"/>
                <w:b/>
                <w:bCs/>
                <w:color w:val="000000"/>
                <w:kern w:val="0"/>
                <w:sz w:val="21"/>
                <w:szCs w:val="21"/>
              </w:rPr>
              <w:t>交付成果：</w:t>
            </w:r>
            <w:r>
              <w:rPr>
                <w:rFonts w:hint="eastAsia" w:ascii="宋体" w:hAnsi="宋体" w:eastAsia="宋体" w:cs="宋体"/>
                <w:bCs/>
                <w:sz w:val="21"/>
                <w:szCs w:val="21"/>
              </w:rPr>
              <w:t>《测评报告》、《备案证明》、《风险评估报告》、《整改方案》</w:t>
            </w:r>
          </w:p>
        </w:tc>
      </w:tr>
    </w:tbl>
    <w:p w14:paraId="7CDCE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（二）</w:t>
      </w:r>
      <w:r>
        <w:rPr>
          <w:rFonts w:hint="eastAsia" w:ascii="Times New Roman" w:hAnsi="Times New Roman" w:eastAsia="宋体"/>
          <w:b/>
          <w:sz w:val="21"/>
          <w:szCs w:val="21"/>
        </w:rPr>
        <w:t>服务范围</w:t>
      </w:r>
    </w:p>
    <w:p w14:paraId="70D3C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三级等保系统：</w:t>
      </w:r>
      <w:r>
        <w:rPr>
          <w:rFonts w:hint="eastAsia" w:ascii="Times New Roman" w:hAnsi="Times New Roman" w:eastAsia="宋体" w:cs="Times New Roman"/>
          <w:color w:val="auto"/>
          <w:sz w:val="21"/>
          <w:szCs w:val="21"/>
        </w:rPr>
        <w:t>HIS(含EMR)、LIS、PACS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集成平台</w:t>
      </w:r>
      <w:r>
        <w:rPr>
          <w:rFonts w:hint="eastAsia" w:ascii="Times New Roman" w:hAnsi="Times New Roman" w:eastAsia="宋体" w:cs="Times New Roman"/>
          <w:color w:val="auto"/>
          <w:sz w:val="21"/>
          <w:szCs w:val="21"/>
          <w:lang w:val="en-US" w:eastAsia="zh-CN"/>
        </w:rPr>
        <w:t>和互联网医院（含微信、支付宝线上服务应用）。</w:t>
      </w:r>
    </w:p>
    <w:p w14:paraId="4BE3F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Times New Roman" w:hAnsi="Times New Roman" w:eastAsia="宋体"/>
          <w:b/>
          <w:sz w:val="21"/>
          <w:szCs w:val="21"/>
          <w:lang w:eastAsia="zh-CN"/>
        </w:rPr>
        <w:t>（三）</w:t>
      </w:r>
      <w:r>
        <w:rPr>
          <w:rFonts w:hint="eastAsia" w:ascii="Times New Roman" w:hAnsi="Times New Roman" w:eastAsia="宋体"/>
          <w:b/>
          <w:sz w:val="21"/>
          <w:szCs w:val="21"/>
        </w:rPr>
        <w:t>服务能力</w:t>
      </w:r>
    </w:p>
    <w:p w14:paraId="2B1AB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1、供应商须持有中国信息安全测评中心或中国网络安全审查技术与认证中心颁发的风险评估服务认证，提供证书复印件并加盖公章。</w:t>
      </w:r>
    </w:p>
    <w:p w14:paraId="4EEF5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2、本项目测评师团队成员不得少于4名，其中高级测评师、中级测评师各不少于1名，提供证书复印件以及该人员上一季度或近3个月内任意1个月的社保缴费证明并加盖公章。</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255F0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506AB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测试验证</w:t>
            </w:r>
          </w:p>
        </w:tc>
        <w:tc>
          <w:tcPr>
            <w:tcW w:w="7354" w:type="dxa"/>
            <w:tcBorders>
              <w:top w:val="single" w:color="auto" w:sz="4" w:space="0"/>
              <w:left w:val="single" w:color="auto" w:sz="4" w:space="0"/>
              <w:bottom w:val="single" w:color="auto" w:sz="4" w:space="0"/>
              <w:right w:val="single" w:color="auto" w:sz="4" w:space="0"/>
            </w:tcBorders>
            <w:noWrap/>
            <w:vAlign w:val="center"/>
          </w:tcPr>
          <w:p w14:paraId="7A9ADC6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中标后，逐一验证招标要求所提供各项证明材料原件的真实性，经确认无误后签订合同。对供应商弄虚作假骗取中标的，采购人有权依法取消其中标资格并追究其法律责任。</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交付及验收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139762D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合同签订生效后的 30 日内完成交付。</w:t>
            </w:r>
          </w:p>
          <w:p w14:paraId="42692E7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交付完成后进行验收，验收由甲方组织、乙方配合进行。</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EA6B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合同履行完毕后，在乙方按合同约定标准履行义务、不存在违约的情况下，乙方应向甲方提供符合甲方财务要求的付款资料，甲方在收到相关资料后，向乙方支付本合同总价款的 100%。</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驻马店市中心医院网络安全等级保护测评服务项目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75000元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75000元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75000元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w:t>
            </w:r>
            <w:r>
              <w:rPr>
                <w:rFonts w:hint="eastAsia"/>
                <w:color w:val="auto"/>
              </w:rPr>
              <w:t>服务目录</w:t>
            </w:r>
            <w:r>
              <w:rPr>
                <w:rFonts w:hint="eastAsia" w:ascii="宋体" w:hAnsi="宋体" w:cs="宋体"/>
                <w:b w:val="0"/>
                <w:bCs w:val="0"/>
                <w:color w:val="auto"/>
                <w:sz w:val="21"/>
                <w:szCs w:val="21"/>
                <w:highlight w:val="none"/>
                <w:lang w:val="en-US" w:eastAsia="zh-CN"/>
              </w:rPr>
              <w:t>”和“服务范围”为实质性要求，必须全部满足，否则为无效投标；“</w:t>
            </w:r>
            <w:r>
              <w:rPr>
                <w:rFonts w:hint="eastAsia" w:ascii="Times New Roman" w:hAnsi="Times New Roman" w:eastAsia="宋体"/>
                <w:b w:val="0"/>
                <w:bCs w:val="0"/>
                <w:sz w:val="21"/>
                <w:szCs w:val="21"/>
              </w:rPr>
              <w:t>服务能力</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7D93F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测评方案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C9FD3D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77BD1583">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1、测评计划</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、测评范围，</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、测评依据，</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、测评流程，</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、测评方法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、测评工具</w:t>
            </w:r>
            <w:r>
              <w:rPr>
                <w:rFonts w:hint="eastAsia" w:ascii="宋体" w:hAnsi="宋体" w:cs="宋体"/>
                <w:b w:val="0"/>
                <w:bCs w:val="0"/>
                <w:color w:val="auto"/>
                <w:sz w:val="21"/>
                <w:szCs w:val="21"/>
                <w:highlight w:val="none"/>
                <w:lang w:val="en-US" w:eastAsia="zh-CN"/>
              </w:rPr>
              <w:t>等。</w:t>
            </w:r>
          </w:p>
          <w:p w14:paraId="66F84FC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335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ACB7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33BCE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5E5E83E5">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1、工作时间进度表</w:t>
            </w:r>
            <w:r>
              <w:rPr>
                <w:rFonts w:hint="eastAsia" w:ascii="宋体" w:hAnsi="宋体" w:cs="宋体"/>
                <w:b w:val="0"/>
                <w:bCs w:val="0"/>
                <w:color w:val="auto"/>
                <w:sz w:val="21"/>
                <w:szCs w:val="21"/>
                <w:highlight w:val="none"/>
                <w:lang w:val="en-US" w:eastAsia="zh-CN"/>
              </w:rPr>
              <w:t>，2、协助备案方案，3、风险评估方案，4、整改编制及审核方案、5、</w:t>
            </w:r>
            <w:r>
              <w:rPr>
                <w:rFonts w:hint="eastAsia" w:ascii="宋体" w:hAnsi="宋体" w:eastAsia="宋体" w:cs="宋体"/>
                <w:b w:val="0"/>
                <w:bCs w:val="0"/>
                <w:color w:val="auto"/>
                <w:sz w:val="21"/>
                <w:szCs w:val="21"/>
                <w:highlight w:val="none"/>
                <w:lang w:val="en-US" w:eastAsia="zh-CN"/>
              </w:rPr>
              <w:t>服务响应时间等。</w:t>
            </w:r>
          </w:p>
          <w:p w14:paraId="3C8E403F">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38DC7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38007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770" w:type="dxa"/>
            <w:noWrap w:val="0"/>
            <w:vAlign w:val="center"/>
          </w:tcPr>
          <w:p w14:paraId="667BFE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制定的质量保障体系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5F2AD2A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质量控制流程，2、问题整改跟踪机制，3、测评报告审核制度等。</w:t>
            </w:r>
          </w:p>
          <w:p w14:paraId="27E72B3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有完善的质量保障体系，风险识别全面，应对措施具体可行的得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分；有基本的质量保障措施，风险识别较全面，应对措施较合理的得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分；质量保障措施简单，风险识别不全面，应对措施不够具体的得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5384ACC4">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0F0C6B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35971A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Cs w:val="21"/>
                <w:highlight w:val="none"/>
              </w:rPr>
              <w:t>注：提供人员清单</w:t>
            </w:r>
            <w:r>
              <w:rPr>
                <w:rFonts w:hint="eastAsia" w:ascii="宋体" w:hAnsi="宋体" w:cs="宋体"/>
                <w:szCs w:val="21"/>
                <w:highlight w:val="none"/>
              </w:rPr>
              <w:t>。</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年1月1日具有的类似</w:t>
            </w:r>
            <w:r>
              <w:rPr>
                <w:rFonts w:hint="eastAsia" w:ascii="宋体" w:hAnsi="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业绩(以合同文件为准），每提供一份得2分，最多得</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分。</w:t>
            </w:r>
          </w:p>
        </w:tc>
      </w:tr>
      <w:tr w14:paraId="778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5D5E31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7C06F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在满足竞争性磋商文件基本要求的基础上提供的实质性优惠承诺。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每提供一项对采购人有利的、切实可行的实质性优惠承诺得2分，最多得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FA98B8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szCs w:val="21"/>
                <w:highlight w:val="none"/>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FEC2D7B">
      <w:pPr>
        <w:pStyle w:val="4"/>
        <w:rPr>
          <w:rFonts w:hint="eastAsia" w:ascii="宋体" w:hAnsi="宋体" w:eastAsia="宋体" w:cs="宋体"/>
          <w:b w:val="0"/>
          <w:bCs w:val="0"/>
          <w:color w:val="auto"/>
          <w:sz w:val="21"/>
          <w:szCs w:val="21"/>
          <w:highlight w:val="none"/>
        </w:rPr>
      </w:pPr>
    </w:p>
    <w:p w14:paraId="6511739F">
      <w:pPr>
        <w:rPr>
          <w:rFonts w:hint="eastAsia" w:ascii="宋体" w:hAnsi="宋体" w:eastAsia="宋体" w:cs="宋体"/>
          <w:b w:val="0"/>
          <w:bCs w:val="0"/>
          <w:color w:val="auto"/>
          <w:sz w:val="21"/>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042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测试验证</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交付及验收</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7B5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0" w:type="auto"/>
            <w:shd w:val="clear" w:color="auto" w:fill="auto"/>
            <w:vAlign w:val="center"/>
          </w:tcPr>
          <w:p w14:paraId="34A05C1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0" w:type="auto"/>
          </w:tcPr>
          <w:p w14:paraId="15F488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55A3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498C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FC8F1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067785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3726"/>
      <w:bookmarkStart w:id="96" w:name="_Toc16083"/>
      <w:bookmarkStart w:id="97" w:name="_Toc12888"/>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驻马店市中心医院网络安全等级保护测评服务项目（三次）竞争性磋商文件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D84FB96"/>
    <w:multiLevelType w:val="singleLevel"/>
    <w:tmpl w:val="ED84FB96"/>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FC34D8"/>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BC7099"/>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6160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524411"/>
    <w:rsid w:val="1A5F4342"/>
    <w:rsid w:val="1A616E2C"/>
    <w:rsid w:val="1A715D02"/>
    <w:rsid w:val="1A7F369B"/>
    <w:rsid w:val="1A8C5D82"/>
    <w:rsid w:val="1A994988"/>
    <w:rsid w:val="1A9B546C"/>
    <w:rsid w:val="1A9E141F"/>
    <w:rsid w:val="1AA3511F"/>
    <w:rsid w:val="1AA50C28"/>
    <w:rsid w:val="1AA82AB2"/>
    <w:rsid w:val="1AAE3B54"/>
    <w:rsid w:val="1AC10987"/>
    <w:rsid w:val="1AC50DC4"/>
    <w:rsid w:val="1AEB6F83"/>
    <w:rsid w:val="1AF423FA"/>
    <w:rsid w:val="1B0C5B32"/>
    <w:rsid w:val="1B0D3E82"/>
    <w:rsid w:val="1B1464DA"/>
    <w:rsid w:val="1B1652AB"/>
    <w:rsid w:val="1B181CD5"/>
    <w:rsid w:val="1B214A75"/>
    <w:rsid w:val="1B265306"/>
    <w:rsid w:val="1B4346C9"/>
    <w:rsid w:val="1B486183"/>
    <w:rsid w:val="1B4909F4"/>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05B3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2870BF"/>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264AC"/>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3C1CEE"/>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A208D4"/>
    <w:rsid w:val="46B83779"/>
    <w:rsid w:val="46BF7E28"/>
    <w:rsid w:val="46C3037C"/>
    <w:rsid w:val="46CB4058"/>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A4B58"/>
    <w:rsid w:val="48BC62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142B7"/>
    <w:rsid w:val="4C1A4723"/>
    <w:rsid w:val="4C1C2A09"/>
    <w:rsid w:val="4C284AD9"/>
    <w:rsid w:val="4C423098"/>
    <w:rsid w:val="4C694192"/>
    <w:rsid w:val="4C791976"/>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35DB6"/>
    <w:rsid w:val="4E0A3427"/>
    <w:rsid w:val="4E2423AC"/>
    <w:rsid w:val="4E261AA5"/>
    <w:rsid w:val="4E287F63"/>
    <w:rsid w:val="4E304B5D"/>
    <w:rsid w:val="4E3F66C2"/>
    <w:rsid w:val="4E4A5793"/>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54DEB"/>
    <w:rsid w:val="64673C87"/>
    <w:rsid w:val="64877733"/>
    <w:rsid w:val="64925346"/>
    <w:rsid w:val="64A170D2"/>
    <w:rsid w:val="64A251DD"/>
    <w:rsid w:val="64BC182A"/>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A21D44"/>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41085"/>
    <w:rsid w:val="68993219"/>
    <w:rsid w:val="689E42BA"/>
    <w:rsid w:val="68A026F3"/>
    <w:rsid w:val="68AF6C13"/>
    <w:rsid w:val="68E22922"/>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3659A2"/>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14B4A"/>
    <w:rsid w:val="7EA72948"/>
    <w:rsid w:val="7EAD0204"/>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17013</Words>
  <Characters>17769</Characters>
  <Lines>50</Lines>
  <Paragraphs>68</Paragraphs>
  <TotalTime>1</TotalTime>
  <ScaleCrop>false</ScaleCrop>
  <LinksUpToDate>false</LinksUpToDate>
  <CharactersWithSpaces>18859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2026-01-19T05:41:30Z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A38572B6EDAA42D69F8E4D61F4B19FFB_13</vt:lpwstr>
  </property>
  <property fmtid="{D5CDD505-2E9C-101B-9397-08002B2CF9AE}" pid="4" name="KSOTemplateDocerSaveRecord">
    <vt:lpwstr>eyJoZGlkIjoiMzU0MTZjMjFkMjFjOGMwYTIzNWEzZDljNjYxZWI0MmYiLCJ1c2VySWQiOiIxNjg0NTc5MjM2In0=</vt:lpwstr>
  </property>
</Properties>
</file>