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953395"/>
      <w:bookmarkEnd w:id="0"/>
      <w:bookmarkStart w:id="1" w:name="_Toc22804073"/>
      <w:bookmarkEnd w:id="1"/>
    </w:p>
    <w:p w14:paraId="3B211FC4">
      <w:pPr>
        <w:pStyle w:val="20"/>
        <w:jc w:val="center"/>
        <w:rPr>
          <w:rStyle w:val="44"/>
          <w:rFonts w:hint="eastAsia"/>
          <w:b/>
          <w:bCs/>
          <w:color w:val="auto"/>
          <w:sz w:val="48"/>
          <w:szCs w:val="48"/>
        </w:rPr>
      </w:pPr>
      <w:r>
        <w:rPr>
          <w:rFonts w:hint="eastAsia"/>
          <w:b/>
          <w:bCs/>
          <w:sz w:val="44"/>
          <w:szCs w:val="44"/>
          <w:lang w:eastAsia="zh-CN"/>
        </w:rPr>
        <w:t>驻马店市中心医院SPECT CT维修项目</w:t>
      </w:r>
    </w:p>
    <w:p w14:paraId="00CC77A0">
      <w:pPr>
        <w:pStyle w:val="20"/>
        <w:jc w:val="center"/>
        <w:rPr>
          <w:rStyle w:val="44"/>
          <w:rFonts w:hint="eastAsia"/>
          <w:b/>
          <w:bCs/>
          <w:color w:val="auto"/>
          <w:sz w:val="44"/>
          <w:szCs w:val="44"/>
        </w:rPr>
      </w:pPr>
      <w:r>
        <w:rPr>
          <w:rStyle w:val="44"/>
          <w:rFonts w:hint="eastAsia"/>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2"/>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2"/>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cs="宋体"/>
          <w:b/>
          <w:bCs/>
          <w:spacing w:val="-10"/>
          <w:sz w:val="34"/>
          <w:szCs w:val="34"/>
        </w:rPr>
        <w:t>采购代理机构：</w:t>
      </w:r>
      <w:r>
        <w:rPr>
          <w:rFonts w:hint="eastAsia" w:ascii="宋体" w:hAnsi="宋体" w:cs="宋体"/>
          <w:b/>
          <w:bCs/>
          <w:spacing w:val="-10"/>
          <w:sz w:val="34"/>
          <w:szCs w:val="34"/>
          <w:lang w:eastAsia="zh-CN"/>
        </w:rPr>
        <w:t>中岐能工程项目管理有限公司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w:t>
      </w:r>
      <w:r>
        <w:rPr>
          <w:rFonts w:hint="eastAsia" w:ascii="宋体" w:hAnsi="宋体" w:cs="宋体"/>
          <w:b/>
          <w:bCs/>
          <w:spacing w:val="-10"/>
          <w:sz w:val="34"/>
          <w:szCs w:val="34"/>
          <w:lang w:val="en-US" w:eastAsia="zh-CN"/>
        </w:rPr>
        <w:t>6</w:t>
      </w:r>
      <w:r>
        <w:rPr>
          <w:rFonts w:hint="eastAsia" w:ascii="宋体" w:hAnsi="宋体" w:cs="宋体"/>
          <w:b/>
          <w:bCs/>
          <w:spacing w:val="-10"/>
          <w:sz w:val="34"/>
          <w:szCs w:val="34"/>
        </w:rPr>
        <w:t>年</w:t>
      </w:r>
      <w:r>
        <w:rPr>
          <w:rFonts w:hint="eastAsia" w:ascii="宋体" w:hAnsi="宋体" w:cs="宋体"/>
          <w:b/>
          <w:bCs/>
          <w:spacing w:val="-10"/>
          <w:sz w:val="34"/>
          <w:szCs w:val="34"/>
          <w:lang w:val="en-US" w:eastAsia="zh-CN"/>
        </w:rPr>
        <w:t>02</w:t>
      </w:r>
      <w:r>
        <w:rPr>
          <w:rFonts w:hint="eastAsia" w:ascii="宋体" w:hAnsi="宋体" w:cs="宋体"/>
          <w:b/>
          <w:bCs/>
          <w:spacing w:val="-10"/>
          <w:sz w:val="34"/>
          <w:szCs w:val="34"/>
        </w:rPr>
        <w:t>月</w:t>
      </w:r>
    </w:p>
    <w:p w14:paraId="3B69E879">
      <w:pPr>
        <w:pStyle w:val="2"/>
        <w:spacing w:before="0" w:after="0" w:line="240" w:lineRule="auto"/>
        <w:ind w:firstLine="2891" w:firstLineChars="800"/>
        <w:rPr>
          <w:rFonts w:hint="eastAsia" w:ascii="宋体" w:hAnsi="宋体" w:eastAsia="宋体" w:cs="宋体"/>
          <w:sz w:val="36"/>
          <w:szCs w:val="36"/>
        </w:rPr>
      </w:pPr>
    </w:p>
    <w:p w14:paraId="69084238">
      <w:pPr>
        <w:sectPr>
          <w:pgSz w:w="11923"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E15D7E">
      <w:pPr>
        <w:rPr>
          <w:rFonts w:hint="eastAsia" w:ascii="宋体" w:hAnsi="宋体" w:cs="宋体"/>
          <w:bCs/>
          <w:sz w:val="24"/>
        </w:rPr>
      </w:pP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64382099">
      <w:pPr>
        <w:pStyle w:val="25"/>
        <w:tabs>
          <w:tab w:val="right" w:leader="dot" w:pos="8958"/>
        </w:tabs>
        <w:spacing w:line="360" w:lineRule="auto"/>
        <w:rPr>
          <w:rFonts w:hint="eastAsia" w:ascii="宋体" w:hAnsi="宋体" w:eastAsia="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_Toc26303 </w:instrText>
      </w:r>
      <w:r>
        <w:rPr>
          <w:rFonts w:hint="eastAsia" w:ascii="宋体" w:hAnsi="宋体" w:eastAsia="宋体" w:cs="宋体"/>
          <w:bCs/>
          <w:szCs w:val="32"/>
        </w:rPr>
        <w:fldChar w:fldCharType="separate"/>
      </w:r>
      <w:r>
        <w:rPr>
          <w:rFonts w:hint="eastAsia" w:ascii="宋体" w:hAnsi="宋体" w:eastAsia="宋体" w:cs="宋体"/>
          <w:szCs w:val="32"/>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_Toc26303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32"/>
        </w:rPr>
        <w:fldChar w:fldCharType="end"/>
      </w:r>
    </w:p>
    <w:p w14:paraId="50F87717">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_Toc9314 </w:instrText>
      </w:r>
      <w:r>
        <w:rPr>
          <w:rFonts w:hint="eastAsia" w:ascii="宋体" w:hAnsi="宋体" w:eastAsia="宋体" w:cs="宋体"/>
          <w:bCs/>
          <w:szCs w:val="32"/>
        </w:rPr>
        <w:fldChar w:fldCharType="separate"/>
      </w:r>
      <w:r>
        <w:rPr>
          <w:rFonts w:hint="eastAsia" w:ascii="宋体" w:hAnsi="宋体" w:eastAsia="宋体" w:cs="宋体"/>
          <w:szCs w:val="32"/>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_Toc9314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32"/>
        </w:rPr>
        <w:fldChar w:fldCharType="end"/>
      </w:r>
    </w:p>
    <w:p w14:paraId="64179BB3">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_Toc25481 </w:instrText>
      </w:r>
      <w:r>
        <w:rPr>
          <w:rFonts w:hint="eastAsia" w:ascii="宋体" w:hAnsi="宋体" w:eastAsia="宋体" w:cs="宋体"/>
          <w:bCs/>
          <w:szCs w:val="32"/>
        </w:rPr>
        <w:fldChar w:fldCharType="separate"/>
      </w:r>
      <w:r>
        <w:rPr>
          <w:rFonts w:hint="eastAsia" w:ascii="宋体" w:hAnsi="宋体" w:eastAsia="宋体" w:cs="宋体"/>
          <w:bCs/>
          <w:szCs w:val="32"/>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_Toc25481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szCs w:val="32"/>
        </w:rPr>
        <w:fldChar w:fldCharType="end"/>
      </w:r>
    </w:p>
    <w:p w14:paraId="60D22416">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_Toc18473 </w:instrText>
      </w:r>
      <w:r>
        <w:rPr>
          <w:rFonts w:hint="eastAsia" w:ascii="宋体" w:hAnsi="宋体" w:eastAsia="宋体" w:cs="宋体"/>
          <w:bCs/>
          <w:szCs w:val="32"/>
        </w:rPr>
        <w:fldChar w:fldCharType="separate"/>
      </w:r>
      <w:r>
        <w:rPr>
          <w:rFonts w:hint="eastAsia" w:ascii="宋体" w:hAnsi="宋体" w:eastAsia="宋体" w:cs="宋体"/>
          <w:bCs/>
          <w:kern w:val="0"/>
          <w:szCs w:val="32"/>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_Toc18473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szCs w:val="32"/>
        </w:rPr>
        <w:fldChar w:fldCharType="end"/>
      </w:r>
    </w:p>
    <w:p w14:paraId="531B71ED">
      <w:pPr>
        <w:pStyle w:val="25"/>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_Toc25511 </w:instrText>
      </w:r>
      <w:r>
        <w:rPr>
          <w:rFonts w:hint="eastAsia" w:ascii="宋体" w:hAnsi="宋体" w:eastAsia="宋体" w:cs="宋体"/>
          <w:bCs/>
          <w:szCs w:val="32"/>
        </w:rPr>
        <w:fldChar w:fldCharType="separate"/>
      </w:r>
      <w:r>
        <w:rPr>
          <w:rFonts w:hint="eastAsia" w:ascii="宋体" w:hAnsi="宋体" w:eastAsia="宋体" w:cs="宋体"/>
          <w:szCs w:val="28"/>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_Toc25511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szCs w:val="32"/>
        </w:rPr>
        <w:fldChar w:fldCharType="end"/>
      </w:r>
    </w:p>
    <w:p w14:paraId="54037D82">
      <w:pPr>
        <w:pStyle w:val="25"/>
        <w:tabs>
          <w:tab w:val="right" w:leader="dot" w:pos="8958"/>
        </w:tabs>
        <w:spacing w:line="360" w:lineRule="auto"/>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_Toc28943 </w:instrText>
      </w:r>
      <w:r>
        <w:rPr>
          <w:rFonts w:hint="eastAsia" w:ascii="宋体" w:hAnsi="宋体" w:eastAsia="宋体" w:cs="宋体"/>
          <w:bCs/>
          <w:szCs w:val="32"/>
        </w:rPr>
        <w:fldChar w:fldCharType="separate"/>
      </w:r>
      <w:r>
        <w:rPr>
          <w:rFonts w:hint="eastAsia" w:ascii="宋体" w:hAnsi="宋体" w:eastAsia="宋体" w:cs="宋体"/>
          <w:szCs w:val="32"/>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_Toc28943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szCs w:val="32"/>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26303"/>
      <w:r>
        <w:rPr>
          <w:rFonts w:hint="eastAsia" w:ascii="宋体" w:hAnsi="宋体" w:cs="宋体"/>
          <w:b/>
          <w:sz w:val="32"/>
          <w:szCs w:val="32"/>
        </w:rPr>
        <w:t>第一章  竞争性磋商公告</w:t>
      </w:r>
      <w:bookmarkEnd w:id="2"/>
    </w:p>
    <w:p w14:paraId="10479E11">
      <w:pPr>
        <w:widowControl/>
        <w:adjustRightInd w:val="0"/>
        <w:snapToGrid w:val="0"/>
        <w:spacing w:line="324" w:lineRule="auto"/>
        <w:jc w:val="center"/>
        <w:rPr>
          <w:rFonts w:hint="eastAsia" w:ascii="宋体" w:hAnsi="宋体" w:cs="宋体"/>
          <w:b/>
          <w:kern w:val="0"/>
          <w:sz w:val="28"/>
          <w:szCs w:val="28"/>
          <w:lang w:eastAsia="zh-CN"/>
        </w:rPr>
      </w:pPr>
      <w:r>
        <w:rPr>
          <w:rFonts w:hint="eastAsia" w:ascii="宋体" w:hAnsi="宋体" w:cs="宋体"/>
          <w:b/>
          <w:kern w:val="0"/>
          <w:sz w:val="28"/>
          <w:szCs w:val="28"/>
          <w:lang w:eastAsia="zh-CN"/>
        </w:rPr>
        <w:t>驻马店市中心医院SPECT CT维修项目</w:t>
      </w:r>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14CF7498">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lang w:val="en-US" w:eastAsia="zh-CN"/>
        </w:rPr>
        <w:t>SPECT CT维修项目</w:t>
      </w:r>
      <w:r>
        <w:rPr>
          <w:rFonts w:hint="eastAsia" w:ascii="宋体" w:hAnsi="宋体" w:cs="宋体"/>
        </w:rPr>
        <w:t>进行院内竞争性磋商，欢迎符合资格条件的供应商前来报名并</w:t>
      </w:r>
      <w:r>
        <w:rPr>
          <w:rFonts w:hint="eastAsia" w:ascii="宋体" w:hAnsi="宋体" w:cs="宋体"/>
          <w:szCs w:val="21"/>
        </w:rPr>
        <w:t>获取竞争性磋商文件。</w:t>
      </w:r>
    </w:p>
    <w:p w14:paraId="75B899F9">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1、项目名称：</w:t>
      </w:r>
      <w:r>
        <w:rPr>
          <w:rFonts w:hint="eastAsia" w:ascii="宋体" w:hAnsi="宋体" w:cs="宋体"/>
          <w:szCs w:val="21"/>
          <w:shd w:val="clear" w:color="auto" w:fill="FFFFFF"/>
          <w:lang w:eastAsia="zh-CN"/>
        </w:rPr>
        <w:t>驻马店市中心医院SPECT CT维修项目</w:t>
      </w:r>
      <w:r>
        <w:rPr>
          <w:rFonts w:hint="eastAsia" w:ascii="宋体" w:hAnsi="宋体" w:cs="宋体"/>
          <w:szCs w:val="21"/>
          <w:shd w:val="clear" w:color="auto" w:fill="FFFFFF"/>
        </w:rPr>
        <w:t>；</w:t>
      </w:r>
    </w:p>
    <w:p w14:paraId="4E6C819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18</w:t>
      </w:r>
      <w:r>
        <w:rPr>
          <w:rFonts w:hint="eastAsia" w:ascii="宋体" w:hAnsi="宋体" w:cs="宋体"/>
          <w:szCs w:val="21"/>
          <w:shd w:val="clear" w:color="auto" w:fill="FFFFFF"/>
        </w:rPr>
        <w:t>万元；</w:t>
      </w:r>
    </w:p>
    <w:p w14:paraId="32CAB545">
      <w:pPr>
        <w:widowControl/>
        <w:snapToGrid w:val="0"/>
        <w:spacing w:line="324" w:lineRule="auto"/>
        <w:jc w:val="left"/>
        <w:outlineLvl w:val="1"/>
        <w:rPr>
          <w:rFonts w:hint="eastAsia" w:ascii="宋体" w:hAnsi="宋体" w:cs="宋体"/>
          <w:b/>
          <w:bCs/>
          <w:szCs w:val="21"/>
          <w:shd w:val="clear" w:color="auto" w:fill="FFFFFF"/>
        </w:rPr>
      </w:pPr>
      <w:bookmarkStart w:id="4" w:name="_Toc27704"/>
      <w:bookmarkStart w:id="5" w:name="_Toc16639"/>
      <w:bookmarkStart w:id="6" w:name="_Toc18607"/>
      <w:bookmarkStart w:id="7" w:name="_Toc23626"/>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30643"/>
      <w:bookmarkStart w:id="9" w:name="_Toc30971"/>
      <w:bookmarkStart w:id="10" w:name="_Toc9562"/>
      <w:bookmarkStart w:id="11" w:name="_Toc23395"/>
      <w:bookmarkStart w:id="12" w:name="_Toc7823"/>
      <w:r>
        <w:rPr>
          <w:rFonts w:hint="eastAsia" w:ascii="宋体" w:hAnsi="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lang w:eastAsia="zh-CN"/>
        </w:rPr>
      </w:pPr>
      <w:r>
        <w:rPr>
          <w:rFonts w:hint="eastAsia" w:ascii="宋体" w:hAnsi="宋体" w:eastAsia="宋体" w:cs="宋体"/>
          <w:color w:val="auto"/>
          <w:szCs w:val="21"/>
          <w:shd w:val="clear" w:color="auto" w:fill="FFFFFF"/>
        </w:rPr>
        <w:t>7、单位负责人为同一人或者存在直接控股、管理关系的不同供应商，不得参加同一合同项下的磋商（提供承诺函）。</w:t>
      </w:r>
    </w:p>
    <w:p w14:paraId="6D11C4CB">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val="en-US" w:eastAsia="zh-CN"/>
        </w:rPr>
        <w:t>8</w:t>
      </w:r>
      <w:r>
        <w:rPr>
          <w:rFonts w:hint="eastAsia" w:ascii="宋体" w:hAnsi="宋体" w:eastAsia="宋体" w:cs="宋体"/>
          <w:color w:val="auto"/>
          <w:szCs w:val="21"/>
          <w:shd w:val="clear" w:color="auto" w:fill="FFFFFF"/>
        </w:rPr>
        <w:t>、特定资格要求：</w:t>
      </w:r>
    </w:p>
    <w:p w14:paraId="5B5CCA60">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供应商</w:t>
      </w:r>
      <w:r>
        <w:rPr>
          <w:rFonts w:hint="eastAsia" w:ascii="宋体" w:hAnsi="宋体" w:eastAsia="宋体" w:cs="宋体"/>
          <w:color w:val="auto"/>
          <w:szCs w:val="21"/>
          <w:shd w:val="clear" w:color="auto" w:fill="FFFFFF"/>
          <w:lang w:val="zh-CN" w:eastAsia="zh-CN"/>
        </w:rPr>
        <w:t>须</w:t>
      </w:r>
      <w:r>
        <w:rPr>
          <w:rFonts w:hint="eastAsia" w:ascii="宋体" w:hAnsi="宋体" w:cs="宋体"/>
          <w:color w:val="auto"/>
          <w:szCs w:val="21"/>
          <w:shd w:val="clear" w:color="auto" w:fill="FFFFFF"/>
          <w:lang w:val="en-US" w:eastAsia="zh-CN"/>
        </w:rPr>
        <w:t>具有</w:t>
      </w:r>
      <w:r>
        <w:rPr>
          <w:rFonts w:hint="eastAsia" w:ascii="宋体" w:hAnsi="宋体" w:cs="宋体"/>
          <w:color w:val="auto"/>
          <w:szCs w:val="21"/>
          <w:highlight w:val="none"/>
          <w:shd w:val="clear" w:color="auto" w:fill="FFFFFF"/>
        </w:rPr>
        <w:t>医疗器械经营许可证</w:t>
      </w:r>
      <w:r>
        <w:rPr>
          <w:rFonts w:hint="eastAsia" w:ascii="宋体" w:hAnsi="宋体" w:cs="宋体"/>
          <w:color w:val="auto"/>
          <w:szCs w:val="21"/>
          <w:highlight w:val="none"/>
          <w:shd w:val="clear" w:color="auto" w:fill="FFFFFF"/>
          <w:lang w:val="en-US" w:eastAsia="zh-CN"/>
        </w:rPr>
        <w:t>或</w:t>
      </w:r>
      <w:r>
        <w:rPr>
          <w:rFonts w:hint="eastAsia" w:ascii="宋体" w:hAnsi="宋体" w:cs="宋体"/>
          <w:color w:val="auto"/>
          <w:szCs w:val="21"/>
          <w:highlight w:val="none"/>
          <w:shd w:val="clear" w:color="auto" w:fill="FFFFFF"/>
        </w:rPr>
        <w:t>医疗器械生产许可证</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shd w:val="clear" w:color="auto" w:fill="FFFFFF"/>
          <w:lang w:val="zh-CN" w:eastAsia="zh-CN"/>
        </w:rPr>
        <w:t>是在中华人民共和国境内注册的设备原制造厂商或原制造厂商授权的单位或具备相关设备维修能力的单位（提供证明文件）；</w:t>
      </w:r>
    </w:p>
    <w:p w14:paraId="57687E05">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lang w:val="en-US" w:eastAsia="zh-CN"/>
        </w:rPr>
        <w:t>9、</w:t>
      </w:r>
      <w:r>
        <w:rPr>
          <w:rFonts w:hint="eastAsia" w:ascii="宋体" w:hAnsi="宋体" w:eastAsia="宋体" w:cs="宋体"/>
          <w:color w:val="auto"/>
          <w:szCs w:val="21"/>
          <w:shd w:val="clear" w:color="auto" w:fill="FFFFFF"/>
        </w:rPr>
        <w:t>不接受联合体磋商。</w:t>
      </w:r>
    </w:p>
    <w:p w14:paraId="5EB77B9A">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w:t>
      </w:r>
      <w:bookmarkEnd w:id="8"/>
      <w:bookmarkEnd w:id="9"/>
      <w:bookmarkEnd w:id="10"/>
      <w:bookmarkEnd w:id="11"/>
      <w:bookmarkEnd w:id="12"/>
      <w:r>
        <w:rPr>
          <w:rFonts w:hint="eastAsia" w:ascii="宋体" w:hAnsi="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shd w:val="clear" w:color="auto" w:fill="FFFFFF"/>
        </w:rPr>
        <w:t>1.报名时间：</w:t>
      </w:r>
      <w:r>
        <w:rPr>
          <w:rFonts w:hint="eastAsia" w:ascii="宋体" w:hAnsi="宋体" w:cs="宋体"/>
          <w:color w:val="auto"/>
          <w:szCs w:val="21"/>
          <w:shd w:val="clear" w:color="auto" w:fill="FFFFFF"/>
          <w:lang w:eastAsia="zh-CN"/>
        </w:rPr>
        <w:t>2026年</w:t>
      </w:r>
      <w:r>
        <w:rPr>
          <w:rFonts w:hint="eastAsia" w:ascii="宋体" w:hAnsi="宋体" w:cs="宋体"/>
          <w:color w:val="auto"/>
          <w:szCs w:val="21"/>
          <w:shd w:val="clear" w:color="auto" w:fill="FFFFFF"/>
          <w:lang w:val="en-US" w:eastAsia="zh-CN"/>
        </w:rPr>
        <w:t>02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rPr>
        <w:t>日-</w:t>
      </w:r>
      <w:r>
        <w:rPr>
          <w:rFonts w:hint="eastAsia" w:ascii="宋体" w:hAnsi="宋体" w:cs="宋体"/>
          <w:color w:val="auto"/>
          <w:szCs w:val="21"/>
          <w:highlight w:val="none"/>
          <w:shd w:val="clear" w:color="auto" w:fill="FFFFFF"/>
          <w:lang w:eastAsia="zh-CN"/>
        </w:rPr>
        <w:t>2026年</w:t>
      </w:r>
      <w:r>
        <w:rPr>
          <w:rFonts w:hint="eastAsia" w:ascii="宋体" w:hAnsi="宋体" w:cs="宋体"/>
          <w:color w:val="auto"/>
          <w:szCs w:val="21"/>
          <w:highlight w:val="none"/>
          <w:shd w:val="clear" w:color="auto" w:fill="FFFFFF"/>
          <w:lang w:val="en-US" w:eastAsia="zh-CN"/>
        </w:rPr>
        <w:t>02</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auto"/>
          <w:szCs w:val="21"/>
          <w:highlight w:val="none"/>
          <w:shd w:val="clear" w:color="auto" w:fill="FFFFFF"/>
        </w:rPr>
        <w:t>日，上午08：00-下午17:30（北京时间，法定节假日除外）。</w:t>
      </w:r>
    </w:p>
    <w:p w14:paraId="685DF8F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2.凡报名成功的供应商无故不来参与</w:t>
      </w:r>
      <w:r>
        <w:rPr>
          <w:rFonts w:hint="eastAsia" w:ascii="宋体" w:hAnsi="宋体" w:cs="宋体"/>
          <w:color w:val="auto"/>
          <w:kern w:val="0"/>
          <w:szCs w:val="21"/>
          <w:shd w:val="clear" w:color="auto" w:fill="FFFFFF"/>
          <w:lang w:val="en-US" w:eastAsia="zh-CN"/>
        </w:rPr>
        <w:t>磋商</w:t>
      </w:r>
      <w:r>
        <w:rPr>
          <w:rFonts w:hint="eastAsia" w:ascii="宋体" w:hAnsi="宋体" w:cs="宋体"/>
          <w:color w:val="auto"/>
          <w:kern w:val="0"/>
          <w:szCs w:val="21"/>
          <w:shd w:val="clear" w:color="auto" w:fill="FFFFFF"/>
        </w:rPr>
        <w:t>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3.竞争性磋商文件获取方式：供应商须把填写完整的报名登记表及本磋商公告第二项供应商资格要求中需提供加盖单位公章的相关资料扫描件按序排版为PDF格式文件，发送至以下邮箱：</w:t>
      </w:r>
      <w:r>
        <w:rPr>
          <w:rFonts w:hint="eastAsia" w:ascii="宋体" w:hAnsi="宋体" w:cs="宋体"/>
          <w:color w:val="auto"/>
          <w:kern w:val="0"/>
          <w:szCs w:val="21"/>
          <w:shd w:val="clear" w:color="auto" w:fill="FFFFFF"/>
          <w:lang w:val="en-US" w:eastAsia="zh-CN"/>
        </w:rPr>
        <w:fldChar w:fldCharType="begin"/>
      </w:r>
      <w:r>
        <w:rPr>
          <w:rFonts w:hint="eastAsia" w:ascii="宋体" w:hAnsi="宋体" w:cs="宋体"/>
          <w:color w:val="auto"/>
          <w:kern w:val="0"/>
          <w:szCs w:val="21"/>
          <w:shd w:val="clear" w:color="auto" w:fill="FFFFFF"/>
          <w:lang w:val="en-US" w:eastAsia="zh-CN"/>
        </w:rPr>
        <w:instrText xml:space="preserve"> HYPERLINK "mailto:hnwxzb2@163.com并标明XX" </w:instrText>
      </w:r>
      <w:r>
        <w:rPr>
          <w:rFonts w:hint="eastAsia" w:ascii="宋体" w:hAnsi="宋体" w:cs="宋体"/>
          <w:color w:val="auto"/>
          <w:kern w:val="0"/>
          <w:szCs w:val="21"/>
          <w:shd w:val="clear" w:color="auto" w:fill="FFFFFF"/>
          <w:lang w:val="en-US" w:eastAsia="zh-CN"/>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w:t>
      </w:r>
      <w:r>
        <w:rPr>
          <w:rFonts w:hint="eastAsia" w:ascii="宋体" w:hAnsi="宋体" w:cs="宋体"/>
          <w:color w:val="auto"/>
          <w:kern w:val="0"/>
          <w:szCs w:val="21"/>
          <w:shd w:val="clear" w:color="auto" w:fill="FFFFFF"/>
          <w:lang w:val="en-US" w:eastAsia="zh-CN"/>
        </w:rPr>
        <w:t>,并标明XX公司XX</w:t>
      </w:r>
      <w:r>
        <w:rPr>
          <w:rFonts w:hint="eastAsia" w:ascii="宋体" w:hAnsi="宋体" w:cs="宋体"/>
          <w:color w:val="auto"/>
          <w:kern w:val="0"/>
          <w:szCs w:val="21"/>
          <w:shd w:val="clear" w:color="auto" w:fill="FFFFFF"/>
          <w:lang w:val="en-US" w:eastAsia="zh-CN"/>
        </w:rPr>
        <w:fldChar w:fldCharType="end"/>
      </w:r>
      <w:r>
        <w:rPr>
          <w:rFonts w:hint="eastAsia" w:ascii="宋体" w:hAnsi="宋体" w:cs="宋体"/>
          <w:color w:val="auto"/>
          <w:kern w:val="0"/>
          <w:szCs w:val="21"/>
          <w:shd w:val="clear" w:color="auto" w:fill="FFFFFF"/>
          <w:lang w:val="en-US" w:eastAsia="zh-CN"/>
        </w:rPr>
        <w:t>项目报名资料。</w:t>
      </w:r>
    </w:p>
    <w:p w14:paraId="6CDFCB7D">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4.报名登记表：请从附件中下载。</w:t>
      </w:r>
    </w:p>
    <w:p w14:paraId="608E5FA3">
      <w:pPr>
        <w:widowControl/>
        <w:snapToGrid w:val="0"/>
        <w:spacing w:line="324" w:lineRule="auto"/>
        <w:jc w:val="left"/>
        <w:outlineLvl w:val="1"/>
        <w:rPr>
          <w:rFonts w:hint="eastAsia" w:ascii="宋体" w:hAnsi="宋体" w:cs="宋体"/>
          <w:b/>
          <w:bCs/>
          <w:color w:val="auto"/>
          <w:szCs w:val="21"/>
        </w:rPr>
      </w:pPr>
      <w:bookmarkStart w:id="13" w:name="_Toc15111"/>
      <w:bookmarkStart w:id="14" w:name="_Toc27480"/>
      <w:bookmarkStart w:id="15" w:name="_Toc25869"/>
      <w:bookmarkStart w:id="16" w:name="_Toc10738"/>
      <w:bookmarkStart w:id="17" w:name="_Toc15135"/>
      <w:r>
        <w:rPr>
          <w:rFonts w:hint="eastAsia" w:ascii="宋体" w:hAnsi="宋体" w:cs="宋体"/>
          <w:b/>
          <w:bCs/>
          <w:color w:val="auto"/>
          <w:szCs w:val="21"/>
          <w:shd w:val="clear" w:color="auto" w:fill="FFFFFF"/>
        </w:rPr>
        <w:t>四、磋商截止时间及地点</w:t>
      </w:r>
      <w:bookmarkEnd w:id="13"/>
      <w:bookmarkEnd w:id="14"/>
      <w:bookmarkEnd w:id="15"/>
      <w:bookmarkEnd w:id="16"/>
      <w:bookmarkEnd w:id="17"/>
    </w:p>
    <w:p w14:paraId="50F7D95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F59B26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F1CE990">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5339073D">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DD7856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60259CE1">
      <w:pPr>
        <w:widowControl/>
        <w:snapToGrid w:val="0"/>
        <w:spacing w:line="324" w:lineRule="auto"/>
        <w:jc w:val="left"/>
        <w:outlineLvl w:val="1"/>
        <w:rPr>
          <w:rFonts w:hint="eastAsia" w:ascii="宋体" w:hAnsi="宋体" w:cs="宋体"/>
          <w:b/>
          <w:bCs/>
          <w:color w:val="auto"/>
          <w:szCs w:val="21"/>
        </w:rPr>
      </w:pPr>
      <w:bookmarkStart w:id="18" w:name="_Toc30918"/>
      <w:bookmarkStart w:id="19" w:name="_Toc6523"/>
      <w:bookmarkStart w:id="20" w:name="_Toc29784"/>
      <w:bookmarkStart w:id="21" w:name="_Toc20287"/>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8"/>
      <w:bookmarkEnd w:id="19"/>
      <w:bookmarkEnd w:id="20"/>
      <w:bookmarkEnd w:id="21"/>
    </w:p>
    <w:p w14:paraId="1E0043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2" w:name="_Toc35393626"/>
      <w:bookmarkStart w:id="23" w:name="_Toc35393795"/>
    </w:p>
    <w:bookmarkEnd w:id="22"/>
    <w:bookmarkEnd w:id="23"/>
    <w:p w14:paraId="0B1BDEDF">
      <w:pPr>
        <w:widowControl/>
        <w:snapToGrid w:val="0"/>
        <w:spacing w:line="324" w:lineRule="auto"/>
        <w:jc w:val="left"/>
        <w:outlineLvl w:val="1"/>
        <w:rPr>
          <w:rFonts w:hint="eastAsia" w:ascii="宋体" w:hAnsi="宋体" w:cs="宋体"/>
          <w:b/>
          <w:bCs/>
          <w:color w:val="auto"/>
          <w:szCs w:val="21"/>
        </w:rPr>
      </w:pPr>
      <w:bookmarkStart w:id="24" w:name="_Toc31928"/>
      <w:bookmarkStart w:id="25" w:name="_Toc16291"/>
      <w:bookmarkStart w:id="26" w:name="_Toc3604"/>
      <w:bookmarkStart w:id="27" w:name="_Toc24274"/>
      <w:bookmarkStart w:id="28" w:name="_Toc27370"/>
      <w:r>
        <w:rPr>
          <w:rFonts w:hint="eastAsia" w:ascii="宋体" w:hAnsi="宋体" w:cs="宋体"/>
          <w:b/>
          <w:bCs/>
          <w:color w:val="auto"/>
          <w:szCs w:val="21"/>
          <w:shd w:val="clear" w:color="auto" w:fill="FFFFFF"/>
        </w:rPr>
        <w:t>七、</w:t>
      </w:r>
      <w:bookmarkEnd w:id="24"/>
      <w:bookmarkEnd w:id="25"/>
      <w:bookmarkEnd w:id="26"/>
      <w:bookmarkEnd w:id="27"/>
      <w:bookmarkEnd w:id="28"/>
      <w:r>
        <w:rPr>
          <w:rFonts w:hint="eastAsia" w:ascii="宋体" w:hAnsi="宋体" w:cs="宋体"/>
          <w:b/>
          <w:bCs/>
          <w:color w:val="auto"/>
          <w:szCs w:val="21"/>
          <w:shd w:val="clear" w:color="auto" w:fill="FFFFFF"/>
        </w:rPr>
        <w:t>凡对本次招标提出询问，请按照以下方式联系</w:t>
      </w:r>
    </w:p>
    <w:p w14:paraId="014AB493">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1.采购人：驻马店市中心医院</w:t>
      </w:r>
    </w:p>
    <w:p w14:paraId="245125C9">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地址：驻马店市中华大道747号</w:t>
      </w:r>
    </w:p>
    <w:p w14:paraId="164FEA9F">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联系人：陈先生</w:t>
      </w:r>
    </w:p>
    <w:p w14:paraId="68AA843D">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电话：0396-2726379</w:t>
      </w:r>
    </w:p>
    <w:p w14:paraId="7DA987B5">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2.采购代理机构：中岐能工程项目管理有限公司</w:t>
      </w:r>
    </w:p>
    <w:p w14:paraId="5319A3EA">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地址：驻马店市泰山路与骏马路交叉口广泰大厦22楼</w:t>
      </w:r>
    </w:p>
    <w:p w14:paraId="78797A86">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联系人：张先生</w:t>
      </w:r>
    </w:p>
    <w:p w14:paraId="0FB0621D">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联系方式：15518315656</w:t>
      </w:r>
    </w:p>
    <w:p w14:paraId="2AE6E99D">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3.监督部门：驻马店市中心医院纪检监察室</w:t>
      </w:r>
    </w:p>
    <w:p w14:paraId="7B7E7F03">
      <w:pPr>
        <w:widowControl/>
        <w:snapToGrid w:val="0"/>
        <w:spacing w:line="324" w:lineRule="auto"/>
        <w:ind w:firstLine="420" w:firstLineChars="200"/>
        <w:jc w:val="left"/>
        <w:rPr>
          <w:rFonts w:hint="eastAsia" w:ascii="宋体" w:hAnsi="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监督电话：0396-2726678</w:t>
      </w:r>
    </w:p>
    <w:p w14:paraId="195A7D3B">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3F830AD6">
      <w:pPr>
        <w:pStyle w:val="30"/>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w:t>
      </w:r>
      <w:r>
        <w:rPr>
          <w:rFonts w:hint="eastAsia" w:ascii="宋体" w:hAnsi="宋体" w:cs="宋体"/>
          <w:color w:val="auto"/>
          <w:sz w:val="21"/>
          <w:szCs w:val="21"/>
          <w:shd w:val="clear" w:color="auto" w:fill="FFFFFF"/>
          <w:lang w:eastAsia="zh-CN"/>
        </w:rPr>
        <w:t>2026年</w:t>
      </w:r>
      <w:r>
        <w:rPr>
          <w:rFonts w:hint="eastAsia" w:ascii="宋体" w:hAnsi="宋体" w:cs="宋体"/>
          <w:color w:val="auto"/>
          <w:sz w:val="21"/>
          <w:szCs w:val="21"/>
          <w:shd w:val="clear" w:color="auto" w:fill="FFFFFF"/>
          <w:lang w:val="en-US" w:eastAsia="zh-CN"/>
        </w:rPr>
        <w:t>0</w:t>
      </w:r>
      <w:r>
        <w:rPr>
          <w:rFonts w:hint="eastAsia" w:ascii="宋体" w:hAnsi="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日</w:t>
      </w:r>
    </w:p>
    <w:p w14:paraId="21439BBF">
      <w:pPr>
        <w:rPr>
          <w:rFonts w:hint="eastAsia" w:ascii="宋体" w:hAnsi="宋体" w:cs="宋体"/>
          <w:b/>
          <w:color w:val="auto"/>
          <w:sz w:val="32"/>
          <w:szCs w:val="32"/>
        </w:rPr>
      </w:pPr>
      <w:bookmarkStart w:id="29" w:name="_Toc29890"/>
      <w:bookmarkStart w:id="30" w:name="_Toc23793"/>
      <w:r>
        <w:rPr>
          <w:rFonts w:hint="eastAsia" w:ascii="宋体" w:hAnsi="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1" w:name="_Toc9314"/>
      <w:r>
        <w:rPr>
          <w:rFonts w:hint="eastAsia" w:ascii="宋体" w:hAnsi="宋体" w:cs="宋体"/>
          <w:b/>
          <w:sz w:val="32"/>
          <w:szCs w:val="32"/>
        </w:rPr>
        <w:t>第二章  采购需求</w:t>
      </w:r>
      <w:bookmarkEnd w:id="31"/>
      <w:bookmarkStart w:id="32" w:name="_Toc31536"/>
      <w:bookmarkStart w:id="33" w:name="_Toc9989"/>
      <w:bookmarkStart w:id="34" w:name="_Toc23610"/>
    </w:p>
    <w:bookmarkEnd w:id="29"/>
    <w:bookmarkEnd w:id="30"/>
    <w:bookmarkEnd w:id="32"/>
    <w:bookmarkEnd w:id="33"/>
    <w:bookmarkEnd w:id="34"/>
    <w:p w14:paraId="69C2FB40">
      <w:pPr>
        <w:spacing w:line="360" w:lineRule="auto"/>
        <w:rPr>
          <w:rFonts w:hint="eastAsia" w:ascii="宋体" w:hAnsi="宋体" w:cs="宋体"/>
          <w:szCs w:val="21"/>
          <w:shd w:val="clear" w:color="auto" w:fill="FFFFFF"/>
          <w:lang w:eastAsia="zh-CN"/>
        </w:rPr>
      </w:pPr>
      <w:r>
        <w:rPr>
          <w:rFonts w:hint="eastAsia" w:ascii="宋体" w:hAnsi="宋体" w:cs="宋体"/>
          <w:b/>
          <w:bCs/>
          <w:iCs/>
          <w:szCs w:val="21"/>
        </w:rPr>
        <w:t>一、项目名称：</w:t>
      </w:r>
      <w:r>
        <w:rPr>
          <w:rFonts w:hint="eastAsia" w:ascii="宋体" w:hAnsi="宋体" w:cs="宋体"/>
          <w:szCs w:val="21"/>
          <w:shd w:val="clear" w:color="auto" w:fill="FFFFFF"/>
          <w:lang w:eastAsia="zh-CN"/>
        </w:rPr>
        <w:t>驻马店市中心医院SPECT CT维修项目</w:t>
      </w:r>
    </w:p>
    <w:p w14:paraId="083F43AD">
      <w:pPr>
        <w:spacing w:line="360" w:lineRule="auto"/>
        <w:rPr>
          <w:rFonts w:hint="eastAsia" w:ascii="宋体" w:hAnsi="宋体" w:cs="宋体"/>
          <w:b/>
          <w:bCs/>
          <w:szCs w:val="21"/>
          <w:shd w:val="clear" w:color="auto" w:fill="FFFFFF"/>
        </w:rPr>
      </w:pPr>
      <w:r>
        <w:rPr>
          <w:rFonts w:hint="eastAsia" w:ascii="宋体" w:hAnsi="宋体" w:cs="宋体"/>
          <w:b/>
          <w:bCs/>
          <w:szCs w:val="21"/>
          <w:shd w:val="clear" w:color="auto" w:fill="FFFFFF"/>
        </w:rPr>
        <w:t>二、项目概况：</w:t>
      </w:r>
    </w:p>
    <w:tbl>
      <w:tblPr>
        <w:tblStyle w:val="34"/>
        <w:tblW w:w="6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4"/>
        <w:gridCol w:w="5"/>
        <w:gridCol w:w="845"/>
        <w:gridCol w:w="5"/>
        <w:gridCol w:w="962"/>
        <w:gridCol w:w="5"/>
        <w:gridCol w:w="1388"/>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90" w:type="dxa"/>
            <w:gridSpan w:val="2"/>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序号</w:t>
            </w:r>
          </w:p>
        </w:tc>
        <w:tc>
          <w:tcPr>
            <w:tcW w:w="2139"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标的名称</w:t>
            </w:r>
          </w:p>
        </w:tc>
        <w:tc>
          <w:tcPr>
            <w:tcW w:w="850" w:type="dxa"/>
            <w:gridSpan w:val="2"/>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单位</w:t>
            </w:r>
          </w:p>
        </w:tc>
        <w:tc>
          <w:tcPr>
            <w:tcW w:w="967" w:type="dxa"/>
            <w:gridSpan w:val="2"/>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数量</w:t>
            </w:r>
          </w:p>
        </w:tc>
        <w:tc>
          <w:tcPr>
            <w:tcW w:w="1393" w:type="dxa"/>
            <w:gridSpan w:val="2"/>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资金预算</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90" w:type="dxa"/>
            <w:gridSpan w:val="2"/>
            <w:vAlign w:val="center"/>
          </w:tcPr>
          <w:p w14:paraId="6DE60D56">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1</w:t>
            </w:r>
          </w:p>
        </w:tc>
        <w:tc>
          <w:tcPr>
            <w:tcW w:w="2139" w:type="dxa"/>
            <w:gridSpan w:val="2"/>
            <w:vAlign w:val="center"/>
          </w:tcPr>
          <w:p w14:paraId="0DB5E171">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SPECT CT维修项目</w:t>
            </w:r>
          </w:p>
        </w:tc>
        <w:tc>
          <w:tcPr>
            <w:tcW w:w="850" w:type="dxa"/>
            <w:gridSpan w:val="2"/>
            <w:vAlign w:val="center"/>
          </w:tcPr>
          <w:p w14:paraId="43C73561">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w:t>
            </w:r>
          </w:p>
        </w:tc>
        <w:tc>
          <w:tcPr>
            <w:tcW w:w="967" w:type="dxa"/>
            <w:gridSpan w:val="2"/>
            <w:vAlign w:val="center"/>
          </w:tcPr>
          <w:p w14:paraId="532C8365">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w:t>
            </w:r>
          </w:p>
        </w:tc>
        <w:tc>
          <w:tcPr>
            <w:tcW w:w="1393" w:type="dxa"/>
            <w:gridSpan w:val="2"/>
            <w:vAlign w:val="center"/>
          </w:tcPr>
          <w:p w14:paraId="0DDD2FA5">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18万元</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4D0D12C3">
            <w:pPr>
              <w:spacing w:line="360" w:lineRule="auto"/>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合计</w:t>
            </w:r>
          </w:p>
        </w:tc>
        <w:tc>
          <w:tcPr>
            <w:tcW w:w="2139" w:type="dxa"/>
            <w:gridSpan w:val="2"/>
            <w:vAlign w:val="center"/>
          </w:tcPr>
          <w:p w14:paraId="157F0EC4">
            <w:pPr>
              <w:spacing w:line="360" w:lineRule="auto"/>
              <w:rPr>
                <w:rFonts w:hint="default" w:ascii="宋体" w:hAnsi="宋体" w:eastAsia="宋体" w:cs="宋体"/>
                <w:kern w:val="2"/>
                <w:sz w:val="21"/>
                <w:szCs w:val="21"/>
                <w:shd w:val="clear" w:color="auto" w:fill="FFFFFF"/>
                <w:lang w:val="en-US" w:eastAsia="zh-CN" w:bidi="ar-SA"/>
              </w:rPr>
            </w:pPr>
          </w:p>
        </w:tc>
        <w:tc>
          <w:tcPr>
            <w:tcW w:w="850" w:type="dxa"/>
            <w:gridSpan w:val="2"/>
            <w:vAlign w:val="center"/>
          </w:tcPr>
          <w:p w14:paraId="4C408693">
            <w:pPr>
              <w:spacing w:line="360" w:lineRule="auto"/>
              <w:rPr>
                <w:rFonts w:hint="default" w:ascii="宋体" w:hAnsi="宋体" w:eastAsia="宋体" w:cs="宋体"/>
                <w:kern w:val="2"/>
                <w:sz w:val="21"/>
                <w:szCs w:val="21"/>
                <w:shd w:val="clear" w:color="auto" w:fill="FFFFFF"/>
                <w:lang w:val="en-US" w:eastAsia="zh-CN" w:bidi="ar-SA"/>
              </w:rPr>
            </w:pPr>
          </w:p>
        </w:tc>
        <w:tc>
          <w:tcPr>
            <w:tcW w:w="967" w:type="dxa"/>
            <w:gridSpan w:val="2"/>
            <w:vAlign w:val="center"/>
          </w:tcPr>
          <w:p w14:paraId="1DF11130">
            <w:pPr>
              <w:spacing w:line="360" w:lineRule="auto"/>
              <w:rPr>
                <w:rFonts w:hint="default" w:ascii="宋体" w:hAnsi="宋体" w:eastAsia="宋体" w:cs="宋体"/>
                <w:kern w:val="2"/>
                <w:sz w:val="21"/>
                <w:szCs w:val="21"/>
                <w:shd w:val="clear" w:color="auto" w:fill="FFFFFF"/>
                <w:lang w:val="en-US" w:eastAsia="zh-CN" w:bidi="ar-SA"/>
              </w:rPr>
            </w:pPr>
          </w:p>
        </w:tc>
        <w:tc>
          <w:tcPr>
            <w:tcW w:w="1393" w:type="dxa"/>
            <w:gridSpan w:val="2"/>
            <w:vAlign w:val="center"/>
          </w:tcPr>
          <w:p w14:paraId="0306BC83">
            <w:pPr>
              <w:spacing w:line="360" w:lineRule="auto"/>
              <w:rPr>
                <w:rFonts w:hint="default" w:ascii="宋体" w:hAnsi="宋体" w:eastAsia="宋体" w:cs="宋体"/>
                <w:kern w:val="2"/>
                <w:sz w:val="21"/>
                <w:szCs w:val="21"/>
                <w:shd w:val="clear" w:color="auto" w:fill="FFFFFF"/>
                <w:lang w:val="en-US" w:eastAsia="zh-CN" w:bidi="ar-SA"/>
              </w:rPr>
            </w:pPr>
          </w:p>
        </w:tc>
      </w:tr>
      <w:tr w14:paraId="4307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Align w:val="center"/>
          </w:tcPr>
          <w:p w14:paraId="7C54CC81">
            <w:pPr>
              <w:spacing w:line="360" w:lineRule="auto"/>
              <w:jc w:val="center"/>
              <w:rPr>
                <w:rFonts w:hint="eastAsia" w:ascii="宋体" w:hAnsi="宋体" w:eastAsia="宋体" w:cs="宋体"/>
                <w:kern w:val="2"/>
                <w:sz w:val="21"/>
                <w:szCs w:val="21"/>
                <w:shd w:val="clear" w:color="auto" w:fill="FFFFFF"/>
                <w:lang w:val="en-US" w:eastAsia="zh-CN" w:bidi="ar-SA"/>
              </w:rPr>
            </w:pPr>
            <w:r>
              <w:rPr>
                <w:rFonts w:hint="eastAsia" w:ascii="宋体" w:hAnsi="宋体" w:eastAsia="宋体" w:cs="宋体"/>
                <w:kern w:val="2"/>
                <w:sz w:val="21"/>
                <w:szCs w:val="21"/>
                <w:shd w:val="clear" w:color="auto" w:fill="FFFFFF"/>
                <w:lang w:val="en-US" w:eastAsia="zh-CN" w:bidi="ar-SA"/>
              </w:rPr>
              <w:t>备注</w:t>
            </w:r>
          </w:p>
        </w:tc>
        <w:tc>
          <w:tcPr>
            <w:tcW w:w="5354" w:type="dxa"/>
            <w:gridSpan w:val="9"/>
            <w:vAlign w:val="center"/>
          </w:tcPr>
          <w:p w14:paraId="4F1CEB2D">
            <w:pPr>
              <w:spacing w:line="360" w:lineRule="auto"/>
              <w:jc w:val="center"/>
              <w:rPr>
                <w:rFonts w:hint="default" w:ascii="宋体" w:hAnsi="宋体" w:eastAsia="宋体" w:cs="宋体"/>
                <w:kern w:val="2"/>
                <w:sz w:val="21"/>
                <w:szCs w:val="21"/>
                <w:shd w:val="clear" w:color="auto" w:fill="FFFFFF"/>
                <w:lang w:val="en-US" w:eastAsia="zh-CN" w:bidi="ar-SA"/>
              </w:rPr>
            </w:pPr>
            <w:r>
              <w:rPr>
                <w:rFonts w:hint="eastAsia" w:ascii="宋体" w:hAnsi="宋体" w:eastAsia="宋体" w:cs="宋体"/>
                <w:b/>
                <w:bCs/>
                <w:kern w:val="2"/>
                <w:sz w:val="21"/>
                <w:szCs w:val="21"/>
                <w:shd w:val="clear" w:color="auto" w:fill="FFFFFF"/>
                <w:lang w:val="en-US" w:eastAsia="zh-CN" w:bidi="ar-SA"/>
              </w:rPr>
              <w:t>设备型号为GE Infinia</w:t>
            </w:r>
          </w:p>
        </w:tc>
      </w:tr>
    </w:tbl>
    <w:p w14:paraId="20A5028E">
      <w:pPr>
        <w:spacing w:line="360" w:lineRule="auto"/>
        <w:rPr>
          <w:b/>
          <w:bCs/>
        </w:rPr>
      </w:pPr>
      <w:r>
        <w:rPr>
          <w:rFonts w:hint="eastAsia"/>
          <w:b/>
          <w:bCs/>
          <w:lang w:val="en-US" w:eastAsia="zh-CN"/>
        </w:rPr>
        <w:t>三</w:t>
      </w:r>
      <w:r>
        <w:rPr>
          <w:rFonts w:hint="eastAsia"/>
          <w:b/>
          <w:bCs/>
        </w:rPr>
        <w:t xml:space="preserve">、技术要求 </w:t>
      </w:r>
    </w:p>
    <w:p w14:paraId="484E7108">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1、设备型号为GE Infinia，故障现象为无法曝光，需解决问题并使机器正常使用，维修后的图像质量达到原机和临床检查要求。</w:t>
      </w:r>
    </w:p>
    <w:p w14:paraId="7E1DA119">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2、维修后要完成规定的校准和测试，并符合国家医用X射线设备行业检测标准。</w:t>
      </w:r>
    </w:p>
    <w:p w14:paraId="21B0F9FE">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3、为保证设备稳定运行，在成交后须先提供备用配件，维修后完成安装调试，无额外费用。</w:t>
      </w:r>
    </w:p>
    <w:p w14:paraId="6ACF419E">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4、供应商在国内具备设备零备件仓库，提供库房仓库产权租赁证明文件，备件供应100%保障；应用于日常维修维护更换的配件，须是合格的零配件，并保证正规来源、合法,满足设备运行要求,不会给设备带来危害。进口零配件须提供报关手续。</w:t>
      </w:r>
    </w:p>
    <w:p w14:paraId="2C15370C">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5、远程应用支持服务，能通过互联网连接在线进行远程应用支持且可以实时显示操作界面，设有专职应用支持人员，提供远程技术服务及时回复并解决设备故障。</w:t>
      </w:r>
    </w:p>
    <w:p w14:paraId="75407532">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6、供应商需拥有该设备专用线性校正模型，提供符合标准要求的校正模型照片。</w:t>
      </w:r>
    </w:p>
    <w:p w14:paraId="178620C3">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7、具备本项目维修服务常用检测工具需至少包含游标卡尺、数字万用表、直流稳压可调节电源、数字示波器、脱扣式扭力扳手、温湿度记录仪等工具。提供以上工具校准证书。</w:t>
      </w:r>
    </w:p>
    <w:p w14:paraId="68F0FD04">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8、人员配备：服务于本项目的供应商具有核医学设备维修技术支持团队≥5人，省内全职、固定、资深工程师≥2人。工程师具备并提供核医学质控中心部门颁发的核医学设备质量控制及维护培训证书，具有有效期内的核医学辐射安全与防护考核成绩合格证书。提供工程师名单、培训证书等证明文件。</w:t>
      </w:r>
    </w:p>
    <w:p w14:paraId="5AA2A62D">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9、提供微信实时会诊平台，核医学学术交流群，为核医学与临床搭建融洽沟通渠道；协助使用科室进行核医学影像质控管理。</w:t>
      </w:r>
    </w:p>
    <w:p w14:paraId="4FEEC25C">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r>
        <w:rPr>
          <w:rFonts w:hint="eastAsia" w:ascii="宋体" w:hAnsi="宋体" w:eastAsia="宋体" w:cs="宋体"/>
          <w:color w:val="auto"/>
          <w:kern w:val="0"/>
          <w:szCs w:val="21"/>
          <w:shd w:val="clear" w:color="auto" w:fill="FFFFFF"/>
          <w:lang w:val="en-US" w:eastAsia="zh-CN"/>
        </w:rPr>
        <w:t>10、在国内有可参观的核医学设备操作培训基地，场地具备核医学设备进行拆、装机及故障维修、设备质控等操作培训课程；提供医院医师、技师、供应商工程师等已经完成的设备质控及操作等培训课程，提供培训证明材料。</w:t>
      </w:r>
      <w:bookmarkStart w:id="106" w:name="_GoBack"/>
      <w:bookmarkEnd w:id="106"/>
    </w:p>
    <w:p w14:paraId="5211B209">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p>
    <w:p w14:paraId="6A0B52BB">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p>
    <w:p w14:paraId="7745E514">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pPr>
    </w:p>
    <w:p w14:paraId="54E93AEA">
      <w:pPr>
        <w:keepNext w:val="0"/>
        <w:keepLines w:val="0"/>
        <w:pageBreakBefore w:val="0"/>
        <w:widowControl/>
        <w:kinsoku/>
        <w:wordWrap w:val="0"/>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color w:val="auto"/>
          <w:kern w:val="0"/>
          <w:szCs w:val="21"/>
          <w:shd w:val="clear" w:color="auto" w:fill="FFFFFF"/>
          <w:lang w:val="en-US" w:eastAsia="zh-CN"/>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3C9242AE">
      <w:pPr>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商务要求</w:t>
      </w:r>
    </w:p>
    <w:tbl>
      <w:tblPr>
        <w:tblStyle w:val="33"/>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15"/>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15"/>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医院指定地点</w:t>
            </w:r>
            <w:r>
              <w:rPr>
                <w:rFonts w:hint="eastAsia" w:ascii="宋体" w:hAnsi="宋体" w:eastAsia="宋体" w:cs="宋体"/>
                <w:color w:val="auto"/>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15"/>
              <w:shd w:val="clear"/>
              <w:jc w:val="center"/>
              <w:rPr>
                <w:rFonts w:hint="eastAsia" w:eastAsia="宋体"/>
                <w:color w:val="auto"/>
                <w:sz w:val="21"/>
                <w:szCs w:val="21"/>
                <w:highlight w:val="none"/>
                <w:lang w:eastAsia="zh-CN"/>
              </w:rPr>
            </w:pPr>
            <w:r>
              <w:rPr>
                <w:rFonts w:hint="eastAsia" w:cs="宋体"/>
                <w:color w:val="auto"/>
                <w:sz w:val="21"/>
                <w:szCs w:val="21"/>
                <w:highlight w:val="none"/>
                <w:lang w:val="en-US" w:eastAsia="zh-CN"/>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pStyle w:val="15"/>
              <w:shd w:val="clear"/>
              <w:jc w:val="both"/>
              <w:rPr>
                <w:color w:val="auto"/>
                <w:szCs w:val="21"/>
                <w:highlight w:val="none"/>
              </w:rPr>
            </w:pPr>
            <w:r>
              <w:rPr>
                <w:rFonts w:hint="eastAsia" w:ascii="宋体" w:hAnsi="宋体" w:eastAsia="宋体" w:cs="宋体"/>
                <w:color w:val="auto"/>
                <w:sz w:val="21"/>
                <w:szCs w:val="21"/>
                <w:highlight w:val="none"/>
                <w:lang w:val="en-US" w:eastAsia="zh-CN"/>
              </w:rPr>
              <w:t>所修配件调试验收完成后1年。</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15"/>
              <w:shd w:val="clear"/>
              <w:jc w:val="center"/>
              <w:rPr>
                <w:rFonts w:hint="eastAsia"/>
                <w:color w:val="auto"/>
                <w:sz w:val="21"/>
                <w:szCs w:val="21"/>
                <w:highlight w:val="none"/>
              </w:rPr>
            </w:pPr>
            <w:r>
              <w:rPr>
                <w:rFonts w:hint="eastAsia"/>
                <w:color w:val="auto"/>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15"/>
              <w:shd w:val="clear"/>
              <w:rPr>
                <w:rFonts w:hint="eastAsia"/>
                <w:color w:val="auto"/>
                <w:sz w:val="21"/>
                <w:szCs w:val="21"/>
                <w:highlight w:val="none"/>
              </w:rPr>
            </w:pPr>
            <w:r>
              <w:rPr>
                <w:rFonts w:hint="eastAsia"/>
                <w:color w:val="auto"/>
                <w:sz w:val="21"/>
                <w:szCs w:val="21"/>
                <w:highlight w:val="none"/>
                <w:lang w:val="en-US" w:eastAsia="zh-CN"/>
              </w:rPr>
              <w:t>维修调试验收完成后付款90%，自维修调试验收完成起满1年，且乙方完成当期服务，结束后付款10%。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15"/>
              <w:shd w:val="clear"/>
              <w:jc w:val="center"/>
              <w:rPr>
                <w:rFonts w:hint="eastAsia"/>
                <w:color w:val="auto"/>
                <w:sz w:val="21"/>
                <w:szCs w:val="21"/>
                <w:highlight w:val="none"/>
              </w:rPr>
            </w:pPr>
            <w:r>
              <w:rPr>
                <w:rFonts w:hint="eastAsia"/>
                <w:color w:val="auto"/>
                <w:sz w:val="21"/>
                <w:szCs w:val="21"/>
                <w:highlight w:val="none"/>
              </w:rPr>
              <w:t>包装和运输</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15"/>
              <w:shd w:val="clear"/>
              <w:rPr>
                <w:rFonts w:hint="eastAsia"/>
                <w:color w:val="auto"/>
                <w:sz w:val="21"/>
                <w:szCs w:val="21"/>
                <w:highlight w:val="none"/>
              </w:rPr>
            </w:pPr>
            <w:r>
              <w:rPr>
                <w:rFonts w:hint="eastAsia" w:ascii="宋体" w:hAnsi="宋体" w:eastAsia="宋体" w:cs="宋体"/>
                <w:color w:val="auto"/>
                <w:sz w:val="21"/>
                <w:szCs w:val="21"/>
                <w:highlight w:val="none"/>
                <w:lang w:val="en-US" w:eastAsia="zh-CN"/>
              </w:rPr>
              <w:t>成交方承担包装和运输费用</w:t>
            </w:r>
          </w:p>
        </w:tc>
      </w:tr>
    </w:tbl>
    <w:p w14:paraId="5352B0EB">
      <w:pPr>
        <w:shd w:val="clear"/>
        <w:spacing w:line="360" w:lineRule="auto"/>
        <w:ind w:firstLine="602" w:firstLineChars="200"/>
        <w:jc w:val="center"/>
        <w:rPr>
          <w:rFonts w:hint="eastAsia" w:ascii="宋体" w:hAnsi="宋体" w:cs="宋体"/>
          <w:b/>
          <w:bCs/>
          <w:color w:val="auto"/>
          <w:sz w:val="30"/>
          <w:szCs w:val="30"/>
          <w:highlight w:val="none"/>
        </w:rPr>
      </w:pPr>
    </w:p>
    <w:p w14:paraId="0E4169D0">
      <w:pPr>
        <w:shd w:val="clear"/>
        <w:spacing w:line="360" w:lineRule="auto"/>
        <w:ind w:firstLine="602" w:firstLineChars="200"/>
        <w:jc w:val="center"/>
        <w:rPr>
          <w:rFonts w:hint="eastAsia" w:ascii="宋体" w:hAnsi="宋体" w:cs="宋体"/>
          <w:b/>
          <w:bCs/>
          <w:color w:val="auto"/>
          <w:sz w:val="30"/>
          <w:szCs w:val="30"/>
          <w:highlight w:val="none"/>
        </w:rPr>
      </w:pPr>
    </w:p>
    <w:p w14:paraId="1865C884">
      <w:pPr>
        <w:jc w:val="both"/>
        <w:rPr>
          <w:rFonts w:hint="eastAsia" w:ascii="Times New Roman" w:hAnsi="Times New Roman" w:eastAsia="宋体" w:cs="Times New Roman"/>
          <w:b/>
          <w:bCs/>
          <w:sz w:val="24"/>
          <w:szCs w:val="32"/>
        </w:rPr>
      </w:pPr>
    </w:p>
    <w:p w14:paraId="02BF757F">
      <w:pPr>
        <w:snapToGrid w:val="0"/>
        <w:spacing w:before="159" w:beforeLines="50" w:line="360" w:lineRule="auto"/>
        <w:jc w:val="center"/>
        <w:rPr>
          <w:rFonts w:hint="eastAsia" w:ascii="宋体" w:hAnsi="宋体" w:cs="宋体"/>
          <w:b/>
          <w:bCs/>
          <w:sz w:val="30"/>
          <w:szCs w:val="30"/>
        </w:rPr>
        <w:sectPr>
          <w:type w:val="continuous"/>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6A0CDF0D">
      <w:pPr>
        <w:spacing w:afterAutospacing="0"/>
        <w:jc w:val="center"/>
        <w:outlineLvl w:val="0"/>
        <w:rPr>
          <w:rFonts w:hint="eastAsia" w:ascii="宋体" w:hAnsi="宋体" w:cs="宋体"/>
          <w:b/>
          <w:bCs/>
          <w:sz w:val="32"/>
          <w:szCs w:val="32"/>
        </w:rPr>
      </w:pPr>
      <w:bookmarkStart w:id="35" w:name="_Toc25481"/>
      <w:r>
        <w:rPr>
          <w:rFonts w:hint="eastAsia" w:ascii="宋体" w:hAnsi="宋体" w:cs="宋体"/>
          <w:b/>
          <w:bCs/>
          <w:sz w:val="32"/>
          <w:szCs w:val="32"/>
        </w:rPr>
        <w:t>第三章  供应商须知</w:t>
      </w:r>
      <w:bookmarkEnd w:id="35"/>
    </w:p>
    <w:p w14:paraId="0AD5ED89">
      <w:pPr>
        <w:snapToGrid w:val="0"/>
        <w:spacing w:beforeAutospacing="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2669DC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68EDB4">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8C94FE">
            <w:pPr>
              <w:widowControl/>
              <w:jc w:val="center"/>
              <w:rPr>
                <w:rFonts w:hint="eastAsia" w:ascii="宋体" w:hAnsi="宋体" w:cs="宋体"/>
                <w:kern w:val="0"/>
                <w:szCs w:val="21"/>
              </w:rPr>
            </w:pPr>
            <w:r>
              <w:rPr>
                <w:rFonts w:hint="eastAsia" w:ascii="宋体" w:hAnsi="宋体" w:cs="宋体"/>
                <w:kern w:val="0"/>
                <w:szCs w:val="21"/>
              </w:rPr>
              <w:t>内容、要求</w:t>
            </w:r>
          </w:p>
        </w:tc>
      </w:tr>
      <w:tr w14:paraId="25683A4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86E32">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eastAsia="宋体" w:cs="宋体"/>
                <w:szCs w:val="21"/>
                <w:shd w:val="clear" w:color="auto" w:fill="FFFFFF"/>
                <w:lang w:eastAsia="zh-CN"/>
              </w:rPr>
            </w:pPr>
            <w:bookmarkStart w:id="36" w:name="_Toc30169"/>
            <w:bookmarkStart w:id="37" w:name="_Toc27817"/>
            <w:bookmarkStart w:id="38" w:name="_Toc9566"/>
            <w:bookmarkStart w:id="39" w:name="_Toc20663"/>
            <w:bookmarkStart w:id="40" w:name="_Toc27637"/>
            <w:bookmarkStart w:id="41" w:name="_Toc4522"/>
            <w:bookmarkStart w:id="42" w:name="_Toc14864"/>
            <w:r>
              <w:rPr>
                <w:rFonts w:hint="eastAsia" w:ascii="宋体" w:hAnsi="宋体" w:cs="宋体"/>
              </w:rPr>
              <w:t>1.1项目名称：</w:t>
            </w:r>
            <w:bookmarkEnd w:id="36"/>
            <w:bookmarkEnd w:id="37"/>
            <w:bookmarkEnd w:id="38"/>
            <w:bookmarkEnd w:id="39"/>
            <w:bookmarkEnd w:id="40"/>
            <w:bookmarkEnd w:id="41"/>
            <w:bookmarkStart w:id="43" w:name="_Toc23424"/>
            <w:bookmarkStart w:id="44" w:name="_Toc28320"/>
            <w:bookmarkStart w:id="45" w:name="_Toc29400"/>
            <w:r>
              <w:rPr>
                <w:rFonts w:hint="eastAsia" w:ascii="宋体" w:hAnsi="宋体" w:cs="宋体"/>
                <w:lang w:eastAsia="zh-CN"/>
              </w:rPr>
              <w:t>驻马店市中心医院SPECT CT维修项目</w:t>
            </w:r>
            <w:bookmarkEnd w:id="42"/>
          </w:p>
          <w:p w14:paraId="59958B17">
            <w:pPr>
              <w:widowControl/>
              <w:snapToGrid w:val="0"/>
              <w:spacing w:line="440" w:lineRule="exact"/>
              <w:jc w:val="left"/>
              <w:outlineLvl w:val="0"/>
              <w:rPr>
                <w:rFonts w:hint="eastAsia" w:ascii="宋体" w:hAnsi="宋体" w:cs="宋体"/>
              </w:rPr>
            </w:pPr>
            <w:bookmarkStart w:id="46" w:name="_Toc19930"/>
            <w:bookmarkStart w:id="47" w:name="_Toc7231"/>
            <w:bookmarkStart w:id="48" w:name="_Toc6822"/>
            <w:bookmarkStart w:id="49" w:name="_Toc17912"/>
            <w:r>
              <w:rPr>
                <w:rFonts w:hint="eastAsia" w:ascii="宋体" w:hAnsi="宋体" w:cs="宋体"/>
              </w:rPr>
              <w:t>1.2采购人名称：</w:t>
            </w:r>
            <w:bookmarkEnd w:id="43"/>
            <w:bookmarkEnd w:id="44"/>
            <w:bookmarkEnd w:id="45"/>
            <w:r>
              <w:rPr>
                <w:rFonts w:hint="eastAsia" w:ascii="宋体" w:hAnsi="宋体" w:cs="宋体"/>
              </w:rPr>
              <w:t>驻马店市中心医院</w:t>
            </w:r>
            <w:bookmarkEnd w:id="46"/>
            <w:bookmarkEnd w:id="47"/>
            <w:bookmarkEnd w:id="48"/>
            <w:bookmarkEnd w:id="49"/>
          </w:p>
          <w:p w14:paraId="5905D575">
            <w:pPr>
              <w:widowControl/>
              <w:snapToGrid w:val="0"/>
              <w:spacing w:line="440" w:lineRule="exact"/>
              <w:jc w:val="left"/>
              <w:outlineLvl w:val="0"/>
              <w:rPr>
                <w:rFonts w:hint="eastAsia" w:ascii="宋体" w:hAnsi="宋体" w:cs="宋体"/>
              </w:rPr>
            </w:pPr>
            <w:bookmarkStart w:id="50" w:name="_Toc24541"/>
            <w:bookmarkStart w:id="51" w:name="_Toc20860"/>
            <w:bookmarkStart w:id="52" w:name="_Toc26199"/>
            <w:bookmarkStart w:id="53" w:name="_Toc1866"/>
            <w:bookmarkStart w:id="54" w:name="_Toc17995"/>
            <w:bookmarkStart w:id="55" w:name="_Toc3148"/>
            <w:bookmarkStart w:id="56" w:name="_Toc12569"/>
            <w:r>
              <w:rPr>
                <w:rFonts w:hint="eastAsia" w:ascii="宋体" w:hAnsi="宋体" w:cs="宋体"/>
              </w:rPr>
              <w:t>1.3采购范围：详见第二章采购需求</w:t>
            </w:r>
            <w:bookmarkEnd w:id="50"/>
            <w:bookmarkEnd w:id="51"/>
            <w:bookmarkEnd w:id="52"/>
            <w:bookmarkEnd w:id="53"/>
            <w:bookmarkEnd w:id="54"/>
            <w:bookmarkEnd w:id="55"/>
            <w:bookmarkEnd w:id="56"/>
          </w:p>
        </w:tc>
      </w:tr>
      <w:tr w14:paraId="78B281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1FA804">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F8D569">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0D45F1D7">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3FF5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lang w:val="en-US" w:eastAsia="zh-CN"/>
              </w:rPr>
              <w:t>18</w:t>
            </w:r>
            <w:r>
              <w:rPr>
                <w:rFonts w:hint="eastAsia" w:ascii="宋体" w:hAnsi="宋体" w:cs="宋体"/>
                <w:szCs w:val="21"/>
                <w:shd w:val="clear" w:color="auto" w:fill="FFFFFF"/>
              </w:rPr>
              <w:t>万元；</w:t>
            </w:r>
          </w:p>
          <w:p w14:paraId="3781D0F9">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本项目以人民币报价。</w:t>
            </w:r>
          </w:p>
          <w:p w14:paraId="0A3AB92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88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1738"/>
              <w:gridCol w:w="1690"/>
              <w:gridCol w:w="1495"/>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956" w:type="dxa"/>
                  <w:tcBorders>
                    <w:tl2br w:val="single" w:color="auto" w:sz="4" w:space="0"/>
                  </w:tcBorders>
                </w:tcPr>
                <w:p w14:paraId="3E0EBA30">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1200785</wp:posOffset>
                            </wp:positionH>
                            <wp:positionV relativeFrom="paragraph">
                              <wp:posOffset>99060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55pt;margin-top:7.8pt;height:24.05pt;width:76.4pt;z-index:251659264;mso-width-relative:page;mso-height-relative:page;" fillcolor="#FFFFFF [3201]" filled="t" stroked="f" coordsize="21600,21600" o:gfxdata="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9pYa7V&#10;AAAACQEAAA8AAAAAAAAAAQAgAAAAIgAAAGRycy9kb3ducmV2LnhtbFBLAQIUABQAAAAIAIdO4kDc&#10;TRLkXAIAAJoEAAAOAAAAAAAAAAEAIAAAACQBAABkcnMvZTJvRG9jLnhtbFBLBQYAAAAABgAGAFkB&#10;AADyBQ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lang w:val="en-US" w:eastAsia="zh-CN"/>
                                          </w:rPr>
                                          <w:t>成交</w:t>
                                        </w:r>
                                        <w:r>
                                          <w:rPr>
                                            <w:rFonts w:hint="eastAsia"/>
                                            <w:b/>
                                            <w:bCs/>
                                          </w:rPr>
                                          <w:t>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lang w:val="en-US" w:eastAsia="zh-CN"/>
                                    </w:rPr>
                                    <w:t>成交</w:t>
                                  </w:r>
                                  <w:r>
                                    <w:rPr>
                                      <w:rFonts w:hint="eastAsia"/>
                                      <w:b/>
                                      <w:bCs/>
                                    </w:rPr>
                                    <w:t>金额</w:t>
                                  </w:r>
                                </w:p>
                              </w:txbxContent>
                            </v:textbox>
                          </v:shape>
                        </w:pict>
                      </mc:Fallback>
                    </mc:AlternateContent>
                  </w:r>
                </w:p>
              </w:tc>
              <w:tc>
                <w:tcPr>
                  <w:tcW w:w="1738" w:type="dxa"/>
                  <w:vAlign w:val="center"/>
                </w:tcPr>
                <w:p w14:paraId="474E5C36">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90" w:type="dxa"/>
                  <w:vAlign w:val="center"/>
                </w:tcPr>
                <w:p w14:paraId="243451C5">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495" w:type="dxa"/>
                  <w:vAlign w:val="center"/>
                </w:tcPr>
                <w:p w14:paraId="0631B75B">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56" w:type="dxa"/>
                  <w:vAlign w:val="center"/>
                </w:tcPr>
                <w:p w14:paraId="75249740">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8" w:type="dxa"/>
                  <w:vAlign w:val="center"/>
                </w:tcPr>
                <w:p w14:paraId="17CB70A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90" w:type="dxa"/>
                  <w:vAlign w:val="center"/>
                </w:tcPr>
                <w:p w14:paraId="72ADA0F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495" w:type="dxa"/>
                  <w:vAlign w:val="center"/>
                </w:tcPr>
                <w:p w14:paraId="0A06007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35374A7D">
            <w:pPr>
              <w:widowControl/>
              <w:snapToGrid w:val="0"/>
              <w:spacing w:line="440" w:lineRule="exact"/>
              <w:jc w:val="left"/>
              <w:rPr>
                <w:rFonts w:hint="eastAsia" w:ascii="宋体" w:hAnsi="宋体" w:cs="宋体"/>
                <w:kern w:val="0"/>
                <w:szCs w:val="21"/>
              </w:rPr>
            </w:pPr>
          </w:p>
        </w:tc>
      </w:tr>
      <w:tr w14:paraId="53087B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A5FF3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D22DF">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591FFE1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845B39">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483D4A">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4DF0A4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1D8599">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060B0C0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3EE2EA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42617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508AD065">
            <w:pPr>
              <w:widowControl/>
              <w:spacing w:line="460" w:lineRule="atLeast"/>
              <w:rPr>
                <w:rFonts w:hint="eastAsia" w:ascii="宋体" w:hAnsi="宋体" w:cs="宋体"/>
                <w:kern w:val="0"/>
                <w:szCs w:val="21"/>
              </w:rPr>
            </w:pPr>
            <w:r>
              <w:rPr>
                <w:rFonts w:hint="eastAsia" w:ascii="宋体" w:hAnsi="宋体" w:cs="宋体"/>
                <w:szCs w:val="21"/>
              </w:rPr>
              <w:t>专家确定</w:t>
            </w:r>
            <w:r>
              <w:rPr>
                <w:rFonts w:hint="eastAsia" w:ascii="宋体" w:hAnsi="宋体" w:cs="宋体"/>
                <w:kern w:val="0"/>
                <w:szCs w:val="21"/>
              </w:rPr>
              <w:t>方式：由评审专家、采购人代表组成</w:t>
            </w:r>
          </w:p>
        </w:tc>
      </w:tr>
      <w:tr w14:paraId="79FED84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EC2CE3">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364505">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157E2F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C5BCE2">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6CD28B">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13E8C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332DC6F">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2E8AC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77471C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A73A12">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D957D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79FC3B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B27C0D">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F40EF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36C0C88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12013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32FFE44">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2859899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BFF4">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8819E6">
            <w:pPr>
              <w:widowControl/>
              <w:spacing w:line="440" w:lineRule="exact"/>
              <w:jc w:val="left"/>
              <w:textAlignment w:val="bottom"/>
              <w:rPr>
                <w:rFonts w:hint="eastAsia"/>
                <w:szCs w:val="21"/>
              </w:rPr>
            </w:pPr>
            <w:r>
              <w:rPr>
                <w:rFonts w:hint="eastAsia" w:ascii="宋体" w:hAnsi="宋体" w:eastAsia="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03F820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105FC0A">
            <w:pPr>
              <w:widowControl/>
              <w:spacing w:line="460" w:lineRule="atLeast"/>
              <w:jc w:val="center"/>
              <w:rPr>
                <w:rFonts w:hint="eastAsia" w:ascii="宋体" w:hAnsi="宋体" w:cs="宋体"/>
                <w:kern w:val="0"/>
                <w:szCs w:val="21"/>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3EE1D8">
            <w:pPr>
              <w:widowControl/>
              <w:spacing w:line="360" w:lineRule="auto"/>
              <w:jc w:val="left"/>
              <w:rPr>
                <w:rFonts w:hint="eastAsia" w:ascii="宋体" w:hAnsi="宋体" w:cs="宋体"/>
                <w:kern w:val="0"/>
                <w:szCs w:val="21"/>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5399FEC2">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A605AD">
            <w:pPr>
              <w:widowControl/>
              <w:snapToGrid w:val="0"/>
              <w:spacing w:line="360" w:lineRule="auto"/>
              <w:jc w:val="center"/>
              <w:rPr>
                <w:rFonts w:hint="eastAsia" w:ascii="宋体" w:hAnsi="宋体" w:cs="宋体"/>
                <w:kern w:val="0"/>
                <w:szCs w:val="21"/>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771C3C">
            <w:pPr>
              <w:spacing w:line="360" w:lineRule="auto"/>
              <w:rPr>
                <w:rFonts w:hint="eastAsia" w:ascii="宋体" w:hAnsi="宋体" w:cs="宋体"/>
                <w:kern w:val="0"/>
                <w:szCs w:val="21"/>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0E1CB0FD">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96B51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4DD3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920E355">
            <w:pPr>
              <w:widowControl/>
              <w:spacing w:line="360" w:lineRule="auto"/>
              <w:jc w:val="left"/>
              <w:textAlignment w:val="bottom"/>
              <w:rPr>
                <w:rFonts w:hint="eastAsia" w:ascii="宋体" w:hAnsi="宋体" w:eastAsia="宋体" w:cs="宋体"/>
                <w:bCs/>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AA80A5E">
      <w:pPr>
        <w:rPr>
          <w:rFonts w:hint="eastAsia" w:ascii="宋体" w:hAnsi="宋体" w:cs="宋体"/>
        </w:rPr>
      </w:pPr>
    </w:p>
    <w:p w14:paraId="67668F1C">
      <w:pPr>
        <w:snapToGrid w:val="0"/>
        <w:spacing w:line="360" w:lineRule="auto"/>
        <w:jc w:val="center"/>
        <w:outlineLvl w:val="1"/>
        <w:rPr>
          <w:rFonts w:hint="eastAsia" w:ascii="宋体" w:hAnsi="宋体" w:cs="宋体"/>
          <w:kern w:val="0"/>
          <w:sz w:val="24"/>
        </w:rPr>
      </w:pPr>
      <w:bookmarkStart w:id="57" w:name="_Toc8594"/>
      <w:bookmarkStart w:id="58" w:name="_Toc4700"/>
      <w:bookmarkStart w:id="59" w:name="_Toc16669"/>
      <w:r>
        <w:rPr>
          <w:rFonts w:hint="eastAsia" w:ascii="宋体" w:hAnsi="宋体" w:cs="宋体"/>
          <w:b/>
          <w:bCs/>
          <w:kern w:val="0"/>
          <w:sz w:val="28"/>
          <w:szCs w:val="28"/>
        </w:rPr>
        <w:t>一 、说 明</w:t>
      </w:r>
    </w:p>
    <w:p w14:paraId="79653B0F">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233207E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本竞争性磋商文件仅适用于采购公告中所叙述项目的服务采购。</w:t>
      </w:r>
    </w:p>
    <w:p w14:paraId="2CED8E7A">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5D55BE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2.1“采购人”系指驻马店市中心医院。</w:t>
      </w:r>
    </w:p>
    <w:p w14:paraId="7BEFB7B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2.2“供应商”系指领取了本竞争性磋商文件，且已经提交本次响应文件的供应商。</w:t>
      </w:r>
    </w:p>
    <w:p w14:paraId="245C454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57AAC8A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2.4“服务”系指供应商按竞争性磋商文件规定向采购人提供的一切工作内容。</w:t>
      </w:r>
    </w:p>
    <w:p w14:paraId="0B744F9B">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w:t>
      </w:r>
      <w:r>
        <w:rPr>
          <w:rFonts w:hint="eastAsia" w:ascii="宋体" w:hAnsi="宋体" w:cs="宋体"/>
          <w:b/>
          <w:bCs/>
          <w:kern w:val="0"/>
          <w:szCs w:val="21"/>
          <w:lang w:eastAsia="zh-CN"/>
        </w:rPr>
        <w:t>（</w:t>
      </w:r>
      <w:r>
        <w:rPr>
          <w:rFonts w:hint="eastAsia" w:ascii="宋体" w:hAnsi="宋体" w:cs="宋体"/>
          <w:b/>
          <w:bCs/>
          <w:kern w:val="0"/>
          <w:szCs w:val="21"/>
          <w:lang w:val="en-US" w:eastAsia="zh-CN"/>
        </w:rPr>
        <w:t>最高限价</w:t>
      </w:r>
      <w:r>
        <w:rPr>
          <w:rFonts w:hint="eastAsia" w:ascii="宋体" w:hAnsi="宋体" w:cs="宋体"/>
          <w:b/>
          <w:bCs/>
          <w:kern w:val="0"/>
          <w:szCs w:val="21"/>
          <w:lang w:eastAsia="zh-CN"/>
        </w:rPr>
        <w:t>）</w:t>
      </w:r>
      <w:r>
        <w:rPr>
          <w:rFonts w:hint="eastAsia" w:ascii="宋体" w:hAnsi="宋体" w:cs="宋体"/>
          <w:b/>
          <w:bCs/>
          <w:kern w:val="0"/>
          <w:szCs w:val="21"/>
        </w:rPr>
        <w:t>：</w:t>
      </w:r>
      <w:r>
        <w:rPr>
          <w:rFonts w:hint="eastAsia" w:ascii="宋体" w:hAnsi="宋体" w:cs="宋体"/>
          <w:b/>
          <w:bCs/>
          <w:kern w:val="0"/>
          <w:szCs w:val="21"/>
          <w:lang w:val="en-US" w:eastAsia="zh-CN"/>
        </w:rPr>
        <w:t>18</w:t>
      </w:r>
      <w:r>
        <w:rPr>
          <w:rFonts w:hint="eastAsia" w:ascii="宋体" w:hAnsi="宋体" w:cs="宋体"/>
          <w:b/>
          <w:bCs/>
          <w:kern w:val="0"/>
          <w:szCs w:val="21"/>
        </w:rPr>
        <w:t>万元。</w:t>
      </w:r>
    </w:p>
    <w:p w14:paraId="5C9B1E7F">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DD9094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17F58C7">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785EE3F4">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szCs w:val="21"/>
          <w:shd w:val="clear" w:color="auto" w:fill="FFFFFF"/>
          <w:lang w:eastAsia="zh-CN"/>
        </w:rPr>
        <w:t>；</w:t>
      </w:r>
    </w:p>
    <w:p w14:paraId="2C27C79A">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9E7F48E">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0FB1877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089A2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提供提供承诺函</w:t>
      </w:r>
      <w:r>
        <w:rPr>
          <w:rFonts w:hint="eastAsia" w:ascii="宋体" w:hAnsi="宋体" w:cs="宋体"/>
          <w:szCs w:val="21"/>
          <w:shd w:val="clear" w:color="auto" w:fill="FFFFFF"/>
        </w:rPr>
        <w:t>）。</w:t>
      </w:r>
    </w:p>
    <w:p w14:paraId="24259098">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cs="宋体"/>
          <w:szCs w:val="21"/>
          <w:shd w:val="clear" w:color="auto" w:fill="FFFFFF"/>
          <w:lang w:val="en-US" w:eastAsia="zh-CN"/>
        </w:rPr>
        <w:t>4.8、</w:t>
      </w:r>
      <w:r>
        <w:rPr>
          <w:rFonts w:hint="eastAsia" w:ascii="宋体" w:hAnsi="宋体" w:eastAsia="宋体" w:cs="宋体"/>
          <w:color w:val="auto"/>
          <w:szCs w:val="21"/>
          <w:shd w:val="clear" w:color="auto" w:fill="FFFFFF"/>
        </w:rPr>
        <w:t>特定资格要求：</w:t>
      </w:r>
    </w:p>
    <w:p w14:paraId="31550DDC">
      <w:pPr>
        <w:widowControl/>
        <w:tabs>
          <w:tab w:val="left" w:pos="840"/>
        </w:tabs>
        <w:snapToGrid w:val="0"/>
        <w:spacing w:line="324" w:lineRule="auto"/>
        <w:ind w:firstLine="420" w:firstLineChars="200"/>
        <w:jc w:val="left"/>
        <w:rPr>
          <w:rFonts w:hint="default" w:ascii="宋体" w:hAnsi="宋体" w:eastAsia="宋体" w:cs="宋体"/>
          <w:szCs w:val="21"/>
          <w:shd w:val="clear" w:color="auto" w:fill="FFFFFF"/>
          <w:lang w:val="en-US" w:eastAsia="zh-CN"/>
        </w:rPr>
      </w:pPr>
      <w:r>
        <w:rPr>
          <w:rFonts w:hint="eastAsia" w:ascii="宋体" w:hAnsi="宋体" w:eastAsia="宋体" w:cs="宋体"/>
          <w:color w:val="auto"/>
          <w:szCs w:val="21"/>
          <w:shd w:val="clear" w:color="auto" w:fill="FFFFFF"/>
          <w:lang w:val="en-US" w:eastAsia="zh-CN"/>
        </w:rPr>
        <w:t>供应商</w:t>
      </w:r>
      <w:r>
        <w:rPr>
          <w:rFonts w:hint="eastAsia" w:ascii="宋体" w:hAnsi="宋体" w:eastAsia="宋体" w:cs="宋体"/>
          <w:color w:val="auto"/>
          <w:szCs w:val="21"/>
          <w:shd w:val="clear" w:color="auto" w:fill="FFFFFF"/>
          <w:lang w:val="zh-CN" w:eastAsia="zh-CN"/>
        </w:rPr>
        <w:t>须</w:t>
      </w:r>
      <w:r>
        <w:rPr>
          <w:rFonts w:hint="eastAsia" w:ascii="宋体" w:hAnsi="宋体" w:cs="宋体"/>
          <w:color w:val="auto"/>
          <w:szCs w:val="21"/>
          <w:shd w:val="clear" w:color="auto" w:fill="FFFFFF"/>
          <w:lang w:val="en-US" w:eastAsia="zh-CN"/>
        </w:rPr>
        <w:t>具有</w:t>
      </w:r>
      <w:r>
        <w:rPr>
          <w:rFonts w:hint="eastAsia" w:ascii="宋体" w:hAnsi="宋体" w:cs="宋体"/>
          <w:color w:val="auto"/>
          <w:szCs w:val="21"/>
          <w:highlight w:val="none"/>
          <w:shd w:val="clear" w:color="auto" w:fill="FFFFFF"/>
        </w:rPr>
        <w:t>医疗器械经营许可证</w:t>
      </w:r>
      <w:r>
        <w:rPr>
          <w:rFonts w:hint="eastAsia" w:ascii="宋体" w:hAnsi="宋体" w:cs="宋体"/>
          <w:color w:val="auto"/>
          <w:szCs w:val="21"/>
          <w:highlight w:val="none"/>
          <w:shd w:val="clear" w:color="auto" w:fill="FFFFFF"/>
          <w:lang w:val="en-US" w:eastAsia="zh-CN"/>
        </w:rPr>
        <w:t>或</w:t>
      </w:r>
      <w:r>
        <w:rPr>
          <w:rFonts w:hint="eastAsia" w:ascii="宋体" w:hAnsi="宋体" w:cs="宋体"/>
          <w:color w:val="auto"/>
          <w:szCs w:val="21"/>
          <w:highlight w:val="none"/>
          <w:shd w:val="clear" w:color="auto" w:fill="FFFFFF"/>
        </w:rPr>
        <w:t>医疗器械生产许可证</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shd w:val="clear" w:color="auto" w:fill="FFFFFF"/>
          <w:lang w:val="zh-CN" w:eastAsia="zh-CN"/>
        </w:rPr>
        <w:t>是在中华人民共和国境内注册的设备原制造厂商或原制造厂商授权的单位或具备相关设备维修能力的单位（提供证明文件）</w:t>
      </w:r>
      <w:r>
        <w:rPr>
          <w:rFonts w:hint="eastAsia" w:ascii="宋体" w:hAnsi="宋体" w:cs="宋体"/>
          <w:szCs w:val="21"/>
          <w:shd w:val="clear" w:color="auto" w:fill="FFFFFF"/>
          <w:lang w:val="en-US" w:eastAsia="zh-CN"/>
        </w:rPr>
        <w:t>。</w:t>
      </w:r>
    </w:p>
    <w:p w14:paraId="726D2F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w:t>
      </w:r>
      <w:r>
        <w:rPr>
          <w:rFonts w:hint="eastAsia" w:ascii="宋体" w:hAnsi="宋体" w:cs="宋体"/>
          <w:b/>
          <w:bCs/>
          <w:kern w:val="0"/>
          <w:szCs w:val="21"/>
          <w:lang w:val="en-US" w:eastAsia="zh-CN"/>
        </w:rPr>
        <w:t>磋商</w:t>
      </w:r>
      <w:r>
        <w:rPr>
          <w:rFonts w:hint="eastAsia" w:ascii="宋体" w:hAnsi="宋体" w:cs="宋体"/>
          <w:b/>
          <w:bCs/>
          <w:kern w:val="0"/>
          <w:szCs w:val="21"/>
        </w:rPr>
        <w:t>费用</w:t>
      </w:r>
    </w:p>
    <w:p w14:paraId="5FF11D5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w:t>
      </w:r>
      <w:r>
        <w:rPr>
          <w:rFonts w:hint="eastAsia" w:ascii="宋体" w:hAnsi="宋体" w:cs="宋体"/>
          <w:kern w:val="0"/>
          <w:szCs w:val="21"/>
          <w:lang w:val="en-US" w:eastAsia="zh-CN"/>
        </w:rPr>
        <w:t>磋商</w:t>
      </w:r>
      <w:r>
        <w:rPr>
          <w:rFonts w:hint="eastAsia" w:ascii="宋体" w:hAnsi="宋体" w:cs="宋体"/>
          <w:kern w:val="0"/>
          <w:szCs w:val="21"/>
        </w:rPr>
        <w:t>结果如何，供应商均应自行承担所有与</w:t>
      </w:r>
      <w:r>
        <w:rPr>
          <w:rFonts w:hint="eastAsia" w:ascii="宋体" w:hAnsi="宋体" w:cs="宋体"/>
          <w:kern w:val="0"/>
          <w:szCs w:val="21"/>
          <w:lang w:val="en-US" w:eastAsia="zh-CN"/>
        </w:rPr>
        <w:t>磋商</w:t>
      </w:r>
      <w:r>
        <w:rPr>
          <w:rFonts w:hint="eastAsia" w:ascii="宋体" w:hAnsi="宋体" w:cs="宋体"/>
          <w:kern w:val="0"/>
          <w:szCs w:val="21"/>
        </w:rPr>
        <w:t>有关的全部费用。</w:t>
      </w:r>
    </w:p>
    <w:p w14:paraId="12D3D1AC">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w:t>
      </w:r>
      <w:r>
        <w:rPr>
          <w:rFonts w:hint="eastAsia" w:ascii="宋体" w:hAnsi="宋体" w:cs="宋体"/>
          <w:b/>
          <w:bCs/>
          <w:kern w:val="0"/>
          <w:szCs w:val="21"/>
          <w:lang w:val="en-US" w:eastAsia="zh-CN"/>
        </w:rPr>
        <w:t>磋商</w:t>
      </w:r>
      <w:r>
        <w:rPr>
          <w:rFonts w:hint="eastAsia" w:ascii="宋体" w:hAnsi="宋体" w:cs="宋体"/>
          <w:b/>
          <w:bCs/>
          <w:kern w:val="0"/>
          <w:szCs w:val="21"/>
        </w:rPr>
        <w:t>：本项目不接受联合体</w:t>
      </w:r>
      <w:r>
        <w:rPr>
          <w:rFonts w:hint="eastAsia" w:ascii="宋体" w:hAnsi="宋体" w:cs="宋体"/>
          <w:b/>
          <w:bCs/>
          <w:kern w:val="0"/>
          <w:szCs w:val="21"/>
          <w:lang w:val="en-US" w:eastAsia="zh-CN"/>
        </w:rPr>
        <w:t>磋商</w:t>
      </w:r>
      <w:r>
        <w:rPr>
          <w:rFonts w:hint="eastAsia" w:ascii="宋体" w:hAnsi="宋体" w:cs="宋体"/>
          <w:b/>
          <w:bCs/>
          <w:kern w:val="0"/>
          <w:szCs w:val="21"/>
        </w:rPr>
        <w:t>。</w:t>
      </w:r>
    </w:p>
    <w:p w14:paraId="75B66909">
      <w:pPr>
        <w:snapToGrid w:val="0"/>
        <w:spacing w:line="360" w:lineRule="auto"/>
        <w:ind w:firstLine="420"/>
        <w:jc w:val="left"/>
        <w:rPr>
          <w:rFonts w:hint="eastAsia" w:ascii="宋体" w:hAnsi="宋体" w:eastAsia="宋体" w:cs="宋体"/>
          <w:kern w:val="0"/>
          <w:szCs w:val="21"/>
          <w:lang w:eastAsia="zh-CN"/>
        </w:rPr>
      </w:pPr>
      <w:r>
        <w:rPr>
          <w:rFonts w:hint="eastAsia" w:ascii="宋体" w:hAnsi="宋体" w:cs="宋体"/>
          <w:b/>
          <w:bCs/>
          <w:kern w:val="0"/>
          <w:szCs w:val="21"/>
        </w:rPr>
        <w:t>7.关联企业</w:t>
      </w:r>
      <w:r>
        <w:rPr>
          <w:rFonts w:hint="eastAsia" w:ascii="宋体" w:hAnsi="宋体" w:cs="宋体"/>
          <w:b/>
          <w:bCs/>
          <w:kern w:val="0"/>
          <w:szCs w:val="21"/>
          <w:lang w:val="en-US" w:eastAsia="zh-CN"/>
        </w:rPr>
        <w:t>磋商</w:t>
      </w:r>
    </w:p>
    <w:p w14:paraId="7B49DD0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18F9867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w:t>
      </w:r>
      <w:r>
        <w:rPr>
          <w:rFonts w:hint="eastAsia" w:ascii="宋体" w:hAnsi="宋体" w:cs="宋体"/>
          <w:kern w:val="0"/>
          <w:szCs w:val="21"/>
          <w:lang w:val="en-US" w:eastAsia="zh-CN"/>
        </w:rPr>
        <w:t>磋商</w:t>
      </w:r>
      <w:r>
        <w:rPr>
          <w:rFonts w:hint="eastAsia" w:ascii="宋体" w:hAnsi="宋体" w:cs="宋体"/>
          <w:kern w:val="0"/>
          <w:szCs w:val="21"/>
        </w:rPr>
        <w:t>。单位负责人为同一人或者存在直接控股、管理关系的不同供应商，不得参加同一合同项下的</w:t>
      </w:r>
      <w:r>
        <w:rPr>
          <w:rFonts w:hint="eastAsia" w:ascii="宋体" w:hAnsi="宋体" w:cs="宋体"/>
          <w:kern w:val="0"/>
          <w:szCs w:val="21"/>
          <w:lang w:val="en-US" w:eastAsia="zh-CN"/>
        </w:rPr>
        <w:t>磋商</w:t>
      </w:r>
      <w:r>
        <w:rPr>
          <w:rFonts w:hint="eastAsia" w:ascii="宋体" w:hAnsi="宋体" w:cs="宋体"/>
          <w:kern w:val="0"/>
          <w:szCs w:val="21"/>
        </w:rPr>
        <w:t>。一经发现，将导致</w:t>
      </w:r>
      <w:r>
        <w:rPr>
          <w:rFonts w:hint="eastAsia" w:ascii="宋体" w:hAnsi="宋体" w:cs="宋体"/>
          <w:kern w:val="0"/>
          <w:szCs w:val="21"/>
          <w:lang w:val="en-US" w:eastAsia="zh-CN"/>
        </w:rPr>
        <w:t>磋商</w:t>
      </w:r>
      <w:r>
        <w:rPr>
          <w:rFonts w:hint="eastAsia" w:ascii="宋体" w:hAnsi="宋体" w:cs="宋体"/>
          <w:kern w:val="0"/>
          <w:szCs w:val="21"/>
        </w:rPr>
        <w:t>同时被拒绝。</w:t>
      </w:r>
    </w:p>
    <w:p w14:paraId="32FCE63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7CEEF98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2C71CDE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583CFF9F">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0FD7D3E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w:t>
      </w:r>
      <w:r>
        <w:rPr>
          <w:rFonts w:hint="eastAsia" w:ascii="宋体" w:hAnsi="宋体" w:cs="宋体"/>
          <w:kern w:val="0"/>
          <w:szCs w:val="21"/>
          <w:lang w:val="en-US" w:eastAsia="zh-CN"/>
        </w:rPr>
        <w:t>磋商</w:t>
      </w:r>
      <w:r>
        <w:rPr>
          <w:rFonts w:hint="eastAsia" w:ascii="宋体" w:hAnsi="宋体" w:cs="宋体"/>
          <w:kern w:val="0"/>
          <w:szCs w:val="21"/>
        </w:rPr>
        <w:t>所使用的资格、信誉、荣誉、业绩与企业认证必须为本法人所拥有。  </w:t>
      </w:r>
    </w:p>
    <w:p w14:paraId="7763FDF4">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w:t>
      </w:r>
      <w:r>
        <w:rPr>
          <w:rFonts w:hint="eastAsia" w:ascii="宋体" w:hAnsi="宋体" w:cs="宋体"/>
          <w:kern w:val="0"/>
          <w:szCs w:val="21"/>
          <w:lang w:val="en-US" w:eastAsia="zh-CN"/>
        </w:rPr>
        <w:t>磋商</w:t>
      </w:r>
      <w:r>
        <w:rPr>
          <w:rFonts w:hint="eastAsia" w:ascii="宋体" w:hAnsi="宋体" w:cs="宋体"/>
          <w:kern w:val="0"/>
          <w:szCs w:val="21"/>
        </w:rPr>
        <w:t>。</w:t>
      </w:r>
    </w:p>
    <w:p w14:paraId="757BE5B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AD7DEE6">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w:t>
      </w:r>
      <w:r>
        <w:rPr>
          <w:rFonts w:hint="eastAsia" w:ascii="宋体" w:hAnsi="宋体" w:cs="宋体"/>
          <w:kern w:val="0"/>
          <w:szCs w:val="21"/>
          <w:lang w:val="en-US" w:eastAsia="zh-CN"/>
        </w:rPr>
        <w:t>磋商</w:t>
      </w:r>
      <w:r>
        <w:rPr>
          <w:rFonts w:hint="eastAsia" w:ascii="宋体" w:hAnsi="宋体" w:cs="宋体"/>
          <w:kern w:val="0"/>
          <w:szCs w:val="21"/>
        </w:rPr>
        <w:t>活动中提供虚假材料或从事其他违法活动的,其</w:t>
      </w:r>
      <w:r>
        <w:rPr>
          <w:rFonts w:hint="eastAsia" w:ascii="宋体" w:hAnsi="宋体" w:cs="宋体"/>
          <w:kern w:val="0"/>
          <w:szCs w:val="21"/>
          <w:lang w:val="en-US" w:eastAsia="zh-CN"/>
        </w:rPr>
        <w:t>磋商</w:t>
      </w:r>
      <w:r>
        <w:rPr>
          <w:rFonts w:hint="eastAsia" w:ascii="宋体" w:hAnsi="宋体" w:cs="宋体"/>
          <w:kern w:val="0"/>
          <w:szCs w:val="21"/>
        </w:rPr>
        <w:t>无效，由相关部门查处。</w:t>
      </w:r>
    </w:p>
    <w:p w14:paraId="6E276A12">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9D7907B">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177F1AB">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0EEAF93">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0E43403C">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供应商没有按照竞争性磋商文件要求提供全部资料，或者供应商没有对竞争性磋商文件在各方面都作出实质性响应是供应商的风险，并可能导致其</w:t>
      </w:r>
      <w:r>
        <w:rPr>
          <w:rFonts w:hint="eastAsia" w:ascii="宋体" w:hAnsi="宋体" w:cs="宋体"/>
          <w:kern w:val="0"/>
          <w:szCs w:val="21"/>
          <w:lang w:val="en-US" w:eastAsia="zh-CN"/>
        </w:rPr>
        <w:t>磋商</w:t>
      </w:r>
      <w:r>
        <w:rPr>
          <w:rFonts w:hint="eastAsia" w:ascii="宋体" w:hAnsi="宋体" w:cs="宋体"/>
          <w:kern w:val="0"/>
          <w:szCs w:val="21"/>
        </w:rPr>
        <w:t>被拒绝。</w:t>
      </w:r>
    </w:p>
    <w:p w14:paraId="18387EFE">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二、竞争性磋商文件</w:t>
      </w:r>
    </w:p>
    <w:p w14:paraId="52DF1B13">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12.竞争性磋商文件的构成。本竞争性磋商文件由以下部分组成：</w:t>
      </w:r>
    </w:p>
    <w:p w14:paraId="55C36FE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0DCA58D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34325D2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37A4BCC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65BBBEA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0F2EEDC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03BDDB04">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13.竞争性磋商文件的澄清与修改</w:t>
      </w:r>
    </w:p>
    <w:p w14:paraId="55DDBFB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采购人对已发出的竞争性磋商文件进行必要澄清、修改或补充的，应当在竞争性磋商文件要求提交响应文件截止时间3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前，在原采购公告发布相关媒体上发布更正公告或变更公告。竞争性磋商文件公示期间对竞争性磋商文件进行的澄清、修改或补充不受上述限制。</w:t>
      </w:r>
    </w:p>
    <w:p w14:paraId="3C7CF58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竞争性磋商文件澄清、修改或补充的内容为竞争性磋商文件的组成部分。</w:t>
      </w:r>
    </w:p>
    <w:p w14:paraId="57FD74CA">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竞争性磋商文件的澄清、修改或补充都应以法定形式发布。采购人未对竞争性磋商文件进行的澄清、修改或补充无效，评标时不予认可。</w:t>
      </w:r>
    </w:p>
    <w:p w14:paraId="35463A4E">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可以视采购具体情况延长磋商截止时间和磋商时间，但至少应当在竞争性磋商文件要求提交响应文件的截止时间3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0785FF64">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B51441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42580CF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0762B3E2">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0AD1CB7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7E828207">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33AB910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C3F7D4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57207C37">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16.1</w:t>
      </w:r>
      <w:r>
        <w:rPr>
          <w:rFonts w:hint="eastAsia" w:ascii="宋体" w:hAnsi="宋体" w:cs="宋体"/>
          <w:kern w:val="0"/>
          <w:szCs w:val="21"/>
          <w:highlight w:val="none"/>
        </w:rPr>
        <w:t>、竞争性磋商响应书</w:t>
      </w:r>
    </w:p>
    <w:p w14:paraId="4F39B114">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16.2</w:t>
      </w:r>
      <w:r>
        <w:rPr>
          <w:rFonts w:hint="eastAsia" w:ascii="宋体" w:hAnsi="宋体" w:cs="宋体"/>
          <w:kern w:val="0"/>
          <w:szCs w:val="21"/>
          <w:highlight w:val="none"/>
        </w:rPr>
        <w:t>、初次报价一览表</w:t>
      </w:r>
    </w:p>
    <w:p w14:paraId="02F4A056">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16.3</w:t>
      </w:r>
      <w:r>
        <w:rPr>
          <w:rFonts w:hint="eastAsia" w:ascii="宋体" w:hAnsi="宋体" w:cs="宋体"/>
          <w:kern w:val="0"/>
          <w:szCs w:val="21"/>
          <w:highlight w:val="none"/>
        </w:rPr>
        <w:t>、报价明细表</w:t>
      </w:r>
    </w:p>
    <w:p w14:paraId="1206DC2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16.4</w:t>
      </w:r>
      <w:r>
        <w:rPr>
          <w:rFonts w:hint="eastAsia" w:ascii="宋体" w:hAnsi="宋体" w:cs="宋体"/>
          <w:kern w:val="0"/>
          <w:szCs w:val="21"/>
          <w:highlight w:val="none"/>
        </w:rPr>
        <w:t>、技术响应表</w:t>
      </w:r>
    </w:p>
    <w:p w14:paraId="15938AD5">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16.5</w:t>
      </w:r>
      <w:r>
        <w:rPr>
          <w:rFonts w:hint="eastAsia" w:ascii="宋体" w:hAnsi="宋体" w:cs="宋体"/>
          <w:kern w:val="0"/>
          <w:szCs w:val="21"/>
          <w:highlight w:val="none"/>
        </w:rPr>
        <w:t>、商务响应表</w:t>
      </w:r>
    </w:p>
    <w:p w14:paraId="4D5C2D08">
      <w:pPr>
        <w:snapToGrid w:val="0"/>
        <w:spacing w:line="360" w:lineRule="auto"/>
        <w:ind w:left="208" w:leftChars="99" w:firstLine="210" w:firstLineChars="100"/>
        <w:jc w:val="left"/>
        <w:rPr>
          <w:rFonts w:ascii="宋体" w:cs="宋体"/>
          <w:kern w:val="0"/>
          <w:szCs w:val="21"/>
          <w:highlight w:val="none"/>
        </w:rPr>
      </w:pPr>
      <w:r>
        <w:rPr>
          <w:rFonts w:ascii="宋体" w:hAnsi="宋体" w:cs="宋体"/>
          <w:kern w:val="0"/>
          <w:szCs w:val="21"/>
          <w:highlight w:val="none"/>
        </w:rPr>
        <w:t>16.6</w:t>
      </w:r>
      <w:r>
        <w:rPr>
          <w:rFonts w:hint="eastAsia" w:ascii="宋体" w:hAnsi="宋体" w:cs="宋体"/>
          <w:kern w:val="0"/>
          <w:szCs w:val="21"/>
          <w:highlight w:val="none"/>
        </w:rPr>
        <w:t>、法定代表人身份证明</w:t>
      </w:r>
    </w:p>
    <w:p w14:paraId="1096BFC0">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16.7</w:t>
      </w:r>
      <w:r>
        <w:rPr>
          <w:rFonts w:hint="eastAsia" w:ascii="宋体" w:hAnsi="宋体" w:cs="宋体"/>
          <w:kern w:val="0"/>
          <w:szCs w:val="21"/>
          <w:highlight w:val="none"/>
        </w:rPr>
        <w:t>、法定代表人授权书</w:t>
      </w:r>
    </w:p>
    <w:p w14:paraId="67C42302">
      <w:pPr>
        <w:snapToGrid w:val="0"/>
        <w:spacing w:line="360" w:lineRule="auto"/>
        <w:ind w:firstLine="420" w:firstLineChars="200"/>
        <w:jc w:val="left"/>
        <w:rPr>
          <w:rFonts w:ascii="宋体" w:cs="宋体"/>
          <w:kern w:val="0"/>
          <w:szCs w:val="21"/>
          <w:highlight w:val="none"/>
        </w:rPr>
      </w:pPr>
      <w:r>
        <w:rPr>
          <w:rFonts w:ascii="宋体" w:hAnsi="宋体" w:cs="宋体"/>
          <w:kern w:val="0"/>
          <w:szCs w:val="21"/>
          <w:highlight w:val="none"/>
        </w:rPr>
        <w:t>16.8</w:t>
      </w:r>
      <w:r>
        <w:rPr>
          <w:rFonts w:hint="eastAsia" w:ascii="宋体" w:hAnsi="宋体" w:cs="宋体"/>
          <w:kern w:val="0"/>
          <w:szCs w:val="21"/>
          <w:highlight w:val="none"/>
        </w:rPr>
        <w:t>、证明文件</w:t>
      </w:r>
    </w:p>
    <w:p w14:paraId="4B7D202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1808AD3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特殊情况下采购人可于</w:t>
      </w:r>
      <w:r>
        <w:rPr>
          <w:rFonts w:hint="eastAsia" w:ascii="宋体" w:hAnsi="宋体" w:cs="宋体"/>
          <w:kern w:val="0"/>
          <w:szCs w:val="21"/>
          <w:lang w:val="en-US" w:eastAsia="zh-CN"/>
        </w:rPr>
        <w:t>磋商</w:t>
      </w:r>
      <w:r>
        <w:rPr>
          <w:rFonts w:hint="eastAsia" w:ascii="宋体" w:hAnsi="宋体" w:cs="宋体"/>
          <w:kern w:val="0"/>
          <w:szCs w:val="21"/>
        </w:rPr>
        <w:t>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4BEE14C">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w:t>
      </w:r>
      <w:r>
        <w:rPr>
          <w:rFonts w:hint="eastAsia" w:ascii="宋体" w:hAnsi="宋体" w:cs="宋体"/>
          <w:b/>
          <w:bCs/>
          <w:kern w:val="0"/>
          <w:szCs w:val="21"/>
          <w:lang w:val="en-US" w:eastAsia="zh-CN"/>
        </w:rPr>
        <w:t>磋商</w:t>
      </w:r>
      <w:r>
        <w:rPr>
          <w:rFonts w:hint="eastAsia" w:ascii="宋体" w:hAnsi="宋体" w:cs="宋体"/>
          <w:b/>
          <w:bCs/>
          <w:kern w:val="0"/>
          <w:szCs w:val="21"/>
        </w:rPr>
        <w:t>报价</w:t>
      </w:r>
    </w:p>
    <w:p w14:paraId="4C4694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磋商报价均以人民币元为计算单位。</w:t>
      </w:r>
    </w:p>
    <w:p w14:paraId="0CF70B1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5AF595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2E9DE84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初次报价一览表中标明的价格在政采购合同执行过程中是固定不变的，供应商不得以任何理由予以变更。以可调整的价格提交的</w:t>
      </w:r>
      <w:r>
        <w:rPr>
          <w:rFonts w:hint="eastAsia" w:ascii="宋体" w:hAnsi="宋体" w:cs="宋体"/>
          <w:kern w:val="0"/>
          <w:szCs w:val="21"/>
          <w:lang w:val="en-US" w:eastAsia="zh-CN"/>
        </w:rPr>
        <w:t>磋商</w:t>
      </w:r>
      <w:r>
        <w:rPr>
          <w:rFonts w:hint="eastAsia" w:ascii="宋体" w:hAnsi="宋体" w:cs="宋体"/>
          <w:kern w:val="0"/>
          <w:szCs w:val="21"/>
        </w:rPr>
        <w:t>将被作为无效</w:t>
      </w:r>
      <w:r>
        <w:rPr>
          <w:rFonts w:hint="eastAsia" w:ascii="宋体" w:hAnsi="宋体" w:cs="宋体"/>
          <w:kern w:val="0"/>
          <w:szCs w:val="21"/>
          <w:lang w:val="en-US" w:eastAsia="zh-CN"/>
        </w:rPr>
        <w:t>磋商</w:t>
      </w:r>
      <w:r>
        <w:rPr>
          <w:rFonts w:hint="eastAsia" w:ascii="宋体" w:hAnsi="宋体" w:cs="宋体"/>
          <w:kern w:val="0"/>
          <w:szCs w:val="21"/>
        </w:rPr>
        <w:t>处理。</w:t>
      </w:r>
    </w:p>
    <w:p w14:paraId="17E8F83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w:t>
      </w:r>
      <w:r>
        <w:rPr>
          <w:rFonts w:hint="eastAsia" w:ascii="宋体" w:hAnsi="宋体" w:cs="宋体"/>
          <w:kern w:val="0"/>
          <w:szCs w:val="21"/>
          <w:lang w:val="en-US" w:eastAsia="zh-CN"/>
        </w:rPr>
        <w:t>磋商</w:t>
      </w:r>
      <w:r>
        <w:rPr>
          <w:rFonts w:hint="eastAsia" w:ascii="宋体" w:hAnsi="宋体" w:cs="宋体"/>
          <w:kern w:val="0"/>
          <w:szCs w:val="21"/>
        </w:rPr>
        <w:t>报价。</w:t>
      </w:r>
    </w:p>
    <w:p w14:paraId="13273C9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1321F7B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039F9A72">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5DC2EB77">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40D12372">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响应文件应当对竞争性磋商文件有关服务期限、响应文件有效期、服务质量等实质性内容作出响应。</w:t>
      </w:r>
    </w:p>
    <w:p w14:paraId="234A1766">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6A79048B">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EE18F64">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5B6C2705">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58CAC15F">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321698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2863E660">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6C4B7817">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112893D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63C263A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2873BB21">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8E8059C">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4385F17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F4E92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w:t>
      </w:r>
      <w:r>
        <w:rPr>
          <w:rFonts w:hint="eastAsia" w:ascii="宋体" w:hAnsi="宋体" w:cs="宋体"/>
          <w:kern w:val="0"/>
          <w:szCs w:val="21"/>
          <w:lang w:val="en-US" w:eastAsia="zh-CN"/>
        </w:rPr>
        <w:t>磋商</w:t>
      </w:r>
      <w:r>
        <w:rPr>
          <w:rFonts w:hint="eastAsia" w:ascii="宋体" w:hAnsi="宋体" w:cs="宋体"/>
          <w:kern w:val="0"/>
          <w:szCs w:val="21"/>
        </w:rPr>
        <w:t>截止时间前，可以对所提交的响应文件进行补充、修改或者撤回，并书面通知采购人。补充、修改的内容和撤回通知应当按本须知要求签署、盖章、密封，并作为响应文件的组成部分。</w:t>
      </w:r>
    </w:p>
    <w:p w14:paraId="7A91DFC2">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w:t>
      </w:r>
      <w:r>
        <w:rPr>
          <w:rFonts w:hint="eastAsia" w:ascii="宋体" w:hAnsi="宋体" w:cs="宋体"/>
          <w:kern w:val="0"/>
          <w:szCs w:val="21"/>
          <w:lang w:val="en-US" w:eastAsia="zh-CN"/>
        </w:rPr>
        <w:t>磋商</w:t>
      </w:r>
      <w:r>
        <w:rPr>
          <w:rFonts w:hint="eastAsia" w:ascii="宋体" w:hAnsi="宋体" w:cs="宋体"/>
          <w:kern w:val="0"/>
          <w:szCs w:val="21"/>
        </w:rPr>
        <w:t>截止期后修改响应文件的，其</w:t>
      </w:r>
      <w:r>
        <w:rPr>
          <w:rFonts w:hint="eastAsia" w:ascii="宋体" w:hAnsi="宋体" w:cs="宋体"/>
          <w:kern w:val="0"/>
          <w:szCs w:val="21"/>
          <w:lang w:val="en-US" w:eastAsia="zh-CN"/>
        </w:rPr>
        <w:t>磋商</w:t>
      </w:r>
      <w:r>
        <w:rPr>
          <w:rFonts w:hint="eastAsia" w:ascii="宋体" w:hAnsi="宋体" w:cs="宋体"/>
          <w:kern w:val="0"/>
          <w:szCs w:val="21"/>
        </w:rPr>
        <w:t>将被拒绝。</w:t>
      </w:r>
    </w:p>
    <w:p w14:paraId="3426770D">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1B4463C2">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2C39F494">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3B6D12CE">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2A12FCA2">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A8F1058">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25.1对所有供应商的评估，都采用相同的程序和标准。评标过程将严格按照竞争性磋商文件的要求和条件进行。</w:t>
      </w:r>
    </w:p>
    <w:p w14:paraId="40FEBEC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646D957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0DCD33EA">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70109915">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4B9ED14F">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4B4C184C">
      <w:pPr>
        <w:pStyle w:val="30"/>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514A377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0ECE6A3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rPr>
        <w:t>25.3.6同时出现两种以上不一致的，按照前款规定的顺序修正。修正后的报价按照财政部87号令</w:t>
      </w:r>
      <w:r>
        <w:rPr>
          <w:rFonts w:hint="eastAsia" w:ascii="宋体" w:hAnsi="宋体" w:cs="宋体"/>
          <w:kern w:val="0"/>
          <w:szCs w:val="21"/>
          <w:highlight w:val="none"/>
        </w:rPr>
        <w:t>第五十一条第二款的规定经供应商确认后产生约束力，供应商不确认的，其</w:t>
      </w:r>
      <w:r>
        <w:rPr>
          <w:rFonts w:hint="eastAsia" w:ascii="宋体" w:hAnsi="宋体" w:cs="宋体"/>
          <w:kern w:val="0"/>
          <w:szCs w:val="21"/>
          <w:highlight w:val="none"/>
          <w:lang w:val="en-US" w:eastAsia="zh-CN"/>
        </w:rPr>
        <w:t>磋商</w:t>
      </w:r>
      <w:r>
        <w:rPr>
          <w:rFonts w:hint="eastAsia" w:ascii="宋体" w:hAnsi="宋体" w:cs="宋体"/>
          <w:kern w:val="0"/>
          <w:szCs w:val="21"/>
          <w:highlight w:val="none"/>
        </w:rPr>
        <w:t>无效。</w:t>
      </w:r>
    </w:p>
    <w:p w14:paraId="5F3A59A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6EE0818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w:t>
      </w:r>
    </w:p>
    <w:p w14:paraId="1F57B674">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eastAsia="宋体" w:cs="宋体"/>
          <w:color w:val="auto"/>
          <w:szCs w:val="21"/>
          <w:highlight w:val="none"/>
        </w:rPr>
        <w:t>采购人</w:t>
      </w:r>
      <w:r>
        <w:rPr>
          <w:rFonts w:hint="eastAsia" w:ascii="宋体" w:hAnsi="宋体" w:cs="宋体"/>
          <w:color w:val="auto"/>
          <w:szCs w:val="21"/>
          <w:highlight w:val="none"/>
          <w:lang w:val="en-US" w:eastAsia="zh-CN"/>
        </w:rPr>
        <w:t>委托采购代理机构</w:t>
      </w:r>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w:t>
      </w:r>
    </w:p>
    <w:p w14:paraId="3B82C0BB">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3D54350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highlight w:val="none"/>
        </w:rPr>
        <w:t>25.4.3 符合性检查。依据竞争性磋商文件</w:t>
      </w:r>
      <w:r>
        <w:rPr>
          <w:rFonts w:hint="eastAsia" w:ascii="宋体" w:hAnsi="宋体" w:cs="宋体"/>
          <w:kern w:val="0"/>
          <w:szCs w:val="21"/>
        </w:rPr>
        <w:t>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的有效性、完整性和对竞争性磋商文件的响应程度进行审查，以确定是否符合对竞争性磋商文件的实质性要求作出响应。对没有实质性响应的响应文件将不进行评估，其</w:t>
      </w:r>
      <w:r>
        <w:rPr>
          <w:rFonts w:hint="eastAsia" w:ascii="宋体" w:hAnsi="宋体" w:cs="宋体"/>
          <w:kern w:val="0"/>
          <w:szCs w:val="21"/>
          <w:lang w:val="en-US" w:eastAsia="zh-CN"/>
        </w:rPr>
        <w:t>磋商</w:t>
      </w:r>
      <w:r>
        <w:rPr>
          <w:rFonts w:hint="eastAsia" w:ascii="宋体" w:hAnsi="宋体" w:cs="宋体"/>
          <w:kern w:val="0"/>
          <w:szCs w:val="21"/>
        </w:rPr>
        <w:t>被作为无效磋商。凡有下列情况之一者，响应文件也将被视为未实质性响应竞争性磋商文件要求：</w:t>
      </w:r>
    </w:p>
    <w:p w14:paraId="7BF37B9F">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ascii="宋体" w:hAnsi="宋体" w:cs="宋体"/>
          <w:b/>
          <w:bCs/>
          <w:szCs w:val="21"/>
          <w:highlight w:val="none"/>
        </w:rPr>
        <w:t>1</w:t>
      </w:r>
      <w:r>
        <w:rPr>
          <w:rFonts w:hint="eastAsia" w:ascii="宋体" w:hAnsi="宋体" w:cs="宋体"/>
          <w:b/>
          <w:bCs/>
          <w:szCs w:val="21"/>
          <w:highlight w:val="none"/>
        </w:rPr>
        <w:t>）</w:t>
      </w:r>
      <w:r>
        <w:rPr>
          <w:rFonts w:hint="eastAsia" w:ascii="宋体" w:hAnsi="宋体" w:cs="宋体"/>
          <w:b/>
          <w:bCs/>
          <w:szCs w:val="21"/>
          <w:highlight w:val="none"/>
          <w:shd w:val="clear" w:color="auto" w:fill="FFFFFF"/>
        </w:rPr>
        <w:t>响应文件</w:t>
      </w:r>
      <w:r>
        <w:rPr>
          <w:rFonts w:hint="eastAsia" w:ascii="宋体" w:hAnsi="宋体" w:cs="宋体"/>
          <w:b/>
          <w:bCs/>
          <w:szCs w:val="21"/>
          <w:highlight w:val="none"/>
        </w:rPr>
        <w:t>未按规定签字、盖章的。</w:t>
      </w:r>
    </w:p>
    <w:p w14:paraId="6116CACE">
      <w:pPr>
        <w:tabs>
          <w:tab w:val="left" w:pos="0"/>
        </w:tabs>
        <w:snapToGrid w:val="0"/>
        <w:spacing w:line="360" w:lineRule="auto"/>
        <w:ind w:firstLine="422" w:firstLineChars="200"/>
        <w:contextualSpacing/>
        <w:jc w:val="left"/>
        <w:rPr>
          <w:rFonts w:asci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2</w:t>
      </w:r>
      <w:r>
        <w:rPr>
          <w:rFonts w:hint="eastAsia" w:ascii="宋体" w:hAnsi="宋体" w:cs="宋体"/>
          <w:b/>
          <w:bCs/>
          <w:szCs w:val="21"/>
          <w:highlight w:val="none"/>
        </w:rPr>
        <w:t>）未按磋商文件规定报价，报价均超过采购预算或最高限价的。</w:t>
      </w:r>
    </w:p>
    <w:p w14:paraId="3F39D5F1">
      <w:pPr>
        <w:tabs>
          <w:tab w:val="left" w:pos="0"/>
        </w:tabs>
        <w:snapToGrid w:val="0"/>
        <w:spacing w:line="360" w:lineRule="auto"/>
        <w:ind w:firstLine="422" w:firstLineChars="200"/>
        <w:contextualSpacing/>
        <w:jc w:val="left"/>
        <w:rPr>
          <w:rFonts w:ascii="宋体" w:cs="宋体"/>
          <w:b/>
          <w:bCs/>
          <w:kern w:val="0"/>
          <w:szCs w:val="21"/>
          <w:highlight w:val="none"/>
        </w:rPr>
      </w:pP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）不符合采购文件中规定的其它实质性条款。</w:t>
      </w:r>
    </w:p>
    <w:p w14:paraId="1752C3E1">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w:t>
      </w:r>
      <w:r>
        <w:rPr>
          <w:rFonts w:hint="eastAsia" w:ascii="宋体" w:hAnsi="宋体" w:cs="宋体"/>
          <w:kern w:val="0"/>
          <w:szCs w:val="21"/>
          <w:lang w:val="en-US" w:eastAsia="zh-CN"/>
        </w:rPr>
        <w:t>磋商</w:t>
      </w:r>
      <w:r>
        <w:rPr>
          <w:rFonts w:hint="eastAsia" w:ascii="宋体" w:hAnsi="宋体" w:cs="宋体"/>
          <w:kern w:val="0"/>
          <w:szCs w:val="21"/>
        </w:rPr>
        <w:t>的响应性只根据响应文件本身的内容，而不寻求其他的外部证据。</w:t>
      </w:r>
    </w:p>
    <w:p w14:paraId="5582735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44AE672A">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w:t>
      </w:r>
      <w:r>
        <w:rPr>
          <w:rFonts w:hint="eastAsia" w:ascii="宋体" w:hAnsi="宋体" w:cs="宋体"/>
          <w:sz w:val="21"/>
          <w:szCs w:val="21"/>
          <w:lang w:val="en-US" w:eastAsia="zh-CN"/>
        </w:rPr>
        <w:t>投标</w:t>
      </w:r>
      <w:r>
        <w:rPr>
          <w:rFonts w:hint="eastAsia" w:ascii="宋体" w:hAnsi="宋体" w:cs="宋体"/>
          <w:sz w:val="21"/>
          <w:szCs w:val="21"/>
        </w:rPr>
        <w:t>，其磋商无效：</w:t>
      </w:r>
    </w:p>
    <w:p w14:paraId="54E056C0">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B7D238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5DF70F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w:t>
      </w:r>
      <w:r>
        <w:rPr>
          <w:rFonts w:hint="eastAsia" w:ascii="宋体" w:hAnsi="宋体" w:cs="宋体"/>
          <w:kern w:val="0"/>
          <w:szCs w:val="21"/>
          <w:lang w:val="en-US" w:eastAsia="zh-CN"/>
        </w:rPr>
        <w:t>投标</w:t>
      </w:r>
      <w:r>
        <w:rPr>
          <w:rFonts w:hint="eastAsia" w:ascii="宋体" w:hAnsi="宋体" w:cs="宋体"/>
          <w:szCs w:val="21"/>
        </w:rPr>
        <w:t>事宜；</w:t>
      </w:r>
    </w:p>
    <w:p w14:paraId="6BB18B90">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w:t>
      </w:r>
    </w:p>
    <w:p w14:paraId="27EDA59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22A39B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25.5.6不同供应商的磋商保证金从同一单位或者个人的账户转出（若收取）。</w:t>
      </w:r>
    </w:p>
    <w:p w14:paraId="56C3B5CF">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w:t>
      </w:r>
      <w:r>
        <w:rPr>
          <w:rFonts w:hint="eastAsia" w:ascii="宋体" w:hAnsi="宋体" w:cs="宋体"/>
          <w:kern w:val="0"/>
          <w:szCs w:val="21"/>
          <w:lang w:val="en-US" w:eastAsia="zh-CN"/>
        </w:rPr>
        <w:t>投标</w:t>
      </w:r>
      <w:r>
        <w:rPr>
          <w:rFonts w:hint="eastAsia" w:ascii="宋体" w:hAnsi="宋体" w:cs="宋体"/>
          <w:kern w:val="0"/>
          <w:szCs w:val="21"/>
        </w:rPr>
        <w:t>的其他情形的；</w:t>
      </w:r>
    </w:p>
    <w:p w14:paraId="018D5F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w:t>
      </w:r>
      <w:r>
        <w:rPr>
          <w:rFonts w:hint="eastAsia" w:ascii="宋体" w:hAnsi="宋体" w:cs="宋体"/>
          <w:kern w:val="0"/>
          <w:szCs w:val="21"/>
          <w:lang w:val="en-US" w:eastAsia="zh-CN"/>
        </w:rPr>
        <w:t>投标</w:t>
      </w:r>
      <w:r>
        <w:rPr>
          <w:rFonts w:hint="eastAsia" w:ascii="宋体" w:hAnsi="宋体" w:cs="宋体"/>
          <w:kern w:val="0"/>
          <w:szCs w:val="21"/>
        </w:rPr>
        <w:t>情形。</w:t>
      </w:r>
    </w:p>
    <w:p w14:paraId="5D3D0226">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26B08779">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20412B80">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152BF7A">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1BA0F4DD">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7990696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CB62575">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22E6191E">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磋商小组将按本竞争性磋商文件规定的评标方法与标准，对资格性检查和符合性检查合格的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5BAC3A8">
      <w:pPr>
        <w:pStyle w:val="30"/>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w:t>
      </w:r>
      <w:r>
        <w:rPr>
          <w:rFonts w:hint="eastAsia" w:ascii="宋体" w:hAnsi="宋体" w:cs="宋体"/>
          <w:sz w:val="21"/>
          <w:szCs w:val="21"/>
          <w:lang w:val="en-US" w:eastAsia="zh-CN"/>
        </w:rPr>
        <w:t>磋商</w:t>
      </w:r>
      <w:r>
        <w:rPr>
          <w:rFonts w:hint="eastAsia" w:ascii="宋体" w:hAnsi="宋体" w:cs="宋体"/>
          <w:sz w:val="21"/>
          <w:szCs w:val="21"/>
        </w:rPr>
        <w:t>总价中。</w:t>
      </w:r>
    </w:p>
    <w:p w14:paraId="0B909CD6">
      <w:pPr>
        <w:pStyle w:val="30"/>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sz w:val="21"/>
          <w:szCs w:val="21"/>
          <w:lang w:val="en-US" w:eastAsia="zh-CN"/>
        </w:rPr>
        <w:t>磋商</w:t>
      </w:r>
      <w:r>
        <w:rPr>
          <w:rFonts w:hint="eastAsia" w:ascii="宋体" w:hAnsi="宋体" w:cs="宋体"/>
          <w:sz w:val="21"/>
          <w:szCs w:val="21"/>
        </w:rPr>
        <w:t>处理。</w:t>
      </w:r>
    </w:p>
    <w:p w14:paraId="54469F32">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06289FE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0F04FB5">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492327D5">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1D6559B9">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2D6238B1">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66814A24">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1B82E17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17E183B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确定实质上响应竞争性磋商文件且满足下列条件的为成交候选供应商（或成交供应商）</w:t>
      </w:r>
    </w:p>
    <w:p w14:paraId="6FC1ABAA">
      <w:pPr>
        <w:snapToGrid w:val="0"/>
        <w:spacing w:line="360" w:lineRule="auto"/>
        <w:ind w:firstLine="420" w:firstLineChars="200"/>
        <w:rPr>
          <w:rFonts w:hint="eastAsia" w:ascii="宋体" w:hAnsi="宋体" w:cs="宋体"/>
          <w:szCs w:val="21"/>
        </w:rPr>
      </w:pPr>
      <w:bookmarkStart w:id="60" w:name="_Toc32200"/>
      <w:r>
        <w:rPr>
          <w:rFonts w:hint="eastAsia" w:ascii="宋体" w:hAnsi="宋体" w:cs="宋体"/>
          <w:bCs/>
          <w:kern w:val="0"/>
          <w:szCs w:val="21"/>
        </w:rPr>
        <w:t>30.2.1</w:t>
      </w:r>
      <w:bookmarkEnd w:id="60"/>
      <w:r>
        <w:rPr>
          <w:rFonts w:hint="eastAsia" w:ascii="宋体" w:hAnsi="宋体" w:cs="宋体"/>
          <w:bCs/>
          <w:kern w:val="0"/>
          <w:szCs w:val="21"/>
        </w:rPr>
        <w:t>本次评标采用</w:t>
      </w:r>
      <w:r>
        <w:rPr>
          <w:rFonts w:hint="eastAsia" w:ascii="宋体" w:hAnsi="宋体" w:cs="宋体"/>
          <w:szCs w:val="21"/>
        </w:rPr>
        <w:t>综合评分法，是指响应文件满足竞争性磋商文件全部实质性要求，且按照评审因素的量化指标评审得分最高的供应商为成交供应商的评标方法。</w:t>
      </w:r>
    </w:p>
    <w:p w14:paraId="4D4FF97A">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D65FADF">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kern w:val="0"/>
          <w:szCs w:val="21"/>
        </w:rPr>
      </w:pPr>
      <w:r>
        <w:rPr>
          <w:rFonts w:hint="eastAsia" w:ascii="宋体" w:hAnsi="宋体" w:cs="宋体"/>
          <w:b/>
          <w:bCs/>
          <w:kern w:val="0"/>
          <w:szCs w:val="21"/>
        </w:rPr>
        <w:t>31. 确定成交供应商和成交候选供应商</w:t>
      </w:r>
    </w:p>
    <w:p w14:paraId="6DDF6BA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FB30A02">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32. 成交通知书及成交结果公告</w:t>
      </w:r>
    </w:p>
    <w:p w14:paraId="598E3F27">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269972B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6DEAC56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2483DFC8">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040451D6">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hint="eastAsia" w:ascii="宋体" w:hAnsi="宋体" w:cs="宋体"/>
          <w:b/>
          <w:bCs/>
          <w:kern w:val="0"/>
          <w:szCs w:val="21"/>
        </w:rPr>
      </w:pPr>
      <w:r>
        <w:rPr>
          <w:rFonts w:hint="eastAsia" w:ascii="宋体" w:hAnsi="宋体" w:cs="宋体"/>
          <w:b/>
          <w:bCs/>
          <w:kern w:val="0"/>
          <w:szCs w:val="21"/>
        </w:rPr>
        <w:t>33. 采购人宣布废标的权利</w:t>
      </w:r>
    </w:p>
    <w:p w14:paraId="0E80F00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78033A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07C4CB23">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05D9E24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bCs/>
          <w:kern w:val="0"/>
          <w:szCs w:val="21"/>
        </w:rPr>
      </w:pPr>
      <w:r>
        <w:rPr>
          <w:rFonts w:hint="eastAsia" w:ascii="宋体" w:hAnsi="宋体" w:cs="宋体"/>
          <w:bCs/>
          <w:kern w:val="0"/>
          <w:szCs w:val="21"/>
        </w:rPr>
        <w:t>33.1.3因重大变故，采购任务取消的。</w:t>
      </w:r>
    </w:p>
    <w:p w14:paraId="12C1EC1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lang w:val="en-US" w:eastAsia="zh-CN"/>
        </w:rPr>
        <w:t>磋商</w:t>
      </w:r>
      <w:r>
        <w:rPr>
          <w:rFonts w:hint="eastAsia" w:ascii="宋体" w:hAnsi="宋体" w:cs="宋体"/>
          <w:szCs w:val="21"/>
        </w:rPr>
        <w:t>截止后供应商不足3家或通过资格性检查或符合性检查的供应商不足3家的，除采购任务取消情形外，按照以下方式处理：</w:t>
      </w:r>
    </w:p>
    <w:p w14:paraId="5366C63E">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szCs w:val="21"/>
        </w:rPr>
      </w:pPr>
      <w:r>
        <w:rPr>
          <w:rFonts w:hint="eastAsia" w:ascii="宋体" w:hAnsi="宋体" w:cs="宋体"/>
          <w:szCs w:val="21"/>
        </w:rPr>
        <w:t>竞争性磋商文件存在不合理条款或者招标程序不符合规定的，采购人正后依法重新招标；　</w:t>
      </w:r>
    </w:p>
    <w:p w14:paraId="1CFE83F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cs="宋体"/>
          <w:b/>
          <w:kern w:val="0"/>
          <w:sz w:val="52"/>
          <w:szCs w:val="52"/>
        </w:rPr>
      </w:pPr>
      <w:r>
        <w:rPr>
          <w:rFonts w:hint="eastAsia" w:ascii="宋体" w:hAnsi="宋体" w:cs="宋体"/>
          <w:szCs w:val="21"/>
        </w:rPr>
        <w:t>（2）竞争性磋商文件没有不合理条款、招标程序符合规定，需要采用其他采购方式采购的，采购人应当依法报财政部门批准。</w:t>
      </w:r>
    </w:p>
    <w:p w14:paraId="27A426E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3AEC4875">
      <w:pPr>
        <w:keepNext w:val="0"/>
        <w:keepLines w:val="0"/>
        <w:pageBreakBefore w:val="0"/>
        <w:widowControl w:val="0"/>
        <w:kinsoku/>
        <w:wordWrap/>
        <w:overflowPunct/>
        <w:topLinePunct w:val="0"/>
        <w:autoSpaceDE/>
        <w:autoSpaceDN/>
        <w:bidi w:val="0"/>
        <w:adjustRightInd/>
        <w:snapToGrid w:val="0"/>
        <w:spacing w:line="460" w:lineRule="exact"/>
        <w:ind w:firstLine="472" w:firstLineChars="224"/>
        <w:textAlignment w:val="auto"/>
        <w:rPr>
          <w:rFonts w:hint="eastAsia" w:ascii="宋体" w:hAnsi="宋体" w:cs="宋体"/>
          <w:kern w:val="0"/>
          <w:szCs w:val="21"/>
        </w:rPr>
      </w:pPr>
      <w:r>
        <w:rPr>
          <w:rFonts w:hint="eastAsia" w:ascii="宋体" w:hAnsi="宋体" w:cs="宋体"/>
          <w:b/>
          <w:bCs/>
          <w:kern w:val="0"/>
          <w:szCs w:val="21"/>
        </w:rPr>
        <w:t>34.合同签订</w:t>
      </w:r>
    </w:p>
    <w:p w14:paraId="2400F962">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u w:val="single"/>
        </w:rPr>
      </w:pPr>
      <w:r>
        <w:rPr>
          <w:rFonts w:hint="eastAsia" w:ascii="宋体" w:hAnsi="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签订合同。双方所签订的合同不得对竞争性磋商文件和成交供应商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72C71194">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34.2 竞争性磋商文件、竞争性磋商文件的修改文件、成交供应商的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36DE046E">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7"/>
    <w:p w14:paraId="6DE9B6B5">
      <w:pPr>
        <w:widowControl/>
        <w:snapToGrid w:val="0"/>
        <w:jc w:val="center"/>
        <w:outlineLvl w:val="0"/>
        <w:rPr>
          <w:rFonts w:hint="eastAsia" w:ascii="宋体" w:hAnsi="宋体" w:cs="宋体"/>
          <w:kern w:val="0"/>
          <w:sz w:val="24"/>
        </w:rPr>
      </w:pPr>
      <w:bookmarkStart w:id="61" w:name="_Toc18473"/>
      <w:r>
        <w:rPr>
          <w:rFonts w:hint="eastAsia" w:ascii="宋体" w:hAnsi="宋体" w:cs="宋体"/>
          <w:b/>
          <w:bCs/>
          <w:kern w:val="0"/>
          <w:sz w:val="32"/>
          <w:szCs w:val="32"/>
        </w:rPr>
        <w:t>第四章  评标办法及评分标准</w:t>
      </w:r>
      <w:bookmarkEnd w:id="58"/>
      <w:bookmarkEnd w:id="61"/>
    </w:p>
    <w:p w14:paraId="1D47A920">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514D7B28">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按照“公平、公正”的原则对待所有供应商，按照竞争性磋商文件的相关规定进行评标、定标。</w:t>
      </w:r>
    </w:p>
    <w:p w14:paraId="3B3A2A9A">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8781B0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699F84E9">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2．磋商小组按照竞争性磋商文件中规定的评标方法和标准，对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583F51E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w:t>
      </w:r>
      <w:r>
        <w:rPr>
          <w:rFonts w:hint="eastAsia" w:ascii="宋体" w:hAnsi="宋体" w:cs="宋体"/>
          <w:szCs w:val="21"/>
          <w:lang w:val="en-US" w:eastAsia="zh-CN"/>
        </w:rPr>
        <w:t>磋商</w:t>
      </w:r>
      <w:r>
        <w:rPr>
          <w:rFonts w:hint="eastAsia" w:ascii="宋体" w:hAnsi="宋体" w:cs="宋体"/>
          <w:szCs w:val="21"/>
        </w:rPr>
        <w:t>报价由低到高顺序排列。得分且</w:t>
      </w:r>
      <w:r>
        <w:rPr>
          <w:rFonts w:hint="eastAsia" w:ascii="宋体" w:hAnsi="宋体" w:cs="宋体"/>
          <w:szCs w:val="21"/>
          <w:lang w:val="en-US" w:eastAsia="zh-CN"/>
        </w:rPr>
        <w:t>磋商</w:t>
      </w:r>
      <w:r>
        <w:rPr>
          <w:rFonts w:hint="eastAsia" w:ascii="宋体" w:hAnsi="宋体" w:cs="宋体"/>
          <w:szCs w:val="21"/>
        </w:rPr>
        <w:t>报价相同的，按技术部分得分顺序排列。</w:t>
      </w:r>
    </w:p>
    <w:p w14:paraId="0407B114">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文件满足竞争性磋商文件全部实质性要求，且评审得分最高的供应商为成交供应商。</w:t>
      </w:r>
    </w:p>
    <w:p w14:paraId="42C0577A">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0D8820DC">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0"/>
        <w:gridCol w:w="6893"/>
      </w:tblGrid>
      <w:tr w14:paraId="0DC4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3A22A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部分（30分）</w:t>
            </w:r>
          </w:p>
        </w:tc>
        <w:tc>
          <w:tcPr>
            <w:tcW w:w="8243" w:type="dxa"/>
            <w:gridSpan w:val="2"/>
            <w:noWrap w:val="0"/>
            <w:vAlign w:val="center"/>
          </w:tcPr>
          <w:p w14:paraId="47C0D3A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的</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val="en-US" w:eastAsia="zh-CN"/>
              </w:rPr>
              <w:t>磋商小组</w:t>
            </w:r>
            <w:r>
              <w:rPr>
                <w:rFonts w:hint="eastAsia" w:ascii="宋体" w:hAnsi="宋体" w:eastAsia="宋体" w:cs="宋体"/>
                <w:b w:val="0"/>
                <w:bCs w:val="0"/>
                <w:color w:val="auto"/>
                <w:sz w:val="21"/>
                <w:szCs w:val="21"/>
                <w:highlight w:val="none"/>
                <w:u w:val="none"/>
              </w:rPr>
              <w:t>应按无效</w:t>
            </w:r>
            <w:r>
              <w:rPr>
                <w:rFonts w:hint="eastAsia" w:hAnsi="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768F48B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69F0DD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报价为基准价。</w:t>
            </w:r>
          </w:p>
          <w:p w14:paraId="75D41E2E">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735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14:paraId="4B796E5D">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350" w:type="dxa"/>
            <w:noWrap w:val="0"/>
            <w:vAlign w:val="center"/>
          </w:tcPr>
          <w:p w14:paraId="75DABD46">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893" w:type="dxa"/>
            <w:noWrap w:val="0"/>
            <w:vAlign w:val="center"/>
          </w:tcPr>
          <w:p w14:paraId="1987DB39">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对“第二章 采购需求 三、技术要求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进行</w:t>
            </w:r>
            <w:r>
              <w:rPr>
                <w:rFonts w:hint="eastAsia" w:ascii="宋体" w:hAnsi="宋体" w:eastAsia="宋体" w:cs="宋体"/>
                <w:b w:val="0"/>
                <w:bCs w:val="0"/>
                <w:color w:val="auto"/>
                <w:sz w:val="21"/>
                <w:szCs w:val="21"/>
                <w:highlight w:val="none"/>
              </w:rPr>
              <w:t>响应</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全部满足得40分，每</w:t>
            </w:r>
            <w:r>
              <w:rPr>
                <w:rFonts w:hint="eastAsia" w:ascii="宋体" w:hAnsi="宋体" w:eastAsia="宋体" w:cs="宋体"/>
                <w:color w:val="auto"/>
                <w:sz w:val="21"/>
                <w:szCs w:val="21"/>
                <w:lang w:val="en-US" w:eastAsia="zh-CN"/>
              </w:rPr>
              <w:t>有</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项不满足</w:t>
            </w:r>
            <w:r>
              <w:rPr>
                <w:rFonts w:hint="eastAsia" w:ascii="宋体" w:hAnsi="宋体" w:cs="宋体"/>
                <w:color w:val="auto"/>
                <w:sz w:val="21"/>
                <w:szCs w:val="21"/>
                <w:lang w:val="en-US" w:eastAsia="zh-CN"/>
              </w:rPr>
              <w:t>扣4分</w:t>
            </w:r>
            <w:r>
              <w:rPr>
                <w:rFonts w:hint="eastAsia" w:ascii="宋体" w:hAnsi="宋体" w:eastAsia="宋体" w:cs="宋体"/>
                <w:b w:val="0"/>
                <w:bCs w:val="0"/>
                <w:color w:val="auto"/>
                <w:sz w:val="21"/>
                <w:szCs w:val="21"/>
                <w:highlight w:val="none"/>
              </w:rPr>
              <w:t>，如此项得分为0分，则</w:t>
            </w:r>
            <w:r>
              <w:rPr>
                <w:rFonts w:hint="eastAsia" w:ascii="宋体" w:hAnsi="宋体" w:cs="宋体"/>
                <w:b w:val="0"/>
                <w:bCs w:val="0"/>
                <w:color w:val="auto"/>
                <w:sz w:val="21"/>
                <w:szCs w:val="21"/>
                <w:highlight w:val="none"/>
                <w:lang w:val="en-US" w:eastAsia="zh-CN"/>
              </w:rPr>
              <w:t>无效磋商</w:t>
            </w:r>
            <w:r>
              <w:rPr>
                <w:rFonts w:hint="eastAsia" w:ascii="宋体" w:hAnsi="宋体" w:eastAsia="宋体" w:cs="宋体"/>
                <w:b w:val="0"/>
                <w:bCs w:val="0"/>
                <w:color w:val="auto"/>
                <w:sz w:val="21"/>
                <w:szCs w:val="21"/>
                <w:highlight w:val="none"/>
              </w:rPr>
              <w:t>。</w:t>
            </w:r>
          </w:p>
          <w:p w14:paraId="2A4E9BBA">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注：1.</w:t>
            </w:r>
            <w:r>
              <w:rPr>
                <w:rFonts w:hint="eastAsia" w:ascii="宋体" w:hAnsi="宋体" w:eastAsia="宋体" w:cs="宋体"/>
                <w:color w:val="auto"/>
                <w:sz w:val="21"/>
                <w:szCs w:val="21"/>
              </w:rPr>
              <w:t>供应商需提供参数偏离表，并标注偏离情况。</w:t>
            </w:r>
          </w:p>
          <w:p w14:paraId="4D54AB79">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2.提供相关证明材料。</w:t>
            </w:r>
          </w:p>
        </w:tc>
      </w:tr>
      <w:tr w14:paraId="6E4A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239" w:type="dxa"/>
            <w:vMerge w:val="continue"/>
            <w:noWrap w:val="0"/>
            <w:vAlign w:val="center"/>
          </w:tcPr>
          <w:p w14:paraId="59A98912">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50" w:type="dxa"/>
            <w:noWrap w:val="0"/>
            <w:vAlign w:val="center"/>
          </w:tcPr>
          <w:p w14:paraId="29B3C7B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r>
              <w:rPr>
                <w:rFonts w:hint="eastAsia" w:ascii="宋体" w:hAnsi="宋体" w:cs="宋体"/>
                <w:b w:val="0"/>
                <w:bCs w:val="0"/>
                <w:color w:val="auto"/>
                <w:kern w:val="0"/>
                <w:sz w:val="21"/>
                <w:szCs w:val="21"/>
                <w:highlight w:val="none"/>
                <w:lang w:val="en-US" w:eastAsia="zh-CN" w:bidi="ar-SA"/>
              </w:rPr>
              <w:t>整体</w:t>
            </w:r>
            <w:r>
              <w:rPr>
                <w:rFonts w:hint="eastAsia" w:ascii="宋体" w:hAnsi="宋体" w:eastAsia="宋体" w:cs="宋体"/>
                <w:b w:val="0"/>
                <w:bCs w:val="0"/>
                <w:color w:val="auto"/>
                <w:kern w:val="0"/>
                <w:sz w:val="21"/>
                <w:szCs w:val="21"/>
                <w:highlight w:val="none"/>
                <w:lang w:val="en-US" w:eastAsia="zh-CN" w:bidi="ar-SA"/>
              </w:rPr>
              <w:t>服务方案（</w:t>
            </w:r>
            <w:r>
              <w:rPr>
                <w:rFonts w:hint="eastAsia" w:ascii="宋体" w:hAnsi="宋体" w:cs="宋体"/>
                <w:b w:val="0"/>
                <w:bCs w:val="0"/>
                <w:color w:val="auto"/>
                <w:kern w:val="0"/>
                <w:sz w:val="21"/>
                <w:szCs w:val="21"/>
                <w:highlight w:val="none"/>
                <w:lang w:val="en-US" w:eastAsia="zh-CN" w:bidi="ar-SA"/>
              </w:rPr>
              <w:t>10</w:t>
            </w:r>
            <w:r>
              <w:rPr>
                <w:rFonts w:hint="eastAsia" w:ascii="宋体" w:hAnsi="宋体" w:eastAsia="宋体" w:cs="宋体"/>
                <w:b w:val="0"/>
                <w:bCs w:val="0"/>
                <w:color w:val="auto"/>
                <w:kern w:val="0"/>
                <w:sz w:val="21"/>
                <w:szCs w:val="21"/>
                <w:highlight w:val="none"/>
                <w:lang w:val="en-US" w:eastAsia="zh-CN" w:bidi="ar-SA"/>
              </w:rPr>
              <w:t>分）</w:t>
            </w:r>
          </w:p>
        </w:tc>
        <w:tc>
          <w:tcPr>
            <w:tcW w:w="6893" w:type="dxa"/>
            <w:noWrap w:val="0"/>
            <w:vAlign w:val="center"/>
          </w:tcPr>
          <w:p w14:paraId="63F5F7BB">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根据供应商提供的整体服务</w:t>
            </w:r>
            <w:r>
              <w:rPr>
                <w:rFonts w:hint="default" w:ascii="宋体" w:hAnsi="宋体" w:cs="宋体"/>
                <w:color w:val="auto"/>
                <w:szCs w:val="21"/>
                <w:highlight w:val="none"/>
                <w:lang w:val="en-US" w:eastAsia="zh-CN"/>
              </w:rPr>
              <w:t>方案</w:t>
            </w:r>
            <w:r>
              <w:rPr>
                <w:rFonts w:hint="eastAsia" w:ascii="宋体" w:hAnsi="宋体" w:cs="宋体"/>
                <w:color w:val="auto"/>
                <w:szCs w:val="21"/>
                <w:highlight w:val="none"/>
                <w:lang w:val="en-US" w:eastAsia="zh-CN"/>
              </w:rPr>
              <w:t>进行评分，包括但不限于：前期准备工作、服务流程、安装调试、校准测试等。</w:t>
            </w:r>
          </w:p>
          <w:p w14:paraId="22F73437">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方案</w:t>
            </w:r>
            <w:r>
              <w:rPr>
                <w:rFonts w:hint="eastAsia" w:ascii="宋体" w:hAnsi="宋体" w:eastAsia="宋体" w:cs="宋体"/>
                <w:b w:val="0"/>
                <w:bCs w:val="0"/>
                <w:color w:val="auto"/>
                <w:kern w:val="0"/>
                <w:sz w:val="21"/>
                <w:szCs w:val="21"/>
                <w:highlight w:val="none"/>
                <w:lang w:val="en-US" w:eastAsia="zh-CN" w:bidi="ar-SA"/>
              </w:rPr>
              <w:t>内容全面详尽，完全满足采购需求的得10分</w:t>
            </w:r>
            <w:r>
              <w:rPr>
                <w:rFonts w:hint="eastAsia" w:ascii="宋体" w:hAnsi="宋体" w:cs="宋体"/>
                <w:color w:val="auto"/>
                <w:szCs w:val="21"/>
                <w:highlight w:val="none"/>
                <w:lang w:val="en-US" w:eastAsia="zh-CN"/>
              </w:rPr>
              <w:t>；</w:t>
            </w:r>
          </w:p>
          <w:p w14:paraId="77C4CD0D">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方案</w:t>
            </w:r>
            <w:r>
              <w:rPr>
                <w:rFonts w:hint="eastAsia" w:ascii="宋体" w:hAnsi="宋体" w:eastAsia="宋体" w:cs="宋体"/>
                <w:b w:val="0"/>
                <w:bCs w:val="0"/>
                <w:color w:val="auto"/>
                <w:kern w:val="0"/>
                <w:sz w:val="21"/>
                <w:szCs w:val="21"/>
                <w:highlight w:val="none"/>
                <w:lang w:val="en-US" w:eastAsia="zh-CN" w:bidi="ar-SA"/>
              </w:rPr>
              <w:t>内容</w:t>
            </w:r>
            <w:r>
              <w:rPr>
                <w:rFonts w:hint="eastAsia" w:ascii="宋体" w:hAnsi="宋体" w:cs="宋体"/>
                <w:color w:val="auto"/>
                <w:szCs w:val="21"/>
                <w:highlight w:val="none"/>
                <w:lang w:val="en-US" w:eastAsia="zh-CN"/>
              </w:rPr>
              <w:t>全面不详，基本满足采购需求的得7分</w:t>
            </w:r>
          </w:p>
          <w:p w14:paraId="312B8D12">
            <w:pPr>
              <w:widowControl/>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方案</w:t>
            </w:r>
            <w:r>
              <w:rPr>
                <w:rFonts w:hint="eastAsia" w:ascii="宋体" w:hAnsi="宋体" w:eastAsia="宋体" w:cs="宋体"/>
                <w:b w:val="0"/>
                <w:bCs w:val="0"/>
                <w:color w:val="auto"/>
                <w:kern w:val="0"/>
                <w:sz w:val="21"/>
                <w:szCs w:val="21"/>
                <w:highlight w:val="none"/>
                <w:lang w:val="en-US" w:eastAsia="zh-CN" w:bidi="ar-SA"/>
              </w:rPr>
              <w:t>内容有缺项漏项，需求分析有待完善的得4分</w:t>
            </w:r>
            <w:r>
              <w:rPr>
                <w:rFonts w:hint="eastAsia" w:ascii="宋体" w:hAnsi="宋体" w:cs="宋体"/>
                <w:color w:val="auto"/>
                <w:szCs w:val="21"/>
                <w:highlight w:val="none"/>
                <w:lang w:val="en-US" w:eastAsia="zh-CN"/>
              </w:rPr>
              <w:t>；</w:t>
            </w:r>
          </w:p>
          <w:p w14:paraId="579F963B">
            <w:pPr>
              <w:widowControl/>
              <w:shd w:val="clear"/>
              <w:snapToGrid w:val="0"/>
              <w:spacing w:line="3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方案</w:t>
            </w:r>
            <w:r>
              <w:rPr>
                <w:rFonts w:hint="eastAsia" w:ascii="宋体" w:hAnsi="宋体" w:eastAsia="宋体" w:cs="宋体"/>
                <w:b w:val="0"/>
                <w:bCs w:val="0"/>
                <w:color w:val="auto"/>
                <w:kern w:val="0"/>
                <w:sz w:val="21"/>
                <w:szCs w:val="21"/>
                <w:highlight w:val="none"/>
                <w:lang w:val="en-US" w:eastAsia="zh-CN" w:bidi="ar-SA"/>
              </w:rPr>
              <w:t>内容</w:t>
            </w:r>
            <w:r>
              <w:rPr>
                <w:rFonts w:hint="eastAsia" w:ascii="宋体" w:hAnsi="宋体" w:cs="宋体"/>
                <w:color w:val="auto"/>
                <w:szCs w:val="21"/>
                <w:highlight w:val="none"/>
                <w:lang w:val="en-US" w:eastAsia="zh-CN"/>
              </w:rPr>
              <w:t>不符合项目实际，难以满足采购需求的得1分；</w:t>
            </w:r>
          </w:p>
          <w:p w14:paraId="3CBB5E25">
            <w:pPr>
              <w:widowControl/>
              <w:shd w:val="clear"/>
              <w:snapToGrid w:val="0"/>
              <w:spacing w:line="320" w:lineRule="exact"/>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方案</w:t>
            </w:r>
            <w:r>
              <w:rPr>
                <w:rFonts w:hint="eastAsia" w:ascii="宋体" w:hAnsi="宋体" w:cs="宋体"/>
                <w:color w:val="auto"/>
                <w:szCs w:val="21"/>
                <w:highlight w:val="none"/>
                <w:lang w:val="en-US" w:eastAsia="zh-CN"/>
              </w:rPr>
              <w:t>不得分。</w:t>
            </w:r>
          </w:p>
        </w:tc>
      </w:tr>
      <w:tr w14:paraId="4EEB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39" w:type="dxa"/>
            <w:vMerge w:val="restart"/>
            <w:noWrap w:val="0"/>
            <w:vAlign w:val="center"/>
          </w:tcPr>
          <w:p w14:paraId="35631141">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350" w:type="dxa"/>
            <w:tcBorders>
              <w:top w:val="single" w:color="auto" w:sz="4" w:space="0"/>
            </w:tcBorders>
            <w:noWrap w:val="0"/>
            <w:vAlign w:val="center"/>
          </w:tcPr>
          <w:p w14:paraId="7547F87F">
            <w:pPr>
              <w:snapToGrid w:val="0"/>
              <w:spacing w:line="320" w:lineRule="exact"/>
              <w:jc w:val="center"/>
              <w:rPr>
                <w:rFonts w:hint="eastAsia" w:ascii="宋体" w:hAnsi="宋体" w:cs="宋体"/>
                <w:szCs w:val="21"/>
              </w:rPr>
            </w:pP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rPr>
              <w:t>类似业绩（</w:t>
            </w:r>
            <w:r>
              <w:rPr>
                <w:rFonts w:hint="eastAsia" w:ascii="宋体" w:hAnsi="宋体" w:cs="宋体"/>
                <w:szCs w:val="21"/>
                <w:lang w:val="en-US" w:eastAsia="zh-CN"/>
              </w:rPr>
              <w:t>6</w:t>
            </w:r>
            <w:r>
              <w:rPr>
                <w:rFonts w:hint="eastAsia" w:ascii="宋体" w:hAnsi="宋体" w:cs="宋体"/>
                <w:szCs w:val="21"/>
              </w:rPr>
              <w:t>分）</w:t>
            </w:r>
          </w:p>
        </w:tc>
        <w:tc>
          <w:tcPr>
            <w:tcW w:w="6893" w:type="dxa"/>
            <w:noWrap w:val="0"/>
            <w:vAlign w:val="center"/>
          </w:tcPr>
          <w:p w14:paraId="5726123E">
            <w:pPr>
              <w:widowControl/>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cs="宋体"/>
              </w:rPr>
              <w:t>供应商</w:t>
            </w:r>
            <w:r>
              <w:rPr>
                <w:rFonts w:ascii="宋体" w:hAnsi="宋体" w:cs="宋体"/>
              </w:rPr>
              <w:t>202</w:t>
            </w:r>
            <w:r>
              <w:rPr>
                <w:rFonts w:hint="eastAsia" w:ascii="宋体" w:hAnsi="宋体" w:cs="宋体"/>
                <w:lang w:val="en-US" w:eastAsia="zh-CN"/>
              </w:rPr>
              <w:t>3</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日具有的类似服务业绩</w:t>
            </w:r>
            <w:r>
              <w:rPr>
                <w:rFonts w:ascii="宋体" w:hAnsi="宋体" w:cs="宋体"/>
              </w:rPr>
              <w:t>(</w:t>
            </w:r>
            <w:r>
              <w:rPr>
                <w:rFonts w:hint="eastAsia" w:ascii="宋体" w:hAnsi="宋体" w:cs="宋体"/>
              </w:rPr>
              <w:t>以合同文件为准），每提供一份得</w:t>
            </w:r>
            <w:r>
              <w:rPr>
                <w:rFonts w:hint="eastAsia" w:ascii="宋体" w:hAnsi="宋体" w:cs="宋体"/>
                <w:lang w:val="en-US" w:eastAsia="zh-CN"/>
              </w:rPr>
              <w:t>2</w:t>
            </w:r>
            <w:r>
              <w:rPr>
                <w:rFonts w:hint="eastAsia" w:ascii="宋体" w:hAnsi="宋体" w:cs="宋体"/>
              </w:rPr>
              <w:t>分，最多得6分。</w:t>
            </w:r>
          </w:p>
        </w:tc>
      </w:tr>
      <w:tr w14:paraId="3E4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39" w:type="dxa"/>
            <w:vMerge w:val="continue"/>
            <w:noWrap w:val="0"/>
            <w:vAlign w:val="center"/>
          </w:tcPr>
          <w:p w14:paraId="1DF1BB80">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350" w:type="dxa"/>
            <w:tcBorders>
              <w:top w:val="single" w:color="auto" w:sz="4" w:space="0"/>
            </w:tcBorders>
            <w:noWrap w:val="0"/>
            <w:vAlign w:val="center"/>
          </w:tcPr>
          <w:p w14:paraId="4F716380">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w:t>
            </w:r>
            <w:r>
              <w:rPr>
                <w:rFonts w:ascii="宋体" w:hAnsi="宋体" w:cs="宋体"/>
                <w:szCs w:val="21"/>
              </w:rPr>
              <w:t>.</w:t>
            </w:r>
            <w:r>
              <w:rPr>
                <w:rFonts w:hint="eastAsia" w:ascii="宋体" w:hAnsi="宋体" w:cs="宋体"/>
                <w:szCs w:val="21"/>
                <w:lang w:val="en-US" w:eastAsia="zh-CN"/>
              </w:rPr>
              <w:t>质保期</w:t>
            </w:r>
          </w:p>
          <w:p w14:paraId="2BCBD308">
            <w:pPr>
              <w:snapToGrid w:val="0"/>
              <w:spacing w:line="320" w:lineRule="exact"/>
              <w:jc w:val="center"/>
              <w:rPr>
                <w:rFonts w:hint="eastAsia" w:ascii="宋体" w:hAnsi="宋体" w:cs="宋体"/>
                <w:szCs w:val="21"/>
                <w:lang w:val="en-US" w:eastAsia="zh-CN"/>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分）</w:t>
            </w:r>
          </w:p>
        </w:tc>
        <w:tc>
          <w:tcPr>
            <w:tcW w:w="6893" w:type="dxa"/>
            <w:noWrap w:val="0"/>
            <w:vAlign w:val="center"/>
          </w:tcPr>
          <w:p w14:paraId="5C9EF00F">
            <w:pPr>
              <w:widowControl/>
              <w:snapToGrid w:val="0"/>
              <w:spacing w:line="320" w:lineRule="exact"/>
              <w:jc w:val="left"/>
              <w:rPr>
                <w:rFonts w:hint="eastAsia" w:ascii="宋体" w:hAnsi="宋体" w:cs="宋体"/>
              </w:rPr>
            </w:pPr>
            <w:r>
              <w:rPr>
                <w:rFonts w:hint="eastAsia" w:ascii="宋体" w:hAnsi="宋体" w:cs="宋体"/>
                <w:kern w:val="2"/>
                <w:sz w:val="21"/>
                <w:szCs w:val="24"/>
                <w:lang w:val="en-US" w:eastAsia="zh-CN" w:bidi="ar-SA"/>
              </w:rPr>
              <w:t>保修期</w:t>
            </w:r>
            <w:r>
              <w:rPr>
                <w:rFonts w:hint="eastAsia" w:ascii="宋体" w:hAnsi="宋体" w:eastAsia="宋体" w:cs="宋体"/>
                <w:kern w:val="2"/>
                <w:sz w:val="21"/>
                <w:szCs w:val="24"/>
                <w:lang w:val="en-US" w:eastAsia="zh-CN" w:bidi="ar-SA"/>
              </w:rPr>
              <w:t>在满足采购文件的基础上，每增加</w:t>
            </w:r>
            <w:r>
              <w:rPr>
                <w:rFonts w:hint="eastAsia" w:ascii="宋体" w:hAnsi="宋体" w:cs="宋体"/>
                <w:kern w:val="2"/>
                <w:sz w:val="21"/>
                <w:szCs w:val="24"/>
                <w:lang w:val="en-US" w:eastAsia="zh-CN" w:bidi="ar-SA"/>
              </w:rPr>
              <w:t>三个月</w:t>
            </w:r>
            <w:r>
              <w:rPr>
                <w:rFonts w:hint="eastAsia" w:ascii="宋体" w:hAnsi="宋体" w:eastAsia="宋体" w:cs="宋体"/>
                <w:kern w:val="2"/>
                <w:sz w:val="21"/>
                <w:szCs w:val="24"/>
                <w:lang w:val="en-US" w:eastAsia="zh-CN" w:bidi="ar-SA"/>
              </w:rPr>
              <w:t>加2分,最多加4分</w:t>
            </w:r>
            <w:r>
              <w:rPr>
                <w:rFonts w:hint="eastAsia" w:ascii="宋体" w:hAnsi="宋体" w:cs="宋体"/>
                <w:kern w:val="2"/>
                <w:sz w:val="21"/>
                <w:szCs w:val="24"/>
                <w:lang w:val="en-US" w:eastAsia="zh-CN" w:bidi="ar-SA"/>
              </w:rPr>
              <w:t>。</w:t>
            </w:r>
          </w:p>
        </w:tc>
      </w:tr>
      <w:tr w14:paraId="6AA9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39" w:type="dxa"/>
            <w:vMerge w:val="continue"/>
            <w:noWrap w:val="0"/>
            <w:vAlign w:val="center"/>
          </w:tcPr>
          <w:p w14:paraId="7F079DC5">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350" w:type="dxa"/>
            <w:tcBorders>
              <w:top w:val="single" w:color="auto" w:sz="4" w:space="0"/>
            </w:tcBorders>
            <w:noWrap w:val="0"/>
            <w:vAlign w:val="center"/>
          </w:tcPr>
          <w:p w14:paraId="5FDBF0E9">
            <w:pPr>
              <w:snapToGrid w:val="0"/>
              <w:spacing w:line="320" w:lineRule="exact"/>
              <w:jc w:val="center"/>
              <w:rPr>
                <w:rFonts w:asci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服务团队</w:t>
            </w:r>
          </w:p>
          <w:p w14:paraId="58B9E678">
            <w:pPr>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893" w:type="dxa"/>
            <w:noWrap w:val="0"/>
            <w:vAlign w:val="center"/>
          </w:tcPr>
          <w:p w14:paraId="3C23BC9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根据供应商针对本项目提供的人员配备方案进行评审：</w:t>
            </w:r>
          </w:p>
          <w:p w14:paraId="28C1342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人员配备安排合理、岗位职责明确、专业技术能力强、</w:t>
            </w:r>
            <w:r>
              <w:rPr>
                <w:rFonts w:hint="eastAsia" w:hAnsi="宋体" w:cs="宋体"/>
                <w:b w:val="0"/>
                <w:bCs w:val="0"/>
                <w:color w:val="auto"/>
                <w:sz w:val="21"/>
                <w:szCs w:val="21"/>
                <w:highlight w:val="none"/>
                <w:lang w:val="en-US" w:eastAsia="zh-CN"/>
              </w:rPr>
              <w:t>维修、保养</w:t>
            </w:r>
            <w:r>
              <w:rPr>
                <w:rFonts w:hint="eastAsia" w:ascii="宋体" w:hAnsi="宋体" w:eastAsia="宋体" w:cs="宋体"/>
                <w:b w:val="0"/>
                <w:bCs w:val="0"/>
                <w:color w:val="auto"/>
                <w:sz w:val="21"/>
                <w:szCs w:val="21"/>
                <w:highlight w:val="none"/>
                <w:lang w:val="en-US" w:eastAsia="zh-CN"/>
              </w:rPr>
              <w:t>经验丰富，能完全满足采购需求的得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268B8175">
            <w:pPr>
              <w:pStyle w:val="5"/>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人员配备较合理、专业能力较强，经验较丰富，基本满足采购需求的得</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09819CFC">
            <w:pPr>
              <w:pStyle w:val="6"/>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人员配备</w:t>
            </w:r>
            <w:r>
              <w:rPr>
                <w:rFonts w:hint="eastAsia" w:hAnsi="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val="en-US" w:eastAsia="zh-CN"/>
              </w:rPr>
              <w:t>合理，</w:t>
            </w:r>
            <w:r>
              <w:rPr>
                <w:rFonts w:hint="eastAsia" w:ascii="宋体" w:hAnsi="宋体" w:cs="宋体"/>
                <w:b w:val="0"/>
                <w:bCs w:val="0"/>
                <w:color w:val="auto"/>
                <w:sz w:val="21"/>
                <w:szCs w:val="21"/>
                <w:highlight w:val="none"/>
                <w:lang w:val="en-US" w:eastAsia="zh-CN"/>
              </w:rPr>
              <w:t>专业能力一般的得4分；</w:t>
            </w:r>
          </w:p>
          <w:p w14:paraId="118E3A83">
            <w:pPr>
              <w:pStyle w:val="6"/>
              <w:jc w:val="left"/>
              <w:rPr>
                <w:rFonts w:hint="eastAsia" w:ascii="宋体" w:hAnsi="宋体" w:cs="宋体"/>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人员配备专业能力</w:t>
            </w:r>
            <w:r>
              <w:rPr>
                <w:rFonts w:hint="eastAsia" w:ascii="宋体" w:hAnsi="宋体" w:cs="宋体"/>
                <w:b w:val="0"/>
                <w:bCs w:val="0"/>
                <w:color w:val="auto"/>
                <w:sz w:val="21"/>
                <w:szCs w:val="21"/>
                <w:highlight w:val="none"/>
                <w:lang w:val="en-US" w:eastAsia="zh-CN"/>
              </w:rPr>
              <w:t>不能满足采购需求的得</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r>
    </w:tbl>
    <w:p w14:paraId="68F8709E">
      <w:pPr>
        <w:rPr>
          <w:rFonts w:hint="eastAsia" w:ascii="宋体" w:hAnsi="宋体" w:cs="宋体"/>
          <w:b/>
        </w:rPr>
      </w:pPr>
      <w:r>
        <w:rPr>
          <w:rFonts w:hint="eastAsia" w:ascii="宋体" w:hAnsi="宋体" w:cs="宋体"/>
          <w:b/>
        </w:rPr>
        <w:br w:type="page"/>
      </w:r>
    </w:p>
    <w:bookmarkEnd w:id="59"/>
    <w:p w14:paraId="1E053FEE">
      <w:pPr>
        <w:rPr>
          <w:rFonts w:hint="eastAsia" w:ascii="宋体" w:hAnsi="宋体" w:cs="宋体"/>
        </w:rPr>
      </w:pPr>
      <w:bookmarkStart w:id="62" w:name="_Toc1482"/>
      <w:bookmarkStart w:id="63" w:name="_Toc1947"/>
      <w:bookmarkStart w:id="64" w:name="_Toc256519703"/>
      <w:bookmarkStart w:id="65" w:name="_Toc326786897"/>
    </w:p>
    <w:p w14:paraId="4A7261D4">
      <w:pPr>
        <w:pStyle w:val="3"/>
        <w:snapToGrid w:val="0"/>
        <w:spacing w:before="0" w:after="0" w:line="480" w:lineRule="auto"/>
        <w:jc w:val="center"/>
        <w:rPr>
          <w:rFonts w:hint="eastAsia" w:ascii="宋体" w:hAnsi="宋体" w:cs="宋体"/>
          <w:sz w:val="28"/>
          <w:szCs w:val="28"/>
        </w:rPr>
      </w:pPr>
      <w:bookmarkStart w:id="66" w:name="_Toc25511"/>
      <w:r>
        <w:rPr>
          <w:rFonts w:hint="eastAsia" w:ascii="宋体" w:hAnsi="宋体" w:cs="宋体"/>
          <w:sz w:val="28"/>
          <w:szCs w:val="28"/>
        </w:rPr>
        <w:t>第五章  采购合同</w:t>
      </w:r>
      <w:bookmarkEnd w:id="66"/>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p w14:paraId="538D35A0">
      <w:pPr>
        <w:pStyle w:val="32"/>
        <w:ind w:firstLine="210"/>
        <w:rPr>
          <w:rFonts w:hint="eastAsia" w:ascii="宋体" w:hAnsi="宋体" w:cs="宋体"/>
        </w:rPr>
      </w:pPr>
    </w:p>
    <w:p w14:paraId="6B4F0F44">
      <w:pPr>
        <w:pStyle w:val="3"/>
        <w:jc w:val="center"/>
        <w:rPr>
          <w:rFonts w:hint="eastAsia" w:ascii="宋体" w:hAnsi="宋体" w:cs="宋体"/>
          <w:kern w:val="0"/>
        </w:rPr>
      </w:pPr>
      <w:bookmarkStart w:id="67" w:name="_Toc28943"/>
      <w:r>
        <w:rPr>
          <w:rFonts w:hint="eastAsia" w:ascii="宋体" w:hAnsi="宋体" w:cs="宋体"/>
          <w:sz w:val="32"/>
          <w:szCs w:val="32"/>
        </w:rPr>
        <w:t>第六章  响应文件格式</w:t>
      </w:r>
      <w:bookmarkEnd w:id="62"/>
      <w:bookmarkEnd w:id="63"/>
      <w:bookmarkEnd w:id="67"/>
    </w:p>
    <w:p w14:paraId="5309A33B">
      <w:pPr>
        <w:spacing w:line="440" w:lineRule="exact"/>
        <w:rPr>
          <w:rFonts w:hint="eastAsia" w:ascii="宋体" w:hAnsi="宋体" w:cs="宋体"/>
          <w:sz w:val="24"/>
        </w:rPr>
      </w:pPr>
    </w:p>
    <w:p w14:paraId="33C7EE45">
      <w:pPr>
        <w:jc w:val="center"/>
        <w:rPr>
          <w:rFonts w:hint="eastAsia" w:ascii="宋体" w:hAnsi="宋体" w:cs="宋体"/>
          <w:b/>
          <w:bCs/>
          <w:sz w:val="32"/>
          <w:szCs w:val="32"/>
        </w:rPr>
      </w:pPr>
      <w:bookmarkStart w:id="68" w:name="_Toc13604"/>
      <w:r>
        <w:rPr>
          <w:rFonts w:hint="eastAsia" w:ascii="宋体" w:hAnsi="宋体" w:cs="宋体"/>
          <w:b/>
          <w:bCs/>
          <w:sz w:val="32"/>
          <w:szCs w:val="32"/>
        </w:rPr>
        <w:t>目    录</w:t>
      </w:r>
      <w:bookmarkEnd w:id="68"/>
    </w:p>
    <w:p w14:paraId="180C8CC2">
      <w:pPr>
        <w:widowControl/>
        <w:wordWrap w:val="0"/>
        <w:spacing w:line="460" w:lineRule="exact"/>
        <w:ind w:firstLine="480" w:firstLineChars="200"/>
        <w:jc w:val="left"/>
        <w:rPr>
          <w:rFonts w:hint="eastAsia" w:ascii="宋体" w:hAnsi="宋体" w:cs="宋体"/>
          <w:kern w:val="0"/>
          <w:sz w:val="24"/>
        </w:rPr>
      </w:pPr>
    </w:p>
    <w:p w14:paraId="3480B117">
      <w:pPr>
        <w:widowControl/>
        <w:wordWrap w:val="0"/>
        <w:spacing w:line="460" w:lineRule="exact"/>
        <w:ind w:firstLine="480" w:firstLineChars="200"/>
        <w:jc w:val="left"/>
        <w:rPr>
          <w:rFonts w:hint="eastAsia" w:ascii="宋体" w:hAnsi="宋体" w:cs="宋体"/>
          <w:kern w:val="0"/>
          <w:sz w:val="24"/>
        </w:rPr>
      </w:pPr>
    </w:p>
    <w:p w14:paraId="48168530">
      <w:pPr>
        <w:snapToGrid w:val="0"/>
        <w:spacing w:line="360" w:lineRule="auto"/>
        <w:ind w:firstLine="480" w:firstLineChars="200"/>
        <w:rPr>
          <w:rFonts w:hint="eastAsia" w:ascii="宋体" w:hAnsi="宋体" w:cs="宋体"/>
          <w:sz w:val="24"/>
        </w:rPr>
      </w:pPr>
      <w:bookmarkStart w:id="69" w:name="_Toc11308"/>
      <w:r>
        <w:rPr>
          <w:rFonts w:hint="eastAsia" w:ascii="宋体" w:hAnsi="宋体" w:cs="宋体"/>
          <w:sz w:val="24"/>
        </w:rPr>
        <w:t>附件1 响应文件封面（格式）</w:t>
      </w:r>
      <w:bookmarkEnd w:id="69"/>
    </w:p>
    <w:p w14:paraId="2300675E">
      <w:pPr>
        <w:snapToGrid w:val="0"/>
        <w:spacing w:line="360" w:lineRule="auto"/>
        <w:ind w:firstLine="480" w:firstLineChars="200"/>
        <w:rPr>
          <w:rFonts w:hint="eastAsia" w:ascii="宋体" w:hAnsi="宋体" w:cs="宋体"/>
          <w:sz w:val="24"/>
        </w:rPr>
      </w:pPr>
      <w:bookmarkStart w:id="70" w:name="_Toc25345"/>
      <w:r>
        <w:rPr>
          <w:rFonts w:hint="eastAsia" w:ascii="宋体" w:hAnsi="宋体" w:cs="宋体"/>
          <w:sz w:val="24"/>
        </w:rPr>
        <w:t>附件2 竞争性磋商响应书（格式）</w:t>
      </w:r>
      <w:bookmarkEnd w:id="70"/>
    </w:p>
    <w:p w14:paraId="618A4E53">
      <w:pPr>
        <w:snapToGrid w:val="0"/>
        <w:spacing w:line="360" w:lineRule="auto"/>
        <w:ind w:firstLine="480" w:firstLineChars="200"/>
        <w:rPr>
          <w:rFonts w:hint="eastAsia" w:ascii="宋体" w:hAnsi="宋体" w:cs="宋体"/>
          <w:sz w:val="24"/>
        </w:rPr>
      </w:pPr>
      <w:bookmarkStart w:id="71" w:name="_Toc10217"/>
      <w:r>
        <w:rPr>
          <w:rFonts w:hint="eastAsia" w:ascii="宋体" w:hAnsi="宋体" w:cs="宋体"/>
          <w:sz w:val="24"/>
        </w:rPr>
        <w:t>附件3 初次报价一览表（格式）</w:t>
      </w:r>
      <w:bookmarkEnd w:id="71"/>
    </w:p>
    <w:p w14:paraId="11EBA371">
      <w:pPr>
        <w:snapToGrid w:val="0"/>
        <w:spacing w:line="360" w:lineRule="auto"/>
        <w:ind w:firstLine="480" w:firstLineChars="200"/>
        <w:rPr>
          <w:rFonts w:hint="eastAsia" w:ascii="宋体" w:hAnsi="宋体" w:cs="宋体"/>
          <w:sz w:val="24"/>
        </w:rPr>
      </w:pPr>
      <w:bookmarkStart w:id="72" w:name="_Toc9579"/>
      <w:r>
        <w:rPr>
          <w:rFonts w:hint="eastAsia" w:ascii="宋体" w:hAnsi="宋体" w:cs="宋体"/>
          <w:sz w:val="24"/>
        </w:rPr>
        <w:t xml:space="preserve">附件4 </w:t>
      </w:r>
      <w:bookmarkEnd w:id="72"/>
      <w:r>
        <w:rPr>
          <w:rFonts w:hint="eastAsia" w:ascii="宋体" w:hAnsi="宋体" w:cs="宋体"/>
          <w:sz w:val="24"/>
        </w:rPr>
        <w:t>技术响应表（格式）</w:t>
      </w:r>
    </w:p>
    <w:p w14:paraId="021CB847">
      <w:pPr>
        <w:snapToGrid w:val="0"/>
        <w:spacing w:line="360" w:lineRule="auto"/>
        <w:ind w:firstLine="480" w:firstLineChars="200"/>
        <w:rPr>
          <w:rFonts w:hint="eastAsia" w:ascii="宋体" w:hAnsi="宋体" w:cs="宋体"/>
          <w:sz w:val="24"/>
        </w:rPr>
      </w:pPr>
      <w:bookmarkStart w:id="73" w:name="_Toc6234"/>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rPr>
        <w:t xml:space="preserve"> 商务</w:t>
      </w:r>
      <w:bookmarkEnd w:id="73"/>
      <w:r>
        <w:rPr>
          <w:rFonts w:hint="eastAsia" w:ascii="宋体" w:hAnsi="宋体" w:cs="宋体"/>
          <w:sz w:val="24"/>
        </w:rPr>
        <w:t>响应表（格式）</w:t>
      </w:r>
    </w:p>
    <w:p w14:paraId="22D634E4">
      <w:pPr>
        <w:snapToGrid w:val="0"/>
        <w:spacing w:line="360" w:lineRule="auto"/>
        <w:ind w:firstLine="480" w:firstLineChars="200"/>
        <w:rPr>
          <w:rFonts w:hint="eastAsia" w:ascii="宋体" w:hAnsi="宋体" w:cs="宋体"/>
          <w:sz w:val="24"/>
        </w:rPr>
      </w:pPr>
      <w:bookmarkStart w:id="74" w:name="_Toc26231"/>
      <w:r>
        <w:rPr>
          <w:rFonts w:hint="eastAsia" w:ascii="宋体" w:hAnsi="宋体" w:cs="宋体"/>
          <w:sz w:val="24"/>
        </w:rPr>
        <w:t>附件</w:t>
      </w:r>
      <w:r>
        <w:rPr>
          <w:rFonts w:hint="eastAsia" w:ascii="宋体" w:hAnsi="宋体" w:cs="宋体"/>
          <w:sz w:val="24"/>
          <w:lang w:val="en-US" w:eastAsia="zh-CN"/>
        </w:rPr>
        <w:t>6</w:t>
      </w:r>
      <w:r>
        <w:rPr>
          <w:rFonts w:hint="eastAsia" w:ascii="宋体" w:hAnsi="宋体" w:cs="宋体"/>
          <w:sz w:val="24"/>
        </w:rPr>
        <w:t xml:space="preserve"> 法定代表人身份证明（格式）</w:t>
      </w:r>
      <w:bookmarkEnd w:id="74"/>
    </w:p>
    <w:p w14:paraId="0EB7D20B">
      <w:pPr>
        <w:snapToGrid w:val="0"/>
        <w:spacing w:line="360" w:lineRule="auto"/>
        <w:ind w:firstLine="480" w:firstLineChars="200"/>
        <w:rPr>
          <w:rFonts w:hint="eastAsia" w:ascii="宋体" w:hAnsi="宋体" w:cs="宋体"/>
          <w:sz w:val="24"/>
        </w:rPr>
      </w:pPr>
      <w:bookmarkStart w:id="75" w:name="_Toc18484"/>
      <w:r>
        <w:rPr>
          <w:rFonts w:hint="eastAsia" w:ascii="宋体" w:hAnsi="宋体" w:cs="宋体"/>
          <w:sz w:val="24"/>
        </w:rPr>
        <w:t>附件</w:t>
      </w:r>
      <w:r>
        <w:rPr>
          <w:rFonts w:hint="eastAsia" w:ascii="宋体" w:hAnsi="宋体" w:cs="宋体"/>
          <w:sz w:val="24"/>
          <w:lang w:val="en-US" w:eastAsia="zh-CN"/>
        </w:rPr>
        <w:t>7</w:t>
      </w:r>
      <w:r>
        <w:rPr>
          <w:rFonts w:hint="eastAsia" w:ascii="宋体" w:hAnsi="宋体" w:cs="宋体"/>
          <w:sz w:val="24"/>
        </w:rPr>
        <w:t xml:space="preserve"> 法定代表人授权书（格式）</w:t>
      </w:r>
      <w:bookmarkEnd w:id="75"/>
    </w:p>
    <w:p w14:paraId="3D01B7DA">
      <w:pPr>
        <w:snapToGrid w:val="0"/>
        <w:spacing w:line="360" w:lineRule="auto"/>
        <w:ind w:firstLine="480" w:firstLineChars="200"/>
        <w:rPr>
          <w:rFonts w:hint="eastAsia" w:ascii="宋体" w:hAnsi="宋体" w:cs="宋体"/>
          <w:sz w:val="24"/>
        </w:rPr>
      </w:pPr>
      <w:bookmarkStart w:id="76" w:name="_Toc31857"/>
      <w:r>
        <w:rPr>
          <w:rFonts w:hint="eastAsia" w:ascii="宋体" w:hAnsi="宋体" w:cs="宋体"/>
          <w:sz w:val="24"/>
        </w:rPr>
        <w:t>附件</w:t>
      </w:r>
      <w:r>
        <w:rPr>
          <w:rFonts w:hint="eastAsia" w:ascii="宋体" w:hAnsi="宋体" w:cs="宋体"/>
          <w:sz w:val="24"/>
          <w:lang w:val="en-US" w:eastAsia="zh-CN"/>
        </w:rPr>
        <w:t>8</w:t>
      </w:r>
      <w:r>
        <w:rPr>
          <w:rFonts w:hint="eastAsia" w:ascii="宋体" w:hAnsi="宋体" w:cs="宋体"/>
          <w:sz w:val="24"/>
        </w:rPr>
        <w:t xml:space="preserve"> 证明文件</w:t>
      </w:r>
      <w:bookmarkEnd w:id="76"/>
    </w:p>
    <w:p w14:paraId="38BC2C1E">
      <w:pPr>
        <w:snapToGrid w:val="0"/>
        <w:spacing w:line="360" w:lineRule="auto"/>
        <w:ind w:firstLine="480" w:firstLineChars="200"/>
        <w:rPr>
          <w:rFonts w:hint="eastAsia" w:ascii="宋体" w:hAnsi="宋体" w:cs="宋体"/>
          <w:sz w:val="24"/>
        </w:rPr>
      </w:pPr>
    </w:p>
    <w:p w14:paraId="25F547DA">
      <w:pPr>
        <w:pStyle w:val="32"/>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4"/>
        <w:rPr>
          <w:rFonts w:hint="eastAsia" w:ascii="宋体" w:hAnsi="宋体" w:cs="宋体"/>
          <w:b/>
          <w:bCs/>
          <w:kern w:val="0"/>
          <w:sz w:val="24"/>
        </w:rPr>
      </w:pPr>
    </w:p>
    <w:p w14:paraId="1C774012">
      <w:pPr>
        <w:pStyle w:val="5"/>
        <w:rPr>
          <w:rFonts w:hint="eastAsia" w:hAnsi="宋体"/>
          <w:b/>
          <w:bCs/>
          <w:color w:val="auto"/>
        </w:rPr>
      </w:pPr>
    </w:p>
    <w:p w14:paraId="25E1C423">
      <w:pPr>
        <w:pStyle w:val="5"/>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471F2210">
      <w:pPr>
        <w:pStyle w:val="27"/>
        <w:rPr>
          <w:rFonts w:hint="eastAsia" w:ascii="宋体" w:hAnsi="宋体" w:cs="宋体"/>
        </w:rPr>
      </w:pPr>
    </w:p>
    <w:p w14:paraId="106A8B32">
      <w:pPr>
        <w:pStyle w:val="2"/>
        <w:snapToGrid w:val="0"/>
        <w:spacing w:before="20" w:after="20" w:line="360" w:lineRule="auto"/>
        <w:rPr>
          <w:rFonts w:hint="eastAsia" w:ascii="宋体" w:hAnsi="宋体" w:eastAsia="宋体" w:cs="宋体"/>
          <w:sz w:val="28"/>
          <w:szCs w:val="28"/>
        </w:rPr>
      </w:pPr>
      <w:bookmarkStart w:id="77" w:name="_Toc24743"/>
      <w:bookmarkStart w:id="78" w:name="_Toc31798"/>
      <w:r>
        <w:rPr>
          <w:rFonts w:hint="eastAsia" w:ascii="宋体" w:hAnsi="宋体" w:eastAsia="宋体" w:cs="宋体"/>
          <w:sz w:val="28"/>
          <w:szCs w:val="28"/>
        </w:rPr>
        <w:t>附件1               响应文件封面（格式）</w:t>
      </w:r>
      <w:bookmarkEnd w:id="77"/>
      <w:bookmarkEnd w:id="78"/>
    </w:p>
    <w:p w14:paraId="626AA64C">
      <w:pPr>
        <w:widowControl/>
        <w:wordWrap w:val="0"/>
        <w:spacing w:line="460" w:lineRule="exact"/>
        <w:ind w:firstLine="482" w:firstLineChars="200"/>
        <w:jc w:val="center"/>
        <w:rPr>
          <w:rFonts w:hint="eastAsia" w:ascii="宋体" w:hAnsi="宋体" w:cs="宋体"/>
          <w:b/>
          <w:kern w:val="0"/>
          <w:sz w:val="24"/>
        </w:rPr>
      </w:pPr>
    </w:p>
    <w:p w14:paraId="307AA719">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C693CB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1C4B92D3">
      <w:pPr>
        <w:spacing w:line="360" w:lineRule="auto"/>
        <w:rPr>
          <w:rFonts w:hint="eastAsia" w:ascii="宋体" w:hAnsi="宋体" w:cs="宋体"/>
          <w:sz w:val="28"/>
        </w:rPr>
      </w:pPr>
    </w:p>
    <w:p w14:paraId="1A4C67D2">
      <w:pPr>
        <w:pStyle w:val="5"/>
        <w:spacing w:line="360" w:lineRule="auto"/>
        <w:rPr>
          <w:rFonts w:hint="eastAsia" w:hAnsi="宋体"/>
          <w:color w:val="auto"/>
        </w:rPr>
      </w:pPr>
    </w:p>
    <w:p w14:paraId="00379B7D">
      <w:pPr>
        <w:pStyle w:val="5"/>
        <w:spacing w:line="360" w:lineRule="auto"/>
        <w:rPr>
          <w:rFonts w:hint="eastAsia" w:hAnsi="宋体"/>
          <w:color w:val="auto"/>
        </w:rPr>
      </w:pPr>
    </w:p>
    <w:p w14:paraId="7054C6BA">
      <w:pPr>
        <w:spacing w:line="360" w:lineRule="auto"/>
        <w:rPr>
          <w:rFonts w:hint="eastAsia" w:ascii="宋体" w:hAnsi="宋体" w:cs="宋体"/>
          <w:sz w:val="28"/>
        </w:rPr>
      </w:pPr>
    </w:p>
    <w:p w14:paraId="7F58AFE0">
      <w:pPr>
        <w:spacing w:line="360" w:lineRule="auto"/>
        <w:rPr>
          <w:rFonts w:hint="eastAsia" w:ascii="宋体" w:hAnsi="宋体" w:cs="宋体"/>
          <w:sz w:val="28"/>
        </w:rPr>
      </w:pPr>
    </w:p>
    <w:p w14:paraId="08601898">
      <w:pPr>
        <w:spacing w:line="360" w:lineRule="auto"/>
        <w:rPr>
          <w:rFonts w:hint="eastAsia" w:ascii="宋体" w:hAnsi="宋体" w:cs="宋体"/>
          <w:sz w:val="28"/>
        </w:rPr>
      </w:pPr>
    </w:p>
    <w:p w14:paraId="699C2834">
      <w:pPr>
        <w:spacing w:line="360" w:lineRule="auto"/>
        <w:rPr>
          <w:rFonts w:hint="eastAsia" w:ascii="宋体" w:hAnsi="宋体" w:cs="宋体"/>
          <w:sz w:val="28"/>
        </w:rPr>
      </w:pPr>
    </w:p>
    <w:p w14:paraId="26BF3A72">
      <w:pPr>
        <w:spacing w:line="360" w:lineRule="auto"/>
        <w:rPr>
          <w:rFonts w:hint="eastAsia" w:ascii="宋体" w:hAnsi="宋体" w:cs="宋体"/>
          <w:sz w:val="28"/>
        </w:rPr>
      </w:pPr>
    </w:p>
    <w:p w14:paraId="1131DBF1">
      <w:pPr>
        <w:pStyle w:val="22"/>
        <w:rPr>
          <w:rFonts w:hint="eastAsia" w:ascii="宋体" w:hAnsi="宋体" w:cs="宋体"/>
          <w:sz w:val="28"/>
        </w:rPr>
      </w:pPr>
    </w:p>
    <w:p w14:paraId="40CF6CB1">
      <w:pPr>
        <w:pStyle w:val="22"/>
        <w:rPr>
          <w:rFonts w:hint="eastAsia" w:ascii="宋体" w:hAnsi="宋体" w:cs="宋体"/>
          <w:sz w:val="28"/>
        </w:rPr>
      </w:pPr>
    </w:p>
    <w:p w14:paraId="7089885B">
      <w:pPr>
        <w:pStyle w:val="22"/>
        <w:rPr>
          <w:rFonts w:hint="eastAsia" w:ascii="宋体" w:hAnsi="宋体" w:cs="宋体"/>
          <w:sz w:val="28"/>
        </w:rPr>
      </w:pPr>
    </w:p>
    <w:p w14:paraId="674104E4">
      <w:pPr>
        <w:spacing w:line="360" w:lineRule="auto"/>
        <w:rPr>
          <w:rFonts w:hint="eastAsia" w:ascii="宋体" w:hAnsi="宋体" w:cs="宋体"/>
          <w:sz w:val="28"/>
        </w:rPr>
      </w:pPr>
    </w:p>
    <w:p w14:paraId="44658627">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5D87285">
      <w:pPr>
        <w:widowControl/>
        <w:wordWrap w:val="0"/>
        <w:spacing w:line="460" w:lineRule="exact"/>
        <w:jc w:val="center"/>
        <w:rPr>
          <w:rFonts w:hint="eastAsia" w:ascii="宋体" w:hAnsi="宋体" w:cs="宋体"/>
          <w:sz w:val="28"/>
          <w:szCs w:val="28"/>
          <w:u w:val="single"/>
        </w:rPr>
      </w:pPr>
      <w:r>
        <w:rPr>
          <w:rFonts w:hint="eastAsia" w:ascii="宋体" w:hAnsi="宋体" w:cs="宋体"/>
          <w:sz w:val="28"/>
          <w:szCs w:val="28"/>
          <w:lang w:val="en-US" w:eastAsia="zh-CN"/>
        </w:rPr>
        <w:t xml:space="preserve">          </w:t>
      </w:r>
      <w:r>
        <w:rPr>
          <w:rFonts w:hint="eastAsia" w:ascii="宋体" w:hAnsi="宋体" w:cs="宋体"/>
          <w:sz w:val="28"/>
          <w:szCs w:val="28"/>
        </w:rPr>
        <w:t>法定代表人或委托代理人（签字或盖章）：</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BADFE74">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3D079370">
      <w:pPr>
        <w:widowControl/>
        <w:wordWrap w:val="0"/>
        <w:spacing w:line="460" w:lineRule="exact"/>
        <w:ind w:firstLine="482" w:firstLineChars="200"/>
        <w:jc w:val="left"/>
        <w:rPr>
          <w:rFonts w:hint="eastAsia" w:ascii="宋体" w:hAnsi="宋体" w:cs="宋体"/>
          <w:b/>
          <w:kern w:val="0"/>
          <w:sz w:val="24"/>
        </w:rPr>
      </w:pPr>
    </w:p>
    <w:p w14:paraId="66B00DB8">
      <w:pPr>
        <w:pStyle w:val="4"/>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bookmarkEnd w:id="64"/>
    <w:bookmarkEnd w:id="65"/>
    <w:p w14:paraId="7FA06D08">
      <w:pPr>
        <w:pStyle w:val="2"/>
        <w:keepNext w:val="0"/>
        <w:snapToGrid w:val="0"/>
        <w:spacing w:before="20" w:after="20" w:line="360" w:lineRule="auto"/>
        <w:jc w:val="center"/>
        <w:rPr>
          <w:rFonts w:hint="eastAsia" w:ascii="宋体" w:hAnsi="宋体" w:eastAsia="宋体" w:cs="宋体"/>
          <w:sz w:val="28"/>
          <w:szCs w:val="28"/>
        </w:rPr>
      </w:pPr>
      <w:bookmarkStart w:id="79" w:name="_Toc14560"/>
      <w:bookmarkStart w:id="80" w:name="_Toc8818"/>
      <w:r>
        <w:rPr>
          <w:rFonts w:hint="eastAsia" w:ascii="宋体" w:hAnsi="宋体" w:eastAsia="宋体" w:cs="宋体"/>
          <w:sz w:val="28"/>
          <w:szCs w:val="28"/>
        </w:rPr>
        <w:t>附件2      竞争性磋商响应书（格式）</w:t>
      </w:r>
      <w:bookmarkEnd w:id="79"/>
      <w:bookmarkEnd w:id="80"/>
    </w:p>
    <w:p w14:paraId="46056E97">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驻马店市中心医院</w:t>
      </w:r>
      <w:r>
        <w:rPr>
          <w:rFonts w:hint="eastAsia" w:ascii="宋体" w:hAnsi="宋体" w:cs="宋体"/>
          <w:kern w:val="0"/>
          <w:szCs w:val="21"/>
          <w:highlight w:val="none"/>
        </w:rPr>
        <w:t>：</w:t>
      </w:r>
    </w:p>
    <w:p w14:paraId="080BEF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现</w:t>
      </w:r>
      <w:r>
        <w:rPr>
          <w:rFonts w:hint="eastAsia" w:ascii="宋体" w:hAnsi="宋体" w:cs="宋体"/>
          <w:kern w:val="0"/>
          <w:szCs w:val="21"/>
        </w:rPr>
        <w:t>委托</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w:t>
      </w:r>
    </w:p>
    <w:p w14:paraId="4CDCDE37">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w:t>
      </w:r>
      <w:r>
        <w:rPr>
          <w:rFonts w:hint="eastAsia" w:ascii="宋体" w:hAnsi="宋体" w:cs="宋体"/>
          <w:kern w:val="0"/>
          <w:szCs w:val="21"/>
          <w:lang w:val="en-US" w:eastAsia="zh-CN"/>
        </w:rPr>
        <w:t>磋商</w:t>
      </w:r>
      <w:r>
        <w:rPr>
          <w:rFonts w:hint="eastAsia" w:ascii="宋体" w:hAnsi="宋体" w:cs="宋体"/>
          <w:kern w:val="0"/>
          <w:szCs w:val="21"/>
        </w:rPr>
        <w:t>有关事项郑重声明并宣布同意如下：</w:t>
      </w:r>
    </w:p>
    <w:p w14:paraId="647E2DB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1、我方愿意向贵方提供任何与本竞争性磋商项目有关的数据、情况和技术资料，并保证其真实、合法、有效、完整。</w:t>
      </w:r>
    </w:p>
    <w:p w14:paraId="63D836EF">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2、我方我方响应文件有效期为自磋商之日起</w:t>
      </w:r>
      <w:r>
        <w:rPr>
          <w:rFonts w:hint="eastAsia" w:ascii="宋体" w:hAnsi="宋体" w:cs="宋体"/>
          <w:kern w:val="0"/>
          <w:szCs w:val="21"/>
          <w:lang w:val="en-US" w:eastAsia="zh-CN"/>
        </w:rPr>
        <w:t>6</w:t>
      </w:r>
      <w:r>
        <w:rPr>
          <w:rFonts w:hint="eastAsia" w:ascii="宋体" w:hAnsi="宋体" w:eastAsia="宋体" w:cs="宋体"/>
          <w:kern w:val="0"/>
          <w:szCs w:val="21"/>
        </w:rPr>
        <w:t>0天，同意在响应文件有效期内遵守本响应文件中的承诺且在此期限期满之前均具有约束力。如果我方成交，响应文件有效期与合同履行期相同。</w:t>
      </w:r>
    </w:p>
    <w:p w14:paraId="5CEE5EF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3、我方已详细审查全部采购文件，包括修改文件（如有的话）和有关附件，将自行承担因对全部采购文件理解不正确或误解而产生的相应后果。</w:t>
      </w:r>
    </w:p>
    <w:p w14:paraId="49751B5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4、我方尊重磋商小组的评审结果，完全理解本采购项目最低投标价不作为成交的保证。</w:t>
      </w:r>
    </w:p>
    <w:p w14:paraId="2281F8A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5、如果被确定为成交供应商，我方同意按采购文件的规定领取成交通知书并缴纳服务费。否则，视为我方成交后自动放弃成交资格，承担由此引起的一切后果。</w:t>
      </w:r>
    </w:p>
    <w:p w14:paraId="609EA593">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6、如果被确定为成交供应商，我方同意在领取成交通知书之日起30日内与采购人签订采购合同。否则，视为我方成交后无正当理由不与采购人签订合同并承担相应法律责任。</w:t>
      </w:r>
    </w:p>
    <w:p w14:paraId="62DF3437">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7、以上事项如有虚假或隐瞒，我方愿意承担一切后果和责任。</w:t>
      </w:r>
    </w:p>
    <w:p w14:paraId="40842A0A">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578DE2C">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w:t>
      </w:r>
    </w:p>
    <w:p w14:paraId="68F0363E">
      <w:pPr>
        <w:wordWrap w:val="0"/>
        <w:spacing w:line="460" w:lineRule="exact"/>
        <w:ind w:firstLine="420" w:firstLineChars="200"/>
        <w:jc w:val="left"/>
        <w:rPr>
          <w:rFonts w:hint="eastAsia" w:ascii="宋体" w:hAnsi="宋体" w:cs="宋体"/>
          <w:kern w:val="0"/>
          <w:szCs w:val="21"/>
        </w:rPr>
      </w:pPr>
    </w:p>
    <w:p w14:paraId="625DD6D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w:t>
      </w:r>
      <w:r>
        <w:rPr>
          <w:rFonts w:hint="eastAsia" w:ascii="宋体" w:hAnsi="宋体" w:cs="宋体"/>
          <w:szCs w:val="21"/>
          <w:u w:val="single"/>
        </w:rPr>
        <w:t xml:space="preserve">             </w:t>
      </w:r>
    </w:p>
    <w:p w14:paraId="376ABD0C">
      <w:pPr>
        <w:wordWrap w:val="0"/>
        <w:spacing w:line="460" w:lineRule="exact"/>
        <w:ind w:firstLine="735" w:firstLineChars="35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4E336C6">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08E2C151">
      <w:pPr>
        <w:rPr>
          <w:rFonts w:hint="eastAsia" w:ascii="宋体" w:hAnsi="宋体" w:cs="宋体"/>
          <w:sz w:val="28"/>
          <w:szCs w:val="28"/>
        </w:rPr>
      </w:pPr>
      <w:r>
        <w:rPr>
          <w:rFonts w:hint="eastAsia" w:ascii="宋体" w:hAnsi="宋体" w:cs="宋体"/>
          <w:sz w:val="28"/>
          <w:szCs w:val="28"/>
        </w:rPr>
        <w:br w:type="page"/>
      </w:r>
    </w:p>
    <w:p w14:paraId="279CE73C">
      <w:pPr>
        <w:rPr>
          <w:rFonts w:hint="eastAsia" w:ascii="宋体" w:hAnsi="宋体" w:cs="宋体"/>
        </w:rPr>
      </w:pPr>
    </w:p>
    <w:p w14:paraId="25ACF19D">
      <w:pPr>
        <w:pStyle w:val="2"/>
        <w:snapToGrid w:val="0"/>
        <w:spacing w:before="20" w:after="20" w:line="360" w:lineRule="auto"/>
        <w:jc w:val="center"/>
        <w:rPr>
          <w:rFonts w:hint="eastAsia" w:ascii="宋体" w:hAnsi="宋体" w:eastAsia="宋体" w:cs="宋体"/>
          <w:sz w:val="28"/>
          <w:szCs w:val="28"/>
        </w:rPr>
      </w:pPr>
      <w:bookmarkStart w:id="81" w:name="_Toc7838"/>
      <w:r>
        <w:rPr>
          <w:rFonts w:hint="eastAsia" w:ascii="宋体" w:hAnsi="宋体" w:eastAsia="宋体" w:cs="宋体"/>
          <w:sz w:val="28"/>
          <w:szCs w:val="28"/>
        </w:rPr>
        <w:t>附件3        初次报价一览表</w:t>
      </w:r>
      <w:bookmarkEnd w:id="81"/>
      <w:r>
        <w:rPr>
          <w:rFonts w:hint="eastAsia" w:ascii="宋体" w:hAnsi="宋体" w:eastAsia="宋体" w:cs="宋体"/>
          <w:sz w:val="28"/>
          <w:szCs w:val="28"/>
        </w:rPr>
        <w:t>（格式）</w:t>
      </w:r>
    </w:p>
    <w:p w14:paraId="76BDD226">
      <w:pPr>
        <w:spacing w:line="239" w:lineRule="auto"/>
        <w:jc w:val="right"/>
        <w:rPr>
          <w:rFonts w:hint="eastAsia" w:ascii="宋体" w:hAnsi="宋体" w:cs="宋体"/>
          <w:sz w:val="21"/>
          <w:szCs w:val="21"/>
        </w:rPr>
      </w:pPr>
      <w:r>
        <w:rPr>
          <w:rFonts w:hint="eastAsia" w:ascii="宋体" w:hAnsi="宋体" w:cs="宋体"/>
          <w:sz w:val="21"/>
          <w:szCs w:val="21"/>
        </w:rPr>
        <w:t>单位：人民币（元）</w:t>
      </w:r>
    </w:p>
    <w:p w14:paraId="6B33EBE5">
      <w:pPr>
        <w:rPr>
          <w:rFonts w:hint="eastAsia" w:ascii="宋体" w:hAnsi="宋体" w:cs="宋体"/>
        </w:rPr>
      </w:pPr>
    </w:p>
    <w:tbl>
      <w:tblPr>
        <w:tblStyle w:val="3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73"/>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41EDA63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373" w:type="dxa"/>
            <w:noWrap/>
            <w:vAlign w:val="center"/>
          </w:tcPr>
          <w:p w14:paraId="550DF607">
            <w:pPr>
              <w:rPr>
                <w:rFonts w:hint="eastAsia" w:ascii="宋体" w:hAnsi="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78" w:type="dxa"/>
            <w:noWrap/>
            <w:vAlign w:val="center"/>
          </w:tcPr>
          <w:p w14:paraId="1E9B63E4">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373" w:type="dxa"/>
            <w:noWrap/>
            <w:vAlign w:val="center"/>
          </w:tcPr>
          <w:p w14:paraId="4A53DA2D">
            <w:pPr>
              <w:rPr>
                <w:rFonts w:hint="eastAsia" w:ascii="宋体" w:hAnsi="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978" w:type="dxa"/>
            <w:noWrap/>
            <w:vAlign w:val="center"/>
          </w:tcPr>
          <w:p w14:paraId="41348002">
            <w:pPr>
              <w:jc w:val="center"/>
              <w:rPr>
                <w:rFonts w:hint="eastAsia" w:ascii="宋体" w:hAnsi="宋体" w:cs="宋体"/>
                <w:spacing w:val="-20"/>
                <w:szCs w:val="21"/>
              </w:rPr>
            </w:pPr>
            <w:r>
              <w:rPr>
                <w:rFonts w:hint="eastAsia" w:ascii="宋体" w:hAnsi="宋体" w:cs="宋体"/>
                <w:szCs w:val="21"/>
              </w:rPr>
              <w:t>磋商报价</w:t>
            </w:r>
          </w:p>
        </w:tc>
        <w:tc>
          <w:tcPr>
            <w:tcW w:w="7373" w:type="dxa"/>
            <w:noWrap/>
            <w:vAlign w:val="center"/>
          </w:tcPr>
          <w:p w14:paraId="161FB34E">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p>
          <w:p w14:paraId="592E845C">
            <w:pPr>
              <w:rPr>
                <w:rFonts w:hint="eastAsia" w:ascii="宋体" w:hAnsi="宋体" w:cs="宋体"/>
                <w:szCs w:val="21"/>
              </w:rPr>
            </w:pP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cs="宋体"/>
                <w:szCs w:val="21"/>
              </w:rPr>
            </w:pPr>
            <w:r>
              <w:rPr>
                <w:rFonts w:hint="eastAsia" w:ascii="宋体" w:hAnsi="宋体" w:cs="宋体"/>
                <w:szCs w:val="21"/>
              </w:rPr>
              <w:t>备  注</w:t>
            </w:r>
          </w:p>
        </w:tc>
        <w:tc>
          <w:tcPr>
            <w:tcW w:w="7373" w:type="dxa"/>
            <w:noWrap/>
            <w:vAlign w:val="center"/>
          </w:tcPr>
          <w:p w14:paraId="48D86B3A">
            <w:pPr>
              <w:pStyle w:val="21"/>
              <w:ind w:left="0" w:leftChars="0"/>
              <w:rPr>
                <w:rFonts w:hint="eastAsia" w:cs="宋体"/>
                <w:sz w:val="21"/>
                <w:szCs w:val="21"/>
              </w:rPr>
            </w:pPr>
          </w:p>
        </w:tc>
      </w:tr>
    </w:tbl>
    <w:p w14:paraId="74698A4B">
      <w:pPr>
        <w:spacing w:line="360" w:lineRule="auto"/>
        <w:ind w:firstLine="420" w:firstLineChars="200"/>
        <w:rPr>
          <w:rFonts w:hint="eastAsia" w:ascii="宋体" w:hAnsi="宋体" w:cs="宋体"/>
          <w:szCs w:val="21"/>
        </w:rPr>
      </w:pPr>
      <w:r>
        <w:rPr>
          <w:rFonts w:hint="eastAsia" w:ascii="宋体" w:hAnsi="宋体" w:cs="宋体"/>
          <w:kern w:val="0"/>
          <w:szCs w:val="21"/>
        </w:rPr>
        <w:t>注:</w:t>
      </w:r>
      <w:bookmarkStart w:id="82" w:name="_Toc11620"/>
      <w:bookmarkStart w:id="83" w:name="_Toc20877"/>
      <w:r>
        <w:rPr>
          <w:rFonts w:hint="eastAsia" w:ascii="宋体" w:hAnsi="宋体" w:cs="宋体"/>
          <w:szCs w:val="21"/>
        </w:rPr>
        <w:t>1、报价一经涂改，应在涂改处加盖单位公章或</w:t>
      </w:r>
      <w:r>
        <w:rPr>
          <w:rFonts w:hint="eastAsia" w:ascii="宋体" w:hAnsi="宋体" w:cs="宋体"/>
          <w:szCs w:val="21"/>
          <w:lang w:val="en-US" w:eastAsia="zh-CN"/>
        </w:rPr>
        <w:t>供应商</w:t>
      </w:r>
      <w:r>
        <w:rPr>
          <w:rFonts w:hint="eastAsia" w:ascii="宋体" w:hAnsi="宋体" w:cs="宋体"/>
          <w:szCs w:val="21"/>
        </w:rPr>
        <w:t>代表签字或盖章，否则其</w:t>
      </w:r>
      <w:r>
        <w:rPr>
          <w:rFonts w:hint="eastAsia" w:ascii="宋体" w:hAnsi="宋体" w:cs="宋体"/>
          <w:szCs w:val="21"/>
          <w:lang w:val="en-US" w:eastAsia="zh-CN"/>
        </w:rPr>
        <w:t>磋商</w:t>
      </w:r>
      <w:r>
        <w:rPr>
          <w:rFonts w:hint="eastAsia" w:ascii="宋体" w:hAnsi="宋体" w:cs="宋体"/>
          <w:szCs w:val="21"/>
        </w:rPr>
        <w:t>作无效标处理。</w:t>
      </w:r>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bookmarkStart w:id="84" w:name="_Toc2747"/>
      <w:r>
        <w:rPr>
          <w:rFonts w:hint="eastAsia" w:ascii="宋体" w:hAnsi="宋体" w:cs="宋体"/>
          <w:szCs w:val="21"/>
        </w:rPr>
        <w:t>2、</w:t>
      </w:r>
      <w:bookmarkEnd w:id="84"/>
      <w:r>
        <w:rPr>
          <w:rFonts w:hint="eastAsia" w:ascii="宋体" w:hAnsi="宋体" w:cs="宋体"/>
          <w:szCs w:val="21"/>
          <w:lang w:val="en-US" w:eastAsia="zh-CN"/>
        </w:rPr>
        <w:t>供应商</w:t>
      </w:r>
      <w:r>
        <w:rPr>
          <w:rFonts w:hint="eastAsia" w:ascii="宋体" w:hAnsi="宋体" w:cs="宋体"/>
          <w:szCs w:val="21"/>
        </w:rPr>
        <w:t>按格式填列，不得自行更改。否则引起的不利后果由</w:t>
      </w:r>
      <w:r>
        <w:rPr>
          <w:rFonts w:hint="eastAsia" w:ascii="宋体" w:hAnsi="宋体" w:cs="宋体"/>
          <w:szCs w:val="21"/>
          <w:lang w:val="en-US" w:eastAsia="zh-CN"/>
        </w:rPr>
        <w:t>供应商</w:t>
      </w:r>
      <w:r>
        <w:rPr>
          <w:rFonts w:hint="eastAsia" w:ascii="宋体" w:hAnsi="宋体" w:cs="宋体"/>
          <w:szCs w:val="21"/>
        </w:rPr>
        <w:t>承担。</w:t>
      </w:r>
    </w:p>
    <w:p w14:paraId="46362479">
      <w:pPr>
        <w:spacing w:line="360" w:lineRule="auto"/>
        <w:ind w:firstLine="420" w:firstLineChars="200"/>
        <w:jc w:val="center"/>
        <w:rPr>
          <w:rFonts w:hint="eastAsia" w:ascii="宋体" w:hAnsi="宋体" w:cs="宋体"/>
          <w:szCs w:val="21"/>
        </w:rPr>
      </w:pPr>
    </w:p>
    <w:bookmarkEnd w:id="82"/>
    <w:bookmarkEnd w:id="83"/>
    <w:p w14:paraId="03579BB3">
      <w:pPr>
        <w:spacing w:line="360" w:lineRule="auto"/>
        <w:ind w:firstLine="420" w:firstLineChars="200"/>
        <w:jc w:val="center"/>
        <w:rPr>
          <w:rFonts w:hint="eastAsia" w:ascii="宋体" w:hAnsi="宋体" w:cs="宋体"/>
          <w:szCs w:val="21"/>
          <w:u w:val="single"/>
        </w:rPr>
      </w:pPr>
      <w:bookmarkStart w:id="85" w:name="_Toc625"/>
      <w:bookmarkStart w:id="86" w:name="_Toc12222"/>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5"/>
      <w:bookmarkEnd w:id="86"/>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37B11658">
      <w:pPr>
        <w:widowControl/>
        <w:spacing w:line="360" w:lineRule="auto"/>
        <w:ind w:firstLine="2730" w:firstLineChars="13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63B29E99">
      <w:pPr>
        <w:jc w:val="center"/>
        <w:rPr>
          <w:rFonts w:hint="eastAsia" w:ascii="宋体" w:hAnsi="宋体" w:cs="宋体"/>
          <w:szCs w:val="21"/>
        </w:rPr>
      </w:pPr>
    </w:p>
    <w:p w14:paraId="48FF02E1">
      <w:pPr>
        <w:spacing w:line="360" w:lineRule="auto"/>
        <w:ind w:firstLine="420" w:firstLineChars="200"/>
        <w:jc w:val="center"/>
        <w:rPr>
          <w:rFonts w:hint="eastAsia" w:ascii="宋体" w:hAnsi="宋体" w:cs="宋体"/>
        </w:rPr>
      </w:pPr>
      <w:bookmarkStart w:id="87" w:name="_Toc1330"/>
      <w:bookmarkStart w:id="88" w:name="_Toc9950"/>
      <w:r>
        <w:rPr>
          <w:rFonts w:hint="eastAsia" w:ascii="宋体" w:hAnsi="宋体" w:cs="宋体"/>
          <w:szCs w:val="21"/>
        </w:rPr>
        <w:t>年  月  日</w:t>
      </w:r>
      <w:bookmarkEnd w:id="87"/>
      <w:bookmarkEnd w:id="88"/>
    </w:p>
    <w:p w14:paraId="50B865E6">
      <w:pPr>
        <w:rPr>
          <w:rFonts w:hint="eastAsia" w:ascii="宋体" w:hAnsi="宋体" w:cs="宋体"/>
        </w:rPr>
      </w:pPr>
    </w:p>
    <w:p w14:paraId="4FD0AF5A">
      <w:pPr>
        <w:spacing w:before="20" w:after="20"/>
        <w:rPr>
          <w:rFonts w:hint="eastAsia" w:ascii="宋体" w:hAnsi="宋体" w:cs="宋体"/>
        </w:rPr>
      </w:pPr>
      <w:bookmarkStart w:id="89" w:name="_Toc24984"/>
      <w:bookmarkStart w:id="90" w:name="_Toc22004"/>
    </w:p>
    <w:p w14:paraId="3A3F3D64">
      <w:pPr>
        <w:rPr>
          <w:rFonts w:hint="eastAsia" w:ascii="宋体" w:hAnsi="宋体" w:cs="宋体"/>
        </w:rPr>
      </w:pPr>
    </w:p>
    <w:p w14:paraId="40040236">
      <w:pPr>
        <w:rPr>
          <w:rFonts w:hint="eastAsia" w:ascii="宋体" w:hAnsi="宋体" w:cs="宋体"/>
        </w:rPr>
      </w:pPr>
      <w:r>
        <w:rPr>
          <w:rFonts w:hint="eastAsia" w:ascii="宋体" w:hAnsi="宋体" w:cs="宋体"/>
        </w:rPr>
        <w:br w:type="page"/>
      </w:r>
    </w:p>
    <w:bookmarkEnd w:id="89"/>
    <w:bookmarkEnd w:id="90"/>
    <w:p w14:paraId="263DFF90">
      <w:pPr>
        <w:pStyle w:val="2"/>
        <w:snapToGrid w:val="0"/>
        <w:spacing w:before="20" w:after="20" w:line="360" w:lineRule="auto"/>
        <w:ind w:firstLine="1124" w:firstLineChars="400"/>
        <w:rPr>
          <w:rFonts w:hint="eastAsia" w:ascii="宋体" w:hAnsi="宋体" w:eastAsia="宋体" w:cs="宋体"/>
          <w:sz w:val="28"/>
          <w:szCs w:val="28"/>
        </w:rPr>
      </w:pPr>
      <w:bookmarkStart w:id="91" w:name="_Toc15804"/>
      <w:bookmarkStart w:id="92" w:name="_Toc226"/>
      <w:r>
        <w:rPr>
          <w:rFonts w:hint="eastAsia" w:ascii="宋体" w:hAnsi="宋体" w:eastAsia="宋体" w:cs="宋体"/>
          <w:sz w:val="28"/>
          <w:szCs w:val="28"/>
        </w:rPr>
        <w:t xml:space="preserve">附件4 </w:t>
      </w:r>
      <w:bookmarkEnd w:id="91"/>
      <w:bookmarkEnd w:id="92"/>
      <w:r>
        <w:rPr>
          <w:rFonts w:hint="eastAsia" w:ascii="宋体" w:hAnsi="宋体" w:eastAsia="宋体" w:cs="宋体"/>
          <w:sz w:val="28"/>
          <w:szCs w:val="28"/>
        </w:rPr>
        <w:t xml:space="preserve">           技术响应表（格式）</w:t>
      </w:r>
    </w:p>
    <w:p w14:paraId="148B3B43"/>
    <w:p w14:paraId="3C6D4338"/>
    <w:tbl>
      <w:tblPr>
        <w:tblStyle w:val="92"/>
        <w:tblW w:w="94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181"/>
        <w:gridCol w:w="1005"/>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181"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005"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181" w:type="dxa"/>
            <w:vAlign w:val="center"/>
          </w:tcPr>
          <w:p w14:paraId="79DC5201">
            <w:pPr>
              <w:widowControl/>
              <w:spacing w:line="360" w:lineRule="auto"/>
              <w:jc w:val="center"/>
              <w:textAlignment w:val="baseline"/>
              <w:rPr>
                <w:rFonts w:hint="eastAsia" w:ascii="宋体" w:hAnsi="宋体" w:cs="宋体"/>
                <w:szCs w:val="21"/>
              </w:rPr>
            </w:pPr>
          </w:p>
        </w:tc>
        <w:tc>
          <w:tcPr>
            <w:tcW w:w="1005"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181" w:type="dxa"/>
            <w:vAlign w:val="center"/>
          </w:tcPr>
          <w:p w14:paraId="3B9C0A2D">
            <w:pPr>
              <w:widowControl/>
              <w:spacing w:line="360" w:lineRule="auto"/>
              <w:jc w:val="center"/>
              <w:textAlignment w:val="baseline"/>
              <w:rPr>
                <w:rFonts w:hint="eastAsia" w:ascii="宋体" w:hAnsi="宋体" w:cs="宋体"/>
                <w:szCs w:val="21"/>
              </w:rPr>
            </w:pPr>
          </w:p>
        </w:tc>
        <w:tc>
          <w:tcPr>
            <w:tcW w:w="1005"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181" w:type="dxa"/>
            <w:vAlign w:val="center"/>
          </w:tcPr>
          <w:p w14:paraId="38EE5D06">
            <w:pPr>
              <w:widowControl/>
              <w:spacing w:line="360" w:lineRule="auto"/>
              <w:jc w:val="center"/>
              <w:textAlignment w:val="baseline"/>
              <w:rPr>
                <w:rFonts w:hint="eastAsia" w:ascii="宋体" w:hAnsi="宋体" w:cs="宋体"/>
                <w:szCs w:val="21"/>
              </w:rPr>
            </w:pPr>
          </w:p>
        </w:tc>
        <w:tc>
          <w:tcPr>
            <w:tcW w:w="1005"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44185BFB">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73F551B9">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254D158D">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940991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54FA5A9D">
      <w:pPr>
        <w:pStyle w:val="2"/>
        <w:snapToGrid w:val="0"/>
        <w:spacing w:before="20" w:after="20" w:line="360" w:lineRule="auto"/>
        <w:jc w:val="center"/>
        <w:rPr>
          <w:rFonts w:hint="eastAsia" w:ascii="宋体" w:hAnsi="宋体" w:eastAsia="宋体" w:cs="宋体"/>
          <w:sz w:val="28"/>
          <w:szCs w:val="28"/>
        </w:rPr>
      </w:pPr>
      <w:bookmarkStart w:id="93" w:name="_Toc29960"/>
      <w:bookmarkStart w:id="94" w:name="_Toc20420"/>
      <w:bookmarkStart w:id="95" w:name="_Toc24168"/>
      <w:r>
        <w:rPr>
          <w:rFonts w:hint="eastAsia" w:ascii="宋体" w:hAnsi="宋体" w:eastAsia="宋体" w:cs="宋体"/>
          <w:sz w:val="28"/>
          <w:szCs w:val="28"/>
        </w:rPr>
        <w:t>附件</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商务响应</w:t>
      </w:r>
      <w:bookmarkEnd w:id="93"/>
      <w:bookmarkEnd w:id="94"/>
      <w:bookmarkEnd w:id="95"/>
      <w:r>
        <w:rPr>
          <w:rFonts w:hint="eastAsia" w:ascii="宋体" w:hAnsi="宋体" w:eastAsia="宋体" w:cs="宋体"/>
          <w:sz w:val="28"/>
          <w:szCs w:val="28"/>
        </w:rPr>
        <w:t>表（格式）</w:t>
      </w:r>
    </w:p>
    <w:p w14:paraId="02719D96">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15AA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046B6936">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序号</w:t>
            </w:r>
          </w:p>
        </w:tc>
        <w:tc>
          <w:tcPr>
            <w:tcW w:w="2301" w:type="dxa"/>
            <w:vAlign w:val="center"/>
          </w:tcPr>
          <w:p w14:paraId="4F2638AD">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项目</w:t>
            </w:r>
          </w:p>
        </w:tc>
        <w:tc>
          <w:tcPr>
            <w:tcW w:w="2198" w:type="dxa"/>
            <w:vAlign w:val="center"/>
          </w:tcPr>
          <w:p w14:paraId="6A4DE52B">
            <w:pPr>
              <w:widowControl/>
              <w:spacing w:line="360" w:lineRule="auto"/>
              <w:jc w:val="center"/>
              <w:textAlignment w:val="baseline"/>
              <w:rPr>
                <w:rFonts w:hint="eastAsia" w:ascii="宋体" w:hAnsi="宋体" w:cs="宋体"/>
                <w:sz w:val="22"/>
                <w:szCs w:val="22"/>
              </w:rPr>
            </w:pPr>
            <w:r>
              <w:rPr>
                <w:rFonts w:hint="eastAsia" w:ascii="宋体" w:hAnsi="宋体" w:cs="宋体"/>
                <w:sz w:val="22"/>
                <w:szCs w:val="22"/>
              </w:rPr>
              <w:t>磋商文件要求</w:t>
            </w:r>
          </w:p>
        </w:tc>
        <w:tc>
          <w:tcPr>
            <w:tcW w:w="2038" w:type="dxa"/>
            <w:vAlign w:val="center"/>
          </w:tcPr>
          <w:p w14:paraId="0105C6CA">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响应文件响应</w:t>
            </w:r>
          </w:p>
        </w:tc>
        <w:tc>
          <w:tcPr>
            <w:tcW w:w="1349" w:type="dxa"/>
            <w:vAlign w:val="center"/>
          </w:tcPr>
          <w:p w14:paraId="6AFFBC5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偏离情况</w:t>
            </w:r>
          </w:p>
        </w:tc>
        <w:tc>
          <w:tcPr>
            <w:tcW w:w="1349" w:type="dxa"/>
            <w:vAlign w:val="center"/>
          </w:tcPr>
          <w:p w14:paraId="791E6064">
            <w:pPr>
              <w:widowControl/>
              <w:spacing w:line="360" w:lineRule="auto"/>
              <w:jc w:val="center"/>
              <w:textAlignment w:val="baseline"/>
              <w:rPr>
                <w:rFonts w:hint="eastAsia" w:ascii="宋体" w:hAnsi="宋体" w:eastAsia="宋体" w:cs="宋体"/>
                <w:sz w:val="22"/>
                <w:szCs w:val="22"/>
              </w:rPr>
            </w:pPr>
            <w:r>
              <w:rPr>
                <w:rFonts w:hint="eastAsia" w:ascii="宋体" w:hAnsi="宋体" w:eastAsia="宋体" w:cs="宋体"/>
                <w:sz w:val="22"/>
                <w:szCs w:val="22"/>
              </w:rPr>
              <w:t>备注</w:t>
            </w:r>
          </w:p>
        </w:tc>
      </w:tr>
      <w:tr w14:paraId="27B7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301454C">
            <w:pPr>
              <w:widowControl/>
              <w:spacing w:line="360" w:lineRule="auto"/>
              <w:jc w:val="center"/>
              <w:textAlignment w:val="baseline"/>
              <w:rPr>
                <w:rFonts w:hint="eastAsia" w:ascii="宋体" w:hAnsi="宋体" w:cs="宋体"/>
                <w:sz w:val="22"/>
                <w:szCs w:val="22"/>
                <w:highlight w:val="none"/>
              </w:rPr>
            </w:pPr>
            <w:r>
              <w:rPr>
                <w:rFonts w:hint="eastAsia" w:ascii="宋体" w:hAnsi="宋体" w:cs="宋体"/>
                <w:sz w:val="22"/>
                <w:szCs w:val="22"/>
                <w:highlight w:val="none"/>
              </w:rPr>
              <w:t>1</w:t>
            </w:r>
          </w:p>
        </w:tc>
        <w:tc>
          <w:tcPr>
            <w:tcW w:w="2301" w:type="dxa"/>
            <w:vAlign w:val="center"/>
          </w:tcPr>
          <w:p w14:paraId="549D9542">
            <w:pPr>
              <w:pStyle w:val="15"/>
              <w:shd w:val="clear"/>
              <w:jc w:val="center"/>
              <w:rPr>
                <w:rFonts w:hint="eastAsia"/>
                <w:sz w:val="22"/>
                <w:szCs w:val="22"/>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2198" w:type="dxa"/>
            <w:vAlign w:val="center"/>
          </w:tcPr>
          <w:p w14:paraId="59ACFF30">
            <w:pPr>
              <w:widowControl/>
              <w:spacing w:line="360" w:lineRule="auto"/>
              <w:jc w:val="center"/>
              <w:textAlignment w:val="baseline"/>
              <w:rPr>
                <w:rFonts w:hint="eastAsia" w:ascii="宋体" w:hAnsi="宋体" w:cs="宋体"/>
                <w:sz w:val="22"/>
                <w:szCs w:val="22"/>
              </w:rPr>
            </w:pPr>
          </w:p>
        </w:tc>
        <w:tc>
          <w:tcPr>
            <w:tcW w:w="2038" w:type="dxa"/>
            <w:vAlign w:val="center"/>
          </w:tcPr>
          <w:p w14:paraId="7A38E81D">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8397382">
            <w:pPr>
              <w:widowControl/>
              <w:spacing w:line="360" w:lineRule="auto"/>
              <w:jc w:val="center"/>
              <w:textAlignment w:val="baseline"/>
              <w:rPr>
                <w:rFonts w:hint="eastAsia" w:ascii="宋体" w:hAnsi="宋体" w:eastAsia="宋体" w:cs="宋体"/>
                <w:sz w:val="22"/>
                <w:szCs w:val="22"/>
              </w:rPr>
            </w:pPr>
          </w:p>
        </w:tc>
        <w:tc>
          <w:tcPr>
            <w:tcW w:w="1349" w:type="dxa"/>
            <w:vAlign w:val="center"/>
          </w:tcPr>
          <w:p w14:paraId="63A4F05E">
            <w:pPr>
              <w:widowControl/>
              <w:spacing w:line="360" w:lineRule="auto"/>
              <w:jc w:val="center"/>
              <w:textAlignment w:val="baseline"/>
              <w:rPr>
                <w:rFonts w:hint="eastAsia" w:ascii="宋体" w:hAnsi="宋体" w:eastAsia="宋体" w:cs="宋体"/>
                <w:sz w:val="22"/>
                <w:szCs w:val="22"/>
              </w:rPr>
            </w:pPr>
          </w:p>
        </w:tc>
      </w:tr>
      <w:tr w14:paraId="4A53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95911A1">
            <w:pPr>
              <w:widowControl/>
              <w:spacing w:line="360" w:lineRule="auto"/>
              <w:jc w:val="center"/>
              <w:textAlignment w:val="baseline"/>
              <w:rPr>
                <w:rFonts w:hint="eastAsia" w:ascii="宋体" w:hAnsi="宋体" w:cs="宋体"/>
                <w:sz w:val="22"/>
                <w:szCs w:val="22"/>
                <w:highlight w:val="none"/>
              </w:rPr>
            </w:pPr>
            <w:r>
              <w:rPr>
                <w:rFonts w:hint="eastAsia" w:ascii="宋体" w:hAnsi="宋体" w:cs="宋体"/>
                <w:sz w:val="22"/>
                <w:szCs w:val="22"/>
                <w:highlight w:val="none"/>
              </w:rPr>
              <w:t>2</w:t>
            </w:r>
          </w:p>
        </w:tc>
        <w:tc>
          <w:tcPr>
            <w:tcW w:w="2301" w:type="dxa"/>
            <w:vAlign w:val="center"/>
          </w:tcPr>
          <w:p w14:paraId="5BD596C3">
            <w:pPr>
              <w:pStyle w:val="15"/>
              <w:shd w:val="clear"/>
              <w:jc w:val="center"/>
              <w:rPr>
                <w:rFonts w:hint="eastAsia" w:eastAsia="宋体"/>
                <w:sz w:val="22"/>
                <w:szCs w:val="22"/>
                <w:highlight w:val="none"/>
                <w:lang w:eastAsia="zh-CN"/>
              </w:rPr>
            </w:pPr>
            <w:r>
              <w:rPr>
                <w:rFonts w:hint="eastAsia" w:cs="宋体"/>
                <w:color w:val="auto"/>
                <w:sz w:val="21"/>
                <w:szCs w:val="21"/>
                <w:highlight w:val="none"/>
                <w:lang w:val="en-US" w:eastAsia="zh-CN"/>
              </w:rPr>
              <w:t>质保期</w:t>
            </w:r>
          </w:p>
        </w:tc>
        <w:tc>
          <w:tcPr>
            <w:tcW w:w="2198" w:type="dxa"/>
            <w:vAlign w:val="center"/>
          </w:tcPr>
          <w:p w14:paraId="3B53EEFF">
            <w:pPr>
              <w:widowControl/>
              <w:spacing w:line="360" w:lineRule="auto"/>
              <w:jc w:val="center"/>
              <w:textAlignment w:val="baseline"/>
              <w:rPr>
                <w:rFonts w:hint="eastAsia" w:ascii="宋体" w:hAnsi="宋体" w:cs="宋体"/>
                <w:sz w:val="22"/>
                <w:szCs w:val="22"/>
              </w:rPr>
            </w:pPr>
          </w:p>
        </w:tc>
        <w:tc>
          <w:tcPr>
            <w:tcW w:w="2038" w:type="dxa"/>
            <w:vAlign w:val="center"/>
          </w:tcPr>
          <w:p w14:paraId="00F72318">
            <w:pPr>
              <w:widowControl/>
              <w:spacing w:line="360" w:lineRule="auto"/>
              <w:jc w:val="center"/>
              <w:textAlignment w:val="baseline"/>
              <w:rPr>
                <w:rFonts w:hint="eastAsia" w:ascii="宋体" w:hAnsi="宋体" w:cs="宋体"/>
                <w:sz w:val="22"/>
                <w:szCs w:val="22"/>
              </w:rPr>
            </w:pPr>
          </w:p>
        </w:tc>
        <w:tc>
          <w:tcPr>
            <w:tcW w:w="1349" w:type="dxa"/>
            <w:vAlign w:val="center"/>
          </w:tcPr>
          <w:p w14:paraId="4DDE7497">
            <w:pPr>
              <w:widowControl/>
              <w:spacing w:line="360" w:lineRule="auto"/>
              <w:jc w:val="center"/>
              <w:textAlignment w:val="baseline"/>
              <w:rPr>
                <w:rFonts w:hint="eastAsia" w:ascii="宋体" w:hAnsi="宋体" w:cs="宋体"/>
                <w:sz w:val="22"/>
                <w:szCs w:val="22"/>
              </w:rPr>
            </w:pPr>
          </w:p>
        </w:tc>
        <w:tc>
          <w:tcPr>
            <w:tcW w:w="1349" w:type="dxa"/>
            <w:vAlign w:val="center"/>
          </w:tcPr>
          <w:p w14:paraId="1BD243D4">
            <w:pPr>
              <w:widowControl/>
              <w:spacing w:line="360" w:lineRule="auto"/>
              <w:jc w:val="center"/>
              <w:textAlignment w:val="baseline"/>
              <w:rPr>
                <w:rFonts w:hint="eastAsia" w:ascii="宋体" w:hAnsi="宋体" w:cs="宋体"/>
                <w:sz w:val="22"/>
                <w:szCs w:val="22"/>
              </w:rPr>
            </w:pPr>
          </w:p>
        </w:tc>
      </w:tr>
      <w:tr w14:paraId="1F9C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19AD54AA">
            <w:pPr>
              <w:widowControl/>
              <w:spacing w:line="360" w:lineRule="auto"/>
              <w:jc w:val="center"/>
              <w:textAlignment w:val="baseline"/>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w:t>
            </w:r>
          </w:p>
        </w:tc>
        <w:tc>
          <w:tcPr>
            <w:tcW w:w="2301" w:type="dxa"/>
            <w:vAlign w:val="center"/>
          </w:tcPr>
          <w:p w14:paraId="29F86907">
            <w:pPr>
              <w:pStyle w:val="15"/>
              <w:shd w:val="clear"/>
              <w:jc w:val="center"/>
              <w:rPr>
                <w:rFonts w:hint="eastAsia"/>
                <w:sz w:val="22"/>
                <w:szCs w:val="22"/>
                <w:highlight w:val="none"/>
                <w:lang w:val="en-US" w:eastAsia="zh-CN"/>
              </w:rPr>
            </w:pPr>
            <w:r>
              <w:rPr>
                <w:rFonts w:hint="eastAsia"/>
                <w:color w:val="auto"/>
                <w:sz w:val="21"/>
                <w:szCs w:val="21"/>
                <w:highlight w:val="none"/>
              </w:rPr>
              <w:t>付款条件</w:t>
            </w:r>
          </w:p>
        </w:tc>
        <w:tc>
          <w:tcPr>
            <w:tcW w:w="2198" w:type="dxa"/>
            <w:vAlign w:val="center"/>
          </w:tcPr>
          <w:p w14:paraId="0A1A9ACC">
            <w:pPr>
              <w:widowControl/>
              <w:spacing w:line="360" w:lineRule="auto"/>
              <w:jc w:val="center"/>
              <w:textAlignment w:val="baseline"/>
              <w:rPr>
                <w:rFonts w:hint="eastAsia" w:ascii="宋体" w:hAnsi="宋体" w:cs="宋体"/>
                <w:sz w:val="22"/>
                <w:szCs w:val="22"/>
              </w:rPr>
            </w:pPr>
          </w:p>
        </w:tc>
        <w:tc>
          <w:tcPr>
            <w:tcW w:w="2038" w:type="dxa"/>
            <w:vAlign w:val="center"/>
          </w:tcPr>
          <w:p w14:paraId="14A4822E">
            <w:pPr>
              <w:widowControl/>
              <w:spacing w:line="360" w:lineRule="auto"/>
              <w:jc w:val="center"/>
              <w:textAlignment w:val="baseline"/>
              <w:rPr>
                <w:rFonts w:hint="eastAsia" w:ascii="宋体" w:hAnsi="宋体" w:cs="宋体"/>
                <w:sz w:val="22"/>
                <w:szCs w:val="22"/>
              </w:rPr>
            </w:pPr>
          </w:p>
        </w:tc>
        <w:tc>
          <w:tcPr>
            <w:tcW w:w="1349" w:type="dxa"/>
            <w:vAlign w:val="center"/>
          </w:tcPr>
          <w:p w14:paraId="392DBF46">
            <w:pPr>
              <w:widowControl/>
              <w:spacing w:line="360" w:lineRule="auto"/>
              <w:jc w:val="center"/>
              <w:textAlignment w:val="baseline"/>
              <w:rPr>
                <w:rFonts w:hint="eastAsia" w:ascii="宋体" w:hAnsi="宋体" w:cs="宋体"/>
                <w:sz w:val="22"/>
                <w:szCs w:val="22"/>
              </w:rPr>
            </w:pPr>
          </w:p>
        </w:tc>
        <w:tc>
          <w:tcPr>
            <w:tcW w:w="1349" w:type="dxa"/>
            <w:vAlign w:val="center"/>
          </w:tcPr>
          <w:p w14:paraId="6C96B960">
            <w:pPr>
              <w:widowControl/>
              <w:spacing w:line="360" w:lineRule="auto"/>
              <w:jc w:val="center"/>
              <w:textAlignment w:val="baseline"/>
              <w:rPr>
                <w:rFonts w:hint="eastAsia" w:ascii="宋体" w:hAnsi="宋体" w:cs="宋体"/>
                <w:sz w:val="22"/>
                <w:szCs w:val="22"/>
              </w:rPr>
            </w:pPr>
          </w:p>
        </w:tc>
      </w:tr>
      <w:tr w14:paraId="3AACD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3D0D503C">
            <w:pPr>
              <w:widowControl/>
              <w:spacing w:line="360" w:lineRule="auto"/>
              <w:jc w:val="center"/>
              <w:textAlignment w:val="baseline"/>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4</w:t>
            </w:r>
          </w:p>
        </w:tc>
        <w:tc>
          <w:tcPr>
            <w:tcW w:w="2301" w:type="dxa"/>
            <w:vAlign w:val="center"/>
          </w:tcPr>
          <w:p w14:paraId="0DA1BDE9">
            <w:pPr>
              <w:pStyle w:val="15"/>
              <w:shd w:val="clear"/>
              <w:jc w:val="center"/>
              <w:rPr>
                <w:rFonts w:hint="eastAsia"/>
                <w:sz w:val="22"/>
                <w:szCs w:val="22"/>
                <w:highlight w:val="none"/>
                <w:lang w:val="en-US" w:eastAsia="zh-CN"/>
              </w:rPr>
            </w:pPr>
            <w:r>
              <w:rPr>
                <w:rFonts w:hint="eastAsia"/>
                <w:color w:val="auto"/>
                <w:sz w:val="21"/>
                <w:szCs w:val="21"/>
                <w:highlight w:val="none"/>
              </w:rPr>
              <w:t>包装和运输</w:t>
            </w:r>
          </w:p>
        </w:tc>
        <w:tc>
          <w:tcPr>
            <w:tcW w:w="2198" w:type="dxa"/>
            <w:vAlign w:val="center"/>
          </w:tcPr>
          <w:p w14:paraId="45643E5C">
            <w:pPr>
              <w:widowControl/>
              <w:spacing w:line="360" w:lineRule="auto"/>
              <w:jc w:val="center"/>
              <w:textAlignment w:val="baseline"/>
              <w:rPr>
                <w:rFonts w:hint="eastAsia" w:ascii="宋体" w:hAnsi="宋体" w:cs="宋体"/>
                <w:sz w:val="22"/>
                <w:szCs w:val="22"/>
              </w:rPr>
            </w:pPr>
          </w:p>
        </w:tc>
        <w:tc>
          <w:tcPr>
            <w:tcW w:w="2038" w:type="dxa"/>
            <w:vAlign w:val="center"/>
          </w:tcPr>
          <w:p w14:paraId="714BD85D">
            <w:pPr>
              <w:widowControl/>
              <w:spacing w:line="360" w:lineRule="auto"/>
              <w:jc w:val="center"/>
              <w:textAlignment w:val="baseline"/>
              <w:rPr>
                <w:rFonts w:hint="eastAsia" w:ascii="宋体" w:hAnsi="宋体" w:cs="宋体"/>
                <w:sz w:val="22"/>
                <w:szCs w:val="22"/>
              </w:rPr>
            </w:pPr>
          </w:p>
        </w:tc>
        <w:tc>
          <w:tcPr>
            <w:tcW w:w="1349" w:type="dxa"/>
            <w:vAlign w:val="center"/>
          </w:tcPr>
          <w:p w14:paraId="14718CA0">
            <w:pPr>
              <w:widowControl/>
              <w:spacing w:line="360" w:lineRule="auto"/>
              <w:jc w:val="center"/>
              <w:textAlignment w:val="baseline"/>
              <w:rPr>
                <w:rFonts w:hint="eastAsia" w:ascii="宋体" w:hAnsi="宋体" w:cs="宋体"/>
                <w:sz w:val="22"/>
                <w:szCs w:val="22"/>
              </w:rPr>
            </w:pPr>
          </w:p>
        </w:tc>
        <w:tc>
          <w:tcPr>
            <w:tcW w:w="1349" w:type="dxa"/>
            <w:vAlign w:val="center"/>
          </w:tcPr>
          <w:p w14:paraId="7A12E2BD">
            <w:pPr>
              <w:widowControl/>
              <w:spacing w:line="360" w:lineRule="auto"/>
              <w:jc w:val="center"/>
              <w:textAlignment w:val="baseline"/>
              <w:rPr>
                <w:rFonts w:hint="eastAsia" w:ascii="宋体" w:hAnsi="宋体" w:cs="宋体"/>
                <w:sz w:val="22"/>
                <w:szCs w:val="22"/>
              </w:rPr>
            </w:pPr>
          </w:p>
        </w:tc>
      </w:tr>
      <w:tr w14:paraId="3C54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6020A35">
            <w:pPr>
              <w:widowControl/>
              <w:spacing w:line="360" w:lineRule="auto"/>
              <w:jc w:val="center"/>
              <w:textAlignment w:val="baseline"/>
              <w:rPr>
                <w:rFonts w:hint="eastAsia" w:ascii="宋体" w:hAnsi="宋体" w:eastAsia="宋体" w:cs="宋体"/>
                <w:sz w:val="22"/>
                <w:szCs w:val="22"/>
                <w:highlight w:val="none"/>
                <w:lang w:val="en-US" w:eastAsia="zh-CN"/>
              </w:rPr>
            </w:pPr>
          </w:p>
        </w:tc>
        <w:tc>
          <w:tcPr>
            <w:tcW w:w="2301" w:type="dxa"/>
            <w:vAlign w:val="center"/>
          </w:tcPr>
          <w:p w14:paraId="654CDFA0">
            <w:pPr>
              <w:pStyle w:val="15"/>
              <w:shd w:val="clear"/>
              <w:jc w:val="center"/>
              <w:rPr>
                <w:rFonts w:hint="eastAsia"/>
                <w:sz w:val="22"/>
                <w:szCs w:val="22"/>
                <w:highlight w:val="none"/>
                <w:lang w:val="en-US" w:eastAsia="zh-CN"/>
              </w:rPr>
            </w:pPr>
          </w:p>
        </w:tc>
        <w:tc>
          <w:tcPr>
            <w:tcW w:w="2198" w:type="dxa"/>
            <w:vAlign w:val="center"/>
          </w:tcPr>
          <w:p w14:paraId="0157B7B3">
            <w:pPr>
              <w:widowControl/>
              <w:spacing w:line="360" w:lineRule="auto"/>
              <w:jc w:val="center"/>
              <w:textAlignment w:val="baseline"/>
              <w:rPr>
                <w:rFonts w:hint="eastAsia" w:ascii="宋体" w:hAnsi="宋体" w:cs="宋体"/>
                <w:sz w:val="22"/>
                <w:szCs w:val="22"/>
              </w:rPr>
            </w:pPr>
          </w:p>
        </w:tc>
        <w:tc>
          <w:tcPr>
            <w:tcW w:w="2038" w:type="dxa"/>
            <w:vAlign w:val="center"/>
          </w:tcPr>
          <w:p w14:paraId="24667A4D">
            <w:pPr>
              <w:widowControl/>
              <w:spacing w:line="360" w:lineRule="auto"/>
              <w:jc w:val="center"/>
              <w:textAlignment w:val="baseline"/>
              <w:rPr>
                <w:rFonts w:hint="eastAsia" w:ascii="宋体" w:hAnsi="宋体" w:cs="宋体"/>
                <w:sz w:val="22"/>
                <w:szCs w:val="22"/>
              </w:rPr>
            </w:pPr>
          </w:p>
        </w:tc>
        <w:tc>
          <w:tcPr>
            <w:tcW w:w="1349" w:type="dxa"/>
            <w:vAlign w:val="center"/>
          </w:tcPr>
          <w:p w14:paraId="7E66E18A">
            <w:pPr>
              <w:widowControl/>
              <w:spacing w:line="360" w:lineRule="auto"/>
              <w:jc w:val="center"/>
              <w:textAlignment w:val="baseline"/>
              <w:rPr>
                <w:rFonts w:hint="eastAsia" w:ascii="宋体" w:hAnsi="宋体" w:cs="宋体"/>
                <w:sz w:val="22"/>
                <w:szCs w:val="22"/>
              </w:rPr>
            </w:pPr>
          </w:p>
        </w:tc>
        <w:tc>
          <w:tcPr>
            <w:tcW w:w="1349" w:type="dxa"/>
            <w:vAlign w:val="center"/>
          </w:tcPr>
          <w:p w14:paraId="21362561">
            <w:pPr>
              <w:widowControl/>
              <w:spacing w:line="360" w:lineRule="auto"/>
              <w:jc w:val="center"/>
              <w:textAlignment w:val="baseline"/>
              <w:rPr>
                <w:rFonts w:hint="eastAsia" w:ascii="宋体" w:hAnsi="宋体" w:cs="宋体"/>
                <w:sz w:val="22"/>
                <w:szCs w:val="22"/>
              </w:rPr>
            </w:pPr>
          </w:p>
        </w:tc>
      </w:tr>
    </w:tbl>
    <w:p w14:paraId="709B868B">
      <w:pPr>
        <w:rPr>
          <w:rFonts w:hint="eastAsia" w:ascii="宋体" w:hAnsi="宋体" w:cs="宋体"/>
          <w:b/>
          <w:kern w:val="0"/>
          <w:szCs w:val="21"/>
        </w:rPr>
      </w:pPr>
    </w:p>
    <w:p w14:paraId="077A514A">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4A4041C6">
      <w:pPr>
        <w:pStyle w:val="32"/>
        <w:ind w:firstLine="210"/>
        <w:rPr>
          <w:rFonts w:hint="eastAsia" w:ascii="宋体" w:hAnsi="宋体" w:cs="宋体"/>
        </w:rPr>
      </w:pPr>
    </w:p>
    <w:p w14:paraId="7EFDC829">
      <w:pPr>
        <w:widowControl/>
        <w:spacing w:line="360" w:lineRule="auto"/>
        <w:ind w:firstLine="3360" w:firstLineChars="1600"/>
        <w:textAlignment w:val="baseline"/>
        <w:rPr>
          <w:rFonts w:hint="eastAsia" w:ascii="宋体" w:hAnsi="宋体" w:cs="宋体"/>
          <w:szCs w:val="21"/>
        </w:rPr>
      </w:pPr>
    </w:p>
    <w:p w14:paraId="1B695159">
      <w:pPr>
        <w:widowControl/>
        <w:spacing w:line="360" w:lineRule="auto"/>
        <w:ind w:firstLine="3360" w:firstLineChars="1600"/>
        <w:textAlignment w:val="baseline"/>
        <w:rPr>
          <w:rFonts w:hint="eastAsia" w:ascii="宋体" w:hAnsi="宋体" w:cs="宋体"/>
          <w:szCs w:val="21"/>
        </w:rPr>
      </w:pPr>
    </w:p>
    <w:p w14:paraId="289A4833">
      <w:pPr>
        <w:widowControl/>
        <w:spacing w:line="360" w:lineRule="auto"/>
        <w:ind w:firstLine="3360" w:firstLineChars="1600"/>
        <w:textAlignment w:val="baseline"/>
        <w:rPr>
          <w:rFonts w:hint="eastAsia" w:ascii="宋体" w:hAnsi="宋体" w:cs="宋体"/>
          <w:szCs w:val="21"/>
        </w:rPr>
      </w:pPr>
    </w:p>
    <w:p w14:paraId="0C8CFC4F">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2EB930A">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7F5308F0">
      <w:pPr>
        <w:rPr>
          <w:rFonts w:hint="eastAsia" w:ascii="宋体" w:hAnsi="宋体" w:cs="宋体"/>
        </w:rPr>
      </w:pPr>
    </w:p>
    <w:p w14:paraId="4B49EA48">
      <w:pPr>
        <w:rPr>
          <w:rFonts w:hint="eastAsia" w:ascii="宋体" w:hAnsi="宋体" w:cs="宋体"/>
        </w:rPr>
      </w:pPr>
    </w:p>
    <w:p w14:paraId="67AA3891">
      <w:pPr>
        <w:rPr>
          <w:rFonts w:hint="eastAsia" w:ascii="宋体" w:hAnsi="宋体" w:cs="宋体"/>
        </w:rPr>
      </w:pPr>
    </w:p>
    <w:p w14:paraId="5201B336">
      <w:pPr>
        <w:rPr>
          <w:rFonts w:hint="eastAsia" w:ascii="宋体" w:hAnsi="宋体" w:cs="宋体"/>
        </w:rPr>
      </w:pPr>
    </w:p>
    <w:p w14:paraId="0AF71BE3">
      <w:pPr>
        <w:rPr>
          <w:rFonts w:hint="eastAsia" w:ascii="宋体" w:hAnsi="宋体" w:cs="宋体"/>
        </w:rPr>
      </w:pPr>
    </w:p>
    <w:p w14:paraId="289658B2">
      <w:pPr>
        <w:rPr>
          <w:rFonts w:hint="eastAsia" w:ascii="宋体" w:hAnsi="宋体" w:cs="宋体"/>
        </w:rPr>
      </w:pPr>
    </w:p>
    <w:p w14:paraId="5E358277">
      <w:pPr>
        <w:rPr>
          <w:rFonts w:hint="eastAsia" w:ascii="宋体" w:hAnsi="宋体" w:cs="宋体"/>
        </w:rPr>
      </w:pPr>
    </w:p>
    <w:p w14:paraId="5637A3E9">
      <w:pPr>
        <w:rPr>
          <w:rFonts w:hint="eastAsia" w:ascii="宋体" w:hAnsi="宋体" w:cs="宋体"/>
        </w:rPr>
      </w:pPr>
    </w:p>
    <w:p w14:paraId="347F9C34">
      <w:pPr>
        <w:rPr>
          <w:rFonts w:hint="eastAsia" w:ascii="宋体" w:hAnsi="宋体" w:cs="宋体"/>
        </w:rPr>
      </w:pPr>
    </w:p>
    <w:p w14:paraId="68848D29">
      <w:pPr>
        <w:rPr>
          <w:rFonts w:hint="eastAsia" w:ascii="宋体" w:hAnsi="宋体" w:cs="宋体"/>
        </w:rPr>
      </w:pPr>
    </w:p>
    <w:p w14:paraId="65D810F5">
      <w:pPr>
        <w:rPr>
          <w:rFonts w:hint="eastAsia" w:ascii="宋体" w:hAnsi="宋体" w:cs="宋体"/>
        </w:rPr>
      </w:pPr>
    </w:p>
    <w:p w14:paraId="7E54A3B3">
      <w:pPr>
        <w:rPr>
          <w:rFonts w:hint="eastAsia" w:ascii="宋体" w:hAnsi="宋体" w:cs="宋体"/>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4F6731A3">
      <w:pPr>
        <w:pStyle w:val="2"/>
        <w:snapToGrid w:val="0"/>
        <w:spacing w:before="20" w:after="20" w:line="360" w:lineRule="auto"/>
        <w:jc w:val="center"/>
        <w:rPr>
          <w:rFonts w:hint="eastAsia" w:ascii="宋体" w:hAnsi="宋体" w:eastAsia="宋体" w:cs="宋体"/>
          <w:sz w:val="28"/>
          <w:szCs w:val="28"/>
        </w:rPr>
      </w:pPr>
      <w:bookmarkStart w:id="96" w:name="_Toc29406"/>
      <w:bookmarkStart w:id="97" w:name="_Toc28621"/>
      <w:bookmarkStart w:id="98" w:name="_Toc31526"/>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法定代表人身份证明（格式）</w:t>
      </w:r>
      <w:bookmarkEnd w:id="96"/>
      <w:bookmarkEnd w:id="97"/>
      <w:bookmarkEnd w:id="98"/>
    </w:p>
    <w:p w14:paraId="3302750B">
      <w:pPr>
        <w:widowControl/>
        <w:wordWrap w:val="0"/>
        <w:spacing w:line="460" w:lineRule="exact"/>
        <w:jc w:val="left"/>
        <w:rPr>
          <w:rFonts w:hint="eastAsia" w:ascii="宋体" w:hAnsi="宋体" w:cs="宋体"/>
          <w:kern w:val="0"/>
          <w:sz w:val="24"/>
        </w:rPr>
      </w:pPr>
    </w:p>
    <w:p w14:paraId="4C391658">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05EC9F0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0A7A5B31">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520E397A">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13DE0A8E">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1908F8D0">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5B8300B">
      <w:pPr>
        <w:widowControl/>
        <w:wordWrap w:val="0"/>
        <w:spacing w:line="460" w:lineRule="exact"/>
        <w:jc w:val="left"/>
        <w:rPr>
          <w:rFonts w:hint="eastAsia" w:ascii="宋体" w:hAnsi="宋体" w:cs="宋体"/>
          <w:kern w:val="0"/>
          <w:sz w:val="24"/>
          <w:szCs w:val="20"/>
        </w:rPr>
      </w:pPr>
    </w:p>
    <w:p w14:paraId="2753F8BA">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3D2F0B6C">
      <w:pPr>
        <w:widowControl/>
        <w:wordWrap w:val="0"/>
        <w:spacing w:line="460" w:lineRule="exact"/>
        <w:jc w:val="left"/>
        <w:rPr>
          <w:rFonts w:hint="eastAsia" w:ascii="宋体" w:hAnsi="宋体" w:cs="宋体"/>
          <w:kern w:val="0"/>
          <w:sz w:val="24"/>
          <w:szCs w:val="20"/>
        </w:rPr>
      </w:pPr>
    </w:p>
    <w:p w14:paraId="2B9A1A53">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C3A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68ECC16B">
            <w:pPr>
              <w:widowControl/>
              <w:spacing w:line="480" w:lineRule="exact"/>
              <w:jc w:val="left"/>
              <w:rPr>
                <w:rFonts w:hint="eastAsia" w:ascii="宋体" w:hAnsi="宋体" w:eastAsia="宋体" w:cs="宋体"/>
                <w:bCs/>
                <w:kern w:val="0"/>
                <w:sz w:val="24"/>
                <w:lang w:val="en-US" w:eastAsia="zh-CN"/>
              </w:rPr>
            </w:pPr>
            <w:r>
              <w:rPr>
                <w:rFonts w:hint="eastAsia" w:ascii="宋体" w:hAnsi="宋体" w:cs="宋体"/>
                <w:bCs/>
                <w:kern w:val="0"/>
                <w:sz w:val="24"/>
              </w:rPr>
              <w:t>此处请粘贴法定代表人身份</w:t>
            </w:r>
            <w:r>
              <w:rPr>
                <w:rFonts w:hint="eastAsia" w:ascii="宋体" w:hAnsi="宋体" w:cs="宋体"/>
                <w:bCs/>
                <w:kern w:val="0"/>
                <w:sz w:val="24"/>
                <w:lang w:val="en-US" w:eastAsia="zh-CN"/>
              </w:rPr>
              <w:t>证明</w:t>
            </w:r>
          </w:p>
          <w:p w14:paraId="08B67404">
            <w:pPr>
              <w:widowControl/>
              <w:spacing w:line="480" w:lineRule="exact"/>
              <w:jc w:val="left"/>
              <w:rPr>
                <w:rFonts w:hint="eastAsia" w:ascii="宋体" w:hAnsi="宋体" w:cs="宋体"/>
                <w:kern w:val="0"/>
                <w:sz w:val="24"/>
              </w:rPr>
            </w:pPr>
          </w:p>
          <w:p w14:paraId="7D00656C">
            <w:pPr>
              <w:widowControl/>
              <w:spacing w:line="480" w:lineRule="exact"/>
              <w:jc w:val="left"/>
              <w:rPr>
                <w:rFonts w:hint="eastAsia" w:ascii="宋体" w:hAnsi="宋体" w:cs="宋体"/>
                <w:kern w:val="0"/>
                <w:sz w:val="24"/>
              </w:rPr>
            </w:pPr>
          </w:p>
        </w:tc>
      </w:tr>
    </w:tbl>
    <w:p w14:paraId="109C612B">
      <w:pPr>
        <w:widowControl/>
        <w:wordWrap w:val="0"/>
        <w:spacing w:before="319" w:beforeLines="100" w:after="319" w:afterLines="100" w:line="480" w:lineRule="exact"/>
        <w:jc w:val="center"/>
        <w:rPr>
          <w:rFonts w:hint="eastAsia" w:ascii="宋体" w:hAnsi="宋体" w:cs="宋体"/>
          <w:b/>
          <w:kern w:val="0"/>
          <w:sz w:val="24"/>
        </w:rPr>
      </w:pPr>
    </w:p>
    <w:p w14:paraId="549BA32F">
      <w:pPr>
        <w:widowControl/>
        <w:wordWrap w:val="0"/>
        <w:spacing w:before="319" w:beforeLines="100" w:after="319" w:afterLines="100" w:line="480" w:lineRule="exact"/>
        <w:jc w:val="center"/>
        <w:rPr>
          <w:rFonts w:hint="eastAsia" w:ascii="宋体" w:hAnsi="宋体" w:cs="宋体"/>
          <w:b/>
          <w:kern w:val="0"/>
          <w:sz w:val="36"/>
          <w:szCs w:val="36"/>
        </w:rPr>
      </w:pPr>
    </w:p>
    <w:p w14:paraId="34D3805C">
      <w:pPr>
        <w:widowControl/>
        <w:wordWrap w:val="0"/>
        <w:spacing w:before="319" w:beforeLines="100" w:after="319" w:afterLines="100" w:line="480" w:lineRule="exact"/>
        <w:jc w:val="center"/>
        <w:rPr>
          <w:rFonts w:hint="eastAsia" w:ascii="宋体" w:hAnsi="宋体" w:cs="宋体"/>
          <w:b/>
          <w:kern w:val="0"/>
          <w:sz w:val="36"/>
          <w:szCs w:val="36"/>
        </w:rPr>
      </w:pPr>
    </w:p>
    <w:p w14:paraId="62CDA9E9">
      <w:pPr>
        <w:widowControl/>
        <w:wordWrap w:val="0"/>
        <w:spacing w:line="480" w:lineRule="exact"/>
        <w:jc w:val="right"/>
        <w:rPr>
          <w:rFonts w:hint="eastAsia" w:ascii="宋体" w:hAnsi="宋体" w:cs="宋体"/>
          <w:kern w:val="0"/>
          <w:sz w:val="24"/>
        </w:rPr>
      </w:pPr>
    </w:p>
    <w:p w14:paraId="23DFFC4B">
      <w:pPr>
        <w:widowControl/>
        <w:wordWrap w:val="0"/>
        <w:spacing w:line="480" w:lineRule="exact"/>
        <w:jc w:val="right"/>
        <w:rPr>
          <w:rFonts w:hint="eastAsia" w:ascii="宋体" w:hAnsi="宋体" w:cs="宋体"/>
          <w:kern w:val="0"/>
          <w:sz w:val="24"/>
        </w:rPr>
      </w:pPr>
    </w:p>
    <w:p w14:paraId="6C4753B6">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2F3C4869">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2FFC6EF5">
      <w:pPr>
        <w:rPr>
          <w:rFonts w:hint="eastAsia" w:ascii="宋体" w:hAnsi="宋体" w:cs="宋体"/>
        </w:rPr>
      </w:pPr>
    </w:p>
    <w:p w14:paraId="4DEF5A97">
      <w:pPr>
        <w:rPr>
          <w:rFonts w:hint="eastAsia" w:ascii="宋体" w:hAnsi="宋体" w:cs="宋体"/>
        </w:rPr>
      </w:pPr>
      <w:r>
        <w:rPr>
          <w:rFonts w:hint="eastAsia" w:ascii="宋体" w:hAnsi="宋体" w:cs="宋体"/>
        </w:rPr>
        <w:br w:type="page"/>
      </w:r>
    </w:p>
    <w:p w14:paraId="21A69A87">
      <w:pPr>
        <w:pStyle w:val="2"/>
        <w:snapToGrid w:val="0"/>
        <w:spacing w:before="20" w:after="20" w:line="360" w:lineRule="auto"/>
        <w:jc w:val="center"/>
        <w:rPr>
          <w:rFonts w:hint="eastAsia" w:ascii="宋体" w:hAnsi="宋体" w:eastAsia="宋体" w:cs="宋体"/>
          <w:sz w:val="28"/>
          <w:szCs w:val="28"/>
        </w:rPr>
      </w:pPr>
      <w:bookmarkStart w:id="99" w:name="_Toc12939"/>
      <w:bookmarkStart w:id="100" w:name="_Toc30519"/>
      <w:bookmarkStart w:id="101" w:name="_Toc13976"/>
      <w:r>
        <w:rPr>
          <w:rFonts w:hint="eastAsia" w:ascii="宋体" w:hAnsi="宋体" w:eastAsia="宋体" w:cs="宋体"/>
          <w:sz w:val="28"/>
          <w:szCs w:val="28"/>
        </w:rPr>
        <w:t>附件</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法定代表人授权书（格式）</w:t>
      </w:r>
      <w:bookmarkEnd w:id="99"/>
      <w:bookmarkEnd w:id="100"/>
      <w:bookmarkEnd w:id="101"/>
    </w:p>
    <w:p w14:paraId="3FA35B43">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驻马店市中心医院</w:t>
      </w:r>
      <w:r>
        <w:rPr>
          <w:rFonts w:hint="eastAsia" w:ascii="宋体" w:hAnsi="宋体" w:cs="宋体"/>
          <w:kern w:val="0"/>
          <w:szCs w:val="21"/>
          <w:highlight w:val="none"/>
          <w:u w:val="single"/>
        </w:rPr>
        <w:t xml:space="preserve">   </w:t>
      </w:r>
      <w:r>
        <w:rPr>
          <w:rFonts w:hint="eastAsia" w:ascii="宋体" w:hAnsi="宋体" w:cs="宋体"/>
          <w:kern w:val="0"/>
          <w:sz w:val="24"/>
          <w:highlight w:val="none"/>
        </w:rPr>
        <w:t>：</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w:t>
      </w:r>
      <w:r>
        <w:rPr>
          <w:rFonts w:hint="eastAsia" w:ascii="宋体" w:hAnsi="宋体" w:cs="宋体"/>
          <w:kern w:val="0"/>
          <w:sz w:val="24"/>
          <w:lang w:val="en-US" w:eastAsia="zh-CN"/>
        </w:rPr>
        <w:t>磋商</w:t>
      </w:r>
      <w:r>
        <w:rPr>
          <w:rFonts w:hint="eastAsia" w:ascii="宋体" w:hAnsi="宋体" w:cs="宋体"/>
          <w:kern w:val="0"/>
          <w:sz w:val="24"/>
        </w:rPr>
        <w:t>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eastAsia="宋体" w:cs="宋体"/>
                <w:kern w:val="0"/>
                <w:sz w:val="24"/>
                <w:lang w:eastAsia="zh-CN"/>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w:t>
            </w:r>
            <w:r>
              <w:rPr>
                <w:rFonts w:hint="eastAsia" w:ascii="宋体" w:hAnsi="宋体" w:cs="宋体"/>
                <w:bCs/>
                <w:kern w:val="0"/>
                <w:sz w:val="24"/>
                <w:lang w:val="en-US" w:eastAsia="zh-CN"/>
              </w:rPr>
              <w:t>证明</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1CB4B73B">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BE612CC">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246BF713">
      <w:pPr>
        <w:widowControl/>
        <w:spacing w:line="360" w:lineRule="auto"/>
        <w:ind w:firstLine="7228" w:firstLineChars="2250"/>
        <w:jc w:val="left"/>
        <w:rPr>
          <w:rFonts w:hint="eastAsia" w:ascii="宋体" w:hAnsi="宋体" w:cs="宋体"/>
          <w:b/>
          <w:kern w:val="0"/>
          <w:sz w:val="32"/>
          <w:szCs w:val="32"/>
        </w:rPr>
      </w:pPr>
    </w:p>
    <w:p w14:paraId="4877A102">
      <w:pPr>
        <w:rPr>
          <w:rFonts w:hint="eastAsia" w:ascii="宋体" w:hAnsi="宋体" w:cs="宋体"/>
          <w:b/>
          <w:kern w:val="0"/>
          <w:sz w:val="32"/>
          <w:szCs w:val="32"/>
        </w:rPr>
      </w:pPr>
      <w:r>
        <w:rPr>
          <w:rFonts w:hint="eastAsia" w:ascii="宋体" w:hAnsi="宋体" w:cs="宋体"/>
          <w:b/>
          <w:kern w:val="0"/>
          <w:sz w:val="32"/>
          <w:szCs w:val="32"/>
        </w:rPr>
        <w:br w:type="page"/>
      </w:r>
    </w:p>
    <w:p w14:paraId="599EF175">
      <w:pPr>
        <w:pStyle w:val="2"/>
        <w:snapToGrid w:val="0"/>
        <w:spacing w:before="20" w:after="20" w:line="360" w:lineRule="auto"/>
        <w:jc w:val="center"/>
        <w:rPr>
          <w:rFonts w:hint="eastAsia" w:ascii="宋体" w:hAnsi="宋体" w:eastAsia="宋体" w:cs="宋体"/>
          <w:sz w:val="28"/>
          <w:szCs w:val="28"/>
        </w:rPr>
      </w:pPr>
      <w:bookmarkStart w:id="102" w:name="_Toc3342"/>
      <w:bookmarkStart w:id="103" w:name="_Toc24693"/>
      <w:bookmarkStart w:id="104" w:name="_Toc18105"/>
      <w:r>
        <w:rPr>
          <w:rFonts w:hint="eastAsia" w:ascii="宋体" w:hAnsi="宋体" w:eastAsia="宋体" w:cs="宋体"/>
          <w:sz w:val="28"/>
          <w:szCs w:val="28"/>
        </w:rPr>
        <w:t>附件</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证明文件</w:t>
      </w:r>
      <w:bookmarkEnd w:id="102"/>
      <w:bookmarkEnd w:id="103"/>
      <w:bookmarkEnd w:id="104"/>
    </w:p>
    <w:p w14:paraId="1DF7255E">
      <w:pPr>
        <w:pStyle w:val="11"/>
        <w:spacing w:beforeAutospacing="0" w:afterAutospacing="0" w:line="480" w:lineRule="auto"/>
        <w:ind w:firstLine="470" w:firstLineChars="224"/>
        <w:jc w:val="both"/>
        <w:rPr>
          <w:rFonts w:hint="eastAsia"/>
          <w:bCs/>
          <w:sz w:val="21"/>
          <w:szCs w:val="21"/>
        </w:rPr>
      </w:pPr>
    </w:p>
    <w:p w14:paraId="44D7598D">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lang w:val="en-US" w:eastAsia="zh-CN"/>
        </w:rPr>
        <w:t>8.1</w:t>
      </w:r>
      <w:r>
        <w:rPr>
          <w:rFonts w:hint="eastAsia"/>
          <w:b/>
          <w:sz w:val="21"/>
          <w:szCs w:val="21"/>
          <w:highlight w:val="none"/>
        </w:rPr>
        <w:t xml:space="preserve"> 资格审查资料</w:t>
      </w:r>
    </w:p>
    <w:p w14:paraId="12FAA2D4">
      <w:pPr>
        <w:pStyle w:val="11"/>
        <w:spacing w:beforeAutospacing="0" w:afterAutospacing="0" w:line="480" w:lineRule="auto"/>
        <w:ind w:firstLine="470" w:firstLineChars="224"/>
        <w:jc w:val="both"/>
        <w:rPr>
          <w:rFonts w:hint="eastAsia"/>
          <w:bCs/>
          <w:sz w:val="21"/>
          <w:szCs w:val="21"/>
          <w:highlight w:val="none"/>
        </w:rPr>
      </w:pPr>
    </w:p>
    <w:p w14:paraId="4D3EE744">
      <w:pPr>
        <w:pStyle w:val="11"/>
        <w:spacing w:beforeAutospacing="0" w:afterAutospacing="0" w:line="480" w:lineRule="auto"/>
        <w:ind w:firstLine="470" w:firstLineChars="224"/>
        <w:jc w:val="both"/>
        <w:rPr>
          <w:rFonts w:hint="eastAsia"/>
          <w:bCs/>
          <w:sz w:val="21"/>
          <w:szCs w:val="21"/>
          <w:highlight w:val="none"/>
        </w:rPr>
      </w:pPr>
    </w:p>
    <w:p w14:paraId="53E8D03C">
      <w:pPr>
        <w:pStyle w:val="11"/>
        <w:spacing w:beforeAutospacing="0" w:afterAutospacing="0" w:line="480" w:lineRule="auto"/>
        <w:ind w:firstLine="472" w:firstLineChars="224"/>
        <w:jc w:val="both"/>
        <w:rPr>
          <w:rFonts w:hint="default"/>
          <w:b/>
          <w:sz w:val="21"/>
          <w:szCs w:val="21"/>
          <w:highlight w:val="none"/>
          <w:lang w:val="en-US"/>
        </w:rPr>
      </w:pPr>
      <w:bookmarkStart w:id="105" w:name="_Toc17966"/>
      <w:r>
        <w:rPr>
          <w:rFonts w:hint="eastAsia"/>
          <w:b/>
          <w:sz w:val="21"/>
          <w:szCs w:val="21"/>
          <w:highlight w:val="none"/>
          <w:lang w:val="en-US" w:eastAsia="zh-CN"/>
        </w:rPr>
        <w:t>8.2</w:t>
      </w:r>
      <w:r>
        <w:rPr>
          <w:rFonts w:hint="eastAsia"/>
          <w:b/>
          <w:sz w:val="21"/>
          <w:szCs w:val="21"/>
          <w:highlight w:val="none"/>
        </w:rPr>
        <w:t>评分标准中需提供的</w:t>
      </w:r>
      <w:r>
        <w:rPr>
          <w:rFonts w:hint="eastAsia"/>
          <w:b/>
          <w:sz w:val="21"/>
          <w:szCs w:val="21"/>
          <w:highlight w:val="none"/>
          <w:lang w:val="en-US" w:eastAsia="zh-CN"/>
        </w:rPr>
        <w:t>证明材料</w:t>
      </w:r>
    </w:p>
    <w:p w14:paraId="746E4697">
      <w:pPr>
        <w:pStyle w:val="11"/>
        <w:spacing w:beforeAutospacing="0" w:afterAutospacing="0" w:line="480" w:lineRule="auto"/>
        <w:ind w:firstLine="470" w:firstLineChars="224"/>
        <w:jc w:val="both"/>
        <w:rPr>
          <w:rFonts w:hint="eastAsia"/>
          <w:bCs/>
          <w:sz w:val="21"/>
          <w:szCs w:val="21"/>
          <w:highlight w:val="none"/>
        </w:rPr>
      </w:pPr>
    </w:p>
    <w:p w14:paraId="2E34318A">
      <w:pPr>
        <w:pStyle w:val="11"/>
        <w:spacing w:beforeAutospacing="0" w:afterAutospacing="0" w:line="480" w:lineRule="auto"/>
        <w:ind w:firstLine="470" w:firstLineChars="224"/>
        <w:jc w:val="both"/>
        <w:rPr>
          <w:rFonts w:hint="eastAsia"/>
          <w:bCs/>
          <w:sz w:val="21"/>
          <w:szCs w:val="21"/>
          <w:highlight w:val="none"/>
        </w:rPr>
      </w:pPr>
    </w:p>
    <w:p w14:paraId="67E4515C">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lang w:val="en-US" w:eastAsia="zh-CN"/>
        </w:rPr>
        <w:t>8.3</w:t>
      </w:r>
      <w:r>
        <w:rPr>
          <w:rFonts w:hint="eastAsia"/>
          <w:b/>
          <w:sz w:val="21"/>
          <w:szCs w:val="21"/>
          <w:highlight w:val="none"/>
        </w:rPr>
        <w:t>供应商认为其他需要提供的证明材料。</w:t>
      </w:r>
    </w:p>
    <w:p w14:paraId="4F12F492">
      <w:pPr>
        <w:pStyle w:val="11"/>
        <w:spacing w:beforeAutospacing="0" w:afterAutospacing="0" w:line="480" w:lineRule="auto"/>
        <w:ind w:firstLine="540" w:firstLineChars="224"/>
        <w:jc w:val="both"/>
        <w:rPr>
          <w:rFonts w:hint="eastAsia"/>
          <w:b/>
          <w:bCs/>
        </w:rPr>
      </w:pPr>
    </w:p>
    <w:p w14:paraId="7A569C67">
      <w:pPr>
        <w:pStyle w:val="11"/>
        <w:spacing w:beforeAutospacing="0" w:afterAutospacing="0" w:line="480" w:lineRule="auto"/>
        <w:ind w:firstLine="540" w:firstLineChars="224"/>
        <w:jc w:val="both"/>
        <w:rPr>
          <w:rFonts w:hint="eastAsia"/>
          <w:b/>
          <w:bCs/>
        </w:rPr>
      </w:pPr>
    </w:p>
    <w:p w14:paraId="79FA192C">
      <w:pPr>
        <w:pStyle w:val="11"/>
        <w:spacing w:beforeAutospacing="0" w:afterAutospacing="0" w:line="480" w:lineRule="auto"/>
        <w:ind w:firstLine="540" w:firstLineChars="224"/>
        <w:jc w:val="both"/>
        <w:rPr>
          <w:rFonts w:hint="eastAsia"/>
          <w:b/>
          <w:bCs/>
        </w:rPr>
      </w:pPr>
    </w:p>
    <w:p w14:paraId="081740CF">
      <w:pPr>
        <w:pStyle w:val="11"/>
        <w:spacing w:beforeAutospacing="0" w:afterAutospacing="0" w:line="480" w:lineRule="auto"/>
        <w:ind w:firstLine="540" w:firstLineChars="224"/>
        <w:jc w:val="both"/>
        <w:rPr>
          <w:rFonts w:hint="eastAsia"/>
          <w:b/>
          <w:bCs/>
        </w:rPr>
      </w:pPr>
    </w:p>
    <w:p w14:paraId="5EC6738B">
      <w:pPr>
        <w:pStyle w:val="11"/>
        <w:spacing w:beforeAutospacing="0" w:afterAutospacing="0" w:line="480" w:lineRule="auto"/>
        <w:ind w:firstLine="540" w:firstLineChars="224"/>
        <w:jc w:val="both"/>
        <w:rPr>
          <w:rFonts w:hint="eastAsia"/>
          <w:b/>
          <w:bCs/>
        </w:rPr>
      </w:pPr>
    </w:p>
    <w:p w14:paraId="07725D3D">
      <w:pPr>
        <w:pStyle w:val="11"/>
        <w:spacing w:beforeAutospacing="0" w:afterAutospacing="0" w:line="480" w:lineRule="auto"/>
        <w:ind w:firstLine="540" w:firstLineChars="224"/>
        <w:jc w:val="both"/>
        <w:rPr>
          <w:rFonts w:hint="eastAsia"/>
          <w:b/>
          <w:bCs/>
        </w:rPr>
      </w:pPr>
    </w:p>
    <w:p w14:paraId="4EDD2C2A">
      <w:pPr>
        <w:pStyle w:val="11"/>
        <w:spacing w:beforeAutospacing="0" w:afterAutospacing="0" w:line="480" w:lineRule="auto"/>
        <w:ind w:firstLine="540" w:firstLineChars="224"/>
        <w:jc w:val="both"/>
        <w:rPr>
          <w:rFonts w:hint="eastAsia"/>
          <w:b/>
          <w:bCs/>
        </w:rPr>
      </w:pPr>
    </w:p>
    <w:p w14:paraId="79366A64">
      <w:pPr>
        <w:pStyle w:val="11"/>
        <w:spacing w:beforeAutospacing="0" w:afterAutospacing="0" w:line="480" w:lineRule="auto"/>
        <w:ind w:firstLine="540" w:firstLineChars="224"/>
        <w:jc w:val="both"/>
        <w:rPr>
          <w:rFonts w:hint="eastAsia"/>
          <w:b/>
          <w:bCs/>
        </w:rPr>
      </w:pPr>
    </w:p>
    <w:p w14:paraId="6CF474FE">
      <w:pPr>
        <w:pStyle w:val="11"/>
        <w:spacing w:beforeAutospacing="0" w:afterAutospacing="0" w:line="480" w:lineRule="auto"/>
        <w:ind w:firstLine="540" w:firstLineChars="224"/>
        <w:jc w:val="both"/>
        <w:rPr>
          <w:rFonts w:hint="eastAsia"/>
          <w:b/>
          <w:bCs/>
        </w:rPr>
      </w:pPr>
    </w:p>
    <w:bookmarkEnd w:id="105"/>
    <w:p w14:paraId="4F0699AC">
      <w:pPr>
        <w:rPr>
          <w:rFonts w:hint="eastAsia"/>
          <w:b/>
          <w:bCs/>
          <w:sz w:val="28"/>
          <w:szCs w:val="28"/>
        </w:rPr>
      </w:pP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0138"/>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02CA"/>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0C85"/>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244C"/>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94316"/>
    <w:rsid w:val="015C0A67"/>
    <w:rsid w:val="0160084E"/>
    <w:rsid w:val="01745FBF"/>
    <w:rsid w:val="017E6D95"/>
    <w:rsid w:val="017F53A9"/>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6777B"/>
    <w:rsid w:val="0247575A"/>
    <w:rsid w:val="025235B1"/>
    <w:rsid w:val="0262674D"/>
    <w:rsid w:val="02747B01"/>
    <w:rsid w:val="027619AC"/>
    <w:rsid w:val="02890D36"/>
    <w:rsid w:val="02AB7DA3"/>
    <w:rsid w:val="02B97DFD"/>
    <w:rsid w:val="02C866AB"/>
    <w:rsid w:val="02CB7F49"/>
    <w:rsid w:val="02D92EF7"/>
    <w:rsid w:val="02DA4630"/>
    <w:rsid w:val="02DA4665"/>
    <w:rsid w:val="02DA63DE"/>
    <w:rsid w:val="02E84657"/>
    <w:rsid w:val="02F40325"/>
    <w:rsid w:val="02F70D3E"/>
    <w:rsid w:val="02FA082F"/>
    <w:rsid w:val="030D0562"/>
    <w:rsid w:val="031126C4"/>
    <w:rsid w:val="033124A2"/>
    <w:rsid w:val="034733B8"/>
    <w:rsid w:val="03475E56"/>
    <w:rsid w:val="034877EC"/>
    <w:rsid w:val="034C23ED"/>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B660C"/>
    <w:rsid w:val="042E37DB"/>
    <w:rsid w:val="0430275A"/>
    <w:rsid w:val="04416C20"/>
    <w:rsid w:val="044F28FA"/>
    <w:rsid w:val="04732647"/>
    <w:rsid w:val="047968B1"/>
    <w:rsid w:val="04870542"/>
    <w:rsid w:val="04B30F7A"/>
    <w:rsid w:val="050B6D23"/>
    <w:rsid w:val="050E236F"/>
    <w:rsid w:val="054C0111"/>
    <w:rsid w:val="054F5054"/>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875C6"/>
    <w:rsid w:val="072916E2"/>
    <w:rsid w:val="072C5514"/>
    <w:rsid w:val="0733430F"/>
    <w:rsid w:val="0737768A"/>
    <w:rsid w:val="073C7668"/>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2A74C0"/>
    <w:rsid w:val="08321601"/>
    <w:rsid w:val="08326375"/>
    <w:rsid w:val="083D5C91"/>
    <w:rsid w:val="0847191F"/>
    <w:rsid w:val="08577E63"/>
    <w:rsid w:val="08591DC3"/>
    <w:rsid w:val="085B58CB"/>
    <w:rsid w:val="08672793"/>
    <w:rsid w:val="08695E80"/>
    <w:rsid w:val="087B41C0"/>
    <w:rsid w:val="087C4541"/>
    <w:rsid w:val="087E5595"/>
    <w:rsid w:val="08891D73"/>
    <w:rsid w:val="088F472F"/>
    <w:rsid w:val="08BC0A60"/>
    <w:rsid w:val="08C52D6F"/>
    <w:rsid w:val="08E42BE4"/>
    <w:rsid w:val="08EF0201"/>
    <w:rsid w:val="08F41DE8"/>
    <w:rsid w:val="08FA3336"/>
    <w:rsid w:val="09120680"/>
    <w:rsid w:val="09150170"/>
    <w:rsid w:val="091B441C"/>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9EB2C7F"/>
    <w:rsid w:val="09FA1D54"/>
    <w:rsid w:val="0A321AC2"/>
    <w:rsid w:val="0A343D4E"/>
    <w:rsid w:val="0A344626"/>
    <w:rsid w:val="0A3E6D2E"/>
    <w:rsid w:val="0A4232E4"/>
    <w:rsid w:val="0A4F145F"/>
    <w:rsid w:val="0A8455AD"/>
    <w:rsid w:val="0A8729A8"/>
    <w:rsid w:val="0AA479FE"/>
    <w:rsid w:val="0ABF2570"/>
    <w:rsid w:val="0AD13A85"/>
    <w:rsid w:val="0AD52EDD"/>
    <w:rsid w:val="0AE0655C"/>
    <w:rsid w:val="0B091954"/>
    <w:rsid w:val="0B195776"/>
    <w:rsid w:val="0B1A7CC0"/>
    <w:rsid w:val="0B34773E"/>
    <w:rsid w:val="0B3B7D65"/>
    <w:rsid w:val="0B424B21"/>
    <w:rsid w:val="0B434C20"/>
    <w:rsid w:val="0B467B2B"/>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2B5C6B"/>
    <w:rsid w:val="0C3152C1"/>
    <w:rsid w:val="0C3957A5"/>
    <w:rsid w:val="0C483080"/>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0C53E6"/>
    <w:rsid w:val="0D0E001F"/>
    <w:rsid w:val="0D206810"/>
    <w:rsid w:val="0D207C8F"/>
    <w:rsid w:val="0D444B80"/>
    <w:rsid w:val="0D4861FD"/>
    <w:rsid w:val="0D730CAF"/>
    <w:rsid w:val="0D735465"/>
    <w:rsid w:val="0D86163D"/>
    <w:rsid w:val="0DAD6BC9"/>
    <w:rsid w:val="0DB066B9"/>
    <w:rsid w:val="0DC577E0"/>
    <w:rsid w:val="0DD203DE"/>
    <w:rsid w:val="0DDC6319"/>
    <w:rsid w:val="0DE1181F"/>
    <w:rsid w:val="0DE95727"/>
    <w:rsid w:val="0DED5D54"/>
    <w:rsid w:val="0DF50570"/>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51A01"/>
    <w:rsid w:val="0F372614"/>
    <w:rsid w:val="0F3D59C9"/>
    <w:rsid w:val="0F44530B"/>
    <w:rsid w:val="0F516D5A"/>
    <w:rsid w:val="0F565B36"/>
    <w:rsid w:val="0F684933"/>
    <w:rsid w:val="0F6E2388"/>
    <w:rsid w:val="0F73799F"/>
    <w:rsid w:val="0F76123D"/>
    <w:rsid w:val="0F821E7D"/>
    <w:rsid w:val="0F912F48"/>
    <w:rsid w:val="0FC91CB4"/>
    <w:rsid w:val="0FCA42ED"/>
    <w:rsid w:val="0FD75461"/>
    <w:rsid w:val="0FDB5F4F"/>
    <w:rsid w:val="0FE7592C"/>
    <w:rsid w:val="0FFC17A5"/>
    <w:rsid w:val="0FFD20F0"/>
    <w:rsid w:val="100131FC"/>
    <w:rsid w:val="10142F30"/>
    <w:rsid w:val="10352857"/>
    <w:rsid w:val="103E6E57"/>
    <w:rsid w:val="1041497B"/>
    <w:rsid w:val="10425FF6"/>
    <w:rsid w:val="104819BF"/>
    <w:rsid w:val="104A4BA3"/>
    <w:rsid w:val="10560982"/>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15EDA"/>
    <w:rsid w:val="111D7BC2"/>
    <w:rsid w:val="11250F40"/>
    <w:rsid w:val="113329E7"/>
    <w:rsid w:val="113F294C"/>
    <w:rsid w:val="11437C85"/>
    <w:rsid w:val="11575085"/>
    <w:rsid w:val="1166372C"/>
    <w:rsid w:val="11700D10"/>
    <w:rsid w:val="1178125A"/>
    <w:rsid w:val="117A285D"/>
    <w:rsid w:val="117F6E8A"/>
    <w:rsid w:val="118441E0"/>
    <w:rsid w:val="1196056D"/>
    <w:rsid w:val="11B322D4"/>
    <w:rsid w:val="11B85B3D"/>
    <w:rsid w:val="11CD20A0"/>
    <w:rsid w:val="11D34654"/>
    <w:rsid w:val="12010480"/>
    <w:rsid w:val="120E707F"/>
    <w:rsid w:val="12171C67"/>
    <w:rsid w:val="121D0051"/>
    <w:rsid w:val="12413D84"/>
    <w:rsid w:val="127A7D1C"/>
    <w:rsid w:val="12836D8B"/>
    <w:rsid w:val="12993BC0"/>
    <w:rsid w:val="12A8237A"/>
    <w:rsid w:val="12AB0349"/>
    <w:rsid w:val="12AB744F"/>
    <w:rsid w:val="12B66520"/>
    <w:rsid w:val="12CD57F1"/>
    <w:rsid w:val="12CE5941"/>
    <w:rsid w:val="12CE7AFA"/>
    <w:rsid w:val="12D67466"/>
    <w:rsid w:val="12E82452"/>
    <w:rsid w:val="13021765"/>
    <w:rsid w:val="13031039"/>
    <w:rsid w:val="13036052"/>
    <w:rsid w:val="131E7C21"/>
    <w:rsid w:val="13272A5D"/>
    <w:rsid w:val="132A2A6A"/>
    <w:rsid w:val="132C233E"/>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660AC"/>
    <w:rsid w:val="13BC6684"/>
    <w:rsid w:val="13C72B3A"/>
    <w:rsid w:val="13D12EE6"/>
    <w:rsid w:val="13DF575E"/>
    <w:rsid w:val="13E470BD"/>
    <w:rsid w:val="13EE3A98"/>
    <w:rsid w:val="13F3280A"/>
    <w:rsid w:val="13F96ED1"/>
    <w:rsid w:val="141B23B3"/>
    <w:rsid w:val="142123F7"/>
    <w:rsid w:val="142A11D8"/>
    <w:rsid w:val="144B544C"/>
    <w:rsid w:val="14506500"/>
    <w:rsid w:val="145B7B45"/>
    <w:rsid w:val="14627FE2"/>
    <w:rsid w:val="14717443"/>
    <w:rsid w:val="147F0B94"/>
    <w:rsid w:val="14825F8A"/>
    <w:rsid w:val="148C70AD"/>
    <w:rsid w:val="148D52E3"/>
    <w:rsid w:val="14992B90"/>
    <w:rsid w:val="149A750C"/>
    <w:rsid w:val="149F10C7"/>
    <w:rsid w:val="14A40521"/>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344FA"/>
    <w:rsid w:val="1557566D"/>
    <w:rsid w:val="1565422D"/>
    <w:rsid w:val="156E0971"/>
    <w:rsid w:val="15785B3E"/>
    <w:rsid w:val="15811F1B"/>
    <w:rsid w:val="15950560"/>
    <w:rsid w:val="159B37AB"/>
    <w:rsid w:val="15A30135"/>
    <w:rsid w:val="15A34015"/>
    <w:rsid w:val="15BB487B"/>
    <w:rsid w:val="15C9656A"/>
    <w:rsid w:val="15CE086D"/>
    <w:rsid w:val="15E2236F"/>
    <w:rsid w:val="16005D04"/>
    <w:rsid w:val="161A0B7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81314"/>
    <w:rsid w:val="170830C2"/>
    <w:rsid w:val="170D06E0"/>
    <w:rsid w:val="1711641B"/>
    <w:rsid w:val="17233E03"/>
    <w:rsid w:val="17332185"/>
    <w:rsid w:val="17475951"/>
    <w:rsid w:val="175C542D"/>
    <w:rsid w:val="175D0ED4"/>
    <w:rsid w:val="17614581"/>
    <w:rsid w:val="176B3A77"/>
    <w:rsid w:val="17793FC0"/>
    <w:rsid w:val="177D585E"/>
    <w:rsid w:val="179C78C7"/>
    <w:rsid w:val="179D33A9"/>
    <w:rsid w:val="179F2E61"/>
    <w:rsid w:val="17A06264"/>
    <w:rsid w:val="17BE19D3"/>
    <w:rsid w:val="17C227C0"/>
    <w:rsid w:val="17D66D7C"/>
    <w:rsid w:val="17DC0FF5"/>
    <w:rsid w:val="17DE0EDF"/>
    <w:rsid w:val="17EE5BFF"/>
    <w:rsid w:val="18097740"/>
    <w:rsid w:val="18136133"/>
    <w:rsid w:val="184055B9"/>
    <w:rsid w:val="184620F4"/>
    <w:rsid w:val="184A2082"/>
    <w:rsid w:val="185534CD"/>
    <w:rsid w:val="18581E27"/>
    <w:rsid w:val="185D3C42"/>
    <w:rsid w:val="185F38AF"/>
    <w:rsid w:val="188F0211"/>
    <w:rsid w:val="18AD1BEB"/>
    <w:rsid w:val="18B3004A"/>
    <w:rsid w:val="18B31B6D"/>
    <w:rsid w:val="18B96080"/>
    <w:rsid w:val="18CE20EA"/>
    <w:rsid w:val="18D70F9E"/>
    <w:rsid w:val="18DB2CD8"/>
    <w:rsid w:val="18F356AC"/>
    <w:rsid w:val="18F67868"/>
    <w:rsid w:val="18FA7F3C"/>
    <w:rsid w:val="1901426D"/>
    <w:rsid w:val="19067AD5"/>
    <w:rsid w:val="190B0C48"/>
    <w:rsid w:val="190B2D88"/>
    <w:rsid w:val="190E6B63"/>
    <w:rsid w:val="19123928"/>
    <w:rsid w:val="19194264"/>
    <w:rsid w:val="19283048"/>
    <w:rsid w:val="19410B0E"/>
    <w:rsid w:val="19420786"/>
    <w:rsid w:val="19427EC0"/>
    <w:rsid w:val="195711D7"/>
    <w:rsid w:val="195D2A3F"/>
    <w:rsid w:val="196C5B8A"/>
    <w:rsid w:val="198310E9"/>
    <w:rsid w:val="198D747A"/>
    <w:rsid w:val="19A15638"/>
    <w:rsid w:val="19A74DFE"/>
    <w:rsid w:val="19A753EF"/>
    <w:rsid w:val="19DF45AE"/>
    <w:rsid w:val="19F811CC"/>
    <w:rsid w:val="1A125525"/>
    <w:rsid w:val="1A18361C"/>
    <w:rsid w:val="1A2226ED"/>
    <w:rsid w:val="1A331C30"/>
    <w:rsid w:val="1A564145"/>
    <w:rsid w:val="1A5F4342"/>
    <w:rsid w:val="1A616E2C"/>
    <w:rsid w:val="1A715D02"/>
    <w:rsid w:val="1A7C5F3D"/>
    <w:rsid w:val="1A7F369B"/>
    <w:rsid w:val="1A8C5D82"/>
    <w:rsid w:val="1A994988"/>
    <w:rsid w:val="1A9B546C"/>
    <w:rsid w:val="1A9E141F"/>
    <w:rsid w:val="1AA3511F"/>
    <w:rsid w:val="1AAE3B54"/>
    <w:rsid w:val="1AC10987"/>
    <w:rsid w:val="1AEA30BC"/>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157783"/>
    <w:rsid w:val="1C2669C7"/>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3F09"/>
    <w:rsid w:val="1D214EDE"/>
    <w:rsid w:val="1D2222DC"/>
    <w:rsid w:val="1D2E13A9"/>
    <w:rsid w:val="1D326483"/>
    <w:rsid w:val="1D4209B0"/>
    <w:rsid w:val="1D5030CD"/>
    <w:rsid w:val="1D5144F7"/>
    <w:rsid w:val="1D5B3CDE"/>
    <w:rsid w:val="1D5D0701"/>
    <w:rsid w:val="1D6E2950"/>
    <w:rsid w:val="1D756FD8"/>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86FFD"/>
    <w:rsid w:val="1F3F789D"/>
    <w:rsid w:val="1F443106"/>
    <w:rsid w:val="1F4E5D32"/>
    <w:rsid w:val="1F5F3A9B"/>
    <w:rsid w:val="1F66355F"/>
    <w:rsid w:val="1F7369C7"/>
    <w:rsid w:val="1F9113A9"/>
    <w:rsid w:val="1F94547B"/>
    <w:rsid w:val="1FA140B4"/>
    <w:rsid w:val="1FA47700"/>
    <w:rsid w:val="1FAA1E71"/>
    <w:rsid w:val="1FAE697F"/>
    <w:rsid w:val="1FAF308C"/>
    <w:rsid w:val="1FB64FF9"/>
    <w:rsid w:val="1FC11109"/>
    <w:rsid w:val="1FD2426D"/>
    <w:rsid w:val="1FDA3223"/>
    <w:rsid w:val="1FDE2C12"/>
    <w:rsid w:val="1FEF08C8"/>
    <w:rsid w:val="1FF72E6A"/>
    <w:rsid w:val="1FFB6F12"/>
    <w:rsid w:val="20014B53"/>
    <w:rsid w:val="201B3ED4"/>
    <w:rsid w:val="20230F6D"/>
    <w:rsid w:val="2025793A"/>
    <w:rsid w:val="20310B02"/>
    <w:rsid w:val="20344F28"/>
    <w:rsid w:val="204B4A85"/>
    <w:rsid w:val="206F0406"/>
    <w:rsid w:val="207417C9"/>
    <w:rsid w:val="20784063"/>
    <w:rsid w:val="207E346A"/>
    <w:rsid w:val="208E12C3"/>
    <w:rsid w:val="209502A3"/>
    <w:rsid w:val="20BB31CA"/>
    <w:rsid w:val="20EA3839"/>
    <w:rsid w:val="20F3093F"/>
    <w:rsid w:val="2100305C"/>
    <w:rsid w:val="21080C93"/>
    <w:rsid w:val="210F579E"/>
    <w:rsid w:val="21163FF0"/>
    <w:rsid w:val="211B39F2"/>
    <w:rsid w:val="21254871"/>
    <w:rsid w:val="212550B5"/>
    <w:rsid w:val="212B632B"/>
    <w:rsid w:val="212E3725"/>
    <w:rsid w:val="21556F04"/>
    <w:rsid w:val="21585C10"/>
    <w:rsid w:val="21592B62"/>
    <w:rsid w:val="2172049B"/>
    <w:rsid w:val="21747CD2"/>
    <w:rsid w:val="2180610B"/>
    <w:rsid w:val="219263AA"/>
    <w:rsid w:val="21934186"/>
    <w:rsid w:val="219E5782"/>
    <w:rsid w:val="21C85928"/>
    <w:rsid w:val="21D10545"/>
    <w:rsid w:val="21D56297"/>
    <w:rsid w:val="21E72B0B"/>
    <w:rsid w:val="21E76A4A"/>
    <w:rsid w:val="21EE607E"/>
    <w:rsid w:val="21EF7359"/>
    <w:rsid w:val="21F66F4C"/>
    <w:rsid w:val="221548E5"/>
    <w:rsid w:val="221F2D96"/>
    <w:rsid w:val="22246DB1"/>
    <w:rsid w:val="22440067"/>
    <w:rsid w:val="22513B6F"/>
    <w:rsid w:val="225A6017"/>
    <w:rsid w:val="226002D5"/>
    <w:rsid w:val="22631AF5"/>
    <w:rsid w:val="227A5532"/>
    <w:rsid w:val="22843A03"/>
    <w:rsid w:val="228E5C2C"/>
    <w:rsid w:val="229C0B63"/>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7F2883"/>
    <w:rsid w:val="238A5E5E"/>
    <w:rsid w:val="23940114"/>
    <w:rsid w:val="23993E95"/>
    <w:rsid w:val="239A1546"/>
    <w:rsid w:val="23A45829"/>
    <w:rsid w:val="23B57016"/>
    <w:rsid w:val="23C4797E"/>
    <w:rsid w:val="23CD5478"/>
    <w:rsid w:val="23D4764B"/>
    <w:rsid w:val="23EC3718"/>
    <w:rsid w:val="23EE304F"/>
    <w:rsid w:val="23FD7010"/>
    <w:rsid w:val="23FE0BB4"/>
    <w:rsid w:val="240243FC"/>
    <w:rsid w:val="24030E16"/>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02FFD"/>
    <w:rsid w:val="25D54390"/>
    <w:rsid w:val="25D6438C"/>
    <w:rsid w:val="25DF1492"/>
    <w:rsid w:val="261879A7"/>
    <w:rsid w:val="261A071C"/>
    <w:rsid w:val="261C587D"/>
    <w:rsid w:val="26395046"/>
    <w:rsid w:val="2643006B"/>
    <w:rsid w:val="264B0BA4"/>
    <w:rsid w:val="264F4111"/>
    <w:rsid w:val="265E0AEC"/>
    <w:rsid w:val="2661459D"/>
    <w:rsid w:val="268C5256"/>
    <w:rsid w:val="268E455B"/>
    <w:rsid w:val="26912B30"/>
    <w:rsid w:val="269772F0"/>
    <w:rsid w:val="26997893"/>
    <w:rsid w:val="26A30712"/>
    <w:rsid w:val="26AC0C27"/>
    <w:rsid w:val="26C807A6"/>
    <w:rsid w:val="26CC5EBA"/>
    <w:rsid w:val="26D1527F"/>
    <w:rsid w:val="26D23F28"/>
    <w:rsid w:val="26DB67BA"/>
    <w:rsid w:val="26DE3298"/>
    <w:rsid w:val="26E311CD"/>
    <w:rsid w:val="26EF24ED"/>
    <w:rsid w:val="26F1408A"/>
    <w:rsid w:val="26F86CAF"/>
    <w:rsid w:val="26F96584"/>
    <w:rsid w:val="26FC4FA5"/>
    <w:rsid w:val="27015370"/>
    <w:rsid w:val="270B421F"/>
    <w:rsid w:val="2710526A"/>
    <w:rsid w:val="271F6B87"/>
    <w:rsid w:val="274E2228"/>
    <w:rsid w:val="274E2D73"/>
    <w:rsid w:val="275163C0"/>
    <w:rsid w:val="27517A93"/>
    <w:rsid w:val="27545EB0"/>
    <w:rsid w:val="27565784"/>
    <w:rsid w:val="275B723E"/>
    <w:rsid w:val="275E53AF"/>
    <w:rsid w:val="27606603"/>
    <w:rsid w:val="276658E8"/>
    <w:rsid w:val="276F6846"/>
    <w:rsid w:val="277E30D2"/>
    <w:rsid w:val="27803F2A"/>
    <w:rsid w:val="278A18D2"/>
    <w:rsid w:val="27983FEE"/>
    <w:rsid w:val="27A34941"/>
    <w:rsid w:val="27A97FAA"/>
    <w:rsid w:val="27AC6AEC"/>
    <w:rsid w:val="27EE3A7B"/>
    <w:rsid w:val="27FA25B3"/>
    <w:rsid w:val="28033B5E"/>
    <w:rsid w:val="28043EC1"/>
    <w:rsid w:val="280B656E"/>
    <w:rsid w:val="28100029"/>
    <w:rsid w:val="28125B4F"/>
    <w:rsid w:val="28173165"/>
    <w:rsid w:val="282B09BF"/>
    <w:rsid w:val="282E4F00"/>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119"/>
    <w:rsid w:val="297939AC"/>
    <w:rsid w:val="297C03C2"/>
    <w:rsid w:val="299573AB"/>
    <w:rsid w:val="29995DFC"/>
    <w:rsid w:val="29B05804"/>
    <w:rsid w:val="29B82726"/>
    <w:rsid w:val="29BE5BD0"/>
    <w:rsid w:val="29C01572"/>
    <w:rsid w:val="29C25353"/>
    <w:rsid w:val="29CA4207"/>
    <w:rsid w:val="29CE5AA6"/>
    <w:rsid w:val="29D82DC8"/>
    <w:rsid w:val="29DA08EE"/>
    <w:rsid w:val="29DB6414"/>
    <w:rsid w:val="29DD60B5"/>
    <w:rsid w:val="29E74CE2"/>
    <w:rsid w:val="29F3375E"/>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520BE"/>
    <w:rsid w:val="2B4A5600"/>
    <w:rsid w:val="2B574FD9"/>
    <w:rsid w:val="2B642979"/>
    <w:rsid w:val="2B654BED"/>
    <w:rsid w:val="2B681F2A"/>
    <w:rsid w:val="2B8D373E"/>
    <w:rsid w:val="2B9E4F56"/>
    <w:rsid w:val="2BD96984"/>
    <w:rsid w:val="2BDB5A88"/>
    <w:rsid w:val="2BDB6BA0"/>
    <w:rsid w:val="2BE91C37"/>
    <w:rsid w:val="2BEC3F72"/>
    <w:rsid w:val="2BF22D27"/>
    <w:rsid w:val="2BF35C97"/>
    <w:rsid w:val="2C043A01"/>
    <w:rsid w:val="2C083572"/>
    <w:rsid w:val="2C185F94"/>
    <w:rsid w:val="2C1F1AC4"/>
    <w:rsid w:val="2C2422F5"/>
    <w:rsid w:val="2C271DE5"/>
    <w:rsid w:val="2C2945BA"/>
    <w:rsid w:val="2C2E71FC"/>
    <w:rsid w:val="2C3F3A41"/>
    <w:rsid w:val="2C4431C4"/>
    <w:rsid w:val="2C464019"/>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0735C"/>
    <w:rsid w:val="2D6F134E"/>
    <w:rsid w:val="2D782F8C"/>
    <w:rsid w:val="2D835174"/>
    <w:rsid w:val="2D8748E9"/>
    <w:rsid w:val="2D9331F9"/>
    <w:rsid w:val="2DB604DD"/>
    <w:rsid w:val="2DBB0A37"/>
    <w:rsid w:val="2DD90B7B"/>
    <w:rsid w:val="2DD92C6B"/>
    <w:rsid w:val="2DDB4C35"/>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A1FFE"/>
    <w:rsid w:val="2E5C0A3D"/>
    <w:rsid w:val="2E6F6D21"/>
    <w:rsid w:val="2E742F70"/>
    <w:rsid w:val="2E8E7EF9"/>
    <w:rsid w:val="2E9077CD"/>
    <w:rsid w:val="2E9574DA"/>
    <w:rsid w:val="2E9A1EAA"/>
    <w:rsid w:val="2E9A689E"/>
    <w:rsid w:val="2EA9088F"/>
    <w:rsid w:val="2ECF360C"/>
    <w:rsid w:val="2ED61D9E"/>
    <w:rsid w:val="2EDC2A13"/>
    <w:rsid w:val="2EFD7DB9"/>
    <w:rsid w:val="2F1A081D"/>
    <w:rsid w:val="2F1C72B3"/>
    <w:rsid w:val="2F1E1306"/>
    <w:rsid w:val="2F1E3DC0"/>
    <w:rsid w:val="2F2D326E"/>
    <w:rsid w:val="2F3112DE"/>
    <w:rsid w:val="2F3B6922"/>
    <w:rsid w:val="2F3D7B25"/>
    <w:rsid w:val="2F480119"/>
    <w:rsid w:val="2F494013"/>
    <w:rsid w:val="2F4D1B62"/>
    <w:rsid w:val="2F506C6D"/>
    <w:rsid w:val="2F512253"/>
    <w:rsid w:val="2F51291F"/>
    <w:rsid w:val="2F55758A"/>
    <w:rsid w:val="2F68074A"/>
    <w:rsid w:val="2F7610B9"/>
    <w:rsid w:val="2F7F15AE"/>
    <w:rsid w:val="2F7F6886"/>
    <w:rsid w:val="2F8F5CD7"/>
    <w:rsid w:val="2F912594"/>
    <w:rsid w:val="2FA07EE4"/>
    <w:rsid w:val="2FA54796"/>
    <w:rsid w:val="2FA674E2"/>
    <w:rsid w:val="2FE853E7"/>
    <w:rsid w:val="2FEE6EA1"/>
    <w:rsid w:val="2FFA11A5"/>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61BCC"/>
    <w:rsid w:val="30CF6A37"/>
    <w:rsid w:val="30D250CF"/>
    <w:rsid w:val="30E16A06"/>
    <w:rsid w:val="30E7260A"/>
    <w:rsid w:val="30EA0C38"/>
    <w:rsid w:val="31002970"/>
    <w:rsid w:val="3104743D"/>
    <w:rsid w:val="311016AD"/>
    <w:rsid w:val="31140B8A"/>
    <w:rsid w:val="31220DA0"/>
    <w:rsid w:val="31253A1B"/>
    <w:rsid w:val="3136622A"/>
    <w:rsid w:val="31393501"/>
    <w:rsid w:val="3139422E"/>
    <w:rsid w:val="313B5C41"/>
    <w:rsid w:val="31496359"/>
    <w:rsid w:val="314D19A6"/>
    <w:rsid w:val="31580A38"/>
    <w:rsid w:val="316177A4"/>
    <w:rsid w:val="31700E4B"/>
    <w:rsid w:val="3172683C"/>
    <w:rsid w:val="318F773E"/>
    <w:rsid w:val="319057B1"/>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3927D5"/>
    <w:rsid w:val="32422E70"/>
    <w:rsid w:val="325E56C6"/>
    <w:rsid w:val="3275698A"/>
    <w:rsid w:val="327C0679"/>
    <w:rsid w:val="32870EE7"/>
    <w:rsid w:val="32943B86"/>
    <w:rsid w:val="32A93829"/>
    <w:rsid w:val="32B943EC"/>
    <w:rsid w:val="32B9519B"/>
    <w:rsid w:val="32BA12BD"/>
    <w:rsid w:val="32CC7242"/>
    <w:rsid w:val="32D85BE7"/>
    <w:rsid w:val="32DC63A0"/>
    <w:rsid w:val="32E429C1"/>
    <w:rsid w:val="32EA4F1D"/>
    <w:rsid w:val="32ED7A0C"/>
    <w:rsid w:val="330503EE"/>
    <w:rsid w:val="33274478"/>
    <w:rsid w:val="334045BE"/>
    <w:rsid w:val="334A3B2A"/>
    <w:rsid w:val="334E5E3C"/>
    <w:rsid w:val="3365592E"/>
    <w:rsid w:val="336A31F3"/>
    <w:rsid w:val="336F6533"/>
    <w:rsid w:val="337E5E2F"/>
    <w:rsid w:val="3384610D"/>
    <w:rsid w:val="33923FE8"/>
    <w:rsid w:val="33AA5979"/>
    <w:rsid w:val="33C03E90"/>
    <w:rsid w:val="33C341A1"/>
    <w:rsid w:val="33C96649"/>
    <w:rsid w:val="33CC3D88"/>
    <w:rsid w:val="33D939C5"/>
    <w:rsid w:val="33DD0306"/>
    <w:rsid w:val="33F627C9"/>
    <w:rsid w:val="33FD722F"/>
    <w:rsid w:val="3400362D"/>
    <w:rsid w:val="340B09C5"/>
    <w:rsid w:val="341E4CAB"/>
    <w:rsid w:val="341E7629"/>
    <w:rsid w:val="342F1837"/>
    <w:rsid w:val="34397055"/>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40DB4"/>
    <w:rsid w:val="36162CAE"/>
    <w:rsid w:val="36183AA2"/>
    <w:rsid w:val="36203B2D"/>
    <w:rsid w:val="36257395"/>
    <w:rsid w:val="363275A8"/>
    <w:rsid w:val="363E0457"/>
    <w:rsid w:val="364D2448"/>
    <w:rsid w:val="365461BB"/>
    <w:rsid w:val="365B4B65"/>
    <w:rsid w:val="366D1A51"/>
    <w:rsid w:val="367125DA"/>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641351"/>
    <w:rsid w:val="377639AE"/>
    <w:rsid w:val="378142CB"/>
    <w:rsid w:val="378B61A6"/>
    <w:rsid w:val="379522F8"/>
    <w:rsid w:val="379A790F"/>
    <w:rsid w:val="37A10C9D"/>
    <w:rsid w:val="37B90F0B"/>
    <w:rsid w:val="37BC270A"/>
    <w:rsid w:val="37C60C33"/>
    <w:rsid w:val="37CD3F98"/>
    <w:rsid w:val="37DE77FC"/>
    <w:rsid w:val="37DF75BA"/>
    <w:rsid w:val="37E148E2"/>
    <w:rsid w:val="37F848EE"/>
    <w:rsid w:val="37F912FC"/>
    <w:rsid w:val="380C53CF"/>
    <w:rsid w:val="380D59EE"/>
    <w:rsid w:val="382316B2"/>
    <w:rsid w:val="38304889"/>
    <w:rsid w:val="3836588A"/>
    <w:rsid w:val="38382675"/>
    <w:rsid w:val="383B7B0D"/>
    <w:rsid w:val="3848553B"/>
    <w:rsid w:val="384855BD"/>
    <w:rsid w:val="3851700B"/>
    <w:rsid w:val="385246B6"/>
    <w:rsid w:val="385E6B8E"/>
    <w:rsid w:val="38740160"/>
    <w:rsid w:val="3876113B"/>
    <w:rsid w:val="38883C0B"/>
    <w:rsid w:val="38A00F55"/>
    <w:rsid w:val="38A53DB7"/>
    <w:rsid w:val="38A87E0A"/>
    <w:rsid w:val="38B7004D"/>
    <w:rsid w:val="38BD38B5"/>
    <w:rsid w:val="38BF3388"/>
    <w:rsid w:val="38CC268D"/>
    <w:rsid w:val="38D26C34"/>
    <w:rsid w:val="38DF1FDA"/>
    <w:rsid w:val="38EC2960"/>
    <w:rsid w:val="390069DD"/>
    <w:rsid w:val="39030CF9"/>
    <w:rsid w:val="39091F35"/>
    <w:rsid w:val="390A63CE"/>
    <w:rsid w:val="39162FC5"/>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9FD3EA5"/>
    <w:rsid w:val="39FE23D7"/>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315CD"/>
    <w:rsid w:val="3AE83F75"/>
    <w:rsid w:val="3B1C037F"/>
    <w:rsid w:val="3B312338"/>
    <w:rsid w:val="3B3C5B77"/>
    <w:rsid w:val="3B3D0FF2"/>
    <w:rsid w:val="3B445340"/>
    <w:rsid w:val="3B501351"/>
    <w:rsid w:val="3B521A18"/>
    <w:rsid w:val="3B556027"/>
    <w:rsid w:val="3B8D2B96"/>
    <w:rsid w:val="3B923660"/>
    <w:rsid w:val="3BA448B8"/>
    <w:rsid w:val="3BCA44BE"/>
    <w:rsid w:val="3BDE296C"/>
    <w:rsid w:val="3BDF7FE6"/>
    <w:rsid w:val="3BF03FA1"/>
    <w:rsid w:val="3C061F3A"/>
    <w:rsid w:val="3C0A04F9"/>
    <w:rsid w:val="3C0D4B53"/>
    <w:rsid w:val="3C495480"/>
    <w:rsid w:val="3C4C3A42"/>
    <w:rsid w:val="3C557EA4"/>
    <w:rsid w:val="3C6A5B02"/>
    <w:rsid w:val="3C6F0167"/>
    <w:rsid w:val="3C71667B"/>
    <w:rsid w:val="3C7C75E3"/>
    <w:rsid w:val="3C914F3B"/>
    <w:rsid w:val="3CA134EE"/>
    <w:rsid w:val="3CC17F13"/>
    <w:rsid w:val="3CD15B81"/>
    <w:rsid w:val="3CD50B40"/>
    <w:rsid w:val="3CE320A3"/>
    <w:rsid w:val="3CE9196C"/>
    <w:rsid w:val="3CF15105"/>
    <w:rsid w:val="3D0C04B9"/>
    <w:rsid w:val="3D1414C5"/>
    <w:rsid w:val="3D1C763E"/>
    <w:rsid w:val="3D201AA5"/>
    <w:rsid w:val="3D2B37EA"/>
    <w:rsid w:val="3D2F7FF3"/>
    <w:rsid w:val="3D3B56F0"/>
    <w:rsid w:val="3D3D1507"/>
    <w:rsid w:val="3D3D6D72"/>
    <w:rsid w:val="3D62085B"/>
    <w:rsid w:val="3D622C7D"/>
    <w:rsid w:val="3D6B12FD"/>
    <w:rsid w:val="3D7604D6"/>
    <w:rsid w:val="3D7B4622"/>
    <w:rsid w:val="3D8E5820"/>
    <w:rsid w:val="3D942E29"/>
    <w:rsid w:val="3DA53531"/>
    <w:rsid w:val="3DB54E0C"/>
    <w:rsid w:val="3DB900C1"/>
    <w:rsid w:val="3DE2340B"/>
    <w:rsid w:val="3DE51866"/>
    <w:rsid w:val="3DE91725"/>
    <w:rsid w:val="3DF159B1"/>
    <w:rsid w:val="3E135D25"/>
    <w:rsid w:val="3E196FEC"/>
    <w:rsid w:val="3E1A106E"/>
    <w:rsid w:val="3E36303B"/>
    <w:rsid w:val="3E526044"/>
    <w:rsid w:val="3E5C591E"/>
    <w:rsid w:val="3E6C2B3A"/>
    <w:rsid w:val="3E7F1F98"/>
    <w:rsid w:val="3E846C23"/>
    <w:rsid w:val="3E8C5311"/>
    <w:rsid w:val="3E8E7E55"/>
    <w:rsid w:val="3EB61473"/>
    <w:rsid w:val="3EC66011"/>
    <w:rsid w:val="3ED25BE0"/>
    <w:rsid w:val="3ED75B7F"/>
    <w:rsid w:val="3EF5367D"/>
    <w:rsid w:val="3EF9316D"/>
    <w:rsid w:val="3F073ADC"/>
    <w:rsid w:val="3F1E4982"/>
    <w:rsid w:val="3F204B9E"/>
    <w:rsid w:val="3F315E6B"/>
    <w:rsid w:val="3F4A39C9"/>
    <w:rsid w:val="3F5175E2"/>
    <w:rsid w:val="3F56276A"/>
    <w:rsid w:val="3F6A7BC7"/>
    <w:rsid w:val="3F6C0E72"/>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5C79E6"/>
    <w:rsid w:val="40765D15"/>
    <w:rsid w:val="407B4FC1"/>
    <w:rsid w:val="407F2DE9"/>
    <w:rsid w:val="40866C82"/>
    <w:rsid w:val="40920B61"/>
    <w:rsid w:val="40953369"/>
    <w:rsid w:val="40991379"/>
    <w:rsid w:val="409B3C3D"/>
    <w:rsid w:val="409F1D81"/>
    <w:rsid w:val="40BC6B48"/>
    <w:rsid w:val="40EB6898"/>
    <w:rsid w:val="40F701DF"/>
    <w:rsid w:val="40FD480A"/>
    <w:rsid w:val="41171FD0"/>
    <w:rsid w:val="411B59C4"/>
    <w:rsid w:val="412A32F8"/>
    <w:rsid w:val="412E7E70"/>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739CE"/>
    <w:rsid w:val="436C42E1"/>
    <w:rsid w:val="437102E7"/>
    <w:rsid w:val="43776D56"/>
    <w:rsid w:val="437C210F"/>
    <w:rsid w:val="43847F02"/>
    <w:rsid w:val="438C45B0"/>
    <w:rsid w:val="438F113C"/>
    <w:rsid w:val="439E2535"/>
    <w:rsid w:val="439E7EFB"/>
    <w:rsid w:val="43B1568A"/>
    <w:rsid w:val="43B64E08"/>
    <w:rsid w:val="43BD7F58"/>
    <w:rsid w:val="43D43ECA"/>
    <w:rsid w:val="43DD452F"/>
    <w:rsid w:val="43DE6CD4"/>
    <w:rsid w:val="43E443EC"/>
    <w:rsid w:val="43E51150"/>
    <w:rsid w:val="43EE12FB"/>
    <w:rsid w:val="43EF28BB"/>
    <w:rsid w:val="43EF56D3"/>
    <w:rsid w:val="43F0274D"/>
    <w:rsid w:val="43F47D80"/>
    <w:rsid w:val="43F565F9"/>
    <w:rsid w:val="44095C00"/>
    <w:rsid w:val="440A24EA"/>
    <w:rsid w:val="440A6FD2"/>
    <w:rsid w:val="441427F7"/>
    <w:rsid w:val="442944F4"/>
    <w:rsid w:val="442A1797"/>
    <w:rsid w:val="442A3DC9"/>
    <w:rsid w:val="44337121"/>
    <w:rsid w:val="44366C11"/>
    <w:rsid w:val="444946CA"/>
    <w:rsid w:val="444B3F54"/>
    <w:rsid w:val="445D7CFA"/>
    <w:rsid w:val="44705C7F"/>
    <w:rsid w:val="447137A5"/>
    <w:rsid w:val="4476661F"/>
    <w:rsid w:val="44775260"/>
    <w:rsid w:val="447E3AC5"/>
    <w:rsid w:val="44805ED4"/>
    <w:rsid w:val="448E5DEE"/>
    <w:rsid w:val="449E4142"/>
    <w:rsid w:val="44A4515C"/>
    <w:rsid w:val="44A90BAA"/>
    <w:rsid w:val="44B24A20"/>
    <w:rsid w:val="44BC0BEE"/>
    <w:rsid w:val="44BF5168"/>
    <w:rsid w:val="44BF6C07"/>
    <w:rsid w:val="44C24001"/>
    <w:rsid w:val="44C55A88"/>
    <w:rsid w:val="44D55303"/>
    <w:rsid w:val="44FB1C9C"/>
    <w:rsid w:val="450327A3"/>
    <w:rsid w:val="452B1BA6"/>
    <w:rsid w:val="45392A13"/>
    <w:rsid w:val="453E3FCF"/>
    <w:rsid w:val="454F1836"/>
    <w:rsid w:val="4551644F"/>
    <w:rsid w:val="45566A25"/>
    <w:rsid w:val="455B358D"/>
    <w:rsid w:val="45790B64"/>
    <w:rsid w:val="457B2BF7"/>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D70E2"/>
    <w:rsid w:val="471E5E67"/>
    <w:rsid w:val="4724600B"/>
    <w:rsid w:val="472E597E"/>
    <w:rsid w:val="47461B9F"/>
    <w:rsid w:val="474A4B33"/>
    <w:rsid w:val="4760647F"/>
    <w:rsid w:val="47665A15"/>
    <w:rsid w:val="47677941"/>
    <w:rsid w:val="477F1660"/>
    <w:rsid w:val="4788232A"/>
    <w:rsid w:val="478B0398"/>
    <w:rsid w:val="478F5D0B"/>
    <w:rsid w:val="47940D5A"/>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21C53"/>
    <w:rsid w:val="485633DE"/>
    <w:rsid w:val="48566773"/>
    <w:rsid w:val="485A23C2"/>
    <w:rsid w:val="485C6422"/>
    <w:rsid w:val="48623B31"/>
    <w:rsid w:val="486755EB"/>
    <w:rsid w:val="48691107"/>
    <w:rsid w:val="48711FC6"/>
    <w:rsid w:val="4875679A"/>
    <w:rsid w:val="48895289"/>
    <w:rsid w:val="488E10F3"/>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55444"/>
    <w:rsid w:val="49792B95"/>
    <w:rsid w:val="49A308A5"/>
    <w:rsid w:val="49DB003F"/>
    <w:rsid w:val="49F11610"/>
    <w:rsid w:val="49F70BF1"/>
    <w:rsid w:val="4A05334F"/>
    <w:rsid w:val="4A060864"/>
    <w:rsid w:val="4A0F0210"/>
    <w:rsid w:val="4A172E99"/>
    <w:rsid w:val="4A190B67"/>
    <w:rsid w:val="4A244932"/>
    <w:rsid w:val="4A2922C8"/>
    <w:rsid w:val="4A3E05CE"/>
    <w:rsid w:val="4A3E237C"/>
    <w:rsid w:val="4A4117B2"/>
    <w:rsid w:val="4A4A6F73"/>
    <w:rsid w:val="4A72097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43211C"/>
    <w:rsid w:val="4B520DF4"/>
    <w:rsid w:val="4B603107"/>
    <w:rsid w:val="4B7A5635"/>
    <w:rsid w:val="4B8E10E1"/>
    <w:rsid w:val="4B9802B0"/>
    <w:rsid w:val="4B9D5C22"/>
    <w:rsid w:val="4B9E65BE"/>
    <w:rsid w:val="4B9F33A8"/>
    <w:rsid w:val="4BA80AFD"/>
    <w:rsid w:val="4BAD6BFC"/>
    <w:rsid w:val="4BB033BA"/>
    <w:rsid w:val="4BB469AD"/>
    <w:rsid w:val="4BC06040"/>
    <w:rsid w:val="4BC66ACD"/>
    <w:rsid w:val="4BCF5981"/>
    <w:rsid w:val="4BD846DB"/>
    <w:rsid w:val="4BDF7466"/>
    <w:rsid w:val="4BF441D2"/>
    <w:rsid w:val="4C03387D"/>
    <w:rsid w:val="4C080E93"/>
    <w:rsid w:val="4C1C2A09"/>
    <w:rsid w:val="4C284AD9"/>
    <w:rsid w:val="4C423098"/>
    <w:rsid w:val="4C5C2F8D"/>
    <w:rsid w:val="4C612351"/>
    <w:rsid w:val="4C694192"/>
    <w:rsid w:val="4C7964D9"/>
    <w:rsid w:val="4C8C5620"/>
    <w:rsid w:val="4C9269F6"/>
    <w:rsid w:val="4C9B1D07"/>
    <w:rsid w:val="4CB75F07"/>
    <w:rsid w:val="4CC84335"/>
    <w:rsid w:val="4CD22B0F"/>
    <w:rsid w:val="4CD40D75"/>
    <w:rsid w:val="4CDA3E72"/>
    <w:rsid w:val="4CE4545C"/>
    <w:rsid w:val="4CE9350A"/>
    <w:rsid w:val="4CF3569F"/>
    <w:rsid w:val="4D014937"/>
    <w:rsid w:val="4D156927"/>
    <w:rsid w:val="4D16138E"/>
    <w:rsid w:val="4D1E2466"/>
    <w:rsid w:val="4D225F85"/>
    <w:rsid w:val="4D297BF3"/>
    <w:rsid w:val="4D2B4E39"/>
    <w:rsid w:val="4D2D0EAF"/>
    <w:rsid w:val="4D64659D"/>
    <w:rsid w:val="4D6640C3"/>
    <w:rsid w:val="4D795A49"/>
    <w:rsid w:val="4D7F0082"/>
    <w:rsid w:val="4D952FD9"/>
    <w:rsid w:val="4D9549A9"/>
    <w:rsid w:val="4D970662"/>
    <w:rsid w:val="4D9A1FBF"/>
    <w:rsid w:val="4D9F40B3"/>
    <w:rsid w:val="4DAB41CC"/>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77249"/>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813ED"/>
    <w:rsid w:val="4F196F13"/>
    <w:rsid w:val="4F241019"/>
    <w:rsid w:val="4F307BB1"/>
    <w:rsid w:val="4F336227"/>
    <w:rsid w:val="4F3C3EF2"/>
    <w:rsid w:val="4F3D562D"/>
    <w:rsid w:val="4F5148FF"/>
    <w:rsid w:val="4F5C4EE0"/>
    <w:rsid w:val="4F5D14F6"/>
    <w:rsid w:val="4F681AF1"/>
    <w:rsid w:val="4F6E1972"/>
    <w:rsid w:val="4F943166"/>
    <w:rsid w:val="4F9C19A5"/>
    <w:rsid w:val="4FA15887"/>
    <w:rsid w:val="4FBA02A1"/>
    <w:rsid w:val="4FCB3ED2"/>
    <w:rsid w:val="4FD95020"/>
    <w:rsid w:val="4FE7106E"/>
    <w:rsid w:val="4FF82FCD"/>
    <w:rsid w:val="4FFE0FFF"/>
    <w:rsid w:val="50053943"/>
    <w:rsid w:val="50260569"/>
    <w:rsid w:val="50374A3C"/>
    <w:rsid w:val="50487AB0"/>
    <w:rsid w:val="50550E55"/>
    <w:rsid w:val="506B379F"/>
    <w:rsid w:val="507524A6"/>
    <w:rsid w:val="507E7F6A"/>
    <w:rsid w:val="50901457"/>
    <w:rsid w:val="509F43E4"/>
    <w:rsid w:val="50A54D3E"/>
    <w:rsid w:val="50B82E88"/>
    <w:rsid w:val="50BB32A7"/>
    <w:rsid w:val="50CA4969"/>
    <w:rsid w:val="50CC5CB2"/>
    <w:rsid w:val="50F1402B"/>
    <w:rsid w:val="50FD2AD9"/>
    <w:rsid w:val="51081E85"/>
    <w:rsid w:val="51097D9A"/>
    <w:rsid w:val="511A650F"/>
    <w:rsid w:val="51237D2E"/>
    <w:rsid w:val="515B06D0"/>
    <w:rsid w:val="51764AF1"/>
    <w:rsid w:val="51996737"/>
    <w:rsid w:val="51B408B8"/>
    <w:rsid w:val="51B80848"/>
    <w:rsid w:val="51CC0868"/>
    <w:rsid w:val="51CC7481"/>
    <w:rsid w:val="51D5340F"/>
    <w:rsid w:val="520E4D2A"/>
    <w:rsid w:val="52171E30"/>
    <w:rsid w:val="52287B99"/>
    <w:rsid w:val="522E717A"/>
    <w:rsid w:val="52382F2A"/>
    <w:rsid w:val="52386E3D"/>
    <w:rsid w:val="523A7DD1"/>
    <w:rsid w:val="523B7711"/>
    <w:rsid w:val="523E560F"/>
    <w:rsid w:val="52495D62"/>
    <w:rsid w:val="5271774C"/>
    <w:rsid w:val="527A416D"/>
    <w:rsid w:val="527F1783"/>
    <w:rsid w:val="528D7B65"/>
    <w:rsid w:val="52AA11D3"/>
    <w:rsid w:val="52DE008D"/>
    <w:rsid w:val="52ED2B91"/>
    <w:rsid w:val="52EE341E"/>
    <w:rsid w:val="52F37FE6"/>
    <w:rsid w:val="52FC1CAF"/>
    <w:rsid w:val="52FE08FA"/>
    <w:rsid w:val="52FF22FE"/>
    <w:rsid w:val="530009DE"/>
    <w:rsid w:val="53004672"/>
    <w:rsid w:val="530B071F"/>
    <w:rsid w:val="53146370"/>
    <w:rsid w:val="531A330F"/>
    <w:rsid w:val="532B6CAF"/>
    <w:rsid w:val="53350D91"/>
    <w:rsid w:val="53407165"/>
    <w:rsid w:val="53412644"/>
    <w:rsid w:val="53433903"/>
    <w:rsid w:val="53517A72"/>
    <w:rsid w:val="535A51E8"/>
    <w:rsid w:val="5361549D"/>
    <w:rsid w:val="536220DA"/>
    <w:rsid w:val="53650637"/>
    <w:rsid w:val="536A5F90"/>
    <w:rsid w:val="53715570"/>
    <w:rsid w:val="537155BE"/>
    <w:rsid w:val="53757C6B"/>
    <w:rsid w:val="537E1075"/>
    <w:rsid w:val="53835884"/>
    <w:rsid w:val="539A4AC7"/>
    <w:rsid w:val="53A2397B"/>
    <w:rsid w:val="53A44D07"/>
    <w:rsid w:val="53A46AC8"/>
    <w:rsid w:val="53AB7F1F"/>
    <w:rsid w:val="53AC6F7B"/>
    <w:rsid w:val="53C01F4F"/>
    <w:rsid w:val="53EB297B"/>
    <w:rsid w:val="53EC4BF7"/>
    <w:rsid w:val="53F671DE"/>
    <w:rsid w:val="53F758A1"/>
    <w:rsid w:val="540D5A7F"/>
    <w:rsid w:val="542E2BC2"/>
    <w:rsid w:val="54352A96"/>
    <w:rsid w:val="543C5B7E"/>
    <w:rsid w:val="54447390"/>
    <w:rsid w:val="54484523"/>
    <w:rsid w:val="544B514D"/>
    <w:rsid w:val="545E1D01"/>
    <w:rsid w:val="54674051"/>
    <w:rsid w:val="547A0454"/>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780E38"/>
    <w:rsid w:val="55860894"/>
    <w:rsid w:val="558F6181"/>
    <w:rsid w:val="55B02DF1"/>
    <w:rsid w:val="55C7591B"/>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8690E"/>
    <w:rsid w:val="56AB7A29"/>
    <w:rsid w:val="56B679AB"/>
    <w:rsid w:val="56B80DEB"/>
    <w:rsid w:val="56BF4844"/>
    <w:rsid w:val="56D227CA"/>
    <w:rsid w:val="56E0560F"/>
    <w:rsid w:val="56E06E61"/>
    <w:rsid w:val="56EF3C74"/>
    <w:rsid w:val="56F653FE"/>
    <w:rsid w:val="56FA762A"/>
    <w:rsid w:val="57007337"/>
    <w:rsid w:val="57342B3C"/>
    <w:rsid w:val="574448FC"/>
    <w:rsid w:val="57561D39"/>
    <w:rsid w:val="575B7AFD"/>
    <w:rsid w:val="575C35DF"/>
    <w:rsid w:val="575F3C6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072F"/>
    <w:rsid w:val="587F428B"/>
    <w:rsid w:val="58843A9C"/>
    <w:rsid w:val="58953AAF"/>
    <w:rsid w:val="58B31855"/>
    <w:rsid w:val="58CF56D8"/>
    <w:rsid w:val="58D26AB1"/>
    <w:rsid w:val="58D31010"/>
    <w:rsid w:val="58D6741E"/>
    <w:rsid w:val="58D72549"/>
    <w:rsid w:val="58DA7789"/>
    <w:rsid w:val="58DB0535"/>
    <w:rsid w:val="58E14F46"/>
    <w:rsid w:val="58E467E4"/>
    <w:rsid w:val="58E62E0E"/>
    <w:rsid w:val="58EA3D0E"/>
    <w:rsid w:val="58F24A5D"/>
    <w:rsid w:val="58F71269"/>
    <w:rsid w:val="58FC6D00"/>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E3160A"/>
    <w:rsid w:val="59F334C8"/>
    <w:rsid w:val="59F64E82"/>
    <w:rsid w:val="5A0850AB"/>
    <w:rsid w:val="5A0A5DD6"/>
    <w:rsid w:val="5A10435C"/>
    <w:rsid w:val="5A2654CC"/>
    <w:rsid w:val="5A323A44"/>
    <w:rsid w:val="5A395E66"/>
    <w:rsid w:val="5A476FBE"/>
    <w:rsid w:val="5A484352"/>
    <w:rsid w:val="5A4B5B6F"/>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3F7D02"/>
    <w:rsid w:val="5B585171"/>
    <w:rsid w:val="5B585B78"/>
    <w:rsid w:val="5B6D62B9"/>
    <w:rsid w:val="5B7420A1"/>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7B745F"/>
    <w:rsid w:val="5C874B51"/>
    <w:rsid w:val="5C936557"/>
    <w:rsid w:val="5CB309A7"/>
    <w:rsid w:val="5CBB7F6F"/>
    <w:rsid w:val="5CC248CE"/>
    <w:rsid w:val="5CF060E8"/>
    <w:rsid w:val="5D042FB1"/>
    <w:rsid w:val="5D080CF3"/>
    <w:rsid w:val="5D0C1F6C"/>
    <w:rsid w:val="5D26561D"/>
    <w:rsid w:val="5D3A4C25"/>
    <w:rsid w:val="5D442CB4"/>
    <w:rsid w:val="5D7869AF"/>
    <w:rsid w:val="5D7C3F11"/>
    <w:rsid w:val="5D971C5A"/>
    <w:rsid w:val="5D9D49E0"/>
    <w:rsid w:val="5DA01E9E"/>
    <w:rsid w:val="5DAD3649"/>
    <w:rsid w:val="5DC310BE"/>
    <w:rsid w:val="5DCC7F73"/>
    <w:rsid w:val="5DD21301"/>
    <w:rsid w:val="5DDF1821"/>
    <w:rsid w:val="5DE2656A"/>
    <w:rsid w:val="5DEA2F91"/>
    <w:rsid w:val="5DF94AE0"/>
    <w:rsid w:val="5DFA5883"/>
    <w:rsid w:val="5E224037"/>
    <w:rsid w:val="5E31427A"/>
    <w:rsid w:val="5E3146A3"/>
    <w:rsid w:val="5E442F62"/>
    <w:rsid w:val="5E6C2C5B"/>
    <w:rsid w:val="5E6E2DD8"/>
    <w:rsid w:val="5E7251A2"/>
    <w:rsid w:val="5E785A05"/>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7E30C9"/>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6C79D7"/>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3C457D"/>
    <w:rsid w:val="61421F29"/>
    <w:rsid w:val="61637D56"/>
    <w:rsid w:val="61712185"/>
    <w:rsid w:val="618B1EF3"/>
    <w:rsid w:val="618B7207"/>
    <w:rsid w:val="61907E69"/>
    <w:rsid w:val="61994610"/>
    <w:rsid w:val="61A90D68"/>
    <w:rsid w:val="61B43A15"/>
    <w:rsid w:val="61B825BC"/>
    <w:rsid w:val="61DA0425"/>
    <w:rsid w:val="61F63AED"/>
    <w:rsid w:val="62065A1D"/>
    <w:rsid w:val="6213792C"/>
    <w:rsid w:val="621775E2"/>
    <w:rsid w:val="621C0D9D"/>
    <w:rsid w:val="622F7552"/>
    <w:rsid w:val="62467BC8"/>
    <w:rsid w:val="6250406E"/>
    <w:rsid w:val="6267666C"/>
    <w:rsid w:val="62724E61"/>
    <w:rsid w:val="627D6831"/>
    <w:rsid w:val="62811B1C"/>
    <w:rsid w:val="628C7CD0"/>
    <w:rsid w:val="6299063F"/>
    <w:rsid w:val="629B7F14"/>
    <w:rsid w:val="62A20409"/>
    <w:rsid w:val="62A56FE4"/>
    <w:rsid w:val="62AE40EB"/>
    <w:rsid w:val="62B54B44"/>
    <w:rsid w:val="62B92A90"/>
    <w:rsid w:val="62DD052C"/>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77A6E"/>
    <w:rsid w:val="641B7951"/>
    <w:rsid w:val="643F32F9"/>
    <w:rsid w:val="64582686"/>
    <w:rsid w:val="64673C87"/>
    <w:rsid w:val="646A2293"/>
    <w:rsid w:val="646C5FB1"/>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AB2B63"/>
    <w:rsid w:val="65B31A18"/>
    <w:rsid w:val="65B461E9"/>
    <w:rsid w:val="65BE39A8"/>
    <w:rsid w:val="65C23A09"/>
    <w:rsid w:val="65E73470"/>
    <w:rsid w:val="65FB3FBE"/>
    <w:rsid w:val="66101A71"/>
    <w:rsid w:val="66171FA7"/>
    <w:rsid w:val="66247D11"/>
    <w:rsid w:val="66252916"/>
    <w:rsid w:val="662B5A52"/>
    <w:rsid w:val="663B3EC9"/>
    <w:rsid w:val="665A1E94"/>
    <w:rsid w:val="66736112"/>
    <w:rsid w:val="667F5B5B"/>
    <w:rsid w:val="668F1B3D"/>
    <w:rsid w:val="66911D59"/>
    <w:rsid w:val="6694262A"/>
    <w:rsid w:val="66990381"/>
    <w:rsid w:val="66996E60"/>
    <w:rsid w:val="669A3B31"/>
    <w:rsid w:val="66A573FC"/>
    <w:rsid w:val="66B31B01"/>
    <w:rsid w:val="66CE1E80"/>
    <w:rsid w:val="66DB2FD4"/>
    <w:rsid w:val="66E362F9"/>
    <w:rsid w:val="66E47FD9"/>
    <w:rsid w:val="66E520A5"/>
    <w:rsid w:val="66F04175"/>
    <w:rsid w:val="66F127F8"/>
    <w:rsid w:val="66F95B50"/>
    <w:rsid w:val="67071922"/>
    <w:rsid w:val="673B73C0"/>
    <w:rsid w:val="674743C8"/>
    <w:rsid w:val="674E7C4A"/>
    <w:rsid w:val="675608B6"/>
    <w:rsid w:val="67754402"/>
    <w:rsid w:val="677D54ED"/>
    <w:rsid w:val="67883798"/>
    <w:rsid w:val="678B726C"/>
    <w:rsid w:val="679D472E"/>
    <w:rsid w:val="679E40A4"/>
    <w:rsid w:val="67B25E27"/>
    <w:rsid w:val="67B4646D"/>
    <w:rsid w:val="67B464CA"/>
    <w:rsid w:val="67C24194"/>
    <w:rsid w:val="67C4383B"/>
    <w:rsid w:val="67CE0D8B"/>
    <w:rsid w:val="67D35E1A"/>
    <w:rsid w:val="67D5211A"/>
    <w:rsid w:val="67D839B8"/>
    <w:rsid w:val="67EE4F89"/>
    <w:rsid w:val="67F35317"/>
    <w:rsid w:val="67F73E3E"/>
    <w:rsid w:val="68016A6B"/>
    <w:rsid w:val="680201B7"/>
    <w:rsid w:val="68040309"/>
    <w:rsid w:val="68060525"/>
    <w:rsid w:val="68103152"/>
    <w:rsid w:val="682E35D8"/>
    <w:rsid w:val="68362BFB"/>
    <w:rsid w:val="683D085A"/>
    <w:rsid w:val="683F1130"/>
    <w:rsid w:val="684456A1"/>
    <w:rsid w:val="684D3A5E"/>
    <w:rsid w:val="68573C08"/>
    <w:rsid w:val="685C1EF3"/>
    <w:rsid w:val="685E1363"/>
    <w:rsid w:val="687731D1"/>
    <w:rsid w:val="6878475E"/>
    <w:rsid w:val="687B7594"/>
    <w:rsid w:val="688E1089"/>
    <w:rsid w:val="689005C2"/>
    <w:rsid w:val="68993219"/>
    <w:rsid w:val="689E42BA"/>
    <w:rsid w:val="68A026F3"/>
    <w:rsid w:val="68AD6BF3"/>
    <w:rsid w:val="68AF6C13"/>
    <w:rsid w:val="68C77CB4"/>
    <w:rsid w:val="68D73C6F"/>
    <w:rsid w:val="68F25680"/>
    <w:rsid w:val="69074555"/>
    <w:rsid w:val="690E07C7"/>
    <w:rsid w:val="69140A20"/>
    <w:rsid w:val="69236A65"/>
    <w:rsid w:val="692E469B"/>
    <w:rsid w:val="69315C48"/>
    <w:rsid w:val="693C3AD3"/>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61FEB"/>
    <w:rsid w:val="6A7903E5"/>
    <w:rsid w:val="6A8219B9"/>
    <w:rsid w:val="6A8641F2"/>
    <w:rsid w:val="6A9701A5"/>
    <w:rsid w:val="6AA03032"/>
    <w:rsid w:val="6AA86FEC"/>
    <w:rsid w:val="6AC67AF8"/>
    <w:rsid w:val="6ACB20F7"/>
    <w:rsid w:val="6AD37EE9"/>
    <w:rsid w:val="6ADA6AC4"/>
    <w:rsid w:val="6ADB11D6"/>
    <w:rsid w:val="6ADF0BB9"/>
    <w:rsid w:val="6AE83F12"/>
    <w:rsid w:val="6AEA1A38"/>
    <w:rsid w:val="6B1A2C3C"/>
    <w:rsid w:val="6B1B42E7"/>
    <w:rsid w:val="6B221F4E"/>
    <w:rsid w:val="6B31644D"/>
    <w:rsid w:val="6B486C86"/>
    <w:rsid w:val="6B4C0C2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344D5"/>
    <w:rsid w:val="6BFD39ED"/>
    <w:rsid w:val="6C053C7D"/>
    <w:rsid w:val="6C0D357A"/>
    <w:rsid w:val="6C1314D0"/>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1D4ABA"/>
    <w:rsid w:val="6D2F6F7D"/>
    <w:rsid w:val="6D325918"/>
    <w:rsid w:val="6D341690"/>
    <w:rsid w:val="6D480984"/>
    <w:rsid w:val="6D5835D1"/>
    <w:rsid w:val="6D68612B"/>
    <w:rsid w:val="6D716441"/>
    <w:rsid w:val="6D8079F9"/>
    <w:rsid w:val="6D8A5754"/>
    <w:rsid w:val="6D997745"/>
    <w:rsid w:val="6DB13E57"/>
    <w:rsid w:val="6DBE71AC"/>
    <w:rsid w:val="6DC245A2"/>
    <w:rsid w:val="6DC71662"/>
    <w:rsid w:val="6DCD5126"/>
    <w:rsid w:val="6DDB6CB0"/>
    <w:rsid w:val="6DDE269F"/>
    <w:rsid w:val="6DE21877"/>
    <w:rsid w:val="6DE52ACD"/>
    <w:rsid w:val="6DF36E56"/>
    <w:rsid w:val="6DFC0B44"/>
    <w:rsid w:val="6E0458E7"/>
    <w:rsid w:val="6E212037"/>
    <w:rsid w:val="6E263D90"/>
    <w:rsid w:val="6E3B221B"/>
    <w:rsid w:val="6E475779"/>
    <w:rsid w:val="6E51424D"/>
    <w:rsid w:val="6E5D700D"/>
    <w:rsid w:val="6E663C68"/>
    <w:rsid w:val="6E6A3D7F"/>
    <w:rsid w:val="6E7764EF"/>
    <w:rsid w:val="6E8403F6"/>
    <w:rsid w:val="6E963C85"/>
    <w:rsid w:val="6EA6211A"/>
    <w:rsid w:val="6EAD447C"/>
    <w:rsid w:val="6EAE5472"/>
    <w:rsid w:val="6EBC069A"/>
    <w:rsid w:val="6EBE7228"/>
    <w:rsid w:val="6ECD7F59"/>
    <w:rsid w:val="6ECF449B"/>
    <w:rsid w:val="6ED36C87"/>
    <w:rsid w:val="6ED975CA"/>
    <w:rsid w:val="6EED7C80"/>
    <w:rsid w:val="6EF773A4"/>
    <w:rsid w:val="6F1B60C3"/>
    <w:rsid w:val="6F1E2E65"/>
    <w:rsid w:val="6F2F2D9E"/>
    <w:rsid w:val="6F343BCA"/>
    <w:rsid w:val="6F4147D9"/>
    <w:rsid w:val="6F581F47"/>
    <w:rsid w:val="6F5B0D5A"/>
    <w:rsid w:val="6F5C35EA"/>
    <w:rsid w:val="6F5E29F5"/>
    <w:rsid w:val="6F6B6A15"/>
    <w:rsid w:val="6F743FC6"/>
    <w:rsid w:val="6F7C10CD"/>
    <w:rsid w:val="6F7C731F"/>
    <w:rsid w:val="6F947E4B"/>
    <w:rsid w:val="6FA30BDA"/>
    <w:rsid w:val="6FB21D4C"/>
    <w:rsid w:val="6FB80698"/>
    <w:rsid w:val="6FBB7E47"/>
    <w:rsid w:val="6FD40F09"/>
    <w:rsid w:val="6FFD5E0F"/>
    <w:rsid w:val="701021F4"/>
    <w:rsid w:val="701C29A6"/>
    <w:rsid w:val="701F1878"/>
    <w:rsid w:val="7024611F"/>
    <w:rsid w:val="7038498C"/>
    <w:rsid w:val="70637B96"/>
    <w:rsid w:val="70761FC0"/>
    <w:rsid w:val="70797317"/>
    <w:rsid w:val="707E201F"/>
    <w:rsid w:val="7099044B"/>
    <w:rsid w:val="709A06E1"/>
    <w:rsid w:val="709D518F"/>
    <w:rsid w:val="70A26911"/>
    <w:rsid w:val="70A71BC5"/>
    <w:rsid w:val="70B76860"/>
    <w:rsid w:val="70C759D3"/>
    <w:rsid w:val="70CD7E32"/>
    <w:rsid w:val="70CF2B23"/>
    <w:rsid w:val="70D6480D"/>
    <w:rsid w:val="70D70CB1"/>
    <w:rsid w:val="70D80585"/>
    <w:rsid w:val="70DA254F"/>
    <w:rsid w:val="70E2315F"/>
    <w:rsid w:val="70F25AEA"/>
    <w:rsid w:val="70FA674D"/>
    <w:rsid w:val="70FD7FEB"/>
    <w:rsid w:val="710952C1"/>
    <w:rsid w:val="71275C2B"/>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C805F9"/>
    <w:rsid w:val="71D07496"/>
    <w:rsid w:val="71D75D0F"/>
    <w:rsid w:val="71F437A4"/>
    <w:rsid w:val="720E0702"/>
    <w:rsid w:val="720F34AF"/>
    <w:rsid w:val="721469FD"/>
    <w:rsid w:val="721919B3"/>
    <w:rsid w:val="721970A7"/>
    <w:rsid w:val="721A6098"/>
    <w:rsid w:val="721D18D3"/>
    <w:rsid w:val="72310D1A"/>
    <w:rsid w:val="72565C05"/>
    <w:rsid w:val="725D6B54"/>
    <w:rsid w:val="727644F9"/>
    <w:rsid w:val="727918F3"/>
    <w:rsid w:val="72986FA0"/>
    <w:rsid w:val="729D1A86"/>
    <w:rsid w:val="72A17C99"/>
    <w:rsid w:val="72A2709C"/>
    <w:rsid w:val="72A5093A"/>
    <w:rsid w:val="72AD7197"/>
    <w:rsid w:val="72AF6F7E"/>
    <w:rsid w:val="72BD2C86"/>
    <w:rsid w:val="72CD226C"/>
    <w:rsid w:val="72D032DD"/>
    <w:rsid w:val="72D27981"/>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99224D"/>
    <w:rsid w:val="73AF2114"/>
    <w:rsid w:val="73AF381F"/>
    <w:rsid w:val="73C848E1"/>
    <w:rsid w:val="73E159A2"/>
    <w:rsid w:val="73E96BCA"/>
    <w:rsid w:val="73EE4A6E"/>
    <w:rsid w:val="741048BC"/>
    <w:rsid w:val="742E78D4"/>
    <w:rsid w:val="74317498"/>
    <w:rsid w:val="74335A84"/>
    <w:rsid w:val="743A6A13"/>
    <w:rsid w:val="74676A28"/>
    <w:rsid w:val="746A0C2F"/>
    <w:rsid w:val="746A1E3C"/>
    <w:rsid w:val="747E40B6"/>
    <w:rsid w:val="7481790F"/>
    <w:rsid w:val="748A603A"/>
    <w:rsid w:val="74A43991"/>
    <w:rsid w:val="74AA2238"/>
    <w:rsid w:val="74AC3224"/>
    <w:rsid w:val="74B21065"/>
    <w:rsid w:val="74B77AD0"/>
    <w:rsid w:val="74BB2C83"/>
    <w:rsid w:val="74C33758"/>
    <w:rsid w:val="74C4779E"/>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823AB"/>
    <w:rsid w:val="766B00E5"/>
    <w:rsid w:val="76733229"/>
    <w:rsid w:val="76760624"/>
    <w:rsid w:val="76832D41"/>
    <w:rsid w:val="768B2C28"/>
    <w:rsid w:val="76960CC6"/>
    <w:rsid w:val="76AA29C3"/>
    <w:rsid w:val="76B850E0"/>
    <w:rsid w:val="76BB1CAB"/>
    <w:rsid w:val="76C04050"/>
    <w:rsid w:val="76C23869"/>
    <w:rsid w:val="76D67314"/>
    <w:rsid w:val="76E00193"/>
    <w:rsid w:val="76E3003A"/>
    <w:rsid w:val="76E65049"/>
    <w:rsid w:val="76FA74A7"/>
    <w:rsid w:val="77076007"/>
    <w:rsid w:val="770976EA"/>
    <w:rsid w:val="771A36A5"/>
    <w:rsid w:val="77413F7E"/>
    <w:rsid w:val="77464076"/>
    <w:rsid w:val="7758241F"/>
    <w:rsid w:val="77585F7B"/>
    <w:rsid w:val="777A7D22"/>
    <w:rsid w:val="777E28EC"/>
    <w:rsid w:val="7782124A"/>
    <w:rsid w:val="77835654"/>
    <w:rsid w:val="7797109C"/>
    <w:rsid w:val="779A2A38"/>
    <w:rsid w:val="779C055E"/>
    <w:rsid w:val="77B4450A"/>
    <w:rsid w:val="77B46E73"/>
    <w:rsid w:val="77E37A12"/>
    <w:rsid w:val="77F42148"/>
    <w:rsid w:val="77FE3468"/>
    <w:rsid w:val="78126A72"/>
    <w:rsid w:val="781E71C5"/>
    <w:rsid w:val="78250553"/>
    <w:rsid w:val="782642CC"/>
    <w:rsid w:val="782D11B6"/>
    <w:rsid w:val="78373BF3"/>
    <w:rsid w:val="783B17B1"/>
    <w:rsid w:val="784E2046"/>
    <w:rsid w:val="78546F0C"/>
    <w:rsid w:val="78574515"/>
    <w:rsid w:val="786778FE"/>
    <w:rsid w:val="78830961"/>
    <w:rsid w:val="789D588A"/>
    <w:rsid w:val="78A43B6E"/>
    <w:rsid w:val="78B65E3A"/>
    <w:rsid w:val="78E0091E"/>
    <w:rsid w:val="78EE1C79"/>
    <w:rsid w:val="78F85605"/>
    <w:rsid w:val="78FA66FA"/>
    <w:rsid w:val="79053EE1"/>
    <w:rsid w:val="79265C73"/>
    <w:rsid w:val="79336ABC"/>
    <w:rsid w:val="79345B6A"/>
    <w:rsid w:val="79424F6E"/>
    <w:rsid w:val="795F3706"/>
    <w:rsid w:val="797239CC"/>
    <w:rsid w:val="797F0137"/>
    <w:rsid w:val="797F54AB"/>
    <w:rsid w:val="79831473"/>
    <w:rsid w:val="79983E9C"/>
    <w:rsid w:val="7999527A"/>
    <w:rsid w:val="79AF76C5"/>
    <w:rsid w:val="79B750A1"/>
    <w:rsid w:val="79C25EE1"/>
    <w:rsid w:val="79CE2967"/>
    <w:rsid w:val="79E30EE8"/>
    <w:rsid w:val="79E34934"/>
    <w:rsid w:val="79EA664C"/>
    <w:rsid w:val="79F9627A"/>
    <w:rsid w:val="79FF6948"/>
    <w:rsid w:val="7A00297D"/>
    <w:rsid w:val="7A044199"/>
    <w:rsid w:val="7A0657CF"/>
    <w:rsid w:val="7A2F3BBF"/>
    <w:rsid w:val="7A2F459A"/>
    <w:rsid w:val="7A322A39"/>
    <w:rsid w:val="7A3727C0"/>
    <w:rsid w:val="7A517022"/>
    <w:rsid w:val="7A542B32"/>
    <w:rsid w:val="7A6F5001"/>
    <w:rsid w:val="7A7720A0"/>
    <w:rsid w:val="7A837B2B"/>
    <w:rsid w:val="7A9635B3"/>
    <w:rsid w:val="7A992B33"/>
    <w:rsid w:val="7AA2343E"/>
    <w:rsid w:val="7ABE4C8F"/>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DD6CE2"/>
    <w:rsid w:val="7BE35E2A"/>
    <w:rsid w:val="7BF538C2"/>
    <w:rsid w:val="7BF66C24"/>
    <w:rsid w:val="7BFA1CC7"/>
    <w:rsid w:val="7BFB70B3"/>
    <w:rsid w:val="7BFD3595"/>
    <w:rsid w:val="7C0251DA"/>
    <w:rsid w:val="7C0C0E4A"/>
    <w:rsid w:val="7C0E41D1"/>
    <w:rsid w:val="7C1052F2"/>
    <w:rsid w:val="7C21292C"/>
    <w:rsid w:val="7C2668D9"/>
    <w:rsid w:val="7C32497F"/>
    <w:rsid w:val="7C3C69AE"/>
    <w:rsid w:val="7C5036C5"/>
    <w:rsid w:val="7C52743D"/>
    <w:rsid w:val="7C691974"/>
    <w:rsid w:val="7C817D22"/>
    <w:rsid w:val="7C8A6570"/>
    <w:rsid w:val="7C8B7390"/>
    <w:rsid w:val="7C8C559B"/>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E40730"/>
    <w:rsid w:val="7DF223A2"/>
    <w:rsid w:val="7DFF0955"/>
    <w:rsid w:val="7E026C41"/>
    <w:rsid w:val="7E0B750E"/>
    <w:rsid w:val="7E145DA7"/>
    <w:rsid w:val="7E1939E8"/>
    <w:rsid w:val="7E2400E7"/>
    <w:rsid w:val="7E2822EA"/>
    <w:rsid w:val="7E2A20CE"/>
    <w:rsid w:val="7E355A7B"/>
    <w:rsid w:val="7E455322"/>
    <w:rsid w:val="7E601098"/>
    <w:rsid w:val="7E682F48"/>
    <w:rsid w:val="7E6E3E85"/>
    <w:rsid w:val="7E7E6C0F"/>
    <w:rsid w:val="7E953F59"/>
    <w:rsid w:val="7E991353"/>
    <w:rsid w:val="7E9C184B"/>
    <w:rsid w:val="7EA72948"/>
    <w:rsid w:val="7EAC0EDE"/>
    <w:rsid w:val="7EB31EDB"/>
    <w:rsid w:val="7ED61132"/>
    <w:rsid w:val="7EE70CC0"/>
    <w:rsid w:val="7EEB48DB"/>
    <w:rsid w:val="7EF27444"/>
    <w:rsid w:val="7F016EF9"/>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16"/>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4"/>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13156</Words>
  <Characters>13870</Characters>
  <Lines>139</Lines>
  <Paragraphs>39</Paragraphs>
  <TotalTime>1</TotalTime>
  <ScaleCrop>false</ScaleCrop>
  <LinksUpToDate>false</LinksUpToDate>
  <CharactersWithSpaces>14721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2026-02-05T09:51:29Z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D0FBCFF4EC2C4E7AA460B0C95CF331D0_13</vt:lpwstr>
  </property>
  <property fmtid="{D5CDD505-2E9C-101B-9397-08002B2CF9AE}" pid="4" name="KSOTemplateDocerSaveRecord">
    <vt:lpwstr>eyJoZGlkIjoiMzU0MTZjMjFkMjFjOGMwYTIzNWEzZDljNjYxZWI0MmYiLCJ1c2VySWQiOiIxNjg0NTc5MjM2In0=</vt:lpwstr>
  </property>
</Properties>
</file>