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18AA1A">
      <w:pPr>
        <w:pStyle w:val="20"/>
        <w:widowControl w:val="0"/>
        <w:spacing w:before="156" w:beforeLines="50"/>
        <w:jc w:val="center"/>
        <w:rPr>
          <w:rFonts w:hint="eastAsia"/>
          <w:b/>
          <w:bCs/>
          <w:sz w:val="48"/>
          <w:szCs w:val="48"/>
        </w:rPr>
      </w:pPr>
      <w:bookmarkStart w:id="0" w:name="_Toc22804073"/>
      <w:bookmarkEnd w:id="0"/>
      <w:bookmarkStart w:id="1" w:name="_Toc22953395"/>
      <w:bookmarkEnd w:id="1"/>
    </w:p>
    <w:p w14:paraId="3B211FC4">
      <w:pPr>
        <w:pStyle w:val="20"/>
        <w:jc w:val="center"/>
        <w:rPr>
          <w:rStyle w:val="44"/>
          <w:rFonts w:hint="eastAsia"/>
          <w:b/>
          <w:bCs/>
          <w:color w:val="auto"/>
          <w:sz w:val="48"/>
          <w:szCs w:val="48"/>
        </w:rPr>
      </w:pPr>
      <w:r>
        <w:rPr>
          <w:rFonts w:hint="eastAsia"/>
          <w:b/>
          <w:bCs/>
          <w:sz w:val="44"/>
          <w:szCs w:val="44"/>
          <w:lang w:eastAsia="zh-CN"/>
        </w:rPr>
        <w:t>驻马店市中心医院电脑打印机及相关信息设备维保服务采购</w:t>
      </w:r>
    </w:p>
    <w:p w14:paraId="00CC77A0">
      <w:pPr>
        <w:pStyle w:val="20"/>
        <w:jc w:val="center"/>
        <w:rPr>
          <w:rStyle w:val="44"/>
          <w:rFonts w:hint="eastAsia"/>
          <w:b/>
          <w:bCs/>
          <w:color w:val="auto"/>
          <w:sz w:val="44"/>
          <w:szCs w:val="44"/>
        </w:rPr>
      </w:pPr>
      <w:r>
        <w:rPr>
          <w:rStyle w:val="44"/>
          <w:rFonts w:hint="eastAsia"/>
          <w:b/>
          <w:bCs/>
          <w:color w:val="auto"/>
          <w:sz w:val="44"/>
          <w:szCs w:val="44"/>
        </w:rPr>
        <w:t>竞争性磋商文件</w:t>
      </w:r>
    </w:p>
    <w:p w14:paraId="3F15EB4C">
      <w:pPr>
        <w:tabs>
          <w:tab w:val="left" w:pos="2700"/>
          <w:tab w:val="left" w:pos="2880"/>
          <w:tab w:val="left" w:pos="3060"/>
          <w:tab w:val="left" w:pos="7560"/>
        </w:tabs>
        <w:snapToGrid w:val="0"/>
        <w:spacing w:line="360" w:lineRule="auto"/>
        <w:rPr>
          <w:rFonts w:hint="eastAsia" w:ascii="宋体" w:hAnsi="宋体" w:cs="宋体"/>
          <w:b/>
          <w:bCs/>
          <w:spacing w:val="-10"/>
          <w:sz w:val="34"/>
          <w:szCs w:val="34"/>
        </w:rPr>
      </w:pPr>
    </w:p>
    <w:p w14:paraId="46F0A8F6">
      <w:pPr>
        <w:pStyle w:val="2"/>
        <w:rPr>
          <w:rFonts w:hint="eastAsia" w:ascii="宋体" w:hAnsi="宋体" w:eastAsia="宋体" w:cs="宋体"/>
          <w:spacing w:val="-10"/>
          <w:sz w:val="34"/>
          <w:szCs w:val="34"/>
        </w:rPr>
      </w:pPr>
    </w:p>
    <w:p w14:paraId="198ECF52">
      <w:pPr>
        <w:rPr>
          <w:rFonts w:hint="eastAsia" w:ascii="宋体" w:hAnsi="宋体" w:cs="宋体"/>
          <w:b/>
          <w:bCs/>
          <w:spacing w:val="-10"/>
          <w:sz w:val="34"/>
          <w:szCs w:val="34"/>
        </w:rPr>
      </w:pPr>
    </w:p>
    <w:p w14:paraId="16B42A20">
      <w:pPr>
        <w:rPr>
          <w:rFonts w:hint="eastAsia" w:ascii="宋体" w:hAnsi="宋体" w:cs="宋体"/>
          <w:b/>
          <w:bCs/>
          <w:spacing w:val="-10"/>
          <w:sz w:val="34"/>
          <w:szCs w:val="34"/>
        </w:rPr>
      </w:pPr>
    </w:p>
    <w:p w14:paraId="18C0BCFB">
      <w:pPr>
        <w:rPr>
          <w:rFonts w:hint="eastAsia" w:ascii="宋体" w:hAnsi="宋体" w:cs="宋体"/>
          <w:b/>
          <w:bCs/>
          <w:spacing w:val="-10"/>
          <w:sz w:val="34"/>
          <w:szCs w:val="34"/>
        </w:rPr>
      </w:pPr>
    </w:p>
    <w:p w14:paraId="351EBB3B">
      <w:pPr>
        <w:rPr>
          <w:rFonts w:hint="eastAsia" w:ascii="宋体" w:hAnsi="宋体" w:cs="宋体"/>
          <w:b/>
          <w:bCs/>
          <w:spacing w:val="-10"/>
          <w:sz w:val="34"/>
          <w:szCs w:val="34"/>
        </w:rPr>
      </w:pPr>
    </w:p>
    <w:p w14:paraId="77019C4C"/>
    <w:p w14:paraId="13D615F5">
      <w:pPr>
        <w:snapToGrid w:val="0"/>
        <w:spacing w:line="380" w:lineRule="exact"/>
        <w:jc w:val="center"/>
        <w:rPr>
          <w:rFonts w:hint="eastAsia" w:ascii="宋体" w:hAnsi="宋体" w:cs="宋体"/>
          <w:b/>
          <w:sz w:val="32"/>
          <w:szCs w:val="32"/>
        </w:rPr>
      </w:pPr>
    </w:p>
    <w:p w14:paraId="171525B5">
      <w:pPr>
        <w:pStyle w:val="32"/>
        <w:ind w:firstLine="210"/>
        <w:rPr>
          <w:rFonts w:hint="eastAsia" w:ascii="宋体" w:hAnsi="宋体" w:cs="宋体"/>
        </w:rPr>
      </w:pPr>
    </w:p>
    <w:p w14:paraId="21545218">
      <w:pPr>
        <w:pStyle w:val="62"/>
        <w:rPr>
          <w:rFonts w:hint="eastAsia" w:ascii="宋体" w:hAnsi="宋体" w:cs="宋体"/>
          <w:bCs/>
          <w:sz w:val="2"/>
          <w:szCs w:val="2"/>
        </w:rPr>
      </w:pPr>
    </w:p>
    <w:p w14:paraId="3ADE252E">
      <w:pPr>
        <w:rPr>
          <w:rFonts w:hint="eastAsia" w:ascii="宋体" w:hAnsi="宋体" w:cs="宋体"/>
          <w:bCs/>
          <w:sz w:val="2"/>
          <w:szCs w:val="2"/>
        </w:rPr>
      </w:pPr>
    </w:p>
    <w:p w14:paraId="774533F8">
      <w:pPr>
        <w:spacing w:line="20" w:lineRule="exact"/>
        <w:rPr>
          <w:rFonts w:hint="eastAsia" w:ascii="宋体" w:hAnsi="宋体" w:cs="宋体"/>
          <w:bCs/>
          <w:sz w:val="2"/>
          <w:szCs w:val="2"/>
        </w:rPr>
      </w:pPr>
    </w:p>
    <w:p w14:paraId="34E79E44">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rPr>
      </w:pPr>
      <w:r>
        <w:rPr>
          <w:rFonts w:hint="eastAsia" w:ascii="宋体" w:hAnsi="宋体" w:cs="宋体"/>
          <w:b/>
          <w:bCs/>
          <w:spacing w:val="-10"/>
          <w:sz w:val="34"/>
          <w:szCs w:val="34"/>
        </w:rPr>
        <w:t>采   购   人：驻马店市中心医院</w:t>
      </w:r>
    </w:p>
    <w:p w14:paraId="34AF6335">
      <w:pPr>
        <w:tabs>
          <w:tab w:val="left" w:pos="2700"/>
          <w:tab w:val="left" w:pos="2880"/>
          <w:tab w:val="left" w:pos="3060"/>
          <w:tab w:val="left" w:pos="7560"/>
        </w:tabs>
        <w:snapToGrid w:val="0"/>
        <w:spacing w:line="480" w:lineRule="auto"/>
        <w:ind w:firstLine="1687" w:firstLineChars="525"/>
        <w:rPr>
          <w:rFonts w:hint="eastAsia" w:ascii="宋体" w:hAnsi="宋体" w:eastAsia="宋体" w:cs="宋体"/>
          <w:b/>
          <w:bCs/>
          <w:spacing w:val="-10"/>
          <w:sz w:val="34"/>
          <w:szCs w:val="34"/>
          <w:lang w:eastAsia="zh-CN"/>
        </w:rPr>
      </w:pPr>
      <w:r>
        <w:rPr>
          <w:rFonts w:hint="eastAsia" w:ascii="宋体" w:hAnsi="宋体" w:cs="宋体"/>
          <w:b/>
          <w:bCs/>
          <w:spacing w:val="-10"/>
          <w:sz w:val="34"/>
          <w:szCs w:val="34"/>
        </w:rPr>
        <w:t>采购代理机构：</w:t>
      </w:r>
      <w:r>
        <w:rPr>
          <w:rFonts w:hint="eastAsia" w:ascii="宋体" w:hAnsi="宋体" w:cs="宋体"/>
          <w:b/>
          <w:bCs/>
          <w:spacing w:val="-10"/>
          <w:sz w:val="34"/>
          <w:szCs w:val="34"/>
          <w:lang w:eastAsia="zh-CN"/>
        </w:rPr>
        <w:t>中岐能工程项目管理有限公司</w:t>
      </w:r>
    </w:p>
    <w:p w14:paraId="477DAD30">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rPr>
      </w:pPr>
      <w:r>
        <w:rPr>
          <w:rFonts w:hint="eastAsia" w:ascii="宋体" w:hAnsi="宋体" w:cs="宋体"/>
          <w:b/>
          <w:bCs/>
          <w:spacing w:val="-10"/>
          <w:sz w:val="34"/>
          <w:szCs w:val="34"/>
        </w:rPr>
        <w:t>日        期：202</w:t>
      </w:r>
      <w:r>
        <w:rPr>
          <w:rFonts w:hint="eastAsia" w:ascii="宋体" w:hAnsi="宋体" w:cs="宋体"/>
          <w:b/>
          <w:bCs/>
          <w:spacing w:val="-10"/>
          <w:sz w:val="34"/>
          <w:szCs w:val="34"/>
          <w:lang w:val="en-US" w:eastAsia="zh-CN"/>
        </w:rPr>
        <w:t>6</w:t>
      </w:r>
      <w:r>
        <w:rPr>
          <w:rFonts w:hint="eastAsia" w:ascii="宋体" w:hAnsi="宋体" w:cs="宋体"/>
          <w:b/>
          <w:bCs/>
          <w:spacing w:val="-10"/>
          <w:sz w:val="34"/>
          <w:szCs w:val="34"/>
        </w:rPr>
        <w:t>年</w:t>
      </w:r>
      <w:r>
        <w:rPr>
          <w:rFonts w:hint="eastAsia" w:ascii="宋体" w:hAnsi="宋体" w:cs="宋体"/>
          <w:b/>
          <w:bCs/>
          <w:spacing w:val="-10"/>
          <w:sz w:val="34"/>
          <w:szCs w:val="34"/>
          <w:lang w:val="en-US" w:eastAsia="zh-CN"/>
        </w:rPr>
        <w:t>02</w:t>
      </w:r>
      <w:r>
        <w:rPr>
          <w:rFonts w:hint="eastAsia" w:ascii="宋体" w:hAnsi="宋体" w:cs="宋体"/>
          <w:b/>
          <w:bCs/>
          <w:spacing w:val="-10"/>
          <w:sz w:val="34"/>
          <w:szCs w:val="34"/>
        </w:rPr>
        <w:t>月</w:t>
      </w:r>
    </w:p>
    <w:p w14:paraId="3B69E879">
      <w:pPr>
        <w:pStyle w:val="2"/>
        <w:spacing w:before="0" w:after="0" w:line="240" w:lineRule="auto"/>
        <w:ind w:firstLine="2891" w:firstLineChars="800"/>
        <w:rPr>
          <w:rFonts w:hint="eastAsia" w:ascii="宋体" w:hAnsi="宋体" w:eastAsia="宋体" w:cs="宋体"/>
          <w:sz w:val="36"/>
          <w:szCs w:val="36"/>
        </w:rPr>
      </w:pPr>
    </w:p>
    <w:p w14:paraId="69084238">
      <w:pPr>
        <w:sectPr>
          <w:pgSz w:w="11923" w:h="16838"/>
          <w:pgMar w:top="1440" w:right="1080" w:bottom="1440" w:left="1080" w:header="720" w:footer="720" w:gutter="0"/>
          <w:pgBorders>
            <w:top w:val="none" w:sz="0" w:space="0"/>
            <w:left w:val="none" w:sz="0" w:space="0"/>
            <w:bottom w:val="none" w:sz="0" w:space="0"/>
            <w:right w:val="none" w:sz="0" w:space="0"/>
          </w:pgBorders>
          <w:pgNumType w:start="1"/>
          <w:cols w:space="720" w:num="1"/>
          <w:docGrid w:type="lines" w:linePitch="312" w:charSpace="0"/>
        </w:sectPr>
      </w:pPr>
    </w:p>
    <w:p w14:paraId="7CE15D7E">
      <w:pPr>
        <w:rPr>
          <w:rFonts w:hint="eastAsia" w:ascii="宋体" w:hAnsi="宋体" w:cs="宋体"/>
          <w:bCs/>
          <w:sz w:val="24"/>
        </w:rPr>
      </w:pPr>
    </w:p>
    <w:p w14:paraId="6CCCB457">
      <w:pPr>
        <w:jc w:val="center"/>
        <w:rPr>
          <w:rFonts w:hint="eastAsia" w:ascii="宋体" w:hAnsi="宋体" w:cs="宋体"/>
          <w:b/>
          <w:bCs/>
          <w:sz w:val="36"/>
          <w:szCs w:val="36"/>
        </w:rPr>
      </w:pPr>
      <w:r>
        <w:rPr>
          <w:rFonts w:hint="eastAsia" w:ascii="宋体" w:hAnsi="宋体" w:cs="宋体"/>
          <w:b/>
          <w:bCs/>
          <w:sz w:val="36"/>
          <w:szCs w:val="36"/>
        </w:rPr>
        <w:t>目录</w:t>
      </w:r>
    </w:p>
    <w:p w14:paraId="2F25971A">
      <w:pPr>
        <w:pStyle w:val="25"/>
        <w:tabs>
          <w:tab w:val="right" w:leader="dot" w:pos="8958"/>
        </w:tabs>
        <w:spacing w:line="360" w:lineRule="auto"/>
        <w:rPr>
          <w:rFonts w:hint="eastAsia" w:ascii="宋体" w:hAnsi="宋体" w:eastAsia="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_Toc6699 </w:instrText>
      </w:r>
      <w:r>
        <w:rPr>
          <w:rFonts w:hint="eastAsia" w:ascii="宋体" w:hAnsi="宋体" w:eastAsia="宋体" w:cs="宋体"/>
          <w:bCs/>
          <w:szCs w:val="32"/>
        </w:rPr>
        <w:fldChar w:fldCharType="separate"/>
      </w:r>
      <w:r>
        <w:rPr>
          <w:rFonts w:hint="eastAsia" w:ascii="宋体" w:hAnsi="宋体" w:eastAsia="宋体" w:cs="宋体"/>
          <w:szCs w:val="32"/>
        </w:rPr>
        <w:t>第一章  竞争性磋商公告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_Toc6699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szCs w:val="32"/>
        </w:rPr>
        <w:fldChar w:fldCharType="end"/>
      </w:r>
    </w:p>
    <w:p w14:paraId="26C34AAD">
      <w:pPr>
        <w:pStyle w:val="25"/>
        <w:tabs>
          <w:tab w:val="right" w:leader="dot" w:pos="8958"/>
        </w:tabs>
        <w:spacing w:line="360" w:lineRule="auto"/>
        <w:rPr>
          <w:rFonts w:hint="eastAsia" w:ascii="宋体" w:hAnsi="宋体" w:eastAsia="宋体" w:cs="宋体"/>
        </w:rPr>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_Toc733 </w:instrText>
      </w:r>
      <w:r>
        <w:rPr>
          <w:rFonts w:hint="eastAsia" w:ascii="宋体" w:hAnsi="宋体" w:eastAsia="宋体" w:cs="宋体"/>
          <w:bCs/>
          <w:szCs w:val="32"/>
        </w:rPr>
        <w:fldChar w:fldCharType="separate"/>
      </w:r>
      <w:r>
        <w:rPr>
          <w:rFonts w:hint="eastAsia" w:ascii="宋体" w:hAnsi="宋体" w:eastAsia="宋体" w:cs="宋体"/>
          <w:szCs w:val="32"/>
        </w:rPr>
        <w:t>第二章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szCs w:val="32"/>
        </w:rPr>
        <w:fldChar w:fldCharType="end"/>
      </w:r>
    </w:p>
    <w:p w14:paraId="20749B7F">
      <w:pPr>
        <w:pStyle w:val="25"/>
        <w:tabs>
          <w:tab w:val="right" w:leader="dot" w:pos="8958"/>
        </w:tabs>
        <w:spacing w:line="360" w:lineRule="auto"/>
        <w:rPr>
          <w:rFonts w:hint="eastAsia" w:ascii="宋体" w:hAnsi="宋体" w:eastAsia="宋体" w:cs="宋体"/>
        </w:rPr>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_Toc26695 </w:instrText>
      </w:r>
      <w:r>
        <w:rPr>
          <w:rFonts w:hint="eastAsia" w:ascii="宋体" w:hAnsi="宋体" w:eastAsia="宋体" w:cs="宋体"/>
          <w:bCs/>
          <w:szCs w:val="32"/>
        </w:rPr>
        <w:fldChar w:fldCharType="separate"/>
      </w:r>
      <w:r>
        <w:rPr>
          <w:rFonts w:hint="eastAsia" w:ascii="宋体" w:hAnsi="宋体" w:eastAsia="宋体" w:cs="宋体"/>
          <w:bCs/>
          <w:szCs w:val="32"/>
        </w:rPr>
        <w:t>第三章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_Toc26695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szCs w:val="32"/>
        </w:rPr>
        <w:fldChar w:fldCharType="end"/>
      </w:r>
    </w:p>
    <w:p w14:paraId="04C24CD3">
      <w:pPr>
        <w:pStyle w:val="25"/>
        <w:tabs>
          <w:tab w:val="right" w:leader="dot" w:pos="8958"/>
        </w:tabs>
        <w:spacing w:line="360" w:lineRule="auto"/>
        <w:rPr>
          <w:rFonts w:hint="eastAsia" w:ascii="宋体" w:hAnsi="宋体" w:eastAsia="宋体" w:cs="宋体"/>
        </w:rPr>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_Toc3025 </w:instrText>
      </w:r>
      <w:r>
        <w:rPr>
          <w:rFonts w:hint="eastAsia" w:ascii="宋体" w:hAnsi="宋体" w:eastAsia="宋体" w:cs="宋体"/>
          <w:bCs/>
          <w:szCs w:val="32"/>
        </w:rPr>
        <w:fldChar w:fldCharType="separate"/>
      </w:r>
      <w:r>
        <w:rPr>
          <w:rFonts w:hint="eastAsia" w:ascii="宋体" w:hAnsi="宋体" w:eastAsia="宋体" w:cs="宋体"/>
          <w:bCs/>
          <w:kern w:val="0"/>
          <w:szCs w:val="32"/>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_Toc3025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szCs w:val="32"/>
        </w:rPr>
        <w:fldChar w:fldCharType="end"/>
      </w:r>
    </w:p>
    <w:p w14:paraId="79B24796">
      <w:pPr>
        <w:pStyle w:val="25"/>
        <w:tabs>
          <w:tab w:val="right" w:leader="dot" w:pos="8958"/>
        </w:tabs>
        <w:spacing w:line="360" w:lineRule="auto"/>
        <w:rPr>
          <w:rFonts w:hint="eastAsia" w:ascii="宋体" w:hAnsi="宋体" w:eastAsia="宋体" w:cs="宋体"/>
        </w:rPr>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_Toc16679 </w:instrText>
      </w:r>
      <w:r>
        <w:rPr>
          <w:rFonts w:hint="eastAsia" w:ascii="宋体" w:hAnsi="宋体" w:eastAsia="宋体" w:cs="宋体"/>
          <w:bCs/>
          <w:szCs w:val="32"/>
        </w:rPr>
        <w:fldChar w:fldCharType="separate"/>
      </w:r>
      <w:r>
        <w:rPr>
          <w:rFonts w:hint="eastAsia" w:ascii="宋体" w:hAnsi="宋体" w:eastAsia="宋体" w:cs="宋体"/>
          <w:szCs w:val="28"/>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_Toc16679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szCs w:val="32"/>
        </w:rPr>
        <w:fldChar w:fldCharType="end"/>
      </w:r>
    </w:p>
    <w:p w14:paraId="590B2068">
      <w:pPr>
        <w:pStyle w:val="25"/>
        <w:tabs>
          <w:tab w:val="right" w:leader="dot" w:pos="8958"/>
        </w:tabs>
        <w:spacing w:line="360" w:lineRule="auto"/>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_Toc6162 </w:instrText>
      </w:r>
      <w:r>
        <w:rPr>
          <w:rFonts w:hint="eastAsia" w:ascii="宋体" w:hAnsi="宋体" w:eastAsia="宋体" w:cs="宋体"/>
          <w:bCs/>
          <w:szCs w:val="32"/>
        </w:rPr>
        <w:fldChar w:fldCharType="separate"/>
      </w:r>
      <w:r>
        <w:rPr>
          <w:rFonts w:hint="eastAsia" w:ascii="宋体" w:hAnsi="宋体" w:eastAsia="宋体" w:cs="宋体"/>
          <w:szCs w:val="32"/>
        </w:rPr>
        <w:t>第六章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_Toc6162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szCs w:val="32"/>
        </w:rPr>
        <w:fldChar w:fldCharType="end"/>
      </w:r>
    </w:p>
    <w:p w14:paraId="22631068">
      <w:pPr>
        <w:pStyle w:val="86"/>
        <w:tabs>
          <w:tab w:val="right" w:leader="dot" w:pos="8300"/>
        </w:tabs>
        <w:snapToGrid w:val="0"/>
        <w:spacing w:line="360" w:lineRule="auto"/>
        <w:rPr>
          <w:rFonts w:hint="eastAsia" w:ascii="宋体" w:hAnsi="宋体" w:cs="宋体"/>
          <w:sz w:val="32"/>
          <w:szCs w:val="32"/>
        </w:rPr>
      </w:pPr>
      <w:r>
        <w:rPr>
          <w:rFonts w:hint="eastAsia" w:ascii="宋体" w:hAnsi="宋体" w:cs="宋体"/>
          <w:bCs/>
          <w:szCs w:val="32"/>
        </w:rPr>
        <w:fldChar w:fldCharType="end"/>
      </w:r>
    </w:p>
    <w:p w14:paraId="4D792EFC">
      <w:pPr>
        <w:spacing w:line="440" w:lineRule="exact"/>
        <w:rPr>
          <w:rFonts w:hint="eastAsia" w:ascii="宋体" w:hAnsi="宋体" w:cs="宋体"/>
          <w:b/>
          <w:sz w:val="32"/>
          <w:szCs w:val="32"/>
        </w:rPr>
      </w:pPr>
    </w:p>
    <w:p w14:paraId="3D0C6525">
      <w:pPr>
        <w:spacing w:line="360" w:lineRule="auto"/>
        <w:ind w:firstLine="2409" w:firstLineChars="600"/>
        <w:rPr>
          <w:rFonts w:hint="eastAsia" w:ascii="宋体" w:hAnsi="宋体" w:cs="宋体"/>
          <w:b/>
          <w:sz w:val="40"/>
          <w:szCs w:val="40"/>
        </w:rPr>
        <w:sectPr>
          <w:headerReference r:id="rId3" w:type="default"/>
          <w:footerReference r:id="rId4" w:type="default"/>
          <w:pgSz w:w="11906" w:h="16838"/>
          <w:pgMar w:top="1417" w:right="1474" w:bottom="1417" w:left="1474" w:header="851" w:footer="624" w:gutter="0"/>
          <w:pgBorders>
            <w:top w:val="none" w:sz="0" w:space="0"/>
            <w:left w:val="none" w:sz="0" w:space="0"/>
            <w:bottom w:val="none" w:sz="0" w:space="0"/>
            <w:right w:val="none" w:sz="0" w:space="0"/>
          </w:pgBorders>
          <w:pgNumType w:start="1"/>
          <w:cols w:space="720" w:num="1"/>
          <w:docGrid w:type="lines" w:linePitch="319" w:charSpace="0"/>
        </w:sectPr>
      </w:pPr>
    </w:p>
    <w:p w14:paraId="1F910FFD">
      <w:pPr>
        <w:spacing w:line="360" w:lineRule="auto"/>
        <w:jc w:val="center"/>
        <w:outlineLvl w:val="0"/>
        <w:rPr>
          <w:rFonts w:hint="eastAsia" w:ascii="宋体" w:hAnsi="宋体" w:cs="宋体"/>
          <w:b/>
          <w:sz w:val="32"/>
          <w:szCs w:val="32"/>
        </w:rPr>
      </w:pPr>
      <w:bookmarkStart w:id="2" w:name="_Toc6699"/>
      <w:r>
        <w:rPr>
          <w:rFonts w:hint="eastAsia" w:ascii="宋体" w:hAnsi="宋体" w:cs="宋体"/>
          <w:b/>
          <w:sz w:val="32"/>
          <w:szCs w:val="32"/>
        </w:rPr>
        <w:t>第一章  竞争性磋商公告</w:t>
      </w:r>
      <w:bookmarkEnd w:id="2"/>
    </w:p>
    <w:p w14:paraId="10479E11">
      <w:pPr>
        <w:widowControl/>
        <w:adjustRightInd w:val="0"/>
        <w:snapToGrid w:val="0"/>
        <w:spacing w:line="324" w:lineRule="auto"/>
        <w:jc w:val="center"/>
        <w:rPr>
          <w:rFonts w:hint="eastAsia" w:ascii="宋体" w:hAnsi="宋体" w:cs="宋体"/>
          <w:b/>
          <w:kern w:val="0"/>
          <w:sz w:val="28"/>
          <w:szCs w:val="28"/>
          <w:lang w:eastAsia="zh-CN"/>
        </w:rPr>
      </w:pPr>
      <w:r>
        <w:rPr>
          <w:rFonts w:hint="eastAsia" w:ascii="宋体" w:hAnsi="宋体" w:cs="宋体"/>
          <w:b/>
          <w:kern w:val="0"/>
          <w:sz w:val="28"/>
          <w:szCs w:val="28"/>
          <w:lang w:eastAsia="zh-CN"/>
        </w:rPr>
        <w:t>驻马店市中心医院电脑打印机及相关信息设备维保服务采购</w:t>
      </w:r>
    </w:p>
    <w:p w14:paraId="1B1F24B2">
      <w:pPr>
        <w:widowControl/>
        <w:adjustRightInd w:val="0"/>
        <w:snapToGrid w:val="0"/>
        <w:spacing w:line="324" w:lineRule="auto"/>
        <w:jc w:val="center"/>
        <w:rPr>
          <w:rFonts w:hint="eastAsia" w:ascii="宋体" w:hAnsi="宋体" w:cs="宋体"/>
          <w:b/>
          <w:kern w:val="0"/>
          <w:sz w:val="28"/>
          <w:szCs w:val="28"/>
        </w:rPr>
      </w:pPr>
      <w:r>
        <w:rPr>
          <w:rFonts w:hint="eastAsia" w:ascii="宋体" w:hAnsi="宋体" w:cs="宋体"/>
          <w:b/>
          <w:kern w:val="0"/>
          <w:sz w:val="28"/>
          <w:szCs w:val="28"/>
        </w:rPr>
        <w:t>竞争性磋商公告</w:t>
      </w:r>
    </w:p>
    <w:p w14:paraId="14CF7498">
      <w:pPr>
        <w:snapToGrid w:val="0"/>
        <w:spacing w:line="324" w:lineRule="auto"/>
        <w:ind w:firstLine="420" w:firstLineChars="200"/>
        <w:rPr>
          <w:rFonts w:hint="eastAsia" w:ascii="宋体" w:hAnsi="宋体" w:cs="宋体"/>
          <w:szCs w:val="21"/>
        </w:rPr>
      </w:pPr>
      <w:r>
        <w:rPr>
          <w:rFonts w:hint="eastAsia" w:ascii="宋体" w:hAnsi="宋体" w:cs="宋体"/>
        </w:rPr>
        <w:t>驻马店市中心医院现对</w:t>
      </w:r>
      <w:r>
        <w:rPr>
          <w:rFonts w:hint="eastAsia" w:ascii="宋体" w:hAnsi="宋体" w:cs="宋体"/>
          <w:u w:val="single"/>
          <w:lang w:eastAsia="zh-CN"/>
        </w:rPr>
        <w:t>电脑打印机及相关信息设备维保服务项目</w:t>
      </w:r>
      <w:r>
        <w:rPr>
          <w:rFonts w:hint="eastAsia" w:ascii="宋体" w:hAnsi="宋体" w:cs="宋体"/>
        </w:rPr>
        <w:t>进行院内竞争性磋商，欢迎符合资格条件的供应商前来报名并</w:t>
      </w:r>
      <w:r>
        <w:rPr>
          <w:rFonts w:hint="eastAsia" w:ascii="宋体" w:hAnsi="宋体" w:cs="宋体"/>
          <w:szCs w:val="21"/>
        </w:rPr>
        <w:t>获取竞争性磋商文件。</w:t>
      </w:r>
    </w:p>
    <w:p w14:paraId="75B899F9">
      <w:pPr>
        <w:widowControl/>
        <w:snapToGrid w:val="0"/>
        <w:spacing w:line="324" w:lineRule="auto"/>
        <w:jc w:val="left"/>
        <w:outlineLvl w:val="1"/>
        <w:rPr>
          <w:rFonts w:hint="eastAsia" w:ascii="宋体" w:hAnsi="宋体" w:cs="宋体"/>
          <w:b/>
          <w:bCs/>
          <w:szCs w:val="21"/>
          <w:shd w:val="clear" w:color="auto" w:fill="FFFFFF"/>
        </w:rPr>
      </w:pPr>
      <w:r>
        <w:rPr>
          <w:rFonts w:hint="eastAsia" w:ascii="宋体" w:hAnsi="宋体" w:cs="宋体"/>
          <w:b/>
          <w:bCs/>
          <w:szCs w:val="21"/>
          <w:shd w:val="clear" w:color="auto" w:fill="FFFFFF"/>
        </w:rPr>
        <w:t>一、项目基本情况</w:t>
      </w:r>
    </w:p>
    <w:p w14:paraId="45F7CC7C">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1、项目名称：</w:t>
      </w:r>
      <w:r>
        <w:rPr>
          <w:rFonts w:hint="eastAsia" w:ascii="宋体" w:hAnsi="宋体" w:cs="宋体"/>
          <w:szCs w:val="21"/>
          <w:shd w:val="clear" w:color="auto" w:fill="FFFFFF"/>
          <w:lang w:eastAsia="zh-CN"/>
        </w:rPr>
        <w:t>驻马店市中心医院电脑打印机及相关信息设备维保服务项目</w:t>
      </w:r>
      <w:r>
        <w:rPr>
          <w:rFonts w:hint="eastAsia" w:ascii="宋体" w:hAnsi="宋体" w:cs="宋体"/>
          <w:szCs w:val="21"/>
          <w:shd w:val="clear" w:color="auto" w:fill="FFFFFF"/>
        </w:rPr>
        <w:t>；</w:t>
      </w:r>
    </w:p>
    <w:p w14:paraId="4E6C8198">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2、采购需求：具体详见磋商文件第二章采购需求；</w:t>
      </w:r>
    </w:p>
    <w:p w14:paraId="33B4882D">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w:t>
      </w:r>
      <w:bookmarkStart w:id="3" w:name="_Toc26725"/>
      <w:r>
        <w:rPr>
          <w:rFonts w:hint="eastAsia" w:ascii="宋体" w:hAnsi="宋体" w:cs="宋体"/>
          <w:szCs w:val="21"/>
          <w:shd w:val="clear" w:color="auto" w:fill="FFFFFF"/>
        </w:rPr>
        <w:t>、预算金额：</w:t>
      </w:r>
      <w:r>
        <w:rPr>
          <w:rFonts w:hint="eastAsia" w:ascii="宋体" w:hAnsi="宋体" w:cs="宋体"/>
          <w:szCs w:val="21"/>
          <w:shd w:val="clear" w:color="auto" w:fill="FFFFFF"/>
          <w:lang w:val="en-US" w:eastAsia="zh-CN"/>
        </w:rPr>
        <w:t>48</w:t>
      </w:r>
      <w:r>
        <w:rPr>
          <w:rFonts w:hint="eastAsia" w:ascii="宋体" w:hAnsi="宋体" w:cs="宋体"/>
          <w:szCs w:val="21"/>
          <w:shd w:val="clear" w:color="auto" w:fill="FFFFFF"/>
        </w:rPr>
        <w:t>万元；</w:t>
      </w:r>
    </w:p>
    <w:p w14:paraId="2FD8E5AA">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lang w:eastAsia="zh-CN"/>
        </w:rPr>
      </w:pPr>
      <w:r>
        <w:rPr>
          <w:rFonts w:hint="eastAsia" w:ascii="宋体" w:hAnsi="宋体" w:cs="宋体"/>
          <w:szCs w:val="21"/>
          <w:shd w:val="clear" w:color="auto" w:fill="FFFFFF"/>
        </w:rPr>
        <w:t>4、服务期限：</w:t>
      </w:r>
      <w:r>
        <w:rPr>
          <w:rFonts w:hint="eastAsia" w:ascii="宋体" w:hAnsi="宋体" w:cs="宋体"/>
          <w:szCs w:val="21"/>
          <w:shd w:val="clear" w:color="auto" w:fill="FFFFFF"/>
          <w:lang w:val="en-US" w:eastAsia="zh-CN"/>
        </w:rPr>
        <w:t>一年</w:t>
      </w:r>
      <w:r>
        <w:rPr>
          <w:rFonts w:hint="eastAsia" w:ascii="宋体" w:hAnsi="宋体" w:cs="宋体"/>
          <w:szCs w:val="21"/>
          <w:shd w:val="clear" w:color="auto" w:fill="FFFFFF"/>
          <w:lang w:eastAsia="zh-CN"/>
        </w:rPr>
        <w:t>；</w:t>
      </w:r>
    </w:p>
    <w:p w14:paraId="32CAB545">
      <w:pPr>
        <w:widowControl/>
        <w:snapToGrid w:val="0"/>
        <w:spacing w:line="324" w:lineRule="auto"/>
        <w:jc w:val="left"/>
        <w:outlineLvl w:val="1"/>
        <w:rPr>
          <w:rFonts w:hint="eastAsia" w:ascii="宋体" w:hAnsi="宋体" w:cs="宋体"/>
          <w:b/>
          <w:bCs/>
          <w:szCs w:val="21"/>
          <w:shd w:val="clear" w:color="auto" w:fill="FFFFFF"/>
        </w:rPr>
      </w:pPr>
      <w:bookmarkStart w:id="4" w:name="_Toc16639"/>
      <w:bookmarkStart w:id="5" w:name="_Toc27704"/>
      <w:bookmarkStart w:id="6" w:name="_Toc18607"/>
      <w:bookmarkStart w:id="7" w:name="_Toc23626"/>
      <w:r>
        <w:rPr>
          <w:rFonts w:hint="eastAsia" w:ascii="宋体" w:hAnsi="宋体" w:cs="宋体"/>
          <w:b/>
          <w:bCs/>
          <w:szCs w:val="21"/>
          <w:shd w:val="clear" w:color="auto" w:fill="FFFFFF"/>
        </w:rPr>
        <w:t>二、</w:t>
      </w:r>
      <w:bookmarkEnd w:id="3"/>
      <w:bookmarkEnd w:id="4"/>
      <w:bookmarkEnd w:id="5"/>
      <w:bookmarkEnd w:id="6"/>
      <w:bookmarkEnd w:id="7"/>
      <w:r>
        <w:rPr>
          <w:rFonts w:hint="eastAsia" w:ascii="宋体" w:hAnsi="宋体" w:cs="宋体"/>
          <w:b/>
          <w:bCs/>
          <w:szCs w:val="21"/>
          <w:shd w:val="clear" w:color="auto" w:fill="FFFFFF"/>
        </w:rPr>
        <w:t>供应商资格要求：</w:t>
      </w:r>
    </w:p>
    <w:p w14:paraId="2598D4C3">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bookmarkStart w:id="8" w:name="_Toc30643"/>
      <w:bookmarkStart w:id="9" w:name="_Toc9562"/>
      <w:bookmarkStart w:id="10" w:name="_Toc23395"/>
      <w:bookmarkStart w:id="11" w:name="_Toc7823"/>
      <w:bookmarkStart w:id="12" w:name="_Toc30971"/>
      <w:r>
        <w:rPr>
          <w:rFonts w:hint="eastAsia" w:ascii="宋体" w:hAnsi="宋体" w:cs="宋体"/>
          <w:szCs w:val="21"/>
          <w:shd w:val="clear" w:color="auto" w:fill="FFFFFF"/>
        </w:rPr>
        <w:t>1、具有独立承担民事责任的能力（提供营业执照或其他证明材料）；</w:t>
      </w:r>
    </w:p>
    <w:p w14:paraId="7326F542">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2、具有良好的商业信誉和健全的财务会计制度（提供经审计的2024年度财务报告或者其基本开户银行出具的资信证明）；</w:t>
      </w:r>
    </w:p>
    <w:p w14:paraId="389BDC9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4E695641">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3A1EE291">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5、参加本采购活动前三年内，在经营活动中没有重大违法记录（提供书面承诺函）；</w:t>
      </w:r>
    </w:p>
    <w:p w14:paraId="4DE69E2E">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w:t>
      </w:r>
      <w:bookmarkStart w:id="103" w:name="_GoBack"/>
      <w:bookmarkEnd w:id="103"/>
      <w:r>
        <w:rPr>
          <w:rFonts w:hint="eastAsia" w:ascii="宋体" w:hAnsi="宋体" w:cs="宋体"/>
          <w:szCs w:val="21"/>
          <w:shd w:val="clear" w:color="auto" w:fill="FFFFFF"/>
        </w:rPr>
        <w:t>人或采购代理机构查询结果为准）；</w:t>
      </w:r>
    </w:p>
    <w:p w14:paraId="234F2BD2">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szCs w:val="21"/>
          <w:shd w:val="clear" w:color="auto" w:fill="FFFFFF"/>
        </w:rPr>
        <w:t>7、单位负责人为同一人或</w:t>
      </w:r>
      <w:r>
        <w:rPr>
          <w:rFonts w:hint="eastAsia" w:ascii="宋体" w:hAnsi="宋体" w:cs="宋体"/>
          <w:color w:val="auto"/>
          <w:szCs w:val="21"/>
          <w:shd w:val="clear" w:color="auto" w:fill="FFFFFF"/>
        </w:rPr>
        <w:t>者存在直接控股、管理关系的不同供应商，不得参加同一合同项下的磋商（</w:t>
      </w:r>
      <w:r>
        <w:rPr>
          <w:rFonts w:hint="eastAsia" w:ascii="宋体" w:hAnsi="宋体" w:cs="宋体"/>
          <w:color w:val="auto"/>
          <w:kern w:val="0"/>
          <w:szCs w:val="21"/>
        </w:rPr>
        <w:t>提供在“国家企业信用信息公示系统”中查询的相关材料并加盖公章（需包含公司基本信息、股东信息及股权变更信息）或提供承诺函</w:t>
      </w:r>
      <w:r>
        <w:rPr>
          <w:rFonts w:hint="eastAsia" w:ascii="宋体" w:hAnsi="宋体" w:cs="宋体"/>
          <w:color w:val="auto"/>
          <w:szCs w:val="21"/>
          <w:shd w:val="clear" w:color="auto" w:fill="FFFFFF"/>
        </w:rPr>
        <w:t>）。</w:t>
      </w:r>
    </w:p>
    <w:p w14:paraId="57687E05">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8</w:t>
      </w:r>
      <w:r>
        <w:rPr>
          <w:rFonts w:hint="eastAsia" w:ascii="宋体" w:hAnsi="宋体" w:cs="宋体"/>
          <w:color w:val="auto"/>
          <w:szCs w:val="21"/>
          <w:shd w:val="clear" w:color="auto" w:fill="FFFFFF"/>
        </w:rPr>
        <w:t>、不接受联合体磋商。</w:t>
      </w:r>
    </w:p>
    <w:p w14:paraId="5EB77B9A">
      <w:pPr>
        <w:widowControl/>
        <w:snapToGrid w:val="0"/>
        <w:spacing w:line="324" w:lineRule="auto"/>
        <w:jc w:val="left"/>
        <w:outlineLvl w:val="1"/>
        <w:rPr>
          <w:rFonts w:hint="eastAsia" w:ascii="宋体" w:hAnsi="宋体" w:cs="宋体"/>
          <w:b/>
          <w:bCs/>
          <w:color w:val="auto"/>
        </w:rPr>
      </w:pPr>
      <w:r>
        <w:rPr>
          <w:rFonts w:hint="eastAsia" w:ascii="宋体" w:hAnsi="宋体" w:cs="宋体"/>
          <w:b/>
          <w:bCs/>
          <w:color w:val="auto"/>
        </w:rPr>
        <w:t>三、获取</w:t>
      </w:r>
      <w:bookmarkEnd w:id="8"/>
      <w:bookmarkEnd w:id="9"/>
      <w:bookmarkEnd w:id="10"/>
      <w:bookmarkEnd w:id="11"/>
      <w:bookmarkEnd w:id="12"/>
      <w:r>
        <w:rPr>
          <w:rFonts w:hint="eastAsia" w:ascii="宋体" w:hAnsi="宋体" w:cs="宋体"/>
          <w:b/>
          <w:bCs/>
          <w:color w:val="auto"/>
        </w:rPr>
        <w:t>竞争性磋商文件</w:t>
      </w:r>
    </w:p>
    <w:p w14:paraId="400DB177">
      <w:pPr>
        <w:widowControl/>
        <w:adjustRightInd w:val="0"/>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shd w:val="clear" w:color="auto" w:fill="FFFFFF"/>
        </w:rPr>
        <w:t>1.报名时间：</w:t>
      </w:r>
      <w:r>
        <w:rPr>
          <w:rFonts w:hint="eastAsia" w:ascii="宋体" w:hAnsi="宋体" w:cs="宋体"/>
          <w:color w:val="auto"/>
          <w:szCs w:val="21"/>
          <w:shd w:val="clear" w:color="auto" w:fill="FFFFFF"/>
          <w:lang w:eastAsia="zh-CN"/>
        </w:rPr>
        <w:t>2026年</w:t>
      </w:r>
      <w:r>
        <w:rPr>
          <w:rFonts w:hint="eastAsia" w:ascii="宋体" w:hAnsi="宋体" w:cs="宋体"/>
          <w:color w:val="auto"/>
          <w:szCs w:val="21"/>
          <w:highlight w:val="none"/>
          <w:shd w:val="clear" w:color="auto" w:fill="FFFFFF"/>
          <w:lang w:val="en-US" w:eastAsia="zh-CN"/>
        </w:rPr>
        <w:t>02</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25</w:t>
      </w:r>
      <w:r>
        <w:rPr>
          <w:rFonts w:hint="eastAsia" w:ascii="宋体" w:hAnsi="宋体" w:cs="宋体"/>
          <w:color w:val="auto"/>
          <w:szCs w:val="21"/>
          <w:highlight w:val="none"/>
          <w:shd w:val="clear" w:color="auto" w:fill="FFFFFF"/>
        </w:rPr>
        <w:t>日-</w:t>
      </w:r>
      <w:r>
        <w:rPr>
          <w:rFonts w:hint="eastAsia" w:ascii="宋体" w:hAnsi="宋体" w:cs="宋体"/>
          <w:color w:val="auto"/>
          <w:szCs w:val="21"/>
          <w:highlight w:val="none"/>
          <w:shd w:val="clear" w:color="auto" w:fill="FFFFFF"/>
          <w:lang w:eastAsia="zh-CN"/>
        </w:rPr>
        <w:t>2026年</w:t>
      </w:r>
      <w:r>
        <w:rPr>
          <w:rFonts w:hint="eastAsia" w:ascii="宋体" w:hAnsi="宋体" w:cs="宋体"/>
          <w:color w:val="auto"/>
          <w:szCs w:val="21"/>
          <w:highlight w:val="none"/>
          <w:shd w:val="clear" w:color="auto" w:fill="FFFFFF"/>
          <w:lang w:val="en-US" w:eastAsia="zh-CN"/>
        </w:rPr>
        <w:t>02</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27</w:t>
      </w:r>
      <w:r>
        <w:rPr>
          <w:rFonts w:hint="eastAsia" w:ascii="宋体" w:hAnsi="宋体" w:cs="宋体"/>
          <w:color w:val="auto"/>
          <w:szCs w:val="21"/>
          <w:highlight w:val="none"/>
          <w:shd w:val="clear" w:color="auto" w:fill="FFFFFF"/>
        </w:rPr>
        <w:t>日，上午08：00-下午17:30（北京时间，法定节假日除外）。</w:t>
      </w:r>
    </w:p>
    <w:p w14:paraId="685DF8FF">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2.凡报名成功的供应商无故不来参与</w:t>
      </w:r>
      <w:r>
        <w:rPr>
          <w:rFonts w:hint="eastAsia" w:ascii="宋体" w:hAnsi="宋体" w:cs="宋体"/>
          <w:color w:val="auto"/>
          <w:kern w:val="0"/>
          <w:szCs w:val="21"/>
          <w:highlight w:val="none"/>
          <w:shd w:val="clear" w:color="auto" w:fill="FFFFFF"/>
          <w:lang w:val="en-US" w:eastAsia="zh-CN"/>
        </w:rPr>
        <w:t>磋商</w:t>
      </w:r>
      <w:r>
        <w:rPr>
          <w:rFonts w:hint="eastAsia" w:ascii="宋体" w:hAnsi="宋体" w:cs="宋体"/>
          <w:color w:val="auto"/>
          <w:kern w:val="0"/>
          <w:szCs w:val="21"/>
          <w:highlight w:val="none"/>
          <w:shd w:val="clear" w:color="auto" w:fill="FFFFFF"/>
        </w:rPr>
        <w:t>的，列入我院黑名单，一年内不得参与我院任何采购活动。</w:t>
      </w:r>
    </w:p>
    <w:p w14:paraId="78263583">
      <w:pPr>
        <w:widowControl/>
        <w:wordWrap w:val="0"/>
        <w:snapToGrid w:val="0"/>
        <w:spacing w:line="324" w:lineRule="auto"/>
        <w:ind w:firstLine="420" w:firstLineChars="200"/>
        <w:jc w:val="left"/>
        <w:rPr>
          <w:rFonts w:hint="eastAsia" w:ascii="宋体" w:hAnsi="宋体" w:cs="宋体"/>
          <w:color w:val="auto"/>
          <w:kern w:val="0"/>
          <w:szCs w:val="21"/>
          <w:highlight w:val="none"/>
          <w:u w:val="single"/>
          <w:shd w:val="clear" w:color="auto" w:fill="FFFFFF"/>
        </w:rPr>
      </w:pPr>
      <w:r>
        <w:rPr>
          <w:rFonts w:hint="eastAsia" w:ascii="宋体" w:hAnsi="宋体" w:cs="宋体"/>
          <w:color w:val="auto"/>
          <w:kern w:val="0"/>
          <w:szCs w:val="21"/>
          <w:highlight w:val="none"/>
          <w:shd w:val="clear" w:color="auto" w:fill="FFFFFF"/>
        </w:rPr>
        <w:t>3.竞争性磋商文件获取方式：供应商须把填写完整的报名登记表及本磋商公告第二项供应商资格要求中需提供加盖单位公章的相关资料扫描件按序排版为PDF格式文件，发送至以下邮箱：</w:t>
      </w:r>
      <w:r>
        <w:rPr>
          <w:rFonts w:hint="eastAsia" w:ascii="宋体" w:hAnsi="宋体" w:cs="宋体"/>
          <w:color w:val="auto"/>
          <w:kern w:val="0"/>
          <w:szCs w:val="21"/>
          <w:highlight w:val="none"/>
          <w:shd w:val="clear" w:color="auto" w:fill="FFFFFF"/>
          <w:lang w:val="en-US" w:eastAsia="zh-CN"/>
        </w:rPr>
        <w:fldChar w:fldCharType="begin"/>
      </w:r>
      <w:r>
        <w:rPr>
          <w:rFonts w:hint="eastAsia" w:ascii="宋体" w:hAnsi="宋体" w:cs="宋体"/>
          <w:color w:val="auto"/>
          <w:kern w:val="0"/>
          <w:szCs w:val="21"/>
          <w:highlight w:val="none"/>
          <w:shd w:val="clear" w:color="auto" w:fill="FFFFFF"/>
          <w:lang w:val="en-US" w:eastAsia="zh-CN"/>
        </w:rPr>
        <w:instrText xml:space="preserve"> HYPERLINK "mailto:hnwxzb2@163.com并标明XX" </w:instrText>
      </w:r>
      <w:r>
        <w:rPr>
          <w:rFonts w:hint="eastAsia" w:ascii="宋体" w:hAnsi="宋体" w:cs="宋体"/>
          <w:color w:val="auto"/>
          <w:kern w:val="0"/>
          <w:szCs w:val="21"/>
          <w:highlight w:val="none"/>
          <w:shd w:val="clear" w:color="auto" w:fill="FFFFFF"/>
          <w:lang w:val="en-US" w:eastAsia="zh-CN"/>
        </w:rPr>
        <w:fldChar w:fldCharType="separate"/>
      </w:r>
      <w:r>
        <w:rPr>
          <w:rFonts w:hint="eastAsia" w:ascii="宋体" w:hAnsi="宋体" w:eastAsia="宋体" w:cs="宋体"/>
          <w:color w:val="auto"/>
          <w:kern w:val="0"/>
          <w:sz w:val="21"/>
          <w:szCs w:val="21"/>
          <w:highlight w:val="none"/>
          <w:shd w:val="clear" w:color="auto" w:fill="FFFFFF"/>
          <w:lang w:val="en-US" w:eastAsia="zh-CN" w:bidi="ar-SA"/>
        </w:rPr>
        <w:t>zz200209206019@163.com</w:t>
      </w:r>
      <w:r>
        <w:rPr>
          <w:rFonts w:hint="eastAsia" w:ascii="宋体" w:hAnsi="宋体" w:cs="宋体"/>
          <w:color w:val="auto"/>
          <w:kern w:val="0"/>
          <w:szCs w:val="21"/>
          <w:highlight w:val="none"/>
          <w:shd w:val="clear" w:color="auto" w:fill="FFFFFF"/>
          <w:lang w:val="en-US" w:eastAsia="zh-CN"/>
        </w:rPr>
        <w:t>,并标明XX公司XX</w:t>
      </w:r>
      <w:r>
        <w:rPr>
          <w:rFonts w:hint="eastAsia" w:ascii="宋体" w:hAnsi="宋体" w:cs="宋体"/>
          <w:color w:val="auto"/>
          <w:kern w:val="0"/>
          <w:szCs w:val="21"/>
          <w:highlight w:val="none"/>
          <w:shd w:val="clear" w:color="auto" w:fill="FFFFFF"/>
          <w:lang w:val="en-US" w:eastAsia="zh-CN"/>
        </w:rPr>
        <w:fldChar w:fldCharType="end"/>
      </w:r>
      <w:r>
        <w:rPr>
          <w:rFonts w:hint="eastAsia" w:ascii="宋体" w:hAnsi="宋体" w:cs="宋体"/>
          <w:color w:val="auto"/>
          <w:kern w:val="0"/>
          <w:szCs w:val="21"/>
          <w:highlight w:val="none"/>
          <w:shd w:val="clear" w:color="auto" w:fill="FFFFFF"/>
          <w:lang w:val="en-US" w:eastAsia="zh-CN"/>
        </w:rPr>
        <w:t>项目报名资料。</w:t>
      </w:r>
    </w:p>
    <w:p w14:paraId="6CDFCB7D">
      <w:pPr>
        <w:widowControl/>
        <w:wordWrap w:val="0"/>
        <w:snapToGrid w:val="0"/>
        <w:spacing w:line="324" w:lineRule="auto"/>
        <w:ind w:left="420" w:left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4.报名登记表：请从附件中下载。</w:t>
      </w:r>
    </w:p>
    <w:p w14:paraId="608E5FA3">
      <w:pPr>
        <w:widowControl/>
        <w:snapToGrid w:val="0"/>
        <w:spacing w:line="324" w:lineRule="auto"/>
        <w:jc w:val="left"/>
        <w:outlineLvl w:val="1"/>
        <w:rPr>
          <w:rFonts w:hint="eastAsia" w:ascii="宋体" w:hAnsi="宋体" w:cs="宋体"/>
          <w:b/>
          <w:bCs/>
          <w:color w:val="auto"/>
          <w:szCs w:val="21"/>
          <w:highlight w:val="none"/>
        </w:rPr>
      </w:pPr>
      <w:bookmarkStart w:id="13" w:name="_Toc25869"/>
      <w:bookmarkStart w:id="14" w:name="_Toc27480"/>
      <w:bookmarkStart w:id="15" w:name="_Toc10738"/>
      <w:bookmarkStart w:id="16" w:name="_Toc15135"/>
      <w:bookmarkStart w:id="17" w:name="_Toc15111"/>
      <w:r>
        <w:rPr>
          <w:rFonts w:hint="eastAsia" w:ascii="宋体" w:hAnsi="宋体" w:cs="宋体"/>
          <w:b/>
          <w:bCs/>
          <w:color w:val="auto"/>
          <w:szCs w:val="21"/>
          <w:highlight w:val="none"/>
          <w:shd w:val="clear" w:color="auto" w:fill="FFFFFF"/>
        </w:rPr>
        <w:t>四、磋商截止时间及地点</w:t>
      </w:r>
      <w:bookmarkEnd w:id="13"/>
      <w:bookmarkEnd w:id="14"/>
      <w:bookmarkEnd w:id="15"/>
      <w:bookmarkEnd w:id="16"/>
      <w:bookmarkEnd w:id="17"/>
    </w:p>
    <w:p w14:paraId="50F7D957">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F59B260">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3F1CE990">
      <w:pPr>
        <w:widowControl/>
        <w:snapToGrid w:val="0"/>
        <w:spacing w:line="324" w:lineRule="auto"/>
        <w:jc w:val="left"/>
        <w:outlineLvl w:val="1"/>
        <w:rPr>
          <w:rFonts w:hint="eastAsia" w:ascii="宋体" w:hAnsi="宋体" w:cs="宋体"/>
          <w:b/>
          <w:bCs/>
          <w:color w:val="auto"/>
          <w:szCs w:val="21"/>
          <w:highlight w:val="none"/>
        </w:rPr>
      </w:pPr>
      <w:r>
        <w:rPr>
          <w:rFonts w:hint="eastAsia" w:ascii="宋体" w:hAnsi="宋体" w:cs="宋体"/>
          <w:b/>
          <w:bCs/>
          <w:color w:val="auto"/>
          <w:szCs w:val="21"/>
          <w:highlight w:val="none"/>
          <w:shd w:val="clear" w:color="auto" w:fill="FFFFFF"/>
        </w:rPr>
        <w:t>五、磋商时间及地点</w:t>
      </w:r>
    </w:p>
    <w:p w14:paraId="5339073D">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DD78567">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60259CE1">
      <w:pPr>
        <w:widowControl/>
        <w:snapToGrid w:val="0"/>
        <w:spacing w:line="324" w:lineRule="auto"/>
        <w:jc w:val="left"/>
        <w:outlineLvl w:val="1"/>
        <w:rPr>
          <w:rFonts w:hint="eastAsia" w:ascii="宋体" w:hAnsi="宋体" w:cs="宋体"/>
          <w:b/>
          <w:bCs/>
          <w:color w:val="auto"/>
          <w:szCs w:val="21"/>
          <w:highlight w:val="none"/>
        </w:rPr>
      </w:pPr>
      <w:bookmarkStart w:id="18" w:name="_Toc20287"/>
      <w:bookmarkStart w:id="19" w:name="_Toc30918"/>
      <w:bookmarkStart w:id="20" w:name="_Toc6523"/>
      <w:bookmarkStart w:id="21" w:name="_Toc29784"/>
      <w:r>
        <w:rPr>
          <w:rFonts w:hint="eastAsia" w:ascii="宋体" w:hAnsi="宋体" w:cs="宋体"/>
          <w:b/>
          <w:bCs/>
          <w:color w:val="auto"/>
          <w:szCs w:val="21"/>
          <w:highlight w:val="none"/>
          <w:shd w:val="clear" w:color="auto" w:fill="FFFFFF"/>
        </w:rPr>
        <w:t>六、发布公告的媒介及</w:t>
      </w:r>
      <w:r>
        <w:rPr>
          <w:rFonts w:hint="eastAsia" w:ascii="宋体" w:hAnsi="宋体" w:cs="宋体"/>
          <w:b/>
          <w:bCs/>
          <w:color w:val="auto"/>
          <w:szCs w:val="21"/>
          <w:highlight w:val="none"/>
        </w:rPr>
        <w:t>采购</w:t>
      </w:r>
      <w:r>
        <w:rPr>
          <w:rFonts w:hint="eastAsia" w:ascii="宋体" w:hAnsi="宋体" w:cs="宋体"/>
          <w:b/>
          <w:bCs/>
          <w:color w:val="auto"/>
          <w:szCs w:val="21"/>
          <w:highlight w:val="none"/>
          <w:shd w:val="clear" w:color="auto" w:fill="FFFFFF"/>
        </w:rPr>
        <w:t>公告期限</w:t>
      </w:r>
      <w:bookmarkEnd w:id="18"/>
      <w:bookmarkEnd w:id="19"/>
      <w:bookmarkEnd w:id="20"/>
      <w:bookmarkEnd w:id="21"/>
    </w:p>
    <w:p w14:paraId="1E004320">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本次</w:t>
      </w:r>
      <w:r>
        <w:rPr>
          <w:rFonts w:hint="eastAsia" w:ascii="宋体" w:hAnsi="宋体" w:cs="宋体"/>
          <w:color w:val="auto"/>
          <w:szCs w:val="21"/>
          <w:highlight w:val="none"/>
        </w:rPr>
        <w:t>采购</w:t>
      </w:r>
      <w:r>
        <w:rPr>
          <w:rFonts w:hint="eastAsia" w:ascii="宋体" w:hAnsi="宋体" w:cs="宋体"/>
          <w:color w:val="auto"/>
          <w:kern w:val="0"/>
          <w:szCs w:val="21"/>
          <w:highlight w:val="none"/>
          <w:shd w:val="clear" w:color="auto" w:fill="FFFFFF"/>
        </w:rPr>
        <w:t>公告在《驻马店市中心医院》院内网</w:t>
      </w:r>
      <w:r>
        <w:rPr>
          <w:rFonts w:hint="eastAsia" w:ascii="宋体" w:hAnsi="宋体" w:cs="宋体"/>
          <w:color w:val="auto"/>
          <w:szCs w:val="21"/>
          <w:highlight w:val="none"/>
        </w:rPr>
        <w:t>上发布，采购公告期限为三个工作日</w:t>
      </w:r>
      <w:r>
        <w:rPr>
          <w:rFonts w:hint="eastAsia" w:ascii="宋体" w:hAnsi="宋体" w:cs="宋体"/>
          <w:color w:val="auto"/>
          <w:kern w:val="0"/>
          <w:szCs w:val="21"/>
          <w:highlight w:val="none"/>
          <w:shd w:val="clear" w:color="auto" w:fill="FFFFFF"/>
        </w:rPr>
        <w:t>。</w:t>
      </w:r>
      <w:bookmarkStart w:id="22" w:name="_Toc35393795"/>
      <w:bookmarkStart w:id="23" w:name="_Toc35393626"/>
    </w:p>
    <w:bookmarkEnd w:id="22"/>
    <w:bookmarkEnd w:id="23"/>
    <w:p w14:paraId="0B1BDEDF">
      <w:pPr>
        <w:widowControl/>
        <w:snapToGrid w:val="0"/>
        <w:spacing w:line="324" w:lineRule="auto"/>
        <w:jc w:val="left"/>
        <w:outlineLvl w:val="1"/>
        <w:rPr>
          <w:rFonts w:hint="eastAsia" w:ascii="宋体" w:hAnsi="宋体" w:cs="宋体"/>
          <w:b/>
          <w:bCs/>
          <w:color w:val="auto"/>
          <w:szCs w:val="21"/>
          <w:highlight w:val="none"/>
        </w:rPr>
      </w:pPr>
      <w:bookmarkStart w:id="24" w:name="_Toc16291"/>
      <w:bookmarkStart w:id="25" w:name="_Toc27370"/>
      <w:bookmarkStart w:id="26" w:name="_Toc24274"/>
      <w:bookmarkStart w:id="27" w:name="_Toc31928"/>
      <w:bookmarkStart w:id="28" w:name="_Toc3604"/>
      <w:r>
        <w:rPr>
          <w:rFonts w:hint="eastAsia" w:ascii="宋体" w:hAnsi="宋体" w:cs="宋体"/>
          <w:b/>
          <w:bCs/>
          <w:color w:val="auto"/>
          <w:szCs w:val="21"/>
          <w:highlight w:val="none"/>
          <w:shd w:val="clear" w:color="auto" w:fill="FFFFFF"/>
        </w:rPr>
        <w:t>七、</w:t>
      </w:r>
      <w:bookmarkEnd w:id="24"/>
      <w:bookmarkEnd w:id="25"/>
      <w:bookmarkEnd w:id="26"/>
      <w:bookmarkEnd w:id="27"/>
      <w:bookmarkEnd w:id="28"/>
      <w:r>
        <w:rPr>
          <w:rFonts w:hint="eastAsia" w:ascii="宋体" w:hAnsi="宋体" w:cs="宋体"/>
          <w:b/>
          <w:bCs/>
          <w:color w:val="auto"/>
          <w:szCs w:val="21"/>
          <w:highlight w:val="none"/>
          <w:shd w:val="clear" w:color="auto" w:fill="FFFFFF"/>
        </w:rPr>
        <w:t>凡对本次招标提出询问，请按照以下方式联系</w:t>
      </w:r>
    </w:p>
    <w:p w14:paraId="014AB493">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1.采购人：驻马店市中心医院</w:t>
      </w:r>
    </w:p>
    <w:p w14:paraId="245125C9">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地址：驻马店市中华大道747号</w:t>
      </w:r>
    </w:p>
    <w:p w14:paraId="164FEA9F">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联系人：陈先生</w:t>
      </w:r>
    </w:p>
    <w:p w14:paraId="68AA843D">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电话：0396-2726379</w:t>
      </w:r>
    </w:p>
    <w:p w14:paraId="7DA987B5">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2.采购代理机构：中岐能工程项目管理有限公司</w:t>
      </w:r>
    </w:p>
    <w:p w14:paraId="5319A3EA">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地址：驻马店市泰山路与骏马路交叉口广泰大厦22楼</w:t>
      </w:r>
    </w:p>
    <w:p w14:paraId="78797A86">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联系人：张先生</w:t>
      </w:r>
    </w:p>
    <w:p w14:paraId="0FB0621D">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联系方式：15518315656</w:t>
      </w:r>
    </w:p>
    <w:p w14:paraId="2AE6E99D">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3.监督部门：驻马店市中心医院纪检监察室</w:t>
      </w:r>
    </w:p>
    <w:p w14:paraId="7B7E7F03">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监督电话：0396-2726678</w:t>
      </w:r>
    </w:p>
    <w:p w14:paraId="195A7D3B">
      <w:pPr>
        <w:widowControl/>
        <w:snapToGrid w:val="0"/>
        <w:spacing w:line="324" w:lineRule="auto"/>
        <w:ind w:firstLine="420" w:firstLineChars="200"/>
        <w:jc w:val="righ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驻马店市中心医院采购科</w:t>
      </w:r>
    </w:p>
    <w:p w14:paraId="3F830AD6">
      <w:pPr>
        <w:pStyle w:val="30"/>
        <w:widowControl/>
        <w:snapToGrid w:val="0"/>
        <w:spacing w:before="0" w:beforeAutospacing="0" w:after="0" w:afterAutospacing="0" w:line="324" w:lineRule="auto"/>
        <w:ind w:firstLine="420" w:firstLineChars="200"/>
        <w:jc w:val="center"/>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xml:space="preserve">                                                         </w:t>
      </w:r>
      <w:r>
        <w:rPr>
          <w:rFonts w:hint="eastAsia" w:ascii="宋体" w:hAnsi="宋体" w:cs="宋体"/>
          <w:color w:val="auto"/>
          <w:sz w:val="21"/>
          <w:szCs w:val="21"/>
          <w:highlight w:val="none"/>
          <w:shd w:val="clear" w:color="auto" w:fill="FFFFFF"/>
          <w:lang w:eastAsia="zh-CN"/>
        </w:rPr>
        <w:t>2026年</w:t>
      </w:r>
      <w:r>
        <w:rPr>
          <w:rFonts w:hint="eastAsia" w:ascii="宋体" w:hAnsi="宋体" w:cs="宋体"/>
          <w:color w:val="auto"/>
          <w:sz w:val="21"/>
          <w:szCs w:val="21"/>
          <w:highlight w:val="none"/>
          <w:shd w:val="clear" w:color="auto" w:fill="FFFFFF"/>
          <w:lang w:val="en-US" w:eastAsia="zh-CN"/>
        </w:rPr>
        <w:t>02</w:t>
      </w:r>
      <w:r>
        <w:rPr>
          <w:rFonts w:hint="eastAsia" w:ascii="宋体" w:hAnsi="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24</w:t>
      </w:r>
      <w:r>
        <w:rPr>
          <w:rFonts w:hint="eastAsia" w:ascii="宋体" w:hAnsi="宋体" w:cs="宋体"/>
          <w:color w:val="auto"/>
          <w:sz w:val="21"/>
          <w:szCs w:val="21"/>
          <w:highlight w:val="none"/>
          <w:shd w:val="clear" w:color="auto" w:fill="FFFFFF"/>
        </w:rPr>
        <w:t>日</w:t>
      </w:r>
    </w:p>
    <w:p w14:paraId="21439BBF">
      <w:pPr>
        <w:rPr>
          <w:rFonts w:hint="eastAsia" w:ascii="宋体" w:hAnsi="宋体" w:cs="宋体"/>
          <w:b/>
          <w:color w:val="auto"/>
          <w:sz w:val="32"/>
          <w:szCs w:val="32"/>
          <w:highlight w:val="none"/>
        </w:rPr>
      </w:pPr>
      <w:bookmarkStart w:id="29" w:name="_Toc23793"/>
      <w:bookmarkStart w:id="30" w:name="_Toc29890"/>
      <w:r>
        <w:rPr>
          <w:rFonts w:hint="eastAsia" w:ascii="宋体" w:hAnsi="宋体" w:cs="宋体"/>
          <w:b/>
          <w:color w:val="auto"/>
          <w:sz w:val="32"/>
          <w:szCs w:val="32"/>
          <w:highlight w:val="none"/>
        </w:rPr>
        <w:br w:type="page"/>
      </w:r>
    </w:p>
    <w:p w14:paraId="39BAA65C">
      <w:pPr>
        <w:widowControl/>
        <w:spacing w:line="360" w:lineRule="auto"/>
        <w:ind w:firstLine="643" w:firstLineChars="200"/>
        <w:jc w:val="center"/>
        <w:outlineLvl w:val="0"/>
        <w:rPr>
          <w:rFonts w:hint="eastAsia" w:ascii="宋体" w:hAnsi="宋体" w:cs="宋体"/>
          <w:b/>
          <w:sz w:val="32"/>
          <w:szCs w:val="32"/>
        </w:rPr>
      </w:pPr>
      <w:bookmarkStart w:id="31" w:name="_Toc733"/>
      <w:r>
        <w:rPr>
          <w:rFonts w:hint="eastAsia" w:ascii="宋体" w:hAnsi="宋体" w:cs="宋体"/>
          <w:b/>
          <w:sz w:val="32"/>
          <w:szCs w:val="32"/>
        </w:rPr>
        <w:t>第二章  采购需求</w:t>
      </w:r>
      <w:bookmarkEnd w:id="31"/>
      <w:bookmarkStart w:id="32" w:name="_Toc23610"/>
      <w:bookmarkStart w:id="33" w:name="_Toc31536"/>
      <w:bookmarkStart w:id="34" w:name="_Toc9989"/>
    </w:p>
    <w:bookmarkEnd w:id="29"/>
    <w:bookmarkEnd w:id="30"/>
    <w:bookmarkEnd w:id="32"/>
    <w:bookmarkEnd w:id="33"/>
    <w:bookmarkEnd w:id="34"/>
    <w:p w14:paraId="69C2FB40">
      <w:pPr>
        <w:spacing w:line="360" w:lineRule="auto"/>
        <w:rPr>
          <w:rFonts w:hint="eastAsia" w:ascii="宋体" w:hAnsi="宋体" w:cs="宋体"/>
          <w:szCs w:val="21"/>
          <w:shd w:val="clear" w:color="auto" w:fill="FFFFFF"/>
          <w:lang w:eastAsia="zh-CN"/>
        </w:rPr>
      </w:pPr>
      <w:r>
        <w:rPr>
          <w:rFonts w:hint="eastAsia" w:ascii="宋体" w:hAnsi="宋体" w:cs="宋体"/>
          <w:b/>
          <w:bCs/>
          <w:iCs/>
          <w:szCs w:val="21"/>
        </w:rPr>
        <w:t>一、项目名称：</w:t>
      </w:r>
      <w:r>
        <w:rPr>
          <w:rFonts w:hint="eastAsia" w:ascii="宋体" w:hAnsi="宋体" w:cs="宋体"/>
          <w:szCs w:val="21"/>
          <w:shd w:val="clear" w:color="auto" w:fill="FFFFFF"/>
          <w:lang w:eastAsia="zh-CN"/>
        </w:rPr>
        <w:t>驻马店市中心医院电脑打印机及相关信息设备维保服务采购</w:t>
      </w:r>
    </w:p>
    <w:p w14:paraId="083F43AD">
      <w:pPr>
        <w:spacing w:line="360" w:lineRule="auto"/>
        <w:rPr>
          <w:rFonts w:hint="eastAsia" w:ascii="宋体" w:hAnsi="宋体" w:cs="宋体"/>
          <w:b/>
          <w:bCs/>
          <w:szCs w:val="21"/>
          <w:shd w:val="clear" w:color="auto" w:fill="FFFFFF"/>
        </w:rPr>
      </w:pPr>
      <w:r>
        <w:rPr>
          <w:rFonts w:hint="eastAsia" w:ascii="宋体" w:hAnsi="宋体" w:cs="宋体"/>
          <w:b/>
          <w:bCs/>
          <w:szCs w:val="21"/>
          <w:shd w:val="clear" w:color="auto" w:fill="FFFFFF"/>
        </w:rPr>
        <w:t>二、项目概况：</w:t>
      </w:r>
    </w:p>
    <w:tbl>
      <w:tblPr>
        <w:tblStyle w:val="34"/>
        <w:tblW w:w="7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583"/>
        <w:gridCol w:w="923"/>
        <w:gridCol w:w="1493"/>
        <w:gridCol w:w="2009"/>
      </w:tblGrid>
      <w:tr w14:paraId="4F01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06" w:type="dxa"/>
            <w:vAlign w:val="center"/>
          </w:tcPr>
          <w:p w14:paraId="359DECE1">
            <w:pPr>
              <w:spacing w:line="360" w:lineRule="auto"/>
              <w:jc w:val="center"/>
              <w:rPr>
                <w:rFonts w:hint="default" w:ascii="宋体" w:hAnsi="宋体" w:eastAsia="宋体" w:cs="宋体"/>
                <w:szCs w:val="21"/>
                <w:shd w:val="clear" w:color="auto" w:fill="FFFFFF"/>
                <w:lang w:eastAsia="zh-CN"/>
              </w:rPr>
            </w:pPr>
            <w:r>
              <w:rPr>
                <w:rFonts w:hint="default" w:ascii="宋体" w:hAnsi="宋体" w:eastAsia="宋体" w:cs="宋体"/>
                <w:szCs w:val="21"/>
                <w:shd w:val="clear" w:color="auto" w:fill="FFFFFF"/>
                <w:lang w:eastAsia="zh-CN"/>
              </w:rPr>
              <w:t>序号</w:t>
            </w:r>
          </w:p>
        </w:tc>
        <w:tc>
          <w:tcPr>
            <w:tcW w:w="2583" w:type="dxa"/>
            <w:vAlign w:val="center"/>
          </w:tcPr>
          <w:p w14:paraId="78BFAEAD">
            <w:pPr>
              <w:spacing w:line="360" w:lineRule="auto"/>
              <w:jc w:val="center"/>
              <w:rPr>
                <w:rFonts w:hint="default" w:ascii="宋体" w:hAnsi="宋体" w:eastAsia="宋体" w:cs="宋体"/>
                <w:szCs w:val="21"/>
                <w:shd w:val="clear" w:color="auto" w:fill="FFFFFF"/>
                <w:lang w:eastAsia="zh-CN"/>
              </w:rPr>
            </w:pPr>
            <w:r>
              <w:rPr>
                <w:rFonts w:hint="default" w:ascii="宋体" w:hAnsi="宋体" w:eastAsia="宋体" w:cs="宋体"/>
                <w:szCs w:val="21"/>
                <w:shd w:val="clear" w:color="auto" w:fill="FFFFFF"/>
                <w:lang w:eastAsia="zh-CN"/>
              </w:rPr>
              <w:t>标的名称</w:t>
            </w:r>
          </w:p>
        </w:tc>
        <w:tc>
          <w:tcPr>
            <w:tcW w:w="923" w:type="dxa"/>
            <w:vAlign w:val="center"/>
          </w:tcPr>
          <w:p w14:paraId="7FD90DD7">
            <w:pPr>
              <w:spacing w:line="360" w:lineRule="auto"/>
              <w:jc w:val="center"/>
              <w:rPr>
                <w:rFonts w:hint="default" w:ascii="宋体" w:hAnsi="宋体" w:eastAsia="宋体" w:cs="宋体"/>
                <w:szCs w:val="21"/>
                <w:shd w:val="clear" w:color="auto" w:fill="FFFFFF"/>
                <w:lang w:eastAsia="zh-CN"/>
              </w:rPr>
            </w:pPr>
            <w:r>
              <w:rPr>
                <w:rFonts w:hint="default" w:ascii="宋体" w:hAnsi="宋体" w:eastAsia="宋体" w:cs="宋体"/>
                <w:szCs w:val="21"/>
                <w:shd w:val="clear" w:color="auto" w:fill="FFFFFF"/>
                <w:lang w:eastAsia="zh-CN"/>
              </w:rPr>
              <w:t>单位</w:t>
            </w:r>
          </w:p>
        </w:tc>
        <w:tc>
          <w:tcPr>
            <w:tcW w:w="1493" w:type="dxa"/>
            <w:vAlign w:val="center"/>
          </w:tcPr>
          <w:p w14:paraId="44382B7A">
            <w:pPr>
              <w:spacing w:line="360" w:lineRule="auto"/>
              <w:jc w:val="center"/>
              <w:rPr>
                <w:rFonts w:hint="default" w:ascii="宋体" w:hAnsi="宋体" w:eastAsia="宋体" w:cs="宋体"/>
                <w:szCs w:val="21"/>
                <w:shd w:val="clear" w:color="auto" w:fill="FFFFFF"/>
                <w:lang w:eastAsia="zh-CN"/>
              </w:rPr>
            </w:pPr>
            <w:r>
              <w:rPr>
                <w:rFonts w:hint="default" w:ascii="宋体" w:hAnsi="宋体" w:eastAsia="宋体" w:cs="宋体"/>
                <w:szCs w:val="21"/>
                <w:shd w:val="clear" w:color="auto" w:fill="FFFFFF"/>
                <w:lang w:eastAsia="zh-CN"/>
              </w:rPr>
              <w:t>数量</w:t>
            </w:r>
          </w:p>
        </w:tc>
        <w:tc>
          <w:tcPr>
            <w:tcW w:w="2009" w:type="dxa"/>
            <w:vAlign w:val="center"/>
          </w:tcPr>
          <w:p w14:paraId="391F7E5A">
            <w:pPr>
              <w:spacing w:line="360" w:lineRule="auto"/>
              <w:jc w:val="center"/>
              <w:rPr>
                <w:rFonts w:hint="default" w:ascii="宋体" w:hAnsi="宋体" w:eastAsia="宋体" w:cs="宋体"/>
                <w:szCs w:val="21"/>
                <w:shd w:val="clear" w:color="auto" w:fill="FFFFFF"/>
                <w:lang w:eastAsia="zh-CN"/>
              </w:rPr>
            </w:pPr>
            <w:r>
              <w:rPr>
                <w:rFonts w:hint="default" w:ascii="宋体" w:hAnsi="宋体" w:eastAsia="宋体" w:cs="宋体"/>
                <w:szCs w:val="21"/>
                <w:shd w:val="clear" w:color="auto" w:fill="FFFFFF"/>
                <w:lang w:eastAsia="zh-CN"/>
              </w:rPr>
              <w:t>资金预算</w:t>
            </w:r>
          </w:p>
        </w:tc>
      </w:tr>
      <w:tr w14:paraId="1563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06" w:type="dxa"/>
            <w:shd w:val="clear" w:color="auto" w:fill="auto"/>
            <w:vAlign w:val="center"/>
          </w:tcPr>
          <w:p w14:paraId="1E5BA632">
            <w:pPr>
              <w:spacing w:line="360" w:lineRule="auto"/>
              <w:jc w:val="center"/>
              <w:rPr>
                <w:rFonts w:hint="default" w:ascii="宋体" w:hAnsi="宋体" w:eastAsia="宋体" w:cs="宋体"/>
                <w:szCs w:val="21"/>
                <w:shd w:val="clear" w:color="auto" w:fill="FFFFFF"/>
                <w:lang w:val="en-US" w:eastAsia="zh-CN"/>
              </w:rPr>
            </w:pPr>
            <w:r>
              <w:rPr>
                <w:rFonts w:hint="default" w:ascii="宋体" w:hAnsi="宋体" w:eastAsia="宋体" w:cs="宋体"/>
                <w:szCs w:val="21"/>
                <w:shd w:val="clear" w:color="auto" w:fill="FFFFFF"/>
                <w:lang w:eastAsia="zh-CN"/>
              </w:rPr>
              <w:t>1</w:t>
            </w:r>
          </w:p>
        </w:tc>
        <w:tc>
          <w:tcPr>
            <w:tcW w:w="2583" w:type="dxa"/>
            <w:shd w:val="clear" w:color="auto" w:fill="auto"/>
            <w:vAlign w:val="center"/>
          </w:tcPr>
          <w:p w14:paraId="7ED2D5DE">
            <w:pPr>
              <w:spacing w:line="360" w:lineRule="auto"/>
              <w:jc w:val="center"/>
              <w:rPr>
                <w:rFonts w:hint="default" w:ascii="宋体" w:hAnsi="宋体" w:eastAsia="宋体" w:cs="宋体"/>
                <w:szCs w:val="21"/>
                <w:shd w:val="clear" w:color="auto" w:fill="FFFFFF"/>
                <w:lang w:val="en-US" w:eastAsia="zh-CN"/>
              </w:rPr>
            </w:pPr>
            <w:r>
              <w:rPr>
                <w:rFonts w:hint="default" w:ascii="宋体" w:hAnsi="宋体" w:eastAsia="宋体" w:cs="宋体"/>
                <w:szCs w:val="21"/>
                <w:shd w:val="clear" w:color="auto" w:fill="FFFFFF"/>
                <w:lang w:val="en-US" w:eastAsia="zh-CN"/>
              </w:rPr>
              <w:t>电脑打印机及相关信息设备维保服务</w:t>
            </w:r>
          </w:p>
        </w:tc>
        <w:tc>
          <w:tcPr>
            <w:tcW w:w="923" w:type="dxa"/>
            <w:shd w:val="clear" w:color="auto" w:fill="auto"/>
            <w:vAlign w:val="center"/>
          </w:tcPr>
          <w:p w14:paraId="57D9A44D">
            <w:pPr>
              <w:spacing w:line="360" w:lineRule="auto"/>
              <w:jc w:val="center"/>
              <w:rPr>
                <w:rFonts w:hint="default" w:ascii="宋体" w:hAnsi="宋体" w:eastAsia="宋体" w:cs="宋体"/>
                <w:szCs w:val="21"/>
                <w:shd w:val="clear" w:color="auto" w:fill="FFFFFF"/>
                <w:lang w:val="en-US" w:eastAsia="zh-CN"/>
              </w:rPr>
            </w:pPr>
          </w:p>
        </w:tc>
        <w:tc>
          <w:tcPr>
            <w:tcW w:w="1493" w:type="dxa"/>
            <w:shd w:val="clear" w:color="auto" w:fill="auto"/>
            <w:vAlign w:val="center"/>
          </w:tcPr>
          <w:p w14:paraId="2580B10B">
            <w:pPr>
              <w:spacing w:line="360" w:lineRule="auto"/>
              <w:jc w:val="center"/>
              <w:rPr>
                <w:rFonts w:hint="default"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服务</w:t>
            </w:r>
            <w:r>
              <w:rPr>
                <w:rFonts w:hint="eastAsia" w:ascii="宋体" w:hAnsi="宋体" w:cs="宋体"/>
                <w:szCs w:val="21"/>
                <w:shd w:val="clear" w:color="auto" w:fill="FFFFFF"/>
                <w:lang w:val="en-US" w:eastAsia="zh-CN"/>
              </w:rPr>
              <w:t>期限一年</w:t>
            </w:r>
          </w:p>
        </w:tc>
        <w:tc>
          <w:tcPr>
            <w:tcW w:w="2009" w:type="dxa"/>
            <w:shd w:val="clear" w:color="auto" w:fill="auto"/>
            <w:vAlign w:val="center"/>
          </w:tcPr>
          <w:p w14:paraId="100004B4">
            <w:pPr>
              <w:spacing w:line="360" w:lineRule="auto"/>
              <w:jc w:val="center"/>
              <w:rPr>
                <w:rFonts w:hint="default" w:ascii="宋体" w:hAnsi="宋体" w:eastAsia="宋体" w:cs="宋体"/>
                <w:szCs w:val="21"/>
                <w:shd w:val="clear" w:color="auto" w:fill="FFFFFF"/>
                <w:lang w:val="en-US" w:eastAsia="zh-CN"/>
              </w:rPr>
            </w:pPr>
            <w:r>
              <w:rPr>
                <w:rFonts w:hint="eastAsia" w:ascii="宋体" w:hAnsi="宋体" w:cs="宋体"/>
                <w:szCs w:val="21"/>
                <w:shd w:val="clear" w:color="auto" w:fill="FFFFFF"/>
                <w:lang w:val="en-US" w:eastAsia="zh-CN"/>
              </w:rPr>
              <w:t>480000.00元</w:t>
            </w:r>
          </w:p>
        </w:tc>
      </w:tr>
      <w:tr w14:paraId="21C6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06" w:type="dxa"/>
            <w:vAlign w:val="center"/>
          </w:tcPr>
          <w:p w14:paraId="3D47A0D0">
            <w:pPr>
              <w:spacing w:line="360" w:lineRule="auto"/>
              <w:jc w:val="center"/>
              <w:rPr>
                <w:rFonts w:hint="default" w:ascii="宋体" w:hAnsi="宋体" w:eastAsia="宋体" w:cs="宋体"/>
                <w:szCs w:val="21"/>
                <w:shd w:val="clear" w:color="auto" w:fill="FFFFFF"/>
                <w:lang w:val="en-US" w:eastAsia="zh-CN"/>
              </w:rPr>
            </w:pPr>
            <w:r>
              <w:rPr>
                <w:rFonts w:hint="default" w:ascii="宋体" w:hAnsi="宋体" w:eastAsia="宋体" w:cs="宋体"/>
                <w:szCs w:val="21"/>
                <w:shd w:val="clear" w:color="auto" w:fill="FFFFFF"/>
                <w:lang w:val="en-US" w:eastAsia="zh-CN"/>
              </w:rPr>
              <w:t>合计</w:t>
            </w:r>
          </w:p>
        </w:tc>
        <w:tc>
          <w:tcPr>
            <w:tcW w:w="7008" w:type="dxa"/>
            <w:gridSpan w:val="4"/>
            <w:vAlign w:val="center"/>
          </w:tcPr>
          <w:p w14:paraId="2C6583A8">
            <w:pPr>
              <w:spacing w:line="360" w:lineRule="auto"/>
              <w:jc w:val="center"/>
              <w:rPr>
                <w:rFonts w:hint="default" w:ascii="宋体" w:hAnsi="宋体" w:eastAsia="宋体" w:cs="宋体"/>
                <w:szCs w:val="21"/>
                <w:shd w:val="clear" w:color="auto" w:fill="FFFFFF"/>
                <w:lang w:eastAsia="zh-CN"/>
              </w:rPr>
            </w:pPr>
            <w:r>
              <w:rPr>
                <w:rFonts w:hint="eastAsia" w:ascii="宋体" w:hAnsi="宋体" w:cs="宋体"/>
                <w:szCs w:val="21"/>
                <w:shd w:val="clear" w:color="auto" w:fill="FFFFFF"/>
                <w:lang w:val="en-US" w:eastAsia="zh-CN"/>
              </w:rPr>
              <w:t>480000.00元</w:t>
            </w:r>
          </w:p>
        </w:tc>
      </w:tr>
      <w:tr w14:paraId="6A3B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6" w:type="dxa"/>
            <w:vAlign w:val="center"/>
          </w:tcPr>
          <w:p w14:paraId="0B9309C0">
            <w:pPr>
              <w:spacing w:line="360" w:lineRule="auto"/>
              <w:jc w:val="center"/>
              <w:rPr>
                <w:rFonts w:hint="default" w:ascii="宋体" w:hAnsi="宋体" w:eastAsia="宋体" w:cs="宋体"/>
                <w:szCs w:val="21"/>
                <w:shd w:val="clear" w:color="auto" w:fill="FFFFFF"/>
                <w:lang w:val="en-US" w:eastAsia="zh-CN"/>
              </w:rPr>
            </w:pPr>
            <w:r>
              <w:rPr>
                <w:rFonts w:hint="default" w:ascii="宋体" w:hAnsi="宋体" w:eastAsia="宋体" w:cs="宋体"/>
                <w:szCs w:val="21"/>
                <w:shd w:val="clear" w:color="auto" w:fill="FFFFFF"/>
                <w:lang w:val="en-US" w:eastAsia="zh-CN"/>
              </w:rPr>
              <w:t>备注</w:t>
            </w:r>
          </w:p>
        </w:tc>
        <w:tc>
          <w:tcPr>
            <w:tcW w:w="7008" w:type="dxa"/>
            <w:gridSpan w:val="4"/>
            <w:vAlign w:val="center"/>
          </w:tcPr>
          <w:p w14:paraId="40361B70">
            <w:pPr>
              <w:spacing w:line="360" w:lineRule="auto"/>
              <w:jc w:val="center"/>
              <w:rPr>
                <w:rFonts w:hint="default" w:ascii="宋体" w:hAnsi="宋体" w:eastAsia="宋体" w:cs="宋体"/>
                <w:szCs w:val="21"/>
                <w:shd w:val="clear" w:color="auto" w:fill="FFFFFF"/>
                <w:lang w:eastAsia="zh-CN"/>
              </w:rPr>
            </w:pPr>
            <w:r>
              <w:rPr>
                <w:rFonts w:hint="eastAsia" w:ascii="宋体" w:hAnsi="宋体" w:eastAsia="宋体" w:cs="宋体"/>
                <w:szCs w:val="21"/>
                <w:shd w:val="clear" w:color="auto" w:fill="FFFFFF"/>
                <w:lang w:val="en-US" w:eastAsia="zh-CN"/>
              </w:rPr>
              <w:t>招一家供应商</w:t>
            </w:r>
          </w:p>
        </w:tc>
      </w:tr>
    </w:tbl>
    <w:p w14:paraId="20A5028E">
      <w:pPr>
        <w:spacing w:line="360" w:lineRule="auto"/>
        <w:rPr>
          <w:b/>
          <w:bCs/>
        </w:rPr>
      </w:pPr>
      <w:r>
        <w:rPr>
          <w:rFonts w:hint="eastAsia"/>
          <w:b/>
          <w:bCs/>
          <w:lang w:val="en-US" w:eastAsia="zh-CN"/>
        </w:rPr>
        <w:t>三</w:t>
      </w:r>
      <w:r>
        <w:rPr>
          <w:rFonts w:hint="eastAsia"/>
          <w:b/>
          <w:bCs/>
        </w:rPr>
        <w:t xml:space="preserve">、技术要求 </w:t>
      </w:r>
    </w:p>
    <w:tbl>
      <w:tblPr>
        <w:tblStyle w:val="33"/>
        <w:tblW w:w="4774" w:type="pct"/>
        <w:tblInd w:w="230" w:type="dxa"/>
        <w:tblLayout w:type="autofit"/>
        <w:tblCellMar>
          <w:top w:w="0" w:type="dxa"/>
          <w:left w:w="108" w:type="dxa"/>
          <w:bottom w:w="0" w:type="dxa"/>
          <w:right w:w="108" w:type="dxa"/>
        </w:tblCellMar>
      </w:tblPr>
      <w:tblGrid>
        <w:gridCol w:w="8759"/>
      </w:tblGrid>
      <w:tr w14:paraId="3D9066B0">
        <w:trPr>
          <w:trHeight w:val="490" w:hRule="atLeast"/>
        </w:trPr>
        <w:tc>
          <w:tcPr>
            <w:tcW w:w="50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7FAA7A">
            <w:pPr>
              <w:spacing w:line="360" w:lineRule="auto"/>
              <w:jc w:val="center"/>
              <w:rPr>
                <w:rFonts w:hint="eastAsia" w:ascii="宋体" w:hAnsi="宋体" w:eastAsia="宋体" w:cs="宋体"/>
                <w:szCs w:val="21"/>
                <w:highlight w:val="none"/>
                <w:shd w:val="clear" w:color="auto" w:fill="FFFFFF"/>
                <w:lang w:val="en-US" w:eastAsia="zh-CN"/>
              </w:rPr>
            </w:pPr>
            <w:r>
              <w:rPr>
                <w:rFonts w:hint="eastAsia" w:ascii="宋体" w:hAnsi="宋体" w:eastAsia="宋体" w:cs="宋体"/>
                <w:szCs w:val="21"/>
                <w:highlight w:val="none"/>
                <w:shd w:val="clear" w:color="auto" w:fill="FFFFFF"/>
                <w:lang w:val="en-US" w:eastAsia="zh-CN"/>
              </w:rPr>
              <w:t>具体参数要求（加★为</w:t>
            </w:r>
            <w:r>
              <w:rPr>
                <w:rFonts w:hint="eastAsia" w:ascii="宋体" w:hAnsi="宋体" w:cs="宋体"/>
                <w:szCs w:val="21"/>
                <w:highlight w:val="none"/>
                <w:shd w:val="clear" w:color="auto" w:fill="FFFFFF"/>
                <w:lang w:val="en-US" w:eastAsia="zh-CN"/>
              </w:rPr>
              <w:t>重要技术参数</w:t>
            </w:r>
            <w:r>
              <w:rPr>
                <w:rFonts w:hint="eastAsia" w:ascii="宋体" w:hAnsi="宋体" w:eastAsia="宋体" w:cs="宋体"/>
                <w:szCs w:val="21"/>
                <w:highlight w:val="none"/>
                <w:shd w:val="clear" w:color="auto" w:fill="FFFFFF"/>
                <w:lang w:val="en-US" w:eastAsia="zh-CN"/>
              </w:rPr>
              <w:t>）</w:t>
            </w:r>
          </w:p>
        </w:tc>
      </w:tr>
      <w:tr w14:paraId="0A6D2832">
        <w:tblPrEx>
          <w:tblCellMar>
            <w:top w:w="0" w:type="dxa"/>
            <w:left w:w="108" w:type="dxa"/>
            <w:bottom w:w="0" w:type="dxa"/>
            <w:right w:w="108" w:type="dxa"/>
          </w:tblCellMar>
        </w:tblPrEx>
        <w:trPr>
          <w:trHeight w:val="1851"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center"/>
          </w:tcPr>
          <w:p w14:paraId="4B563F9B">
            <w:pPr>
              <w:spacing w:line="360" w:lineRule="auto"/>
              <w:jc w:val="left"/>
              <w:rPr>
                <w:rFonts w:hint="eastAsia" w:ascii="宋体" w:hAnsi="宋体" w:eastAsia="宋体" w:cs="宋体"/>
                <w:szCs w:val="21"/>
                <w:highlight w:val="none"/>
                <w:shd w:val="clear" w:color="auto" w:fill="FFFFFF"/>
                <w:lang w:val="en-US" w:eastAsia="zh-CN"/>
              </w:rPr>
            </w:pPr>
            <w:r>
              <w:rPr>
                <w:rFonts w:hint="eastAsia" w:ascii="宋体" w:hAnsi="宋体" w:cs="宋体"/>
                <w:szCs w:val="21"/>
                <w:highlight w:val="none"/>
                <w:shd w:val="clear" w:color="auto" w:fill="FFFFFF"/>
                <w:lang w:val="en-US" w:eastAsia="zh-CN"/>
              </w:rPr>
              <w:t>1.</w:t>
            </w:r>
            <w:r>
              <w:rPr>
                <w:rFonts w:hint="eastAsia" w:ascii="宋体" w:hAnsi="宋体" w:eastAsia="宋体" w:cs="宋体"/>
                <w:szCs w:val="21"/>
                <w:highlight w:val="none"/>
                <w:shd w:val="clear" w:color="auto" w:fill="FFFFFF"/>
                <w:lang w:val="en-US" w:eastAsia="zh-CN"/>
              </w:rPr>
              <w:t>新旧电脑、打印机的安装、调试、搬迁、理线、贴标、维护与维修，保障电脑、打印机及办公所需各种计算机用品正常运行。</w:t>
            </w:r>
          </w:p>
          <w:p w14:paraId="48D3EFF0">
            <w:pPr>
              <w:spacing w:line="360" w:lineRule="auto"/>
              <w:jc w:val="left"/>
              <w:rPr>
                <w:rFonts w:hint="eastAsia" w:ascii="宋体" w:hAnsi="宋体" w:eastAsia="宋体" w:cs="宋体"/>
                <w:szCs w:val="21"/>
                <w:highlight w:val="none"/>
                <w:shd w:val="clear" w:color="auto" w:fill="FFFFFF"/>
                <w:lang w:val="en-US" w:eastAsia="zh-CN"/>
              </w:rPr>
            </w:pPr>
            <w:r>
              <w:rPr>
                <w:rFonts w:hint="eastAsia" w:ascii="宋体" w:hAnsi="宋体" w:cs="宋体"/>
                <w:szCs w:val="21"/>
                <w:highlight w:val="none"/>
                <w:shd w:val="clear" w:color="auto" w:fill="FFFFFF"/>
                <w:lang w:val="en-US" w:eastAsia="zh-CN"/>
              </w:rPr>
              <w:t>2.</w:t>
            </w:r>
            <w:r>
              <w:rPr>
                <w:rFonts w:hint="eastAsia" w:ascii="宋体" w:hAnsi="宋体" w:eastAsia="宋体" w:cs="宋体"/>
                <w:szCs w:val="21"/>
                <w:highlight w:val="none"/>
                <w:shd w:val="clear" w:color="auto" w:fill="FFFFFF"/>
                <w:lang w:val="en-US" w:eastAsia="zh-CN"/>
              </w:rPr>
              <w:t>★超出维保期电脑整机（含鼠标、键盘、显示器与线缆等所有随机物件）及打印机整机（不含耗材，即碳带、色带、硒鼓、鼓芯、粉盒、墨盒、粉墨、版纸之外的所有随机物件）包修、包换，所更换配件和设备须为原装正品同档次配件和设备，所有维修更换费用包含在维保服务费内，维保期内不再产生其他任何费用。</w:t>
            </w:r>
          </w:p>
          <w:p w14:paraId="666043F8">
            <w:pPr>
              <w:spacing w:line="360" w:lineRule="auto"/>
              <w:jc w:val="left"/>
              <w:rPr>
                <w:rFonts w:hint="eastAsia" w:ascii="宋体" w:hAnsi="宋体" w:eastAsia="宋体" w:cs="宋体"/>
                <w:szCs w:val="21"/>
                <w:highlight w:val="none"/>
                <w:shd w:val="clear" w:color="auto" w:fill="FFFFFF"/>
                <w:lang w:val="en-US" w:eastAsia="zh-CN"/>
              </w:rPr>
            </w:pPr>
            <w:r>
              <w:rPr>
                <w:rFonts w:hint="eastAsia" w:ascii="宋体" w:hAnsi="宋体" w:cs="宋体"/>
                <w:szCs w:val="21"/>
                <w:highlight w:val="none"/>
                <w:shd w:val="clear" w:color="auto" w:fill="FFFFFF"/>
                <w:lang w:val="en-US" w:eastAsia="zh-CN"/>
              </w:rPr>
              <w:t>3.</w:t>
            </w:r>
            <w:r>
              <w:rPr>
                <w:rFonts w:hint="eastAsia" w:ascii="宋体" w:hAnsi="宋体" w:eastAsia="宋体" w:cs="宋体"/>
                <w:szCs w:val="21"/>
                <w:highlight w:val="none"/>
                <w:shd w:val="clear" w:color="auto" w:fill="FFFFFF"/>
                <w:lang w:val="en-US" w:eastAsia="zh-CN"/>
              </w:rPr>
              <w:t>新旧全部电脑、PDA、移动推车的操作系统、网络、办公所需各种软件的安装、调试、卸载与故障处理。</w:t>
            </w:r>
          </w:p>
          <w:p w14:paraId="52EE4515">
            <w:pPr>
              <w:spacing w:line="360" w:lineRule="auto"/>
              <w:jc w:val="left"/>
              <w:rPr>
                <w:rFonts w:hint="eastAsia" w:ascii="宋体" w:hAnsi="宋体" w:eastAsia="宋体" w:cs="宋体"/>
                <w:szCs w:val="21"/>
                <w:highlight w:val="none"/>
                <w:shd w:val="clear" w:color="auto" w:fill="FFFFFF"/>
                <w:lang w:val="en-US" w:eastAsia="zh-CN"/>
              </w:rPr>
            </w:pPr>
            <w:r>
              <w:rPr>
                <w:rFonts w:hint="eastAsia" w:ascii="宋体" w:hAnsi="宋体" w:cs="宋体"/>
                <w:szCs w:val="21"/>
                <w:highlight w:val="none"/>
                <w:shd w:val="clear" w:color="auto" w:fill="FFFFFF"/>
                <w:lang w:val="en-US" w:eastAsia="zh-CN"/>
              </w:rPr>
              <w:t>4.</w:t>
            </w:r>
            <w:r>
              <w:rPr>
                <w:rFonts w:hint="eastAsia" w:ascii="宋体" w:hAnsi="宋体" w:eastAsia="宋体" w:cs="宋体"/>
                <w:szCs w:val="21"/>
                <w:highlight w:val="none"/>
                <w:shd w:val="clear" w:color="auto" w:fill="FFFFFF"/>
                <w:lang w:val="en-US" w:eastAsia="zh-CN"/>
              </w:rPr>
              <w:t>新旧全部电脑、打印机、刷脸机、柯丽尔自助机的网络布线、故障的诊断与处理。</w:t>
            </w:r>
          </w:p>
          <w:p w14:paraId="53AA9DAE">
            <w:pPr>
              <w:spacing w:line="360" w:lineRule="auto"/>
              <w:jc w:val="left"/>
              <w:rPr>
                <w:rFonts w:hint="eastAsia" w:ascii="宋体" w:hAnsi="宋体" w:eastAsia="宋体" w:cs="宋体"/>
                <w:szCs w:val="21"/>
                <w:highlight w:val="none"/>
                <w:shd w:val="clear" w:color="auto" w:fill="FFFFFF"/>
                <w:lang w:val="en-US" w:eastAsia="zh-CN"/>
              </w:rPr>
            </w:pPr>
            <w:r>
              <w:rPr>
                <w:rFonts w:hint="eastAsia" w:ascii="宋体" w:hAnsi="宋体" w:cs="宋体"/>
                <w:szCs w:val="21"/>
                <w:highlight w:val="none"/>
                <w:shd w:val="clear" w:color="auto" w:fill="FFFFFF"/>
                <w:lang w:val="en-US" w:eastAsia="zh-CN"/>
              </w:rPr>
              <w:t>5.</w:t>
            </w:r>
            <w:r>
              <w:rPr>
                <w:rFonts w:hint="eastAsia" w:ascii="宋体" w:hAnsi="宋体" w:eastAsia="宋体" w:cs="宋体"/>
                <w:szCs w:val="21"/>
                <w:highlight w:val="none"/>
                <w:shd w:val="clear" w:color="auto" w:fill="FFFFFF"/>
                <w:lang w:val="en-US" w:eastAsia="zh-CN"/>
              </w:rPr>
              <w:t>新旧全部电脑及办公所需各种计算机用品每季度≥1次巡检（检查设备标签状态、杀毒软件状态、管理软件状态等），每年度≥1次除尘。</w:t>
            </w:r>
          </w:p>
          <w:p w14:paraId="4FAFA541">
            <w:pPr>
              <w:spacing w:line="360" w:lineRule="auto"/>
              <w:jc w:val="left"/>
              <w:rPr>
                <w:rFonts w:hint="eastAsia" w:ascii="宋体" w:hAnsi="宋体" w:eastAsia="宋体" w:cs="宋体"/>
                <w:szCs w:val="21"/>
                <w:highlight w:val="none"/>
                <w:shd w:val="clear" w:color="auto" w:fill="FFFFFF"/>
                <w:lang w:val="en-US" w:eastAsia="zh-CN"/>
              </w:rPr>
            </w:pPr>
            <w:r>
              <w:rPr>
                <w:rFonts w:hint="eastAsia" w:ascii="宋体" w:hAnsi="宋体" w:cs="宋体"/>
                <w:szCs w:val="21"/>
                <w:highlight w:val="none"/>
                <w:shd w:val="clear" w:color="auto" w:fill="FFFFFF"/>
                <w:lang w:val="en-US" w:eastAsia="zh-CN"/>
              </w:rPr>
              <w:t>6.</w:t>
            </w:r>
            <w:r>
              <w:rPr>
                <w:rFonts w:hint="eastAsia" w:ascii="宋体" w:hAnsi="宋体" w:eastAsia="宋体" w:cs="宋体"/>
                <w:szCs w:val="21"/>
                <w:highlight w:val="none"/>
                <w:shd w:val="clear" w:color="auto" w:fill="FFFFFF"/>
                <w:lang w:val="en-US" w:eastAsia="zh-CN"/>
              </w:rPr>
              <w:t>所有涉及到的线路均需要使用六类及以上网线（网线颜色禁止使用蓝色）。</w:t>
            </w:r>
          </w:p>
          <w:p w14:paraId="2574BE0A">
            <w:pPr>
              <w:spacing w:line="360" w:lineRule="auto"/>
              <w:jc w:val="left"/>
              <w:rPr>
                <w:rFonts w:hint="eastAsia" w:ascii="宋体" w:hAnsi="宋体" w:eastAsia="宋体" w:cs="宋体"/>
                <w:szCs w:val="21"/>
                <w:highlight w:val="none"/>
                <w:shd w:val="clear" w:color="auto" w:fill="FFFFFF"/>
                <w:lang w:val="en-US" w:eastAsia="zh-CN"/>
              </w:rPr>
            </w:pPr>
            <w:r>
              <w:rPr>
                <w:rFonts w:hint="eastAsia" w:ascii="宋体" w:hAnsi="宋体" w:cs="宋体"/>
                <w:szCs w:val="21"/>
                <w:highlight w:val="none"/>
                <w:shd w:val="clear" w:color="auto" w:fill="FFFFFF"/>
                <w:lang w:val="en-US" w:eastAsia="zh-CN"/>
              </w:rPr>
              <w:t>7.</w:t>
            </w:r>
            <w:r>
              <w:rPr>
                <w:rFonts w:hint="eastAsia" w:ascii="宋体" w:hAnsi="宋体" w:eastAsia="宋体" w:cs="宋体"/>
                <w:szCs w:val="21"/>
                <w:highlight w:val="none"/>
                <w:shd w:val="clear" w:color="auto" w:fill="FFFFFF"/>
                <w:lang w:val="en-US" w:eastAsia="zh-CN"/>
              </w:rPr>
              <w:t>7*24小时服务，无限次工时及派工，1年服务期。接到派工通知后，到达现场时限≤15分钟，耗材更换时限≤30分钟，货物送达时限≤12小时，网络布线时限≤24小时，紧急情况下，无条件按医院指定时间节点完成任务。维修更换期间免费提供同档次的备机备件，保障办公不受影响。</w:t>
            </w:r>
          </w:p>
          <w:p w14:paraId="0A72639B">
            <w:pPr>
              <w:spacing w:line="360" w:lineRule="auto"/>
              <w:jc w:val="left"/>
              <w:rPr>
                <w:rFonts w:hint="eastAsia" w:ascii="宋体" w:hAnsi="宋体" w:eastAsia="宋体" w:cs="宋体"/>
                <w:szCs w:val="21"/>
                <w:highlight w:val="none"/>
                <w:shd w:val="clear" w:color="auto" w:fill="FFFFFF"/>
                <w:lang w:val="en-US" w:eastAsia="zh-CN"/>
              </w:rPr>
            </w:pPr>
            <w:r>
              <w:rPr>
                <w:rFonts w:hint="eastAsia" w:ascii="宋体" w:hAnsi="宋体" w:cs="宋体"/>
                <w:szCs w:val="21"/>
                <w:highlight w:val="none"/>
                <w:shd w:val="clear" w:color="auto" w:fill="FFFFFF"/>
                <w:lang w:val="en-US" w:eastAsia="zh-CN"/>
              </w:rPr>
              <w:t>8.</w:t>
            </w:r>
            <w:r>
              <w:rPr>
                <w:rFonts w:hint="eastAsia" w:ascii="宋体" w:hAnsi="宋体" w:eastAsia="宋体" w:cs="宋体"/>
                <w:szCs w:val="21"/>
                <w:highlight w:val="none"/>
                <w:shd w:val="clear" w:color="auto" w:fill="FFFFFF"/>
                <w:lang w:val="en-US" w:eastAsia="zh-CN"/>
              </w:rPr>
              <w:t>★固定专职驻场服务工程师，中心院区≥5人（3年以上电脑维保工作经验≥2人），妇儿院区≥3人（3年以上电脑维保工作经验≥1人），提供姓名、身份证、手机号码、与</w:t>
            </w:r>
            <w:r>
              <w:rPr>
                <w:rFonts w:hint="eastAsia" w:ascii="宋体" w:hAnsi="宋体" w:cs="宋体"/>
                <w:szCs w:val="21"/>
                <w:highlight w:val="none"/>
                <w:shd w:val="clear" w:color="auto" w:fill="FFFFFF"/>
                <w:lang w:val="en-US" w:eastAsia="zh-CN"/>
              </w:rPr>
              <w:t>供应商</w:t>
            </w:r>
            <w:r>
              <w:rPr>
                <w:rFonts w:hint="eastAsia" w:ascii="宋体" w:hAnsi="宋体" w:eastAsia="宋体" w:cs="宋体"/>
                <w:szCs w:val="21"/>
                <w:highlight w:val="none"/>
                <w:shd w:val="clear" w:color="auto" w:fill="FFFFFF"/>
                <w:lang w:val="en-US" w:eastAsia="zh-CN"/>
              </w:rPr>
              <w:t>的雇佣关系证明，提供至少3人单位缴纳社保证明</w:t>
            </w:r>
            <w:r>
              <w:rPr>
                <w:rFonts w:hint="eastAsia" w:ascii="宋体" w:hAnsi="宋体" w:cs="宋体"/>
                <w:szCs w:val="21"/>
                <w:highlight w:val="none"/>
                <w:shd w:val="clear" w:color="auto" w:fill="FFFFFF"/>
                <w:lang w:val="en-US" w:eastAsia="zh-CN"/>
              </w:rPr>
              <w:t>（采购活动前近六个月任一个月）</w:t>
            </w:r>
            <w:r>
              <w:rPr>
                <w:rFonts w:hint="eastAsia" w:ascii="宋体" w:hAnsi="宋体" w:eastAsia="宋体" w:cs="宋体"/>
                <w:szCs w:val="21"/>
                <w:highlight w:val="none"/>
                <w:shd w:val="clear" w:color="auto" w:fill="FFFFFF"/>
                <w:lang w:val="en-US" w:eastAsia="zh-CN"/>
              </w:rPr>
              <w:t>。</w:t>
            </w:r>
          </w:p>
          <w:p w14:paraId="60458CF4">
            <w:pPr>
              <w:spacing w:line="360" w:lineRule="auto"/>
              <w:jc w:val="left"/>
              <w:rPr>
                <w:rFonts w:hint="default" w:ascii="宋体" w:hAnsi="宋体" w:eastAsia="宋体" w:cs="宋体"/>
                <w:szCs w:val="21"/>
                <w:highlight w:val="none"/>
                <w:shd w:val="clear" w:color="auto" w:fill="FFFFFF"/>
                <w:lang w:val="en-US" w:eastAsia="zh-CN"/>
              </w:rPr>
            </w:pPr>
            <w:r>
              <w:rPr>
                <w:rFonts w:hint="eastAsia" w:ascii="宋体" w:hAnsi="宋体" w:cs="宋体"/>
                <w:szCs w:val="21"/>
                <w:highlight w:val="none"/>
                <w:shd w:val="clear" w:color="auto" w:fill="FFFFFF"/>
                <w:lang w:val="en-US" w:eastAsia="zh-CN"/>
              </w:rPr>
              <w:t>9.</w:t>
            </w:r>
            <w:r>
              <w:rPr>
                <w:rFonts w:hint="eastAsia" w:ascii="宋体" w:hAnsi="宋体" w:eastAsia="宋体" w:cs="宋体"/>
                <w:szCs w:val="21"/>
                <w:highlight w:val="none"/>
                <w:shd w:val="clear" w:color="auto" w:fill="FFFFFF"/>
                <w:lang w:val="en-US" w:eastAsia="zh-CN"/>
              </w:rPr>
              <w:t>维保主要内容介绍：电脑2500台左右，型号以HP为主，打印机1500台左右，主要型号以佳能2900、DS-1920、TSC 244、DT-330为主。</w:t>
            </w:r>
          </w:p>
        </w:tc>
      </w:tr>
    </w:tbl>
    <w:p w14:paraId="2E7B5A65">
      <w:pPr>
        <w:jc w:val="both"/>
        <w:rPr>
          <w:rFonts w:hint="eastAsia" w:ascii="Times New Roman" w:hAnsi="Times New Roman" w:eastAsia="宋体" w:cs="Times New Roman"/>
          <w:b/>
          <w:bCs/>
          <w:sz w:val="24"/>
          <w:szCs w:val="32"/>
        </w:rPr>
      </w:pPr>
    </w:p>
    <w:p w14:paraId="4FEEC25C">
      <w:pPr>
        <w:jc w:val="both"/>
        <w:rPr>
          <w:rFonts w:hint="eastAsia" w:ascii="Times New Roman" w:hAnsi="Times New Roman" w:eastAsia="宋体" w:cs="Times New Roman"/>
          <w:b/>
          <w:bCs/>
          <w:sz w:val="24"/>
          <w:szCs w:val="32"/>
        </w:rPr>
        <w:sectPr>
          <w:footerReference r:id="rId5" w:type="default"/>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pPr>
    </w:p>
    <w:p w14:paraId="51DA3AE4">
      <w:pPr>
        <w:jc w:val="both"/>
        <w:rPr>
          <w:rFonts w:hint="eastAsia" w:cs="Times New Roman"/>
          <w:b/>
          <w:bCs/>
          <w:sz w:val="21"/>
          <w:szCs w:val="21"/>
          <w:lang w:val="en-US" w:eastAsia="zh-CN"/>
        </w:rPr>
      </w:pPr>
    </w:p>
    <w:p w14:paraId="0454E8EC">
      <w:pPr>
        <w:jc w:val="both"/>
        <w:rPr>
          <w:rFonts w:hint="eastAsia" w:cs="Times New Roman"/>
          <w:b/>
          <w:bCs/>
          <w:sz w:val="21"/>
          <w:szCs w:val="21"/>
          <w:lang w:val="en-US" w:eastAsia="zh-CN"/>
        </w:rPr>
      </w:pPr>
    </w:p>
    <w:p w14:paraId="17931D11">
      <w:pPr>
        <w:jc w:val="both"/>
        <w:rPr>
          <w:rFonts w:hint="eastAsia" w:cs="Times New Roman"/>
          <w:b/>
          <w:bCs/>
          <w:sz w:val="21"/>
          <w:szCs w:val="21"/>
          <w:lang w:val="en-US" w:eastAsia="zh-CN"/>
        </w:rPr>
      </w:pPr>
    </w:p>
    <w:p w14:paraId="58E14654">
      <w:pPr>
        <w:jc w:val="both"/>
        <w:rPr>
          <w:rFonts w:hint="eastAsia" w:cs="Times New Roman"/>
          <w:b/>
          <w:bCs/>
          <w:sz w:val="21"/>
          <w:szCs w:val="21"/>
          <w:lang w:val="en-US" w:eastAsia="zh-CN"/>
        </w:rPr>
      </w:pPr>
    </w:p>
    <w:p w14:paraId="3C9242AE">
      <w:pPr>
        <w:jc w:val="both"/>
        <w:rPr>
          <w:rFonts w:hint="eastAsia" w:ascii="Times New Roman" w:hAnsi="Times New Roman" w:eastAsia="宋体" w:cs="Times New Roman"/>
          <w:b/>
          <w:bCs/>
          <w:sz w:val="21"/>
          <w:szCs w:val="21"/>
        </w:rPr>
      </w:pPr>
      <w:r>
        <w:rPr>
          <w:rFonts w:hint="eastAsia" w:cs="Times New Roman"/>
          <w:b/>
          <w:bCs/>
          <w:sz w:val="21"/>
          <w:szCs w:val="21"/>
          <w:lang w:val="en-US" w:eastAsia="zh-CN"/>
        </w:rPr>
        <w:t>四、</w:t>
      </w:r>
      <w:r>
        <w:rPr>
          <w:rFonts w:hint="eastAsia" w:ascii="Times New Roman" w:hAnsi="Times New Roman" w:eastAsia="宋体" w:cs="Times New Roman"/>
          <w:b/>
          <w:bCs/>
          <w:sz w:val="21"/>
          <w:szCs w:val="21"/>
        </w:rPr>
        <w:t>商务要求</w:t>
      </w:r>
    </w:p>
    <w:tbl>
      <w:tblPr>
        <w:tblStyle w:val="33"/>
        <w:tblpPr w:leftFromText="180" w:rightFromText="180" w:vertAnchor="text" w:tblpXSpec="center" w:tblpY="1"/>
        <w:tblOverlap w:val="never"/>
        <w:tblW w:w="88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3"/>
        <w:gridCol w:w="7267"/>
      </w:tblGrid>
      <w:tr w14:paraId="64B70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553" w:type="dxa"/>
            <w:tcBorders>
              <w:top w:val="single" w:color="auto" w:sz="4" w:space="0"/>
              <w:left w:val="single" w:color="auto" w:sz="4" w:space="0"/>
              <w:bottom w:val="single" w:color="auto" w:sz="4" w:space="0"/>
              <w:right w:val="single" w:color="auto" w:sz="4" w:space="0"/>
            </w:tcBorders>
            <w:noWrap/>
            <w:vAlign w:val="center"/>
          </w:tcPr>
          <w:p w14:paraId="7FB07336">
            <w:pPr>
              <w:pStyle w:val="15"/>
              <w:ind w:left="0" w:leftChars="0"/>
              <w:jc w:val="center"/>
              <w:rPr>
                <w:rFonts w:hint="eastAsia"/>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267" w:type="dxa"/>
            <w:tcBorders>
              <w:top w:val="single" w:color="auto" w:sz="4" w:space="0"/>
              <w:left w:val="single" w:color="auto" w:sz="4" w:space="0"/>
              <w:bottom w:val="single" w:color="auto" w:sz="4" w:space="0"/>
              <w:right w:val="single" w:color="auto" w:sz="4" w:space="0"/>
            </w:tcBorders>
            <w:noWrap/>
            <w:vAlign w:val="center"/>
          </w:tcPr>
          <w:p w14:paraId="2F40D1A2">
            <w:pPr>
              <w:pStyle w:val="15"/>
              <w:ind w:left="0" w:leftChars="0"/>
              <w:jc w:val="left"/>
              <w:rPr>
                <w:rFonts w:hint="eastAsia"/>
                <w:szCs w:val="21"/>
                <w:shd w:val="clear" w:color="auto" w:fill="FFFFFF"/>
              </w:rPr>
            </w:pPr>
            <w:r>
              <w:rPr>
                <w:rFonts w:hint="eastAsia" w:cs="宋体"/>
                <w:color w:val="000000" w:themeColor="text1"/>
                <w:sz w:val="21"/>
                <w:szCs w:val="21"/>
                <w:lang w:val="en-US" w:eastAsia="zh-CN"/>
                <w14:textFill>
                  <w14:solidFill>
                    <w14:schemeClr w14:val="tx1"/>
                  </w14:solidFill>
                </w14:textFill>
              </w:rPr>
              <w:t>合同签订之日起一年</w:t>
            </w:r>
          </w:p>
        </w:tc>
      </w:tr>
      <w:tr w14:paraId="0EEF1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553" w:type="dxa"/>
            <w:tcBorders>
              <w:top w:val="single" w:color="auto" w:sz="4" w:space="0"/>
              <w:left w:val="single" w:color="auto" w:sz="4" w:space="0"/>
              <w:bottom w:val="single" w:color="auto" w:sz="4" w:space="0"/>
              <w:right w:val="single" w:color="auto" w:sz="4" w:space="0"/>
            </w:tcBorders>
            <w:noWrap/>
            <w:vAlign w:val="center"/>
          </w:tcPr>
          <w:p w14:paraId="640610D6">
            <w:pPr>
              <w:pStyle w:val="15"/>
              <w:ind w:left="0" w:leftChars="0"/>
              <w:jc w:val="center"/>
              <w:rPr>
                <w:rFonts w:hint="default" w:ascii="宋体" w:hAnsi="宋体" w:eastAsia="宋体" w:cs="宋体"/>
                <w:sz w:val="21"/>
                <w:szCs w:val="21"/>
                <w:lang w:val="en-US" w:eastAsia="zh-CN"/>
              </w:rPr>
            </w:pPr>
            <w:r>
              <w:rPr>
                <w:rFonts w:hint="eastAsia" w:cs="宋体"/>
                <w:sz w:val="21"/>
                <w:szCs w:val="21"/>
                <w:lang w:val="en-US" w:eastAsia="zh-CN"/>
              </w:rPr>
              <w:t>售后服务及其他要求</w:t>
            </w:r>
          </w:p>
        </w:tc>
        <w:tc>
          <w:tcPr>
            <w:tcW w:w="7267" w:type="dxa"/>
            <w:tcBorders>
              <w:top w:val="single" w:color="auto" w:sz="4" w:space="0"/>
              <w:left w:val="single" w:color="auto" w:sz="4" w:space="0"/>
              <w:bottom w:val="single" w:color="auto" w:sz="4" w:space="0"/>
              <w:right w:val="single" w:color="auto" w:sz="4" w:space="0"/>
            </w:tcBorders>
            <w:noWrap/>
            <w:vAlign w:val="center"/>
          </w:tcPr>
          <w:p w14:paraId="3A1B5034">
            <w:pPr>
              <w:pStyle w:val="90"/>
              <w:widowControl/>
              <w:numPr>
                <w:ilvl w:val="0"/>
                <w:numId w:val="0"/>
              </w:numPr>
              <w:spacing w:line="360" w:lineRule="auto"/>
              <w:ind w:left="0" w:leftChars="0" w:firstLine="0" w:firstLineChars="0"/>
              <w:jc w:val="left"/>
              <w:rPr>
                <w:rFonts w:hint="eastAsia" w:ascii="宋体" w:hAnsi="宋体" w:cs="宋体"/>
                <w:szCs w:val="21"/>
                <w:shd w:val="clear" w:color="auto" w:fill="FFFFFF"/>
                <w:lang w:val="en-US" w:eastAsia="zh-CN"/>
              </w:rPr>
            </w:pPr>
            <w:r>
              <w:rPr>
                <w:rFonts w:hint="eastAsia" w:ascii="宋体" w:hAnsi="宋体" w:cs="宋体"/>
                <w:szCs w:val="21"/>
                <w:shd w:val="clear" w:color="auto" w:fill="FFFFFF"/>
                <w:lang w:val="en-US" w:eastAsia="zh-CN"/>
              </w:rPr>
              <w:t>1.电脑及打印机经2次维修仍存在质量问题的，成交供应商必须负责更换。</w:t>
            </w:r>
          </w:p>
          <w:p w14:paraId="696D36FF">
            <w:pPr>
              <w:pStyle w:val="90"/>
              <w:widowControl/>
              <w:numPr>
                <w:ilvl w:val="0"/>
                <w:numId w:val="0"/>
              </w:numPr>
              <w:spacing w:line="360" w:lineRule="auto"/>
              <w:ind w:left="0" w:leftChars="0" w:firstLine="0" w:firstLineChars="0"/>
              <w:jc w:val="left"/>
              <w:rPr>
                <w:rFonts w:hint="eastAsia" w:ascii="宋体" w:hAnsi="宋体" w:cs="宋体"/>
                <w:szCs w:val="21"/>
                <w:shd w:val="clear" w:color="auto" w:fill="FFFFFF"/>
                <w:lang w:val="en-US" w:eastAsia="zh-CN"/>
              </w:rPr>
            </w:pPr>
            <w:r>
              <w:rPr>
                <w:rFonts w:hint="eastAsia" w:ascii="宋体" w:hAnsi="宋体" w:cs="宋体"/>
                <w:szCs w:val="21"/>
                <w:shd w:val="clear" w:color="auto" w:fill="FFFFFF"/>
                <w:lang w:val="en-US" w:eastAsia="zh-CN"/>
              </w:rPr>
              <w:t>2.提供7*24小时技术支持。</w:t>
            </w:r>
          </w:p>
          <w:p w14:paraId="5A73DB60">
            <w:pPr>
              <w:pStyle w:val="90"/>
              <w:widowControl/>
              <w:numPr>
                <w:ilvl w:val="0"/>
                <w:numId w:val="0"/>
              </w:numPr>
              <w:spacing w:line="360" w:lineRule="auto"/>
              <w:ind w:left="0" w:leftChars="0" w:firstLine="0" w:firstLineChars="0"/>
              <w:jc w:val="left"/>
              <w:rPr>
                <w:rFonts w:hint="default" w:ascii="宋体" w:hAnsi="宋体" w:cs="宋体"/>
                <w:szCs w:val="21"/>
                <w:shd w:val="clear" w:color="auto" w:fill="FFFFFF"/>
                <w:lang w:val="en-US" w:eastAsia="zh-CN"/>
              </w:rPr>
            </w:pPr>
            <w:r>
              <w:rPr>
                <w:rFonts w:hint="eastAsia" w:ascii="宋体" w:hAnsi="宋体" w:cs="宋体"/>
                <w:szCs w:val="21"/>
                <w:shd w:val="clear" w:color="auto" w:fill="FFFFFF"/>
                <w:lang w:val="en-US" w:eastAsia="zh-CN"/>
              </w:rPr>
              <w:t>3.定期按照《驻马店市中心医院信息服务第三方人员管理方法》进行考核；成交供应商未按标准履行服务义务发生或被投诉的，经多次批评教育仍不改正的，采购人有权终止合同；成交供应商偿付的违约金由采购人从服务费中扣除，不足的款额由成交供应商另向采购人支付。成交供应商未按标准履行服务义务，导致采购人业务运行中断而造成损失的，成交供应商负责赔偿。</w:t>
            </w:r>
          </w:p>
        </w:tc>
      </w:tr>
    </w:tbl>
    <w:p w14:paraId="28AA7FBA">
      <w:pPr>
        <w:jc w:val="both"/>
        <w:rPr>
          <w:rFonts w:hint="eastAsia" w:ascii="Times New Roman" w:hAnsi="Times New Roman" w:eastAsia="宋体" w:cs="Times New Roman"/>
          <w:b/>
          <w:bCs/>
          <w:sz w:val="24"/>
          <w:szCs w:val="32"/>
        </w:rPr>
      </w:pPr>
    </w:p>
    <w:p w14:paraId="02BF757F">
      <w:pPr>
        <w:snapToGrid w:val="0"/>
        <w:spacing w:before="159" w:beforeLines="50" w:line="360" w:lineRule="auto"/>
        <w:jc w:val="center"/>
        <w:rPr>
          <w:rFonts w:hint="eastAsia" w:ascii="宋体" w:hAnsi="宋体" w:cs="宋体"/>
          <w:b/>
          <w:bCs/>
          <w:sz w:val="30"/>
          <w:szCs w:val="30"/>
        </w:rPr>
        <w:sectPr>
          <w:type w:val="continuous"/>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pPr>
    </w:p>
    <w:p w14:paraId="6A0CDF0D">
      <w:pPr>
        <w:spacing w:afterAutospacing="0"/>
        <w:jc w:val="center"/>
        <w:outlineLvl w:val="0"/>
        <w:rPr>
          <w:rFonts w:hint="eastAsia" w:ascii="宋体" w:hAnsi="宋体" w:cs="宋体"/>
          <w:b/>
          <w:bCs/>
          <w:sz w:val="32"/>
          <w:szCs w:val="32"/>
        </w:rPr>
      </w:pPr>
      <w:bookmarkStart w:id="35" w:name="_Toc26695"/>
      <w:r>
        <w:rPr>
          <w:rFonts w:hint="eastAsia" w:ascii="宋体" w:hAnsi="宋体" w:cs="宋体"/>
          <w:b/>
          <w:bCs/>
          <w:sz w:val="32"/>
          <w:szCs w:val="32"/>
        </w:rPr>
        <w:t>第三章  供应商须知</w:t>
      </w:r>
      <w:bookmarkEnd w:id="35"/>
    </w:p>
    <w:p w14:paraId="0AD5ED89">
      <w:pPr>
        <w:snapToGrid w:val="0"/>
        <w:spacing w:beforeAutospacing="0" w:line="360" w:lineRule="auto"/>
        <w:jc w:val="center"/>
        <w:outlineLvl w:val="1"/>
        <w:rPr>
          <w:rFonts w:hint="eastAsia" w:ascii="宋体" w:hAnsi="宋体" w:cs="宋体"/>
          <w:sz w:val="28"/>
          <w:szCs w:val="28"/>
        </w:rPr>
      </w:pPr>
      <w:r>
        <w:rPr>
          <w:rFonts w:hint="eastAsia" w:ascii="宋体" w:hAnsi="宋体" w:cs="宋体"/>
          <w:sz w:val="28"/>
          <w:szCs w:val="28"/>
        </w:rPr>
        <w:t>供应商须知前附表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42669DC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68EDB4">
            <w:pPr>
              <w:widowControl/>
              <w:jc w:val="center"/>
              <w:rPr>
                <w:rFonts w:hint="eastAsia"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38C94FE">
            <w:pPr>
              <w:widowControl/>
              <w:jc w:val="center"/>
              <w:rPr>
                <w:rFonts w:hint="eastAsia" w:ascii="宋体" w:hAnsi="宋体" w:cs="宋体"/>
                <w:kern w:val="0"/>
                <w:szCs w:val="21"/>
              </w:rPr>
            </w:pPr>
            <w:r>
              <w:rPr>
                <w:rFonts w:hint="eastAsia" w:ascii="宋体" w:hAnsi="宋体" w:cs="宋体"/>
                <w:kern w:val="0"/>
                <w:szCs w:val="21"/>
              </w:rPr>
              <w:t>内容、要求</w:t>
            </w:r>
          </w:p>
        </w:tc>
      </w:tr>
      <w:tr w14:paraId="25683A4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586E32">
            <w:pPr>
              <w:widowControl/>
              <w:spacing w:line="460" w:lineRule="atLeast"/>
              <w:jc w:val="center"/>
              <w:rPr>
                <w:rFonts w:hint="eastAsia"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6367E5">
            <w:pPr>
              <w:widowControl/>
              <w:snapToGrid w:val="0"/>
              <w:spacing w:line="440" w:lineRule="exact"/>
              <w:jc w:val="left"/>
              <w:outlineLvl w:val="0"/>
              <w:rPr>
                <w:rFonts w:hint="eastAsia" w:ascii="宋体" w:hAnsi="宋体" w:eastAsia="宋体" w:cs="宋体"/>
                <w:szCs w:val="21"/>
                <w:shd w:val="clear" w:color="auto" w:fill="FFFFFF"/>
                <w:lang w:eastAsia="zh-CN"/>
              </w:rPr>
            </w:pPr>
            <w:bookmarkStart w:id="36" w:name="_Toc4522"/>
            <w:bookmarkStart w:id="37" w:name="_Toc27817"/>
            <w:bookmarkStart w:id="38" w:name="_Toc20663"/>
            <w:bookmarkStart w:id="39" w:name="_Toc9566"/>
            <w:bookmarkStart w:id="40" w:name="_Toc30169"/>
            <w:bookmarkStart w:id="41" w:name="_Toc27637"/>
            <w:r>
              <w:rPr>
                <w:rFonts w:hint="eastAsia" w:ascii="宋体" w:hAnsi="宋体" w:cs="宋体"/>
              </w:rPr>
              <w:t>1.1项目名称：</w:t>
            </w:r>
            <w:bookmarkEnd w:id="36"/>
            <w:bookmarkEnd w:id="37"/>
            <w:bookmarkEnd w:id="38"/>
            <w:bookmarkEnd w:id="39"/>
            <w:bookmarkEnd w:id="40"/>
            <w:bookmarkStart w:id="42" w:name="_Toc23424"/>
            <w:bookmarkStart w:id="43" w:name="_Toc28320"/>
            <w:bookmarkStart w:id="44" w:name="_Toc29400"/>
            <w:r>
              <w:rPr>
                <w:rFonts w:hint="eastAsia" w:ascii="宋体" w:hAnsi="宋体" w:cs="宋体"/>
                <w:szCs w:val="21"/>
                <w:shd w:val="clear" w:color="auto" w:fill="FFFFFF"/>
                <w:lang w:eastAsia="zh-CN"/>
              </w:rPr>
              <w:t>驻马店市中心医院电脑打印机及相关信息设备维保服务项目</w:t>
            </w:r>
            <w:bookmarkEnd w:id="41"/>
          </w:p>
          <w:p w14:paraId="59958B17">
            <w:pPr>
              <w:widowControl/>
              <w:snapToGrid w:val="0"/>
              <w:spacing w:line="440" w:lineRule="exact"/>
              <w:jc w:val="left"/>
              <w:outlineLvl w:val="0"/>
              <w:rPr>
                <w:rFonts w:hint="eastAsia" w:ascii="宋体" w:hAnsi="宋体" w:cs="宋体"/>
              </w:rPr>
            </w:pPr>
            <w:bookmarkStart w:id="45" w:name="_Toc7231"/>
            <w:bookmarkStart w:id="46" w:name="_Toc6822"/>
            <w:bookmarkStart w:id="47" w:name="_Toc19930"/>
            <w:r>
              <w:rPr>
                <w:rFonts w:hint="eastAsia" w:ascii="宋体" w:hAnsi="宋体" w:cs="宋体"/>
              </w:rPr>
              <w:t>1.2采购人名称：</w:t>
            </w:r>
            <w:bookmarkEnd w:id="42"/>
            <w:bookmarkEnd w:id="43"/>
            <w:bookmarkEnd w:id="44"/>
            <w:r>
              <w:rPr>
                <w:rFonts w:hint="eastAsia" w:ascii="宋体" w:hAnsi="宋体" w:cs="宋体"/>
              </w:rPr>
              <w:t>驻马店市中心医院</w:t>
            </w:r>
            <w:bookmarkEnd w:id="45"/>
            <w:bookmarkEnd w:id="46"/>
            <w:bookmarkEnd w:id="47"/>
          </w:p>
          <w:p w14:paraId="5905D575">
            <w:pPr>
              <w:widowControl/>
              <w:snapToGrid w:val="0"/>
              <w:spacing w:line="440" w:lineRule="exact"/>
              <w:jc w:val="left"/>
              <w:outlineLvl w:val="0"/>
              <w:rPr>
                <w:rFonts w:hint="eastAsia" w:ascii="宋体" w:hAnsi="宋体" w:cs="宋体"/>
              </w:rPr>
            </w:pPr>
            <w:bookmarkStart w:id="48" w:name="_Toc26199"/>
            <w:bookmarkStart w:id="49" w:name="_Toc17995"/>
            <w:bookmarkStart w:id="50" w:name="_Toc3148"/>
            <w:bookmarkStart w:id="51" w:name="_Toc24541"/>
            <w:bookmarkStart w:id="52" w:name="_Toc1866"/>
            <w:bookmarkStart w:id="53" w:name="_Toc12569"/>
            <w:r>
              <w:rPr>
                <w:rFonts w:hint="eastAsia" w:ascii="宋体" w:hAnsi="宋体" w:cs="宋体"/>
              </w:rPr>
              <w:t>1.3采购范围：详见第二章采购需求</w:t>
            </w:r>
            <w:bookmarkEnd w:id="48"/>
            <w:bookmarkEnd w:id="49"/>
            <w:bookmarkEnd w:id="50"/>
            <w:bookmarkEnd w:id="51"/>
            <w:bookmarkEnd w:id="52"/>
            <w:bookmarkEnd w:id="53"/>
          </w:p>
        </w:tc>
      </w:tr>
      <w:tr w14:paraId="78B281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91FA804">
            <w:pPr>
              <w:widowControl/>
              <w:spacing w:line="460" w:lineRule="atLeast"/>
              <w:jc w:val="center"/>
              <w:rPr>
                <w:rFonts w:hint="eastAsia"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F8D569">
            <w:pPr>
              <w:widowControl/>
              <w:spacing w:line="440" w:lineRule="exact"/>
              <w:rPr>
                <w:rFonts w:hint="eastAsia" w:ascii="宋体" w:hAnsi="宋体" w:cs="宋体"/>
                <w:kern w:val="0"/>
                <w:szCs w:val="21"/>
              </w:rPr>
            </w:pPr>
            <w:r>
              <w:rPr>
                <w:rFonts w:hint="eastAsia" w:ascii="宋体" w:hAnsi="宋体" w:cs="宋体"/>
                <w:kern w:val="0"/>
                <w:szCs w:val="21"/>
              </w:rPr>
              <w:t>合格供应商：具备采购公告第二项规定的条件。</w:t>
            </w:r>
          </w:p>
        </w:tc>
      </w:tr>
      <w:tr w14:paraId="0D45F1D7">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3FF57C">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991554A">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采购预算：</w:t>
            </w:r>
            <w:r>
              <w:rPr>
                <w:rFonts w:hint="eastAsia" w:ascii="宋体" w:hAnsi="宋体" w:cs="宋体"/>
                <w:szCs w:val="21"/>
                <w:shd w:val="clear" w:color="auto" w:fill="FFFFFF"/>
                <w:lang w:val="en-US" w:eastAsia="zh-CN"/>
              </w:rPr>
              <w:t>48</w:t>
            </w:r>
            <w:r>
              <w:rPr>
                <w:rFonts w:hint="eastAsia" w:ascii="宋体" w:hAnsi="宋体" w:cs="宋体"/>
                <w:szCs w:val="21"/>
                <w:shd w:val="clear" w:color="auto" w:fill="FFFFFF"/>
              </w:rPr>
              <w:t>万元；</w:t>
            </w:r>
          </w:p>
          <w:p w14:paraId="3781D0F9">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3.1 本项目以人民币报价。</w:t>
            </w:r>
          </w:p>
          <w:p w14:paraId="0A3AB92D">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3.2 供应商的报价超过采购预算，采购人不能支付的，按废标处理。</w:t>
            </w:r>
          </w:p>
          <w:p w14:paraId="09DEA93A">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3.3 本项目由成交供应商缴纳招标代理服务费。代理服务费不得高于《招代理机构服务管理暂行办法》（计价格[2002]1980号）相应标准：</w:t>
            </w:r>
          </w:p>
          <w:tbl>
            <w:tblPr>
              <w:tblStyle w:val="34"/>
              <w:tblW w:w="8879"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6"/>
              <w:gridCol w:w="1738"/>
              <w:gridCol w:w="1690"/>
              <w:gridCol w:w="1495"/>
            </w:tblGrid>
            <w:tr w14:paraId="3C53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3956" w:type="dxa"/>
                  <w:tcBorders>
                    <w:tl2br w:val="single" w:color="auto" w:sz="4" w:space="0"/>
                  </w:tcBorders>
                </w:tcPr>
                <w:p w14:paraId="3E0EBA30">
                  <w:pPr>
                    <w:widowControl/>
                    <w:snapToGrid w:val="0"/>
                    <w:rPr>
                      <w:rFonts w:hint="eastAsia" w:ascii="宋体" w:hAnsi="宋体" w:cs="宋体"/>
                      <w:b/>
                      <w:bCs/>
                      <w:kern w:val="0"/>
                      <w:szCs w:val="21"/>
                    </w:rPr>
                  </w:pPr>
                  <w:r>
                    <w:rPr>
                      <w:b/>
                      <w:bCs/>
                    </w:rPr>
                    <mc:AlternateContent>
                      <mc:Choice Requires="wps">
                        <w:drawing>
                          <wp:anchor distT="0" distB="0" distL="114300" distR="114300" simplePos="0" relativeHeight="251659264" behindDoc="0" locked="0" layoutInCell="1" allowOverlap="1">
                            <wp:simplePos x="0" y="0"/>
                            <wp:positionH relativeFrom="column">
                              <wp:posOffset>1200785</wp:posOffset>
                            </wp:positionH>
                            <wp:positionV relativeFrom="paragraph">
                              <wp:posOffset>99060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32FE01C">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55pt;margin-top:7.8pt;height:24.05pt;width:76.4pt;z-index:251659264;mso-width-relative:page;mso-height-relative:page;" fillcolor="#FFFFFF [3201]" filled="t" stroked="f" coordsize="21600,21600" o:gfxdata="UEsDBAoAAAAAAIdO4kAAAAAAAAAAAAAAAAAEAAAAZHJzL1BLAwQUAAAACACHTuJAv2lhrtUAAAAJ&#10;AQAADwAAAGRycy9kb3ducmV2LnhtbE2PTU/DMAyG70j8h8hI3FgatpWtNN0BiSsS29g5a0xT0ThV&#10;kn3+esyJ3fzKj14/rldnP4gjxtQH0qAmBQikNtieOg3bzfvTAkTKhqwZAqGGCyZYNfd3talsONEn&#10;Hte5E1xCqTIaXM5jJWVqHXqTJmFE4t13iN5kjrGTNpoTl/tBPhdFKb3piS84M+Kbw/ZnffAadp2/&#10;7r7UGJ31w4w+rpfNNvRaPz6o4hVExnP+h+FPn9WhYad9OJBNYuC8WCpGeZiXIBiYztQSxF5DOX0B&#10;2dTy9oPmF1BLAwQUAAAACACHTuJA3E0S5FwCAACaBAAADgAAAGRycy9lMm9Eb2MueG1srVTNbtsw&#10;DL4P2DsIuq92/po0iFNkLTIMKNYC3bCzIsuxAEnUJCV29wDbG/S0y+57rj7HKNlps26HHpaDQ4mf&#10;P5IfSS/OW63IXjgvwRR0cJJTIgyHUpptQT99XL+ZUeIDMyVTYERB74Sn58vXrxaNnYsh1KBK4QiS&#10;GD9vbEHrEOw8yzyvhWb+BKww6KzAaRbw6LZZ6ViD7Fplwzw/zRpwpXXAhfd4e9k5ac/oXkIIVSW5&#10;uAS+08KEjtUJxQKW5GtpPV2mbKtK8HBdVV4EogqKlYb0xCBob+IzWy7YfOuYrSXvU2AvSeFZTZpJ&#10;g0EfqS5ZYGTn5F9UWnIHHqpwwkFnXSFJEaxikD/T5rZmVqRaUGpvH0X3/4+Wf9jfOCLLgk4oMUxj&#10;wx/uvz/8+PXw8xuZRHka6+eIurWIC+1baHFoDvceL2PVbeV0/Md6SPSfTkfDIRLeFXQ8HU1mo15o&#10;0QbCEXA2zYczbAFHwCifjEcpUvZEZJ0P7wRoEo2COuxjkpftr3zApBB6gMS4HpQs11KpdHDbzYVy&#10;ZM+w5+v0i/niK3/AlCFNQU9HkzwxG4jvdzhlEB7r7uqLVmg3bS/GBso71MJBN0ze8rXELK+YDzfM&#10;4fRgYbhf4RoflQIMAr1FSQ3u67/uIx6bil5KGpzGgvovO+YEJeq9wXafDcbjOL7pMJ5Mh3hwx57N&#10;scfs9AVg8QPcZMuTGfFBHczKgf6Ma7iKUdHFDMfYBQ0H8yJ0O4JrzMVqlUA4sJaFK3NreaSOUhtY&#10;7QJUMrUkytRp06uHI5tk79cr7sTxOaGePin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9pYa7V&#10;AAAACQEAAA8AAAAAAAAAAQAgAAAAIgAAAGRycy9kb3ducmV2LnhtbFBLAQIUABQAAAAIAIdO4kDc&#10;TRLkXAIAAJoEAAAOAAAAAAAAAAEAIAAAACQBAABkcnMvZTJvRG9jLnhtbFBLBQYAAAAABgAGAFkB&#10;AADyBQAAAAA=&#10;">
                            <v:fill on="t" focussize="0,0"/>
                            <v:stroke on="f" weight="0.5pt"/>
                            <v:imagedata o:title=""/>
                            <o:lock v:ext="edit" aspectratio="f"/>
                            <v:textbox>
                              <w:txbxContent>
                                <w:p w14:paraId="332FE01C">
                                  <w:r>
                                    <w:rPr>
                                      <w:rFonts w:hint="eastAsia"/>
                                      <w:b/>
                                      <w:bCs/>
                                    </w:rPr>
                                    <w:t>服务费率类</w:t>
                                  </w:r>
                                  <w:r>
                                    <w:rPr>
                                      <w:rFonts w:hint="eastAsia"/>
                                    </w:rPr>
                                    <w:t>型</w:t>
                                  </w:r>
                                </w:p>
                              </w:txbxContent>
                            </v:textbox>
                          </v:shape>
                        </w:pict>
                      </mc:Fallback>
                    </mc:AlternateContent>
                  </w:r>
                </w:p>
                <w:p w14:paraId="56098C0B">
                  <w:pPr>
                    <w:widowControl/>
                    <w:snapToGrid w:val="0"/>
                    <w:spacing w:line="440" w:lineRule="exact"/>
                    <w:jc w:val="center"/>
                    <w:rPr>
                      <w:rFonts w:hint="eastAsia" w:ascii="宋体" w:hAnsi="宋体" w:cs="宋体"/>
                      <w:b/>
                      <w:bCs/>
                      <w:kern w:val="0"/>
                      <w:szCs w:val="21"/>
                    </w:rPr>
                  </w:pPr>
                  <w:r>
                    <w:rPr>
                      <w:b/>
                      <w:bCs/>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218440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E543F6A">
                                        <w:pPr>
                                          <w:rPr>
                                            <w:b/>
                                            <w:bCs/>
                                          </w:rPr>
                                        </w:pPr>
                                        <w:r>
                                          <w:rPr>
                                            <w:rFonts w:hint="eastAsia"/>
                                            <w:b/>
                                            <w:bCs/>
                                            <w:lang w:val="en-US" w:eastAsia="zh-CN"/>
                                          </w:rPr>
                                          <w:t>成交</w:t>
                                        </w:r>
                                        <w:r>
                                          <w:rPr>
                                            <w:rFonts w:hint="eastAsia"/>
                                            <w:b/>
                                            <w:bCs/>
                                          </w:rPr>
                                          <w:t>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17.2pt;height:22.5pt;width:66.65pt;z-index:251660288;mso-width-relative:page;mso-height-relative:page;" fillcolor="#FFFFFF [3201]" filled="t" stroked="f" coordsize="21600,21600" o:gfxdata="UEsDBAoAAAAAAIdO4kAAAAAAAAAAAAAAAAAEAAAAZHJzL1BLAwQUAAAACACHTuJAlhVd9dMAAAAI&#10;AQAADwAAAGRycy9kb3ducmV2LnhtbE2Py07DMBBF90j8gzVI7KgTEh4NmXSBxBaJtnTtxtM4wh5H&#10;tvv8etwVLEf36twz7eLkrDhQiKNnhHJWgCDuvR55QFivPh5eQcSkWCvrmRDOFGHR3d60qtH+yF90&#10;WKZBZAjHRiGYlKZGytgbcirO/EScs50PTqV8hkHqoI4Z7qx8LIpn6dTIecGoid4N9T/LvUPYDO6y&#10;+S6nYLSzNX9ezqu1HxHv78riDUSiU/orw1U/q0OXnbZ+zzoKi5DpuYlQ1TWIa/5UVSC2CC/zGmTX&#10;yv8PdL9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YVXfX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1E543F6A">
                                  <w:pPr>
                                    <w:rPr>
                                      <w:b/>
                                      <w:bCs/>
                                    </w:rPr>
                                  </w:pPr>
                                  <w:r>
                                    <w:rPr>
                                      <w:rFonts w:hint="eastAsia"/>
                                      <w:b/>
                                      <w:bCs/>
                                      <w:lang w:val="en-US" w:eastAsia="zh-CN"/>
                                    </w:rPr>
                                    <w:t>成交</w:t>
                                  </w:r>
                                  <w:r>
                                    <w:rPr>
                                      <w:rFonts w:hint="eastAsia"/>
                                      <w:b/>
                                      <w:bCs/>
                                    </w:rPr>
                                    <w:t>金额</w:t>
                                  </w:r>
                                </w:p>
                              </w:txbxContent>
                            </v:textbox>
                          </v:shape>
                        </w:pict>
                      </mc:Fallback>
                    </mc:AlternateContent>
                  </w:r>
                </w:p>
              </w:tc>
              <w:tc>
                <w:tcPr>
                  <w:tcW w:w="1738" w:type="dxa"/>
                  <w:vAlign w:val="center"/>
                </w:tcPr>
                <w:p w14:paraId="474E5C36">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货物招标</w:t>
                  </w:r>
                </w:p>
              </w:tc>
              <w:tc>
                <w:tcPr>
                  <w:tcW w:w="1690" w:type="dxa"/>
                  <w:vAlign w:val="center"/>
                </w:tcPr>
                <w:p w14:paraId="243451C5">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服务招标</w:t>
                  </w:r>
                </w:p>
              </w:tc>
              <w:tc>
                <w:tcPr>
                  <w:tcW w:w="1495" w:type="dxa"/>
                  <w:vAlign w:val="center"/>
                </w:tcPr>
                <w:p w14:paraId="0631B75B">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工程招标</w:t>
                  </w:r>
                </w:p>
              </w:tc>
            </w:tr>
            <w:tr w14:paraId="234B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3956" w:type="dxa"/>
                  <w:vAlign w:val="center"/>
                </w:tcPr>
                <w:p w14:paraId="75249740">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100万元以下</w:t>
                  </w:r>
                </w:p>
              </w:tc>
              <w:tc>
                <w:tcPr>
                  <w:tcW w:w="1738" w:type="dxa"/>
                  <w:vAlign w:val="center"/>
                </w:tcPr>
                <w:p w14:paraId="17CB70A8">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690" w:type="dxa"/>
                  <w:vAlign w:val="center"/>
                </w:tcPr>
                <w:p w14:paraId="72ADA0FD">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495" w:type="dxa"/>
                  <w:vAlign w:val="center"/>
                </w:tcPr>
                <w:p w14:paraId="0A060073">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w:t>
                  </w:r>
                </w:p>
              </w:tc>
            </w:tr>
          </w:tbl>
          <w:p w14:paraId="35374A7D">
            <w:pPr>
              <w:widowControl/>
              <w:snapToGrid w:val="0"/>
              <w:spacing w:line="440" w:lineRule="exact"/>
              <w:jc w:val="left"/>
              <w:rPr>
                <w:rFonts w:hint="eastAsia" w:ascii="宋体" w:hAnsi="宋体" w:cs="宋体"/>
                <w:kern w:val="0"/>
                <w:szCs w:val="21"/>
              </w:rPr>
            </w:pPr>
          </w:p>
        </w:tc>
      </w:tr>
      <w:tr w14:paraId="53087BF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A5FF32">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7D22DF">
            <w:pPr>
              <w:widowControl/>
              <w:spacing w:line="440" w:lineRule="exact"/>
              <w:jc w:val="left"/>
              <w:rPr>
                <w:rFonts w:hint="eastAsia" w:ascii="宋体" w:hAnsi="宋体" w:cs="宋体"/>
                <w:kern w:val="0"/>
                <w:szCs w:val="21"/>
              </w:rPr>
            </w:pPr>
            <w:r>
              <w:rPr>
                <w:rFonts w:hint="eastAsia" w:ascii="宋体" w:hAnsi="宋体" w:cs="宋体"/>
                <w:kern w:val="0"/>
                <w:szCs w:val="21"/>
              </w:rPr>
              <w:t>现场踏勘或标前答疑：本项目不组织现场踏勘或标前答疑会。</w:t>
            </w:r>
          </w:p>
        </w:tc>
      </w:tr>
      <w:tr w14:paraId="591FFE1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845B39">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483D4A">
            <w:pPr>
              <w:widowControl/>
              <w:snapToGrid w:val="0"/>
              <w:spacing w:line="440" w:lineRule="exact"/>
              <w:jc w:val="left"/>
              <w:rPr>
                <w:rFonts w:hint="eastAsia" w:ascii="宋体" w:hAnsi="宋体" w:cs="宋体"/>
              </w:rPr>
            </w:pPr>
            <w:r>
              <w:rPr>
                <w:rFonts w:hint="eastAsia" w:ascii="宋体" w:hAnsi="宋体" w:cs="宋体"/>
              </w:rPr>
              <w:t>响应文件组成：纸质响应文件正本1份、副本2份。</w:t>
            </w:r>
          </w:p>
        </w:tc>
      </w:tr>
      <w:tr w14:paraId="4DF0A47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41D8599">
            <w:pPr>
              <w:widowControl/>
              <w:snapToGrid w:val="0"/>
              <w:jc w:val="center"/>
              <w:rPr>
                <w:rFonts w:hint="eastAsia"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61FBF0">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磋商截止时间及开标时间：</w:t>
            </w:r>
            <w:r>
              <w:rPr>
                <w:rFonts w:hint="eastAsia" w:ascii="宋体" w:hAnsi="宋体" w:cs="宋体"/>
                <w:szCs w:val="21"/>
              </w:rPr>
              <w:t>另行通知</w:t>
            </w:r>
          </w:p>
          <w:p w14:paraId="060B0C05">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响应文件递交地点及开标地点：</w:t>
            </w:r>
            <w:r>
              <w:rPr>
                <w:rFonts w:hint="eastAsia" w:ascii="宋体" w:hAnsi="宋体" w:cs="宋体"/>
                <w:szCs w:val="21"/>
              </w:rPr>
              <w:t>另行通知</w:t>
            </w:r>
            <w:r>
              <w:rPr>
                <w:rFonts w:hint="eastAsia" w:ascii="宋体" w:hAnsi="宋体" w:cs="宋体"/>
                <w:kern w:val="0"/>
                <w:szCs w:val="21"/>
              </w:rPr>
              <w:t>。</w:t>
            </w:r>
          </w:p>
        </w:tc>
      </w:tr>
      <w:tr w14:paraId="3EE2EAF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342617C">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4273E38">
            <w:pPr>
              <w:spacing w:line="440" w:lineRule="exact"/>
              <w:rPr>
                <w:rFonts w:hint="eastAsia" w:ascii="宋体" w:hAnsi="宋体" w:cs="宋体"/>
                <w:szCs w:val="21"/>
              </w:rPr>
            </w:pPr>
            <w:r>
              <w:rPr>
                <w:rFonts w:hint="eastAsia" w:ascii="宋体" w:hAnsi="宋体" w:cs="宋体"/>
                <w:szCs w:val="21"/>
              </w:rPr>
              <w:t>磋商小组成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14:paraId="508AD065">
            <w:pPr>
              <w:widowControl/>
              <w:spacing w:line="460" w:lineRule="atLeast"/>
              <w:rPr>
                <w:rFonts w:hint="eastAsia" w:ascii="宋体" w:hAnsi="宋体" w:cs="宋体"/>
                <w:kern w:val="0"/>
                <w:szCs w:val="21"/>
              </w:rPr>
            </w:pPr>
            <w:r>
              <w:rPr>
                <w:rFonts w:hint="eastAsia" w:ascii="宋体" w:hAnsi="宋体" w:cs="宋体"/>
                <w:szCs w:val="21"/>
              </w:rPr>
              <w:t>专家确定</w:t>
            </w:r>
            <w:r>
              <w:rPr>
                <w:rFonts w:hint="eastAsia" w:ascii="宋体" w:hAnsi="宋体" w:cs="宋体"/>
                <w:kern w:val="0"/>
                <w:szCs w:val="21"/>
              </w:rPr>
              <w:t>方式：由评审专家、采购人代表组成</w:t>
            </w:r>
          </w:p>
        </w:tc>
      </w:tr>
      <w:tr w14:paraId="79FED84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EC2CE3">
            <w:pPr>
              <w:widowControl/>
              <w:jc w:val="center"/>
              <w:rPr>
                <w:rFonts w:hint="eastAsia"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364505">
            <w:pPr>
              <w:rPr>
                <w:rFonts w:hint="eastAsia"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14:paraId="157E2FE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C5BCE2">
            <w:pPr>
              <w:widowControl/>
              <w:spacing w:line="460" w:lineRule="atLeast"/>
              <w:jc w:val="center"/>
              <w:rPr>
                <w:rFonts w:hint="eastAsia"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26CD28B">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113E8CC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332DC6F">
            <w:pPr>
              <w:widowControl/>
              <w:spacing w:line="460" w:lineRule="atLeast"/>
              <w:jc w:val="center"/>
              <w:rPr>
                <w:rFonts w:hint="eastAsia"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42E8AC8">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签订合同：自成交通知书发出之日起30日内。</w:t>
            </w:r>
          </w:p>
        </w:tc>
      </w:tr>
      <w:tr w14:paraId="77471C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A73A12">
            <w:pPr>
              <w:widowControl/>
              <w:spacing w:line="460" w:lineRule="atLeast"/>
              <w:jc w:val="center"/>
              <w:rPr>
                <w:rFonts w:hint="eastAsia" w:ascii="宋体" w:hAnsi="宋体" w:cs="宋体"/>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5D957D8">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采购资金来源：自筹资金。</w:t>
            </w:r>
          </w:p>
        </w:tc>
      </w:tr>
      <w:tr w14:paraId="79FC3B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DB27C0D">
            <w:pPr>
              <w:widowControl/>
              <w:spacing w:line="460" w:lineRule="atLeast"/>
              <w:jc w:val="center"/>
              <w:rPr>
                <w:rFonts w:hint="eastAsia"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1F40EFF">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付款方式：详见第二章采购需求。</w:t>
            </w:r>
          </w:p>
        </w:tc>
      </w:tr>
      <w:tr w14:paraId="36C0C88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7120130">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32FFE44">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响应文件有效期：响应文件递交截止期结束后60日。成交供应商的响应文件是合同的组成部分,有效期至合同完全履行止。 </w:t>
            </w:r>
          </w:p>
        </w:tc>
      </w:tr>
      <w:tr w14:paraId="2859899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AF4BFF4">
            <w:pPr>
              <w:widowControl/>
              <w:spacing w:line="460" w:lineRule="atLeast"/>
              <w:jc w:val="center"/>
              <w:rPr>
                <w:rFonts w:hint="eastAsia"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78819E6">
            <w:pPr>
              <w:widowControl/>
              <w:spacing w:line="440" w:lineRule="exact"/>
              <w:jc w:val="left"/>
              <w:textAlignment w:val="bottom"/>
              <w:rPr>
                <w:rFonts w:hint="eastAsia"/>
                <w:szCs w:val="21"/>
              </w:rPr>
            </w:pPr>
            <w:r>
              <w:rPr>
                <w:rFonts w:hint="eastAsia" w:ascii="宋体" w:hAnsi="宋体" w:eastAsia="宋体" w:cs="宋体"/>
                <w:kern w:val="0"/>
                <w:szCs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603F820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105FC0A">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3EE1D8">
            <w:pPr>
              <w:spacing w:line="360" w:lineRule="auto"/>
              <w:rPr>
                <w:rFonts w:hint="eastAsia" w:ascii="宋体" w:hAnsi="宋体" w:cs="宋体"/>
                <w:kern w:val="0"/>
                <w:szCs w:val="21"/>
              </w:rPr>
            </w:pPr>
            <w:r>
              <w:rPr>
                <w:rFonts w:hint="eastAsia" w:ascii="宋体" w:hAnsi="宋体" w:cs="宋体"/>
                <w:bCs/>
                <w:kern w:val="0"/>
                <w:szCs w:val="21"/>
              </w:rPr>
              <w:t>质疑和投诉：供应商认为竞争性磋商文件使自己的合法权益受到损害的，</w:t>
            </w:r>
            <w:r>
              <w:rPr>
                <w:rFonts w:hint="eastAsia" w:ascii="宋体" w:hAnsi="宋体" w:cs="宋体"/>
                <w:kern w:val="0"/>
                <w:szCs w:val="21"/>
              </w:rPr>
              <w:t>应当在采购公告期限届满之日(或收到竞争性磋商文件之日)起3个工作日之内向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tc>
      </w:tr>
      <w:tr w14:paraId="5399FEC2">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6A605AD">
            <w:pPr>
              <w:widowControl/>
              <w:spacing w:line="460" w:lineRule="atLeast"/>
              <w:jc w:val="center"/>
              <w:rPr>
                <w:rFonts w:hint="eastAsia"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4F4535">
            <w:pPr>
              <w:widowControl/>
              <w:spacing w:line="360" w:lineRule="auto"/>
              <w:jc w:val="left"/>
              <w:textAlignment w:val="bottom"/>
              <w:rPr>
                <w:rFonts w:hint="eastAsia" w:ascii="宋体" w:hAnsi="宋体" w:cs="宋体"/>
              </w:rPr>
            </w:pPr>
            <w:r>
              <w:rPr>
                <w:rFonts w:hint="eastAsia" w:ascii="宋体" w:hAnsi="宋体" w:cs="宋体"/>
              </w:rPr>
              <w:t>解释：1、构成本竞争性磋商文件的各个组成文件应互为解释，互为说明；如有不明确或不一致，构成合同文件组成内容的，以合同文件约定内容为准；除竞争性磋商文件中有特殊规定外，仅适用于招标投标阶段的规定，按采购公告、供应商须知、评标办法、响应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71771C3C">
            <w:pPr>
              <w:widowControl/>
              <w:spacing w:line="360" w:lineRule="auto"/>
              <w:jc w:val="left"/>
              <w:textAlignment w:val="bottom"/>
              <w:rPr>
                <w:rFonts w:hint="eastAsia" w:ascii="宋体" w:hAnsi="宋体" w:cs="宋体"/>
                <w:kern w:val="0"/>
                <w:szCs w:val="21"/>
              </w:rPr>
            </w:pPr>
            <w:r>
              <w:rPr>
                <w:rFonts w:hint="eastAsia" w:ascii="宋体" w:hAnsi="宋体" w:cs="宋体"/>
              </w:rPr>
              <w:t>2、本竞争性磋商文件解释权归采购人。</w:t>
            </w:r>
          </w:p>
        </w:tc>
      </w:tr>
    </w:tbl>
    <w:p w14:paraId="0A1EDBB1">
      <w:pPr>
        <w:rPr>
          <w:rFonts w:hint="eastAsia" w:ascii="宋体" w:hAnsi="宋体" w:cs="宋体"/>
        </w:rPr>
      </w:pPr>
    </w:p>
    <w:p w14:paraId="67668F1C">
      <w:pPr>
        <w:snapToGrid w:val="0"/>
        <w:spacing w:line="360" w:lineRule="auto"/>
        <w:jc w:val="center"/>
        <w:outlineLvl w:val="1"/>
        <w:rPr>
          <w:rFonts w:hint="eastAsia" w:ascii="宋体" w:hAnsi="宋体" w:cs="宋体"/>
          <w:kern w:val="0"/>
          <w:sz w:val="24"/>
        </w:rPr>
      </w:pPr>
      <w:bookmarkStart w:id="54" w:name="_Toc8594"/>
      <w:bookmarkStart w:id="55" w:name="_Toc4700"/>
      <w:bookmarkStart w:id="56" w:name="_Toc16669"/>
      <w:r>
        <w:rPr>
          <w:rFonts w:hint="eastAsia" w:ascii="宋体" w:hAnsi="宋体" w:cs="宋体"/>
          <w:b/>
          <w:bCs/>
          <w:kern w:val="0"/>
          <w:sz w:val="28"/>
          <w:szCs w:val="28"/>
        </w:rPr>
        <w:t>一 、说 明</w:t>
      </w:r>
    </w:p>
    <w:p w14:paraId="79653B0F">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1.适用范围</w:t>
      </w:r>
    </w:p>
    <w:p w14:paraId="233207E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本竞争性磋商文件仅适用于采购公告中所叙述项目的服务采购。</w:t>
      </w:r>
    </w:p>
    <w:p w14:paraId="2CED8E7A">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2.定义</w:t>
      </w:r>
    </w:p>
    <w:p w14:paraId="5D55BEA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2.1“采购人”系指驻马店市中心医院。</w:t>
      </w:r>
    </w:p>
    <w:p w14:paraId="7BEFB7B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2.2“供应商”系指领取了本竞争性磋商文件，且已经提交本次响应文件的供应商。</w:t>
      </w:r>
    </w:p>
    <w:p w14:paraId="245C454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57AAC8A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2.4“服务”系指供应商按竞争性磋商文件规定向采购人提供的一切工作内容。</w:t>
      </w:r>
    </w:p>
    <w:p w14:paraId="0B744F9B">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3.采购预算</w:t>
      </w:r>
      <w:r>
        <w:rPr>
          <w:rFonts w:hint="eastAsia" w:ascii="宋体" w:hAnsi="宋体" w:cs="宋体"/>
          <w:b/>
          <w:bCs/>
          <w:kern w:val="0"/>
          <w:szCs w:val="21"/>
          <w:lang w:eastAsia="zh-CN"/>
        </w:rPr>
        <w:t>（</w:t>
      </w:r>
      <w:r>
        <w:rPr>
          <w:rFonts w:hint="eastAsia" w:ascii="宋体" w:hAnsi="宋体" w:cs="宋体"/>
          <w:b/>
          <w:bCs/>
          <w:kern w:val="0"/>
          <w:szCs w:val="21"/>
          <w:lang w:val="en-US" w:eastAsia="zh-CN"/>
        </w:rPr>
        <w:t>最高限价</w:t>
      </w:r>
      <w:r>
        <w:rPr>
          <w:rFonts w:hint="eastAsia" w:ascii="宋体" w:hAnsi="宋体" w:cs="宋体"/>
          <w:b/>
          <w:bCs/>
          <w:kern w:val="0"/>
          <w:szCs w:val="21"/>
          <w:lang w:eastAsia="zh-CN"/>
        </w:rPr>
        <w:t>）</w:t>
      </w:r>
      <w:r>
        <w:rPr>
          <w:rFonts w:hint="eastAsia" w:ascii="宋体" w:hAnsi="宋体" w:cs="宋体"/>
          <w:b/>
          <w:bCs/>
          <w:kern w:val="0"/>
          <w:szCs w:val="21"/>
        </w:rPr>
        <w:t>：</w:t>
      </w:r>
      <w:r>
        <w:rPr>
          <w:rFonts w:hint="eastAsia" w:ascii="宋体" w:hAnsi="宋体" w:cs="宋体"/>
          <w:b/>
          <w:bCs/>
          <w:kern w:val="0"/>
          <w:szCs w:val="21"/>
          <w:lang w:val="en-US" w:eastAsia="zh-CN"/>
        </w:rPr>
        <w:t>48</w:t>
      </w:r>
      <w:r>
        <w:rPr>
          <w:rFonts w:hint="eastAsia" w:ascii="宋体" w:hAnsi="宋体" w:cs="宋体"/>
          <w:b/>
          <w:bCs/>
          <w:kern w:val="0"/>
          <w:szCs w:val="21"/>
        </w:rPr>
        <w:t>万元。</w:t>
      </w:r>
    </w:p>
    <w:p w14:paraId="5C9B1E7F">
      <w:pPr>
        <w:snapToGrid w:val="0"/>
        <w:spacing w:line="360" w:lineRule="auto"/>
        <w:ind w:firstLine="420"/>
        <w:jc w:val="left"/>
        <w:rPr>
          <w:rFonts w:hint="eastAsia" w:ascii="宋体" w:hAnsi="宋体" w:cs="宋体"/>
          <w:szCs w:val="21"/>
        </w:rPr>
      </w:pPr>
      <w:r>
        <w:rPr>
          <w:rFonts w:hint="eastAsia" w:ascii="宋体" w:hAnsi="宋体" w:cs="宋体"/>
          <w:b/>
          <w:bCs/>
          <w:kern w:val="0"/>
          <w:szCs w:val="21"/>
        </w:rPr>
        <w:t>4.供应商应提交的证明文件</w:t>
      </w:r>
    </w:p>
    <w:p w14:paraId="7DD9094A">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517F58C7">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785EE3F4">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2C27C79A">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79E7F48E">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4.5、参加本采购活动前三年内，在经营活动中没有重大违法记录（提供书面承诺函）；</w:t>
      </w:r>
    </w:p>
    <w:p w14:paraId="0FB18774">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7089A2A">
      <w:pPr>
        <w:widowControl/>
        <w:tabs>
          <w:tab w:val="left" w:pos="840"/>
        </w:tabs>
        <w:snapToGrid w:val="0"/>
        <w:spacing w:line="324" w:lineRule="auto"/>
        <w:ind w:firstLine="420" w:firstLineChars="200"/>
        <w:jc w:val="left"/>
      </w:pPr>
      <w:r>
        <w:rPr>
          <w:rFonts w:hint="eastAsia" w:ascii="宋体" w:hAnsi="宋体" w:cs="宋体"/>
          <w:szCs w:val="21"/>
          <w:shd w:val="clear" w:color="auto" w:fill="FFFFFF"/>
        </w:rPr>
        <w:t>4.7、单位负责人为同一人或者存在直接控股、管理关系的不同供应商，不得参加同一合同项下的磋商（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w:t>
      </w:r>
    </w:p>
    <w:p w14:paraId="726D2FE4">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5.</w:t>
      </w:r>
      <w:r>
        <w:rPr>
          <w:rFonts w:hint="eastAsia" w:ascii="宋体" w:hAnsi="宋体" w:cs="宋体"/>
          <w:b/>
          <w:bCs/>
          <w:kern w:val="0"/>
          <w:szCs w:val="21"/>
          <w:lang w:val="en-US" w:eastAsia="zh-CN"/>
        </w:rPr>
        <w:t>磋商</w:t>
      </w:r>
      <w:r>
        <w:rPr>
          <w:rFonts w:hint="eastAsia" w:ascii="宋体" w:hAnsi="宋体" w:cs="宋体"/>
          <w:b/>
          <w:bCs/>
          <w:kern w:val="0"/>
          <w:szCs w:val="21"/>
        </w:rPr>
        <w:t>费用</w:t>
      </w:r>
    </w:p>
    <w:p w14:paraId="5FF11D55">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不论</w:t>
      </w:r>
      <w:r>
        <w:rPr>
          <w:rFonts w:hint="eastAsia" w:ascii="宋体" w:hAnsi="宋体" w:cs="宋体"/>
          <w:kern w:val="0"/>
          <w:szCs w:val="21"/>
          <w:lang w:val="en-US" w:eastAsia="zh-CN"/>
        </w:rPr>
        <w:t>磋商</w:t>
      </w:r>
      <w:r>
        <w:rPr>
          <w:rFonts w:hint="eastAsia" w:ascii="宋体" w:hAnsi="宋体" w:cs="宋体"/>
          <w:kern w:val="0"/>
          <w:szCs w:val="21"/>
        </w:rPr>
        <w:t>结果如何，供应商均应自行承担所有与</w:t>
      </w:r>
      <w:r>
        <w:rPr>
          <w:rFonts w:hint="eastAsia" w:ascii="宋体" w:hAnsi="宋体" w:cs="宋体"/>
          <w:kern w:val="0"/>
          <w:szCs w:val="21"/>
          <w:lang w:val="en-US" w:eastAsia="zh-CN"/>
        </w:rPr>
        <w:t>磋商</w:t>
      </w:r>
      <w:r>
        <w:rPr>
          <w:rFonts w:hint="eastAsia" w:ascii="宋体" w:hAnsi="宋体" w:cs="宋体"/>
          <w:kern w:val="0"/>
          <w:szCs w:val="21"/>
        </w:rPr>
        <w:t>有关的全部费用。</w:t>
      </w:r>
    </w:p>
    <w:p w14:paraId="12D3D1AC">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6.联合体</w:t>
      </w:r>
      <w:r>
        <w:rPr>
          <w:rFonts w:hint="eastAsia" w:ascii="宋体" w:hAnsi="宋体" w:cs="宋体"/>
          <w:b/>
          <w:bCs/>
          <w:kern w:val="0"/>
          <w:szCs w:val="21"/>
          <w:lang w:val="en-US" w:eastAsia="zh-CN"/>
        </w:rPr>
        <w:t>磋商</w:t>
      </w:r>
      <w:r>
        <w:rPr>
          <w:rFonts w:hint="eastAsia" w:ascii="宋体" w:hAnsi="宋体" w:cs="宋体"/>
          <w:b/>
          <w:bCs/>
          <w:kern w:val="0"/>
          <w:szCs w:val="21"/>
        </w:rPr>
        <w:t>：本项目不接受联合体</w:t>
      </w:r>
      <w:r>
        <w:rPr>
          <w:rFonts w:hint="eastAsia" w:ascii="宋体" w:hAnsi="宋体" w:cs="宋体"/>
          <w:b/>
          <w:bCs/>
          <w:kern w:val="0"/>
          <w:szCs w:val="21"/>
          <w:lang w:val="en-US" w:eastAsia="zh-CN"/>
        </w:rPr>
        <w:t>磋商</w:t>
      </w:r>
      <w:r>
        <w:rPr>
          <w:rFonts w:hint="eastAsia" w:ascii="宋体" w:hAnsi="宋体" w:cs="宋体"/>
          <w:b/>
          <w:bCs/>
          <w:kern w:val="0"/>
          <w:szCs w:val="21"/>
        </w:rPr>
        <w:t>。</w:t>
      </w:r>
    </w:p>
    <w:p w14:paraId="75B66909">
      <w:pPr>
        <w:snapToGrid w:val="0"/>
        <w:spacing w:line="360" w:lineRule="auto"/>
        <w:ind w:firstLine="420"/>
        <w:jc w:val="left"/>
        <w:rPr>
          <w:rFonts w:hint="eastAsia" w:ascii="宋体" w:hAnsi="宋体" w:eastAsia="宋体" w:cs="宋体"/>
          <w:kern w:val="0"/>
          <w:szCs w:val="21"/>
          <w:lang w:eastAsia="zh-CN"/>
        </w:rPr>
      </w:pPr>
      <w:r>
        <w:rPr>
          <w:rFonts w:hint="eastAsia" w:ascii="宋体" w:hAnsi="宋体" w:cs="宋体"/>
          <w:b/>
          <w:bCs/>
          <w:kern w:val="0"/>
          <w:szCs w:val="21"/>
        </w:rPr>
        <w:t>7.关联企业</w:t>
      </w:r>
      <w:r>
        <w:rPr>
          <w:rFonts w:hint="eastAsia" w:ascii="宋体" w:hAnsi="宋体" w:cs="宋体"/>
          <w:b/>
          <w:bCs/>
          <w:kern w:val="0"/>
          <w:szCs w:val="21"/>
          <w:lang w:val="en-US" w:eastAsia="zh-CN"/>
        </w:rPr>
        <w:t>磋商</w:t>
      </w:r>
    </w:p>
    <w:p w14:paraId="7B49DD06">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7.1 本竞争性磋商文件所称关联企业,是指存在关联关系的企业。“关联关系”的界定适用《中华人民共和国公司法》第二百一十六条、《中华人民共和国政府采购法实施条例》第十八条之规定。</w:t>
      </w:r>
    </w:p>
    <w:p w14:paraId="18F98678">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w:t>
      </w:r>
      <w:r>
        <w:rPr>
          <w:rFonts w:hint="eastAsia" w:ascii="宋体" w:hAnsi="宋体" w:cs="宋体"/>
          <w:kern w:val="0"/>
          <w:szCs w:val="21"/>
          <w:lang w:val="en-US" w:eastAsia="zh-CN"/>
        </w:rPr>
        <w:t>磋商</w:t>
      </w:r>
      <w:r>
        <w:rPr>
          <w:rFonts w:hint="eastAsia" w:ascii="宋体" w:hAnsi="宋体" w:cs="宋体"/>
          <w:kern w:val="0"/>
          <w:szCs w:val="21"/>
        </w:rPr>
        <w:t>。单位负责人为同一人或者存在直接控股、管理关系的不同供应商，不得参加同一合同项下的</w:t>
      </w:r>
      <w:r>
        <w:rPr>
          <w:rFonts w:hint="eastAsia" w:ascii="宋体" w:hAnsi="宋体" w:cs="宋体"/>
          <w:kern w:val="0"/>
          <w:szCs w:val="21"/>
          <w:lang w:val="en-US" w:eastAsia="zh-CN"/>
        </w:rPr>
        <w:t>磋商</w:t>
      </w:r>
      <w:r>
        <w:rPr>
          <w:rFonts w:hint="eastAsia" w:ascii="宋体" w:hAnsi="宋体" w:cs="宋体"/>
          <w:kern w:val="0"/>
          <w:szCs w:val="21"/>
        </w:rPr>
        <w:t>。一经发现，将导致</w:t>
      </w:r>
      <w:r>
        <w:rPr>
          <w:rFonts w:hint="eastAsia" w:ascii="宋体" w:hAnsi="宋体" w:cs="宋体"/>
          <w:kern w:val="0"/>
          <w:szCs w:val="21"/>
          <w:lang w:val="en-US" w:eastAsia="zh-CN"/>
        </w:rPr>
        <w:t>磋商</w:t>
      </w:r>
      <w:r>
        <w:rPr>
          <w:rFonts w:hint="eastAsia" w:ascii="宋体" w:hAnsi="宋体" w:cs="宋体"/>
          <w:kern w:val="0"/>
          <w:szCs w:val="21"/>
        </w:rPr>
        <w:t>同时被拒绝。</w:t>
      </w:r>
    </w:p>
    <w:p w14:paraId="32FCE637">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8.转包与分包</w:t>
      </w:r>
    </w:p>
    <w:p w14:paraId="7CEEF987">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8.1本项目不允许采取转包方式履行合同。</w:t>
      </w:r>
    </w:p>
    <w:p w14:paraId="2C71CDEC">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8.2本项目不允许采取分包方式履行合同。</w:t>
      </w:r>
    </w:p>
    <w:p w14:paraId="583CFF9F">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9.特别说明：</w:t>
      </w:r>
    </w:p>
    <w:p w14:paraId="0FD7D3EA">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9.1 供应商</w:t>
      </w:r>
      <w:r>
        <w:rPr>
          <w:rFonts w:hint="eastAsia" w:ascii="宋体" w:hAnsi="宋体" w:cs="宋体"/>
          <w:kern w:val="0"/>
          <w:szCs w:val="21"/>
          <w:lang w:val="en-US" w:eastAsia="zh-CN"/>
        </w:rPr>
        <w:t>磋商</w:t>
      </w:r>
      <w:r>
        <w:rPr>
          <w:rFonts w:hint="eastAsia" w:ascii="宋体" w:hAnsi="宋体" w:cs="宋体"/>
          <w:kern w:val="0"/>
          <w:szCs w:val="21"/>
        </w:rPr>
        <w:t>所使用的资格、信誉、荣誉、业绩与企业认证必须为本法人所拥有。  </w:t>
      </w:r>
    </w:p>
    <w:p w14:paraId="7763FDF4">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9.2 供应商代表只能接受一个供应商的委托参加</w:t>
      </w:r>
      <w:r>
        <w:rPr>
          <w:rFonts w:hint="eastAsia" w:ascii="宋体" w:hAnsi="宋体" w:cs="宋体"/>
          <w:kern w:val="0"/>
          <w:szCs w:val="21"/>
          <w:lang w:val="en-US" w:eastAsia="zh-CN"/>
        </w:rPr>
        <w:t>磋商</w:t>
      </w:r>
      <w:r>
        <w:rPr>
          <w:rFonts w:hint="eastAsia" w:ascii="宋体" w:hAnsi="宋体" w:cs="宋体"/>
          <w:kern w:val="0"/>
          <w:szCs w:val="21"/>
        </w:rPr>
        <w:t>。</w:t>
      </w:r>
    </w:p>
    <w:p w14:paraId="757BE5BF">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4AD7DEE6">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9.4供应商在</w:t>
      </w:r>
      <w:r>
        <w:rPr>
          <w:rFonts w:hint="eastAsia" w:ascii="宋体" w:hAnsi="宋体" w:cs="宋体"/>
          <w:kern w:val="0"/>
          <w:szCs w:val="21"/>
          <w:lang w:val="en-US" w:eastAsia="zh-CN"/>
        </w:rPr>
        <w:t>磋商</w:t>
      </w:r>
      <w:r>
        <w:rPr>
          <w:rFonts w:hint="eastAsia" w:ascii="宋体" w:hAnsi="宋体" w:cs="宋体"/>
          <w:kern w:val="0"/>
          <w:szCs w:val="21"/>
        </w:rPr>
        <w:t>活动中提供虚假材料或从事其他违法活动的,其</w:t>
      </w:r>
      <w:r>
        <w:rPr>
          <w:rFonts w:hint="eastAsia" w:ascii="宋体" w:hAnsi="宋体" w:cs="宋体"/>
          <w:kern w:val="0"/>
          <w:szCs w:val="21"/>
          <w:lang w:val="en-US" w:eastAsia="zh-CN"/>
        </w:rPr>
        <w:t>磋商</w:t>
      </w:r>
      <w:r>
        <w:rPr>
          <w:rFonts w:hint="eastAsia" w:ascii="宋体" w:hAnsi="宋体" w:cs="宋体"/>
          <w:kern w:val="0"/>
          <w:szCs w:val="21"/>
        </w:rPr>
        <w:t>无效，由相关部门查处。</w:t>
      </w:r>
    </w:p>
    <w:p w14:paraId="6E276A12">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10.质疑和投诉</w:t>
      </w:r>
    </w:p>
    <w:p w14:paraId="19D7907B">
      <w:pPr>
        <w:snapToGrid w:val="0"/>
        <w:spacing w:line="360" w:lineRule="auto"/>
        <w:ind w:firstLine="411" w:firstLineChars="196"/>
        <w:jc w:val="left"/>
        <w:rPr>
          <w:rFonts w:hint="eastAsia" w:ascii="宋体" w:hAnsi="宋体" w:cs="宋体"/>
          <w:kern w:val="0"/>
          <w:szCs w:val="21"/>
        </w:rPr>
      </w:pPr>
      <w:r>
        <w:rPr>
          <w:rFonts w:hint="eastAsia" w:ascii="宋体" w:hAnsi="宋体" w:cs="宋体"/>
          <w:kern w:val="0"/>
          <w:szCs w:val="21"/>
        </w:rPr>
        <w:t xml:space="preserve">10.1 </w:t>
      </w:r>
      <w:r>
        <w:rPr>
          <w:rFonts w:hint="eastAsia" w:ascii="宋体" w:hAnsi="宋体" w:cs="宋体"/>
          <w:bCs/>
          <w:kern w:val="0"/>
          <w:szCs w:val="21"/>
        </w:rPr>
        <w:t>供应商认为竞争性磋商文件使自己的合法权益受到损害的，</w:t>
      </w:r>
      <w:r>
        <w:rPr>
          <w:rFonts w:hint="eastAsia" w:ascii="宋体" w:hAnsi="宋体" w:cs="宋体"/>
          <w:kern w:val="0"/>
          <w:szCs w:val="21"/>
        </w:rPr>
        <w:t>应当在采购公告期限届满之日(或收到竞争性磋商文件之日)起3个工作日之内向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3177F1AB">
      <w:pPr>
        <w:shd w:val="clear" w:color="auto" w:fill="FFFFFF"/>
        <w:snapToGrid w:val="0"/>
        <w:spacing w:line="360" w:lineRule="auto"/>
        <w:ind w:firstLine="480"/>
        <w:jc w:val="left"/>
        <w:rPr>
          <w:rFonts w:hint="eastAsia" w:ascii="宋体" w:hAnsi="宋体" w:cs="宋体"/>
          <w:kern w:val="0"/>
          <w:szCs w:val="21"/>
        </w:rPr>
      </w:pPr>
      <w:r>
        <w:rPr>
          <w:rFonts w:hint="eastAsia" w:ascii="宋体" w:hAnsi="宋体" w:cs="宋体"/>
          <w:kern w:val="0"/>
          <w:szCs w:val="21"/>
        </w:rPr>
        <w:t xml:space="preserve">10.2 </w:t>
      </w:r>
      <w:r>
        <w:rPr>
          <w:rFonts w:hint="eastAsia" w:ascii="宋体" w:hAnsi="宋体" w:cs="宋体"/>
          <w:bCs/>
          <w:kern w:val="0"/>
          <w:szCs w:val="21"/>
        </w:rPr>
        <w:t>质疑、投诉应当采用书面形式，质疑书、投诉书均应明确阐述竞争性磋商文件、磋商过程和成交结果中使自己合法权益受到损害的实质性内容，提供相关事实、依据和证据及其来源或线索，便于有关单位调查、答复和处理。</w:t>
      </w:r>
    </w:p>
    <w:p w14:paraId="20EEAF93">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11.供应商的风险</w:t>
      </w:r>
    </w:p>
    <w:p w14:paraId="0E43403C">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供应商没有按照竞争性磋商文件要求提供全部资料，或者供应商没有对竞争性磋商文件在各方面都作出实质性响应是供应商的风险，并可能导致其</w:t>
      </w:r>
      <w:r>
        <w:rPr>
          <w:rFonts w:hint="eastAsia" w:ascii="宋体" w:hAnsi="宋体" w:cs="宋体"/>
          <w:kern w:val="0"/>
          <w:szCs w:val="21"/>
          <w:lang w:val="en-US" w:eastAsia="zh-CN"/>
        </w:rPr>
        <w:t>磋商</w:t>
      </w:r>
      <w:r>
        <w:rPr>
          <w:rFonts w:hint="eastAsia" w:ascii="宋体" w:hAnsi="宋体" w:cs="宋体"/>
          <w:kern w:val="0"/>
          <w:szCs w:val="21"/>
        </w:rPr>
        <w:t>被拒绝。</w:t>
      </w:r>
    </w:p>
    <w:p w14:paraId="18387EFE">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二、竞争性磋商文件</w:t>
      </w:r>
    </w:p>
    <w:p w14:paraId="52DF1B13">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12.竞争性磋商文件的构成。本竞争性磋商文件由以下部分组成：</w:t>
      </w:r>
    </w:p>
    <w:p w14:paraId="55C36FE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12.1 竞争性磋商公告</w:t>
      </w:r>
    </w:p>
    <w:p w14:paraId="0DCA58D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12.2 采购需求</w:t>
      </w:r>
    </w:p>
    <w:p w14:paraId="34325D2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12.3 供应商须知</w:t>
      </w:r>
    </w:p>
    <w:p w14:paraId="37A4BCC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12.4 评标办法</w:t>
      </w:r>
    </w:p>
    <w:p w14:paraId="65BBBEA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12.5 合同主要条款</w:t>
      </w:r>
    </w:p>
    <w:p w14:paraId="0F2EEDC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12.6 响应文件格式</w:t>
      </w:r>
    </w:p>
    <w:p w14:paraId="03BDDB04">
      <w:pPr>
        <w:snapToGrid w:val="0"/>
        <w:spacing w:line="360" w:lineRule="auto"/>
        <w:ind w:firstLine="417" w:firstLineChars="198"/>
        <w:rPr>
          <w:rFonts w:hint="eastAsia" w:ascii="宋体" w:hAnsi="宋体" w:cs="宋体"/>
          <w:b/>
          <w:bCs/>
          <w:kern w:val="0"/>
          <w:szCs w:val="21"/>
        </w:rPr>
      </w:pPr>
      <w:r>
        <w:rPr>
          <w:rFonts w:hint="eastAsia" w:ascii="宋体" w:hAnsi="宋体" w:cs="宋体"/>
          <w:b/>
          <w:bCs/>
          <w:kern w:val="0"/>
          <w:szCs w:val="21"/>
        </w:rPr>
        <w:t>13.竞争性磋商文件的澄清与修改</w:t>
      </w:r>
    </w:p>
    <w:p w14:paraId="55DDBFB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13.1 采购人对已发出的竞争性磋商文件进行必要澄清、修改或补充的，应当在竞争性磋商文件要求提交响应文件截止时间3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前，在原采购公告发布相关媒体上发布更正公告或变更公告。竞争性磋商文件公示期间对竞争性磋商文件进行的澄清、修改或补充不受上述限制。</w:t>
      </w:r>
    </w:p>
    <w:p w14:paraId="3C7CF58F">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13.2 竞争性磋商文件澄清、修改或补充的内容为竞争性磋商文件的组成部分。</w:t>
      </w:r>
    </w:p>
    <w:p w14:paraId="57FD74CA">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13.3 竞争性磋商文件的澄清、修改或补充都应以法定形式发布。采购人未对竞争性磋商文件进行的澄清、修改或补充无效，评标时不予认可。</w:t>
      </w:r>
    </w:p>
    <w:p w14:paraId="35463A4E">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可以视采购具体情况延长磋商截止时间和磋商时间，但至少应当在竞争性磋商文件要求提交响应文件的截止时间3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0785FF64">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三、响应文件的编制</w:t>
      </w:r>
    </w:p>
    <w:p w14:paraId="5B514415">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14.要求</w:t>
      </w:r>
    </w:p>
    <w:p w14:paraId="42580CFA">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响应文件应对竞争性磋商文件的要求作出实质性响应（包括供应商资格要求、技术要求、商务要求和响应文件格式中对磋商的要求），供应商对所提供的全部资料的合法性、真实性负责。</w:t>
      </w:r>
    </w:p>
    <w:p w14:paraId="0762B3E2">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15.响应文件的语言和计量单位</w:t>
      </w:r>
    </w:p>
    <w:p w14:paraId="0AD1CB73">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7E828207">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15.2 关于磋商计量单位，竞争性磋商文件已有明确规定的，使用竞争性磋商文件规定的计量单位；竞争性磋商文件没有规定的，应采用中华人民共和国法定计量单位。否则视为对竞争性磋商文件未作出实质性响应。</w:t>
      </w:r>
    </w:p>
    <w:p w14:paraId="33AB910C">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3C3F7D4F">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57207C37">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16.1</w:t>
      </w:r>
      <w:r>
        <w:rPr>
          <w:rFonts w:hint="eastAsia" w:ascii="宋体" w:hAnsi="宋体" w:cs="宋体"/>
          <w:kern w:val="0"/>
          <w:szCs w:val="21"/>
          <w:highlight w:val="none"/>
        </w:rPr>
        <w:t>、竞争性磋商响应书</w:t>
      </w:r>
    </w:p>
    <w:p w14:paraId="4F39B114">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16.2</w:t>
      </w:r>
      <w:r>
        <w:rPr>
          <w:rFonts w:hint="eastAsia" w:ascii="宋体" w:hAnsi="宋体" w:cs="宋体"/>
          <w:kern w:val="0"/>
          <w:szCs w:val="21"/>
          <w:highlight w:val="none"/>
        </w:rPr>
        <w:t>、初次报价一览表</w:t>
      </w:r>
    </w:p>
    <w:p w14:paraId="02F4A056">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16.3</w:t>
      </w:r>
      <w:r>
        <w:rPr>
          <w:rFonts w:hint="eastAsia" w:ascii="宋体" w:hAnsi="宋体" w:cs="宋体"/>
          <w:kern w:val="0"/>
          <w:szCs w:val="21"/>
          <w:highlight w:val="none"/>
        </w:rPr>
        <w:t>、报价明细表</w:t>
      </w:r>
    </w:p>
    <w:p w14:paraId="1206DC25">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16.4</w:t>
      </w:r>
      <w:r>
        <w:rPr>
          <w:rFonts w:hint="eastAsia" w:ascii="宋体" w:hAnsi="宋体" w:cs="宋体"/>
          <w:kern w:val="0"/>
          <w:szCs w:val="21"/>
          <w:highlight w:val="none"/>
        </w:rPr>
        <w:t>、技术响应表</w:t>
      </w:r>
    </w:p>
    <w:p w14:paraId="15938AD5">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16.5</w:t>
      </w:r>
      <w:r>
        <w:rPr>
          <w:rFonts w:hint="eastAsia" w:ascii="宋体" w:hAnsi="宋体" w:cs="宋体"/>
          <w:kern w:val="0"/>
          <w:szCs w:val="21"/>
          <w:highlight w:val="none"/>
        </w:rPr>
        <w:t>、商务响应表</w:t>
      </w:r>
    </w:p>
    <w:p w14:paraId="4D5C2D08">
      <w:pPr>
        <w:snapToGrid w:val="0"/>
        <w:spacing w:line="360" w:lineRule="auto"/>
        <w:ind w:left="208" w:leftChars="99" w:firstLine="210" w:firstLineChars="100"/>
        <w:jc w:val="left"/>
        <w:rPr>
          <w:rFonts w:ascii="宋体" w:cs="宋体"/>
          <w:kern w:val="0"/>
          <w:szCs w:val="21"/>
          <w:highlight w:val="none"/>
        </w:rPr>
      </w:pPr>
      <w:r>
        <w:rPr>
          <w:rFonts w:ascii="宋体" w:hAnsi="宋体" w:cs="宋体"/>
          <w:kern w:val="0"/>
          <w:szCs w:val="21"/>
          <w:highlight w:val="none"/>
        </w:rPr>
        <w:t>16.6</w:t>
      </w:r>
      <w:r>
        <w:rPr>
          <w:rFonts w:hint="eastAsia" w:ascii="宋体" w:hAnsi="宋体" w:cs="宋体"/>
          <w:kern w:val="0"/>
          <w:szCs w:val="21"/>
          <w:highlight w:val="none"/>
        </w:rPr>
        <w:t>、法定代表人身份证明</w:t>
      </w:r>
    </w:p>
    <w:p w14:paraId="1096BFC0">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16.7</w:t>
      </w:r>
      <w:r>
        <w:rPr>
          <w:rFonts w:hint="eastAsia" w:ascii="宋体" w:hAnsi="宋体" w:cs="宋体"/>
          <w:kern w:val="0"/>
          <w:szCs w:val="21"/>
          <w:highlight w:val="none"/>
        </w:rPr>
        <w:t>、法定代表人授权书</w:t>
      </w:r>
    </w:p>
    <w:p w14:paraId="67C42302">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16.8</w:t>
      </w:r>
      <w:r>
        <w:rPr>
          <w:rFonts w:hint="eastAsia" w:ascii="宋体" w:hAnsi="宋体" w:cs="宋体"/>
          <w:kern w:val="0"/>
          <w:szCs w:val="21"/>
          <w:highlight w:val="none"/>
        </w:rPr>
        <w:t>、证明文件</w:t>
      </w:r>
    </w:p>
    <w:p w14:paraId="49E0E63B">
      <w:pPr>
        <w:pStyle w:val="16"/>
        <w:widowControl w:val="0"/>
        <w:snapToGrid w:val="0"/>
        <w:spacing w:beforeAutospacing="0" w:afterAutospacing="0" w:line="360" w:lineRule="auto"/>
        <w:rPr>
          <w:sz w:val="21"/>
          <w:szCs w:val="21"/>
          <w:highlight w:val="none"/>
        </w:rPr>
      </w:pPr>
      <w:r>
        <w:rPr>
          <w:sz w:val="21"/>
          <w:szCs w:val="21"/>
          <w:highlight w:val="none"/>
        </w:rPr>
        <w:t>16.</w:t>
      </w:r>
      <w:r>
        <w:rPr>
          <w:rFonts w:hint="eastAsia"/>
          <w:sz w:val="21"/>
          <w:szCs w:val="21"/>
          <w:highlight w:val="none"/>
          <w:lang w:val="en-US" w:eastAsia="zh-CN"/>
        </w:rPr>
        <w:t>9</w:t>
      </w:r>
      <w:r>
        <w:rPr>
          <w:rFonts w:hint="eastAsia"/>
          <w:sz w:val="21"/>
          <w:szCs w:val="21"/>
          <w:highlight w:val="none"/>
        </w:rPr>
        <w:t>、供应商信用承诺函</w:t>
      </w:r>
    </w:p>
    <w:p w14:paraId="4B7D2021">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17.响应文件有效期</w:t>
      </w:r>
    </w:p>
    <w:p w14:paraId="1808AD31">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特殊情况下采购人可于</w:t>
      </w:r>
      <w:r>
        <w:rPr>
          <w:rFonts w:hint="eastAsia" w:ascii="宋体" w:hAnsi="宋体" w:cs="宋体"/>
          <w:kern w:val="0"/>
          <w:szCs w:val="21"/>
          <w:lang w:val="en-US" w:eastAsia="zh-CN"/>
        </w:rPr>
        <w:t>磋商</w:t>
      </w:r>
      <w:r>
        <w:rPr>
          <w:rFonts w:hint="eastAsia" w:ascii="宋体" w:hAnsi="宋体" w:cs="宋体"/>
          <w:kern w:val="0"/>
          <w:szCs w:val="21"/>
        </w:rPr>
        <w:t>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74BEE14C">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18.</w:t>
      </w:r>
      <w:r>
        <w:rPr>
          <w:rFonts w:hint="eastAsia" w:ascii="宋体" w:hAnsi="宋体" w:cs="宋体"/>
          <w:b/>
          <w:bCs/>
          <w:kern w:val="0"/>
          <w:szCs w:val="21"/>
          <w:lang w:val="en-US" w:eastAsia="zh-CN"/>
        </w:rPr>
        <w:t>磋商</w:t>
      </w:r>
      <w:r>
        <w:rPr>
          <w:rFonts w:hint="eastAsia" w:ascii="宋体" w:hAnsi="宋体" w:cs="宋体"/>
          <w:b/>
          <w:bCs/>
          <w:kern w:val="0"/>
          <w:szCs w:val="21"/>
        </w:rPr>
        <w:t>报价</w:t>
      </w:r>
    </w:p>
    <w:p w14:paraId="4C4694B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18.1 磋商报价均以人民币元为计算单位。</w:t>
      </w:r>
    </w:p>
    <w:p w14:paraId="0CF70B1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18.2 供应商要按初次报价一览表的内容填写。</w:t>
      </w:r>
    </w:p>
    <w:p w14:paraId="5AF595F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2E9DE84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18.4 初次报价一览表中标明的价格在政采购合同执行过程中是固定不变的，供应商不得以任何理由予以变更。以可调整的价格提交的</w:t>
      </w:r>
      <w:r>
        <w:rPr>
          <w:rFonts w:hint="eastAsia" w:ascii="宋体" w:hAnsi="宋体" w:cs="宋体"/>
          <w:kern w:val="0"/>
          <w:szCs w:val="21"/>
          <w:lang w:val="en-US" w:eastAsia="zh-CN"/>
        </w:rPr>
        <w:t>磋商</w:t>
      </w:r>
      <w:r>
        <w:rPr>
          <w:rFonts w:hint="eastAsia" w:ascii="宋体" w:hAnsi="宋体" w:cs="宋体"/>
          <w:kern w:val="0"/>
          <w:szCs w:val="21"/>
        </w:rPr>
        <w:t>将被作为无效</w:t>
      </w:r>
      <w:r>
        <w:rPr>
          <w:rFonts w:hint="eastAsia" w:ascii="宋体" w:hAnsi="宋体" w:cs="宋体"/>
          <w:kern w:val="0"/>
          <w:szCs w:val="21"/>
          <w:lang w:val="en-US" w:eastAsia="zh-CN"/>
        </w:rPr>
        <w:t>磋商</w:t>
      </w:r>
      <w:r>
        <w:rPr>
          <w:rFonts w:hint="eastAsia" w:ascii="宋体" w:hAnsi="宋体" w:cs="宋体"/>
          <w:kern w:val="0"/>
          <w:szCs w:val="21"/>
        </w:rPr>
        <w:t>处理。</w:t>
      </w:r>
    </w:p>
    <w:p w14:paraId="17E8F83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18.5 采购人不接受可选择的</w:t>
      </w:r>
      <w:r>
        <w:rPr>
          <w:rFonts w:hint="eastAsia" w:ascii="宋体" w:hAnsi="宋体" w:cs="宋体"/>
          <w:kern w:val="0"/>
          <w:szCs w:val="21"/>
          <w:lang w:val="en-US" w:eastAsia="zh-CN"/>
        </w:rPr>
        <w:t>磋商</w:t>
      </w:r>
      <w:r>
        <w:rPr>
          <w:rFonts w:hint="eastAsia" w:ascii="宋体" w:hAnsi="宋体" w:cs="宋体"/>
          <w:kern w:val="0"/>
          <w:szCs w:val="21"/>
        </w:rPr>
        <w:t>报价。</w:t>
      </w:r>
    </w:p>
    <w:p w14:paraId="13273C9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18.6 对于供应商在初次报价一览表和响应文件中列出的赠送条款，在评审时不得作为价格评分因素或者调整评标价格的依据。</w:t>
      </w:r>
    </w:p>
    <w:p w14:paraId="1321F7BF">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19.磋商保证金（无）</w:t>
      </w:r>
    </w:p>
    <w:p w14:paraId="039F9A72">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5DC2EB77">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初次报价一览表在满足竞争性磋商文件实质性要求的基础上，可以提出比竞争性磋商文件要求更有利于采购人的承诺。</w:t>
      </w:r>
    </w:p>
    <w:p w14:paraId="40D12372">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20.2 响应文件应当对竞争性磋商文件有关服务期限、响应文件有效期、服务质量等实质性内容作出响应。</w:t>
      </w:r>
    </w:p>
    <w:p w14:paraId="234A1766">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6A79048B">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7EE18F64">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20.5响应文件的具体装订要求见供应商须知前附表规定。</w:t>
      </w:r>
    </w:p>
    <w:p w14:paraId="5B6C2705">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四、响应文件的递交</w:t>
      </w:r>
    </w:p>
    <w:p w14:paraId="58CAC15F">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21. 响应文件的密封、标记</w:t>
      </w:r>
    </w:p>
    <w:p w14:paraId="23216985">
      <w:pPr>
        <w:spacing w:line="360" w:lineRule="auto"/>
        <w:ind w:firstLine="424" w:firstLineChars="202"/>
        <w:rPr>
          <w:rFonts w:hint="eastAsia"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2863E660">
      <w:pPr>
        <w:snapToGrid w:val="0"/>
        <w:spacing w:line="360" w:lineRule="auto"/>
        <w:ind w:firstLine="420" w:firstLineChars="200"/>
        <w:jc w:val="left"/>
        <w:rPr>
          <w:rFonts w:hint="eastAsia"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6C4B7817">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22. 响应文件的递交</w:t>
      </w:r>
    </w:p>
    <w:p w14:paraId="112893D4">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22.1 供应商应在规定的磋商截止时间前递交响应文件。</w:t>
      </w:r>
    </w:p>
    <w:p w14:paraId="63C263A8">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22.2 供应商递交响应文件的地点：见供应商须知前附表。</w:t>
      </w:r>
    </w:p>
    <w:p w14:paraId="2873BB21">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58E8059C">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22.4 逾期送达的或者未送达指定地点的响应文件，采购人不予受理。</w:t>
      </w:r>
    </w:p>
    <w:p w14:paraId="4385F179">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23. 响应文件的修改和撤回</w:t>
      </w:r>
    </w:p>
    <w:p w14:paraId="2F4E924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23.1 供应商在</w:t>
      </w:r>
      <w:r>
        <w:rPr>
          <w:rFonts w:hint="eastAsia" w:ascii="宋体" w:hAnsi="宋体" w:cs="宋体"/>
          <w:kern w:val="0"/>
          <w:szCs w:val="21"/>
          <w:lang w:val="en-US" w:eastAsia="zh-CN"/>
        </w:rPr>
        <w:t>磋商</w:t>
      </w:r>
      <w:r>
        <w:rPr>
          <w:rFonts w:hint="eastAsia" w:ascii="宋体" w:hAnsi="宋体" w:cs="宋体"/>
          <w:kern w:val="0"/>
          <w:szCs w:val="21"/>
        </w:rPr>
        <w:t>截止时间前，可以对所提交的响应文件进行补充、修改或者撤回，并书面通知采购人。补充、修改的内容和撤回通知应当按本须知要求签署、盖章、密封，并作为响应文件的组成部分。</w:t>
      </w:r>
    </w:p>
    <w:p w14:paraId="7A91DFC2">
      <w:pPr>
        <w:snapToGrid w:val="0"/>
        <w:spacing w:line="360" w:lineRule="auto"/>
        <w:ind w:firstLine="420" w:firstLineChars="200"/>
        <w:jc w:val="left"/>
        <w:rPr>
          <w:rFonts w:hint="eastAsia" w:ascii="宋体" w:hAnsi="宋体" w:cs="宋体"/>
          <w:kern w:val="0"/>
          <w:sz w:val="24"/>
        </w:rPr>
      </w:pPr>
      <w:r>
        <w:rPr>
          <w:rFonts w:hint="eastAsia" w:ascii="宋体" w:hAnsi="宋体" w:cs="宋体"/>
          <w:kern w:val="0"/>
          <w:szCs w:val="21"/>
        </w:rPr>
        <w:t>23.2 供应商在磋商截止期后不得修改、撤回响应文件。供应商在</w:t>
      </w:r>
      <w:r>
        <w:rPr>
          <w:rFonts w:hint="eastAsia" w:ascii="宋体" w:hAnsi="宋体" w:cs="宋体"/>
          <w:kern w:val="0"/>
          <w:szCs w:val="21"/>
          <w:lang w:val="en-US" w:eastAsia="zh-CN"/>
        </w:rPr>
        <w:t>磋商</w:t>
      </w:r>
      <w:r>
        <w:rPr>
          <w:rFonts w:hint="eastAsia" w:ascii="宋体" w:hAnsi="宋体" w:cs="宋体"/>
          <w:kern w:val="0"/>
          <w:szCs w:val="21"/>
        </w:rPr>
        <w:t>截止期后修改响应文件的，其</w:t>
      </w:r>
      <w:r>
        <w:rPr>
          <w:rFonts w:hint="eastAsia" w:ascii="宋体" w:hAnsi="宋体" w:cs="宋体"/>
          <w:kern w:val="0"/>
          <w:szCs w:val="21"/>
          <w:lang w:val="en-US" w:eastAsia="zh-CN"/>
        </w:rPr>
        <w:t>磋商</w:t>
      </w:r>
      <w:r>
        <w:rPr>
          <w:rFonts w:hint="eastAsia" w:ascii="宋体" w:hAnsi="宋体" w:cs="宋体"/>
          <w:kern w:val="0"/>
          <w:szCs w:val="21"/>
        </w:rPr>
        <w:t>将被拒绝。</w:t>
      </w:r>
    </w:p>
    <w:p w14:paraId="3426770D">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五、评标</w:t>
      </w:r>
    </w:p>
    <w:p w14:paraId="1B4463C2">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24. 组建磋商小组</w:t>
      </w:r>
    </w:p>
    <w:p w14:paraId="2C39F494">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在开标后由磋商小组对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3B6D12CE">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2A12FCA2">
      <w:pPr>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2A8F1058">
      <w:pPr>
        <w:pStyle w:val="30"/>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25.1对所有供应商的评估，都采用相同的程序和标准。评标过程将严格按照竞争性磋商文件的要求和条件进行。</w:t>
      </w:r>
    </w:p>
    <w:p w14:paraId="40FEBEC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646D957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 响应文件报价出现前后不一致的，除竞争性磋商文件另有规定外，修正错误的原则如下：</w:t>
      </w:r>
    </w:p>
    <w:p w14:paraId="0DCD33EA">
      <w:pPr>
        <w:pStyle w:val="30"/>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25.3.1响应文件</w:t>
      </w:r>
      <w:r>
        <w:rPr>
          <w:rFonts w:hint="eastAsia" w:ascii="宋体" w:hAnsi="宋体" w:cs="宋体"/>
          <w:sz w:val="21"/>
          <w:szCs w:val="21"/>
          <w:shd w:val="clear" w:color="auto" w:fill="FFFFFF"/>
        </w:rPr>
        <w:t>初次报价一览表（报价表）内容与响应文件中相应内容不一致的，以初次报价一览表（报价表）为准；</w:t>
      </w:r>
    </w:p>
    <w:p w14:paraId="70109915">
      <w:pPr>
        <w:pStyle w:val="30"/>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14:paraId="4B9ED14F">
      <w:pPr>
        <w:pStyle w:val="30"/>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单价金额小数点或者百分比有明显错位的，以初次报价一览表的总价为准，并修改单价；</w:t>
      </w:r>
    </w:p>
    <w:p w14:paraId="4B4C184C">
      <w:pPr>
        <w:pStyle w:val="30"/>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14:paraId="514A377A">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25.3.5对不同文字文本响应文件的解释发生异议的，以中文文本为准。</w:t>
      </w:r>
    </w:p>
    <w:p w14:paraId="0ECE6A3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w:t>
      </w:r>
      <w:r>
        <w:rPr>
          <w:rFonts w:hint="eastAsia" w:ascii="宋体" w:hAnsi="宋体" w:cs="宋体"/>
          <w:kern w:val="0"/>
          <w:szCs w:val="21"/>
          <w:lang w:val="en-US" w:eastAsia="zh-CN"/>
        </w:rPr>
        <w:t>磋商</w:t>
      </w:r>
      <w:r>
        <w:rPr>
          <w:rFonts w:hint="eastAsia" w:ascii="宋体" w:hAnsi="宋体" w:cs="宋体"/>
          <w:kern w:val="0"/>
          <w:szCs w:val="21"/>
        </w:rPr>
        <w:t>无效。</w:t>
      </w:r>
    </w:p>
    <w:p w14:paraId="5F3A59A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 资格性检查和符合性检查。</w:t>
      </w:r>
    </w:p>
    <w:p w14:paraId="0DF99521">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kern w:val="0"/>
          <w:szCs w:val="21"/>
        </w:rPr>
        <w:t>25.4.1</w:t>
      </w:r>
      <w:r>
        <w:rPr>
          <w:rFonts w:hint="eastAsia" w:ascii="宋体" w:hAnsi="宋体" w:cs="宋体"/>
          <w:szCs w:val="21"/>
        </w:rPr>
        <w:t>资格性检查。依据法规政策和竞争性磋商文件的规定，在对</w:t>
      </w:r>
      <w:r>
        <w:rPr>
          <w:rFonts w:hint="eastAsia" w:ascii="宋体" w:hAnsi="宋体" w:cs="宋体"/>
          <w:szCs w:val="21"/>
          <w:shd w:val="clear" w:color="auto" w:fill="FFFFFF"/>
        </w:rPr>
        <w:t>响应文件</w:t>
      </w:r>
      <w:r>
        <w:rPr>
          <w:rFonts w:hint="eastAsia" w:ascii="宋体" w:hAnsi="宋体" w:cs="宋体"/>
          <w:szCs w:val="21"/>
        </w:rPr>
        <w:t>详细评估之前，采购人将依据供应商提交的</w:t>
      </w:r>
      <w:r>
        <w:rPr>
          <w:rFonts w:hint="eastAsia" w:ascii="宋体" w:hAnsi="宋体" w:cs="宋体"/>
          <w:szCs w:val="21"/>
          <w:shd w:val="clear" w:color="auto" w:fill="FFFFFF"/>
        </w:rPr>
        <w:t>响应文件</w:t>
      </w:r>
      <w:r>
        <w:rPr>
          <w:rFonts w:hint="eastAsia" w:ascii="宋体" w:hAnsi="宋体" w:cs="宋体"/>
          <w:szCs w:val="21"/>
        </w:rPr>
        <w:t>按采购公告第二项和竞争性磋商文件第三章4.供应商应提交的证明文件所述的资格标准对供应商进行资格审查,以确定其是否具备磋商资格。如果供应商不具备磋商资格、不满足竞争性磋商文件所规定的资格标准或提供资格证明文件不全,其</w:t>
      </w:r>
      <w:r>
        <w:rPr>
          <w:rFonts w:hint="eastAsia" w:ascii="宋体" w:hAnsi="宋体" w:cs="宋体"/>
          <w:szCs w:val="21"/>
          <w:lang w:val="en-US" w:eastAsia="zh-CN"/>
        </w:rPr>
        <w:t>磋商</w:t>
      </w:r>
      <w:r>
        <w:rPr>
          <w:rFonts w:hint="eastAsia" w:ascii="宋体" w:hAnsi="宋体" w:cs="宋体"/>
          <w:szCs w:val="21"/>
        </w:rPr>
        <w:t>将被作为无效磋商。在审查过程中，采购人有权要求供应商按竞争性磋商文件的规定提供相关资格证明材料的原件以供审查。供应商应在规定的时限内提供。供应商拒不提供的，或者不能在规定时限内提供的，视为其不具备该资格条件。</w:t>
      </w:r>
    </w:p>
    <w:p w14:paraId="3B82C0BB">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25.4.2 资格审查后合格的供应商不足3家的，不得评标。</w:t>
      </w:r>
    </w:p>
    <w:p w14:paraId="3D543506">
      <w:pPr>
        <w:snapToGrid w:val="0"/>
        <w:spacing w:line="360" w:lineRule="auto"/>
        <w:ind w:firstLine="422" w:firstLineChars="200"/>
        <w:jc w:val="left"/>
        <w:rPr>
          <w:rFonts w:hint="eastAsia" w:ascii="宋体" w:hAnsi="宋体" w:cs="宋体"/>
          <w:b/>
          <w:bCs/>
          <w:szCs w:val="21"/>
        </w:rPr>
      </w:pPr>
      <w:r>
        <w:rPr>
          <w:rFonts w:hint="eastAsia" w:ascii="宋体" w:hAnsi="宋体" w:cs="宋体"/>
          <w:b/>
          <w:bCs/>
          <w:kern w:val="0"/>
          <w:szCs w:val="21"/>
        </w:rPr>
        <w:t>25.4.3 符合性检查。依据竞争性磋商文件的规定，磋商小组将从</w:t>
      </w:r>
      <w:r>
        <w:rPr>
          <w:rFonts w:hint="eastAsia" w:ascii="宋体" w:hAnsi="宋体" w:cs="宋体"/>
          <w:b/>
          <w:bCs/>
          <w:szCs w:val="21"/>
          <w:shd w:val="clear" w:color="auto" w:fill="FFFFFF"/>
        </w:rPr>
        <w:t>响应文件</w:t>
      </w:r>
      <w:r>
        <w:rPr>
          <w:rFonts w:hint="eastAsia" w:ascii="宋体" w:hAnsi="宋体" w:cs="宋体"/>
          <w:b/>
          <w:bCs/>
          <w:kern w:val="0"/>
          <w:szCs w:val="21"/>
        </w:rPr>
        <w:t>的有效性、完整性和对竞争性磋商文件的响应程度进行审查，以确定是否符合对竞争性磋商文件的实质性要求作出响应。对没有实质性响应的响应文件将不进行评估，其</w:t>
      </w:r>
      <w:r>
        <w:rPr>
          <w:rFonts w:hint="eastAsia" w:ascii="宋体" w:hAnsi="宋体" w:cs="宋体"/>
          <w:b/>
          <w:bCs/>
          <w:kern w:val="0"/>
          <w:szCs w:val="21"/>
          <w:lang w:val="en-US" w:eastAsia="zh-CN"/>
        </w:rPr>
        <w:t>磋商</w:t>
      </w:r>
      <w:r>
        <w:rPr>
          <w:rFonts w:hint="eastAsia" w:ascii="宋体" w:hAnsi="宋体" w:cs="宋体"/>
          <w:b/>
          <w:bCs/>
          <w:kern w:val="0"/>
          <w:szCs w:val="21"/>
        </w:rPr>
        <w:t>被作为无效磋商。凡有下列情况之一者，响应文件也将被视为未实质性响应竞争性磋商文件要求：</w:t>
      </w:r>
    </w:p>
    <w:p w14:paraId="7BF37B9F">
      <w:pPr>
        <w:tabs>
          <w:tab w:val="left" w:pos="0"/>
        </w:tabs>
        <w:snapToGrid w:val="0"/>
        <w:spacing w:line="360" w:lineRule="auto"/>
        <w:ind w:firstLine="422" w:firstLineChars="200"/>
        <w:contextualSpacing/>
        <w:jc w:val="left"/>
        <w:rPr>
          <w:rFonts w:ascii="宋体" w:cs="宋体"/>
          <w:b/>
          <w:bCs/>
          <w:szCs w:val="21"/>
          <w:highlight w:val="none"/>
        </w:rPr>
      </w:pPr>
      <w:r>
        <w:rPr>
          <w:rFonts w:hint="eastAsia" w:ascii="宋体" w:hAnsi="宋体" w:cs="宋体"/>
          <w:b/>
          <w:bCs/>
          <w:szCs w:val="21"/>
          <w:highlight w:val="none"/>
        </w:rPr>
        <w:t>（</w:t>
      </w:r>
      <w:r>
        <w:rPr>
          <w:rFonts w:ascii="宋体" w:hAnsi="宋体" w:cs="宋体"/>
          <w:b/>
          <w:bCs/>
          <w:szCs w:val="21"/>
          <w:highlight w:val="none"/>
        </w:rPr>
        <w:t>1</w:t>
      </w:r>
      <w:r>
        <w:rPr>
          <w:rFonts w:hint="eastAsia" w:ascii="宋体" w:hAnsi="宋体" w:cs="宋体"/>
          <w:b/>
          <w:bCs/>
          <w:szCs w:val="21"/>
          <w:highlight w:val="none"/>
        </w:rPr>
        <w:t>）</w:t>
      </w:r>
      <w:r>
        <w:rPr>
          <w:rFonts w:hint="eastAsia" w:ascii="宋体" w:hAnsi="宋体" w:cs="宋体"/>
          <w:b/>
          <w:bCs/>
          <w:szCs w:val="21"/>
          <w:highlight w:val="none"/>
          <w:shd w:val="clear" w:color="auto" w:fill="FFFFFF"/>
        </w:rPr>
        <w:t>响应文件</w:t>
      </w:r>
      <w:r>
        <w:rPr>
          <w:rFonts w:hint="eastAsia" w:ascii="宋体" w:hAnsi="宋体" w:cs="宋体"/>
          <w:b/>
          <w:bCs/>
          <w:szCs w:val="21"/>
          <w:highlight w:val="none"/>
        </w:rPr>
        <w:t>未按规定签字、盖章的。</w:t>
      </w:r>
    </w:p>
    <w:p w14:paraId="6116CACE">
      <w:pPr>
        <w:tabs>
          <w:tab w:val="left" w:pos="0"/>
        </w:tabs>
        <w:snapToGrid w:val="0"/>
        <w:spacing w:line="360" w:lineRule="auto"/>
        <w:ind w:firstLine="422" w:firstLineChars="200"/>
        <w:contextualSpacing/>
        <w:jc w:val="left"/>
        <w:rPr>
          <w:rFonts w:ascii="宋体" w:cs="宋体"/>
          <w:b/>
          <w:bCs/>
          <w:szCs w:val="21"/>
          <w:highlight w:val="none"/>
        </w:rPr>
      </w:pPr>
      <w:r>
        <w:rPr>
          <w:rFonts w:hint="eastAsia" w:ascii="宋体" w:hAnsi="宋体" w:cs="宋体"/>
          <w:b/>
          <w:bCs/>
          <w:szCs w:val="21"/>
          <w:highlight w:val="none"/>
        </w:rPr>
        <w:t>（</w:t>
      </w:r>
      <w:r>
        <w:rPr>
          <w:rFonts w:hint="eastAsia" w:ascii="宋体" w:hAnsi="宋体" w:cs="宋体"/>
          <w:b/>
          <w:bCs/>
          <w:szCs w:val="21"/>
          <w:highlight w:val="none"/>
          <w:lang w:val="en-US" w:eastAsia="zh-CN"/>
        </w:rPr>
        <w:t>2</w:t>
      </w:r>
      <w:r>
        <w:rPr>
          <w:rFonts w:hint="eastAsia" w:ascii="宋体" w:hAnsi="宋体" w:cs="宋体"/>
          <w:b/>
          <w:bCs/>
          <w:szCs w:val="21"/>
          <w:highlight w:val="none"/>
        </w:rPr>
        <w:t>）未按磋商文件规定报价，报价均超过采购预算或最高限价的。</w:t>
      </w:r>
    </w:p>
    <w:p w14:paraId="3F39D5F1">
      <w:pPr>
        <w:tabs>
          <w:tab w:val="left" w:pos="0"/>
        </w:tabs>
        <w:snapToGrid w:val="0"/>
        <w:spacing w:line="360" w:lineRule="auto"/>
        <w:ind w:firstLine="422" w:firstLineChars="200"/>
        <w:contextualSpacing/>
        <w:jc w:val="left"/>
        <w:rPr>
          <w:rFonts w:ascii="宋体" w:cs="宋体"/>
          <w:b/>
          <w:bCs/>
          <w:kern w:val="0"/>
          <w:szCs w:val="21"/>
          <w:highlight w:val="none"/>
        </w:rPr>
      </w:pP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）不符合采购文件中规定的其它实质性条款。</w:t>
      </w:r>
    </w:p>
    <w:p w14:paraId="1752C3E1">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磋商小组决定</w:t>
      </w:r>
      <w:r>
        <w:rPr>
          <w:rFonts w:hint="eastAsia" w:ascii="宋体" w:hAnsi="宋体" w:cs="宋体"/>
          <w:kern w:val="0"/>
          <w:szCs w:val="21"/>
          <w:lang w:val="en-US" w:eastAsia="zh-CN"/>
        </w:rPr>
        <w:t>磋商</w:t>
      </w:r>
      <w:r>
        <w:rPr>
          <w:rFonts w:hint="eastAsia" w:ascii="宋体" w:hAnsi="宋体" w:cs="宋体"/>
          <w:kern w:val="0"/>
          <w:szCs w:val="21"/>
        </w:rPr>
        <w:t>的响应性只根据响应文件本身的内容，而不寻求其他的外部证据。</w:t>
      </w:r>
    </w:p>
    <w:p w14:paraId="5582735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14:paraId="44AE672A">
      <w:pPr>
        <w:pStyle w:val="30"/>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25.5 在评审过程中，磋商小组发现供应商有下列情形之一的，视为供应商串通</w:t>
      </w:r>
      <w:r>
        <w:rPr>
          <w:rFonts w:hint="eastAsia" w:ascii="宋体" w:hAnsi="宋体" w:cs="宋体"/>
          <w:sz w:val="21"/>
          <w:szCs w:val="21"/>
          <w:lang w:val="en-US" w:eastAsia="zh-CN"/>
        </w:rPr>
        <w:t>投标</w:t>
      </w:r>
      <w:r>
        <w:rPr>
          <w:rFonts w:hint="eastAsia" w:ascii="宋体" w:hAnsi="宋体" w:cs="宋体"/>
          <w:sz w:val="21"/>
          <w:szCs w:val="21"/>
        </w:rPr>
        <w:t>，其磋商无效：</w:t>
      </w:r>
    </w:p>
    <w:p w14:paraId="54E056C0">
      <w:pPr>
        <w:tabs>
          <w:tab w:val="left" w:pos="0"/>
        </w:tabs>
        <w:snapToGrid w:val="0"/>
        <w:spacing w:line="360" w:lineRule="auto"/>
        <w:ind w:left="105" w:leftChars="50" w:firstLine="315" w:firstLineChars="150"/>
        <w:contextualSpacing/>
        <w:jc w:val="left"/>
        <w:rPr>
          <w:rFonts w:hint="eastAsia"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3B7D2385">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65DF70F9">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25.5.3不同供应商委托同一单位或者个人办理</w:t>
      </w:r>
      <w:r>
        <w:rPr>
          <w:rFonts w:hint="eastAsia" w:ascii="宋体" w:hAnsi="宋体" w:cs="宋体"/>
          <w:kern w:val="0"/>
          <w:szCs w:val="21"/>
          <w:lang w:val="en-US" w:eastAsia="zh-CN"/>
        </w:rPr>
        <w:t>投标</w:t>
      </w:r>
      <w:r>
        <w:rPr>
          <w:rFonts w:hint="eastAsia" w:ascii="宋体" w:hAnsi="宋体" w:cs="宋体"/>
          <w:szCs w:val="21"/>
        </w:rPr>
        <w:t>事宜；</w:t>
      </w:r>
    </w:p>
    <w:p w14:paraId="6BB18B90">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w:t>
      </w:r>
    </w:p>
    <w:p w14:paraId="27EDA59E">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122A39B9">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25.5.6不同供应商的磋商保证金从同一单位或者个人的账户转出（若收取）。</w:t>
      </w:r>
    </w:p>
    <w:p w14:paraId="56C3B5CF">
      <w:pPr>
        <w:adjustRightInd w:val="0"/>
        <w:snapToGrid w:val="0"/>
        <w:spacing w:line="360" w:lineRule="auto"/>
        <w:ind w:left="19" w:leftChars="9" w:firstLine="399" w:firstLineChars="190"/>
        <w:jc w:val="left"/>
        <w:textAlignment w:val="baseline"/>
        <w:rPr>
          <w:rFonts w:hint="eastAsia" w:ascii="宋体" w:hAnsi="宋体" w:cs="宋体"/>
          <w:szCs w:val="21"/>
        </w:rPr>
      </w:pPr>
      <w:r>
        <w:rPr>
          <w:rFonts w:hint="eastAsia" w:ascii="宋体" w:hAnsi="宋体" w:cs="宋体"/>
          <w:kern w:val="0"/>
          <w:szCs w:val="21"/>
        </w:rPr>
        <w:t>25.5.7 有证据证明供应商串通</w:t>
      </w:r>
      <w:r>
        <w:rPr>
          <w:rFonts w:hint="eastAsia" w:ascii="宋体" w:hAnsi="宋体" w:cs="宋体"/>
          <w:kern w:val="0"/>
          <w:szCs w:val="21"/>
          <w:lang w:val="en-US" w:eastAsia="zh-CN"/>
        </w:rPr>
        <w:t>投标</w:t>
      </w:r>
      <w:r>
        <w:rPr>
          <w:rFonts w:hint="eastAsia" w:ascii="宋体" w:hAnsi="宋体" w:cs="宋体"/>
          <w:kern w:val="0"/>
          <w:szCs w:val="21"/>
        </w:rPr>
        <w:t>的其他情形的；</w:t>
      </w:r>
    </w:p>
    <w:p w14:paraId="018D5F4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25.5.8 磋商小组认定的其他串通</w:t>
      </w:r>
      <w:r>
        <w:rPr>
          <w:rFonts w:hint="eastAsia" w:ascii="宋体" w:hAnsi="宋体" w:cs="宋体"/>
          <w:kern w:val="0"/>
          <w:szCs w:val="21"/>
          <w:lang w:val="en-US" w:eastAsia="zh-CN"/>
        </w:rPr>
        <w:t>投标</w:t>
      </w:r>
      <w:r>
        <w:rPr>
          <w:rFonts w:hint="eastAsia" w:ascii="宋体" w:hAnsi="宋体" w:cs="宋体"/>
          <w:kern w:val="0"/>
          <w:szCs w:val="21"/>
        </w:rPr>
        <w:t>情形。</w:t>
      </w:r>
    </w:p>
    <w:p w14:paraId="5D3D0226">
      <w:pPr>
        <w:tabs>
          <w:tab w:val="left" w:pos="0"/>
        </w:tabs>
        <w:wordWrap w:val="0"/>
        <w:snapToGrid w:val="0"/>
        <w:spacing w:line="360" w:lineRule="auto"/>
        <w:ind w:left="105" w:leftChars="50" w:firstLine="316" w:firstLineChars="150"/>
        <w:contextualSpacing/>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 磋商</w:t>
      </w:r>
    </w:p>
    <w:p w14:paraId="26B08779">
      <w:pPr>
        <w:widowControl/>
        <w:kinsoku w:val="0"/>
        <w:wordWrap w:val="0"/>
        <w:autoSpaceDE w:val="0"/>
        <w:autoSpaceDN w:val="0"/>
        <w:adjustRightInd w:val="0"/>
        <w:snapToGrid w:val="0"/>
        <w:spacing w:line="360" w:lineRule="auto"/>
        <w:ind w:firstLine="420" w:firstLineChars="200"/>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对资格性检查和符合性检查合格的供应商，进入本次磋商程序。</w:t>
      </w:r>
    </w:p>
    <w:p w14:paraId="20412B80">
      <w:pPr>
        <w:widowControl/>
        <w:kinsoku w:val="0"/>
        <w:wordWrap w:val="0"/>
        <w:autoSpaceDE w:val="0"/>
        <w:autoSpaceDN w:val="0"/>
        <w:adjustRightInd w:val="0"/>
        <w:snapToGrid w:val="0"/>
        <w:spacing w:line="360" w:lineRule="auto"/>
        <w:ind w:firstLine="422" w:firstLineChars="200"/>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6152BF7A">
      <w:pPr>
        <w:snapToGrid w:val="0"/>
        <w:spacing w:line="360" w:lineRule="auto"/>
        <w:ind w:firstLine="422" w:firstLineChars="200"/>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25.6.2 本次竞争性磋商进行</w:t>
      </w:r>
      <w:r>
        <w:rPr>
          <w:rFonts w:hint="eastAsia" w:ascii="宋体" w:hAnsi="宋体" w:cs="宋体"/>
          <w:b/>
          <w:bCs/>
          <w:color w:val="000000" w:themeColor="text1"/>
          <w:szCs w:val="21"/>
          <w:u w:val="single"/>
          <w14:textFill>
            <w14:solidFill>
              <w14:schemeClr w14:val="tx1"/>
            </w14:solidFill>
          </w14:textFill>
        </w:rPr>
        <w:t xml:space="preserve"> 多 </w:t>
      </w:r>
      <w:r>
        <w:rPr>
          <w:rFonts w:hint="eastAsia" w:ascii="宋体" w:hAnsi="宋体" w:cs="宋体"/>
          <w:b/>
          <w:bCs/>
          <w:color w:val="000000" w:themeColor="text1"/>
          <w:szCs w:val="21"/>
          <w14:textFill>
            <w14:solidFill>
              <w14:schemeClr w14:val="tx1"/>
            </w14:solidFill>
          </w14:textFill>
        </w:rPr>
        <w:t>轮次报价（二次及以上），并给予每个供应商相同的机会。响应文件报价为第一轮报价，以后轮次报价不得高于上一轮次报价（除竞争性磋商文件有实质性变动外）</w:t>
      </w:r>
    </w:p>
    <w:p w14:paraId="1BA0F4DD">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26. 响应文件的澄清</w:t>
      </w:r>
    </w:p>
    <w:p w14:paraId="7990696A">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4CB62575">
      <w:pPr>
        <w:snapToGrid w:val="0"/>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27. 比较与评价</w:t>
      </w:r>
    </w:p>
    <w:p w14:paraId="22E6191E">
      <w:pPr>
        <w:pStyle w:val="30"/>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27.1 磋商小组将按本竞争性磋商文件规定的评标方法与标准，对资格性检查和符合性检查合格的</w:t>
      </w:r>
      <w:r>
        <w:rPr>
          <w:rFonts w:hint="eastAsia" w:ascii="宋体" w:hAnsi="宋体" w:cs="宋体"/>
          <w:sz w:val="21"/>
          <w:szCs w:val="21"/>
          <w:shd w:val="clear" w:color="auto" w:fill="FFFFFF"/>
        </w:rPr>
        <w:t>响应文件</w:t>
      </w:r>
      <w:r>
        <w:rPr>
          <w:rFonts w:hint="eastAsia" w:ascii="宋体" w:hAnsi="宋体" w:cs="宋体"/>
          <w:sz w:val="21"/>
          <w:szCs w:val="21"/>
        </w:rPr>
        <w:t>进行商务和技术评估，综合比较与评价。</w:t>
      </w:r>
    </w:p>
    <w:p w14:paraId="75BAC3A8">
      <w:pPr>
        <w:pStyle w:val="30"/>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27.2对漏（缺）报项的处理：竞争性磋商文件中要求列入报价的费用，漏（缺）报的视同已含在</w:t>
      </w:r>
      <w:r>
        <w:rPr>
          <w:rFonts w:hint="eastAsia" w:ascii="宋体" w:hAnsi="宋体" w:cs="宋体"/>
          <w:sz w:val="21"/>
          <w:szCs w:val="21"/>
          <w:lang w:val="en-US" w:eastAsia="zh-CN"/>
        </w:rPr>
        <w:t>磋商</w:t>
      </w:r>
      <w:r>
        <w:rPr>
          <w:rFonts w:hint="eastAsia" w:ascii="宋体" w:hAnsi="宋体" w:cs="宋体"/>
          <w:sz w:val="21"/>
          <w:szCs w:val="21"/>
        </w:rPr>
        <w:t>总价中。</w:t>
      </w:r>
    </w:p>
    <w:p w14:paraId="0B909CD6">
      <w:pPr>
        <w:pStyle w:val="30"/>
        <w:snapToGrid w:val="0"/>
        <w:spacing w:before="0" w:beforeAutospacing="0" w:after="0" w:afterAutospacing="0" w:line="360" w:lineRule="auto"/>
        <w:ind w:firstLine="420" w:firstLineChars="200"/>
        <w:jc w:val="both"/>
        <w:rPr>
          <w:rFonts w:hint="eastAsia" w:ascii="宋体" w:hAnsi="宋体" w:cs="宋体"/>
          <w:b/>
          <w:bCs/>
          <w:sz w:val="21"/>
          <w:szCs w:val="21"/>
        </w:rPr>
      </w:pPr>
      <w:r>
        <w:rPr>
          <w:rFonts w:hint="eastAsia" w:ascii="宋体" w:hAnsi="宋体" w:cs="宋体"/>
          <w:sz w:val="21"/>
          <w:szCs w:val="21"/>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w:t>
      </w:r>
      <w:r>
        <w:rPr>
          <w:rFonts w:hint="eastAsia" w:ascii="宋体" w:hAnsi="宋体" w:cs="宋体"/>
          <w:sz w:val="21"/>
          <w:szCs w:val="21"/>
          <w:lang w:val="en-US" w:eastAsia="zh-CN"/>
        </w:rPr>
        <w:t>磋商</w:t>
      </w:r>
      <w:r>
        <w:rPr>
          <w:rFonts w:hint="eastAsia" w:ascii="宋体" w:hAnsi="宋体" w:cs="宋体"/>
          <w:sz w:val="21"/>
          <w:szCs w:val="21"/>
        </w:rPr>
        <w:t>处理。</w:t>
      </w:r>
    </w:p>
    <w:p w14:paraId="54469F32">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28. 评标过程及保密原则</w:t>
      </w:r>
    </w:p>
    <w:p w14:paraId="06289FE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00F04FB5">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492327D5">
      <w:pPr>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29.评标异议登记</w:t>
      </w:r>
    </w:p>
    <w:p w14:paraId="1D6559B9">
      <w:pPr>
        <w:snapToGrid w:val="0"/>
        <w:spacing w:line="360" w:lineRule="auto"/>
        <w:ind w:firstLine="420" w:firstLineChars="200"/>
        <w:jc w:val="left"/>
        <w:rPr>
          <w:rFonts w:hint="eastAsia"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2D6238B1">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六、定标</w:t>
      </w:r>
    </w:p>
    <w:p w14:paraId="66814A24">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30. 定标原则</w:t>
      </w:r>
    </w:p>
    <w:p w14:paraId="1B82E173">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30.1 最低价不作为成交的保证。</w:t>
      </w:r>
    </w:p>
    <w:p w14:paraId="17E183BD">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30.2 确定实质上响应竞争性磋商文件且满足下列条件的为成交候选供应商（或成交供应商）</w:t>
      </w:r>
    </w:p>
    <w:p w14:paraId="6FC1ABAA">
      <w:pPr>
        <w:snapToGrid w:val="0"/>
        <w:spacing w:line="360" w:lineRule="auto"/>
        <w:ind w:firstLine="420" w:firstLineChars="200"/>
        <w:rPr>
          <w:rFonts w:hint="eastAsia" w:ascii="宋体" w:hAnsi="宋体" w:cs="宋体"/>
          <w:szCs w:val="21"/>
        </w:rPr>
      </w:pPr>
      <w:bookmarkStart w:id="57" w:name="_Toc32200"/>
      <w:r>
        <w:rPr>
          <w:rFonts w:hint="eastAsia" w:ascii="宋体" w:hAnsi="宋体" w:cs="宋体"/>
          <w:bCs/>
          <w:kern w:val="0"/>
          <w:szCs w:val="21"/>
        </w:rPr>
        <w:t>30.2.1</w:t>
      </w:r>
      <w:bookmarkEnd w:id="57"/>
      <w:r>
        <w:rPr>
          <w:rFonts w:hint="eastAsia" w:ascii="宋体" w:hAnsi="宋体" w:cs="宋体"/>
          <w:bCs/>
          <w:kern w:val="0"/>
          <w:szCs w:val="21"/>
        </w:rPr>
        <w:t>本次评标采用</w:t>
      </w:r>
      <w:r>
        <w:rPr>
          <w:rFonts w:hint="eastAsia" w:ascii="宋体" w:hAnsi="宋体" w:cs="宋体"/>
          <w:szCs w:val="21"/>
        </w:rPr>
        <w:t>综合评分法，是指响应文件满足竞争性磋商文件全部实质性要求，且按照评审因素的量化指标评审得分最高的供应商为成交供应商的评标方法。</w:t>
      </w:r>
    </w:p>
    <w:p w14:paraId="4D4FF97A">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竞争性磋商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5D65FADF">
      <w:pPr>
        <w:keepNext w:val="0"/>
        <w:keepLines w:val="0"/>
        <w:pageBreakBefore w:val="0"/>
        <w:widowControl w:val="0"/>
        <w:kinsoku/>
        <w:wordWrap/>
        <w:overflowPunct/>
        <w:topLinePunct w:val="0"/>
        <w:autoSpaceDE/>
        <w:autoSpaceDN/>
        <w:bidi w:val="0"/>
        <w:adjustRightInd/>
        <w:snapToGrid w:val="0"/>
        <w:spacing w:line="460" w:lineRule="exact"/>
        <w:ind w:firstLine="422" w:firstLineChars="200"/>
        <w:textAlignment w:val="auto"/>
        <w:rPr>
          <w:rFonts w:hint="eastAsia" w:ascii="宋体" w:hAnsi="宋体" w:cs="宋体"/>
          <w:kern w:val="0"/>
          <w:szCs w:val="21"/>
        </w:rPr>
      </w:pPr>
      <w:r>
        <w:rPr>
          <w:rFonts w:hint="eastAsia" w:ascii="宋体" w:hAnsi="宋体" w:cs="宋体"/>
          <w:b/>
          <w:bCs/>
          <w:kern w:val="0"/>
          <w:szCs w:val="21"/>
        </w:rPr>
        <w:t>31. 确定成交供应商和成交候选供应商</w:t>
      </w:r>
    </w:p>
    <w:p w14:paraId="6DDF6BA2">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0FB30A02">
      <w:pPr>
        <w:keepNext w:val="0"/>
        <w:keepLines w:val="0"/>
        <w:pageBreakBefore w:val="0"/>
        <w:widowControl w:val="0"/>
        <w:kinsoku/>
        <w:wordWrap/>
        <w:overflowPunct/>
        <w:topLinePunct w:val="0"/>
        <w:autoSpaceDE/>
        <w:autoSpaceDN/>
        <w:bidi w:val="0"/>
        <w:adjustRightInd/>
        <w:snapToGrid w:val="0"/>
        <w:spacing w:line="460" w:lineRule="exact"/>
        <w:ind w:firstLine="422" w:firstLineChars="200"/>
        <w:textAlignment w:val="auto"/>
        <w:rPr>
          <w:rFonts w:hint="eastAsia" w:ascii="宋体" w:hAnsi="宋体" w:cs="宋体"/>
          <w:b/>
          <w:bCs/>
          <w:kern w:val="0"/>
          <w:szCs w:val="21"/>
        </w:rPr>
      </w:pPr>
      <w:r>
        <w:rPr>
          <w:rFonts w:hint="eastAsia" w:ascii="宋体" w:hAnsi="宋体" w:cs="宋体"/>
          <w:b/>
          <w:bCs/>
          <w:kern w:val="0"/>
          <w:szCs w:val="21"/>
        </w:rPr>
        <w:t>32. 成交通知书及成交结果公告</w:t>
      </w:r>
    </w:p>
    <w:p w14:paraId="598E3F27">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32.1评审结束后，采购人将成交供应商的情况在本采购项目采购公告发布的同一媒介予以公示，公示期限1个工作日，公示期结束后向成交供应商发出成交通知书。</w:t>
      </w:r>
    </w:p>
    <w:p w14:paraId="269972B0">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6DEAC562">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2483DFC8">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040451D6">
      <w:pPr>
        <w:keepNext w:val="0"/>
        <w:keepLines w:val="0"/>
        <w:pageBreakBefore w:val="0"/>
        <w:widowControl w:val="0"/>
        <w:kinsoku/>
        <w:wordWrap/>
        <w:overflowPunct/>
        <w:topLinePunct w:val="0"/>
        <w:autoSpaceDE/>
        <w:autoSpaceDN/>
        <w:bidi w:val="0"/>
        <w:adjustRightInd/>
        <w:snapToGrid w:val="0"/>
        <w:spacing w:line="460" w:lineRule="exact"/>
        <w:ind w:firstLine="422" w:firstLineChars="200"/>
        <w:textAlignment w:val="auto"/>
        <w:rPr>
          <w:rFonts w:hint="eastAsia" w:ascii="宋体" w:hAnsi="宋体" w:cs="宋体"/>
          <w:b/>
          <w:bCs/>
          <w:kern w:val="0"/>
          <w:szCs w:val="21"/>
        </w:rPr>
      </w:pPr>
      <w:r>
        <w:rPr>
          <w:rFonts w:hint="eastAsia" w:ascii="宋体" w:hAnsi="宋体" w:cs="宋体"/>
          <w:b/>
          <w:bCs/>
          <w:kern w:val="0"/>
          <w:szCs w:val="21"/>
        </w:rPr>
        <w:t>33. 采购人宣布废标的权利</w:t>
      </w:r>
    </w:p>
    <w:p w14:paraId="0E80F004">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078033A4">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bCs/>
          <w:kern w:val="0"/>
          <w:szCs w:val="21"/>
        </w:rPr>
      </w:pPr>
      <w:r>
        <w:rPr>
          <w:rFonts w:hint="eastAsia" w:ascii="宋体" w:hAnsi="宋体" w:cs="宋体"/>
          <w:bCs/>
          <w:kern w:val="0"/>
          <w:szCs w:val="21"/>
        </w:rPr>
        <w:t>33.1.1出现影响采购公正的违法、违规行为的。</w:t>
      </w:r>
    </w:p>
    <w:p w14:paraId="07C4CB23">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bCs/>
          <w:kern w:val="0"/>
          <w:szCs w:val="21"/>
        </w:rPr>
      </w:pPr>
      <w:r>
        <w:rPr>
          <w:rFonts w:hint="eastAsia" w:ascii="宋体" w:hAnsi="宋体" w:cs="宋体"/>
          <w:bCs/>
          <w:kern w:val="0"/>
          <w:szCs w:val="21"/>
        </w:rPr>
        <w:t>33.1.2供应商的报价均超过了采购预算金额，采购人不能支付的。</w:t>
      </w:r>
    </w:p>
    <w:p w14:paraId="05D9E24D">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bCs/>
          <w:kern w:val="0"/>
          <w:szCs w:val="21"/>
        </w:rPr>
      </w:pPr>
      <w:r>
        <w:rPr>
          <w:rFonts w:hint="eastAsia" w:ascii="宋体" w:hAnsi="宋体" w:cs="宋体"/>
          <w:bCs/>
          <w:kern w:val="0"/>
          <w:szCs w:val="21"/>
        </w:rPr>
        <w:t>33.1.3因重大变故，采购任务取消的。</w:t>
      </w:r>
    </w:p>
    <w:p w14:paraId="12C1EC1E">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lang w:val="en-US" w:eastAsia="zh-CN"/>
        </w:rPr>
        <w:t>磋商</w:t>
      </w:r>
      <w:r>
        <w:rPr>
          <w:rFonts w:hint="eastAsia" w:ascii="宋体" w:hAnsi="宋体" w:cs="宋体"/>
          <w:szCs w:val="21"/>
        </w:rPr>
        <w:t>截止后供应商不足3家或通过资格性检查或符合性检查的供应商不足3家的，除采购任务取消情形外，按照以下方式处理：</w:t>
      </w:r>
    </w:p>
    <w:p w14:paraId="5366C63E">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ind w:firstLine="420" w:firstLineChars="200"/>
        <w:textAlignment w:val="auto"/>
        <w:rPr>
          <w:rFonts w:hint="eastAsia" w:ascii="宋体" w:hAnsi="宋体" w:cs="宋体"/>
          <w:szCs w:val="21"/>
        </w:rPr>
      </w:pPr>
      <w:r>
        <w:rPr>
          <w:rFonts w:hint="eastAsia" w:ascii="宋体" w:hAnsi="宋体" w:cs="宋体"/>
          <w:szCs w:val="21"/>
        </w:rPr>
        <w:t>竞争性磋商文件存在不合理条款或者招标程序不符合规定的，采购人正后依法重新招标；　</w:t>
      </w:r>
    </w:p>
    <w:p w14:paraId="1CFE83F4">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cs="宋体"/>
          <w:b/>
          <w:kern w:val="0"/>
          <w:sz w:val="52"/>
          <w:szCs w:val="52"/>
        </w:rPr>
      </w:pPr>
      <w:r>
        <w:rPr>
          <w:rFonts w:hint="eastAsia" w:ascii="宋体" w:hAnsi="宋体" w:cs="宋体"/>
          <w:szCs w:val="21"/>
        </w:rPr>
        <w:t>（2）竞争性磋商文件没有不合理条款、招标程序符合规定，需要采用其他采购方式采购的，采购人应当依法报财政部门批准。</w:t>
      </w:r>
    </w:p>
    <w:p w14:paraId="27A426EB">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1"/>
        <w:rPr>
          <w:rFonts w:hint="eastAsia" w:ascii="宋体" w:hAnsi="宋体" w:cs="宋体"/>
          <w:b/>
          <w:bCs/>
          <w:kern w:val="0"/>
          <w:sz w:val="28"/>
          <w:szCs w:val="28"/>
        </w:rPr>
      </w:pPr>
      <w:r>
        <w:rPr>
          <w:rFonts w:hint="eastAsia" w:ascii="宋体" w:hAnsi="宋体" w:cs="宋体"/>
          <w:b/>
          <w:bCs/>
          <w:kern w:val="0"/>
          <w:sz w:val="28"/>
          <w:szCs w:val="28"/>
        </w:rPr>
        <w:t>七、合同授予</w:t>
      </w:r>
    </w:p>
    <w:p w14:paraId="3AEC4875">
      <w:pPr>
        <w:keepNext w:val="0"/>
        <w:keepLines w:val="0"/>
        <w:pageBreakBefore w:val="0"/>
        <w:widowControl w:val="0"/>
        <w:kinsoku/>
        <w:wordWrap/>
        <w:overflowPunct/>
        <w:topLinePunct w:val="0"/>
        <w:autoSpaceDE/>
        <w:autoSpaceDN/>
        <w:bidi w:val="0"/>
        <w:adjustRightInd/>
        <w:snapToGrid w:val="0"/>
        <w:spacing w:line="460" w:lineRule="exact"/>
        <w:ind w:firstLine="472" w:firstLineChars="224"/>
        <w:textAlignment w:val="auto"/>
        <w:rPr>
          <w:rFonts w:hint="eastAsia" w:ascii="宋体" w:hAnsi="宋体" w:cs="宋体"/>
          <w:kern w:val="0"/>
          <w:szCs w:val="21"/>
        </w:rPr>
      </w:pPr>
      <w:r>
        <w:rPr>
          <w:rFonts w:hint="eastAsia" w:ascii="宋体" w:hAnsi="宋体" w:cs="宋体"/>
          <w:b/>
          <w:bCs/>
          <w:kern w:val="0"/>
          <w:szCs w:val="21"/>
        </w:rPr>
        <w:t>34.合同签订</w:t>
      </w:r>
    </w:p>
    <w:p w14:paraId="2400F962">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kern w:val="0"/>
          <w:szCs w:val="21"/>
          <w:u w:val="single"/>
        </w:rPr>
      </w:pPr>
      <w:r>
        <w:rPr>
          <w:rFonts w:hint="eastAsia" w:ascii="宋体" w:hAnsi="宋体" w:cs="宋体"/>
          <w:kern w:val="0"/>
          <w:szCs w:val="21"/>
        </w:rPr>
        <w:t>34.1 采购人、成交供应商自成交通知书发出之日起，在竞争性磋商文件第三章《供应商须知前附表》规定的时间内，根据竞争性磋商文件确定的事项和成交供应商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签订合同。双方所签订的合同不得对竞争性磋商文件和成交供应商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72C71194">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34.2 竞争性磋商文件、竞争性磋商文件的修改文件、成交供应商的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、补充或修改的文件及澄清或承诺文件等，均为双方签订合同的组成部分，并与合同一并作为本竞争性磋商文件所列采购项目的互补性法律文件，与合同具有同等法律效力。</w:t>
      </w:r>
    </w:p>
    <w:p w14:paraId="36DE046E">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34.3 成交供应商放弃成交、因不可抗力不能履行合同、不按照竞争性磋商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54"/>
    <w:p w14:paraId="6DE9B6B5">
      <w:pPr>
        <w:widowControl/>
        <w:snapToGrid w:val="0"/>
        <w:jc w:val="center"/>
        <w:outlineLvl w:val="0"/>
        <w:rPr>
          <w:rFonts w:hint="eastAsia" w:ascii="宋体" w:hAnsi="宋体" w:cs="宋体"/>
          <w:kern w:val="0"/>
          <w:sz w:val="24"/>
        </w:rPr>
      </w:pPr>
      <w:bookmarkStart w:id="58" w:name="_Toc3025"/>
      <w:r>
        <w:rPr>
          <w:rFonts w:hint="eastAsia" w:ascii="宋体" w:hAnsi="宋体" w:cs="宋体"/>
          <w:b/>
          <w:bCs/>
          <w:kern w:val="0"/>
          <w:sz w:val="32"/>
          <w:szCs w:val="32"/>
        </w:rPr>
        <w:t>第四章  评标办法及评分标准</w:t>
      </w:r>
      <w:bookmarkEnd w:id="55"/>
      <w:bookmarkEnd w:id="58"/>
    </w:p>
    <w:p w14:paraId="1D47A920">
      <w:pPr>
        <w:tabs>
          <w:tab w:val="left" w:pos="1620"/>
        </w:tabs>
        <w:snapToGrid w:val="0"/>
        <w:spacing w:line="360" w:lineRule="auto"/>
        <w:rPr>
          <w:rFonts w:hint="eastAsia" w:ascii="宋体" w:hAnsi="宋体" w:cs="宋体"/>
          <w:szCs w:val="21"/>
        </w:rPr>
      </w:pPr>
      <w:r>
        <w:rPr>
          <w:rFonts w:hint="eastAsia" w:ascii="宋体" w:hAnsi="宋体" w:cs="宋体"/>
          <w:szCs w:val="21"/>
        </w:rPr>
        <w:t>（一）评标原则</w:t>
      </w:r>
    </w:p>
    <w:p w14:paraId="514D7B28">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按照“公平、公正”的原则对待所有供应商，按照竞争性磋商文件的相关规定进行评标、定标。</w:t>
      </w:r>
    </w:p>
    <w:p w14:paraId="3B3A2A9A">
      <w:pPr>
        <w:tabs>
          <w:tab w:val="left" w:pos="1620"/>
        </w:tabs>
        <w:snapToGrid w:val="0"/>
        <w:spacing w:line="360" w:lineRule="auto"/>
        <w:rPr>
          <w:rFonts w:hint="eastAsia" w:ascii="宋体" w:hAnsi="宋体" w:cs="宋体"/>
          <w:szCs w:val="21"/>
        </w:rPr>
      </w:pPr>
      <w:r>
        <w:rPr>
          <w:rFonts w:hint="eastAsia" w:ascii="宋体" w:hAnsi="宋体" w:cs="宋体"/>
          <w:szCs w:val="21"/>
        </w:rPr>
        <w:t>（二）评标办法</w:t>
      </w:r>
    </w:p>
    <w:p w14:paraId="08781B07">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1．本项目采用综合评分法，总分为100分。</w:t>
      </w:r>
    </w:p>
    <w:p w14:paraId="699F84E9">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2．磋商小组按照竞争性磋商文件中规定的评标方法和标准，对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583F51ED">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3. 评标结果按评审后得分由高到低顺序排列，得分相同的，按</w:t>
      </w:r>
      <w:r>
        <w:rPr>
          <w:rFonts w:hint="eastAsia" w:ascii="宋体" w:hAnsi="宋体" w:cs="宋体"/>
          <w:szCs w:val="21"/>
          <w:lang w:val="en-US" w:eastAsia="zh-CN"/>
        </w:rPr>
        <w:t>磋商</w:t>
      </w:r>
      <w:r>
        <w:rPr>
          <w:rFonts w:hint="eastAsia" w:ascii="宋体" w:hAnsi="宋体" w:cs="宋体"/>
          <w:szCs w:val="21"/>
        </w:rPr>
        <w:t>报价由低到高顺序排列。得分且</w:t>
      </w:r>
      <w:r>
        <w:rPr>
          <w:rFonts w:hint="eastAsia" w:ascii="宋体" w:hAnsi="宋体" w:cs="宋体"/>
          <w:szCs w:val="21"/>
          <w:lang w:val="en-US" w:eastAsia="zh-CN"/>
        </w:rPr>
        <w:t>磋商</w:t>
      </w:r>
      <w:r>
        <w:rPr>
          <w:rFonts w:hint="eastAsia" w:ascii="宋体" w:hAnsi="宋体" w:cs="宋体"/>
          <w:szCs w:val="21"/>
        </w:rPr>
        <w:t>报价相同的，按技术部分得分顺序排列。</w:t>
      </w:r>
    </w:p>
    <w:p w14:paraId="0407B114">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文件满足竞争性磋商文件全部实质性要求，且评审得分最高的供应商为成交供应商。</w:t>
      </w:r>
    </w:p>
    <w:p w14:paraId="42C0577A">
      <w:pPr>
        <w:tabs>
          <w:tab w:val="left" w:pos="1620"/>
        </w:tabs>
        <w:snapToGrid w:val="0"/>
        <w:spacing w:line="360" w:lineRule="auto"/>
        <w:rPr>
          <w:rFonts w:hint="eastAsia" w:ascii="宋体" w:hAnsi="宋体" w:cs="宋体"/>
          <w:szCs w:val="21"/>
        </w:rPr>
      </w:pPr>
      <w:r>
        <w:rPr>
          <w:rFonts w:hint="eastAsia" w:ascii="宋体" w:hAnsi="宋体" w:cs="宋体"/>
          <w:szCs w:val="21"/>
        </w:rPr>
        <w:t>（三）评标程序</w:t>
      </w:r>
    </w:p>
    <w:p w14:paraId="0D8820DC">
      <w:pPr>
        <w:snapToGrid w:val="0"/>
        <w:spacing w:line="360" w:lineRule="auto"/>
        <w:ind w:firstLine="420" w:firstLineChars="200"/>
        <w:rPr>
          <w:rFonts w:hint="eastAsia" w:ascii="宋体" w:hAnsi="宋体" w:cs="宋体"/>
          <w:szCs w:val="21"/>
        </w:rPr>
      </w:pPr>
      <w:r>
        <w:rPr>
          <w:rFonts w:hint="eastAsia" w:ascii="宋体" w:hAnsi="宋体" w:cs="宋体"/>
          <w:szCs w:val="21"/>
        </w:rPr>
        <w:t>1.详细评审（100分）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350"/>
        <w:gridCol w:w="6893"/>
      </w:tblGrid>
      <w:tr w14:paraId="0DC4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03A22A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价格</w:t>
            </w:r>
            <w:r>
              <w:rPr>
                <w:rFonts w:hint="eastAsia" w:ascii="宋体" w:hAnsi="宋体" w:cs="宋体"/>
                <w:b w:val="0"/>
                <w:bCs w:val="0"/>
                <w:color w:val="auto"/>
                <w:sz w:val="21"/>
                <w:szCs w:val="21"/>
                <w:highlight w:val="none"/>
                <w:lang w:val="en-US" w:eastAsia="zh-CN"/>
              </w:rPr>
              <w:t>部分（30分）</w:t>
            </w:r>
          </w:p>
        </w:tc>
        <w:tc>
          <w:tcPr>
            <w:tcW w:w="8243" w:type="dxa"/>
            <w:gridSpan w:val="2"/>
            <w:noWrap w:val="0"/>
            <w:vAlign w:val="center"/>
          </w:tcPr>
          <w:p w14:paraId="47C0D3A7">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val="en-US"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rPr>
              <w:t>的</w:t>
            </w:r>
            <w:r>
              <w:rPr>
                <w:rFonts w:hint="eastAsia" w:hAnsi="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hAnsi="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hAnsi="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hAnsi="宋体" w:cs="宋体"/>
                <w:b w:val="0"/>
                <w:bCs w:val="0"/>
                <w:color w:val="auto"/>
                <w:sz w:val="21"/>
                <w:szCs w:val="21"/>
                <w:highlight w:val="none"/>
                <w:u w:val="none"/>
                <w:lang w:val="en-US"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val="en-US" w:eastAsia="zh-CN"/>
              </w:rPr>
              <w:t>磋商小组</w:t>
            </w:r>
            <w:r>
              <w:rPr>
                <w:rFonts w:hint="eastAsia" w:ascii="宋体" w:hAnsi="宋体" w:eastAsia="宋体" w:cs="宋体"/>
                <w:b w:val="0"/>
                <w:bCs w:val="0"/>
                <w:color w:val="auto"/>
                <w:sz w:val="21"/>
                <w:szCs w:val="21"/>
                <w:highlight w:val="none"/>
                <w:u w:val="none"/>
              </w:rPr>
              <w:t>应按无效</w:t>
            </w:r>
            <w:r>
              <w:rPr>
                <w:rFonts w:hint="eastAsia" w:hAnsi="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768F48B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69F0DDF">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报价为基准价。</w:t>
            </w:r>
          </w:p>
          <w:p w14:paraId="75D41E2E">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7351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14:paraId="4B796E5D">
            <w:pPr>
              <w:keepNext w:val="0"/>
              <w:keepLines w:val="0"/>
              <w:pageBreakBefore w:val="0"/>
              <w:widowControl/>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54</w:t>
            </w:r>
            <w:r>
              <w:rPr>
                <w:rFonts w:hint="eastAsia" w:ascii="宋体" w:hAnsi="宋体" w:eastAsia="宋体" w:cs="宋体"/>
                <w:b w:val="0"/>
                <w:bCs w:val="0"/>
                <w:color w:val="auto"/>
                <w:sz w:val="21"/>
                <w:szCs w:val="21"/>
                <w:highlight w:val="none"/>
                <w:lang w:eastAsia="zh-CN"/>
              </w:rPr>
              <w:t>分）</w:t>
            </w:r>
          </w:p>
        </w:tc>
        <w:tc>
          <w:tcPr>
            <w:tcW w:w="1350" w:type="dxa"/>
            <w:noWrap w:val="0"/>
            <w:vAlign w:val="center"/>
          </w:tcPr>
          <w:p w14:paraId="75DABD46">
            <w:pPr>
              <w:keepNext w:val="0"/>
              <w:keepLines w:val="0"/>
              <w:pageBreakBefore w:val="0"/>
              <w:widowControl/>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893" w:type="dxa"/>
            <w:noWrap w:val="0"/>
            <w:vAlign w:val="center"/>
          </w:tcPr>
          <w:p w14:paraId="1987DB39">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color w:val="auto"/>
                <w:sz w:val="21"/>
                <w:szCs w:val="21"/>
              </w:rPr>
            </w:pP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对“第二章 采购需求 三、技术要求</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进行</w:t>
            </w:r>
            <w:r>
              <w:rPr>
                <w:rFonts w:hint="eastAsia" w:ascii="宋体" w:hAnsi="宋体" w:eastAsia="宋体" w:cs="宋体"/>
                <w:b w:val="0"/>
                <w:bCs w:val="0"/>
                <w:color w:val="auto"/>
                <w:sz w:val="21"/>
                <w:szCs w:val="21"/>
                <w:highlight w:val="none"/>
              </w:rPr>
              <w:t>响应</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全部满足得30分，其中：</w:t>
            </w:r>
            <w:r>
              <w:rPr>
                <w:rFonts w:hint="eastAsia" w:ascii="宋体" w:hAnsi="宋体" w:eastAsia="宋体" w:cs="宋体"/>
                <w:color w:val="auto"/>
                <w:sz w:val="21"/>
                <w:szCs w:val="21"/>
              </w:rPr>
              <w:t>加★</w:t>
            </w:r>
            <w:r>
              <w:rPr>
                <w:rFonts w:hint="eastAsia" w:ascii="宋体" w:hAnsi="宋体" w:cs="宋体"/>
                <w:color w:val="auto"/>
                <w:sz w:val="21"/>
                <w:szCs w:val="21"/>
                <w:lang w:val="en-US" w:eastAsia="zh-CN"/>
              </w:rPr>
              <w:t>项为重要技术要求，每</w:t>
            </w:r>
            <w:r>
              <w:rPr>
                <w:rFonts w:hint="eastAsia" w:ascii="宋体" w:hAnsi="宋体" w:eastAsia="宋体" w:cs="宋体"/>
                <w:color w:val="auto"/>
                <w:sz w:val="21"/>
                <w:szCs w:val="21"/>
                <w:lang w:val="en-US" w:eastAsia="zh-CN"/>
              </w:rPr>
              <w:t>有</w:t>
            </w:r>
            <w:r>
              <w:rPr>
                <w:rFonts w:hint="eastAsia" w:ascii="宋体" w:hAnsi="宋体" w:cs="宋体"/>
                <w:color w:val="auto"/>
                <w:sz w:val="21"/>
                <w:szCs w:val="21"/>
                <w:lang w:val="en-US" w:eastAsia="zh-CN"/>
              </w:rPr>
              <w:t>一</w:t>
            </w:r>
            <w:r>
              <w:rPr>
                <w:rFonts w:hint="eastAsia" w:ascii="宋体" w:hAnsi="宋体" w:eastAsia="宋体" w:cs="宋体"/>
                <w:color w:val="auto"/>
                <w:sz w:val="21"/>
                <w:szCs w:val="21"/>
              </w:rPr>
              <w:t>项不满足</w:t>
            </w:r>
            <w:r>
              <w:rPr>
                <w:rFonts w:hint="eastAsia" w:ascii="宋体" w:hAnsi="宋体" w:cs="宋体"/>
                <w:color w:val="auto"/>
                <w:sz w:val="21"/>
                <w:szCs w:val="21"/>
                <w:lang w:val="en-US" w:eastAsia="zh-CN"/>
              </w:rPr>
              <w:t>扣5分</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非加</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项为一般性技术参数</w:t>
            </w:r>
            <w:r>
              <w:rPr>
                <w:rFonts w:hint="eastAsia" w:ascii="宋体" w:hAnsi="宋体" w:cs="宋体"/>
                <w:color w:val="auto"/>
                <w:sz w:val="21"/>
                <w:szCs w:val="21"/>
                <w:lang w:val="en-US" w:eastAsia="zh-CN"/>
              </w:rPr>
              <w:t>每</w:t>
            </w:r>
            <w:r>
              <w:rPr>
                <w:rFonts w:hint="eastAsia" w:ascii="宋体" w:hAnsi="宋体" w:eastAsia="宋体" w:cs="宋体"/>
                <w:color w:val="auto"/>
                <w:sz w:val="21"/>
                <w:szCs w:val="21"/>
                <w:lang w:val="en-US" w:eastAsia="zh-CN"/>
              </w:rPr>
              <w:t>有</w:t>
            </w:r>
            <w:r>
              <w:rPr>
                <w:rFonts w:hint="eastAsia" w:ascii="宋体" w:hAnsi="宋体" w:cs="宋体"/>
                <w:color w:val="auto"/>
                <w:sz w:val="21"/>
                <w:szCs w:val="21"/>
                <w:lang w:val="en-US" w:eastAsia="zh-CN"/>
              </w:rPr>
              <w:t>一</w:t>
            </w:r>
            <w:r>
              <w:rPr>
                <w:rFonts w:hint="eastAsia" w:ascii="宋体" w:hAnsi="宋体" w:eastAsia="宋体" w:cs="宋体"/>
                <w:color w:val="auto"/>
                <w:sz w:val="21"/>
                <w:szCs w:val="21"/>
              </w:rPr>
              <w:t>项</w:t>
            </w:r>
            <w:r>
              <w:rPr>
                <w:rFonts w:hint="eastAsia" w:ascii="宋体" w:hAnsi="宋体" w:eastAsia="宋体" w:cs="宋体"/>
                <w:b w:val="0"/>
                <w:bCs w:val="0"/>
                <w:color w:val="auto"/>
                <w:sz w:val="21"/>
                <w:szCs w:val="21"/>
                <w:highlight w:val="none"/>
              </w:rPr>
              <w:t>不满足扣</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分，如此项得分为0分，则</w:t>
            </w:r>
            <w:r>
              <w:rPr>
                <w:rFonts w:hint="eastAsia" w:ascii="宋体" w:hAnsi="宋体" w:cs="宋体"/>
                <w:b w:val="0"/>
                <w:bCs w:val="0"/>
                <w:color w:val="auto"/>
                <w:sz w:val="21"/>
                <w:szCs w:val="21"/>
                <w:highlight w:val="none"/>
                <w:lang w:val="en-US" w:eastAsia="zh-CN"/>
              </w:rPr>
              <w:t>无效磋商</w:t>
            </w:r>
            <w:r>
              <w:rPr>
                <w:rFonts w:hint="eastAsia" w:ascii="宋体" w:hAnsi="宋体" w:eastAsia="宋体" w:cs="宋体"/>
                <w:b w:val="0"/>
                <w:bCs w:val="0"/>
                <w:color w:val="auto"/>
                <w:sz w:val="21"/>
                <w:szCs w:val="21"/>
                <w:highlight w:val="none"/>
              </w:rPr>
              <w:t>。</w:t>
            </w:r>
          </w:p>
          <w:p w14:paraId="2A4E9BBA">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注：1.</w:t>
            </w:r>
            <w:r>
              <w:rPr>
                <w:rFonts w:hint="eastAsia" w:ascii="宋体" w:hAnsi="宋体" w:eastAsia="宋体" w:cs="宋体"/>
                <w:color w:val="auto"/>
                <w:sz w:val="21"/>
                <w:szCs w:val="21"/>
              </w:rPr>
              <w:t>供应商需提供参数偏离表，并标注偏离情况。</w:t>
            </w:r>
          </w:p>
          <w:p w14:paraId="4D54AB79">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2.提供相关证明材料</w:t>
            </w:r>
          </w:p>
        </w:tc>
      </w:tr>
      <w:tr w14:paraId="6E4A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239" w:type="dxa"/>
            <w:vMerge w:val="continue"/>
            <w:noWrap w:val="0"/>
            <w:vAlign w:val="center"/>
          </w:tcPr>
          <w:p w14:paraId="59A98912">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1350" w:type="dxa"/>
            <w:noWrap w:val="0"/>
            <w:vAlign w:val="center"/>
          </w:tcPr>
          <w:p w14:paraId="203FD8D7">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2.项目需求</w:t>
            </w:r>
          </w:p>
          <w:p w14:paraId="29B3C7B5">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（9分）</w:t>
            </w:r>
          </w:p>
        </w:tc>
        <w:tc>
          <w:tcPr>
            <w:tcW w:w="6893" w:type="dxa"/>
            <w:noWrap w:val="0"/>
            <w:vAlign w:val="center"/>
          </w:tcPr>
          <w:p w14:paraId="4BC6E7DF">
            <w:pPr>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供应商应根据本项目的情况提供针对本项目的需求分析，应包含且不限于：①零备件更换服务；②售后服务网点；</w:t>
            </w:r>
            <w:r>
              <w:rPr>
                <w:rFonts w:hint="eastAsia" w:ascii="宋体" w:hAnsi="宋体" w:eastAsia="宋体" w:cs="宋体"/>
                <w:b w:val="0"/>
                <w:bCs w:val="0"/>
                <w:color w:val="auto"/>
                <w:sz w:val="21"/>
                <w:szCs w:val="21"/>
                <w:highlight w:val="none"/>
                <w:lang w:val="en-US" w:eastAsia="zh-CN"/>
              </w:rPr>
              <w:t>③</w:t>
            </w:r>
            <w:r>
              <w:rPr>
                <w:rFonts w:hint="eastAsia" w:ascii="宋体" w:hAnsi="宋体" w:eastAsia="宋体" w:cs="宋体"/>
                <w:b w:val="0"/>
                <w:bCs w:val="0"/>
                <w:color w:val="auto"/>
                <w:kern w:val="0"/>
                <w:sz w:val="21"/>
                <w:szCs w:val="21"/>
                <w:highlight w:val="none"/>
                <w:lang w:val="en-US" w:eastAsia="zh-CN" w:bidi="ar-SA"/>
              </w:rPr>
              <w:t>备件库；</w:t>
            </w:r>
            <w:r>
              <w:rPr>
                <w:rFonts w:hint="eastAsia" w:ascii="宋体" w:hAnsi="宋体" w:eastAsia="宋体" w:cs="宋体"/>
                <w:b w:val="0"/>
                <w:bCs w:val="0"/>
                <w:color w:val="auto"/>
                <w:sz w:val="21"/>
                <w:szCs w:val="21"/>
                <w:highlight w:val="none"/>
                <w:lang w:val="en-US" w:eastAsia="zh-CN"/>
              </w:rPr>
              <w:t>④</w:t>
            </w:r>
            <w:r>
              <w:rPr>
                <w:rFonts w:hint="eastAsia" w:ascii="宋体" w:hAnsi="宋体" w:eastAsia="宋体" w:cs="宋体"/>
                <w:b w:val="0"/>
                <w:bCs w:val="0"/>
                <w:color w:val="auto"/>
                <w:kern w:val="0"/>
                <w:sz w:val="21"/>
                <w:szCs w:val="21"/>
                <w:highlight w:val="none"/>
                <w:lang w:val="en-US" w:eastAsia="zh-CN" w:bidi="ar-SA"/>
              </w:rPr>
              <w:t>提供的实质性增值服务等内容。</w:t>
            </w:r>
          </w:p>
          <w:p w14:paraId="136343C1">
            <w:pPr>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供应商提供的需求内容全面详尽，完全满足采购需求的得9分；</w:t>
            </w:r>
          </w:p>
          <w:p w14:paraId="3B08A02A">
            <w:pPr>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投标人提供的需求内容全面不详，基本满足采购需求的得6分；</w:t>
            </w:r>
          </w:p>
          <w:p w14:paraId="255FDB3A">
            <w:pPr>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需求内容有缺项漏项，需求分析有待完善的得3分；</w:t>
            </w:r>
          </w:p>
          <w:p w14:paraId="743C9FBB">
            <w:pPr>
              <w:jc w:val="left"/>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需求内容不符合项目实际，难以满足采购需求的得1分。</w:t>
            </w:r>
          </w:p>
          <w:p w14:paraId="6CC6DB80">
            <w:pPr>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未提供者不得分。</w:t>
            </w:r>
          </w:p>
        </w:tc>
      </w:tr>
      <w:tr w14:paraId="02C3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239" w:type="dxa"/>
            <w:vMerge w:val="continue"/>
            <w:noWrap w:val="0"/>
            <w:vAlign w:val="center"/>
          </w:tcPr>
          <w:p w14:paraId="537B94E7">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1350" w:type="dxa"/>
            <w:noWrap w:val="0"/>
            <w:vAlign w:val="center"/>
          </w:tcPr>
          <w:p w14:paraId="569C012A">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3.年度维保计划（10分）</w:t>
            </w:r>
          </w:p>
        </w:tc>
        <w:tc>
          <w:tcPr>
            <w:tcW w:w="6893" w:type="dxa"/>
            <w:noWrap w:val="0"/>
            <w:vAlign w:val="center"/>
          </w:tcPr>
          <w:p w14:paraId="0E49F71C">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供应商根据本项目的情况提供年度维保计划，应包括但不限于：①年度服务计划；②日常巡检计划和巡检内容；③维保质量保障措施；④维修/维保报告；⑤现场维修响应时间等</w:t>
            </w:r>
          </w:p>
          <w:p w14:paraId="248B652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供应商提供的年度维保计划，科学合理，内容详尽，完全满足采购需求的得10分；</w:t>
            </w:r>
          </w:p>
          <w:p w14:paraId="547C3CF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提供的年度计划等较科学，内容 较详细，较能满足采购需求的得7分；</w:t>
            </w:r>
          </w:p>
          <w:p w14:paraId="4CF76C8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提供的年度计划等有缺项漏项，维保计划有待完善的得4分；</w:t>
            </w:r>
          </w:p>
          <w:p w14:paraId="3D4F595C">
            <w:pPr>
              <w:pStyle w:val="5"/>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提供的维保计划不合符项目实际，难以满足采购需求的得1分；未提供者不得分。</w:t>
            </w:r>
          </w:p>
        </w:tc>
      </w:tr>
      <w:tr w14:paraId="590E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239" w:type="dxa"/>
            <w:vMerge w:val="continue"/>
            <w:noWrap w:val="0"/>
            <w:vAlign w:val="center"/>
          </w:tcPr>
          <w:p w14:paraId="5FD5CE8A">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1350" w:type="dxa"/>
            <w:noWrap w:val="0"/>
            <w:vAlign w:val="center"/>
          </w:tcPr>
          <w:p w14:paraId="07D8181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4.应急响应措施（5分）</w:t>
            </w:r>
          </w:p>
        </w:tc>
        <w:tc>
          <w:tcPr>
            <w:tcW w:w="6893" w:type="dxa"/>
            <w:noWrap w:val="0"/>
            <w:vAlign w:val="center"/>
          </w:tcPr>
          <w:p w14:paraId="716D4211">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根据供应商提供的设备维保应急响应方案进行评分，包括但不仅限于：应急响应流程及响应时间、应急保障措施、意外事故应急预案等。</w:t>
            </w:r>
          </w:p>
          <w:p w14:paraId="6F7DF449">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提供的设备维保应急响应方案科学合理，内容详尽，完全满足采购需求的得5分；</w:t>
            </w:r>
          </w:p>
          <w:p w14:paraId="2095DAA1">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提供的方案较科学，内容较详细，较能满足采购需求的得3分；</w:t>
            </w:r>
          </w:p>
          <w:p w14:paraId="54A4AC50">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提供的响应方案有缺项漏项等得1分；</w:t>
            </w:r>
          </w:p>
          <w:p w14:paraId="281E300E">
            <w:pPr>
              <w:pStyle w:val="5"/>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未提供者不得分。</w:t>
            </w:r>
          </w:p>
        </w:tc>
      </w:tr>
      <w:tr w14:paraId="6AA9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239" w:type="dxa"/>
            <w:vMerge w:val="restart"/>
            <w:noWrap w:val="0"/>
            <w:vAlign w:val="center"/>
          </w:tcPr>
          <w:p w14:paraId="4B01BE32">
            <w:pPr>
              <w:keepNext w:val="0"/>
              <w:keepLines w:val="0"/>
              <w:pageBreakBefore w:val="0"/>
              <w:widowControl/>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评价</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rPr>
              <w:t>分）</w:t>
            </w:r>
          </w:p>
        </w:tc>
        <w:tc>
          <w:tcPr>
            <w:tcW w:w="1350" w:type="dxa"/>
            <w:tcBorders>
              <w:top w:val="single" w:color="auto" w:sz="4" w:space="0"/>
            </w:tcBorders>
            <w:noWrap w:val="0"/>
            <w:vAlign w:val="center"/>
          </w:tcPr>
          <w:p w14:paraId="5FDBF0E9">
            <w:pPr>
              <w:snapToGrid w:val="0"/>
              <w:spacing w:line="320" w:lineRule="exact"/>
              <w:jc w:val="center"/>
              <w:rPr>
                <w:rFonts w:ascii="宋体" w:cs="宋体"/>
                <w:szCs w:val="21"/>
              </w:rPr>
            </w:pPr>
            <w:r>
              <w:rPr>
                <w:rFonts w:ascii="宋体" w:hAnsi="宋体" w:cs="宋体"/>
                <w:szCs w:val="21"/>
              </w:rPr>
              <w:t>1.</w:t>
            </w:r>
            <w:r>
              <w:rPr>
                <w:rFonts w:hint="eastAsia" w:ascii="宋体" w:hAnsi="宋体" w:cs="宋体"/>
                <w:szCs w:val="21"/>
              </w:rPr>
              <w:t>服务团队</w:t>
            </w:r>
          </w:p>
          <w:p w14:paraId="58B9E678">
            <w:pPr>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分）</w:t>
            </w:r>
          </w:p>
        </w:tc>
        <w:tc>
          <w:tcPr>
            <w:tcW w:w="6893" w:type="dxa"/>
            <w:noWrap w:val="0"/>
            <w:vAlign w:val="center"/>
          </w:tcPr>
          <w:p w14:paraId="3C23BC99">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根据供应商针对本项目提供的人员配备方案进行评审：</w:t>
            </w:r>
          </w:p>
          <w:p w14:paraId="28C1342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人员配备安排合理、岗位职责明确、专业技术能力强、维保经验丰富，能完全满足采购需求的得10分；</w:t>
            </w:r>
          </w:p>
          <w:p w14:paraId="268B817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人员配备较合理、专业能力较强，经验较丰富，基本满足采购需求的得7分；</w:t>
            </w:r>
          </w:p>
          <w:p w14:paraId="1CECD940">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人员配备较合理，专业能力欠缺的得4分；</w:t>
            </w:r>
          </w:p>
          <w:p w14:paraId="0EEE743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人员配备不足，专业性难以满足采购需求的得1分；</w:t>
            </w:r>
          </w:p>
          <w:p w14:paraId="118E3A8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cs="宋体"/>
                <w:szCs w:val="21"/>
                <w:highlight w:val="none"/>
                <w:lang w:val="en-US" w:eastAsia="zh-CN"/>
              </w:rPr>
            </w:pPr>
            <w:r>
              <w:rPr>
                <w:rFonts w:hint="eastAsia" w:ascii="宋体" w:hAnsi="宋体" w:eastAsia="宋体" w:cs="宋体"/>
                <w:b w:val="0"/>
                <w:bCs w:val="0"/>
                <w:color w:val="auto"/>
                <w:sz w:val="21"/>
                <w:szCs w:val="21"/>
                <w:highlight w:val="none"/>
                <w:lang w:val="en-US" w:eastAsia="zh-CN"/>
              </w:rPr>
              <w:t>未提供不得分。</w:t>
            </w:r>
          </w:p>
        </w:tc>
      </w:tr>
      <w:tr w14:paraId="2571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14:paraId="01DA6058">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1350" w:type="dxa"/>
            <w:noWrap w:val="0"/>
            <w:vAlign w:val="center"/>
          </w:tcPr>
          <w:p w14:paraId="6F62F010">
            <w:pPr>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ascii="宋体" w:hAnsi="宋体" w:cs="宋体"/>
                <w:szCs w:val="21"/>
              </w:rPr>
              <w:t>2.</w:t>
            </w:r>
            <w:r>
              <w:rPr>
                <w:rFonts w:hint="eastAsia" w:ascii="宋体" w:hAnsi="宋体" w:cs="宋体"/>
                <w:szCs w:val="21"/>
              </w:rPr>
              <w:t>类似业绩（</w:t>
            </w:r>
            <w:r>
              <w:rPr>
                <w:rFonts w:hint="eastAsia" w:ascii="宋体" w:hAnsi="宋体" w:cs="宋体"/>
                <w:szCs w:val="21"/>
                <w:lang w:val="en-US" w:eastAsia="zh-CN"/>
              </w:rPr>
              <w:t>6</w:t>
            </w:r>
            <w:r>
              <w:rPr>
                <w:rFonts w:hint="eastAsia" w:ascii="宋体" w:hAnsi="宋体" w:cs="宋体"/>
                <w:szCs w:val="21"/>
              </w:rPr>
              <w:t>分）</w:t>
            </w:r>
          </w:p>
        </w:tc>
        <w:tc>
          <w:tcPr>
            <w:tcW w:w="6893" w:type="dxa"/>
            <w:noWrap w:val="0"/>
            <w:vAlign w:val="center"/>
          </w:tcPr>
          <w:p w14:paraId="10E1B4EA">
            <w:pPr>
              <w:widowControl/>
              <w:snapToGrid w:val="0"/>
              <w:spacing w:line="320" w:lineRule="exact"/>
              <w:jc w:val="left"/>
              <w:rPr>
                <w:rFonts w:hint="eastAsia" w:ascii="宋体" w:hAnsi="宋体" w:eastAsia="宋体" w:cs="宋体"/>
                <w:kern w:val="2"/>
                <w:sz w:val="21"/>
                <w:szCs w:val="24"/>
                <w:lang w:val="en-US" w:eastAsia="zh-CN" w:bidi="ar-SA"/>
              </w:rPr>
            </w:pPr>
            <w:r>
              <w:rPr>
                <w:rFonts w:hint="eastAsia" w:ascii="宋体" w:hAnsi="宋体" w:cs="宋体"/>
              </w:rPr>
              <w:t>供应商</w:t>
            </w:r>
            <w:r>
              <w:rPr>
                <w:rFonts w:ascii="宋体" w:hAnsi="宋体" w:cs="宋体"/>
              </w:rPr>
              <w:t>202</w:t>
            </w:r>
            <w:r>
              <w:rPr>
                <w:rFonts w:hint="eastAsia" w:ascii="宋体" w:hAnsi="宋体" w:cs="宋体"/>
                <w:lang w:val="en-US" w:eastAsia="zh-CN"/>
              </w:rPr>
              <w:t>3</w:t>
            </w:r>
            <w:r>
              <w:rPr>
                <w:rFonts w:hint="eastAsia" w:ascii="宋体" w:hAnsi="宋体" w:cs="宋体"/>
              </w:rPr>
              <w:t>年</w:t>
            </w:r>
            <w:r>
              <w:rPr>
                <w:rFonts w:ascii="宋体" w:hAnsi="宋体" w:cs="宋体"/>
              </w:rPr>
              <w:t>1</w:t>
            </w:r>
            <w:r>
              <w:rPr>
                <w:rFonts w:hint="eastAsia" w:ascii="宋体" w:hAnsi="宋体" w:cs="宋体"/>
              </w:rPr>
              <w:t>月</w:t>
            </w:r>
            <w:r>
              <w:rPr>
                <w:rFonts w:ascii="宋体" w:hAnsi="宋体" w:cs="宋体"/>
              </w:rPr>
              <w:t>1</w:t>
            </w:r>
            <w:r>
              <w:rPr>
                <w:rFonts w:hint="eastAsia" w:ascii="宋体" w:hAnsi="宋体" w:cs="宋体"/>
              </w:rPr>
              <w:t>日具有的类似服务业绩</w:t>
            </w:r>
            <w:r>
              <w:rPr>
                <w:rFonts w:ascii="宋体" w:hAnsi="宋体" w:cs="宋体"/>
              </w:rPr>
              <w:t>(</w:t>
            </w:r>
            <w:r>
              <w:rPr>
                <w:rFonts w:hint="eastAsia" w:ascii="宋体" w:hAnsi="宋体" w:cs="宋体"/>
              </w:rPr>
              <w:t>以合同文件为准），每提供一份得</w:t>
            </w:r>
            <w:r>
              <w:rPr>
                <w:rFonts w:hint="eastAsia" w:ascii="宋体" w:hAnsi="宋体" w:cs="宋体"/>
                <w:lang w:val="en-US" w:eastAsia="zh-CN"/>
              </w:rPr>
              <w:t>2</w:t>
            </w:r>
            <w:r>
              <w:rPr>
                <w:rFonts w:hint="eastAsia" w:ascii="宋体" w:hAnsi="宋体" w:cs="宋体"/>
              </w:rPr>
              <w:t>分，最多得6分。</w:t>
            </w:r>
          </w:p>
        </w:tc>
      </w:tr>
    </w:tbl>
    <w:p w14:paraId="68F8709E">
      <w:pPr>
        <w:rPr>
          <w:rFonts w:hint="eastAsia" w:ascii="宋体" w:hAnsi="宋体" w:cs="宋体"/>
          <w:b/>
        </w:rPr>
      </w:pPr>
      <w:r>
        <w:rPr>
          <w:rFonts w:hint="eastAsia" w:ascii="宋体" w:hAnsi="宋体" w:cs="宋体"/>
          <w:b/>
        </w:rPr>
        <w:br w:type="page"/>
      </w:r>
    </w:p>
    <w:bookmarkEnd w:id="56"/>
    <w:p w14:paraId="1E053FEE">
      <w:pPr>
        <w:rPr>
          <w:rFonts w:hint="eastAsia" w:ascii="宋体" w:hAnsi="宋体" w:cs="宋体"/>
        </w:rPr>
      </w:pPr>
      <w:bookmarkStart w:id="59" w:name="_Toc1947"/>
      <w:bookmarkStart w:id="60" w:name="_Toc1482"/>
      <w:bookmarkStart w:id="61" w:name="_Toc326786897"/>
      <w:bookmarkStart w:id="62" w:name="_Toc256519703"/>
    </w:p>
    <w:p w14:paraId="4A7261D4">
      <w:pPr>
        <w:pStyle w:val="3"/>
        <w:snapToGrid w:val="0"/>
        <w:spacing w:before="0" w:after="0" w:line="480" w:lineRule="auto"/>
        <w:jc w:val="center"/>
        <w:rPr>
          <w:rFonts w:hint="eastAsia" w:ascii="宋体" w:hAnsi="宋体" w:cs="宋体"/>
          <w:sz w:val="28"/>
          <w:szCs w:val="28"/>
        </w:rPr>
      </w:pPr>
      <w:bookmarkStart w:id="63" w:name="_Toc16679"/>
      <w:r>
        <w:rPr>
          <w:rFonts w:hint="eastAsia" w:ascii="宋体" w:hAnsi="宋体" w:cs="宋体"/>
          <w:sz w:val="28"/>
          <w:szCs w:val="28"/>
        </w:rPr>
        <w:t>第五章  采购合同</w:t>
      </w:r>
      <w:bookmarkEnd w:id="63"/>
    </w:p>
    <w:p w14:paraId="211FF016">
      <w:pPr>
        <w:snapToGrid w:val="0"/>
        <w:spacing w:line="360" w:lineRule="auto"/>
        <w:jc w:val="center"/>
        <w:rPr>
          <w:rFonts w:hint="eastAsia" w:ascii="宋体" w:hAnsi="宋体" w:cs="宋体"/>
          <w:szCs w:val="21"/>
        </w:rPr>
      </w:pPr>
      <w:r>
        <w:rPr>
          <w:rFonts w:hint="eastAsia" w:ascii="宋体" w:hAnsi="宋体" w:cs="宋体"/>
          <w:szCs w:val="21"/>
        </w:rPr>
        <w:t>（以实际合同为准）</w:t>
      </w:r>
    </w:p>
    <w:p w14:paraId="614A4F50">
      <w:pPr>
        <w:rPr>
          <w:rFonts w:hint="eastAsia" w:ascii="宋体" w:hAnsi="宋体" w:cs="宋体"/>
          <w:sz w:val="32"/>
          <w:szCs w:val="32"/>
        </w:rPr>
      </w:pPr>
    </w:p>
    <w:p w14:paraId="7AD1894D">
      <w:pPr>
        <w:rPr>
          <w:rFonts w:hint="eastAsia" w:ascii="宋体" w:hAnsi="宋体" w:cs="宋体"/>
        </w:rPr>
      </w:pPr>
      <w:r>
        <w:rPr>
          <w:rFonts w:hint="eastAsia" w:ascii="宋体" w:hAnsi="宋体" w:cs="宋体"/>
        </w:rPr>
        <w:br w:type="page"/>
      </w:r>
    </w:p>
    <w:p w14:paraId="538D35A0">
      <w:pPr>
        <w:pStyle w:val="32"/>
        <w:ind w:firstLine="210"/>
        <w:rPr>
          <w:rFonts w:hint="eastAsia" w:ascii="宋体" w:hAnsi="宋体" w:cs="宋体"/>
        </w:rPr>
      </w:pPr>
    </w:p>
    <w:p w14:paraId="6B4F0F44">
      <w:pPr>
        <w:pStyle w:val="3"/>
        <w:jc w:val="center"/>
        <w:rPr>
          <w:rFonts w:hint="eastAsia" w:ascii="宋体" w:hAnsi="宋体" w:cs="宋体"/>
          <w:kern w:val="0"/>
        </w:rPr>
      </w:pPr>
      <w:bookmarkStart w:id="64" w:name="_Toc6162"/>
      <w:r>
        <w:rPr>
          <w:rFonts w:hint="eastAsia" w:ascii="宋体" w:hAnsi="宋体" w:cs="宋体"/>
          <w:sz w:val="32"/>
          <w:szCs w:val="32"/>
        </w:rPr>
        <w:t>第六章  响应文件格式</w:t>
      </w:r>
      <w:bookmarkEnd w:id="59"/>
      <w:bookmarkEnd w:id="60"/>
      <w:bookmarkEnd w:id="64"/>
    </w:p>
    <w:p w14:paraId="5309A33B">
      <w:pPr>
        <w:spacing w:line="440" w:lineRule="exact"/>
        <w:rPr>
          <w:rFonts w:hint="eastAsia" w:ascii="宋体" w:hAnsi="宋体" w:cs="宋体"/>
          <w:sz w:val="24"/>
        </w:rPr>
      </w:pPr>
    </w:p>
    <w:p w14:paraId="33C7EE45">
      <w:pPr>
        <w:jc w:val="center"/>
        <w:rPr>
          <w:rFonts w:hint="eastAsia" w:ascii="宋体" w:hAnsi="宋体" w:cs="宋体"/>
          <w:b/>
          <w:bCs/>
          <w:sz w:val="32"/>
          <w:szCs w:val="32"/>
        </w:rPr>
      </w:pPr>
      <w:bookmarkStart w:id="65" w:name="_Toc13604"/>
      <w:r>
        <w:rPr>
          <w:rFonts w:hint="eastAsia" w:ascii="宋体" w:hAnsi="宋体" w:cs="宋体"/>
          <w:b/>
          <w:bCs/>
          <w:sz w:val="32"/>
          <w:szCs w:val="32"/>
        </w:rPr>
        <w:t>目    录</w:t>
      </w:r>
      <w:bookmarkEnd w:id="65"/>
    </w:p>
    <w:p w14:paraId="180C8CC2">
      <w:pPr>
        <w:widowControl/>
        <w:wordWrap w:val="0"/>
        <w:spacing w:line="460" w:lineRule="exact"/>
        <w:ind w:firstLine="480" w:firstLineChars="200"/>
        <w:jc w:val="left"/>
        <w:rPr>
          <w:rFonts w:hint="eastAsia" w:ascii="宋体" w:hAnsi="宋体" w:cs="宋体"/>
          <w:kern w:val="0"/>
          <w:sz w:val="24"/>
        </w:rPr>
      </w:pPr>
    </w:p>
    <w:p w14:paraId="3480B117">
      <w:pPr>
        <w:widowControl/>
        <w:wordWrap w:val="0"/>
        <w:spacing w:line="460" w:lineRule="exact"/>
        <w:ind w:firstLine="480" w:firstLineChars="200"/>
        <w:jc w:val="left"/>
        <w:rPr>
          <w:rFonts w:hint="eastAsia" w:ascii="宋体" w:hAnsi="宋体" w:cs="宋体"/>
          <w:kern w:val="0"/>
          <w:sz w:val="24"/>
        </w:rPr>
      </w:pPr>
    </w:p>
    <w:p w14:paraId="48168530">
      <w:pPr>
        <w:snapToGrid w:val="0"/>
        <w:spacing w:line="360" w:lineRule="auto"/>
        <w:ind w:firstLine="480" w:firstLineChars="200"/>
        <w:rPr>
          <w:rFonts w:hint="eastAsia" w:ascii="宋体" w:hAnsi="宋体" w:cs="宋体"/>
          <w:sz w:val="24"/>
        </w:rPr>
      </w:pPr>
      <w:bookmarkStart w:id="66" w:name="_Toc11308"/>
      <w:r>
        <w:rPr>
          <w:rFonts w:hint="eastAsia" w:ascii="宋体" w:hAnsi="宋体" w:cs="宋体"/>
          <w:sz w:val="24"/>
        </w:rPr>
        <w:t>附件1 响应文件封面（格式）</w:t>
      </w:r>
      <w:bookmarkEnd w:id="66"/>
    </w:p>
    <w:p w14:paraId="2300675E">
      <w:pPr>
        <w:snapToGrid w:val="0"/>
        <w:spacing w:line="360" w:lineRule="auto"/>
        <w:ind w:firstLine="480" w:firstLineChars="200"/>
        <w:rPr>
          <w:rFonts w:hint="eastAsia" w:ascii="宋体" w:hAnsi="宋体" w:cs="宋体"/>
          <w:sz w:val="24"/>
        </w:rPr>
      </w:pPr>
      <w:bookmarkStart w:id="67" w:name="_Toc25345"/>
      <w:r>
        <w:rPr>
          <w:rFonts w:hint="eastAsia" w:ascii="宋体" w:hAnsi="宋体" w:cs="宋体"/>
          <w:sz w:val="24"/>
        </w:rPr>
        <w:t>附件2 竞争性磋商响应书（格式）</w:t>
      </w:r>
      <w:bookmarkEnd w:id="67"/>
    </w:p>
    <w:p w14:paraId="618A4E53">
      <w:pPr>
        <w:snapToGrid w:val="0"/>
        <w:spacing w:line="360" w:lineRule="auto"/>
        <w:ind w:firstLine="480" w:firstLineChars="200"/>
        <w:rPr>
          <w:rFonts w:hint="eastAsia" w:ascii="宋体" w:hAnsi="宋体" w:cs="宋体"/>
          <w:sz w:val="24"/>
        </w:rPr>
      </w:pPr>
      <w:bookmarkStart w:id="68" w:name="_Toc10217"/>
      <w:r>
        <w:rPr>
          <w:rFonts w:hint="eastAsia" w:ascii="宋体" w:hAnsi="宋体" w:cs="宋体"/>
          <w:sz w:val="24"/>
        </w:rPr>
        <w:t>附件3 初次报价一览表（格式）</w:t>
      </w:r>
      <w:bookmarkEnd w:id="68"/>
    </w:p>
    <w:p w14:paraId="11EBA371">
      <w:pPr>
        <w:snapToGrid w:val="0"/>
        <w:spacing w:line="360" w:lineRule="auto"/>
        <w:ind w:firstLine="480" w:firstLineChars="200"/>
        <w:rPr>
          <w:rFonts w:hint="eastAsia" w:ascii="宋体" w:hAnsi="宋体" w:cs="宋体"/>
          <w:sz w:val="24"/>
        </w:rPr>
      </w:pPr>
      <w:bookmarkStart w:id="69" w:name="_Toc9579"/>
      <w:r>
        <w:rPr>
          <w:rFonts w:hint="eastAsia" w:ascii="宋体" w:hAnsi="宋体" w:cs="宋体"/>
          <w:sz w:val="24"/>
        </w:rPr>
        <w:t xml:space="preserve">附件4 </w:t>
      </w:r>
      <w:bookmarkEnd w:id="69"/>
      <w:r>
        <w:rPr>
          <w:rFonts w:hint="eastAsia" w:ascii="宋体" w:hAnsi="宋体" w:cs="宋体"/>
          <w:sz w:val="24"/>
        </w:rPr>
        <w:t>技术响应表（格式）</w:t>
      </w:r>
    </w:p>
    <w:p w14:paraId="021CB847">
      <w:pPr>
        <w:snapToGrid w:val="0"/>
        <w:spacing w:line="360" w:lineRule="auto"/>
        <w:ind w:firstLine="480" w:firstLineChars="200"/>
        <w:rPr>
          <w:rFonts w:hint="eastAsia" w:ascii="宋体" w:hAnsi="宋体" w:cs="宋体"/>
          <w:sz w:val="24"/>
        </w:rPr>
      </w:pPr>
      <w:bookmarkStart w:id="70" w:name="_Toc6234"/>
      <w:r>
        <w:rPr>
          <w:rFonts w:hint="eastAsia" w:ascii="宋体" w:hAnsi="宋体" w:cs="宋体"/>
          <w:sz w:val="24"/>
        </w:rPr>
        <w:t>附件</w:t>
      </w:r>
      <w:r>
        <w:rPr>
          <w:rFonts w:hint="eastAsia" w:ascii="宋体" w:hAnsi="宋体" w:cs="宋体"/>
          <w:sz w:val="24"/>
          <w:lang w:val="en-US" w:eastAsia="zh-CN"/>
        </w:rPr>
        <w:t>5</w:t>
      </w:r>
      <w:r>
        <w:rPr>
          <w:rFonts w:hint="eastAsia" w:ascii="宋体" w:hAnsi="宋体" w:cs="宋体"/>
          <w:sz w:val="24"/>
        </w:rPr>
        <w:t xml:space="preserve"> 商务</w:t>
      </w:r>
      <w:bookmarkEnd w:id="70"/>
      <w:r>
        <w:rPr>
          <w:rFonts w:hint="eastAsia" w:ascii="宋体" w:hAnsi="宋体" w:cs="宋体"/>
          <w:sz w:val="24"/>
        </w:rPr>
        <w:t>响应表（格式）</w:t>
      </w:r>
    </w:p>
    <w:p w14:paraId="22D634E4">
      <w:pPr>
        <w:snapToGrid w:val="0"/>
        <w:spacing w:line="360" w:lineRule="auto"/>
        <w:ind w:firstLine="480" w:firstLineChars="200"/>
        <w:rPr>
          <w:rFonts w:hint="eastAsia" w:ascii="宋体" w:hAnsi="宋体" w:cs="宋体"/>
          <w:sz w:val="24"/>
        </w:rPr>
      </w:pPr>
      <w:bookmarkStart w:id="71" w:name="_Toc26231"/>
      <w:r>
        <w:rPr>
          <w:rFonts w:hint="eastAsia" w:ascii="宋体" w:hAnsi="宋体" w:cs="宋体"/>
          <w:sz w:val="24"/>
        </w:rPr>
        <w:t>附件</w:t>
      </w:r>
      <w:r>
        <w:rPr>
          <w:rFonts w:hint="eastAsia" w:ascii="宋体" w:hAnsi="宋体" w:cs="宋体"/>
          <w:sz w:val="24"/>
          <w:lang w:val="en-US" w:eastAsia="zh-CN"/>
        </w:rPr>
        <w:t>6</w:t>
      </w:r>
      <w:r>
        <w:rPr>
          <w:rFonts w:hint="eastAsia" w:ascii="宋体" w:hAnsi="宋体" w:cs="宋体"/>
          <w:sz w:val="24"/>
        </w:rPr>
        <w:t xml:space="preserve"> 法定代表人身份证明（格式）</w:t>
      </w:r>
      <w:bookmarkEnd w:id="71"/>
    </w:p>
    <w:p w14:paraId="0EB7D20B">
      <w:pPr>
        <w:snapToGrid w:val="0"/>
        <w:spacing w:line="360" w:lineRule="auto"/>
        <w:ind w:firstLine="480" w:firstLineChars="200"/>
        <w:rPr>
          <w:rFonts w:hint="eastAsia" w:ascii="宋体" w:hAnsi="宋体" w:cs="宋体"/>
          <w:sz w:val="24"/>
        </w:rPr>
      </w:pPr>
      <w:bookmarkStart w:id="72" w:name="_Toc18484"/>
      <w:r>
        <w:rPr>
          <w:rFonts w:hint="eastAsia" w:ascii="宋体" w:hAnsi="宋体" w:cs="宋体"/>
          <w:sz w:val="24"/>
        </w:rPr>
        <w:t>附件</w:t>
      </w:r>
      <w:r>
        <w:rPr>
          <w:rFonts w:hint="eastAsia" w:ascii="宋体" w:hAnsi="宋体" w:cs="宋体"/>
          <w:sz w:val="24"/>
          <w:lang w:val="en-US" w:eastAsia="zh-CN"/>
        </w:rPr>
        <w:t>7</w:t>
      </w:r>
      <w:r>
        <w:rPr>
          <w:rFonts w:hint="eastAsia" w:ascii="宋体" w:hAnsi="宋体" w:cs="宋体"/>
          <w:sz w:val="24"/>
        </w:rPr>
        <w:t xml:space="preserve"> 法定代表人授权书（格式）</w:t>
      </w:r>
      <w:bookmarkEnd w:id="72"/>
    </w:p>
    <w:p w14:paraId="3D01B7DA">
      <w:pPr>
        <w:snapToGrid w:val="0"/>
        <w:spacing w:line="360" w:lineRule="auto"/>
        <w:ind w:firstLine="480" w:firstLineChars="200"/>
        <w:rPr>
          <w:rFonts w:hint="eastAsia" w:ascii="宋体" w:hAnsi="宋体" w:cs="宋体"/>
          <w:sz w:val="24"/>
        </w:rPr>
      </w:pPr>
      <w:bookmarkStart w:id="73" w:name="_Toc31857"/>
      <w:r>
        <w:rPr>
          <w:rFonts w:hint="eastAsia" w:ascii="宋体" w:hAnsi="宋体" w:cs="宋体"/>
          <w:sz w:val="24"/>
        </w:rPr>
        <w:t>附件</w:t>
      </w:r>
      <w:r>
        <w:rPr>
          <w:rFonts w:hint="eastAsia" w:ascii="宋体" w:hAnsi="宋体" w:cs="宋体"/>
          <w:sz w:val="24"/>
          <w:lang w:val="en-US" w:eastAsia="zh-CN"/>
        </w:rPr>
        <w:t>8</w:t>
      </w:r>
      <w:r>
        <w:rPr>
          <w:rFonts w:hint="eastAsia" w:ascii="宋体" w:hAnsi="宋体" w:cs="宋体"/>
          <w:sz w:val="24"/>
        </w:rPr>
        <w:t xml:space="preserve"> 证明文件</w:t>
      </w:r>
      <w:bookmarkEnd w:id="73"/>
    </w:p>
    <w:p w14:paraId="38BC2C1E">
      <w:pPr>
        <w:snapToGrid w:val="0"/>
        <w:spacing w:line="360" w:lineRule="auto"/>
        <w:ind w:firstLine="480" w:firstLineChars="200"/>
        <w:rPr>
          <w:rFonts w:hint="eastAsia" w:ascii="宋体" w:hAnsi="宋体" w:cs="宋体"/>
          <w:sz w:val="24"/>
        </w:rPr>
      </w:pPr>
    </w:p>
    <w:p w14:paraId="25F547DA">
      <w:pPr>
        <w:pStyle w:val="32"/>
        <w:ind w:firstLine="210"/>
        <w:rPr>
          <w:rFonts w:hint="eastAsia" w:ascii="宋体" w:hAnsi="宋体" w:cs="宋体"/>
        </w:rPr>
      </w:pPr>
    </w:p>
    <w:p w14:paraId="4DD23E93">
      <w:pPr>
        <w:widowControl/>
        <w:wordWrap w:val="0"/>
        <w:snapToGrid w:val="0"/>
        <w:spacing w:line="460" w:lineRule="exact"/>
        <w:ind w:firstLine="482" w:firstLineChars="200"/>
        <w:jc w:val="center"/>
        <w:rPr>
          <w:rFonts w:hint="eastAsia" w:ascii="宋体" w:hAnsi="宋体" w:cs="宋体"/>
          <w:b/>
          <w:bCs/>
          <w:kern w:val="0"/>
          <w:sz w:val="24"/>
        </w:rPr>
      </w:pPr>
    </w:p>
    <w:p w14:paraId="15B77914">
      <w:pPr>
        <w:widowControl/>
        <w:wordWrap w:val="0"/>
        <w:snapToGrid w:val="0"/>
        <w:spacing w:line="460" w:lineRule="exact"/>
        <w:ind w:firstLine="482" w:firstLineChars="200"/>
        <w:jc w:val="center"/>
        <w:rPr>
          <w:rFonts w:hint="eastAsia" w:ascii="宋体" w:hAnsi="宋体" w:cs="宋体"/>
          <w:b/>
          <w:bCs/>
          <w:kern w:val="0"/>
          <w:sz w:val="24"/>
        </w:rPr>
      </w:pPr>
    </w:p>
    <w:p w14:paraId="3AACA86B">
      <w:pPr>
        <w:widowControl/>
        <w:wordWrap w:val="0"/>
        <w:snapToGrid w:val="0"/>
        <w:spacing w:line="460" w:lineRule="exact"/>
        <w:ind w:firstLine="482" w:firstLineChars="200"/>
        <w:jc w:val="center"/>
        <w:rPr>
          <w:rFonts w:hint="eastAsia" w:ascii="宋体" w:hAnsi="宋体" w:cs="宋体"/>
          <w:b/>
          <w:bCs/>
          <w:kern w:val="0"/>
          <w:sz w:val="24"/>
        </w:rPr>
      </w:pPr>
    </w:p>
    <w:p w14:paraId="0CC5D489">
      <w:pPr>
        <w:pStyle w:val="4"/>
        <w:rPr>
          <w:rFonts w:hint="eastAsia" w:ascii="宋体" w:hAnsi="宋体" w:cs="宋体"/>
          <w:b/>
          <w:bCs/>
          <w:kern w:val="0"/>
          <w:sz w:val="24"/>
        </w:rPr>
      </w:pPr>
    </w:p>
    <w:p w14:paraId="1C774012">
      <w:pPr>
        <w:pStyle w:val="5"/>
        <w:rPr>
          <w:rFonts w:hint="eastAsia" w:hAnsi="宋体"/>
          <w:b/>
          <w:bCs/>
          <w:color w:val="auto"/>
        </w:rPr>
      </w:pPr>
    </w:p>
    <w:p w14:paraId="25E1C423">
      <w:pPr>
        <w:pStyle w:val="5"/>
        <w:rPr>
          <w:rFonts w:hint="eastAsia" w:hAnsi="宋体"/>
          <w:b/>
          <w:bCs/>
          <w:color w:val="auto"/>
        </w:rPr>
      </w:pPr>
    </w:p>
    <w:p w14:paraId="612E4522">
      <w:pPr>
        <w:rPr>
          <w:rFonts w:hint="eastAsia" w:ascii="宋体" w:hAnsi="宋体" w:cs="宋体"/>
        </w:rPr>
      </w:pPr>
      <w:r>
        <w:rPr>
          <w:rFonts w:hint="eastAsia" w:ascii="宋体" w:hAnsi="宋体" w:cs="宋体"/>
        </w:rPr>
        <w:br w:type="page"/>
      </w:r>
    </w:p>
    <w:p w14:paraId="471F2210">
      <w:pPr>
        <w:pStyle w:val="27"/>
        <w:rPr>
          <w:rFonts w:hint="eastAsia" w:ascii="宋体" w:hAnsi="宋体" w:cs="宋体"/>
        </w:rPr>
      </w:pPr>
    </w:p>
    <w:p w14:paraId="106A8B32">
      <w:pPr>
        <w:pStyle w:val="2"/>
        <w:snapToGrid w:val="0"/>
        <w:spacing w:before="20" w:after="20" w:line="360" w:lineRule="auto"/>
        <w:rPr>
          <w:rFonts w:hint="eastAsia" w:ascii="宋体" w:hAnsi="宋体" w:eastAsia="宋体" w:cs="宋体"/>
          <w:sz w:val="28"/>
          <w:szCs w:val="28"/>
        </w:rPr>
      </w:pPr>
      <w:bookmarkStart w:id="74" w:name="_Toc24743"/>
      <w:bookmarkStart w:id="75" w:name="_Toc31798"/>
      <w:r>
        <w:rPr>
          <w:rFonts w:hint="eastAsia" w:ascii="宋体" w:hAnsi="宋体" w:eastAsia="宋体" w:cs="宋体"/>
          <w:sz w:val="28"/>
          <w:szCs w:val="28"/>
        </w:rPr>
        <w:t>附件1               响应文件封面（格式）</w:t>
      </w:r>
      <w:bookmarkEnd w:id="74"/>
      <w:bookmarkEnd w:id="75"/>
    </w:p>
    <w:p w14:paraId="626AA64C">
      <w:pPr>
        <w:widowControl/>
        <w:wordWrap w:val="0"/>
        <w:spacing w:line="460" w:lineRule="exact"/>
        <w:ind w:firstLine="482" w:firstLineChars="200"/>
        <w:jc w:val="center"/>
        <w:rPr>
          <w:rFonts w:hint="eastAsia" w:ascii="宋体" w:hAnsi="宋体" w:cs="宋体"/>
          <w:b/>
          <w:kern w:val="0"/>
          <w:sz w:val="24"/>
        </w:rPr>
      </w:pPr>
    </w:p>
    <w:p w14:paraId="307AA719">
      <w:pPr>
        <w:snapToGrid w:val="0"/>
        <w:spacing w:line="360" w:lineRule="auto"/>
        <w:jc w:val="center"/>
        <w:rPr>
          <w:rFonts w:hint="eastAsia" w:ascii="宋体" w:hAnsi="宋体" w:cs="宋体"/>
          <w:b/>
          <w:spacing w:val="90"/>
          <w:sz w:val="52"/>
          <w:szCs w:val="52"/>
        </w:rPr>
      </w:pPr>
      <w:r>
        <w:rPr>
          <w:rFonts w:hint="eastAsia" w:ascii="宋体" w:hAnsi="宋体" w:cs="宋体"/>
          <w:b/>
          <w:snapToGrid w:val="0"/>
          <w:kern w:val="0"/>
          <w:sz w:val="44"/>
          <w:szCs w:val="44"/>
        </w:rPr>
        <w:t>驻马店市中心医院</w:t>
      </w:r>
      <w:r>
        <w:rPr>
          <w:rFonts w:hint="eastAsia" w:ascii="宋体" w:hAnsi="宋体" w:cs="宋体"/>
          <w:b/>
          <w:snapToGrid w:val="0"/>
          <w:kern w:val="0"/>
          <w:sz w:val="44"/>
          <w:szCs w:val="44"/>
          <w:u w:val="single"/>
        </w:rPr>
        <w:t xml:space="preserve">      </w:t>
      </w:r>
      <w:r>
        <w:rPr>
          <w:rFonts w:hint="eastAsia" w:ascii="宋体" w:hAnsi="宋体" w:cs="宋体"/>
          <w:b/>
          <w:snapToGrid w:val="0"/>
          <w:kern w:val="0"/>
          <w:sz w:val="44"/>
          <w:szCs w:val="44"/>
        </w:rPr>
        <w:t>项目</w:t>
      </w:r>
    </w:p>
    <w:p w14:paraId="6C693CBA">
      <w:pPr>
        <w:snapToGrid w:val="0"/>
        <w:spacing w:line="360" w:lineRule="auto"/>
        <w:jc w:val="center"/>
        <w:rPr>
          <w:rFonts w:hint="eastAsia" w:ascii="宋体" w:hAnsi="宋体" w:cs="宋体"/>
          <w:b/>
          <w:spacing w:val="90"/>
          <w:sz w:val="52"/>
          <w:szCs w:val="52"/>
        </w:rPr>
      </w:pPr>
      <w:r>
        <w:rPr>
          <w:rFonts w:hint="eastAsia" w:ascii="宋体" w:hAnsi="宋体" w:cs="宋体"/>
          <w:b/>
          <w:spacing w:val="90"/>
          <w:sz w:val="52"/>
          <w:szCs w:val="52"/>
        </w:rPr>
        <w:t>响应文件</w:t>
      </w:r>
    </w:p>
    <w:p w14:paraId="1C4B92D3">
      <w:pPr>
        <w:spacing w:line="360" w:lineRule="auto"/>
        <w:rPr>
          <w:rFonts w:hint="eastAsia" w:ascii="宋体" w:hAnsi="宋体" w:cs="宋体"/>
          <w:sz w:val="28"/>
        </w:rPr>
      </w:pPr>
    </w:p>
    <w:p w14:paraId="1A4C67D2">
      <w:pPr>
        <w:pStyle w:val="5"/>
        <w:spacing w:line="360" w:lineRule="auto"/>
        <w:rPr>
          <w:rFonts w:hint="eastAsia" w:hAnsi="宋体"/>
          <w:color w:val="auto"/>
        </w:rPr>
      </w:pPr>
    </w:p>
    <w:p w14:paraId="00379B7D">
      <w:pPr>
        <w:pStyle w:val="5"/>
        <w:spacing w:line="360" w:lineRule="auto"/>
        <w:rPr>
          <w:rFonts w:hint="eastAsia" w:hAnsi="宋体"/>
          <w:color w:val="auto"/>
        </w:rPr>
      </w:pPr>
    </w:p>
    <w:p w14:paraId="7054C6BA">
      <w:pPr>
        <w:spacing w:line="360" w:lineRule="auto"/>
        <w:rPr>
          <w:rFonts w:hint="eastAsia" w:ascii="宋体" w:hAnsi="宋体" w:cs="宋体"/>
          <w:sz w:val="28"/>
        </w:rPr>
      </w:pPr>
    </w:p>
    <w:p w14:paraId="7F58AFE0">
      <w:pPr>
        <w:spacing w:line="360" w:lineRule="auto"/>
        <w:rPr>
          <w:rFonts w:hint="eastAsia" w:ascii="宋体" w:hAnsi="宋体" w:cs="宋体"/>
          <w:sz w:val="28"/>
        </w:rPr>
      </w:pPr>
    </w:p>
    <w:p w14:paraId="08601898">
      <w:pPr>
        <w:spacing w:line="360" w:lineRule="auto"/>
        <w:rPr>
          <w:rFonts w:hint="eastAsia" w:ascii="宋体" w:hAnsi="宋体" w:cs="宋体"/>
          <w:sz w:val="28"/>
        </w:rPr>
      </w:pPr>
    </w:p>
    <w:p w14:paraId="699C2834">
      <w:pPr>
        <w:spacing w:line="360" w:lineRule="auto"/>
        <w:rPr>
          <w:rFonts w:hint="eastAsia" w:ascii="宋体" w:hAnsi="宋体" w:cs="宋体"/>
          <w:sz w:val="28"/>
        </w:rPr>
      </w:pPr>
    </w:p>
    <w:p w14:paraId="26BF3A72">
      <w:pPr>
        <w:spacing w:line="360" w:lineRule="auto"/>
        <w:rPr>
          <w:rFonts w:hint="eastAsia" w:ascii="宋体" w:hAnsi="宋体" w:cs="宋体"/>
          <w:sz w:val="28"/>
        </w:rPr>
      </w:pPr>
    </w:p>
    <w:p w14:paraId="1131DBF1">
      <w:pPr>
        <w:pStyle w:val="22"/>
        <w:rPr>
          <w:rFonts w:hint="eastAsia" w:ascii="宋体" w:hAnsi="宋体" w:cs="宋体"/>
          <w:sz w:val="28"/>
        </w:rPr>
      </w:pPr>
    </w:p>
    <w:p w14:paraId="40CF6CB1">
      <w:pPr>
        <w:pStyle w:val="22"/>
        <w:rPr>
          <w:rFonts w:hint="eastAsia" w:ascii="宋体" w:hAnsi="宋体" w:cs="宋体"/>
          <w:sz w:val="28"/>
        </w:rPr>
      </w:pPr>
    </w:p>
    <w:p w14:paraId="7089885B">
      <w:pPr>
        <w:pStyle w:val="22"/>
        <w:rPr>
          <w:rFonts w:hint="eastAsia" w:ascii="宋体" w:hAnsi="宋体" w:cs="宋体"/>
          <w:sz w:val="28"/>
        </w:rPr>
      </w:pPr>
    </w:p>
    <w:p w14:paraId="674104E4">
      <w:pPr>
        <w:spacing w:line="360" w:lineRule="auto"/>
        <w:rPr>
          <w:rFonts w:hint="eastAsia" w:ascii="宋体" w:hAnsi="宋体" w:cs="宋体"/>
          <w:sz w:val="28"/>
        </w:rPr>
      </w:pPr>
    </w:p>
    <w:p w14:paraId="44658627">
      <w:pPr>
        <w:spacing w:line="360" w:lineRule="auto"/>
        <w:jc w:val="center"/>
        <w:rPr>
          <w:rFonts w:hint="eastAsia"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（全称并加盖公章）</w:t>
      </w:r>
    </w:p>
    <w:p w14:paraId="05D87285">
      <w:pPr>
        <w:widowControl/>
        <w:wordWrap w:val="0"/>
        <w:spacing w:line="460" w:lineRule="exact"/>
        <w:jc w:val="center"/>
        <w:rPr>
          <w:rFonts w:hint="eastAsia" w:ascii="宋体" w:hAnsi="宋体" w:cs="宋体"/>
          <w:sz w:val="28"/>
          <w:szCs w:val="28"/>
          <w:u w:val="single"/>
        </w:rPr>
      </w:pPr>
      <w:r>
        <w:rPr>
          <w:rFonts w:hint="eastAsia" w:ascii="宋体" w:hAnsi="宋体" w:cs="宋体"/>
          <w:sz w:val="28"/>
          <w:szCs w:val="28"/>
          <w:lang w:val="en-US" w:eastAsia="zh-CN"/>
        </w:rPr>
        <w:t xml:space="preserve">          </w:t>
      </w:r>
      <w:r>
        <w:rPr>
          <w:rFonts w:hint="eastAsia" w:ascii="宋体" w:hAnsi="宋体" w:cs="宋体"/>
          <w:sz w:val="28"/>
          <w:szCs w:val="28"/>
        </w:rPr>
        <w:t>法定代表人或委托代理人（签字或盖章）：</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5BADFE74">
      <w:pPr>
        <w:widowControl/>
        <w:wordWrap w:val="0"/>
        <w:spacing w:line="460" w:lineRule="exact"/>
        <w:jc w:val="center"/>
        <w:rPr>
          <w:rFonts w:hint="eastAsia" w:ascii="宋体" w:hAnsi="宋体" w:cs="宋体"/>
          <w:b/>
          <w:kern w:val="0"/>
          <w:sz w:val="24"/>
        </w:rPr>
      </w:pPr>
      <w:r>
        <w:rPr>
          <w:rFonts w:hint="eastAsia" w:ascii="宋体" w:hAnsi="宋体" w:cs="宋体"/>
          <w:sz w:val="28"/>
          <w:szCs w:val="28"/>
        </w:rPr>
        <w:t>年   月   日</w:t>
      </w:r>
    </w:p>
    <w:p w14:paraId="3D079370">
      <w:pPr>
        <w:widowControl/>
        <w:wordWrap w:val="0"/>
        <w:spacing w:line="460" w:lineRule="exact"/>
        <w:ind w:firstLine="482" w:firstLineChars="200"/>
        <w:jc w:val="left"/>
        <w:rPr>
          <w:rFonts w:hint="eastAsia" w:ascii="宋体" w:hAnsi="宋体" w:cs="宋体"/>
          <w:b/>
          <w:kern w:val="0"/>
          <w:sz w:val="24"/>
        </w:rPr>
      </w:pPr>
    </w:p>
    <w:p w14:paraId="66B00DB8">
      <w:pPr>
        <w:pStyle w:val="4"/>
        <w:rPr>
          <w:rFonts w:hint="eastAsia" w:ascii="宋体" w:hAnsi="宋体" w:cs="宋体"/>
          <w:b/>
          <w:kern w:val="0"/>
          <w:sz w:val="24"/>
        </w:rPr>
      </w:pPr>
    </w:p>
    <w:p w14:paraId="0B0B4A7A">
      <w:pPr>
        <w:rPr>
          <w:rFonts w:hint="eastAsia" w:ascii="宋体" w:hAnsi="宋体" w:cs="宋体"/>
          <w:b/>
          <w:kern w:val="0"/>
          <w:sz w:val="24"/>
        </w:rPr>
      </w:pPr>
      <w:r>
        <w:rPr>
          <w:rFonts w:hint="eastAsia" w:ascii="宋体" w:hAnsi="宋体" w:cs="宋体"/>
          <w:b/>
          <w:kern w:val="0"/>
          <w:sz w:val="24"/>
        </w:rPr>
        <w:br w:type="page"/>
      </w:r>
    </w:p>
    <w:bookmarkEnd w:id="61"/>
    <w:bookmarkEnd w:id="62"/>
    <w:p w14:paraId="7FA06D08">
      <w:pPr>
        <w:pStyle w:val="2"/>
        <w:keepNext w:val="0"/>
        <w:snapToGrid w:val="0"/>
        <w:spacing w:before="20" w:after="20" w:line="360" w:lineRule="auto"/>
        <w:jc w:val="center"/>
        <w:rPr>
          <w:rFonts w:hint="eastAsia" w:ascii="宋体" w:hAnsi="宋体" w:eastAsia="宋体" w:cs="宋体"/>
          <w:sz w:val="28"/>
          <w:szCs w:val="28"/>
        </w:rPr>
      </w:pPr>
      <w:bookmarkStart w:id="76" w:name="_Toc8818"/>
      <w:bookmarkStart w:id="77" w:name="_Toc14560"/>
      <w:r>
        <w:rPr>
          <w:rFonts w:hint="eastAsia" w:ascii="宋体" w:hAnsi="宋体" w:eastAsia="宋体" w:cs="宋体"/>
          <w:sz w:val="28"/>
          <w:szCs w:val="28"/>
        </w:rPr>
        <w:t>附件2      竞争性磋商响应书（格式）</w:t>
      </w:r>
      <w:bookmarkEnd w:id="76"/>
      <w:bookmarkEnd w:id="77"/>
    </w:p>
    <w:p w14:paraId="46056E97">
      <w:pPr>
        <w:wordWrap w:val="0"/>
        <w:snapToGrid w:val="0"/>
        <w:spacing w:line="460" w:lineRule="exact"/>
        <w:jc w:val="left"/>
        <w:rPr>
          <w:rFonts w:hint="eastAsia"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驻马店市中心医院</w:t>
      </w:r>
      <w:r>
        <w:rPr>
          <w:rFonts w:hint="eastAsia" w:ascii="宋体" w:hAnsi="宋体" w:cs="宋体"/>
          <w:kern w:val="0"/>
          <w:szCs w:val="21"/>
          <w:highlight w:val="none"/>
        </w:rPr>
        <w:t>：</w:t>
      </w:r>
    </w:p>
    <w:p w14:paraId="080BEF02">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highlight w:val="none"/>
          <w:u w:val="single"/>
        </w:rPr>
        <w:t xml:space="preserve">        （供应商名称）</w:t>
      </w:r>
      <w:r>
        <w:rPr>
          <w:rFonts w:hint="eastAsia" w:ascii="宋体" w:hAnsi="宋体" w:cs="宋体"/>
          <w:kern w:val="0"/>
          <w:szCs w:val="21"/>
          <w:highlight w:val="none"/>
        </w:rPr>
        <w:t>现</w:t>
      </w:r>
      <w:r>
        <w:rPr>
          <w:rFonts w:hint="eastAsia" w:ascii="宋体" w:hAnsi="宋体" w:cs="宋体"/>
          <w:kern w:val="0"/>
          <w:szCs w:val="21"/>
        </w:rPr>
        <w:t>委托</w:t>
      </w:r>
      <w:r>
        <w:rPr>
          <w:rFonts w:hint="eastAsia" w:ascii="宋体" w:hAnsi="宋体" w:cs="宋体"/>
          <w:kern w:val="0"/>
          <w:szCs w:val="21"/>
          <w:u w:val="single"/>
        </w:rPr>
        <w:t xml:space="preserve">        </w:t>
      </w:r>
      <w:r>
        <w:rPr>
          <w:rFonts w:hint="eastAsia" w:ascii="宋体" w:hAnsi="宋体" w:cs="宋体"/>
          <w:kern w:val="0"/>
          <w:szCs w:val="21"/>
        </w:rPr>
        <w:t>（姓名）为我方代理人，参加贵方组织的</w:t>
      </w:r>
      <w:r>
        <w:rPr>
          <w:rFonts w:hint="eastAsia" w:ascii="宋体" w:hAnsi="宋体" w:cs="宋体"/>
          <w:kern w:val="0"/>
          <w:szCs w:val="21"/>
          <w:u w:val="single"/>
        </w:rPr>
        <w:t xml:space="preserve">        </w:t>
      </w:r>
      <w:r>
        <w:rPr>
          <w:rFonts w:hint="eastAsia" w:ascii="宋体" w:hAnsi="宋体" w:cs="宋体"/>
          <w:kern w:val="0"/>
          <w:szCs w:val="21"/>
        </w:rPr>
        <w:t>项目的磋商。</w:t>
      </w:r>
    </w:p>
    <w:p w14:paraId="4CDCDE37">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为便于贵方公正、择优地确定成交供应商，我方就本次</w:t>
      </w:r>
      <w:r>
        <w:rPr>
          <w:rFonts w:hint="eastAsia" w:ascii="宋体" w:hAnsi="宋体" w:cs="宋体"/>
          <w:kern w:val="0"/>
          <w:szCs w:val="21"/>
          <w:lang w:val="en-US" w:eastAsia="zh-CN"/>
        </w:rPr>
        <w:t>磋商</w:t>
      </w:r>
      <w:r>
        <w:rPr>
          <w:rFonts w:hint="eastAsia" w:ascii="宋体" w:hAnsi="宋体" w:cs="宋体"/>
          <w:kern w:val="0"/>
          <w:szCs w:val="21"/>
        </w:rPr>
        <w:t>有关事项郑重声明并宣布同意如下：</w:t>
      </w:r>
    </w:p>
    <w:p w14:paraId="647E2DBC">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1、我方愿意向贵方提供任何与本竞争性磋商项目有关的数据、情况和技术资料，并保证其真实、合法、有效、完整。</w:t>
      </w:r>
    </w:p>
    <w:p w14:paraId="63D836EF">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2、我方我方响应文件有效期为自磋商之日起</w:t>
      </w:r>
      <w:r>
        <w:rPr>
          <w:rFonts w:hint="eastAsia" w:ascii="宋体" w:hAnsi="宋体" w:cs="宋体"/>
          <w:kern w:val="0"/>
          <w:szCs w:val="21"/>
          <w:lang w:val="en-US" w:eastAsia="zh-CN"/>
        </w:rPr>
        <w:t>60</w:t>
      </w:r>
      <w:r>
        <w:rPr>
          <w:rFonts w:hint="eastAsia" w:ascii="宋体" w:hAnsi="宋体" w:eastAsia="宋体" w:cs="宋体"/>
          <w:kern w:val="0"/>
          <w:szCs w:val="21"/>
        </w:rPr>
        <w:t>天，同意在响应文件有效期内遵守本响应文件中的承诺且在此期限期满之前均具有约束力。如果我方成交，响应文件有效期与合同履行期相同。</w:t>
      </w:r>
    </w:p>
    <w:p w14:paraId="5CEE5EF2">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3、我方已详细审查全部采购文件，包括修改文件（如有的话）和有关附件，将自行承担因对全部采购文件理解不正确或误解而产生的相应后果。</w:t>
      </w:r>
    </w:p>
    <w:p w14:paraId="49751B53">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4、我方尊重磋商小组的评审结果，完全理解本采购项目最低投标价不作为成交的保证。</w:t>
      </w:r>
    </w:p>
    <w:p w14:paraId="2281F8AC">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5、如果被确定为成交供应商，我方同意按采购文件的规定领取成交通知书并缴纳服务费。否则，视为我方成交后自动放弃成交资格，承担由此引起的一切后果。</w:t>
      </w:r>
    </w:p>
    <w:p w14:paraId="609EA593">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6、如果被确定为成交供应商，我方同意在领取成交通知书之日起30日内与采购人签订采购合同。否则，视为我方成交后无正当理由不与采购人签订合同并承担相应法律责任。</w:t>
      </w:r>
    </w:p>
    <w:p w14:paraId="62DF3437">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7、以上事项如有虚假或隐瞒，我方愿意承担一切后果和责任。</w:t>
      </w:r>
    </w:p>
    <w:p w14:paraId="40842A0A">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8、与磋商有关的一切正式往来通讯请寄（地址电话必须为最新并可以联系到）：</w:t>
      </w:r>
    </w:p>
    <w:p w14:paraId="7108462B">
      <w:pPr>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地址：      邮编：</w:t>
      </w:r>
    </w:p>
    <w:p w14:paraId="6578DE2C">
      <w:pPr>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电话：      传真：</w:t>
      </w:r>
    </w:p>
    <w:p w14:paraId="68F0363E">
      <w:pPr>
        <w:wordWrap w:val="0"/>
        <w:spacing w:line="460" w:lineRule="exact"/>
        <w:ind w:firstLine="420" w:firstLineChars="200"/>
        <w:jc w:val="left"/>
        <w:rPr>
          <w:rFonts w:hint="eastAsia" w:ascii="宋体" w:hAnsi="宋体" w:cs="宋体"/>
          <w:kern w:val="0"/>
          <w:szCs w:val="21"/>
        </w:rPr>
      </w:pPr>
    </w:p>
    <w:p w14:paraId="625DD6D1">
      <w:pPr>
        <w:wordWrap w:val="0"/>
        <w:spacing w:line="460" w:lineRule="exact"/>
        <w:ind w:firstLine="735" w:firstLineChars="350"/>
        <w:jc w:val="left"/>
        <w:rPr>
          <w:rFonts w:hint="eastAsia"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w:t>
      </w:r>
      <w:r>
        <w:rPr>
          <w:rFonts w:hint="eastAsia" w:ascii="宋体" w:hAnsi="宋体" w:cs="宋体"/>
          <w:szCs w:val="21"/>
          <w:u w:val="single"/>
        </w:rPr>
        <w:t xml:space="preserve">             </w:t>
      </w:r>
    </w:p>
    <w:p w14:paraId="376ABD0C">
      <w:pPr>
        <w:wordWrap w:val="0"/>
        <w:spacing w:line="460" w:lineRule="exact"/>
        <w:ind w:firstLine="735" w:firstLineChars="350"/>
        <w:jc w:val="left"/>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14E336C6">
      <w:pPr>
        <w:snapToGrid w:val="0"/>
        <w:spacing w:line="460" w:lineRule="exact"/>
        <w:ind w:firstLine="1260" w:firstLineChars="600"/>
        <w:rPr>
          <w:rFonts w:hint="eastAsia" w:ascii="宋体" w:hAnsi="宋体" w:cs="宋体"/>
          <w:kern w:val="0"/>
          <w:sz w:val="24"/>
        </w:rPr>
      </w:pPr>
      <w:r>
        <w:rPr>
          <w:rFonts w:hint="eastAsia" w:ascii="宋体" w:hAnsi="宋体" w:cs="宋体"/>
          <w:kern w:val="0"/>
          <w:szCs w:val="21"/>
        </w:rPr>
        <w:t xml:space="preserve">年    月   日 </w:t>
      </w:r>
    </w:p>
    <w:p w14:paraId="6BB9135B">
      <w:pPr>
        <w:widowControl/>
        <w:wordWrap w:val="0"/>
        <w:snapToGrid w:val="0"/>
        <w:spacing w:before="50" w:after="50" w:line="480" w:lineRule="auto"/>
        <w:jc w:val="left"/>
        <w:rPr>
          <w:rFonts w:hint="eastAsia" w:ascii="宋体" w:hAnsi="宋体" w:cs="宋体"/>
          <w:b/>
          <w:kern w:val="0"/>
          <w:sz w:val="24"/>
        </w:rPr>
      </w:pPr>
    </w:p>
    <w:p w14:paraId="36288A90">
      <w:pPr>
        <w:spacing w:line="500" w:lineRule="exact"/>
        <w:jc w:val="center"/>
        <w:rPr>
          <w:rFonts w:hint="eastAsia" w:ascii="宋体" w:hAnsi="宋体" w:cs="宋体"/>
          <w:b/>
          <w:bCs/>
          <w:sz w:val="24"/>
        </w:rPr>
      </w:pPr>
    </w:p>
    <w:p w14:paraId="08E2C151">
      <w:pPr>
        <w:rPr>
          <w:rFonts w:hint="eastAsia" w:ascii="宋体" w:hAnsi="宋体" w:cs="宋体"/>
          <w:sz w:val="28"/>
          <w:szCs w:val="28"/>
        </w:rPr>
      </w:pPr>
      <w:r>
        <w:rPr>
          <w:rFonts w:hint="eastAsia" w:ascii="宋体" w:hAnsi="宋体" w:cs="宋体"/>
          <w:sz w:val="28"/>
          <w:szCs w:val="28"/>
        </w:rPr>
        <w:br w:type="page"/>
      </w:r>
    </w:p>
    <w:p w14:paraId="279CE73C">
      <w:pPr>
        <w:rPr>
          <w:rFonts w:hint="eastAsia" w:ascii="宋体" w:hAnsi="宋体" w:cs="宋体"/>
        </w:rPr>
      </w:pPr>
    </w:p>
    <w:p w14:paraId="25ACF19D">
      <w:pPr>
        <w:pStyle w:val="2"/>
        <w:snapToGrid w:val="0"/>
        <w:spacing w:before="20" w:after="20" w:line="360" w:lineRule="auto"/>
        <w:jc w:val="center"/>
        <w:rPr>
          <w:rFonts w:hint="eastAsia" w:ascii="宋体" w:hAnsi="宋体" w:eastAsia="宋体" w:cs="宋体"/>
          <w:sz w:val="28"/>
          <w:szCs w:val="28"/>
        </w:rPr>
      </w:pPr>
      <w:bookmarkStart w:id="78" w:name="_Toc7838"/>
      <w:r>
        <w:rPr>
          <w:rFonts w:hint="eastAsia" w:ascii="宋体" w:hAnsi="宋体" w:eastAsia="宋体" w:cs="宋体"/>
          <w:sz w:val="28"/>
          <w:szCs w:val="28"/>
        </w:rPr>
        <w:t>附件3        初次报价一览表</w:t>
      </w:r>
      <w:bookmarkEnd w:id="78"/>
      <w:r>
        <w:rPr>
          <w:rFonts w:hint="eastAsia" w:ascii="宋体" w:hAnsi="宋体" w:eastAsia="宋体" w:cs="宋体"/>
          <w:sz w:val="28"/>
          <w:szCs w:val="28"/>
        </w:rPr>
        <w:t>（格式）</w:t>
      </w:r>
    </w:p>
    <w:p w14:paraId="76BDD226">
      <w:pPr>
        <w:spacing w:line="239" w:lineRule="auto"/>
        <w:jc w:val="right"/>
        <w:rPr>
          <w:rFonts w:hint="eastAsia" w:ascii="宋体" w:hAnsi="宋体" w:cs="宋体"/>
          <w:sz w:val="21"/>
          <w:szCs w:val="21"/>
        </w:rPr>
      </w:pPr>
      <w:r>
        <w:rPr>
          <w:rFonts w:hint="eastAsia" w:ascii="宋体" w:hAnsi="宋体" w:cs="宋体"/>
          <w:sz w:val="21"/>
          <w:szCs w:val="21"/>
        </w:rPr>
        <w:t>单位：人民币（元）</w:t>
      </w:r>
    </w:p>
    <w:p w14:paraId="6B33EBE5">
      <w:pPr>
        <w:rPr>
          <w:rFonts w:hint="eastAsia" w:ascii="宋体" w:hAnsi="宋体" w:cs="宋体"/>
        </w:rPr>
      </w:pPr>
    </w:p>
    <w:tbl>
      <w:tblPr>
        <w:tblStyle w:val="3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73"/>
      </w:tblGrid>
      <w:tr w14:paraId="13A4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14:paraId="41EDA634">
            <w:pPr>
              <w:widowControl/>
              <w:snapToGrid w:val="0"/>
              <w:spacing w:before="50" w:after="50"/>
              <w:jc w:val="center"/>
              <w:rPr>
                <w:rFonts w:hint="eastAsia" w:ascii="宋体" w:hAnsi="宋体" w:cs="宋体"/>
                <w:szCs w:val="21"/>
              </w:rPr>
            </w:pPr>
            <w:r>
              <w:rPr>
                <w:rFonts w:hint="eastAsia" w:ascii="宋体" w:hAnsi="宋体" w:cs="宋体"/>
                <w:kern w:val="0"/>
                <w:szCs w:val="21"/>
              </w:rPr>
              <w:t>项目名称</w:t>
            </w:r>
          </w:p>
        </w:tc>
        <w:tc>
          <w:tcPr>
            <w:tcW w:w="7373" w:type="dxa"/>
            <w:noWrap/>
            <w:vAlign w:val="center"/>
          </w:tcPr>
          <w:p w14:paraId="550DF607">
            <w:pPr>
              <w:rPr>
                <w:rFonts w:hint="eastAsia" w:ascii="宋体" w:hAnsi="宋体" w:cs="宋体"/>
                <w:bCs/>
                <w:szCs w:val="21"/>
              </w:rPr>
            </w:pPr>
          </w:p>
        </w:tc>
      </w:tr>
      <w:tr w14:paraId="0DE5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78" w:type="dxa"/>
            <w:noWrap/>
            <w:vAlign w:val="center"/>
          </w:tcPr>
          <w:p w14:paraId="1E9B63E4">
            <w:pPr>
              <w:widowControl/>
              <w:snapToGrid w:val="0"/>
              <w:spacing w:before="50" w:after="50"/>
              <w:jc w:val="center"/>
              <w:rPr>
                <w:rFonts w:hint="eastAsia" w:ascii="宋体" w:hAnsi="宋体" w:cs="宋体"/>
                <w:szCs w:val="21"/>
              </w:rPr>
            </w:pPr>
            <w:r>
              <w:rPr>
                <w:rFonts w:hint="eastAsia" w:ascii="宋体" w:hAnsi="宋体" w:cs="宋体"/>
                <w:kern w:val="0"/>
                <w:szCs w:val="21"/>
              </w:rPr>
              <w:t>供应商名称</w:t>
            </w:r>
          </w:p>
        </w:tc>
        <w:tc>
          <w:tcPr>
            <w:tcW w:w="7373" w:type="dxa"/>
            <w:noWrap/>
            <w:vAlign w:val="center"/>
          </w:tcPr>
          <w:p w14:paraId="4A53DA2D">
            <w:pPr>
              <w:rPr>
                <w:rFonts w:hint="eastAsia" w:ascii="宋体" w:hAnsi="宋体" w:cs="宋体"/>
                <w:szCs w:val="21"/>
              </w:rPr>
            </w:pPr>
          </w:p>
        </w:tc>
      </w:tr>
      <w:tr w14:paraId="6898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978" w:type="dxa"/>
            <w:noWrap/>
            <w:vAlign w:val="center"/>
          </w:tcPr>
          <w:p w14:paraId="41348002">
            <w:pPr>
              <w:jc w:val="center"/>
              <w:rPr>
                <w:rFonts w:hint="eastAsia" w:ascii="宋体" w:hAnsi="宋体" w:cs="宋体"/>
                <w:spacing w:val="-20"/>
                <w:szCs w:val="21"/>
              </w:rPr>
            </w:pPr>
            <w:r>
              <w:rPr>
                <w:rFonts w:hint="eastAsia" w:ascii="宋体" w:hAnsi="宋体" w:cs="宋体"/>
                <w:szCs w:val="21"/>
              </w:rPr>
              <w:t>磋商报价</w:t>
            </w:r>
          </w:p>
        </w:tc>
        <w:tc>
          <w:tcPr>
            <w:tcW w:w="7373" w:type="dxa"/>
            <w:noWrap/>
            <w:vAlign w:val="center"/>
          </w:tcPr>
          <w:p w14:paraId="161FB34E">
            <w:pPr>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大写：</w:t>
            </w:r>
            <w:r>
              <w:rPr>
                <w:rFonts w:hint="eastAsia"/>
                <w:color w:val="000000" w:themeColor="text1"/>
                <w:u w:val="single"/>
                <w14:textFill>
                  <w14:solidFill>
                    <w14:schemeClr w14:val="tx1"/>
                  </w14:solidFill>
                </w14:textFill>
              </w:rPr>
              <w:t xml:space="preserve">         </w:t>
            </w:r>
          </w:p>
          <w:p w14:paraId="592E845C">
            <w:pPr>
              <w:rPr>
                <w:rFonts w:hint="eastAsia" w:ascii="宋体" w:hAnsi="宋体" w:cs="宋体"/>
                <w:szCs w:val="21"/>
              </w:rPr>
            </w:pPr>
            <w:r>
              <w:rPr>
                <w:rFonts w:hint="eastAsia"/>
                <w:color w:val="000000" w:themeColor="text1"/>
                <w14:textFill>
                  <w14:solidFill>
                    <w14:schemeClr w14:val="tx1"/>
                  </w14:solidFill>
                </w14:textFill>
              </w:rPr>
              <w:t>小写：</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元</w:t>
            </w:r>
          </w:p>
        </w:tc>
      </w:tr>
      <w:tr w14:paraId="3196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D5CB6A9">
            <w:pPr>
              <w:jc w:val="center"/>
              <w:rPr>
                <w:rFonts w:hint="eastAsia" w:ascii="宋体" w:hAnsi="宋体" w:cs="宋体"/>
                <w:szCs w:val="21"/>
              </w:rPr>
            </w:pPr>
            <w:r>
              <w:rPr>
                <w:rFonts w:hint="eastAsia" w:ascii="宋体" w:hAnsi="宋体" w:cs="宋体"/>
                <w:szCs w:val="21"/>
              </w:rPr>
              <w:t>备  注</w:t>
            </w:r>
          </w:p>
        </w:tc>
        <w:tc>
          <w:tcPr>
            <w:tcW w:w="7373" w:type="dxa"/>
            <w:noWrap/>
            <w:vAlign w:val="center"/>
          </w:tcPr>
          <w:p w14:paraId="48D86B3A">
            <w:pPr>
              <w:pStyle w:val="21"/>
              <w:ind w:left="0" w:leftChars="0"/>
              <w:rPr>
                <w:rFonts w:hint="eastAsia" w:cs="宋体"/>
                <w:sz w:val="21"/>
                <w:szCs w:val="21"/>
              </w:rPr>
            </w:pPr>
          </w:p>
        </w:tc>
      </w:tr>
    </w:tbl>
    <w:p w14:paraId="74698A4B">
      <w:pPr>
        <w:spacing w:line="360" w:lineRule="auto"/>
        <w:ind w:firstLine="420" w:firstLineChars="200"/>
        <w:rPr>
          <w:rFonts w:hint="eastAsia" w:ascii="宋体" w:hAnsi="宋体" w:cs="宋体"/>
          <w:szCs w:val="21"/>
        </w:rPr>
      </w:pPr>
      <w:r>
        <w:rPr>
          <w:rFonts w:hint="eastAsia" w:ascii="宋体" w:hAnsi="宋体" w:cs="宋体"/>
          <w:kern w:val="0"/>
          <w:szCs w:val="21"/>
        </w:rPr>
        <w:t>注:</w:t>
      </w:r>
      <w:bookmarkStart w:id="79" w:name="_Toc20877"/>
      <w:bookmarkStart w:id="80" w:name="_Toc11620"/>
      <w:r>
        <w:rPr>
          <w:rFonts w:hint="eastAsia" w:ascii="宋体" w:hAnsi="宋体" w:cs="宋体"/>
          <w:szCs w:val="21"/>
        </w:rPr>
        <w:t>1、报价一经涂改，应在涂改处加盖单位公章或</w:t>
      </w:r>
      <w:r>
        <w:rPr>
          <w:rFonts w:hint="eastAsia" w:ascii="宋体" w:hAnsi="宋体" w:cs="宋体"/>
          <w:szCs w:val="21"/>
          <w:lang w:val="en-US" w:eastAsia="zh-CN"/>
        </w:rPr>
        <w:t>供应商</w:t>
      </w:r>
      <w:r>
        <w:rPr>
          <w:rFonts w:hint="eastAsia" w:ascii="宋体" w:hAnsi="宋体" w:cs="宋体"/>
          <w:szCs w:val="21"/>
        </w:rPr>
        <w:t>代表签字或盖章，否则其</w:t>
      </w:r>
      <w:r>
        <w:rPr>
          <w:rFonts w:hint="eastAsia" w:ascii="宋体" w:hAnsi="宋体" w:cs="宋体"/>
          <w:szCs w:val="21"/>
          <w:lang w:val="en-US" w:eastAsia="zh-CN"/>
        </w:rPr>
        <w:t>磋商</w:t>
      </w:r>
      <w:r>
        <w:rPr>
          <w:rFonts w:hint="eastAsia" w:ascii="宋体" w:hAnsi="宋体" w:cs="宋体"/>
          <w:szCs w:val="21"/>
        </w:rPr>
        <w:t>作无效标处理。</w:t>
      </w:r>
    </w:p>
    <w:p w14:paraId="52F61951">
      <w:pPr>
        <w:widowControl/>
        <w:kinsoku w:val="0"/>
        <w:autoSpaceDE w:val="0"/>
        <w:autoSpaceDN w:val="0"/>
        <w:adjustRightInd w:val="0"/>
        <w:snapToGrid w:val="0"/>
        <w:spacing w:line="360" w:lineRule="auto"/>
        <w:ind w:firstLine="420" w:firstLineChars="200"/>
        <w:textAlignment w:val="baseline"/>
        <w:rPr>
          <w:rFonts w:hint="eastAsia" w:ascii="宋体" w:hAnsi="宋体" w:cs="宋体"/>
          <w:szCs w:val="21"/>
        </w:rPr>
      </w:pPr>
      <w:bookmarkStart w:id="81" w:name="_Toc2747"/>
      <w:r>
        <w:rPr>
          <w:rFonts w:hint="eastAsia" w:ascii="宋体" w:hAnsi="宋体" w:cs="宋体"/>
          <w:szCs w:val="21"/>
        </w:rPr>
        <w:t>2、</w:t>
      </w:r>
      <w:bookmarkEnd w:id="81"/>
      <w:r>
        <w:rPr>
          <w:rFonts w:hint="eastAsia" w:ascii="宋体" w:hAnsi="宋体" w:cs="宋体"/>
          <w:szCs w:val="21"/>
          <w:lang w:val="en-US" w:eastAsia="zh-CN"/>
        </w:rPr>
        <w:t>供应商</w:t>
      </w:r>
      <w:r>
        <w:rPr>
          <w:rFonts w:hint="eastAsia" w:ascii="宋体" w:hAnsi="宋体" w:cs="宋体"/>
          <w:szCs w:val="21"/>
        </w:rPr>
        <w:t>按格式填列，不得自行更改。否则引起的不利后果由</w:t>
      </w:r>
      <w:r>
        <w:rPr>
          <w:rFonts w:hint="eastAsia" w:ascii="宋体" w:hAnsi="宋体" w:cs="宋体"/>
          <w:szCs w:val="21"/>
          <w:lang w:val="en-US" w:eastAsia="zh-CN"/>
        </w:rPr>
        <w:t>供应商</w:t>
      </w:r>
      <w:r>
        <w:rPr>
          <w:rFonts w:hint="eastAsia" w:ascii="宋体" w:hAnsi="宋体" w:cs="宋体"/>
          <w:szCs w:val="21"/>
        </w:rPr>
        <w:t>承担。</w:t>
      </w:r>
    </w:p>
    <w:p w14:paraId="46362479">
      <w:pPr>
        <w:spacing w:line="360" w:lineRule="auto"/>
        <w:ind w:firstLine="420" w:firstLineChars="200"/>
        <w:jc w:val="center"/>
        <w:rPr>
          <w:rFonts w:hint="eastAsia" w:ascii="宋体" w:hAnsi="宋体" w:cs="宋体"/>
          <w:szCs w:val="21"/>
        </w:rPr>
      </w:pPr>
    </w:p>
    <w:bookmarkEnd w:id="79"/>
    <w:bookmarkEnd w:id="80"/>
    <w:p w14:paraId="03579BB3">
      <w:pPr>
        <w:spacing w:line="360" w:lineRule="auto"/>
        <w:ind w:firstLine="420" w:firstLineChars="200"/>
        <w:jc w:val="center"/>
        <w:rPr>
          <w:rFonts w:hint="eastAsia" w:ascii="宋体" w:hAnsi="宋体" w:cs="宋体"/>
          <w:szCs w:val="21"/>
          <w:u w:val="single"/>
        </w:rPr>
      </w:pPr>
      <w:bookmarkStart w:id="82" w:name="_Toc625"/>
      <w:bookmarkStart w:id="83" w:name="_Toc12222"/>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82"/>
      <w:bookmarkEnd w:id="83"/>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37B11658">
      <w:pPr>
        <w:widowControl/>
        <w:spacing w:line="360" w:lineRule="auto"/>
        <w:ind w:firstLine="2730" w:firstLineChars="13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63B29E99">
      <w:pPr>
        <w:jc w:val="center"/>
        <w:rPr>
          <w:rFonts w:hint="eastAsia" w:ascii="宋体" w:hAnsi="宋体" w:cs="宋体"/>
          <w:szCs w:val="21"/>
        </w:rPr>
      </w:pPr>
    </w:p>
    <w:p w14:paraId="48FF02E1">
      <w:pPr>
        <w:spacing w:line="360" w:lineRule="auto"/>
        <w:ind w:firstLine="420" w:firstLineChars="200"/>
        <w:jc w:val="center"/>
        <w:rPr>
          <w:rFonts w:hint="eastAsia" w:ascii="宋体" w:hAnsi="宋体" w:cs="宋体"/>
        </w:rPr>
      </w:pPr>
      <w:bookmarkStart w:id="84" w:name="_Toc1330"/>
      <w:bookmarkStart w:id="85" w:name="_Toc9950"/>
      <w:r>
        <w:rPr>
          <w:rFonts w:hint="eastAsia" w:ascii="宋体" w:hAnsi="宋体" w:cs="宋体"/>
          <w:szCs w:val="21"/>
        </w:rPr>
        <w:t>年  月  日</w:t>
      </w:r>
      <w:bookmarkEnd w:id="84"/>
      <w:bookmarkEnd w:id="85"/>
    </w:p>
    <w:p w14:paraId="50B865E6">
      <w:pPr>
        <w:rPr>
          <w:rFonts w:hint="eastAsia" w:ascii="宋体" w:hAnsi="宋体" w:cs="宋体"/>
        </w:rPr>
      </w:pPr>
    </w:p>
    <w:p w14:paraId="4FD0AF5A">
      <w:pPr>
        <w:spacing w:before="20" w:after="20"/>
        <w:rPr>
          <w:rFonts w:hint="eastAsia" w:ascii="宋体" w:hAnsi="宋体" w:cs="宋体"/>
        </w:rPr>
      </w:pPr>
      <w:bookmarkStart w:id="86" w:name="_Toc22004"/>
      <w:bookmarkStart w:id="87" w:name="_Toc24984"/>
    </w:p>
    <w:p w14:paraId="3A3F3D64">
      <w:pPr>
        <w:rPr>
          <w:rFonts w:hint="eastAsia" w:ascii="宋体" w:hAnsi="宋体" w:cs="宋体"/>
        </w:rPr>
      </w:pPr>
    </w:p>
    <w:p w14:paraId="40040236">
      <w:pPr>
        <w:rPr>
          <w:rFonts w:hint="eastAsia" w:ascii="宋体" w:hAnsi="宋体" w:cs="宋体"/>
        </w:rPr>
      </w:pPr>
      <w:r>
        <w:rPr>
          <w:rFonts w:hint="eastAsia" w:ascii="宋体" w:hAnsi="宋体" w:cs="宋体"/>
        </w:rPr>
        <w:br w:type="page"/>
      </w:r>
    </w:p>
    <w:bookmarkEnd w:id="86"/>
    <w:bookmarkEnd w:id="87"/>
    <w:p w14:paraId="263DFF90">
      <w:pPr>
        <w:pStyle w:val="2"/>
        <w:snapToGrid w:val="0"/>
        <w:spacing w:before="20" w:after="20" w:line="360" w:lineRule="auto"/>
        <w:ind w:firstLine="1124" w:firstLineChars="400"/>
        <w:rPr>
          <w:rFonts w:hint="eastAsia" w:ascii="宋体" w:hAnsi="宋体" w:eastAsia="宋体" w:cs="宋体"/>
          <w:sz w:val="28"/>
          <w:szCs w:val="28"/>
        </w:rPr>
      </w:pPr>
      <w:bookmarkStart w:id="88" w:name="_Toc226"/>
      <w:bookmarkStart w:id="89" w:name="_Toc15804"/>
      <w:r>
        <w:rPr>
          <w:rFonts w:hint="eastAsia" w:ascii="宋体" w:hAnsi="宋体" w:eastAsia="宋体" w:cs="宋体"/>
          <w:sz w:val="28"/>
          <w:szCs w:val="28"/>
        </w:rPr>
        <w:t xml:space="preserve">附件4 </w:t>
      </w:r>
      <w:bookmarkEnd w:id="88"/>
      <w:bookmarkEnd w:id="89"/>
      <w:r>
        <w:rPr>
          <w:rFonts w:hint="eastAsia" w:ascii="宋体" w:hAnsi="宋体" w:eastAsia="宋体" w:cs="宋体"/>
          <w:sz w:val="28"/>
          <w:szCs w:val="28"/>
        </w:rPr>
        <w:t xml:space="preserve">           技术响应表（格式）</w:t>
      </w:r>
    </w:p>
    <w:p w14:paraId="148B3B43"/>
    <w:p w14:paraId="3C6D4338"/>
    <w:tbl>
      <w:tblPr>
        <w:tblStyle w:val="92"/>
        <w:tblW w:w="943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181"/>
        <w:gridCol w:w="1005"/>
      </w:tblGrid>
      <w:tr w14:paraId="0C885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46B898EE">
            <w:pPr>
              <w:widowControl/>
              <w:spacing w:line="360" w:lineRule="auto"/>
              <w:jc w:val="center"/>
              <w:textAlignment w:val="baseline"/>
              <w:rPr>
                <w:rFonts w:hint="eastAsia" w:ascii="宋体" w:hAnsi="宋体" w:cs="宋体"/>
                <w:szCs w:val="21"/>
              </w:rPr>
            </w:pPr>
            <w:r>
              <w:rPr>
                <w:rFonts w:hint="eastAsia" w:ascii="宋体" w:hAnsi="宋体" w:cs="宋体"/>
                <w:szCs w:val="21"/>
              </w:rPr>
              <w:t>序号</w:t>
            </w:r>
          </w:p>
        </w:tc>
        <w:tc>
          <w:tcPr>
            <w:tcW w:w="2625" w:type="dxa"/>
            <w:vAlign w:val="center"/>
          </w:tcPr>
          <w:p w14:paraId="32CFB748">
            <w:pPr>
              <w:widowControl/>
              <w:spacing w:line="360" w:lineRule="auto"/>
              <w:jc w:val="center"/>
              <w:textAlignment w:val="baseline"/>
              <w:rPr>
                <w:rFonts w:hint="eastAsia" w:ascii="宋体" w:hAnsi="宋体" w:cs="宋体"/>
                <w:szCs w:val="21"/>
              </w:rPr>
            </w:pPr>
            <w:r>
              <w:rPr>
                <w:rFonts w:hint="eastAsia" w:ascii="宋体" w:hAnsi="宋体" w:cs="宋体"/>
                <w:szCs w:val="21"/>
              </w:rPr>
              <w:t>服务名称</w:t>
            </w:r>
          </w:p>
        </w:tc>
        <w:tc>
          <w:tcPr>
            <w:tcW w:w="2379" w:type="dxa"/>
            <w:vAlign w:val="center"/>
          </w:tcPr>
          <w:p w14:paraId="65B7104F">
            <w:pPr>
              <w:widowControl/>
              <w:spacing w:line="360" w:lineRule="auto"/>
              <w:jc w:val="center"/>
              <w:textAlignment w:val="baseline"/>
              <w:rPr>
                <w:rFonts w:hint="eastAsia" w:ascii="宋体" w:hAnsi="宋体" w:cs="宋体"/>
                <w:szCs w:val="21"/>
              </w:rPr>
            </w:pPr>
            <w:r>
              <w:rPr>
                <w:rFonts w:hint="eastAsia" w:ascii="宋体" w:hAnsi="宋体" w:cs="宋体"/>
                <w:szCs w:val="21"/>
              </w:rPr>
              <w:t>磋商文件要求</w:t>
            </w:r>
          </w:p>
        </w:tc>
        <w:tc>
          <w:tcPr>
            <w:tcW w:w="1468" w:type="dxa"/>
            <w:vAlign w:val="center"/>
          </w:tcPr>
          <w:p w14:paraId="3AF987A8">
            <w:pPr>
              <w:widowControl/>
              <w:spacing w:line="360" w:lineRule="auto"/>
              <w:jc w:val="center"/>
              <w:textAlignment w:val="baseline"/>
              <w:rPr>
                <w:rFonts w:hint="eastAsia" w:ascii="宋体" w:hAnsi="宋体" w:cs="宋体"/>
                <w:szCs w:val="21"/>
              </w:rPr>
            </w:pPr>
            <w:r>
              <w:rPr>
                <w:rFonts w:hint="eastAsia" w:ascii="宋体" w:hAnsi="宋体" w:cs="宋体"/>
                <w:szCs w:val="21"/>
              </w:rPr>
              <w:t>响应文件响应</w:t>
            </w:r>
          </w:p>
        </w:tc>
        <w:tc>
          <w:tcPr>
            <w:tcW w:w="1181" w:type="dxa"/>
            <w:vAlign w:val="center"/>
          </w:tcPr>
          <w:p w14:paraId="11D61386">
            <w:pPr>
              <w:widowControl/>
              <w:spacing w:line="360" w:lineRule="auto"/>
              <w:jc w:val="center"/>
              <w:textAlignment w:val="baseline"/>
              <w:rPr>
                <w:rFonts w:hint="eastAsia" w:ascii="宋体" w:hAnsi="宋体" w:cs="宋体"/>
                <w:szCs w:val="21"/>
              </w:rPr>
            </w:pPr>
            <w:r>
              <w:rPr>
                <w:rFonts w:hint="eastAsia" w:ascii="宋体" w:hAnsi="宋体" w:cs="宋体"/>
                <w:szCs w:val="21"/>
              </w:rPr>
              <w:t>偏离情况</w:t>
            </w:r>
          </w:p>
        </w:tc>
        <w:tc>
          <w:tcPr>
            <w:tcW w:w="1005" w:type="dxa"/>
            <w:vAlign w:val="center"/>
          </w:tcPr>
          <w:p w14:paraId="5CB7A6D6">
            <w:pPr>
              <w:widowControl/>
              <w:spacing w:line="360" w:lineRule="auto"/>
              <w:jc w:val="center"/>
              <w:textAlignment w:val="baseline"/>
              <w:rPr>
                <w:rFonts w:hint="eastAsia" w:ascii="宋体" w:hAnsi="宋体" w:cs="宋体"/>
                <w:szCs w:val="21"/>
              </w:rPr>
            </w:pPr>
            <w:r>
              <w:rPr>
                <w:rFonts w:hint="eastAsia" w:ascii="宋体" w:hAnsi="宋体" w:cs="宋体"/>
                <w:szCs w:val="21"/>
              </w:rPr>
              <w:t>备注</w:t>
            </w:r>
          </w:p>
        </w:tc>
      </w:tr>
      <w:tr w14:paraId="65FA0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64ADB16A">
            <w:pPr>
              <w:widowControl/>
              <w:spacing w:line="360" w:lineRule="auto"/>
              <w:jc w:val="center"/>
              <w:textAlignment w:val="baseline"/>
              <w:rPr>
                <w:rFonts w:hint="eastAsia" w:ascii="宋体" w:hAnsi="宋体" w:cs="宋体"/>
                <w:szCs w:val="21"/>
              </w:rPr>
            </w:pPr>
            <w:r>
              <w:rPr>
                <w:rFonts w:hint="eastAsia" w:ascii="宋体" w:hAnsi="宋体" w:cs="宋体"/>
                <w:szCs w:val="21"/>
              </w:rPr>
              <w:t>1</w:t>
            </w:r>
          </w:p>
        </w:tc>
        <w:tc>
          <w:tcPr>
            <w:tcW w:w="2625" w:type="dxa"/>
            <w:vAlign w:val="center"/>
          </w:tcPr>
          <w:p w14:paraId="767C20DF">
            <w:pPr>
              <w:widowControl/>
              <w:spacing w:line="360" w:lineRule="auto"/>
              <w:jc w:val="center"/>
              <w:textAlignment w:val="baseline"/>
              <w:rPr>
                <w:rFonts w:hint="eastAsia" w:ascii="宋体" w:hAnsi="宋体" w:cs="宋体"/>
                <w:szCs w:val="21"/>
              </w:rPr>
            </w:pPr>
          </w:p>
        </w:tc>
        <w:tc>
          <w:tcPr>
            <w:tcW w:w="2379" w:type="dxa"/>
            <w:vAlign w:val="center"/>
          </w:tcPr>
          <w:p w14:paraId="13060466">
            <w:pPr>
              <w:widowControl/>
              <w:spacing w:line="360" w:lineRule="auto"/>
              <w:jc w:val="center"/>
              <w:textAlignment w:val="baseline"/>
              <w:rPr>
                <w:rFonts w:hint="eastAsia" w:ascii="宋体" w:hAnsi="宋体" w:cs="宋体"/>
                <w:szCs w:val="21"/>
              </w:rPr>
            </w:pPr>
          </w:p>
        </w:tc>
        <w:tc>
          <w:tcPr>
            <w:tcW w:w="1468" w:type="dxa"/>
            <w:vAlign w:val="center"/>
          </w:tcPr>
          <w:p w14:paraId="68E37A6B">
            <w:pPr>
              <w:widowControl/>
              <w:spacing w:line="360" w:lineRule="auto"/>
              <w:jc w:val="center"/>
              <w:textAlignment w:val="baseline"/>
              <w:rPr>
                <w:rFonts w:hint="eastAsia" w:ascii="宋体" w:hAnsi="宋体" w:cs="宋体"/>
                <w:szCs w:val="21"/>
              </w:rPr>
            </w:pPr>
          </w:p>
        </w:tc>
        <w:tc>
          <w:tcPr>
            <w:tcW w:w="1181" w:type="dxa"/>
            <w:vAlign w:val="center"/>
          </w:tcPr>
          <w:p w14:paraId="79DC5201">
            <w:pPr>
              <w:widowControl/>
              <w:spacing w:line="360" w:lineRule="auto"/>
              <w:jc w:val="center"/>
              <w:textAlignment w:val="baseline"/>
              <w:rPr>
                <w:rFonts w:hint="eastAsia" w:ascii="宋体" w:hAnsi="宋体" w:cs="宋体"/>
                <w:szCs w:val="21"/>
              </w:rPr>
            </w:pPr>
          </w:p>
        </w:tc>
        <w:tc>
          <w:tcPr>
            <w:tcW w:w="1005" w:type="dxa"/>
            <w:vAlign w:val="center"/>
          </w:tcPr>
          <w:p w14:paraId="1442E93A">
            <w:pPr>
              <w:widowControl/>
              <w:spacing w:line="360" w:lineRule="auto"/>
              <w:jc w:val="center"/>
              <w:textAlignment w:val="baseline"/>
              <w:rPr>
                <w:rFonts w:hint="eastAsia" w:ascii="宋体" w:hAnsi="宋体" w:cs="宋体"/>
                <w:szCs w:val="21"/>
              </w:rPr>
            </w:pPr>
          </w:p>
        </w:tc>
      </w:tr>
      <w:tr w14:paraId="50071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443BD24F">
            <w:pPr>
              <w:widowControl/>
              <w:spacing w:line="360" w:lineRule="auto"/>
              <w:jc w:val="center"/>
              <w:textAlignment w:val="baseline"/>
              <w:rPr>
                <w:rFonts w:hint="eastAsia" w:ascii="宋体" w:hAnsi="宋体" w:cs="宋体"/>
                <w:szCs w:val="21"/>
              </w:rPr>
            </w:pPr>
            <w:r>
              <w:rPr>
                <w:rFonts w:hint="eastAsia" w:ascii="宋体" w:hAnsi="宋体" w:cs="宋体"/>
                <w:szCs w:val="21"/>
              </w:rPr>
              <w:t>2</w:t>
            </w:r>
          </w:p>
        </w:tc>
        <w:tc>
          <w:tcPr>
            <w:tcW w:w="2625" w:type="dxa"/>
            <w:vAlign w:val="center"/>
          </w:tcPr>
          <w:p w14:paraId="45FFEC74">
            <w:pPr>
              <w:widowControl/>
              <w:spacing w:line="360" w:lineRule="auto"/>
              <w:jc w:val="center"/>
              <w:textAlignment w:val="baseline"/>
              <w:rPr>
                <w:rFonts w:hint="eastAsia" w:ascii="宋体" w:hAnsi="宋体" w:cs="宋体"/>
                <w:szCs w:val="21"/>
              </w:rPr>
            </w:pPr>
          </w:p>
        </w:tc>
        <w:tc>
          <w:tcPr>
            <w:tcW w:w="2379" w:type="dxa"/>
            <w:vAlign w:val="center"/>
          </w:tcPr>
          <w:p w14:paraId="061EEA1F">
            <w:pPr>
              <w:widowControl/>
              <w:spacing w:line="360" w:lineRule="auto"/>
              <w:jc w:val="center"/>
              <w:textAlignment w:val="baseline"/>
              <w:rPr>
                <w:rFonts w:hint="eastAsia" w:ascii="宋体" w:hAnsi="宋体" w:cs="宋体"/>
                <w:szCs w:val="21"/>
              </w:rPr>
            </w:pPr>
          </w:p>
        </w:tc>
        <w:tc>
          <w:tcPr>
            <w:tcW w:w="1468" w:type="dxa"/>
            <w:vAlign w:val="center"/>
          </w:tcPr>
          <w:p w14:paraId="6B0861C7">
            <w:pPr>
              <w:widowControl/>
              <w:spacing w:line="360" w:lineRule="auto"/>
              <w:jc w:val="center"/>
              <w:textAlignment w:val="baseline"/>
              <w:rPr>
                <w:rFonts w:hint="eastAsia" w:ascii="宋体" w:hAnsi="宋体" w:cs="宋体"/>
                <w:szCs w:val="21"/>
              </w:rPr>
            </w:pPr>
          </w:p>
        </w:tc>
        <w:tc>
          <w:tcPr>
            <w:tcW w:w="1181" w:type="dxa"/>
            <w:vAlign w:val="center"/>
          </w:tcPr>
          <w:p w14:paraId="3B9C0A2D">
            <w:pPr>
              <w:widowControl/>
              <w:spacing w:line="360" w:lineRule="auto"/>
              <w:jc w:val="center"/>
              <w:textAlignment w:val="baseline"/>
              <w:rPr>
                <w:rFonts w:hint="eastAsia" w:ascii="宋体" w:hAnsi="宋体" w:cs="宋体"/>
                <w:szCs w:val="21"/>
              </w:rPr>
            </w:pPr>
          </w:p>
        </w:tc>
        <w:tc>
          <w:tcPr>
            <w:tcW w:w="1005" w:type="dxa"/>
            <w:vAlign w:val="center"/>
          </w:tcPr>
          <w:p w14:paraId="6C3F35FD">
            <w:pPr>
              <w:widowControl/>
              <w:spacing w:line="360" w:lineRule="auto"/>
              <w:jc w:val="center"/>
              <w:textAlignment w:val="baseline"/>
              <w:rPr>
                <w:rFonts w:hint="eastAsia" w:ascii="宋体" w:hAnsi="宋体" w:cs="宋体"/>
                <w:szCs w:val="21"/>
              </w:rPr>
            </w:pPr>
          </w:p>
        </w:tc>
      </w:tr>
      <w:tr w14:paraId="0770F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3BD782D6">
            <w:pPr>
              <w:widowControl/>
              <w:spacing w:line="360" w:lineRule="auto"/>
              <w:jc w:val="center"/>
              <w:textAlignment w:val="baseline"/>
              <w:rPr>
                <w:rFonts w:hint="eastAsia" w:ascii="宋体" w:hAnsi="宋体" w:cs="宋体"/>
                <w:szCs w:val="21"/>
              </w:rPr>
            </w:pPr>
            <w:r>
              <w:rPr>
                <w:rFonts w:hint="eastAsia" w:ascii="宋体" w:hAnsi="宋体" w:cs="宋体"/>
                <w:szCs w:val="21"/>
              </w:rPr>
              <w:t>…</w:t>
            </w:r>
          </w:p>
        </w:tc>
        <w:tc>
          <w:tcPr>
            <w:tcW w:w="2625" w:type="dxa"/>
            <w:vAlign w:val="center"/>
          </w:tcPr>
          <w:p w14:paraId="55C312EC">
            <w:pPr>
              <w:widowControl/>
              <w:spacing w:line="360" w:lineRule="auto"/>
              <w:jc w:val="center"/>
              <w:textAlignment w:val="baseline"/>
              <w:rPr>
                <w:rFonts w:hint="eastAsia" w:ascii="宋体" w:hAnsi="宋体" w:cs="宋体"/>
                <w:szCs w:val="21"/>
              </w:rPr>
            </w:pPr>
          </w:p>
        </w:tc>
        <w:tc>
          <w:tcPr>
            <w:tcW w:w="2379" w:type="dxa"/>
            <w:vAlign w:val="center"/>
          </w:tcPr>
          <w:p w14:paraId="37B9D701">
            <w:pPr>
              <w:widowControl/>
              <w:spacing w:line="360" w:lineRule="auto"/>
              <w:jc w:val="center"/>
              <w:textAlignment w:val="baseline"/>
              <w:rPr>
                <w:rFonts w:hint="eastAsia" w:ascii="宋体" w:hAnsi="宋体" w:cs="宋体"/>
                <w:szCs w:val="21"/>
              </w:rPr>
            </w:pPr>
          </w:p>
        </w:tc>
        <w:tc>
          <w:tcPr>
            <w:tcW w:w="1468" w:type="dxa"/>
            <w:vAlign w:val="center"/>
          </w:tcPr>
          <w:p w14:paraId="6F7A1116">
            <w:pPr>
              <w:widowControl/>
              <w:spacing w:line="360" w:lineRule="auto"/>
              <w:jc w:val="center"/>
              <w:textAlignment w:val="baseline"/>
              <w:rPr>
                <w:rFonts w:hint="eastAsia" w:ascii="宋体" w:hAnsi="宋体" w:cs="宋体"/>
                <w:szCs w:val="21"/>
              </w:rPr>
            </w:pPr>
          </w:p>
        </w:tc>
        <w:tc>
          <w:tcPr>
            <w:tcW w:w="1181" w:type="dxa"/>
            <w:vAlign w:val="center"/>
          </w:tcPr>
          <w:p w14:paraId="38EE5D06">
            <w:pPr>
              <w:widowControl/>
              <w:spacing w:line="360" w:lineRule="auto"/>
              <w:jc w:val="center"/>
              <w:textAlignment w:val="baseline"/>
              <w:rPr>
                <w:rFonts w:hint="eastAsia" w:ascii="宋体" w:hAnsi="宋体" w:cs="宋体"/>
                <w:szCs w:val="21"/>
              </w:rPr>
            </w:pPr>
          </w:p>
        </w:tc>
        <w:tc>
          <w:tcPr>
            <w:tcW w:w="1005" w:type="dxa"/>
            <w:vAlign w:val="center"/>
          </w:tcPr>
          <w:p w14:paraId="2B73758A">
            <w:pPr>
              <w:widowControl/>
              <w:spacing w:line="360" w:lineRule="auto"/>
              <w:jc w:val="center"/>
              <w:textAlignment w:val="baseline"/>
              <w:rPr>
                <w:rFonts w:hint="eastAsia" w:ascii="宋体" w:hAnsi="宋体" w:cs="宋体"/>
                <w:szCs w:val="21"/>
              </w:rPr>
            </w:pPr>
          </w:p>
        </w:tc>
      </w:tr>
    </w:tbl>
    <w:p w14:paraId="13EB473B">
      <w:pPr>
        <w:widowControl/>
        <w:wordWrap w:val="0"/>
        <w:spacing w:line="460" w:lineRule="exact"/>
        <w:ind w:firstLine="422" w:firstLineChars="200"/>
        <w:jc w:val="left"/>
        <w:rPr>
          <w:rFonts w:hint="eastAsia" w:ascii="宋体" w:hAnsi="宋体" w:cs="宋体"/>
          <w:b/>
          <w:kern w:val="0"/>
          <w:szCs w:val="21"/>
        </w:rPr>
      </w:pPr>
    </w:p>
    <w:p w14:paraId="44185BFB">
      <w:pPr>
        <w:widowControl/>
        <w:spacing w:line="360" w:lineRule="auto"/>
        <w:textAlignment w:val="baseline"/>
        <w:rPr>
          <w:rFonts w:hint="eastAsia" w:ascii="宋体" w:hAnsi="宋体" w:cs="宋体"/>
          <w:szCs w:val="21"/>
        </w:rPr>
      </w:pPr>
      <w:r>
        <w:rPr>
          <w:rFonts w:hint="eastAsia" w:ascii="宋体" w:hAnsi="宋体" w:cs="宋体"/>
          <w:szCs w:val="21"/>
        </w:rPr>
        <w:t>注：供应商必须如实完整填写表格，“偏离情况”是指“正偏离”、“负偏离”或“无偏离”。</w:t>
      </w:r>
    </w:p>
    <w:p w14:paraId="758D72D7">
      <w:pPr>
        <w:widowControl/>
        <w:spacing w:line="360" w:lineRule="auto"/>
        <w:textAlignment w:val="baseline"/>
        <w:rPr>
          <w:rFonts w:hint="eastAsia" w:ascii="宋体" w:hAnsi="宋体" w:cs="宋体"/>
          <w:szCs w:val="21"/>
        </w:rPr>
      </w:pPr>
    </w:p>
    <w:p w14:paraId="4E7B86F5">
      <w:pPr>
        <w:widowControl/>
        <w:spacing w:line="360" w:lineRule="auto"/>
        <w:textAlignment w:val="baseline"/>
        <w:rPr>
          <w:rFonts w:hint="eastAsia" w:ascii="宋体" w:hAnsi="宋体" w:cs="宋体"/>
          <w:szCs w:val="21"/>
        </w:rPr>
      </w:pPr>
      <w:r>
        <w:rPr>
          <w:rFonts w:hint="eastAsia" w:ascii="宋体" w:hAnsi="宋体" w:cs="宋体"/>
          <w:szCs w:val="21"/>
        </w:rPr>
        <w:t xml:space="preserve">              </w:t>
      </w:r>
    </w:p>
    <w:p w14:paraId="73F551B9">
      <w:pPr>
        <w:widowControl/>
        <w:spacing w:line="360" w:lineRule="auto"/>
        <w:ind w:firstLine="2100" w:firstLineChars="10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254D158D">
      <w:pPr>
        <w:widowControl/>
        <w:wordWrap w:val="0"/>
        <w:spacing w:line="460" w:lineRule="exact"/>
        <w:ind w:firstLine="3570" w:firstLineChars="1700"/>
        <w:jc w:val="left"/>
        <w:rPr>
          <w:rFonts w:hint="eastAsia" w:ascii="宋体" w:hAnsi="宋体" w:cs="宋体"/>
          <w:b/>
          <w:kern w:val="0"/>
          <w:sz w:val="32"/>
          <w:szCs w:val="32"/>
        </w:rPr>
      </w:pPr>
      <w:r>
        <w:rPr>
          <w:rFonts w:hint="eastAsia" w:ascii="宋体" w:hAnsi="宋体" w:cs="宋体"/>
          <w:szCs w:val="21"/>
        </w:rPr>
        <w:t>年    月    日</w:t>
      </w:r>
    </w:p>
    <w:p w14:paraId="19409911">
      <w:pPr>
        <w:widowControl/>
        <w:wordWrap w:val="0"/>
        <w:spacing w:line="460" w:lineRule="exact"/>
        <w:ind w:firstLine="643" w:firstLineChars="200"/>
        <w:jc w:val="left"/>
        <w:rPr>
          <w:rFonts w:hint="eastAsia" w:ascii="宋体" w:hAnsi="宋体" w:cs="宋体"/>
          <w:b/>
          <w:kern w:val="0"/>
          <w:sz w:val="32"/>
          <w:szCs w:val="32"/>
        </w:rPr>
        <w:sectPr>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pPr>
    </w:p>
    <w:p w14:paraId="54FA5A9D">
      <w:pPr>
        <w:pStyle w:val="2"/>
        <w:snapToGrid w:val="0"/>
        <w:spacing w:before="20" w:after="20" w:line="360" w:lineRule="auto"/>
        <w:jc w:val="center"/>
        <w:rPr>
          <w:rFonts w:hint="eastAsia" w:ascii="宋体" w:hAnsi="宋体" w:eastAsia="宋体" w:cs="宋体"/>
          <w:sz w:val="28"/>
          <w:szCs w:val="28"/>
        </w:rPr>
      </w:pPr>
      <w:bookmarkStart w:id="90" w:name="_Toc20420"/>
      <w:bookmarkStart w:id="91" w:name="_Toc29960"/>
      <w:bookmarkStart w:id="92" w:name="_Toc24168"/>
      <w:r>
        <w:rPr>
          <w:rFonts w:hint="eastAsia" w:ascii="宋体" w:hAnsi="宋体" w:eastAsia="宋体" w:cs="宋体"/>
          <w:sz w:val="28"/>
          <w:szCs w:val="28"/>
        </w:rPr>
        <w:t>附件</w:t>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            商务响应</w:t>
      </w:r>
      <w:bookmarkEnd w:id="90"/>
      <w:bookmarkEnd w:id="91"/>
      <w:bookmarkEnd w:id="92"/>
      <w:r>
        <w:rPr>
          <w:rFonts w:hint="eastAsia" w:ascii="宋体" w:hAnsi="宋体" w:eastAsia="宋体" w:cs="宋体"/>
          <w:sz w:val="28"/>
          <w:szCs w:val="28"/>
        </w:rPr>
        <w:t>表（格式）</w:t>
      </w:r>
    </w:p>
    <w:p w14:paraId="02719D96">
      <w:pPr>
        <w:widowControl/>
        <w:wordWrap w:val="0"/>
        <w:spacing w:line="460" w:lineRule="exact"/>
        <w:jc w:val="left"/>
        <w:rPr>
          <w:rFonts w:hint="eastAsia" w:ascii="宋体" w:hAnsi="宋体" w:cs="宋体"/>
          <w:b/>
          <w:kern w:val="0"/>
          <w:sz w:val="32"/>
          <w:szCs w:val="32"/>
        </w:rPr>
      </w:pPr>
      <w:r>
        <w:rPr>
          <w:rFonts w:hint="eastAsia" w:ascii="宋体" w:hAnsi="宋体" w:cs="宋体"/>
          <w:b/>
          <w:kern w:val="0"/>
          <w:sz w:val="32"/>
          <w:szCs w:val="32"/>
        </w:rPr>
        <w:t xml:space="preserve">  </w:t>
      </w:r>
    </w:p>
    <w:tbl>
      <w:tblPr>
        <w:tblStyle w:val="92"/>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315AA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vAlign w:val="center"/>
          </w:tcPr>
          <w:p w14:paraId="046B6936">
            <w:pPr>
              <w:widowControl/>
              <w:spacing w:line="360" w:lineRule="auto"/>
              <w:jc w:val="center"/>
              <w:textAlignment w:val="baseline"/>
              <w:rPr>
                <w:rFonts w:hint="eastAsia" w:ascii="宋体" w:hAnsi="宋体" w:cs="宋体"/>
                <w:sz w:val="22"/>
                <w:szCs w:val="22"/>
              </w:rPr>
            </w:pPr>
            <w:r>
              <w:rPr>
                <w:rFonts w:hint="eastAsia" w:ascii="宋体" w:hAnsi="宋体" w:cs="宋体"/>
                <w:sz w:val="22"/>
                <w:szCs w:val="22"/>
              </w:rPr>
              <w:t>序号</w:t>
            </w:r>
          </w:p>
        </w:tc>
        <w:tc>
          <w:tcPr>
            <w:tcW w:w="2301" w:type="dxa"/>
            <w:vAlign w:val="center"/>
          </w:tcPr>
          <w:p w14:paraId="4F2638AD">
            <w:pPr>
              <w:widowControl/>
              <w:spacing w:line="360" w:lineRule="auto"/>
              <w:jc w:val="center"/>
              <w:textAlignment w:val="baseline"/>
              <w:rPr>
                <w:rFonts w:hint="eastAsia" w:ascii="宋体" w:hAnsi="宋体" w:cs="宋体"/>
                <w:sz w:val="22"/>
                <w:szCs w:val="22"/>
              </w:rPr>
            </w:pPr>
            <w:r>
              <w:rPr>
                <w:rFonts w:hint="eastAsia" w:ascii="宋体" w:hAnsi="宋体" w:cs="宋体"/>
                <w:sz w:val="22"/>
                <w:szCs w:val="22"/>
              </w:rPr>
              <w:t>项目</w:t>
            </w:r>
          </w:p>
        </w:tc>
        <w:tc>
          <w:tcPr>
            <w:tcW w:w="2198" w:type="dxa"/>
            <w:vAlign w:val="center"/>
          </w:tcPr>
          <w:p w14:paraId="6A4DE52B">
            <w:pPr>
              <w:widowControl/>
              <w:spacing w:line="360" w:lineRule="auto"/>
              <w:jc w:val="center"/>
              <w:textAlignment w:val="baseline"/>
              <w:rPr>
                <w:rFonts w:hint="eastAsia" w:ascii="宋体" w:hAnsi="宋体" w:cs="宋体"/>
                <w:sz w:val="22"/>
                <w:szCs w:val="22"/>
              </w:rPr>
            </w:pPr>
            <w:r>
              <w:rPr>
                <w:rFonts w:hint="eastAsia" w:ascii="宋体" w:hAnsi="宋体" w:cs="宋体"/>
                <w:sz w:val="22"/>
                <w:szCs w:val="22"/>
              </w:rPr>
              <w:t>磋商文件要求</w:t>
            </w:r>
          </w:p>
        </w:tc>
        <w:tc>
          <w:tcPr>
            <w:tcW w:w="2038" w:type="dxa"/>
            <w:vAlign w:val="center"/>
          </w:tcPr>
          <w:p w14:paraId="0105C6CA">
            <w:pPr>
              <w:widowControl/>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rPr>
              <w:t>响应文件响应</w:t>
            </w:r>
          </w:p>
        </w:tc>
        <w:tc>
          <w:tcPr>
            <w:tcW w:w="1349" w:type="dxa"/>
            <w:vAlign w:val="center"/>
          </w:tcPr>
          <w:p w14:paraId="6AFFBC54">
            <w:pPr>
              <w:widowControl/>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rPr>
              <w:t>偏离情况</w:t>
            </w:r>
          </w:p>
        </w:tc>
        <w:tc>
          <w:tcPr>
            <w:tcW w:w="1349" w:type="dxa"/>
            <w:vAlign w:val="center"/>
          </w:tcPr>
          <w:p w14:paraId="791E6064">
            <w:pPr>
              <w:widowControl/>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rPr>
              <w:t>备注</w:t>
            </w:r>
          </w:p>
        </w:tc>
      </w:tr>
      <w:tr w14:paraId="27B7E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3301454C">
            <w:pPr>
              <w:widowControl/>
              <w:spacing w:line="360" w:lineRule="auto"/>
              <w:jc w:val="center"/>
              <w:textAlignment w:val="baseline"/>
              <w:rPr>
                <w:rFonts w:hint="eastAsia" w:ascii="宋体" w:hAnsi="宋体" w:cs="宋体"/>
                <w:sz w:val="22"/>
                <w:szCs w:val="22"/>
                <w:highlight w:val="none"/>
              </w:rPr>
            </w:pPr>
            <w:r>
              <w:rPr>
                <w:rFonts w:hint="eastAsia" w:ascii="宋体" w:hAnsi="宋体" w:cs="宋体"/>
                <w:sz w:val="22"/>
                <w:szCs w:val="22"/>
                <w:highlight w:val="none"/>
              </w:rPr>
              <w:t>1</w:t>
            </w:r>
          </w:p>
        </w:tc>
        <w:tc>
          <w:tcPr>
            <w:tcW w:w="2301" w:type="dxa"/>
            <w:vAlign w:val="center"/>
          </w:tcPr>
          <w:p w14:paraId="549D9542">
            <w:pPr>
              <w:pStyle w:val="15"/>
              <w:jc w:val="center"/>
              <w:rPr>
                <w:rFonts w:hint="eastAsia"/>
                <w:sz w:val="22"/>
                <w:szCs w:val="22"/>
                <w:highlight w:val="none"/>
              </w:rPr>
            </w:pPr>
            <w:r>
              <w:rPr>
                <w:rFonts w:hint="eastAsia"/>
                <w:sz w:val="22"/>
                <w:szCs w:val="22"/>
                <w:highlight w:val="none"/>
                <w:lang w:val="en-US" w:eastAsia="zh-CN"/>
              </w:rPr>
              <w:t>服务期限</w:t>
            </w:r>
          </w:p>
        </w:tc>
        <w:tc>
          <w:tcPr>
            <w:tcW w:w="2198" w:type="dxa"/>
            <w:vAlign w:val="center"/>
          </w:tcPr>
          <w:p w14:paraId="59ACFF30">
            <w:pPr>
              <w:widowControl/>
              <w:spacing w:line="360" w:lineRule="auto"/>
              <w:jc w:val="center"/>
              <w:textAlignment w:val="baseline"/>
              <w:rPr>
                <w:rFonts w:hint="eastAsia" w:ascii="宋体" w:hAnsi="宋体" w:cs="宋体"/>
                <w:sz w:val="22"/>
                <w:szCs w:val="22"/>
              </w:rPr>
            </w:pPr>
          </w:p>
        </w:tc>
        <w:tc>
          <w:tcPr>
            <w:tcW w:w="2038" w:type="dxa"/>
            <w:vAlign w:val="center"/>
          </w:tcPr>
          <w:p w14:paraId="7A38E81D">
            <w:pPr>
              <w:widowControl/>
              <w:spacing w:line="360" w:lineRule="auto"/>
              <w:jc w:val="center"/>
              <w:textAlignment w:val="baseline"/>
              <w:rPr>
                <w:rFonts w:hint="eastAsia" w:ascii="宋体" w:hAnsi="宋体" w:eastAsia="宋体" w:cs="宋体"/>
                <w:sz w:val="22"/>
                <w:szCs w:val="22"/>
              </w:rPr>
            </w:pPr>
          </w:p>
        </w:tc>
        <w:tc>
          <w:tcPr>
            <w:tcW w:w="1349" w:type="dxa"/>
            <w:vAlign w:val="center"/>
          </w:tcPr>
          <w:p w14:paraId="68397382">
            <w:pPr>
              <w:widowControl/>
              <w:spacing w:line="360" w:lineRule="auto"/>
              <w:jc w:val="center"/>
              <w:textAlignment w:val="baseline"/>
              <w:rPr>
                <w:rFonts w:hint="eastAsia" w:ascii="宋体" w:hAnsi="宋体" w:eastAsia="宋体" w:cs="宋体"/>
                <w:sz w:val="22"/>
                <w:szCs w:val="22"/>
              </w:rPr>
            </w:pPr>
          </w:p>
        </w:tc>
        <w:tc>
          <w:tcPr>
            <w:tcW w:w="1349" w:type="dxa"/>
            <w:vAlign w:val="center"/>
          </w:tcPr>
          <w:p w14:paraId="63A4F05E">
            <w:pPr>
              <w:widowControl/>
              <w:spacing w:line="360" w:lineRule="auto"/>
              <w:jc w:val="center"/>
              <w:textAlignment w:val="baseline"/>
              <w:rPr>
                <w:rFonts w:hint="eastAsia" w:ascii="宋体" w:hAnsi="宋体" w:eastAsia="宋体" w:cs="宋体"/>
                <w:sz w:val="22"/>
                <w:szCs w:val="22"/>
              </w:rPr>
            </w:pPr>
          </w:p>
        </w:tc>
      </w:tr>
      <w:tr w14:paraId="4A534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095911A1">
            <w:pPr>
              <w:widowControl/>
              <w:spacing w:line="360" w:lineRule="auto"/>
              <w:jc w:val="center"/>
              <w:textAlignment w:val="baseline"/>
              <w:rPr>
                <w:rFonts w:hint="eastAsia" w:ascii="宋体" w:hAnsi="宋体" w:cs="宋体"/>
                <w:sz w:val="22"/>
                <w:szCs w:val="22"/>
                <w:highlight w:val="none"/>
              </w:rPr>
            </w:pPr>
            <w:r>
              <w:rPr>
                <w:rFonts w:hint="eastAsia" w:ascii="宋体" w:hAnsi="宋体" w:cs="宋体"/>
                <w:sz w:val="22"/>
                <w:szCs w:val="22"/>
                <w:highlight w:val="none"/>
              </w:rPr>
              <w:t>2</w:t>
            </w:r>
          </w:p>
        </w:tc>
        <w:tc>
          <w:tcPr>
            <w:tcW w:w="2301" w:type="dxa"/>
            <w:vAlign w:val="center"/>
          </w:tcPr>
          <w:p w14:paraId="5BD596C3">
            <w:pPr>
              <w:pStyle w:val="15"/>
              <w:jc w:val="center"/>
              <w:rPr>
                <w:rFonts w:hint="eastAsia"/>
                <w:sz w:val="22"/>
                <w:szCs w:val="22"/>
                <w:highlight w:val="none"/>
              </w:rPr>
            </w:pPr>
            <w:r>
              <w:rPr>
                <w:rFonts w:hint="eastAsia"/>
                <w:sz w:val="22"/>
                <w:szCs w:val="22"/>
                <w:highlight w:val="none"/>
                <w:lang w:val="en-US" w:eastAsia="zh-CN"/>
              </w:rPr>
              <w:t>售后服务及其他要求</w:t>
            </w:r>
          </w:p>
        </w:tc>
        <w:tc>
          <w:tcPr>
            <w:tcW w:w="2198" w:type="dxa"/>
            <w:vAlign w:val="center"/>
          </w:tcPr>
          <w:p w14:paraId="3B53EEFF">
            <w:pPr>
              <w:widowControl/>
              <w:spacing w:line="360" w:lineRule="auto"/>
              <w:jc w:val="center"/>
              <w:textAlignment w:val="baseline"/>
              <w:rPr>
                <w:rFonts w:hint="eastAsia" w:ascii="宋体" w:hAnsi="宋体" w:cs="宋体"/>
                <w:sz w:val="22"/>
                <w:szCs w:val="22"/>
              </w:rPr>
            </w:pPr>
          </w:p>
        </w:tc>
        <w:tc>
          <w:tcPr>
            <w:tcW w:w="2038" w:type="dxa"/>
            <w:vAlign w:val="center"/>
          </w:tcPr>
          <w:p w14:paraId="00F72318">
            <w:pPr>
              <w:widowControl/>
              <w:spacing w:line="360" w:lineRule="auto"/>
              <w:jc w:val="center"/>
              <w:textAlignment w:val="baseline"/>
              <w:rPr>
                <w:rFonts w:hint="eastAsia" w:ascii="宋体" w:hAnsi="宋体" w:cs="宋体"/>
                <w:sz w:val="22"/>
                <w:szCs w:val="22"/>
              </w:rPr>
            </w:pPr>
          </w:p>
        </w:tc>
        <w:tc>
          <w:tcPr>
            <w:tcW w:w="1349" w:type="dxa"/>
            <w:vAlign w:val="center"/>
          </w:tcPr>
          <w:p w14:paraId="4DDE7497">
            <w:pPr>
              <w:widowControl/>
              <w:spacing w:line="360" w:lineRule="auto"/>
              <w:jc w:val="center"/>
              <w:textAlignment w:val="baseline"/>
              <w:rPr>
                <w:rFonts w:hint="eastAsia" w:ascii="宋体" w:hAnsi="宋体" w:cs="宋体"/>
                <w:sz w:val="22"/>
                <w:szCs w:val="22"/>
              </w:rPr>
            </w:pPr>
          </w:p>
        </w:tc>
        <w:tc>
          <w:tcPr>
            <w:tcW w:w="1349" w:type="dxa"/>
            <w:vAlign w:val="center"/>
          </w:tcPr>
          <w:p w14:paraId="1BD243D4">
            <w:pPr>
              <w:widowControl/>
              <w:spacing w:line="360" w:lineRule="auto"/>
              <w:jc w:val="center"/>
              <w:textAlignment w:val="baseline"/>
              <w:rPr>
                <w:rFonts w:hint="eastAsia" w:ascii="宋体" w:hAnsi="宋体" w:cs="宋体"/>
                <w:sz w:val="22"/>
                <w:szCs w:val="22"/>
              </w:rPr>
            </w:pPr>
          </w:p>
        </w:tc>
      </w:tr>
    </w:tbl>
    <w:p w14:paraId="600A8DCB">
      <w:pPr>
        <w:rPr>
          <w:rFonts w:hint="eastAsia" w:ascii="宋体" w:hAnsi="宋体" w:cs="宋体"/>
          <w:b/>
          <w:kern w:val="0"/>
          <w:szCs w:val="21"/>
        </w:rPr>
      </w:pPr>
    </w:p>
    <w:p w14:paraId="077A514A">
      <w:pPr>
        <w:widowControl/>
        <w:spacing w:line="360" w:lineRule="auto"/>
        <w:textAlignment w:val="baseline"/>
        <w:rPr>
          <w:rFonts w:hint="eastAsia" w:ascii="宋体" w:hAnsi="宋体" w:cs="宋体"/>
          <w:szCs w:val="21"/>
        </w:rPr>
      </w:pPr>
      <w:r>
        <w:rPr>
          <w:rFonts w:hint="eastAsia" w:ascii="宋体" w:hAnsi="宋体" w:cs="宋体"/>
          <w:szCs w:val="21"/>
        </w:rPr>
        <w:t>注：供应商必须如实完整填写表格，“偏离情况”是指“正偏离”、“负偏离”或“无偏离”。</w:t>
      </w:r>
    </w:p>
    <w:p w14:paraId="4A4041C6">
      <w:pPr>
        <w:pStyle w:val="32"/>
        <w:ind w:firstLine="210"/>
        <w:rPr>
          <w:rFonts w:hint="eastAsia" w:ascii="宋体" w:hAnsi="宋体" w:cs="宋体"/>
        </w:rPr>
      </w:pPr>
    </w:p>
    <w:p w14:paraId="7EFDC829">
      <w:pPr>
        <w:widowControl/>
        <w:spacing w:line="360" w:lineRule="auto"/>
        <w:ind w:firstLine="3360" w:firstLineChars="1600"/>
        <w:textAlignment w:val="baseline"/>
        <w:rPr>
          <w:rFonts w:hint="eastAsia" w:ascii="宋体" w:hAnsi="宋体" w:cs="宋体"/>
          <w:szCs w:val="21"/>
        </w:rPr>
      </w:pPr>
    </w:p>
    <w:p w14:paraId="1B695159">
      <w:pPr>
        <w:widowControl/>
        <w:spacing w:line="360" w:lineRule="auto"/>
        <w:ind w:firstLine="3360" w:firstLineChars="1600"/>
        <w:textAlignment w:val="baseline"/>
        <w:rPr>
          <w:rFonts w:hint="eastAsia" w:ascii="宋体" w:hAnsi="宋体" w:cs="宋体"/>
          <w:szCs w:val="21"/>
        </w:rPr>
      </w:pPr>
    </w:p>
    <w:p w14:paraId="289A4833">
      <w:pPr>
        <w:widowControl/>
        <w:spacing w:line="360" w:lineRule="auto"/>
        <w:ind w:firstLine="3360" w:firstLineChars="1600"/>
        <w:textAlignment w:val="baseline"/>
        <w:rPr>
          <w:rFonts w:hint="eastAsia" w:ascii="宋体" w:hAnsi="宋体" w:cs="宋体"/>
          <w:szCs w:val="21"/>
        </w:rPr>
      </w:pPr>
    </w:p>
    <w:p w14:paraId="0C8CFC4F">
      <w:pPr>
        <w:widowControl/>
        <w:spacing w:line="360" w:lineRule="auto"/>
        <w:ind w:firstLine="3360" w:firstLineChars="16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02EB930A">
      <w:pPr>
        <w:widowControl/>
        <w:spacing w:line="360" w:lineRule="auto"/>
        <w:ind w:firstLine="4410" w:firstLineChars="2100"/>
        <w:textAlignment w:val="baseline"/>
        <w:rPr>
          <w:rFonts w:hint="eastAsia" w:ascii="宋体" w:hAnsi="宋体" w:cs="宋体"/>
          <w:sz w:val="24"/>
        </w:rPr>
      </w:pPr>
      <w:r>
        <w:rPr>
          <w:rFonts w:hint="eastAsia" w:ascii="宋体" w:hAnsi="宋体" w:cs="宋体"/>
          <w:szCs w:val="21"/>
        </w:rPr>
        <w:t>年    月    日</w:t>
      </w:r>
    </w:p>
    <w:p w14:paraId="7F5308F0">
      <w:pPr>
        <w:rPr>
          <w:rFonts w:hint="eastAsia" w:ascii="宋体" w:hAnsi="宋体" w:cs="宋体"/>
        </w:rPr>
      </w:pPr>
    </w:p>
    <w:p w14:paraId="4B49EA48">
      <w:pPr>
        <w:rPr>
          <w:rFonts w:hint="eastAsia" w:ascii="宋体" w:hAnsi="宋体" w:cs="宋体"/>
        </w:rPr>
      </w:pPr>
    </w:p>
    <w:p w14:paraId="67AA3891">
      <w:pPr>
        <w:rPr>
          <w:rFonts w:hint="eastAsia" w:ascii="宋体" w:hAnsi="宋体" w:cs="宋体"/>
        </w:rPr>
      </w:pPr>
    </w:p>
    <w:p w14:paraId="5201B336">
      <w:pPr>
        <w:rPr>
          <w:rFonts w:hint="eastAsia" w:ascii="宋体" w:hAnsi="宋体" w:cs="宋体"/>
        </w:rPr>
      </w:pPr>
    </w:p>
    <w:p w14:paraId="0AF71BE3">
      <w:pPr>
        <w:rPr>
          <w:rFonts w:hint="eastAsia" w:ascii="宋体" w:hAnsi="宋体" w:cs="宋体"/>
        </w:rPr>
      </w:pPr>
    </w:p>
    <w:p w14:paraId="289658B2">
      <w:pPr>
        <w:rPr>
          <w:rFonts w:hint="eastAsia" w:ascii="宋体" w:hAnsi="宋体" w:cs="宋体"/>
        </w:rPr>
      </w:pPr>
    </w:p>
    <w:p w14:paraId="5E358277">
      <w:pPr>
        <w:rPr>
          <w:rFonts w:hint="eastAsia" w:ascii="宋体" w:hAnsi="宋体" w:cs="宋体"/>
        </w:rPr>
      </w:pPr>
    </w:p>
    <w:p w14:paraId="5637A3E9">
      <w:pPr>
        <w:rPr>
          <w:rFonts w:hint="eastAsia" w:ascii="宋体" w:hAnsi="宋体" w:cs="宋体"/>
        </w:rPr>
      </w:pPr>
    </w:p>
    <w:p w14:paraId="347F9C34">
      <w:pPr>
        <w:rPr>
          <w:rFonts w:hint="eastAsia" w:ascii="宋体" w:hAnsi="宋体" w:cs="宋体"/>
        </w:rPr>
      </w:pPr>
    </w:p>
    <w:p w14:paraId="68848D29">
      <w:pPr>
        <w:rPr>
          <w:rFonts w:hint="eastAsia" w:ascii="宋体" w:hAnsi="宋体" w:cs="宋体"/>
        </w:rPr>
      </w:pPr>
    </w:p>
    <w:p w14:paraId="65D810F5">
      <w:pPr>
        <w:rPr>
          <w:rFonts w:hint="eastAsia" w:ascii="宋体" w:hAnsi="宋体" w:cs="宋体"/>
        </w:rPr>
      </w:pPr>
    </w:p>
    <w:p w14:paraId="7E54A3B3">
      <w:pPr>
        <w:rPr>
          <w:rFonts w:hint="eastAsia" w:ascii="宋体" w:hAnsi="宋体" w:cs="宋体"/>
        </w:rPr>
      </w:pPr>
    </w:p>
    <w:p w14:paraId="122E4998">
      <w:pPr>
        <w:rPr>
          <w:rFonts w:hint="eastAsia" w:ascii="宋体" w:hAnsi="宋体" w:cs="宋体"/>
        </w:rPr>
      </w:pPr>
    </w:p>
    <w:p w14:paraId="46F8866C">
      <w:pPr>
        <w:rPr>
          <w:rFonts w:hint="eastAsia" w:ascii="宋体" w:hAnsi="宋体" w:cs="宋体"/>
        </w:rPr>
      </w:pPr>
    </w:p>
    <w:p w14:paraId="6B1ACE23">
      <w:pPr>
        <w:rPr>
          <w:rFonts w:hint="eastAsia" w:ascii="宋体" w:hAnsi="宋体" w:cs="宋体"/>
        </w:rPr>
      </w:pPr>
    </w:p>
    <w:p w14:paraId="44DD7B47">
      <w:pPr>
        <w:rPr>
          <w:rFonts w:hint="eastAsia" w:ascii="宋体" w:hAnsi="宋体" w:cs="宋体"/>
          <w:b/>
          <w:sz w:val="28"/>
        </w:rPr>
      </w:pPr>
      <w:bookmarkStart w:id="93" w:name="_Toc31526"/>
      <w:bookmarkStart w:id="94" w:name="_Toc28621"/>
      <w:r>
        <w:rPr>
          <w:rFonts w:hint="eastAsia" w:ascii="宋体" w:hAnsi="宋体" w:cs="宋体"/>
          <w:b/>
          <w:sz w:val="28"/>
        </w:rPr>
        <w:br w:type="page"/>
      </w:r>
    </w:p>
    <w:p w14:paraId="4F6731A3">
      <w:pPr>
        <w:pStyle w:val="2"/>
        <w:snapToGrid w:val="0"/>
        <w:spacing w:before="20" w:after="20" w:line="360" w:lineRule="auto"/>
        <w:jc w:val="center"/>
        <w:rPr>
          <w:rFonts w:hint="eastAsia" w:ascii="宋体" w:hAnsi="宋体" w:eastAsia="宋体" w:cs="宋体"/>
          <w:sz w:val="28"/>
          <w:szCs w:val="28"/>
        </w:rPr>
      </w:pPr>
      <w:bookmarkStart w:id="95" w:name="_Toc29406"/>
      <w:r>
        <w:rPr>
          <w:rFonts w:hint="eastAsia" w:ascii="宋体" w:hAnsi="宋体" w:eastAsia="宋体" w:cs="宋体"/>
          <w:sz w:val="28"/>
          <w:szCs w:val="28"/>
        </w:rPr>
        <w:t>附件</w:t>
      </w: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         法定代表人身份证明（格式）</w:t>
      </w:r>
      <w:bookmarkEnd w:id="93"/>
      <w:bookmarkEnd w:id="94"/>
      <w:bookmarkEnd w:id="95"/>
    </w:p>
    <w:p w14:paraId="3302750B">
      <w:pPr>
        <w:widowControl/>
        <w:wordWrap w:val="0"/>
        <w:spacing w:line="460" w:lineRule="exact"/>
        <w:jc w:val="left"/>
        <w:rPr>
          <w:rFonts w:hint="eastAsia" w:ascii="宋体" w:hAnsi="宋体" w:cs="宋体"/>
          <w:kern w:val="0"/>
          <w:sz w:val="24"/>
        </w:rPr>
      </w:pPr>
    </w:p>
    <w:p w14:paraId="4C391658">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供应商名称：</w:t>
      </w:r>
      <w:r>
        <w:rPr>
          <w:rFonts w:hint="eastAsia" w:ascii="宋体" w:hAnsi="宋体" w:cs="宋体"/>
          <w:kern w:val="0"/>
          <w:szCs w:val="21"/>
          <w:u w:val="single"/>
        </w:rPr>
        <w:t xml:space="preserve">                                </w:t>
      </w:r>
    </w:p>
    <w:p w14:paraId="05EC9F06">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Cs w:val="21"/>
          <w:u w:val="single"/>
        </w:rPr>
        <w:t xml:space="preserve">                                        </w:t>
      </w:r>
    </w:p>
    <w:p w14:paraId="0A7A5B31">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rPr>
        <w:t>成立时间：</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 xml:space="preserve">年 </w:t>
      </w:r>
      <w:r>
        <w:rPr>
          <w:rFonts w:hint="eastAsia" w:ascii="宋体" w:hAnsi="宋体" w:cs="宋体"/>
          <w:kern w:val="0"/>
          <w:szCs w:val="21"/>
          <w:u w:val="single"/>
        </w:rPr>
        <w:t xml:space="preserve">        </w:t>
      </w:r>
      <w:r>
        <w:rPr>
          <w:rFonts w:hint="eastAsia" w:ascii="宋体" w:hAnsi="宋体" w:cs="宋体"/>
          <w:kern w:val="0"/>
          <w:sz w:val="24"/>
          <w:szCs w:val="20"/>
        </w:rPr>
        <w:t xml:space="preserve">月 </w:t>
      </w:r>
      <w:r>
        <w:rPr>
          <w:rFonts w:hint="eastAsia" w:ascii="宋体" w:hAnsi="宋体" w:cs="宋体"/>
          <w:kern w:val="0"/>
          <w:szCs w:val="21"/>
          <w:u w:val="single"/>
        </w:rPr>
        <w:t xml:space="preserve">        </w:t>
      </w:r>
      <w:r>
        <w:rPr>
          <w:rFonts w:hint="eastAsia" w:ascii="宋体" w:hAnsi="宋体" w:cs="宋体"/>
          <w:kern w:val="0"/>
          <w:sz w:val="24"/>
          <w:szCs w:val="20"/>
        </w:rPr>
        <w:t>日</w:t>
      </w:r>
    </w:p>
    <w:p w14:paraId="520E397A">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Cs w:val="21"/>
          <w:u w:val="single"/>
        </w:rPr>
        <w:t xml:space="preserve">                        </w:t>
      </w:r>
    </w:p>
    <w:p w14:paraId="13DE0A8E">
      <w:pPr>
        <w:widowControl/>
        <w:wordWrap w:val="0"/>
        <w:spacing w:line="460" w:lineRule="exact"/>
        <w:ind w:firstLine="480" w:firstLineChars="200"/>
        <w:jc w:val="left"/>
        <w:rPr>
          <w:rFonts w:hint="eastAsia" w:ascii="宋体" w:hAnsi="宋体" w:cs="宋体"/>
          <w:kern w:val="0"/>
          <w:szCs w:val="21"/>
          <w:u w:val="single"/>
        </w:rPr>
      </w:pPr>
      <w:r>
        <w:rPr>
          <w:rFonts w:hint="eastAsia" w:ascii="宋体" w:hAnsi="宋体" w:cs="宋体"/>
          <w:kern w:val="0"/>
          <w:sz w:val="24"/>
        </w:rPr>
        <w:t>姓名：</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，性别：</w:t>
      </w:r>
      <w:r>
        <w:rPr>
          <w:rFonts w:hint="eastAsia" w:ascii="宋体" w:hAnsi="宋体" w:cs="宋体"/>
          <w:kern w:val="0"/>
          <w:szCs w:val="21"/>
          <w:u w:val="single"/>
        </w:rPr>
        <w:t xml:space="preserve">        </w:t>
      </w:r>
      <w:r>
        <w:rPr>
          <w:rFonts w:hint="eastAsia" w:ascii="宋体" w:hAnsi="宋体" w:cs="宋体"/>
          <w:kern w:val="0"/>
          <w:sz w:val="24"/>
          <w:szCs w:val="20"/>
        </w:rPr>
        <w:t>，年龄：</w:t>
      </w:r>
      <w:r>
        <w:rPr>
          <w:rFonts w:hint="eastAsia" w:ascii="宋体" w:hAnsi="宋体" w:cs="宋体"/>
          <w:kern w:val="0"/>
          <w:szCs w:val="21"/>
          <w:u w:val="single"/>
        </w:rPr>
        <w:t xml:space="preserve">        </w:t>
      </w:r>
      <w:r>
        <w:rPr>
          <w:rFonts w:hint="eastAsia" w:ascii="宋体" w:hAnsi="宋体" w:cs="宋体"/>
          <w:kern w:val="0"/>
          <w:sz w:val="24"/>
          <w:szCs w:val="20"/>
        </w:rPr>
        <w:t>，职务：</w:t>
      </w:r>
      <w:r>
        <w:rPr>
          <w:rFonts w:hint="eastAsia" w:ascii="宋体" w:hAnsi="宋体" w:cs="宋体"/>
          <w:kern w:val="0"/>
          <w:szCs w:val="21"/>
          <w:u w:val="single"/>
        </w:rPr>
        <w:t xml:space="preserve">        </w:t>
      </w:r>
    </w:p>
    <w:p w14:paraId="1908F8D0">
      <w:pPr>
        <w:widowControl/>
        <w:wordWrap w:val="0"/>
        <w:spacing w:line="460" w:lineRule="exact"/>
        <w:jc w:val="left"/>
        <w:rPr>
          <w:rFonts w:hint="eastAsia" w:ascii="宋体" w:hAnsi="宋体" w:cs="宋体"/>
          <w:kern w:val="0"/>
          <w:sz w:val="24"/>
          <w:szCs w:val="20"/>
        </w:rPr>
      </w:pPr>
      <w:r>
        <w:rPr>
          <w:rFonts w:hint="eastAsia" w:ascii="宋体" w:hAnsi="宋体" w:cs="宋体"/>
          <w:kern w:val="0"/>
          <w:sz w:val="24"/>
          <w:szCs w:val="20"/>
        </w:rPr>
        <w:t>系</w:t>
      </w:r>
      <w:r>
        <w:rPr>
          <w:rFonts w:hint="eastAsia" w:ascii="宋体" w:hAnsi="宋体" w:cs="宋体"/>
          <w:kern w:val="0"/>
          <w:szCs w:val="21"/>
          <w:u w:val="single"/>
        </w:rPr>
        <w:t xml:space="preserve">                </w:t>
      </w:r>
      <w:r>
        <w:rPr>
          <w:rFonts w:hint="eastAsia" w:ascii="宋体" w:hAnsi="宋体" w:cs="宋体"/>
          <w:kern w:val="0"/>
          <w:sz w:val="24"/>
          <w:szCs w:val="20"/>
        </w:rPr>
        <w:t>（供应商名称）的法定代表人。</w:t>
      </w:r>
    </w:p>
    <w:p w14:paraId="35B8300B">
      <w:pPr>
        <w:widowControl/>
        <w:wordWrap w:val="0"/>
        <w:spacing w:line="460" w:lineRule="exact"/>
        <w:jc w:val="left"/>
        <w:rPr>
          <w:rFonts w:hint="eastAsia" w:ascii="宋体" w:hAnsi="宋体" w:cs="宋体"/>
          <w:kern w:val="0"/>
          <w:sz w:val="24"/>
          <w:szCs w:val="20"/>
        </w:rPr>
      </w:pPr>
    </w:p>
    <w:p w14:paraId="2753F8BA">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szCs w:val="20"/>
        </w:rPr>
        <w:t>特此证明。</w:t>
      </w:r>
    </w:p>
    <w:p w14:paraId="3D2F0B6C">
      <w:pPr>
        <w:widowControl/>
        <w:wordWrap w:val="0"/>
        <w:spacing w:line="460" w:lineRule="exact"/>
        <w:jc w:val="left"/>
        <w:rPr>
          <w:rFonts w:hint="eastAsia" w:ascii="宋体" w:hAnsi="宋体" w:cs="宋体"/>
          <w:kern w:val="0"/>
          <w:sz w:val="24"/>
          <w:szCs w:val="20"/>
        </w:rPr>
      </w:pPr>
    </w:p>
    <w:p w14:paraId="2B9A1A53">
      <w:pPr>
        <w:widowControl/>
        <w:wordWrap w:val="0"/>
        <w:spacing w:before="319" w:beforeLines="100" w:after="319" w:afterLines="100" w:line="480" w:lineRule="exact"/>
        <w:jc w:val="center"/>
        <w:rPr>
          <w:rFonts w:hint="eastAsia" w:ascii="宋体" w:hAnsi="宋体" w:cs="宋体"/>
          <w:b/>
          <w:kern w:val="0"/>
          <w:sz w:val="36"/>
          <w:szCs w:val="36"/>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4C3A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68ECC16B">
            <w:pPr>
              <w:widowControl/>
              <w:spacing w:line="480" w:lineRule="exact"/>
              <w:jc w:val="left"/>
              <w:rPr>
                <w:rFonts w:hint="eastAsia" w:ascii="宋体" w:hAnsi="宋体" w:cs="宋体"/>
                <w:bCs/>
                <w:kern w:val="0"/>
                <w:sz w:val="24"/>
              </w:rPr>
            </w:pPr>
            <w:r>
              <w:rPr>
                <w:rFonts w:hint="eastAsia" w:ascii="宋体" w:hAnsi="宋体" w:cs="宋体"/>
                <w:bCs/>
                <w:kern w:val="0"/>
                <w:sz w:val="24"/>
              </w:rPr>
              <w:t>此处请粘贴法定代表人身份证复印件</w:t>
            </w:r>
          </w:p>
          <w:p w14:paraId="08B67404">
            <w:pPr>
              <w:widowControl/>
              <w:spacing w:line="480" w:lineRule="exact"/>
              <w:jc w:val="left"/>
              <w:rPr>
                <w:rFonts w:hint="eastAsia" w:ascii="宋体" w:hAnsi="宋体" w:cs="宋体"/>
                <w:kern w:val="0"/>
                <w:sz w:val="24"/>
              </w:rPr>
            </w:pPr>
          </w:p>
          <w:p w14:paraId="7D00656C">
            <w:pPr>
              <w:widowControl/>
              <w:spacing w:line="480" w:lineRule="exact"/>
              <w:jc w:val="left"/>
              <w:rPr>
                <w:rFonts w:hint="eastAsia" w:ascii="宋体" w:hAnsi="宋体" w:cs="宋体"/>
                <w:kern w:val="0"/>
                <w:sz w:val="24"/>
              </w:rPr>
            </w:pPr>
          </w:p>
        </w:tc>
      </w:tr>
    </w:tbl>
    <w:p w14:paraId="109C612B">
      <w:pPr>
        <w:widowControl/>
        <w:wordWrap w:val="0"/>
        <w:spacing w:before="319" w:beforeLines="100" w:after="319" w:afterLines="100" w:line="480" w:lineRule="exact"/>
        <w:jc w:val="center"/>
        <w:rPr>
          <w:rFonts w:hint="eastAsia" w:ascii="宋体" w:hAnsi="宋体" w:cs="宋体"/>
          <w:b/>
          <w:kern w:val="0"/>
          <w:sz w:val="24"/>
        </w:rPr>
      </w:pPr>
    </w:p>
    <w:p w14:paraId="549BA32F">
      <w:pPr>
        <w:widowControl/>
        <w:wordWrap w:val="0"/>
        <w:spacing w:before="319" w:beforeLines="100" w:after="319" w:afterLines="100" w:line="480" w:lineRule="exact"/>
        <w:jc w:val="center"/>
        <w:rPr>
          <w:rFonts w:hint="eastAsia" w:ascii="宋体" w:hAnsi="宋体" w:cs="宋体"/>
          <w:b/>
          <w:kern w:val="0"/>
          <w:sz w:val="36"/>
          <w:szCs w:val="36"/>
        </w:rPr>
      </w:pPr>
    </w:p>
    <w:p w14:paraId="34D3805C">
      <w:pPr>
        <w:widowControl/>
        <w:wordWrap w:val="0"/>
        <w:spacing w:before="319" w:beforeLines="100" w:after="319" w:afterLines="100" w:line="480" w:lineRule="exact"/>
        <w:jc w:val="center"/>
        <w:rPr>
          <w:rFonts w:hint="eastAsia" w:ascii="宋体" w:hAnsi="宋体" w:cs="宋体"/>
          <w:b/>
          <w:kern w:val="0"/>
          <w:sz w:val="36"/>
          <w:szCs w:val="36"/>
        </w:rPr>
      </w:pPr>
    </w:p>
    <w:p w14:paraId="62CDA9E9">
      <w:pPr>
        <w:widowControl/>
        <w:wordWrap w:val="0"/>
        <w:spacing w:line="480" w:lineRule="exact"/>
        <w:jc w:val="right"/>
        <w:rPr>
          <w:rFonts w:hint="eastAsia" w:ascii="宋体" w:hAnsi="宋体" w:cs="宋体"/>
          <w:kern w:val="0"/>
          <w:sz w:val="24"/>
        </w:rPr>
      </w:pPr>
    </w:p>
    <w:p w14:paraId="23DFFC4B">
      <w:pPr>
        <w:widowControl/>
        <w:wordWrap w:val="0"/>
        <w:spacing w:line="480" w:lineRule="exact"/>
        <w:jc w:val="right"/>
        <w:rPr>
          <w:rFonts w:hint="eastAsia" w:ascii="宋体" w:hAnsi="宋体" w:cs="宋体"/>
          <w:kern w:val="0"/>
          <w:sz w:val="24"/>
        </w:rPr>
      </w:pPr>
    </w:p>
    <w:p w14:paraId="6C4753B6">
      <w:pPr>
        <w:widowControl/>
        <w:wordWrap w:val="0"/>
        <w:snapToGrid w:val="0"/>
        <w:spacing w:line="460" w:lineRule="exact"/>
        <w:ind w:firstLine="2760" w:firstLineChars="1150"/>
        <w:jc w:val="left"/>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2F3C4869">
      <w:pPr>
        <w:widowControl/>
        <w:wordWrap w:val="0"/>
        <w:spacing w:line="460" w:lineRule="exact"/>
        <w:ind w:left="3780" w:leftChars="1800" w:firstLine="480" w:firstLineChars="200"/>
        <w:jc w:val="left"/>
        <w:rPr>
          <w:rFonts w:hint="eastAsia" w:ascii="宋体" w:hAnsi="宋体" w:cs="宋体"/>
          <w:kern w:val="0"/>
          <w:sz w:val="24"/>
        </w:rPr>
      </w:pPr>
      <w:r>
        <w:rPr>
          <w:rFonts w:hint="eastAsia" w:ascii="宋体" w:hAnsi="宋体" w:cs="宋体"/>
          <w:kern w:val="0"/>
          <w:sz w:val="24"/>
        </w:rPr>
        <w:t>年    月    日</w:t>
      </w:r>
    </w:p>
    <w:p w14:paraId="2FFC6EF5">
      <w:pPr>
        <w:rPr>
          <w:rFonts w:hint="eastAsia" w:ascii="宋体" w:hAnsi="宋体" w:cs="宋体"/>
        </w:rPr>
      </w:pPr>
    </w:p>
    <w:p w14:paraId="4DEF5A97">
      <w:pPr>
        <w:rPr>
          <w:rFonts w:hint="eastAsia" w:ascii="宋体" w:hAnsi="宋体" w:cs="宋体"/>
        </w:rPr>
      </w:pPr>
      <w:r>
        <w:rPr>
          <w:rFonts w:hint="eastAsia" w:ascii="宋体" w:hAnsi="宋体" w:cs="宋体"/>
        </w:rPr>
        <w:br w:type="page"/>
      </w:r>
    </w:p>
    <w:p w14:paraId="21A69A87">
      <w:pPr>
        <w:pStyle w:val="2"/>
        <w:snapToGrid w:val="0"/>
        <w:spacing w:before="20" w:after="20" w:line="360" w:lineRule="auto"/>
        <w:jc w:val="center"/>
        <w:rPr>
          <w:rFonts w:hint="eastAsia" w:ascii="宋体" w:hAnsi="宋体" w:eastAsia="宋体" w:cs="宋体"/>
          <w:sz w:val="28"/>
          <w:szCs w:val="28"/>
        </w:rPr>
      </w:pPr>
      <w:bookmarkStart w:id="96" w:name="_Toc13976"/>
      <w:bookmarkStart w:id="97" w:name="_Toc30519"/>
      <w:bookmarkStart w:id="98" w:name="_Toc12939"/>
      <w:r>
        <w:rPr>
          <w:rFonts w:hint="eastAsia" w:ascii="宋体" w:hAnsi="宋体" w:eastAsia="宋体" w:cs="宋体"/>
          <w:sz w:val="28"/>
          <w:szCs w:val="28"/>
        </w:rPr>
        <w:t>附件</w:t>
      </w:r>
      <w:r>
        <w:rPr>
          <w:rFonts w:hint="eastAsia" w:ascii="宋体" w:hAnsi="宋体" w:eastAsia="宋体" w:cs="宋体"/>
          <w:sz w:val="28"/>
          <w:szCs w:val="28"/>
          <w:lang w:val="en-US" w:eastAsia="zh-CN"/>
        </w:rPr>
        <w:t>7</w:t>
      </w:r>
      <w:r>
        <w:rPr>
          <w:rFonts w:hint="eastAsia" w:ascii="宋体" w:hAnsi="宋体" w:eastAsia="宋体" w:cs="宋体"/>
          <w:sz w:val="28"/>
          <w:szCs w:val="28"/>
        </w:rPr>
        <w:t xml:space="preserve">         法定代表人授权书（格式）</w:t>
      </w:r>
      <w:bookmarkEnd w:id="96"/>
      <w:bookmarkEnd w:id="97"/>
      <w:bookmarkEnd w:id="98"/>
    </w:p>
    <w:p w14:paraId="3FA35B43">
      <w:pPr>
        <w:widowControl/>
        <w:wordWrap w:val="0"/>
        <w:snapToGrid w:val="0"/>
        <w:spacing w:line="460" w:lineRule="exact"/>
        <w:jc w:val="left"/>
        <w:rPr>
          <w:rFonts w:hint="eastAsia" w:ascii="宋体" w:hAnsi="宋体" w:cs="宋体"/>
          <w:b/>
          <w:bCs/>
          <w:kern w:val="0"/>
          <w:sz w:val="24"/>
        </w:rPr>
      </w:pPr>
      <w:r>
        <w:rPr>
          <w:rFonts w:hint="eastAsia" w:ascii="宋体" w:hAnsi="宋体" w:cs="宋体"/>
          <w:bCs/>
          <w:kern w:val="0"/>
          <w:sz w:val="24"/>
        </w:rPr>
        <w:t>致：</w:t>
      </w:r>
      <w:r>
        <w:rPr>
          <w:rFonts w:hint="eastAsia" w:ascii="宋体" w:hAnsi="宋体" w:cs="宋体"/>
          <w:kern w:val="0"/>
          <w:szCs w:val="21"/>
          <w:u w:val="single"/>
        </w:rPr>
        <w:t xml:space="preserve">                </w:t>
      </w:r>
      <w:r>
        <w:rPr>
          <w:rFonts w:hint="eastAsia" w:ascii="宋体" w:hAnsi="宋体" w:cs="宋体"/>
          <w:kern w:val="0"/>
          <w:sz w:val="24"/>
        </w:rPr>
        <w:t>（采购人名称）：</w:t>
      </w:r>
    </w:p>
    <w:p w14:paraId="78F0E17E">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w:t>
      </w:r>
      <w:r>
        <w:rPr>
          <w:rFonts w:hint="eastAsia" w:ascii="宋体" w:hAnsi="宋体" w:cs="宋体"/>
          <w:kern w:val="0"/>
          <w:szCs w:val="21"/>
          <w:u w:val="single"/>
        </w:rPr>
        <w:t xml:space="preserve">        </w:t>
      </w:r>
      <w:r>
        <w:rPr>
          <w:rFonts w:hint="eastAsia" w:ascii="宋体" w:hAnsi="宋体" w:cs="宋体"/>
          <w:kern w:val="0"/>
          <w:sz w:val="24"/>
        </w:rPr>
        <w:t>（姓名）系</w:t>
      </w:r>
      <w:r>
        <w:rPr>
          <w:rFonts w:hint="eastAsia" w:ascii="宋体" w:hAnsi="宋体" w:cs="宋体"/>
          <w:kern w:val="0"/>
          <w:szCs w:val="21"/>
          <w:u w:val="single"/>
        </w:rPr>
        <w:t xml:space="preserve">                </w:t>
      </w:r>
      <w:r>
        <w:rPr>
          <w:rFonts w:hint="eastAsia" w:ascii="宋体" w:hAnsi="宋体" w:cs="宋体"/>
          <w:kern w:val="0"/>
          <w:sz w:val="24"/>
        </w:rPr>
        <w:t xml:space="preserve">（供应商名称）的法定代表人，现委托 </w:t>
      </w:r>
      <w:r>
        <w:rPr>
          <w:rFonts w:hint="eastAsia" w:ascii="宋体" w:hAnsi="宋体" w:cs="宋体"/>
          <w:kern w:val="0"/>
          <w:szCs w:val="21"/>
          <w:u w:val="single"/>
        </w:rPr>
        <w:t xml:space="preserve">        </w:t>
      </w:r>
      <w:r>
        <w:rPr>
          <w:rFonts w:hint="eastAsia" w:ascii="宋体" w:hAnsi="宋体" w:cs="宋体"/>
          <w:kern w:val="0"/>
          <w:sz w:val="24"/>
        </w:rPr>
        <w:t>（姓名）为我方代理人。代理人根据本授权，以我方的名义参加</w:t>
      </w:r>
      <w:r>
        <w:rPr>
          <w:rFonts w:hint="eastAsia" w:ascii="宋体" w:hAnsi="宋体" w:cs="宋体"/>
          <w:kern w:val="0"/>
          <w:szCs w:val="21"/>
          <w:u w:val="single"/>
        </w:rPr>
        <w:t xml:space="preserve">             </w:t>
      </w:r>
      <w:r>
        <w:rPr>
          <w:rFonts w:hint="eastAsia" w:ascii="宋体" w:hAnsi="宋体" w:cs="宋体"/>
          <w:kern w:val="0"/>
          <w:sz w:val="24"/>
        </w:rPr>
        <w:t>项目的</w:t>
      </w:r>
      <w:r>
        <w:rPr>
          <w:rFonts w:hint="eastAsia" w:ascii="宋体" w:hAnsi="宋体" w:cs="宋体"/>
          <w:kern w:val="0"/>
          <w:sz w:val="24"/>
          <w:lang w:val="en-US" w:eastAsia="zh-CN"/>
        </w:rPr>
        <w:t>磋商</w:t>
      </w:r>
      <w:r>
        <w:rPr>
          <w:rFonts w:hint="eastAsia" w:ascii="宋体" w:hAnsi="宋体" w:cs="宋体"/>
          <w:kern w:val="0"/>
          <w:sz w:val="24"/>
        </w:rPr>
        <w:t>活动，并代表我方全权办理针对上述项目的磋商、开标、评审、签约等具体事务和签署相关文件。</w:t>
      </w:r>
    </w:p>
    <w:p w14:paraId="4C079BE7">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5AF4D3F1">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如果本次采购活动现场变更采购方式，本授权书有效。</w:t>
      </w:r>
    </w:p>
    <w:p w14:paraId="7D73BB62">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代理人无转委托权。</w:t>
      </w:r>
    </w:p>
    <w:p w14:paraId="5BE8A1F3">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委托期限：</w:t>
      </w:r>
    </w:p>
    <w:p w14:paraId="0699D128">
      <w:pPr>
        <w:widowControl/>
        <w:wordWrap w:val="0"/>
        <w:snapToGrid w:val="0"/>
        <w:spacing w:line="460" w:lineRule="exact"/>
        <w:ind w:firstLine="480" w:firstLineChars="200"/>
        <w:jc w:val="left"/>
        <w:rPr>
          <w:rFonts w:hint="eastAsia" w:ascii="宋体" w:hAnsi="宋体" w:cs="宋体"/>
          <w:kern w:val="0"/>
          <w:sz w:val="24"/>
        </w:rPr>
      </w:pPr>
    </w:p>
    <w:p w14:paraId="55F991E5">
      <w:pPr>
        <w:widowControl/>
        <w:wordWrap w:val="0"/>
        <w:snapToGrid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委托代理人签名：             法定代表人签名或盖章：</w:t>
      </w:r>
    </w:p>
    <w:p w14:paraId="625ED807">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DC2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6B927C93">
            <w:pPr>
              <w:widowControl/>
              <w:spacing w:line="480" w:lineRule="exact"/>
              <w:jc w:val="left"/>
              <w:rPr>
                <w:rFonts w:hint="eastAsia"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4965B3D5">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委托代理人身份证号码：</w:t>
      </w:r>
    </w:p>
    <w:p w14:paraId="5DB0C52C">
      <w:pPr>
        <w:widowControl/>
        <w:wordWrap w:val="0"/>
        <w:spacing w:line="460" w:lineRule="exact"/>
        <w:ind w:firstLine="4800" w:firstLineChars="2000"/>
        <w:jc w:val="left"/>
        <w:rPr>
          <w:rFonts w:hint="eastAsia" w:ascii="宋体" w:hAnsi="宋体" w:cs="宋体"/>
          <w:kern w:val="0"/>
          <w:sz w:val="24"/>
        </w:rPr>
      </w:pPr>
    </w:p>
    <w:p w14:paraId="61891E2C">
      <w:pPr>
        <w:widowControl/>
        <w:wordWrap w:val="0"/>
        <w:spacing w:line="360" w:lineRule="auto"/>
        <w:jc w:val="center"/>
        <w:rPr>
          <w:rFonts w:hint="eastAsia" w:ascii="宋体" w:hAnsi="宋体" w:cs="宋体"/>
          <w:kern w:val="0"/>
          <w:sz w:val="24"/>
        </w:rPr>
      </w:pPr>
    </w:p>
    <w:p w14:paraId="64575B1E">
      <w:pPr>
        <w:widowControl/>
        <w:wordWrap w:val="0"/>
        <w:spacing w:line="360" w:lineRule="auto"/>
        <w:jc w:val="right"/>
        <w:rPr>
          <w:rFonts w:hint="eastAsia" w:ascii="宋体" w:hAnsi="宋体" w:cs="宋体"/>
          <w:kern w:val="0"/>
          <w:sz w:val="24"/>
        </w:rPr>
      </w:pPr>
    </w:p>
    <w:p w14:paraId="064F85A3">
      <w:pPr>
        <w:widowControl/>
        <w:wordWrap w:val="0"/>
        <w:spacing w:line="360" w:lineRule="auto"/>
        <w:jc w:val="right"/>
        <w:rPr>
          <w:rFonts w:hint="eastAsia" w:ascii="宋体" w:hAnsi="宋体" w:cs="宋体"/>
          <w:kern w:val="0"/>
          <w:sz w:val="24"/>
        </w:rPr>
      </w:pPr>
    </w:p>
    <w:p w14:paraId="33C67BBB">
      <w:pPr>
        <w:widowControl/>
        <w:wordWrap w:val="0"/>
        <w:spacing w:line="360" w:lineRule="auto"/>
        <w:jc w:val="right"/>
        <w:rPr>
          <w:rFonts w:hint="eastAsia" w:ascii="宋体" w:hAnsi="宋体" w:cs="宋体"/>
          <w:kern w:val="0"/>
          <w:sz w:val="24"/>
        </w:rPr>
      </w:pPr>
    </w:p>
    <w:p w14:paraId="608593A4">
      <w:pPr>
        <w:widowControl/>
        <w:wordWrap w:val="0"/>
        <w:spacing w:line="360" w:lineRule="auto"/>
        <w:jc w:val="right"/>
        <w:rPr>
          <w:rFonts w:hint="eastAsia" w:ascii="宋体" w:hAnsi="宋体" w:cs="宋体"/>
          <w:kern w:val="0"/>
          <w:sz w:val="24"/>
        </w:rPr>
      </w:pPr>
    </w:p>
    <w:p w14:paraId="7F7DEB31">
      <w:pPr>
        <w:widowControl/>
        <w:wordWrap w:val="0"/>
        <w:spacing w:line="360" w:lineRule="auto"/>
        <w:jc w:val="right"/>
        <w:rPr>
          <w:rFonts w:hint="eastAsia" w:ascii="宋体" w:hAnsi="宋体" w:cs="宋体"/>
          <w:kern w:val="0"/>
          <w:sz w:val="24"/>
        </w:rPr>
      </w:pPr>
    </w:p>
    <w:p w14:paraId="1CB4B73B">
      <w:pPr>
        <w:widowControl/>
        <w:spacing w:line="360" w:lineRule="auto"/>
        <w:jc w:val="center"/>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5BE612CC">
      <w:pPr>
        <w:widowControl/>
        <w:wordWrap w:val="0"/>
        <w:spacing w:line="460" w:lineRule="exact"/>
        <w:ind w:firstLine="3840" w:firstLineChars="1600"/>
        <w:jc w:val="left"/>
        <w:rPr>
          <w:rFonts w:hint="eastAsia" w:ascii="宋体" w:hAnsi="宋体" w:cs="宋体"/>
          <w:b/>
          <w:kern w:val="0"/>
          <w:sz w:val="32"/>
          <w:szCs w:val="32"/>
        </w:rPr>
      </w:pPr>
      <w:r>
        <w:rPr>
          <w:rFonts w:hint="eastAsia" w:ascii="宋体" w:hAnsi="宋体" w:cs="宋体"/>
          <w:kern w:val="0"/>
          <w:sz w:val="24"/>
        </w:rPr>
        <w:t>年    月    日</w:t>
      </w:r>
    </w:p>
    <w:p w14:paraId="246BF713">
      <w:pPr>
        <w:widowControl/>
        <w:spacing w:line="360" w:lineRule="auto"/>
        <w:ind w:firstLine="7228" w:firstLineChars="2250"/>
        <w:jc w:val="left"/>
        <w:rPr>
          <w:rFonts w:hint="eastAsia" w:ascii="宋体" w:hAnsi="宋体" w:cs="宋体"/>
          <w:b/>
          <w:kern w:val="0"/>
          <w:sz w:val="32"/>
          <w:szCs w:val="32"/>
        </w:rPr>
      </w:pPr>
    </w:p>
    <w:p w14:paraId="4877A102">
      <w:pPr>
        <w:rPr>
          <w:rFonts w:hint="eastAsia" w:ascii="宋体" w:hAnsi="宋体" w:cs="宋体"/>
          <w:b/>
          <w:kern w:val="0"/>
          <w:sz w:val="32"/>
          <w:szCs w:val="32"/>
        </w:rPr>
      </w:pPr>
      <w:r>
        <w:rPr>
          <w:rFonts w:hint="eastAsia" w:ascii="宋体" w:hAnsi="宋体" w:cs="宋体"/>
          <w:b/>
          <w:kern w:val="0"/>
          <w:sz w:val="32"/>
          <w:szCs w:val="32"/>
        </w:rPr>
        <w:br w:type="page"/>
      </w:r>
    </w:p>
    <w:p w14:paraId="599EF175">
      <w:pPr>
        <w:pStyle w:val="2"/>
        <w:snapToGrid w:val="0"/>
        <w:spacing w:before="20" w:after="20" w:line="360" w:lineRule="auto"/>
        <w:jc w:val="center"/>
        <w:rPr>
          <w:rFonts w:hint="eastAsia" w:ascii="宋体" w:hAnsi="宋体" w:eastAsia="宋体" w:cs="宋体"/>
          <w:sz w:val="28"/>
          <w:szCs w:val="28"/>
        </w:rPr>
      </w:pPr>
      <w:bookmarkStart w:id="99" w:name="_Toc3342"/>
      <w:bookmarkStart w:id="100" w:name="_Toc18105"/>
      <w:bookmarkStart w:id="101" w:name="_Toc24693"/>
      <w:r>
        <w:rPr>
          <w:rFonts w:hint="eastAsia" w:ascii="宋体" w:hAnsi="宋体" w:eastAsia="宋体" w:cs="宋体"/>
          <w:sz w:val="28"/>
          <w:szCs w:val="28"/>
        </w:rPr>
        <w:t>附件</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证明文件</w:t>
      </w:r>
      <w:bookmarkEnd w:id="99"/>
      <w:bookmarkEnd w:id="100"/>
      <w:bookmarkEnd w:id="101"/>
    </w:p>
    <w:p w14:paraId="1DF7255E">
      <w:pPr>
        <w:pStyle w:val="11"/>
        <w:spacing w:beforeAutospacing="0" w:afterAutospacing="0" w:line="480" w:lineRule="auto"/>
        <w:ind w:firstLine="470" w:firstLineChars="224"/>
        <w:jc w:val="both"/>
        <w:rPr>
          <w:rFonts w:hint="eastAsia"/>
          <w:bCs/>
          <w:sz w:val="21"/>
          <w:szCs w:val="21"/>
        </w:rPr>
      </w:pPr>
    </w:p>
    <w:p w14:paraId="44D7598D">
      <w:pPr>
        <w:pStyle w:val="11"/>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lang w:val="en-US" w:eastAsia="zh-CN"/>
        </w:rPr>
        <w:t>8.1</w:t>
      </w:r>
      <w:r>
        <w:rPr>
          <w:rFonts w:hint="eastAsia"/>
          <w:b/>
          <w:sz w:val="21"/>
          <w:szCs w:val="21"/>
          <w:highlight w:val="none"/>
        </w:rPr>
        <w:t xml:space="preserve"> 资格审查资料</w:t>
      </w:r>
    </w:p>
    <w:p w14:paraId="12FAA2D4">
      <w:pPr>
        <w:pStyle w:val="11"/>
        <w:spacing w:beforeAutospacing="0" w:afterAutospacing="0" w:line="480" w:lineRule="auto"/>
        <w:ind w:firstLine="470" w:firstLineChars="224"/>
        <w:jc w:val="both"/>
        <w:rPr>
          <w:rFonts w:hint="eastAsia"/>
          <w:bCs/>
          <w:sz w:val="21"/>
          <w:szCs w:val="21"/>
          <w:highlight w:val="none"/>
        </w:rPr>
      </w:pPr>
    </w:p>
    <w:p w14:paraId="4D3EE744">
      <w:pPr>
        <w:pStyle w:val="11"/>
        <w:spacing w:beforeAutospacing="0" w:afterAutospacing="0" w:line="480" w:lineRule="auto"/>
        <w:ind w:firstLine="470" w:firstLineChars="224"/>
        <w:jc w:val="both"/>
        <w:rPr>
          <w:rFonts w:hint="eastAsia"/>
          <w:bCs/>
          <w:sz w:val="21"/>
          <w:szCs w:val="21"/>
          <w:highlight w:val="none"/>
        </w:rPr>
      </w:pPr>
    </w:p>
    <w:p w14:paraId="53E8D03C">
      <w:pPr>
        <w:pStyle w:val="11"/>
        <w:spacing w:beforeAutospacing="0" w:afterAutospacing="0" w:line="480" w:lineRule="auto"/>
        <w:ind w:firstLine="472" w:firstLineChars="224"/>
        <w:jc w:val="both"/>
        <w:rPr>
          <w:rFonts w:hint="eastAsia"/>
          <w:b/>
          <w:sz w:val="21"/>
          <w:szCs w:val="21"/>
          <w:highlight w:val="none"/>
        </w:rPr>
      </w:pPr>
      <w:bookmarkStart w:id="102" w:name="_Toc17966"/>
      <w:r>
        <w:rPr>
          <w:rFonts w:hint="eastAsia"/>
          <w:b/>
          <w:sz w:val="21"/>
          <w:szCs w:val="21"/>
          <w:highlight w:val="none"/>
          <w:lang w:val="en-US" w:eastAsia="zh-CN"/>
        </w:rPr>
        <w:t>8.2</w:t>
      </w:r>
      <w:r>
        <w:rPr>
          <w:rFonts w:hint="eastAsia"/>
          <w:b/>
          <w:sz w:val="21"/>
          <w:szCs w:val="21"/>
          <w:highlight w:val="none"/>
        </w:rPr>
        <w:t>评分标准中需提供的</w:t>
      </w:r>
      <w:r>
        <w:rPr>
          <w:rFonts w:hint="eastAsia"/>
          <w:b/>
          <w:sz w:val="21"/>
          <w:szCs w:val="21"/>
          <w:highlight w:val="none"/>
          <w:lang w:val="en-US" w:eastAsia="zh-CN"/>
        </w:rPr>
        <w:t>方案</w:t>
      </w:r>
      <w:r>
        <w:rPr>
          <w:rFonts w:hint="eastAsia"/>
          <w:b/>
          <w:sz w:val="21"/>
          <w:szCs w:val="21"/>
          <w:highlight w:val="none"/>
        </w:rPr>
        <w:t>、业绩</w:t>
      </w:r>
      <w:r>
        <w:rPr>
          <w:rFonts w:hint="eastAsia"/>
          <w:b/>
          <w:sz w:val="21"/>
          <w:szCs w:val="21"/>
          <w:highlight w:val="none"/>
          <w:lang w:eastAsia="zh-CN"/>
        </w:rPr>
        <w:t>、</w:t>
      </w:r>
      <w:r>
        <w:rPr>
          <w:rFonts w:hint="eastAsia"/>
          <w:b/>
          <w:sz w:val="21"/>
          <w:szCs w:val="21"/>
          <w:highlight w:val="none"/>
          <w:lang w:val="en-US" w:eastAsia="zh-CN"/>
        </w:rPr>
        <w:t>人员</w:t>
      </w:r>
      <w:r>
        <w:rPr>
          <w:rFonts w:hint="eastAsia"/>
          <w:b/>
          <w:sz w:val="21"/>
          <w:szCs w:val="21"/>
          <w:highlight w:val="none"/>
        </w:rPr>
        <w:t>等</w:t>
      </w:r>
    </w:p>
    <w:p w14:paraId="746E4697">
      <w:pPr>
        <w:pStyle w:val="11"/>
        <w:spacing w:beforeAutospacing="0" w:afterAutospacing="0" w:line="480" w:lineRule="auto"/>
        <w:ind w:firstLine="470" w:firstLineChars="224"/>
        <w:jc w:val="both"/>
        <w:rPr>
          <w:rFonts w:hint="eastAsia"/>
          <w:bCs/>
          <w:sz w:val="21"/>
          <w:szCs w:val="21"/>
          <w:highlight w:val="none"/>
        </w:rPr>
      </w:pPr>
    </w:p>
    <w:p w14:paraId="2E34318A">
      <w:pPr>
        <w:pStyle w:val="11"/>
        <w:spacing w:beforeAutospacing="0" w:afterAutospacing="0" w:line="480" w:lineRule="auto"/>
        <w:ind w:firstLine="470" w:firstLineChars="224"/>
        <w:jc w:val="both"/>
        <w:rPr>
          <w:rFonts w:hint="eastAsia"/>
          <w:bCs/>
          <w:sz w:val="21"/>
          <w:szCs w:val="21"/>
          <w:highlight w:val="none"/>
        </w:rPr>
      </w:pPr>
    </w:p>
    <w:p w14:paraId="67E4515C">
      <w:pPr>
        <w:pStyle w:val="11"/>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lang w:val="en-US" w:eastAsia="zh-CN"/>
        </w:rPr>
        <w:t>8.3</w:t>
      </w:r>
      <w:r>
        <w:rPr>
          <w:rFonts w:hint="eastAsia"/>
          <w:b/>
          <w:sz w:val="21"/>
          <w:szCs w:val="21"/>
          <w:highlight w:val="none"/>
        </w:rPr>
        <w:t>供应商认为其他需要提供的证明材料。</w:t>
      </w:r>
    </w:p>
    <w:p w14:paraId="4F12F492">
      <w:pPr>
        <w:pStyle w:val="11"/>
        <w:spacing w:beforeAutospacing="0" w:afterAutospacing="0" w:line="480" w:lineRule="auto"/>
        <w:ind w:firstLine="540" w:firstLineChars="224"/>
        <w:jc w:val="both"/>
        <w:rPr>
          <w:rFonts w:hint="eastAsia"/>
          <w:b/>
          <w:bCs/>
        </w:rPr>
      </w:pPr>
    </w:p>
    <w:p w14:paraId="7A569C67">
      <w:pPr>
        <w:pStyle w:val="11"/>
        <w:spacing w:beforeAutospacing="0" w:afterAutospacing="0" w:line="480" w:lineRule="auto"/>
        <w:ind w:firstLine="540" w:firstLineChars="224"/>
        <w:jc w:val="both"/>
        <w:rPr>
          <w:rFonts w:hint="eastAsia"/>
          <w:b/>
          <w:bCs/>
        </w:rPr>
      </w:pPr>
    </w:p>
    <w:p w14:paraId="79FA192C">
      <w:pPr>
        <w:pStyle w:val="11"/>
        <w:spacing w:beforeAutospacing="0" w:afterAutospacing="0" w:line="480" w:lineRule="auto"/>
        <w:ind w:firstLine="540" w:firstLineChars="224"/>
        <w:jc w:val="both"/>
        <w:rPr>
          <w:rFonts w:hint="eastAsia"/>
          <w:b/>
          <w:bCs/>
        </w:rPr>
      </w:pPr>
    </w:p>
    <w:p w14:paraId="081740CF">
      <w:pPr>
        <w:pStyle w:val="11"/>
        <w:spacing w:beforeAutospacing="0" w:afterAutospacing="0" w:line="480" w:lineRule="auto"/>
        <w:ind w:firstLine="540" w:firstLineChars="224"/>
        <w:jc w:val="both"/>
        <w:rPr>
          <w:rFonts w:hint="eastAsia"/>
          <w:b/>
          <w:bCs/>
        </w:rPr>
      </w:pPr>
    </w:p>
    <w:p w14:paraId="5EC6738B">
      <w:pPr>
        <w:pStyle w:val="11"/>
        <w:spacing w:beforeAutospacing="0" w:afterAutospacing="0" w:line="480" w:lineRule="auto"/>
        <w:ind w:firstLine="540" w:firstLineChars="224"/>
        <w:jc w:val="both"/>
        <w:rPr>
          <w:rFonts w:hint="eastAsia"/>
          <w:b/>
          <w:bCs/>
        </w:rPr>
      </w:pPr>
    </w:p>
    <w:p w14:paraId="07725D3D">
      <w:pPr>
        <w:pStyle w:val="11"/>
        <w:spacing w:beforeAutospacing="0" w:afterAutospacing="0" w:line="480" w:lineRule="auto"/>
        <w:ind w:firstLine="540" w:firstLineChars="224"/>
        <w:jc w:val="both"/>
        <w:rPr>
          <w:rFonts w:hint="eastAsia"/>
          <w:b/>
          <w:bCs/>
        </w:rPr>
      </w:pPr>
    </w:p>
    <w:p w14:paraId="4EDD2C2A">
      <w:pPr>
        <w:pStyle w:val="11"/>
        <w:spacing w:beforeAutospacing="0" w:afterAutospacing="0" w:line="480" w:lineRule="auto"/>
        <w:ind w:firstLine="540" w:firstLineChars="224"/>
        <w:jc w:val="both"/>
        <w:rPr>
          <w:rFonts w:hint="eastAsia"/>
          <w:b/>
          <w:bCs/>
        </w:rPr>
      </w:pPr>
    </w:p>
    <w:bookmarkEnd w:id="102"/>
    <w:p w14:paraId="4F0699AC">
      <w:pPr>
        <w:rPr>
          <w:rFonts w:hint="eastAsia"/>
          <w:b/>
          <w:bCs/>
          <w:sz w:val="28"/>
          <w:szCs w:val="28"/>
        </w:rPr>
      </w:pPr>
    </w:p>
    <w:sectPr>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4D7C5">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096B">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2A61FEE">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2A61FEE">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6362FBA">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0B8A4">
    <w:pPr>
      <w:pStyle w:val="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6410A"/>
    <w:multiLevelType w:val="singleLevel"/>
    <w:tmpl w:val="59B641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062"/>
    <w:rsid w:val="000D71C5"/>
    <w:rsid w:val="000D72E6"/>
    <w:rsid w:val="000E252C"/>
    <w:rsid w:val="000E6B87"/>
    <w:rsid w:val="000E6D3C"/>
    <w:rsid w:val="000F035B"/>
    <w:rsid w:val="000F2100"/>
    <w:rsid w:val="000F4A3C"/>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67843"/>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568F"/>
    <w:rsid w:val="001A6057"/>
    <w:rsid w:val="001A63D5"/>
    <w:rsid w:val="001B4D8E"/>
    <w:rsid w:val="001B6482"/>
    <w:rsid w:val="001C08A9"/>
    <w:rsid w:val="001D0A27"/>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298F"/>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7B1"/>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4EF3"/>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48ED"/>
    <w:rsid w:val="004C6D19"/>
    <w:rsid w:val="004D5FCF"/>
    <w:rsid w:val="004D6759"/>
    <w:rsid w:val="004D751C"/>
    <w:rsid w:val="004D7B42"/>
    <w:rsid w:val="004E4688"/>
    <w:rsid w:val="004F0462"/>
    <w:rsid w:val="004F1D7C"/>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0203"/>
    <w:rsid w:val="006113E7"/>
    <w:rsid w:val="006134B6"/>
    <w:rsid w:val="00622261"/>
    <w:rsid w:val="00627850"/>
    <w:rsid w:val="00627DC7"/>
    <w:rsid w:val="00632751"/>
    <w:rsid w:val="00633657"/>
    <w:rsid w:val="00635EE7"/>
    <w:rsid w:val="006402B4"/>
    <w:rsid w:val="00640403"/>
    <w:rsid w:val="00643CF6"/>
    <w:rsid w:val="0064622C"/>
    <w:rsid w:val="0064748F"/>
    <w:rsid w:val="0064772A"/>
    <w:rsid w:val="006506F3"/>
    <w:rsid w:val="006527BA"/>
    <w:rsid w:val="00652F2B"/>
    <w:rsid w:val="00654565"/>
    <w:rsid w:val="00654D3A"/>
    <w:rsid w:val="00657186"/>
    <w:rsid w:val="00657B85"/>
    <w:rsid w:val="00662038"/>
    <w:rsid w:val="00662F1B"/>
    <w:rsid w:val="00663912"/>
    <w:rsid w:val="00665B74"/>
    <w:rsid w:val="00666E46"/>
    <w:rsid w:val="006733F1"/>
    <w:rsid w:val="00674B7B"/>
    <w:rsid w:val="00675481"/>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1D8D"/>
    <w:rsid w:val="006D23F4"/>
    <w:rsid w:val="006D2422"/>
    <w:rsid w:val="006D2754"/>
    <w:rsid w:val="006E0802"/>
    <w:rsid w:val="006E0E89"/>
    <w:rsid w:val="006E211C"/>
    <w:rsid w:val="006E3D12"/>
    <w:rsid w:val="006E3F7B"/>
    <w:rsid w:val="006E7834"/>
    <w:rsid w:val="006F1887"/>
    <w:rsid w:val="006F2533"/>
    <w:rsid w:val="006F36C9"/>
    <w:rsid w:val="006F3FF8"/>
    <w:rsid w:val="006F5EBB"/>
    <w:rsid w:val="006F6D76"/>
    <w:rsid w:val="00700968"/>
    <w:rsid w:val="00702FF6"/>
    <w:rsid w:val="00715942"/>
    <w:rsid w:val="00717D28"/>
    <w:rsid w:val="00720430"/>
    <w:rsid w:val="007213BD"/>
    <w:rsid w:val="0072294E"/>
    <w:rsid w:val="00730A53"/>
    <w:rsid w:val="0073362A"/>
    <w:rsid w:val="00734E23"/>
    <w:rsid w:val="007361D9"/>
    <w:rsid w:val="007402CA"/>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932E3"/>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0862"/>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9A9"/>
    <w:rsid w:val="00880AFB"/>
    <w:rsid w:val="0088168B"/>
    <w:rsid w:val="00881F4C"/>
    <w:rsid w:val="00882EFA"/>
    <w:rsid w:val="008849DE"/>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3754F"/>
    <w:rsid w:val="009404CE"/>
    <w:rsid w:val="0094252B"/>
    <w:rsid w:val="0094548A"/>
    <w:rsid w:val="00947054"/>
    <w:rsid w:val="00947CF0"/>
    <w:rsid w:val="0095275E"/>
    <w:rsid w:val="00952958"/>
    <w:rsid w:val="0096169A"/>
    <w:rsid w:val="009616B6"/>
    <w:rsid w:val="00961C05"/>
    <w:rsid w:val="009659CB"/>
    <w:rsid w:val="00966ECA"/>
    <w:rsid w:val="00967B87"/>
    <w:rsid w:val="00970A29"/>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049C"/>
    <w:rsid w:val="009C113C"/>
    <w:rsid w:val="009C2AC3"/>
    <w:rsid w:val="009C491F"/>
    <w:rsid w:val="009C4A96"/>
    <w:rsid w:val="009C512B"/>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56715"/>
    <w:rsid w:val="00A62166"/>
    <w:rsid w:val="00A657B8"/>
    <w:rsid w:val="00A65A67"/>
    <w:rsid w:val="00A6650A"/>
    <w:rsid w:val="00A7048A"/>
    <w:rsid w:val="00A7082D"/>
    <w:rsid w:val="00A70F9F"/>
    <w:rsid w:val="00A73715"/>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B6CE8"/>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0B19"/>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3DE"/>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370B"/>
    <w:rsid w:val="00C86101"/>
    <w:rsid w:val="00C87916"/>
    <w:rsid w:val="00C90C23"/>
    <w:rsid w:val="00C91556"/>
    <w:rsid w:val="00C915EB"/>
    <w:rsid w:val="00C943E0"/>
    <w:rsid w:val="00CA2EDD"/>
    <w:rsid w:val="00CA4EFF"/>
    <w:rsid w:val="00CA61E0"/>
    <w:rsid w:val="00CC46FD"/>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89"/>
    <w:rsid w:val="00D021C1"/>
    <w:rsid w:val="00D05AE8"/>
    <w:rsid w:val="00D074CA"/>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D7040"/>
    <w:rsid w:val="00EE2859"/>
    <w:rsid w:val="00EE587A"/>
    <w:rsid w:val="00EE76CE"/>
    <w:rsid w:val="00EE7F59"/>
    <w:rsid w:val="00EF1189"/>
    <w:rsid w:val="00EF217F"/>
    <w:rsid w:val="00F10A0C"/>
    <w:rsid w:val="00F12C86"/>
    <w:rsid w:val="00F13026"/>
    <w:rsid w:val="00F15FB3"/>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5DD7"/>
    <w:rsid w:val="00FB7C15"/>
    <w:rsid w:val="00FC3F1B"/>
    <w:rsid w:val="00FC530A"/>
    <w:rsid w:val="00FC6C54"/>
    <w:rsid w:val="00FD05C6"/>
    <w:rsid w:val="00FD0800"/>
    <w:rsid w:val="00FD364A"/>
    <w:rsid w:val="00FD5205"/>
    <w:rsid w:val="00FD5661"/>
    <w:rsid w:val="00FD58CB"/>
    <w:rsid w:val="00FE2A9D"/>
    <w:rsid w:val="00FE4D23"/>
    <w:rsid w:val="00FE673C"/>
    <w:rsid w:val="00FF1AC1"/>
    <w:rsid w:val="00FF2866"/>
    <w:rsid w:val="00FF328E"/>
    <w:rsid w:val="00FF3BCD"/>
    <w:rsid w:val="00FF5B28"/>
    <w:rsid w:val="00FF5FBF"/>
    <w:rsid w:val="00FF7C18"/>
    <w:rsid w:val="01076050"/>
    <w:rsid w:val="010C3DC8"/>
    <w:rsid w:val="010D7DD7"/>
    <w:rsid w:val="01146397"/>
    <w:rsid w:val="011E110B"/>
    <w:rsid w:val="01525212"/>
    <w:rsid w:val="01564054"/>
    <w:rsid w:val="015C0A67"/>
    <w:rsid w:val="0160084E"/>
    <w:rsid w:val="01745FBF"/>
    <w:rsid w:val="017E6D95"/>
    <w:rsid w:val="017F53A9"/>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AB7DA3"/>
    <w:rsid w:val="02B97DFD"/>
    <w:rsid w:val="02C866AB"/>
    <w:rsid w:val="02CB7F49"/>
    <w:rsid w:val="02D92EF7"/>
    <w:rsid w:val="02DA4630"/>
    <w:rsid w:val="02DA4665"/>
    <w:rsid w:val="02DA63DE"/>
    <w:rsid w:val="02E84657"/>
    <w:rsid w:val="02F40325"/>
    <w:rsid w:val="02F70D3E"/>
    <w:rsid w:val="02FA082F"/>
    <w:rsid w:val="030D0562"/>
    <w:rsid w:val="031126C4"/>
    <w:rsid w:val="033124A2"/>
    <w:rsid w:val="034733B8"/>
    <w:rsid w:val="03475E56"/>
    <w:rsid w:val="034877EC"/>
    <w:rsid w:val="034C23ED"/>
    <w:rsid w:val="034C5AA2"/>
    <w:rsid w:val="0353518A"/>
    <w:rsid w:val="035E4919"/>
    <w:rsid w:val="03675F31"/>
    <w:rsid w:val="036A009A"/>
    <w:rsid w:val="037A734D"/>
    <w:rsid w:val="03824140"/>
    <w:rsid w:val="03844805"/>
    <w:rsid w:val="03845791"/>
    <w:rsid w:val="03A011E9"/>
    <w:rsid w:val="03AE7F27"/>
    <w:rsid w:val="03BD2BCD"/>
    <w:rsid w:val="03C30C20"/>
    <w:rsid w:val="03CC058D"/>
    <w:rsid w:val="03E017D2"/>
    <w:rsid w:val="03F447E2"/>
    <w:rsid w:val="03F77068"/>
    <w:rsid w:val="03FB660C"/>
    <w:rsid w:val="042E37DB"/>
    <w:rsid w:val="0430275A"/>
    <w:rsid w:val="04416C20"/>
    <w:rsid w:val="044F28FA"/>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222D0"/>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E635A4"/>
    <w:rsid w:val="06FB0AC5"/>
    <w:rsid w:val="06FE7278"/>
    <w:rsid w:val="070D2D5D"/>
    <w:rsid w:val="07104A12"/>
    <w:rsid w:val="07111B8D"/>
    <w:rsid w:val="072875C6"/>
    <w:rsid w:val="072916E2"/>
    <w:rsid w:val="072C5514"/>
    <w:rsid w:val="0733430F"/>
    <w:rsid w:val="0737768A"/>
    <w:rsid w:val="073C7668"/>
    <w:rsid w:val="074A5B92"/>
    <w:rsid w:val="0757624F"/>
    <w:rsid w:val="075D0147"/>
    <w:rsid w:val="075E3193"/>
    <w:rsid w:val="078E18EB"/>
    <w:rsid w:val="07AA2823"/>
    <w:rsid w:val="07B02D9F"/>
    <w:rsid w:val="07B10EA5"/>
    <w:rsid w:val="07C510CB"/>
    <w:rsid w:val="07CD6512"/>
    <w:rsid w:val="07CE3FA1"/>
    <w:rsid w:val="07EC2ECB"/>
    <w:rsid w:val="07F037C8"/>
    <w:rsid w:val="07F7533D"/>
    <w:rsid w:val="07FE66CB"/>
    <w:rsid w:val="080B4D47"/>
    <w:rsid w:val="081B727D"/>
    <w:rsid w:val="081D2FF5"/>
    <w:rsid w:val="08321601"/>
    <w:rsid w:val="08326375"/>
    <w:rsid w:val="083D5C91"/>
    <w:rsid w:val="0847191F"/>
    <w:rsid w:val="08577E63"/>
    <w:rsid w:val="08591DC3"/>
    <w:rsid w:val="085B58CB"/>
    <w:rsid w:val="08672793"/>
    <w:rsid w:val="08695E80"/>
    <w:rsid w:val="087B41C0"/>
    <w:rsid w:val="087C4541"/>
    <w:rsid w:val="087E5595"/>
    <w:rsid w:val="08891D73"/>
    <w:rsid w:val="088F472F"/>
    <w:rsid w:val="08BC0A60"/>
    <w:rsid w:val="08C52D6F"/>
    <w:rsid w:val="08E42BE4"/>
    <w:rsid w:val="08EF0201"/>
    <w:rsid w:val="08F41DE8"/>
    <w:rsid w:val="08FA3336"/>
    <w:rsid w:val="09120680"/>
    <w:rsid w:val="09150170"/>
    <w:rsid w:val="09212671"/>
    <w:rsid w:val="093A3733"/>
    <w:rsid w:val="093D1475"/>
    <w:rsid w:val="094840A2"/>
    <w:rsid w:val="09523172"/>
    <w:rsid w:val="095F3199"/>
    <w:rsid w:val="09644C54"/>
    <w:rsid w:val="09737462"/>
    <w:rsid w:val="099156C3"/>
    <w:rsid w:val="099E1F14"/>
    <w:rsid w:val="09A33F5B"/>
    <w:rsid w:val="09A53F39"/>
    <w:rsid w:val="09A60E13"/>
    <w:rsid w:val="09A82D92"/>
    <w:rsid w:val="09AB2883"/>
    <w:rsid w:val="09B71227"/>
    <w:rsid w:val="09BC4A90"/>
    <w:rsid w:val="09CD0A4B"/>
    <w:rsid w:val="09D206F0"/>
    <w:rsid w:val="09EB2C7F"/>
    <w:rsid w:val="09FA1D54"/>
    <w:rsid w:val="0A321AC2"/>
    <w:rsid w:val="0A343D4E"/>
    <w:rsid w:val="0A344626"/>
    <w:rsid w:val="0A3E6D2E"/>
    <w:rsid w:val="0A4232E4"/>
    <w:rsid w:val="0A4F145F"/>
    <w:rsid w:val="0A8455AD"/>
    <w:rsid w:val="0A8729A8"/>
    <w:rsid w:val="0ABF2570"/>
    <w:rsid w:val="0AD13A85"/>
    <w:rsid w:val="0AD52EDD"/>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BFF061B"/>
    <w:rsid w:val="0C046D3C"/>
    <w:rsid w:val="0C0A7D34"/>
    <w:rsid w:val="0C230DF6"/>
    <w:rsid w:val="0C2B5C6B"/>
    <w:rsid w:val="0C3152C1"/>
    <w:rsid w:val="0C3957A5"/>
    <w:rsid w:val="0C483080"/>
    <w:rsid w:val="0C507E2F"/>
    <w:rsid w:val="0C540FAF"/>
    <w:rsid w:val="0C600D66"/>
    <w:rsid w:val="0C626DA7"/>
    <w:rsid w:val="0C6876AE"/>
    <w:rsid w:val="0C71390F"/>
    <w:rsid w:val="0C720EC8"/>
    <w:rsid w:val="0C942042"/>
    <w:rsid w:val="0C9D50DC"/>
    <w:rsid w:val="0CA5271D"/>
    <w:rsid w:val="0CAC4D10"/>
    <w:rsid w:val="0CC53C5B"/>
    <w:rsid w:val="0CC72121"/>
    <w:rsid w:val="0CEE5A21"/>
    <w:rsid w:val="0CF602B9"/>
    <w:rsid w:val="0D05268E"/>
    <w:rsid w:val="0D0646E7"/>
    <w:rsid w:val="0D0C38CA"/>
    <w:rsid w:val="0D0C53E6"/>
    <w:rsid w:val="0D0E001F"/>
    <w:rsid w:val="0D206810"/>
    <w:rsid w:val="0D207C8F"/>
    <w:rsid w:val="0D444B80"/>
    <w:rsid w:val="0D4861FD"/>
    <w:rsid w:val="0D735465"/>
    <w:rsid w:val="0D86163D"/>
    <w:rsid w:val="0DAD6BC9"/>
    <w:rsid w:val="0DB066B9"/>
    <w:rsid w:val="0DC577E0"/>
    <w:rsid w:val="0DD203DE"/>
    <w:rsid w:val="0DDC6319"/>
    <w:rsid w:val="0DE1181F"/>
    <w:rsid w:val="0DE95727"/>
    <w:rsid w:val="0DED5D54"/>
    <w:rsid w:val="0DFA5B87"/>
    <w:rsid w:val="0DFE4F67"/>
    <w:rsid w:val="0E0407B3"/>
    <w:rsid w:val="0E0C0D4C"/>
    <w:rsid w:val="0E113A11"/>
    <w:rsid w:val="0E115DA1"/>
    <w:rsid w:val="0E1409F6"/>
    <w:rsid w:val="0E162D6D"/>
    <w:rsid w:val="0E19425F"/>
    <w:rsid w:val="0E3C1CFB"/>
    <w:rsid w:val="0E460DCC"/>
    <w:rsid w:val="0E541CA2"/>
    <w:rsid w:val="0E576B35"/>
    <w:rsid w:val="0E594756"/>
    <w:rsid w:val="0E95596D"/>
    <w:rsid w:val="0EAE6205"/>
    <w:rsid w:val="0EAE6579"/>
    <w:rsid w:val="0EAF71BF"/>
    <w:rsid w:val="0EC71F0D"/>
    <w:rsid w:val="0ECE6257"/>
    <w:rsid w:val="0EE303C9"/>
    <w:rsid w:val="0EE4129D"/>
    <w:rsid w:val="0F171032"/>
    <w:rsid w:val="0F197357"/>
    <w:rsid w:val="0F335E69"/>
    <w:rsid w:val="0F372614"/>
    <w:rsid w:val="0F3D59C9"/>
    <w:rsid w:val="0F44530B"/>
    <w:rsid w:val="0F516D5A"/>
    <w:rsid w:val="0F53554E"/>
    <w:rsid w:val="0F565B36"/>
    <w:rsid w:val="0F684933"/>
    <w:rsid w:val="0F6E2388"/>
    <w:rsid w:val="0F73799F"/>
    <w:rsid w:val="0F76123D"/>
    <w:rsid w:val="0F821E7D"/>
    <w:rsid w:val="0F912F48"/>
    <w:rsid w:val="0FC91CB4"/>
    <w:rsid w:val="0FCA42ED"/>
    <w:rsid w:val="0FDB5F4F"/>
    <w:rsid w:val="0FE7592C"/>
    <w:rsid w:val="0FFC17A5"/>
    <w:rsid w:val="0FFD20F0"/>
    <w:rsid w:val="10142F30"/>
    <w:rsid w:val="10352857"/>
    <w:rsid w:val="103E6E57"/>
    <w:rsid w:val="1041497B"/>
    <w:rsid w:val="10425FF6"/>
    <w:rsid w:val="104819BF"/>
    <w:rsid w:val="104A4BA3"/>
    <w:rsid w:val="10560982"/>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15EDA"/>
    <w:rsid w:val="111D7BC2"/>
    <w:rsid w:val="11250F40"/>
    <w:rsid w:val="113329E7"/>
    <w:rsid w:val="113F294C"/>
    <w:rsid w:val="11437C85"/>
    <w:rsid w:val="11575085"/>
    <w:rsid w:val="1166372C"/>
    <w:rsid w:val="11700D10"/>
    <w:rsid w:val="1178125A"/>
    <w:rsid w:val="117A285D"/>
    <w:rsid w:val="117F6E8A"/>
    <w:rsid w:val="118441E0"/>
    <w:rsid w:val="1196056D"/>
    <w:rsid w:val="11B322D4"/>
    <w:rsid w:val="11B85B3D"/>
    <w:rsid w:val="11CD20A0"/>
    <w:rsid w:val="11D34654"/>
    <w:rsid w:val="12010480"/>
    <w:rsid w:val="120E707F"/>
    <w:rsid w:val="12171C67"/>
    <w:rsid w:val="121D0051"/>
    <w:rsid w:val="12413D84"/>
    <w:rsid w:val="12492C39"/>
    <w:rsid w:val="127A7D1C"/>
    <w:rsid w:val="12836D8B"/>
    <w:rsid w:val="12993BC0"/>
    <w:rsid w:val="12A8237A"/>
    <w:rsid w:val="12AB0349"/>
    <w:rsid w:val="12B66520"/>
    <w:rsid w:val="12CD57F1"/>
    <w:rsid w:val="12CE5941"/>
    <w:rsid w:val="12CE7AFA"/>
    <w:rsid w:val="12D67466"/>
    <w:rsid w:val="12E82452"/>
    <w:rsid w:val="13021765"/>
    <w:rsid w:val="13031039"/>
    <w:rsid w:val="13036052"/>
    <w:rsid w:val="131E7C21"/>
    <w:rsid w:val="13272A5D"/>
    <w:rsid w:val="132A2A6A"/>
    <w:rsid w:val="132C233E"/>
    <w:rsid w:val="133C40E3"/>
    <w:rsid w:val="133F4BFF"/>
    <w:rsid w:val="13410069"/>
    <w:rsid w:val="13493108"/>
    <w:rsid w:val="134A4EBA"/>
    <w:rsid w:val="13713CFE"/>
    <w:rsid w:val="13733928"/>
    <w:rsid w:val="13741F37"/>
    <w:rsid w:val="13857CA0"/>
    <w:rsid w:val="13920D68"/>
    <w:rsid w:val="139454AD"/>
    <w:rsid w:val="139C16C9"/>
    <w:rsid w:val="13A5238E"/>
    <w:rsid w:val="13B63CE1"/>
    <w:rsid w:val="13B660AC"/>
    <w:rsid w:val="13BC6684"/>
    <w:rsid w:val="13C72B3A"/>
    <w:rsid w:val="13D12EE6"/>
    <w:rsid w:val="13DF575E"/>
    <w:rsid w:val="13E470BD"/>
    <w:rsid w:val="13EE3A98"/>
    <w:rsid w:val="13F3280A"/>
    <w:rsid w:val="13F96ED1"/>
    <w:rsid w:val="141B23B3"/>
    <w:rsid w:val="142123F7"/>
    <w:rsid w:val="142A11D8"/>
    <w:rsid w:val="144B544C"/>
    <w:rsid w:val="14506500"/>
    <w:rsid w:val="145B7B45"/>
    <w:rsid w:val="14627FE2"/>
    <w:rsid w:val="14717443"/>
    <w:rsid w:val="147F0B94"/>
    <w:rsid w:val="14825F8A"/>
    <w:rsid w:val="148C70AD"/>
    <w:rsid w:val="148D52E3"/>
    <w:rsid w:val="14992B90"/>
    <w:rsid w:val="149A750C"/>
    <w:rsid w:val="149F10C7"/>
    <w:rsid w:val="14A40521"/>
    <w:rsid w:val="14AF1856"/>
    <w:rsid w:val="14AF19A3"/>
    <w:rsid w:val="14B22D17"/>
    <w:rsid w:val="14B53957"/>
    <w:rsid w:val="14C53ECE"/>
    <w:rsid w:val="14CF6CB0"/>
    <w:rsid w:val="14D10E8D"/>
    <w:rsid w:val="14DB04C0"/>
    <w:rsid w:val="14DC5FE6"/>
    <w:rsid w:val="14E002E6"/>
    <w:rsid w:val="14F926F4"/>
    <w:rsid w:val="14FC36BD"/>
    <w:rsid w:val="14FF5EA7"/>
    <w:rsid w:val="15127C5A"/>
    <w:rsid w:val="15194B44"/>
    <w:rsid w:val="151E3A0F"/>
    <w:rsid w:val="152534E9"/>
    <w:rsid w:val="152F4368"/>
    <w:rsid w:val="153A36AA"/>
    <w:rsid w:val="15477903"/>
    <w:rsid w:val="1557566D"/>
    <w:rsid w:val="1565422D"/>
    <w:rsid w:val="156E0971"/>
    <w:rsid w:val="15785B3E"/>
    <w:rsid w:val="15811F1B"/>
    <w:rsid w:val="15950560"/>
    <w:rsid w:val="159B37AB"/>
    <w:rsid w:val="15A30135"/>
    <w:rsid w:val="15A34015"/>
    <w:rsid w:val="15BB487B"/>
    <w:rsid w:val="15C9656A"/>
    <w:rsid w:val="15CE086D"/>
    <w:rsid w:val="15E2236F"/>
    <w:rsid w:val="16005D04"/>
    <w:rsid w:val="161A0B7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81314"/>
    <w:rsid w:val="170830C2"/>
    <w:rsid w:val="170D06E0"/>
    <w:rsid w:val="1711641B"/>
    <w:rsid w:val="17233E03"/>
    <w:rsid w:val="17332185"/>
    <w:rsid w:val="17475951"/>
    <w:rsid w:val="175C542D"/>
    <w:rsid w:val="175D0ED4"/>
    <w:rsid w:val="17793FC0"/>
    <w:rsid w:val="177D585E"/>
    <w:rsid w:val="179D33A9"/>
    <w:rsid w:val="179F2E61"/>
    <w:rsid w:val="17A06264"/>
    <w:rsid w:val="17BE19D3"/>
    <w:rsid w:val="17C227C0"/>
    <w:rsid w:val="17D66D7C"/>
    <w:rsid w:val="17DC0FF5"/>
    <w:rsid w:val="17DE0EDF"/>
    <w:rsid w:val="17EE5BFF"/>
    <w:rsid w:val="18097740"/>
    <w:rsid w:val="180B2557"/>
    <w:rsid w:val="18136133"/>
    <w:rsid w:val="184055B9"/>
    <w:rsid w:val="184620F4"/>
    <w:rsid w:val="184A2082"/>
    <w:rsid w:val="18581E27"/>
    <w:rsid w:val="185D3C42"/>
    <w:rsid w:val="185F38AF"/>
    <w:rsid w:val="188F0211"/>
    <w:rsid w:val="18AD1BEB"/>
    <w:rsid w:val="18B3004A"/>
    <w:rsid w:val="18B31B6D"/>
    <w:rsid w:val="18B96080"/>
    <w:rsid w:val="18CE20EA"/>
    <w:rsid w:val="18D70F9E"/>
    <w:rsid w:val="18DB2CD8"/>
    <w:rsid w:val="18F67868"/>
    <w:rsid w:val="18FA7F3C"/>
    <w:rsid w:val="1901426D"/>
    <w:rsid w:val="19067AD5"/>
    <w:rsid w:val="190B0C48"/>
    <w:rsid w:val="190B2D88"/>
    <w:rsid w:val="190E6B63"/>
    <w:rsid w:val="19123928"/>
    <w:rsid w:val="19194264"/>
    <w:rsid w:val="19283048"/>
    <w:rsid w:val="19410B0E"/>
    <w:rsid w:val="19420786"/>
    <w:rsid w:val="19427EC0"/>
    <w:rsid w:val="195711D7"/>
    <w:rsid w:val="195D2A3F"/>
    <w:rsid w:val="196C5B8A"/>
    <w:rsid w:val="198310E9"/>
    <w:rsid w:val="198D747A"/>
    <w:rsid w:val="19A15638"/>
    <w:rsid w:val="19A74DFE"/>
    <w:rsid w:val="19A753EF"/>
    <w:rsid w:val="19DF45AE"/>
    <w:rsid w:val="1A125525"/>
    <w:rsid w:val="1A18361C"/>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A30BC"/>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772121"/>
    <w:rsid w:val="1B8C18B7"/>
    <w:rsid w:val="1BA23AE5"/>
    <w:rsid w:val="1BB73AE1"/>
    <w:rsid w:val="1BDA6D68"/>
    <w:rsid w:val="1BF14125"/>
    <w:rsid w:val="1BF22F1A"/>
    <w:rsid w:val="1C002CEE"/>
    <w:rsid w:val="1C057BD0"/>
    <w:rsid w:val="1C157783"/>
    <w:rsid w:val="1C2669C7"/>
    <w:rsid w:val="1C4032FE"/>
    <w:rsid w:val="1C53113A"/>
    <w:rsid w:val="1C555978"/>
    <w:rsid w:val="1C6554A1"/>
    <w:rsid w:val="1C6B037B"/>
    <w:rsid w:val="1C7971B7"/>
    <w:rsid w:val="1C8036FB"/>
    <w:rsid w:val="1C8651B5"/>
    <w:rsid w:val="1C917D91"/>
    <w:rsid w:val="1CA94A00"/>
    <w:rsid w:val="1CAB2820"/>
    <w:rsid w:val="1CBD097C"/>
    <w:rsid w:val="1CD402EC"/>
    <w:rsid w:val="1CDB6B83"/>
    <w:rsid w:val="1CED16EF"/>
    <w:rsid w:val="1CF02333"/>
    <w:rsid w:val="1D047E88"/>
    <w:rsid w:val="1D0C33A2"/>
    <w:rsid w:val="1D0C4F8F"/>
    <w:rsid w:val="1D113E6E"/>
    <w:rsid w:val="1D114E5E"/>
    <w:rsid w:val="1D13631D"/>
    <w:rsid w:val="1D1F0050"/>
    <w:rsid w:val="1D213F09"/>
    <w:rsid w:val="1D214EDE"/>
    <w:rsid w:val="1D2222DC"/>
    <w:rsid w:val="1D2E13A9"/>
    <w:rsid w:val="1D326483"/>
    <w:rsid w:val="1D4209B0"/>
    <w:rsid w:val="1D5144F7"/>
    <w:rsid w:val="1D5B3CDE"/>
    <w:rsid w:val="1D5D0701"/>
    <w:rsid w:val="1D6E2950"/>
    <w:rsid w:val="1D756FD8"/>
    <w:rsid w:val="1D79298C"/>
    <w:rsid w:val="1D98209B"/>
    <w:rsid w:val="1DA23746"/>
    <w:rsid w:val="1DAA14B9"/>
    <w:rsid w:val="1DD04513"/>
    <w:rsid w:val="1DD8524D"/>
    <w:rsid w:val="1DDD2BCB"/>
    <w:rsid w:val="1E0345E3"/>
    <w:rsid w:val="1E1B7B7F"/>
    <w:rsid w:val="1E2D340E"/>
    <w:rsid w:val="1E3807E7"/>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1A6D78"/>
    <w:rsid w:val="1F2D4691"/>
    <w:rsid w:val="1F2D491A"/>
    <w:rsid w:val="1F2F6D09"/>
    <w:rsid w:val="1F3F789D"/>
    <w:rsid w:val="1F443106"/>
    <w:rsid w:val="1F4E5D32"/>
    <w:rsid w:val="1F66355F"/>
    <w:rsid w:val="1F7369C7"/>
    <w:rsid w:val="1F9113A9"/>
    <w:rsid w:val="1F94547B"/>
    <w:rsid w:val="1FA140B4"/>
    <w:rsid w:val="1FA47700"/>
    <w:rsid w:val="1FAE697F"/>
    <w:rsid w:val="1FAF308C"/>
    <w:rsid w:val="1FB64FF9"/>
    <w:rsid w:val="1FC11109"/>
    <w:rsid w:val="1FD2426D"/>
    <w:rsid w:val="1FDA3223"/>
    <w:rsid w:val="1FDE2C12"/>
    <w:rsid w:val="1FEF08C8"/>
    <w:rsid w:val="1FF72E6A"/>
    <w:rsid w:val="1FFB6F12"/>
    <w:rsid w:val="20014B53"/>
    <w:rsid w:val="201B3ED4"/>
    <w:rsid w:val="20230F6D"/>
    <w:rsid w:val="20310B02"/>
    <w:rsid w:val="20344F28"/>
    <w:rsid w:val="204B4A85"/>
    <w:rsid w:val="206F0406"/>
    <w:rsid w:val="207417C9"/>
    <w:rsid w:val="20784063"/>
    <w:rsid w:val="207E346A"/>
    <w:rsid w:val="208E12C3"/>
    <w:rsid w:val="209502A3"/>
    <w:rsid w:val="20BB31CA"/>
    <w:rsid w:val="20EA3839"/>
    <w:rsid w:val="20F3093F"/>
    <w:rsid w:val="2100305C"/>
    <w:rsid w:val="21080C93"/>
    <w:rsid w:val="210F579E"/>
    <w:rsid w:val="21163FF0"/>
    <w:rsid w:val="211B39F2"/>
    <w:rsid w:val="21254871"/>
    <w:rsid w:val="212550B5"/>
    <w:rsid w:val="212B632B"/>
    <w:rsid w:val="212E3725"/>
    <w:rsid w:val="21556F04"/>
    <w:rsid w:val="21585C10"/>
    <w:rsid w:val="21592B62"/>
    <w:rsid w:val="2172049B"/>
    <w:rsid w:val="21747CD2"/>
    <w:rsid w:val="2180610B"/>
    <w:rsid w:val="219263AA"/>
    <w:rsid w:val="21934186"/>
    <w:rsid w:val="219E5782"/>
    <w:rsid w:val="21C85928"/>
    <w:rsid w:val="21D10545"/>
    <w:rsid w:val="21D56297"/>
    <w:rsid w:val="21E72B0B"/>
    <w:rsid w:val="21E76A4A"/>
    <w:rsid w:val="21EE607E"/>
    <w:rsid w:val="21F66F4C"/>
    <w:rsid w:val="221548E5"/>
    <w:rsid w:val="221F2D96"/>
    <w:rsid w:val="22246DB1"/>
    <w:rsid w:val="22440067"/>
    <w:rsid w:val="22513B6F"/>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2C638A"/>
    <w:rsid w:val="23357BE6"/>
    <w:rsid w:val="2342574E"/>
    <w:rsid w:val="2355143D"/>
    <w:rsid w:val="236D1BFA"/>
    <w:rsid w:val="236D331D"/>
    <w:rsid w:val="2377331D"/>
    <w:rsid w:val="237D43DE"/>
    <w:rsid w:val="237F2883"/>
    <w:rsid w:val="238A5E5E"/>
    <w:rsid w:val="23940114"/>
    <w:rsid w:val="23993E95"/>
    <w:rsid w:val="239A1546"/>
    <w:rsid w:val="23A45829"/>
    <w:rsid w:val="23B57016"/>
    <w:rsid w:val="23C4797E"/>
    <w:rsid w:val="23CD5478"/>
    <w:rsid w:val="23D4764B"/>
    <w:rsid w:val="23EC3718"/>
    <w:rsid w:val="23EE304F"/>
    <w:rsid w:val="23FD7010"/>
    <w:rsid w:val="240243FC"/>
    <w:rsid w:val="24030E16"/>
    <w:rsid w:val="24031B9D"/>
    <w:rsid w:val="24044EF2"/>
    <w:rsid w:val="2407139D"/>
    <w:rsid w:val="240B04F4"/>
    <w:rsid w:val="240E369A"/>
    <w:rsid w:val="241E2177"/>
    <w:rsid w:val="242A0646"/>
    <w:rsid w:val="2435301D"/>
    <w:rsid w:val="243A0633"/>
    <w:rsid w:val="243D6E1A"/>
    <w:rsid w:val="24453D05"/>
    <w:rsid w:val="244A2F6C"/>
    <w:rsid w:val="24607F91"/>
    <w:rsid w:val="246C581B"/>
    <w:rsid w:val="2473294E"/>
    <w:rsid w:val="247C52A2"/>
    <w:rsid w:val="249266C1"/>
    <w:rsid w:val="24942917"/>
    <w:rsid w:val="24AE34FB"/>
    <w:rsid w:val="24CC106B"/>
    <w:rsid w:val="24D00598"/>
    <w:rsid w:val="24D725E9"/>
    <w:rsid w:val="24EC31CF"/>
    <w:rsid w:val="25045F70"/>
    <w:rsid w:val="250474F1"/>
    <w:rsid w:val="25056E93"/>
    <w:rsid w:val="25092EBA"/>
    <w:rsid w:val="250E5D48"/>
    <w:rsid w:val="25241020"/>
    <w:rsid w:val="25302410"/>
    <w:rsid w:val="25746AD7"/>
    <w:rsid w:val="257572C3"/>
    <w:rsid w:val="25790E85"/>
    <w:rsid w:val="25834A38"/>
    <w:rsid w:val="25965D3D"/>
    <w:rsid w:val="25972C60"/>
    <w:rsid w:val="25974C6F"/>
    <w:rsid w:val="259D1676"/>
    <w:rsid w:val="25A353EB"/>
    <w:rsid w:val="25B87B65"/>
    <w:rsid w:val="25CB78C3"/>
    <w:rsid w:val="25D54390"/>
    <w:rsid w:val="25D6438C"/>
    <w:rsid w:val="25DF1492"/>
    <w:rsid w:val="261879A7"/>
    <w:rsid w:val="261A071C"/>
    <w:rsid w:val="261C587D"/>
    <w:rsid w:val="26395046"/>
    <w:rsid w:val="264B0BA4"/>
    <w:rsid w:val="264F4111"/>
    <w:rsid w:val="265E0AEC"/>
    <w:rsid w:val="2661459D"/>
    <w:rsid w:val="268C5256"/>
    <w:rsid w:val="268E455B"/>
    <w:rsid w:val="26912B30"/>
    <w:rsid w:val="269772F0"/>
    <w:rsid w:val="26997893"/>
    <w:rsid w:val="26A30712"/>
    <w:rsid w:val="26AC0C27"/>
    <w:rsid w:val="26C807A6"/>
    <w:rsid w:val="26CC5EBA"/>
    <w:rsid w:val="26D1527F"/>
    <w:rsid w:val="26D23F28"/>
    <w:rsid w:val="26DB67BA"/>
    <w:rsid w:val="26DE3298"/>
    <w:rsid w:val="26E311CD"/>
    <w:rsid w:val="26EF24ED"/>
    <w:rsid w:val="26F1408A"/>
    <w:rsid w:val="26F86CAF"/>
    <w:rsid w:val="26F96584"/>
    <w:rsid w:val="26FC4FA5"/>
    <w:rsid w:val="27015370"/>
    <w:rsid w:val="270B421F"/>
    <w:rsid w:val="2710526A"/>
    <w:rsid w:val="271F6B87"/>
    <w:rsid w:val="274E2228"/>
    <w:rsid w:val="27517A93"/>
    <w:rsid w:val="27545EB0"/>
    <w:rsid w:val="27565784"/>
    <w:rsid w:val="275B723E"/>
    <w:rsid w:val="275E53AF"/>
    <w:rsid w:val="27606603"/>
    <w:rsid w:val="276658E8"/>
    <w:rsid w:val="276F6846"/>
    <w:rsid w:val="277E30D2"/>
    <w:rsid w:val="27803F2A"/>
    <w:rsid w:val="278A18D2"/>
    <w:rsid w:val="27983FEE"/>
    <w:rsid w:val="27A34941"/>
    <w:rsid w:val="27A97FAA"/>
    <w:rsid w:val="27EE3A7B"/>
    <w:rsid w:val="27FA25B3"/>
    <w:rsid w:val="28033B5E"/>
    <w:rsid w:val="28043EC1"/>
    <w:rsid w:val="280B656E"/>
    <w:rsid w:val="28100029"/>
    <w:rsid w:val="28125B4F"/>
    <w:rsid w:val="282B09BF"/>
    <w:rsid w:val="282E4F00"/>
    <w:rsid w:val="283C23DF"/>
    <w:rsid w:val="283D69F1"/>
    <w:rsid w:val="283F090E"/>
    <w:rsid w:val="284C16F5"/>
    <w:rsid w:val="28570AB5"/>
    <w:rsid w:val="2858552C"/>
    <w:rsid w:val="285F2CDC"/>
    <w:rsid w:val="28622C36"/>
    <w:rsid w:val="2869172C"/>
    <w:rsid w:val="288C2D07"/>
    <w:rsid w:val="289E7E22"/>
    <w:rsid w:val="28C2534B"/>
    <w:rsid w:val="28C5525A"/>
    <w:rsid w:val="28D14B96"/>
    <w:rsid w:val="29020C46"/>
    <w:rsid w:val="290240C7"/>
    <w:rsid w:val="291713AF"/>
    <w:rsid w:val="291A2B97"/>
    <w:rsid w:val="29274EE0"/>
    <w:rsid w:val="294633F0"/>
    <w:rsid w:val="294F692F"/>
    <w:rsid w:val="295029E3"/>
    <w:rsid w:val="29543A59"/>
    <w:rsid w:val="29670ED3"/>
    <w:rsid w:val="296879F1"/>
    <w:rsid w:val="2969197F"/>
    <w:rsid w:val="29746E87"/>
    <w:rsid w:val="29793119"/>
    <w:rsid w:val="297939AC"/>
    <w:rsid w:val="297C03C2"/>
    <w:rsid w:val="299573AB"/>
    <w:rsid w:val="29995DFC"/>
    <w:rsid w:val="29B05804"/>
    <w:rsid w:val="29B82726"/>
    <w:rsid w:val="29BE5BD0"/>
    <w:rsid w:val="29C01572"/>
    <w:rsid w:val="29C25353"/>
    <w:rsid w:val="29CA4207"/>
    <w:rsid w:val="29CE5AA6"/>
    <w:rsid w:val="29D37B45"/>
    <w:rsid w:val="29D82DC8"/>
    <w:rsid w:val="29DA08EE"/>
    <w:rsid w:val="29DB6414"/>
    <w:rsid w:val="29DD60B5"/>
    <w:rsid w:val="29E74CE2"/>
    <w:rsid w:val="29F3375E"/>
    <w:rsid w:val="2A0E0AB2"/>
    <w:rsid w:val="2A133E00"/>
    <w:rsid w:val="2A241B69"/>
    <w:rsid w:val="2A306A36"/>
    <w:rsid w:val="2A355B25"/>
    <w:rsid w:val="2A41271B"/>
    <w:rsid w:val="2A457300"/>
    <w:rsid w:val="2A5372C6"/>
    <w:rsid w:val="2A5A558B"/>
    <w:rsid w:val="2A5B03D8"/>
    <w:rsid w:val="2A68414C"/>
    <w:rsid w:val="2A6F6D07"/>
    <w:rsid w:val="2A852253"/>
    <w:rsid w:val="2A882500"/>
    <w:rsid w:val="2A9F7442"/>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B360F"/>
    <w:rsid w:val="2B4520BE"/>
    <w:rsid w:val="2B4A5600"/>
    <w:rsid w:val="2B574FD9"/>
    <w:rsid w:val="2B642979"/>
    <w:rsid w:val="2B654BED"/>
    <w:rsid w:val="2B681F2A"/>
    <w:rsid w:val="2B8D373E"/>
    <w:rsid w:val="2B9E4F56"/>
    <w:rsid w:val="2BD96984"/>
    <w:rsid w:val="2BDB5A88"/>
    <w:rsid w:val="2BDB6BA0"/>
    <w:rsid w:val="2BE91C37"/>
    <w:rsid w:val="2BEC3F72"/>
    <w:rsid w:val="2BF35C97"/>
    <w:rsid w:val="2C043A01"/>
    <w:rsid w:val="2C083572"/>
    <w:rsid w:val="2C185F94"/>
    <w:rsid w:val="2C1F1AC4"/>
    <w:rsid w:val="2C2422F5"/>
    <w:rsid w:val="2C271DE5"/>
    <w:rsid w:val="2C2945BA"/>
    <w:rsid w:val="2C2E71FC"/>
    <w:rsid w:val="2C3F3A41"/>
    <w:rsid w:val="2C4431C4"/>
    <w:rsid w:val="2C55747C"/>
    <w:rsid w:val="2C62059F"/>
    <w:rsid w:val="2C6634FA"/>
    <w:rsid w:val="2C7566AC"/>
    <w:rsid w:val="2C7843EE"/>
    <w:rsid w:val="2CA25191"/>
    <w:rsid w:val="2CA85003"/>
    <w:rsid w:val="2CAC022C"/>
    <w:rsid w:val="2CB25B52"/>
    <w:rsid w:val="2CB97265"/>
    <w:rsid w:val="2CC11807"/>
    <w:rsid w:val="2CC66CD6"/>
    <w:rsid w:val="2CE327BC"/>
    <w:rsid w:val="2CEB696E"/>
    <w:rsid w:val="2CF16074"/>
    <w:rsid w:val="2CF241A1"/>
    <w:rsid w:val="2CF81D1B"/>
    <w:rsid w:val="2CFE48F4"/>
    <w:rsid w:val="2D3F2453"/>
    <w:rsid w:val="2D60735C"/>
    <w:rsid w:val="2D6F134E"/>
    <w:rsid w:val="2D782F8C"/>
    <w:rsid w:val="2D835174"/>
    <w:rsid w:val="2D9331F9"/>
    <w:rsid w:val="2DB604DD"/>
    <w:rsid w:val="2DBB0A37"/>
    <w:rsid w:val="2DD90B7B"/>
    <w:rsid w:val="2DD92C6B"/>
    <w:rsid w:val="2DDB4C35"/>
    <w:rsid w:val="2DDD3FC1"/>
    <w:rsid w:val="2DE531B8"/>
    <w:rsid w:val="2DEA131C"/>
    <w:rsid w:val="2DF701D8"/>
    <w:rsid w:val="2DF9330D"/>
    <w:rsid w:val="2DF970A1"/>
    <w:rsid w:val="2E0665A9"/>
    <w:rsid w:val="2E085834"/>
    <w:rsid w:val="2E1034F8"/>
    <w:rsid w:val="2E112405"/>
    <w:rsid w:val="2E120D8E"/>
    <w:rsid w:val="2E1B46D1"/>
    <w:rsid w:val="2E310CF9"/>
    <w:rsid w:val="2E443652"/>
    <w:rsid w:val="2E505773"/>
    <w:rsid w:val="2E52461F"/>
    <w:rsid w:val="2E5A1FFE"/>
    <w:rsid w:val="2E5C0A3D"/>
    <w:rsid w:val="2E6F6D21"/>
    <w:rsid w:val="2E742F70"/>
    <w:rsid w:val="2E8E7EF9"/>
    <w:rsid w:val="2E9077CD"/>
    <w:rsid w:val="2E9574DA"/>
    <w:rsid w:val="2E9A1EAA"/>
    <w:rsid w:val="2E9A689E"/>
    <w:rsid w:val="2EA9088F"/>
    <w:rsid w:val="2ECF360C"/>
    <w:rsid w:val="2ED61D9E"/>
    <w:rsid w:val="2EDC2A13"/>
    <w:rsid w:val="2EFD7DB9"/>
    <w:rsid w:val="2F1A081D"/>
    <w:rsid w:val="2F1C72B3"/>
    <w:rsid w:val="2F1E1306"/>
    <w:rsid w:val="2F1E3DC0"/>
    <w:rsid w:val="2F2D326E"/>
    <w:rsid w:val="2F3112DE"/>
    <w:rsid w:val="2F3B6922"/>
    <w:rsid w:val="2F3D7B25"/>
    <w:rsid w:val="2F480119"/>
    <w:rsid w:val="2F4D1B62"/>
    <w:rsid w:val="2F506C6D"/>
    <w:rsid w:val="2F512253"/>
    <w:rsid w:val="2F51291F"/>
    <w:rsid w:val="2F55758A"/>
    <w:rsid w:val="2F68074A"/>
    <w:rsid w:val="2F7610B9"/>
    <w:rsid w:val="2F7F15AE"/>
    <w:rsid w:val="2F7F6886"/>
    <w:rsid w:val="2F8F5CD7"/>
    <w:rsid w:val="2F912594"/>
    <w:rsid w:val="2FA07EE4"/>
    <w:rsid w:val="2FA54796"/>
    <w:rsid w:val="2FA674E2"/>
    <w:rsid w:val="2FE853E7"/>
    <w:rsid w:val="2FEE6EA1"/>
    <w:rsid w:val="2FFA11A5"/>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16A06"/>
    <w:rsid w:val="30E7260A"/>
    <w:rsid w:val="30EA0C38"/>
    <w:rsid w:val="31002970"/>
    <w:rsid w:val="3104743D"/>
    <w:rsid w:val="311016AD"/>
    <w:rsid w:val="31140B8A"/>
    <w:rsid w:val="31220DA0"/>
    <w:rsid w:val="31253A1B"/>
    <w:rsid w:val="3136622A"/>
    <w:rsid w:val="31393501"/>
    <w:rsid w:val="3139422E"/>
    <w:rsid w:val="313B5C41"/>
    <w:rsid w:val="31496359"/>
    <w:rsid w:val="314D19A6"/>
    <w:rsid w:val="31580A38"/>
    <w:rsid w:val="316177A4"/>
    <w:rsid w:val="31700E4B"/>
    <w:rsid w:val="3172683C"/>
    <w:rsid w:val="318F773E"/>
    <w:rsid w:val="319057B1"/>
    <w:rsid w:val="31A359FC"/>
    <w:rsid w:val="31AD0D61"/>
    <w:rsid w:val="31C42968"/>
    <w:rsid w:val="31CD297B"/>
    <w:rsid w:val="31CD73BD"/>
    <w:rsid w:val="31D66571"/>
    <w:rsid w:val="31DB4220"/>
    <w:rsid w:val="31DC56CD"/>
    <w:rsid w:val="31E63B94"/>
    <w:rsid w:val="31EA3699"/>
    <w:rsid w:val="31ED3189"/>
    <w:rsid w:val="31F27AF7"/>
    <w:rsid w:val="31FA74CA"/>
    <w:rsid w:val="32176602"/>
    <w:rsid w:val="32186458"/>
    <w:rsid w:val="322A7699"/>
    <w:rsid w:val="322B25C6"/>
    <w:rsid w:val="323927D5"/>
    <w:rsid w:val="32422E70"/>
    <w:rsid w:val="325E56C6"/>
    <w:rsid w:val="3275698A"/>
    <w:rsid w:val="327C0679"/>
    <w:rsid w:val="32870EE7"/>
    <w:rsid w:val="32943B86"/>
    <w:rsid w:val="32A93829"/>
    <w:rsid w:val="32B943EC"/>
    <w:rsid w:val="32B9519B"/>
    <w:rsid w:val="32BA12BD"/>
    <w:rsid w:val="32CC7242"/>
    <w:rsid w:val="32D85BE7"/>
    <w:rsid w:val="32DC63A0"/>
    <w:rsid w:val="32E429C1"/>
    <w:rsid w:val="32EA4F1D"/>
    <w:rsid w:val="330503EE"/>
    <w:rsid w:val="33274478"/>
    <w:rsid w:val="334045BE"/>
    <w:rsid w:val="334A3B2A"/>
    <w:rsid w:val="334E5E3C"/>
    <w:rsid w:val="3365592E"/>
    <w:rsid w:val="336A31F3"/>
    <w:rsid w:val="336F6533"/>
    <w:rsid w:val="337E5E2F"/>
    <w:rsid w:val="3384610D"/>
    <w:rsid w:val="33AA5979"/>
    <w:rsid w:val="33C03E90"/>
    <w:rsid w:val="33C341A1"/>
    <w:rsid w:val="33C96649"/>
    <w:rsid w:val="33CC3D88"/>
    <w:rsid w:val="33D939C5"/>
    <w:rsid w:val="33DD0306"/>
    <w:rsid w:val="33F627C9"/>
    <w:rsid w:val="33FD722F"/>
    <w:rsid w:val="3400362D"/>
    <w:rsid w:val="340B09C5"/>
    <w:rsid w:val="341E4CAB"/>
    <w:rsid w:val="341E7629"/>
    <w:rsid w:val="342F1837"/>
    <w:rsid w:val="34397055"/>
    <w:rsid w:val="34526D71"/>
    <w:rsid w:val="34584EE2"/>
    <w:rsid w:val="347A1C51"/>
    <w:rsid w:val="347D373F"/>
    <w:rsid w:val="34922A93"/>
    <w:rsid w:val="34956481"/>
    <w:rsid w:val="34A35871"/>
    <w:rsid w:val="34C06C9D"/>
    <w:rsid w:val="34DF24AE"/>
    <w:rsid w:val="34F5482E"/>
    <w:rsid w:val="35020CF9"/>
    <w:rsid w:val="351A24E7"/>
    <w:rsid w:val="351C4931"/>
    <w:rsid w:val="351C4EAC"/>
    <w:rsid w:val="351C625F"/>
    <w:rsid w:val="351D4C26"/>
    <w:rsid w:val="352073D1"/>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5EA010B"/>
    <w:rsid w:val="35EE538F"/>
    <w:rsid w:val="36080591"/>
    <w:rsid w:val="3609472F"/>
    <w:rsid w:val="36140DB4"/>
    <w:rsid w:val="36162CAE"/>
    <w:rsid w:val="36183AA2"/>
    <w:rsid w:val="36203B2D"/>
    <w:rsid w:val="36257395"/>
    <w:rsid w:val="363275A8"/>
    <w:rsid w:val="363E0457"/>
    <w:rsid w:val="365461BB"/>
    <w:rsid w:val="365B4B65"/>
    <w:rsid w:val="367125DA"/>
    <w:rsid w:val="36806379"/>
    <w:rsid w:val="369B4CF0"/>
    <w:rsid w:val="36D62629"/>
    <w:rsid w:val="36D76172"/>
    <w:rsid w:val="36D84407"/>
    <w:rsid w:val="36E833BB"/>
    <w:rsid w:val="36EB1E1B"/>
    <w:rsid w:val="36F17F0D"/>
    <w:rsid w:val="36FB00F6"/>
    <w:rsid w:val="36FF5095"/>
    <w:rsid w:val="37103BA1"/>
    <w:rsid w:val="37224581"/>
    <w:rsid w:val="3735197D"/>
    <w:rsid w:val="373756A2"/>
    <w:rsid w:val="3747333B"/>
    <w:rsid w:val="374A416C"/>
    <w:rsid w:val="375E0DA6"/>
    <w:rsid w:val="377639AE"/>
    <w:rsid w:val="378142CB"/>
    <w:rsid w:val="378B61A6"/>
    <w:rsid w:val="379522F8"/>
    <w:rsid w:val="379A790F"/>
    <w:rsid w:val="37A10C9D"/>
    <w:rsid w:val="37B90F0B"/>
    <w:rsid w:val="37BC270A"/>
    <w:rsid w:val="37C60C33"/>
    <w:rsid w:val="37CD3F98"/>
    <w:rsid w:val="37DE77FC"/>
    <w:rsid w:val="37DF75BA"/>
    <w:rsid w:val="37E148E2"/>
    <w:rsid w:val="37F848EE"/>
    <w:rsid w:val="37F912FC"/>
    <w:rsid w:val="380D59EE"/>
    <w:rsid w:val="38304889"/>
    <w:rsid w:val="3836588A"/>
    <w:rsid w:val="38382675"/>
    <w:rsid w:val="383B7B0D"/>
    <w:rsid w:val="3848553B"/>
    <w:rsid w:val="384855BD"/>
    <w:rsid w:val="3851700B"/>
    <w:rsid w:val="385246B6"/>
    <w:rsid w:val="385E6B8E"/>
    <w:rsid w:val="38740160"/>
    <w:rsid w:val="3876113B"/>
    <w:rsid w:val="38883C0B"/>
    <w:rsid w:val="38A00F55"/>
    <w:rsid w:val="38A53DB7"/>
    <w:rsid w:val="38A87E0A"/>
    <w:rsid w:val="38B7004D"/>
    <w:rsid w:val="38BD38B5"/>
    <w:rsid w:val="38BF3388"/>
    <w:rsid w:val="38CC268D"/>
    <w:rsid w:val="38D26C34"/>
    <w:rsid w:val="38DF1FDA"/>
    <w:rsid w:val="38EC2960"/>
    <w:rsid w:val="390069DD"/>
    <w:rsid w:val="39030CF9"/>
    <w:rsid w:val="39091F35"/>
    <w:rsid w:val="390A63CE"/>
    <w:rsid w:val="392536E2"/>
    <w:rsid w:val="39465F15"/>
    <w:rsid w:val="39505209"/>
    <w:rsid w:val="3962620A"/>
    <w:rsid w:val="396453C5"/>
    <w:rsid w:val="39922CCF"/>
    <w:rsid w:val="39A24859"/>
    <w:rsid w:val="39A65327"/>
    <w:rsid w:val="39A65C9B"/>
    <w:rsid w:val="39BC591B"/>
    <w:rsid w:val="39BC5ED6"/>
    <w:rsid w:val="39D27231"/>
    <w:rsid w:val="39E6508D"/>
    <w:rsid w:val="39E82BB3"/>
    <w:rsid w:val="39EB39E0"/>
    <w:rsid w:val="39ED7DCD"/>
    <w:rsid w:val="39EF02D4"/>
    <w:rsid w:val="39FD3EA5"/>
    <w:rsid w:val="3A11342A"/>
    <w:rsid w:val="3A1439A9"/>
    <w:rsid w:val="3A153110"/>
    <w:rsid w:val="3A2149EA"/>
    <w:rsid w:val="3A2507C0"/>
    <w:rsid w:val="3A285AD8"/>
    <w:rsid w:val="3A393FA7"/>
    <w:rsid w:val="3A3A5A22"/>
    <w:rsid w:val="3A524858"/>
    <w:rsid w:val="3A64203E"/>
    <w:rsid w:val="3A663D00"/>
    <w:rsid w:val="3A7428D0"/>
    <w:rsid w:val="3A747EDD"/>
    <w:rsid w:val="3A7E0AE2"/>
    <w:rsid w:val="3A923AE4"/>
    <w:rsid w:val="3AA50E25"/>
    <w:rsid w:val="3AC566E3"/>
    <w:rsid w:val="3AD6747A"/>
    <w:rsid w:val="3AD95C48"/>
    <w:rsid w:val="3ADF5D0A"/>
    <w:rsid w:val="3AE315CD"/>
    <w:rsid w:val="3AE83F75"/>
    <w:rsid w:val="3B312338"/>
    <w:rsid w:val="3B3C5B77"/>
    <w:rsid w:val="3B3D0FF2"/>
    <w:rsid w:val="3B445340"/>
    <w:rsid w:val="3B501351"/>
    <w:rsid w:val="3B521A18"/>
    <w:rsid w:val="3B556027"/>
    <w:rsid w:val="3B8D2B96"/>
    <w:rsid w:val="3B923660"/>
    <w:rsid w:val="3BA448B8"/>
    <w:rsid w:val="3BCA44BE"/>
    <w:rsid w:val="3BDE296C"/>
    <w:rsid w:val="3BDF7FE6"/>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22C7D"/>
    <w:rsid w:val="3D6B12FD"/>
    <w:rsid w:val="3D7604D6"/>
    <w:rsid w:val="3D7B4622"/>
    <w:rsid w:val="3D840E45"/>
    <w:rsid w:val="3D8E5820"/>
    <w:rsid w:val="3D942E29"/>
    <w:rsid w:val="3DA53531"/>
    <w:rsid w:val="3DB54E0C"/>
    <w:rsid w:val="3DB900C1"/>
    <w:rsid w:val="3DD27E02"/>
    <w:rsid w:val="3DE2340B"/>
    <w:rsid w:val="3DE51866"/>
    <w:rsid w:val="3DE91725"/>
    <w:rsid w:val="3DF159B1"/>
    <w:rsid w:val="3E135D25"/>
    <w:rsid w:val="3E196FEC"/>
    <w:rsid w:val="3E1A106E"/>
    <w:rsid w:val="3E36303B"/>
    <w:rsid w:val="3E526044"/>
    <w:rsid w:val="3E5C591E"/>
    <w:rsid w:val="3E6C2B3A"/>
    <w:rsid w:val="3E7F1F98"/>
    <w:rsid w:val="3E846C23"/>
    <w:rsid w:val="3E8C5311"/>
    <w:rsid w:val="3E8E7E55"/>
    <w:rsid w:val="3EB61473"/>
    <w:rsid w:val="3EC66011"/>
    <w:rsid w:val="3ED25BE0"/>
    <w:rsid w:val="3ED75B7F"/>
    <w:rsid w:val="3EF9316D"/>
    <w:rsid w:val="3F073ADC"/>
    <w:rsid w:val="3F1E4982"/>
    <w:rsid w:val="3F315E6B"/>
    <w:rsid w:val="3F4A39C9"/>
    <w:rsid w:val="3F5175E2"/>
    <w:rsid w:val="3F56276A"/>
    <w:rsid w:val="3F6A7BC7"/>
    <w:rsid w:val="3F6C0E72"/>
    <w:rsid w:val="3F6C10E0"/>
    <w:rsid w:val="3F854A01"/>
    <w:rsid w:val="3F963015"/>
    <w:rsid w:val="3F964D35"/>
    <w:rsid w:val="3F964E60"/>
    <w:rsid w:val="3FA327ED"/>
    <w:rsid w:val="3FB11738"/>
    <w:rsid w:val="3FB5581B"/>
    <w:rsid w:val="3FC33D05"/>
    <w:rsid w:val="3FE23C01"/>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BC6B48"/>
    <w:rsid w:val="40EB6898"/>
    <w:rsid w:val="40F701DF"/>
    <w:rsid w:val="40FD480A"/>
    <w:rsid w:val="41171FD0"/>
    <w:rsid w:val="411B59C4"/>
    <w:rsid w:val="412A32F8"/>
    <w:rsid w:val="412E7E70"/>
    <w:rsid w:val="4135001C"/>
    <w:rsid w:val="41401527"/>
    <w:rsid w:val="417F433E"/>
    <w:rsid w:val="418A1D66"/>
    <w:rsid w:val="41913B31"/>
    <w:rsid w:val="419C4043"/>
    <w:rsid w:val="41B7239D"/>
    <w:rsid w:val="41C95079"/>
    <w:rsid w:val="41D852BC"/>
    <w:rsid w:val="41E719A3"/>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72D26"/>
    <w:rsid w:val="427C799E"/>
    <w:rsid w:val="427F607F"/>
    <w:rsid w:val="42800B9B"/>
    <w:rsid w:val="4281223D"/>
    <w:rsid w:val="428E62C2"/>
    <w:rsid w:val="42A06B6C"/>
    <w:rsid w:val="42A27996"/>
    <w:rsid w:val="42A45E72"/>
    <w:rsid w:val="42AA04E2"/>
    <w:rsid w:val="42EA5650"/>
    <w:rsid w:val="42ED4D97"/>
    <w:rsid w:val="431408DA"/>
    <w:rsid w:val="431B7C78"/>
    <w:rsid w:val="4331401E"/>
    <w:rsid w:val="43486FC5"/>
    <w:rsid w:val="43591DDA"/>
    <w:rsid w:val="435A0DF2"/>
    <w:rsid w:val="435B43F6"/>
    <w:rsid w:val="436739CE"/>
    <w:rsid w:val="436C42E1"/>
    <w:rsid w:val="437102E7"/>
    <w:rsid w:val="43776D56"/>
    <w:rsid w:val="437C210F"/>
    <w:rsid w:val="43847F02"/>
    <w:rsid w:val="438C45B0"/>
    <w:rsid w:val="438F113C"/>
    <w:rsid w:val="439E2535"/>
    <w:rsid w:val="439E7EFB"/>
    <w:rsid w:val="43B1568A"/>
    <w:rsid w:val="43B64E08"/>
    <w:rsid w:val="43BD7F58"/>
    <w:rsid w:val="43D43ECA"/>
    <w:rsid w:val="43DD452F"/>
    <w:rsid w:val="43DE6CD4"/>
    <w:rsid w:val="43E443EC"/>
    <w:rsid w:val="43E51150"/>
    <w:rsid w:val="43EE12FB"/>
    <w:rsid w:val="43EF28BB"/>
    <w:rsid w:val="43EF56D3"/>
    <w:rsid w:val="43F0274D"/>
    <w:rsid w:val="43F47D80"/>
    <w:rsid w:val="43F565F9"/>
    <w:rsid w:val="44095C00"/>
    <w:rsid w:val="440A24EA"/>
    <w:rsid w:val="440A6FD2"/>
    <w:rsid w:val="441427F7"/>
    <w:rsid w:val="442944F4"/>
    <w:rsid w:val="442A1797"/>
    <w:rsid w:val="442A3DC9"/>
    <w:rsid w:val="44337121"/>
    <w:rsid w:val="44366C11"/>
    <w:rsid w:val="444946CA"/>
    <w:rsid w:val="444B3F54"/>
    <w:rsid w:val="445D7CFA"/>
    <w:rsid w:val="447137A5"/>
    <w:rsid w:val="4476661F"/>
    <w:rsid w:val="44775260"/>
    <w:rsid w:val="447E3AC5"/>
    <w:rsid w:val="44805ED4"/>
    <w:rsid w:val="448E5DEE"/>
    <w:rsid w:val="449E4142"/>
    <w:rsid w:val="44A4515C"/>
    <w:rsid w:val="44A90BAA"/>
    <w:rsid w:val="44B24A20"/>
    <w:rsid w:val="44BC0BEE"/>
    <w:rsid w:val="44BF6C07"/>
    <w:rsid w:val="44C24001"/>
    <w:rsid w:val="44C55A88"/>
    <w:rsid w:val="44D55303"/>
    <w:rsid w:val="44FB1C9C"/>
    <w:rsid w:val="450327A3"/>
    <w:rsid w:val="45392A13"/>
    <w:rsid w:val="453E3FCF"/>
    <w:rsid w:val="454F1836"/>
    <w:rsid w:val="4551644F"/>
    <w:rsid w:val="45566A25"/>
    <w:rsid w:val="45790B64"/>
    <w:rsid w:val="457B2BF7"/>
    <w:rsid w:val="45887B45"/>
    <w:rsid w:val="458B66DF"/>
    <w:rsid w:val="45940F0E"/>
    <w:rsid w:val="45AC5DBA"/>
    <w:rsid w:val="45C647AF"/>
    <w:rsid w:val="45DD529D"/>
    <w:rsid w:val="45E5444B"/>
    <w:rsid w:val="45E57886"/>
    <w:rsid w:val="45E945CC"/>
    <w:rsid w:val="46003076"/>
    <w:rsid w:val="46026F63"/>
    <w:rsid w:val="46113492"/>
    <w:rsid w:val="46177E29"/>
    <w:rsid w:val="461940F5"/>
    <w:rsid w:val="46205B7F"/>
    <w:rsid w:val="462907DC"/>
    <w:rsid w:val="462A6010"/>
    <w:rsid w:val="465D501C"/>
    <w:rsid w:val="46603AD2"/>
    <w:rsid w:val="46623CEE"/>
    <w:rsid w:val="466367DB"/>
    <w:rsid w:val="46686D18"/>
    <w:rsid w:val="466D15DA"/>
    <w:rsid w:val="46774127"/>
    <w:rsid w:val="46853538"/>
    <w:rsid w:val="469320F9"/>
    <w:rsid w:val="46BF7E28"/>
    <w:rsid w:val="46C3037C"/>
    <w:rsid w:val="46DA3884"/>
    <w:rsid w:val="46EF26BD"/>
    <w:rsid w:val="46FF15E0"/>
    <w:rsid w:val="4700581C"/>
    <w:rsid w:val="4702516A"/>
    <w:rsid w:val="471D70E2"/>
    <w:rsid w:val="471E5E67"/>
    <w:rsid w:val="4724600B"/>
    <w:rsid w:val="472E597E"/>
    <w:rsid w:val="47461B9F"/>
    <w:rsid w:val="474A4B33"/>
    <w:rsid w:val="4760647F"/>
    <w:rsid w:val="47665A15"/>
    <w:rsid w:val="47677941"/>
    <w:rsid w:val="477F1660"/>
    <w:rsid w:val="4788232A"/>
    <w:rsid w:val="478B0398"/>
    <w:rsid w:val="478F5D0B"/>
    <w:rsid w:val="47940D5A"/>
    <w:rsid w:val="479D5A47"/>
    <w:rsid w:val="47A11E6C"/>
    <w:rsid w:val="47A31F5F"/>
    <w:rsid w:val="47A84BA6"/>
    <w:rsid w:val="47B52444"/>
    <w:rsid w:val="47B8724E"/>
    <w:rsid w:val="47E811D9"/>
    <w:rsid w:val="47ED7BCA"/>
    <w:rsid w:val="48016F34"/>
    <w:rsid w:val="480556DB"/>
    <w:rsid w:val="48185C56"/>
    <w:rsid w:val="48254C34"/>
    <w:rsid w:val="48450F81"/>
    <w:rsid w:val="48455675"/>
    <w:rsid w:val="484E4529"/>
    <w:rsid w:val="484E729D"/>
    <w:rsid w:val="48521C53"/>
    <w:rsid w:val="485633DE"/>
    <w:rsid w:val="48566773"/>
    <w:rsid w:val="485A23C2"/>
    <w:rsid w:val="485C6422"/>
    <w:rsid w:val="48623B31"/>
    <w:rsid w:val="486755EB"/>
    <w:rsid w:val="48691107"/>
    <w:rsid w:val="48711FC6"/>
    <w:rsid w:val="4875679A"/>
    <w:rsid w:val="48895289"/>
    <w:rsid w:val="489363E0"/>
    <w:rsid w:val="48A16B62"/>
    <w:rsid w:val="48AE0D54"/>
    <w:rsid w:val="48AE2858"/>
    <w:rsid w:val="48BC6222"/>
    <w:rsid w:val="48C12F4D"/>
    <w:rsid w:val="48C245E9"/>
    <w:rsid w:val="48DB312A"/>
    <w:rsid w:val="48DF49D9"/>
    <w:rsid w:val="48E45842"/>
    <w:rsid w:val="492108CC"/>
    <w:rsid w:val="493B351A"/>
    <w:rsid w:val="49413F52"/>
    <w:rsid w:val="494F6304"/>
    <w:rsid w:val="495042D1"/>
    <w:rsid w:val="49555444"/>
    <w:rsid w:val="49792B95"/>
    <w:rsid w:val="49DB003F"/>
    <w:rsid w:val="49F11610"/>
    <w:rsid w:val="49F70BF1"/>
    <w:rsid w:val="4A05334F"/>
    <w:rsid w:val="4A060864"/>
    <w:rsid w:val="4A0F0210"/>
    <w:rsid w:val="4A172E99"/>
    <w:rsid w:val="4A190B67"/>
    <w:rsid w:val="4A244932"/>
    <w:rsid w:val="4A2922C8"/>
    <w:rsid w:val="4A3E05CE"/>
    <w:rsid w:val="4A4117B2"/>
    <w:rsid w:val="4A4A6F73"/>
    <w:rsid w:val="4A720979"/>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3814C1"/>
    <w:rsid w:val="4B43211C"/>
    <w:rsid w:val="4B520DF4"/>
    <w:rsid w:val="4B603107"/>
    <w:rsid w:val="4B7A5635"/>
    <w:rsid w:val="4B8E10E1"/>
    <w:rsid w:val="4B9802B0"/>
    <w:rsid w:val="4B9E65BE"/>
    <w:rsid w:val="4B9F33A8"/>
    <w:rsid w:val="4BA80AFD"/>
    <w:rsid w:val="4BAD6BFC"/>
    <w:rsid w:val="4BB033BA"/>
    <w:rsid w:val="4BB469AD"/>
    <w:rsid w:val="4BC06040"/>
    <w:rsid w:val="4BC66ACD"/>
    <w:rsid w:val="4BCF5981"/>
    <w:rsid w:val="4BD846DB"/>
    <w:rsid w:val="4BDF7466"/>
    <w:rsid w:val="4BF441D2"/>
    <w:rsid w:val="4C03387D"/>
    <w:rsid w:val="4C080E93"/>
    <w:rsid w:val="4C1C2A09"/>
    <w:rsid w:val="4C284AD9"/>
    <w:rsid w:val="4C423098"/>
    <w:rsid w:val="4C5C2F8D"/>
    <w:rsid w:val="4C612351"/>
    <w:rsid w:val="4C694192"/>
    <w:rsid w:val="4C7964D9"/>
    <w:rsid w:val="4C8C5620"/>
    <w:rsid w:val="4C9269F6"/>
    <w:rsid w:val="4C9B1D07"/>
    <w:rsid w:val="4CB75F07"/>
    <w:rsid w:val="4CC84335"/>
    <w:rsid w:val="4CD22B0F"/>
    <w:rsid w:val="4CD40D75"/>
    <w:rsid w:val="4CDA3E72"/>
    <w:rsid w:val="4CE4545C"/>
    <w:rsid w:val="4CE9350A"/>
    <w:rsid w:val="4D014937"/>
    <w:rsid w:val="4D156927"/>
    <w:rsid w:val="4D16138E"/>
    <w:rsid w:val="4D1E2466"/>
    <w:rsid w:val="4D225F85"/>
    <w:rsid w:val="4D297BF3"/>
    <w:rsid w:val="4D2B4E39"/>
    <w:rsid w:val="4D2D0EAF"/>
    <w:rsid w:val="4D64659D"/>
    <w:rsid w:val="4D6640C3"/>
    <w:rsid w:val="4D795A49"/>
    <w:rsid w:val="4D7F0082"/>
    <w:rsid w:val="4D952FD9"/>
    <w:rsid w:val="4D9549A9"/>
    <w:rsid w:val="4D970662"/>
    <w:rsid w:val="4D9A1FBF"/>
    <w:rsid w:val="4D9F40B3"/>
    <w:rsid w:val="4DB33393"/>
    <w:rsid w:val="4DBA7F6B"/>
    <w:rsid w:val="4DBC3CE3"/>
    <w:rsid w:val="4DCB51C5"/>
    <w:rsid w:val="4DCF1E0D"/>
    <w:rsid w:val="4DD21759"/>
    <w:rsid w:val="4DD632D9"/>
    <w:rsid w:val="4DE05D9E"/>
    <w:rsid w:val="4DE05DF9"/>
    <w:rsid w:val="4DE44800"/>
    <w:rsid w:val="4DE80F7C"/>
    <w:rsid w:val="4DEE0709"/>
    <w:rsid w:val="4DF26A56"/>
    <w:rsid w:val="4DF47921"/>
    <w:rsid w:val="4DF72F6D"/>
    <w:rsid w:val="4DFC14EA"/>
    <w:rsid w:val="4DFF1E22"/>
    <w:rsid w:val="4DFF6815"/>
    <w:rsid w:val="4E077249"/>
    <w:rsid w:val="4E0A3427"/>
    <w:rsid w:val="4E124B64"/>
    <w:rsid w:val="4E2423AC"/>
    <w:rsid w:val="4E261AA5"/>
    <w:rsid w:val="4E287F63"/>
    <w:rsid w:val="4E304B5D"/>
    <w:rsid w:val="4E3F66C2"/>
    <w:rsid w:val="4E451F2B"/>
    <w:rsid w:val="4E597784"/>
    <w:rsid w:val="4E611B8B"/>
    <w:rsid w:val="4E6279D7"/>
    <w:rsid w:val="4E682F8C"/>
    <w:rsid w:val="4E6A7BB7"/>
    <w:rsid w:val="4E6C5D89"/>
    <w:rsid w:val="4E9133C2"/>
    <w:rsid w:val="4EB23220"/>
    <w:rsid w:val="4EDD2163"/>
    <w:rsid w:val="4EE661F8"/>
    <w:rsid w:val="4EF27A04"/>
    <w:rsid w:val="4F0773B4"/>
    <w:rsid w:val="4F1813ED"/>
    <w:rsid w:val="4F196F13"/>
    <w:rsid w:val="4F241019"/>
    <w:rsid w:val="4F307BB1"/>
    <w:rsid w:val="4F336227"/>
    <w:rsid w:val="4F3C3EF2"/>
    <w:rsid w:val="4F3D562D"/>
    <w:rsid w:val="4F5148FF"/>
    <w:rsid w:val="4F5C4EE0"/>
    <w:rsid w:val="4F5D14F6"/>
    <w:rsid w:val="4F681AF1"/>
    <w:rsid w:val="4F6E1972"/>
    <w:rsid w:val="4F943166"/>
    <w:rsid w:val="4F9C19A5"/>
    <w:rsid w:val="4FA15887"/>
    <w:rsid w:val="4FBA02A1"/>
    <w:rsid w:val="4FCB3ED2"/>
    <w:rsid w:val="4FE7106E"/>
    <w:rsid w:val="4FF82FCD"/>
    <w:rsid w:val="4FFE0FFF"/>
    <w:rsid w:val="50053943"/>
    <w:rsid w:val="50260569"/>
    <w:rsid w:val="50374A3C"/>
    <w:rsid w:val="50487AB0"/>
    <w:rsid w:val="50550E55"/>
    <w:rsid w:val="506B379F"/>
    <w:rsid w:val="507524A6"/>
    <w:rsid w:val="507E7F6A"/>
    <w:rsid w:val="50901457"/>
    <w:rsid w:val="509F43E4"/>
    <w:rsid w:val="50A54D3E"/>
    <w:rsid w:val="50B82E88"/>
    <w:rsid w:val="50BB32A7"/>
    <w:rsid w:val="50CA4969"/>
    <w:rsid w:val="50CC5CB2"/>
    <w:rsid w:val="50F1402B"/>
    <w:rsid w:val="50FD2AD9"/>
    <w:rsid w:val="51081E85"/>
    <w:rsid w:val="51097D9A"/>
    <w:rsid w:val="511A650F"/>
    <w:rsid w:val="51237D2E"/>
    <w:rsid w:val="515B06D0"/>
    <w:rsid w:val="517276B9"/>
    <w:rsid w:val="51764AF1"/>
    <w:rsid w:val="51996737"/>
    <w:rsid w:val="51B408B8"/>
    <w:rsid w:val="51B80848"/>
    <w:rsid w:val="51CC0868"/>
    <w:rsid w:val="51CC7481"/>
    <w:rsid w:val="51D5340F"/>
    <w:rsid w:val="520E4D2A"/>
    <w:rsid w:val="52171E30"/>
    <w:rsid w:val="52287B99"/>
    <w:rsid w:val="522E717A"/>
    <w:rsid w:val="52382F2A"/>
    <w:rsid w:val="52386E3D"/>
    <w:rsid w:val="523A7DD1"/>
    <w:rsid w:val="523B7711"/>
    <w:rsid w:val="523E560F"/>
    <w:rsid w:val="52495D62"/>
    <w:rsid w:val="5271774C"/>
    <w:rsid w:val="527A416D"/>
    <w:rsid w:val="527F1783"/>
    <w:rsid w:val="528D7B65"/>
    <w:rsid w:val="52AA11D3"/>
    <w:rsid w:val="52DE008D"/>
    <w:rsid w:val="52ED2B91"/>
    <w:rsid w:val="52EE341E"/>
    <w:rsid w:val="52F37FE6"/>
    <w:rsid w:val="52FC1CAF"/>
    <w:rsid w:val="52FE08FA"/>
    <w:rsid w:val="52FF22FE"/>
    <w:rsid w:val="530009DE"/>
    <w:rsid w:val="53004672"/>
    <w:rsid w:val="530B071F"/>
    <w:rsid w:val="53146370"/>
    <w:rsid w:val="531A330F"/>
    <w:rsid w:val="532B6CAF"/>
    <w:rsid w:val="53350D91"/>
    <w:rsid w:val="53407165"/>
    <w:rsid w:val="53412644"/>
    <w:rsid w:val="53433903"/>
    <w:rsid w:val="53517A72"/>
    <w:rsid w:val="535A51E8"/>
    <w:rsid w:val="5361549D"/>
    <w:rsid w:val="536220DA"/>
    <w:rsid w:val="53650637"/>
    <w:rsid w:val="536A5F90"/>
    <w:rsid w:val="53715570"/>
    <w:rsid w:val="537155BE"/>
    <w:rsid w:val="53757C6B"/>
    <w:rsid w:val="537E1075"/>
    <w:rsid w:val="53835884"/>
    <w:rsid w:val="539A4AC7"/>
    <w:rsid w:val="53A2397B"/>
    <w:rsid w:val="53A44D07"/>
    <w:rsid w:val="53A46AC8"/>
    <w:rsid w:val="53AB7F1F"/>
    <w:rsid w:val="53AC6F7B"/>
    <w:rsid w:val="53C01F4F"/>
    <w:rsid w:val="53EB297B"/>
    <w:rsid w:val="53EC4BF7"/>
    <w:rsid w:val="53F671DE"/>
    <w:rsid w:val="53F758A1"/>
    <w:rsid w:val="540D5A7F"/>
    <w:rsid w:val="542E2BC2"/>
    <w:rsid w:val="54352A96"/>
    <w:rsid w:val="543C5B7E"/>
    <w:rsid w:val="54447390"/>
    <w:rsid w:val="54484523"/>
    <w:rsid w:val="544B514D"/>
    <w:rsid w:val="545E1D01"/>
    <w:rsid w:val="54674051"/>
    <w:rsid w:val="54935B8F"/>
    <w:rsid w:val="549D3677"/>
    <w:rsid w:val="54A87049"/>
    <w:rsid w:val="54B03E76"/>
    <w:rsid w:val="54B24092"/>
    <w:rsid w:val="54BF230B"/>
    <w:rsid w:val="54CC6227"/>
    <w:rsid w:val="54D10F9B"/>
    <w:rsid w:val="54D97871"/>
    <w:rsid w:val="54E12281"/>
    <w:rsid w:val="54FA5454"/>
    <w:rsid w:val="550B5550"/>
    <w:rsid w:val="551D586C"/>
    <w:rsid w:val="55200298"/>
    <w:rsid w:val="55335E1B"/>
    <w:rsid w:val="5536079B"/>
    <w:rsid w:val="554B7EF0"/>
    <w:rsid w:val="556E7FB9"/>
    <w:rsid w:val="556F3D99"/>
    <w:rsid w:val="55720837"/>
    <w:rsid w:val="55860894"/>
    <w:rsid w:val="558F6181"/>
    <w:rsid w:val="55B02DF1"/>
    <w:rsid w:val="55C7591B"/>
    <w:rsid w:val="55D47A00"/>
    <w:rsid w:val="55D5456D"/>
    <w:rsid w:val="55DC290C"/>
    <w:rsid w:val="55E71B19"/>
    <w:rsid w:val="55EA5D64"/>
    <w:rsid w:val="55F01FA1"/>
    <w:rsid w:val="55FC19B9"/>
    <w:rsid w:val="56130B60"/>
    <w:rsid w:val="56234F28"/>
    <w:rsid w:val="562C1C22"/>
    <w:rsid w:val="56302455"/>
    <w:rsid w:val="563344EC"/>
    <w:rsid w:val="56717635"/>
    <w:rsid w:val="56990B7C"/>
    <w:rsid w:val="569E1126"/>
    <w:rsid w:val="56A8690E"/>
    <w:rsid w:val="56AB7A29"/>
    <w:rsid w:val="56B679AB"/>
    <w:rsid w:val="56B80DEB"/>
    <w:rsid w:val="56BF4844"/>
    <w:rsid w:val="56D227CA"/>
    <w:rsid w:val="56E0560F"/>
    <w:rsid w:val="56E06E61"/>
    <w:rsid w:val="56EF3C74"/>
    <w:rsid w:val="56F653FE"/>
    <w:rsid w:val="56FA762A"/>
    <w:rsid w:val="57007337"/>
    <w:rsid w:val="57342B3C"/>
    <w:rsid w:val="574448FC"/>
    <w:rsid w:val="57561D39"/>
    <w:rsid w:val="575B7AFD"/>
    <w:rsid w:val="575C35DF"/>
    <w:rsid w:val="575F3C6D"/>
    <w:rsid w:val="57660D3F"/>
    <w:rsid w:val="5785783C"/>
    <w:rsid w:val="578F06BB"/>
    <w:rsid w:val="57CC0FC7"/>
    <w:rsid w:val="57CC4BC2"/>
    <w:rsid w:val="57D10760"/>
    <w:rsid w:val="57D1153D"/>
    <w:rsid w:val="57D77297"/>
    <w:rsid w:val="57FA3774"/>
    <w:rsid w:val="58084A3C"/>
    <w:rsid w:val="581F559B"/>
    <w:rsid w:val="582772A7"/>
    <w:rsid w:val="582A3F3F"/>
    <w:rsid w:val="5847689F"/>
    <w:rsid w:val="58531B77"/>
    <w:rsid w:val="585D2975"/>
    <w:rsid w:val="585E3492"/>
    <w:rsid w:val="585F64F9"/>
    <w:rsid w:val="586E3E23"/>
    <w:rsid w:val="587E3341"/>
    <w:rsid w:val="587F428B"/>
    <w:rsid w:val="58843A9C"/>
    <w:rsid w:val="58953AAF"/>
    <w:rsid w:val="58B31855"/>
    <w:rsid w:val="58CE0D6F"/>
    <w:rsid w:val="58CF56D8"/>
    <w:rsid w:val="58D26AB1"/>
    <w:rsid w:val="58D31010"/>
    <w:rsid w:val="58D6741E"/>
    <w:rsid w:val="58D72549"/>
    <w:rsid w:val="58DA7789"/>
    <w:rsid w:val="58DB0535"/>
    <w:rsid w:val="58E14F46"/>
    <w:rsid w:val="58E467E4"/>
    <w:rsid w:val="58E62E0E"/>
    <w:rsid w:val="58EA3D0E"/>
    <w:rsid w:val="58F24A5D"/>
    <w:rsid w:val="58F71269"/>
    <w:rsid w:val="58FE045E"/>
    <w:rsid w:val="58FE78A6"/>
    <w:rsid w:val="59014CEF"/>
    <w:rsid w:val="59017396"/>
    <w:rsid w:val="59050C34"/>
    <w:rsid w:val="59561946"/>
    <w:rsid w:val="595C45CC"/>
    <w:rsid w:val="59670F51"/>
    <w:rsid w:val="596A44F9"/>
    <w:rsid w:val="596C19BB"/>
    <w:rsid w:val="596F4300"/>
    <w:rsid w:val="59790BDB"/>
    <w:rsid w:val="597E3F42"/>
    <w:rsid w:val="598653AC"/>
    <w:rsid w:val="5999137D"/>
    <w:rsid w:val="59AC3C86"/>
    <w:rsid w:val="59B368E2"/>
    <w:rsid w:val="59B817D3"/>
    <w:rsid w:val="59C11856"/>
    <w:rsid w:val="59C153AB"/>
    <w:rsid w:val="59D423B5"/>
    <w:rsid w:val="59D42FDA"/>
    <w:rsid w:val="59DA4E01"/>
    <w:rsid w:val="59E3160A"/>
    <w:rsid w:val="59F334C8"/>
    <w:rsid w:val="59F64E82"/>
    <w:rsid w:val="5A0A5DD6"/>
    <w:rsid w:val="5A10435C"/>
    <w:rsid w:val="5A2654CC"/>
    <w:rsid w:val="5A323A44"/>
    <w:rsid w:val="5A395E66"/>
    <w:rsid w:val="5A476FBE"/>
    <w:rsid w:val="5A484352"/>
    <w:rsid w:val="5A4B5B6F"/>
    <w:rsid w:val="5A5321A5"/>
    <w:rsid w:val="5A701460"/>
    <w:rsid w:val="5A783688"/>
    <w:rsid w:val="5A8734AF"/>
    <w:rsid w:val="5A9D3E45"/>
    <w:rsid w:val="5AA4101D"/>
    <w:rsid w:val="5AB17576"/>
    <w:rsid w:val="5ABA59C8"/>
    <w:rsid w:val="5ABD68E6"/>
    <w:rsid w:val="5ABF73D2"/>
    <w:rsid w:val="5ACB3D8A"/>
    <w:rsid w:val="5ACE32A8"/>
    <w:rsid w:val="5AE12FDB"/>
    <w:rsid w:val="5AE1508F"/>
    <w:rsid w:val="5AF80256"/>
    <w:rsid w:val="5AFC7E15"/>
    <w:rsid w:val="5B110CC9"/>
    <w:rsid w:val="5B136165"/>
    <w:rsid w:val="5B1851F5"/>
    <w:rsid w:val="5B1F7B5D"/>
    <w:rsid w:val="5B3F7D02"/>
    <w:rsid w:val="5B585171"/>
    <w:rsid w:val="5B585B78"/>
    <w:rsid w:val="5B6D62B9"/>
    <w:rsid w:val="5B7420A1"/>
    <w:rsid w:val="5B746CFA"/>
    <w:rsid w:val="5B9A2B59"/>
    <w:rsid w:val="5BA652E6"/>
    <w:rsid w:val="5BC0085A"/>
    <w:rsid w:val="5BDE751B"/>
    <w:rsid w:val="5BE03293"/>
    <w:rsid w:val="5BF03D58"/>
    <w:rsid w:val="5BF20AFB"/>
    <w:rsid w:val="5BF31218"/>
    <w:rsid w:val="5BFE196B"/>
    <w:rsid w:val="5C1A6BB2"/>
    <w:rsid w:val="5C292E8C"/>
    <w:rsid w:val="5C2A2760"/>
    <w:rsid w:val="5C306D31"/>
    <w:rsid w:val="5C37233A"/>
    <w:rsid w:val="5C5355FE"/>
    <w:rsid w:val="5C5A49A5"/>
    <w:rsid w:val="5C6519EA"/>
    <w:rsid w:val="5C6715FE"/>
    <w:rsid w:val="5C6F4105"/>
    <w:rsid w:val="5C7B745F"/>
    <w:rsid w:val="5C874B51"/>
    <w:rsid w:val="5C936557"/>
    <w:rsid w:val="5CB309A7"/>
    <w:rsid w:val="5CBB7F6F"/>
    <w:rsid w:val="5CC248CE"/>
    <w:rsid w:val="5CF060E8"/>
    <w:rsid w:val="5D042FB1"/>
    <w:rsid w:val="5D080CF3"/>
    <w:rsid w:val="5D26561D"/>
    <w:rsid w:val="5D3A4C25"/>
    <w:rsid w:val="5D442CB4"/>
    <w:rsid w:val="5D7869AF"/>
    <w:rsid w:val="5D7C3F11"/>
    <w:rsid w:val="5D971C5A"/>
    <w:rsid w:val="5D9D49E0"/>
    <w:rsid w:val="5DA01E9E"/>
    <w:rsid w:val="5DAD3649"/>
    <w:rsid w:val="5DC310BE"/>
    <w:rsid w:val="5DCC7F73"/>
    <w:rsid w:val="5DD21301"/>
    <w:rsid w:val="5DDF1821"/>
    <w:rsid w:val="5DE2656A"/>
    <w:rsid w:val="5DEA2F91"/>
    <w:rsid w:val="5DF94AE0"/>
    <w:rsid w:val="5DFA5883"/>
    <w:rsid w:val="5E224037"/>
    <w:rsid w:val="5E31427A"/>
    <w:rsid w:val="5E3146A3"/>
    <w:rsid w:val="5E442F62"/>
    <w:rsid w:val="5E6C2C5B"/>
    <w:rsid w:val="5E6E2DD8"/>
    <w:rsid w:val="5E7251A2"/>
    <w:rsid w:val="5E785A05"/>
    <w:rsid w:val="5E7C3591"/>
    <w:rsid w:val="5E9842F9"/>
    <w:rsid w:val="5E9B5B97"/>
    <w:rsid w:val="5E9D0E18"/>
    <w:rsid w:val="5EA26F25"/>
    <w:rsid w:val="5EA341D7"/>
    <w:rsid w:val="5EA755DE"/>
    <w:rsid w:val="5EAE7678"/>
    <w:rsid w:val="5EB36A3D"/>
    <w:rsid w:val="5ED35F0E"/>
    <w:rsid w:val="5EDF7832"/>
    <w:rsid w:val="5EFC1390"/>
    <w:rsid w:val="5EFC3EB6"/>
    <w:rsid w:val="5EFD5F0A"/>
    <w:rsid w:val="5F03335D"/>
    <w:rsid w:val="5F0368C7"/>
    <w:rsid w:val="5F1544E7"/>
    <w:rsid w:val="5F197EE8"/>
    <w:rsid w:val="5F304531"/>
    <w:rsid w:val="5F312D8D"/>
    <w:rsid w:val="5F3C4923"/>
    <w:rsid w:val="5F4050DC"/>
    <w:rsid w:val="5F4160B0"/>
    <w:rsid w:val="5F5A7800"/>
    <w:rsid w:val="5F6368E9"/>
    <w:rsid w:val="5F7811D3"/>
    <w:rsid w:val="5F7E30C9"/>
    <w:rsid w:val="5F8108E9"/>
    <w:rsid w:val="5F9A65E6"/>
    <w:rsid w:val="5F9B2627"/>
    <w:rsid w:val="5FA66B60"/>
    <w:rsid w:val="5FAC7B1F"/>
    <w:rsid w:val="5FB5266F"/>
    <w:rsid w:val="5FB80E3D"/>
    <w:rsid w:val="5FB831B4"/>
    <w:rsid w:val="5FBE38EB"/>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6C79D7"/>
    <w:rsid w:val="607A77D8"/>
    <w:rsid w:val="607B3C50"/>
    <w:rsid w:val="608B6567"/>
    <w:rsid w:val="60902A4E"/>
    <w:rsid w:val="60AA3E6F"/>
    <w:rsid w:val="60D84E80"/>
    <w:rsid w:val="60FF21D9"/>
    <w:rsid w:val="610C0686"/>
    <w:rsid w:val="611E37D0"/>
    <w:rsid w:val="612C6F7A"/>
    <w:rsid w:val="61300818"/>
    <w:rsid w:val="613021B3"/>
    <w:rsid w:val="61306A6A"/>
    <w:rsid w:val="6131633F"/>
    <w:rsid w:val="613253FD"/>
    <w:rsid w:val="61421F29"/>
    <w:rsid w:val="61637D56"/>
    <w:rsid w:val="61712185"/>
    <w:rsid w:val="618B1EF3"/>
    <w:rsid w:val="618B7207"/>
    <w:rsid w:val="61907E69"/>
    <w:rsid w:val="61994610"/>
    <w:rsid w:val="61A90D68"/>
    <w:rsid w:val="61B43A15"/>
    <w:rsid w:val="61B825BC"/>
    <w:rsid w:val="61DA0425"/>
    <w:rsid w:val="61F63AED"/>
    <w:rsid w:val="62065A1D"/>
    <w:rsid w:val="6213792C"/>
    <w:rsid w:val="621775E2"/>
    <w:rsid w:val="621C0D9D"/>
    <w:rsid w:val="622F7552"/>
    <w:rsid w:val="62467BC8"/>
    <w:rsid w:val="6250406E"/>
    <w:rsid w:val="6267666C"/>
    <w:rsid w:val="62724E61"/>
    <w:rsid w:val="627D6831"/>
    <w:rsid w:val="62811B1C"/>
    <w:rsid w:val="628C7CD0"/>
    <w:rsid w:val="6299063F"/>
    <w:rsid w:val="629B7F14"/>
    <w:rsid w:val="62A20409"/>
    <w:rsid w:val="62A56FE4"/>
    <w:rsid w:val="62AE40EB"/>
    <w:rsid w:val="62B54B44"/>
    <w:rsid w:val="62B92A90"/>
    <w:rsid w:val="62DD052C"/>
    <w:rsid w:val="62E045DA"/>
    <w:rsid w:val="62E454A1"/>
    <w:rsid w:val="62E775FD"/>
    <w:rsid w:val="62E95123"/>
    <w:rsid w:val="62EF025F"/>
    <w:rsid w:val="62F36E4C"/>
    <w:rsid w:val="62F47F8F"/>
    <w:rsid w:val="62F7233F"/>
    <w:rsid w:val="631D4DCC"/>
    <w:rsid w:val="631F3FB4"/>
    <w:rsid w:val="63273E9D"/>
    <w:rsid w:val="63364F75"/>
    <w:rsid w:val="6340438B"/>
    <w:rsid w:val="63471E49"/>
    <w:rsid w:val="6353238E"/>
    <w:rsid w:val="63612AB8"/>
    <w:rsid w:val="63640C4D"/>
    <w:rsid w:val="636E73D6"/>
    <w:rsid w:val="6379289B"/>
    <w:rsid w:val="637D0978"/>
    <w:rsid w:val="638906B4"/>
    <w:rsid w:val="638968B0"/>
    <w:rsid w:val="638A282C"/>
    <w:rsid w:val="63901A42"/>
    <w:rsid w:val="6393508F"/>
    <w:rsid w:val="639A3568"/>
    <w:rsid w:val="63A159FD"/>
    <w:rsid w:val="63A75341"/>
    <w:rsid w:val="63A85E90"/>
    <w:rsid w:val="63A962DB"/>
    <w:rsid w:val="63AB1A91"/>
    <w:rsid w:val="63B75221"/>
    <w:rsid w:val="63B82D47"/>
    <w:rsid w:val="63C74D38"/>
    <w:rsid w:val="63EA73A4"/>
    <w:rsid w:val="63EE4692"/>
    <w:rsid w:val="63FD622D"/>
    <w:rsid w:val="64177A6E"/>
    <w:rsid w:val="641B7951"/>
    <w:rsid w:val="643F32F9"/>
    <w:rsid w:val="64582686"/>
    <w:rsid w:val="64673C87"/>
    <w:rsid w:val="646A2293"/>
    <w:rsid w:val="646C5FB1"/>
    <w:rsid w:val="64877733"/>
    <w:rsid w:val="64925346"/>
    <w:rsid w:val="64A170D2"/>
    <w:rsid w:val="64A251DD"/>
    <w:rsid w:val="64B654D9"/>
    <w:rsid w:val="64BC182A"/>
    <w:rsid w:val="650242F0"/>
    <w:rsid w:val="65365B2B"/>
    <w:rsid w:val="653F447E"/>
    <w:rsid w:val="65542778"/>
    <w:rsid w:val="65566374"/>
    <w:rsid w:val="655829AF"/>
    <w:rsid w:val="656B70C3"/>
    <w:rsid w:val="658E1FB1"/>
    <w:rsid w:val="658F4798"/>
    <w:rsid w:val="65907AD8"/>
    <w:rsid w:val="659B1EBA"/>
    <w:rsid w:val="65A11CE5"/>
    <w:rsid w:val="65A83379"/>
    <w:rsid w:val="65AB2B63"/>
    <w:rsid w:val="65B31A18"/>
    <w:rsid w:val="65B461E9"/>
    <w:rsid w:val="65BE39A8"/>
    <w:rsid w:val="65C23A09"/>
    <w:rsid w:val="65FB3FBE"/>
    <w:rsid w:val="66101A71"/>
    <w:rsid w:val="66171FA7"/>
    <w:rsid w:val="66247D11"/>
    <w:rsid w:val="662B5A52"/>
    <w:rsid w:val="663B3EC9"/>
    <w:rsid w:val="665A1E94"/>
    <w:rsid w:val="66736112"/>
    <w:rsid w:val="667F5B5B"/>
    <w:rsid w:val="668F1B3D"/>
    <w:rsid w:val="66911D59"/>
    <w:rsid w:val="6694262A"/>
    <w:rsid w:val="66990381"/>
    <w:rsid w:val="66996E60"/>
    <w:rsid w:val="669A3B31"/>
    <w:rsid w:val="66A573FC"/>
    <w:rsid w:val="66B31B01"/>
    <w:rsid w:val="66CE1E80"/>
    <w:rsid w:val="66DB2FD4"/>
    <w:rsid w:val="66E362F9"/>
    <w:rsid w:val="66E47FD9"/>
    <w:rsid w:val="66E520A5"/>
    <w:rsid w:val="66F04175"/>
    <w:rsid w:val="66F127F8"/>
    <w:rsid w:val="66F95B50"/>
    <w:rsid w:val="67071922"/>
    <w:rsid w:val="673B73C0"/>
    <w:rsid w:val="674743C8"/>
    <w:rsid w:val="675608B6"/>
    <w:rsid w:val="67754402"/>
    <w:rsid w:val="677D54ED"/>
    <w:rsid w:val="678B726C"/>
    <w:rsid w:val="679D472E"/>
    <w:rsid w:val="679E40A4"/>
    <w:rsid w:val="67B25E27"/>
    <w:rsid w:val="67B4646D"/>
    <w:rsid w:val="67B464CA"/>
    <w:rsid w:val="67C4383B"/>
    <w:rsid w:val="67CE0D8B"/>
    <w:rsid w:val="67D35E1A"/>
    <w:rsid w:val="67D5211A"/>
    <w:rsid w:val="67D839B8"/>
    <w:rsid w:val="67EE4F89"/>
    <w:rsid w:val="67F35317"/>
    <w:rsid w:val="67F73E3E"/>
    <w:rsid w:val="68016A6B"/>
    <w:rsid w:val="680201B7"/>
    <w:rsid w:val="68040309"/>
    <w:rsid w:val="68060525"/>
    <w:rsid w:val="68103152"/>
    <w:rsid w:val="682E35D8"/>
    <w:rsid w:val="68362BFB"/>
    <w:rsid w:val="683D085A"/>
    <w:rsid w:val="683F1130"/>
    <w:rsid w:val="684456A1"/>
    <w:rsid w:val="684D3A5E"/>
    <w:rsid w:val="68573C08"/>
    <w:rsid w:val="685C1EF3"/>
    <w:rsid w:val="685E1363"/>
    <w:rsid w:val="687731D1"/>
    <w:rsid w:val="6878475E"/>
    <w:rsid w:val="687B7594"/>
    <w:rsid w:val="688E1089"/>
    <w:rsid w:val="689005C2"/>
    <w:rsid w:val="68993219"/>
    <w:rsid w:val="689E42BA"/>
    <w:rsid w:val="68A026F3"/>
    <w:rsid w:val="68AD6BF3"/>
    <w:rsid w:val="68AF6C13"/>
    <w:rsid w:val="68C77CB4"/>
    <w:rsid w:val="68D73C6F"/>
    <w:rsid w:val="68F25680"/>
    <w:rsid w:val="69074555"/>
    <w:rsid w:val="690E07C7"/>
    <w:rsid w:val="69140A20"/>
    <w:rsid w:val="69236A65"/>
    <w:rsid w:val="692E469B"/>
    <w:rsid w:val="69315C48"/>
    <w:rsid w:val="693C3AD3"/>
    <w:rsid w:val="694019EC"/>
    <w:rsid w:val="694841AF"/>
    <w:rsid w:val="69584DB4"/>
    <w:rsid w:val="695B5B89"/>
    <w:rsid w:val="695D5F23"/>
    <w:rsid w:val="6968512E"/>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61FEB"/>
    <w:rsid w:val="6A7903E5"/>
    <w:rsid w:val="6A8219B9"/>
    <w:rsid w:val="6A8641F2"/>
    <w:rsid w:val="6A9701A5"/>
    <w:rsid w:val="6AA03032"/>
    <w:rsid w:val="6AA86FEC"/>
    <w:rsid w:val="6AC67AF8"/>
    <w:rsid w:val="6ACB20F7"/>
    <w:rsid w:val="6AD37EE9"/>
    <w:rsid w:val="6ADA6AC4"/>
    <w:rsid w:val="6ADB11D6"/>
    <w:rsid w:val="6ADF0BB9"/>
    <w:rsid w:val="6AE83F12"/>
    <w:rsid w:val="6AEA1A38"/>
    <w:rsid w:val="6B1A2C3C"/>
    <w:rsid w:val="6B1B42E7"/>
    <w:rsid w:val="6B221F4E"/>
    <w:rsid w:val="6B31644D"/>
    <w:rsid w:val="6B486C86"/>
    <w:rsid w:val="6B4C0C2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BFD39ED"/>
    <w:rsid w:val="6C053C7D"/>
    <w:rsid w:val="6C0D357A"/>
    <w:rsid w:val="6C197958"/>
    <w:rsid w:val="6C2076DB"/>
    <w:rsid w:val="6C234DED"/>
    <w:rsid w:val="6C276CBC"/>
    <w:rsid w:val="6C29198B"/>
    <w:rsid w:val="6C3A67D1"/>
    <w:rsid w:val="6C3D2157"/>
    <w:rsid w:val="6C3D2D5C"/>
    <w:rsid w:val="6C411B2C"/>
    <w:rsid w:val="6C4800AA"/>
    <w:rsid w:val="6C4C2BE5"/>
    <w:rsid w:val="6C4D28F8"/>
    <w:rsid w:val="6C573E9C"/>
    <w:rsid w:val="6C5C23DC"/>
    <w:rsid w:val="6C6920F9"/>
    <w:rsid w:val="6C6D1126"/>
    <w:rsid w:val="6C7A6DEC"/>
    <w:rsid w:val="6C986334"/>
    <w:rsid w:val="6C9E6F7E"/>
    <w:rsid w:val="6CA35B3A"/>
    <w:rsid w:val="6CA41A5D"/>
    <w:rsid w:val="6CA479DF"/>
    <w:rsid w:val="6CAF588C"/>
    <w:rsid w:val="6CB4638E"/>
    <w:rsid w:val="6CBF3C6A"/>
    <w:rsid w:val="6CBF5306"/>
    <w:rsid w:val="6CD930DF"/>
    <w:rsid w:val="6CDC1854"/>
    <w:rsid w:val="6CE70FA1"/>
    <w:rsid w:val="6CF05300"/>
    <w:rsid w:val="6CFA6351"/>
    <w:rsid w:val="6CFC3C40"/>
    <w:rsid w:val="6D2F6F7D"/>
    <w:rsid w:val="6D325918"/>
    <w:rsid w:val="6D341690"/>
    <w:rsid w:val="6D480984"/>
    <w:rsid w:val="6D68612B"/>
    <w:rsid w:val="6D8079F9"/>
    <w:rsid w:val="6D8A5754"/>
    <w:rsid w:val="6DB13E57"/>
    <w:rsid w:val="6DBE71AC"/>
    <w:rsid w:val="6DC245A2"/>
    <w:rsid w:val="6DC71662"/>
    <w:rsid w:val="6DCD5126"/>
    <w:rsid w:val="6DDB6CB0"/>
    <w:rsid w:val="6DDE269F"/>
    <w:rsid w:val="6DE21877"/>
    <w:rsid w:val="6DE52ACD"/>
    <w:rsid w:val="6DF36E56"/>
    <w:rsid w:val="6DFC0B44"/>
    <w:rsid w:val="6E0458E7"/>
    <w:rsid w:val="6E212037"/>
    <w:rsid w:val="6E263D90"/>
    <w:rsid w:val="6E3B221B"/>
    <w:rsid w:val="6E475779"/>
    <w:rsid w:val="6E51424D"/>
    <w:rsid w:val="6E5D700D"/>
    <w:rsid w:val="6E663C68"/>
    <w:rsid w:val="6E6A3D7F"/>
    <w:rsid w:val="6E7764EF"/>
    <w:rsid w:val="6E8403F6"/>
    <w:rsid w:val="6E963C85"/>
    <w:rsid w:val="6EA6211A"/>
    <w:rsid w:val="6EAD447C"/>
    <w:rsid w:val="6EAE5472"/>
    <w:rsid w:val="6EBC069A"/>
    <w:rsid w:val="6EBE7228"/>
    <w:rsid w:val="6ECD7F59"/>
    <w:rsid w:val="6ECF449B"/>
    <w:rsid w:val="6ED36C87"/>
    <w:rsid w:val="6ED975CA"/>
    <w:rsid w:val="6EED7C80"/>
    <w:rsid w:val="6EF773A4"/>
    <w:rsid w:val="6F1B60C3"/>
    <w:rsid w:val="6F1E2E65"/>
    <w:rsid w:val="6F2F2D9E"/>
    <w:rsid w:val="6F343BCA"/>
    <w:rsid w:val="6F4147D9"/>
    <w:rsid w:val="6F581F47"/>
    <w:rsid w:val="6F5B0D5A"/>
    <w:rsid w:val="6F5C35EA"/>
    <w:rsid w:val="6F6B6A15"/>
    <w:rsid w:val="6F743FC6"/>
    <w:rsid w:val="6F7C10CD"/>
    <w:rsid w:val="6F7C731F"/>
    <w:rsid w:val="6F947E4B"/>
    <w:rsid w:val="6FA30BDA"/>
    <w:rsid w:val="6FB21D4C"/>
    <w:rsid w:val="6FB80698"/>
    <w:rsid w:val="6FBB7E47"/>
    <w:rsid w:val="6FD40F09"/>
    <w:rsid w:val="6FFD5E0F"/>
    <w:rsid w:val="701021F4"/>
    <w:rsid w:val="701C29A6"/>
    <w:rsid w:val="701F1878"/>
    <w:rsid w:val="7024611F"/>
    <w:rsid w:val="7038498C"/>
    <w:rsid w:val="70637B96"/>
    <w:rsid w:val="70761FC0"/>
    <w:rsid w:val="70797317"/>
    <w:rsid w:val="707E201F"/>
    <w:rsid w:val="7099044B"/>
    <w:rsid w:val="709A06E1"/>
    <w:rsid w:val="709D518F"/>
    <w:rsid w:val="70A26911"/>
    <w:rsid w:val="70A71BC5"/>
    <w:rsid w:val="70B76860"/>
    <w:rsid w:val="70C759D3"/>
    <w:rsid w:val="70CD7E32"/>
    <w:rsid w:val="70CF2B23"/>
    <w:rsid w:val="70D6480D"/>
    <w:rsid w:val="70D70CB1"/>
    <w:rsid w:val="70D80585"/>
    <w:rsid w:val="70DA254F"/>
    <w:rsid w:val="70E2315F"/>
    <w:rsid w:val="70F25AEA"/>
    <w:rsid w:val="70FA674D"/>
    <w:rsid w:val="70FD7FEB"/>
    <w:rsid w:val="710952C1"/>
    <w:rsid w:val="71275C2B"/>
    <w:rsid w:val="713954C7"/>
    <w:rsid w:val="713F70AB"/>
    <w:rsid w:val="71452CD8"/>
    <w:rsid w:val="71583F2D"/>
    <w:rsid w:val="7158683A"/>
    <w:rsid w:val="71593474"/>
    <w:rsid w:val="715B2F52"/>
    <w:rsid w:val="7167680B"/>
    <w:rsid w:val="71764F23"/>
    <w:rsid w:val="71881188"/>
    <w:rsid w:val="718F158B"/>
    <w:rsid w:val="71946576"/>
    <w:rsid w:val="71967E84"/>
    <w:rsid w:val="7197629F"/>
    <w:rsid w:val="71A61873"/>
    <w:rsid w:val="71AF4936"/>
    <w:rsid w:val="71B12351"/>
    <w:rsid w:val="71BB4E1E"/>
    <w:rsid w:val="71C805F9"/>
    <w:rsid w:val="71D07496"/>
    <w:rsid w:val="71D75D0F"/>
    <w:rsid w:val="71F437A4"/>
    <w:rsid w:val="720E0702"/>
    <w:rsid w:val="720F34AF"/>
    <w:rsid w:val="721469FD"/>
    <w:rsid w:val="721919B3"/>
    <w:rsid w:val="721970A7"/>
    <w:rsid w:val="721A6098"/>
    <w:rsid w:val="721D18D3"/>
    <w:rsid w:val="72310D1A"/>
    <w:rsid w:val="72565C05"/>
    <w:rsid w:val="725D6B54"/>
    <w:rsid w:val="727644F9"/>
    <w:rsid w:val="727918F3"/>
    <w:rsid w:val="72986FA0"/>
    <w:rsid w:val="729D1A86"/>
    <w:rsid w:val="72A17C99"/>
    <w:rsid w:val="72A2709C"/>
    <w:rsid w:val="72A5093A"/>
    <w:rsid w:val="72AD7197"/>
    <w:rsid w:val="72AF6F7E"/>
    <w:rsid w:val="72BD2C86"/>
    <w:rsid w:val="72CD226C"/>
    <w:rsid w:val="72D032DD"/>
    <w:rsid w:val="72D27981"/>
    <w:rsid w:val="73047407"/>
    <w:rsid w:val="73047904"/>
    <w:rsid w:val="731A4E85"/>
    <w:rsid w:val="73253EFA"/>
    <w:rsid w:val="732D105C"/>
    <w:rsid w:val="732E6B82"/>
    <w:rsid w:val="73353A6C"/>
    <w:rsid w:val="73385516"/>
    <w:rsid w:val="734C1A6A"/>
    <w:rsid w:val="735663B7"/>
    <w:rsid w:val="735C5949"/>
    <w:rsid w:val="73671287"/>
    <w:rsid w:val="73676D32"/>
    <w:rsid w:val="73737DA5"/>
    <w:rsid w:val="73740A39"/>
    <w:rsid w:val="73783823"/>
    <w:rsid w:val="73840550"/>
    <w:rsid w:val="73887B3E"/>
    <w:rsid w:val="73892412"/>
    <w:rsid w:val="7399224D"/>
    <w:rsid w:val="73AF2114"/>
    <w:rsid w:val="73AF381F"/>
    <w:rsid w:val="73C848E1"/>
    <w:rsid w:val="73E159A2"/>
    <w:rsid w:val="73E96BCA"/>
    <w:rsid w:val="73EE4A6E"/>
    <w:rsid w:val="741048BC"/>
    <w:rsid w:val="742E78D4"/>
    <w:rsid w:val="74317498"/>
    <w:rsid w:val="74335A84"/>
    <w:rsid w:val="743A6A13"/>
    <w:rsid w:val="74676A28"/>
    <w:rsid w:val="746A0C2F"/>
    <w:rsid w:val="746A1E3C"/>
    <w:rsid w:val="747E40B6"/>
    <w:rsid w:val="7481790F"/>
    <w:rsid w:val="748A603A"/>
    <w:rsid w:val="74A43991"/>
    <w:rsid w:val="74AA2238"/>
    <w:rsid w:val="74AC3224"/>
    <w:rsid w:val="74B21065"/>
    <w:rsid w:val="74B77AD0"/>
    <w:rsid w:val="74BB2C83"/>
    <w:rsid w:val="74C33758"/>
    <w:rsid w:val="74C4779E"/>
    <w:rsid w:val="74D476FB"/>
    <w:rsid w:val="74D72451"/>
    <w:rsid w:val="74DE4E5F"/>
    <w:rsid w:val="74EB54AB"/>
    <w:rsid w:val="74F0689A"/>
    <w:rsid w:val="74FF6D43"/>
    <w:rsid w:val="750201A2"/>
    <w:rsid w:val="750E70AC"/>
    <w:rsid w:val="75137DDD"/>
    <w:rsid w:val="751A76AF"/>
    <w:rsid w:val="75241FEA"/>
    <w:rsid w:val="75250574"/>
    <w:rsid w:val="75306BE1"/>
    <w:rsid w:val="753649D0"/>
    <w:rsid w:val="75385F49"/>
    <w:rsid w:val="753A5986"/>
    <w:rsid w:val="754459E0"/>
    <w:rsid w:val="7550443E"/>
    <w:rsid w:val="755F0BCC"/>
    <w:rsid w:val="7561323F"/>
    <w:rsid w:val="756F17F9"/>
    <w:rsid w:val="757E5B9F"/>
    <w:rsid w:val="75825461"/>
    <w:rsid w:val="75907680"/>
    <w:rsid w:val="75916599"/>
    <w:rsid w:val="759926FC"/>
    <w:rsid w:val="75A24276"/>
    <w:rsid w:val="75AA231D"/>
    <w:rsid w:val="75AD6340"/>
    <w:rsid w:val="75D67789"/>
    <w:rsid w:val="75DC4D0C"/>
    <w:rsid w:val="75DF5F11"/>
    <w:rsid w:val="75E8633A"/>
    <w:rsid w:val="76360227"/>
    <w:rsid w:val="76393874"/>
    <w:rsid w:val="763F09AA"/>
    <w:rsid w:val="764F3FCC"/>
    <w:rsid w:val="7650339F"/>
    <w:rsid w:val="76603C9A"/>
    <w:rsid w:val="766823AB"/>
    <w:rsid w:val="766B00E5"/>
    <w:rsid w:val="76733229"/>
    <w:rsid w:val="76760624"/>
    <w:rsid w:val="76832D41"/>
    <w:rsid w:val="768B2C28"/>
    <w:rsid w:val="76960CC6"/>
    <w:rsid w:val="76AA29C3"/>
    <w:rsid w:val="76B850E0"/>
    <w:rsid w:val="76BB1CAB"/>
    <w:rsid w:val="76C04050"/>
    <w:rsid w:val="76C23869"/>
    <w:rsid w:val="76D67314"/>
    <w:rsid w:val="76E00193"/>
    <w:rsid w:val="76E3003A"/>
    <w:rsid w:val="76E65049"/>
    <w:rsid w:val="76FA74A7"/>
    <w:rsid w:val="77076007"/>
    <w:rsid w:val="770976EA"/>
    <w:rsid w:val="771A36A5"/>
    <w:rsid w:val="77413F7E"/>
    <w:rsid w:val="77464076"/>
    <w:rsid w:val="7758241F"/>
    <w:rsid w:val="77585F7B"/>
    <w:rsid w:val="777A7D22"/>
    <w:rsid w:val="777E28EC"/>
    <w:rsid w:val="77835654"/>
    <w:rsid w:val="7797109C"/>
    <w:rsid w:val="779A2A38"/>
    <w:rsid w:val="779C055E"/>
    <w:rsid w:val="77B4450A"/>
    <w:rsid w:val="77B46E73"/>
    <w:rsid w:val="77E37A12"/>
    <w:rsid w:val="77F42148"/>
    <w:rsid w:val="77FE3468"/>
    <w:rsid w:val="78126A72"/>
    <w:rsid w:val="781E71C5"/>
    <w:rsid w:val="78250553"/>
    <w:rsid w:val="782642CC"/>
    <w:rsid w:val="782D11B6"/>
    <w:rsid w:val="78373BF3"/>
    <w:rsid w:val="783B17B1"/>
    <w:rsid w:val="784E2046"/>
    <w:rsid w:val="78546F0C"/>
    <w:rsid w:val="78574515"/>
    <w:rsid w:val="786778FE"/>
    <w:rsid w:val="78830961"/>
    <w:rsid w:val="789D588A"/>
    <w:rsid w:val="78A43B6E"/>
    <w:rsid w:val="78B65E3A"/>
    <w:rsid w:val="78E0091E"/>
    <w:rsid w:val="78EE1C79"/>
    <w:rsid w:val="78F85605"/>
    <w:rsid w:val="78FA66FA"/>
    <w:rsid w:val="79053EE1"/>
    <w:rsid w:val="79265C73"/>
    <w:rsid w:val="79336ABC"/>
    <w:rsid w:val="79345B6A"/>
    <w:rsid w:val="79424F6E"/>
    <w:rsid w:val="795F3706"/>
    <w:rsid w:val="797239CC"/>
    <w:rsid w:val="797F0137"/>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992B33"/>
    <w:rsid w:val="7AA2343E"/>
    <w:rsid w:val="7ABE4C8F"/>
    <w:rsid w:val="7AD41DBD"/>
    <w:rsid w:val="7AD60EB8"/>
    <w:rsid w:val="7ADA73A4"/>
    <w:rsid w:val="7AE66B99"/>
    <w:rsid w:val="7AF34646"/>
    <w:rsid w:val="7AFE508C"/>
    <w:rsid w:val="7B0A3BCA"/>
    <w:rsid w:val="7B1C0EF4"/>
    <w:rsid w:val="7B2014A6"/>
    <w:rsid w:val="7B345AA9"/>
    <w:rsid w:val="7B4048C1"/>
    <w:rsid w:val="7B4C5DF7"/>
    <w:rsid w:val="7B73082F"/>
    <w:rsid w:val="7B7B492E"/>
    <w:rsid w:val="7B9A3D1D"/>
    <w:rsid w:val="7BA14395"/>
    <w:rsid w:val="7BAB6FC2"/>
    <w:rsid w:val="7BB46FBD"/>
    <w:rsid w:val="7BC462D5"/>
    <w:rsid w:val="7BC62E00"/>
    <w:rsid w:val="7BC73B55"/>
    <w:rsid w:val="7BCB5B3D"/>
    <w:rsid w:val="7BDC361F"/>
    <w:rsid w:val="7BDD6CE2"/>
    <w:rsid w:val="7BE35E2A"/>
    <w:rsid w:val="7BF538C2"/>
    <w:rsid w:val="7BF66C24"/>
    <w:rsid w:val="7BFA1CC7"/>
    <w:rsid w:val="7BFB70B3"/>
    <w:rsid w:val="7BFD3595"/>
    <w:rsid w:val="7C0251DA"/>
    <w:rsid w:val="7C0C0E4A"/>
    <w:rsid w:val="7C0E41D1"/>
    <w:rsid w:val="7C1052F2"/>
    <w:rsid w:val="7C21292C"/>
    <w:rsid w:val="7C2668D9"/>
    <w:rsid w:val="7C32497F"/>
    <w:rsid w:val="7C3C69AE"/>
    <w:rsid w:val="7C5036C5"/>
    <w:rsid w:val="7C52743D"/>
    <w:rsid w:val="7C691974"/>
    <w:rsid w:val="7C817D22"/>
    <w:rsid w:val="7C8A6570"/>
    <w:rsid w:val="7C8B7390"/>
    <w:rsid w:val="7C8C559B"/>
    <w:rsid w:val="7C9B0D0E"/>
    <w:rsid w:val="7CA42B03"/>
    <w:rsid w:val="7CC145C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F0AD0"/>
    <w:rsid w:val="7DB22BDF"/>
    <w:rsid w:val="7DD12BB7"/>
    <w:rsid w:val="7DF223A2"/>
    <w:rsid w:val="7DFF0955"/>
    <w:rsid w:val="7E026C41"/>
    <w:rsid w:val="7E0B750E"/>
    <w:rsid w:val="7E145DA7"/>
    <w:rsid w:val="7E1939E8"/>
    <w:rsid w:val="7E2400E7"/>
    <w:rsid w:val="7E2822EA"/>
    <w:rsid w:val="7E2A20CE"/>
    <w:rsid w:val="7E355A7B"/>
    <w:rsid w:val="7E455322"/>
    <w:rsid w:val="7E601098"/>
    <w:rsid w:val="7E682F48"/>
    <w:rsid w:val="7E6E3E85"/>
    <w:rsid w:val="7E7E6C0F"/>
    <w:rsid w:val="7E953F59"/>
    <w:rsid w:val="7E991353"/>
    <w:rsid w:val="7E9C184B"/>
    <w:rsid w:val="7EA72948"/>
    <w:rsid w:val="7EAC0EDE"/>
    <w:rsid w:val="7EB31EDB"/>
    <w:rsid w:val="7ED61132"/>
    <w:rsid w:val="7EE70CC0"/>
    <w:rsid w:val="7EEB48DB"/>
    <w:rsid w:val="7EF27444"/>
    <w:rsid w:val="7F016EF9"/>
    <w:rsid w:val="7F067B28"/>
    <w:rsid w:val="7F185A04"/>
    <w:rsid w:val="7F2257ED"/>
    <w:rsid w:val="7F265C58"/>
    <w:rsid w:val="7F3B240A"/>
    <w:rsid w:val="7F4C4618"/>
    <w:rsid w:val="7F4D13A6"/>
    <w:rsid w:val="7F582CF2"/>
    <w:rsid w:val="7F951B40"/>
    <w:rsid w:val="7FA501CC"/>
    <w:rsid w:val="7FA820A8"/>
    <w:rsid w:val="7FAF2DF8"/>
    <w:rsid w:val="7FB81344"/>
    <w:rsid w:val="7FB90D50"/>
    <w:rsid w:val="7FBE053E"/>
    <w:rsid w:val="7FBF10B0"/>
    <w:rsid w:val="7FC9483E"/>
    <w:rsid w:val="7FE64A6C"/>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after="290" w:line="372" w:lineRule="auto"/>
      <w:outlineLvl w:val="4"/>
    </w:pPr>
    <w:rPr>
      <w:b/>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7"/>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9"/>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21"/>
    <w:next w:val="1"/>
    <w:qFormat/>
    <w:uiPriority w:val="0"/>
    <w:pPr>
      <w:wordWrap w:val="0"/>
      <w:jc w:val="both"/>
    </w:pPr>
    <w:rPr>
      <w:rFonts w:ascii="Calibri" w:hAnsi="Calibri" w:eastAsia="宋体" w:cs="Times New Roman"/>
      <w:sz w:val="21"/>
      <w:lang w:val="en-US" w:eastAsia="zh-CN" w:bidi="ar-SA"/>
    </w:rPr>
  </w:style>
  <w:style w:type="paragraph" w:customStyle="1" w:styleId="50">
    <w:name w:val="表格文字"/>
    <w:basedOn w:val="1"/>
    <w:next w:val="4"/>
    <w:autoRedefine/>
    <w:qFormat/>
    <w:uiPriority w:val="0"/>
    <w:pPr>
      <w:adjustRightInd w:val="0"/>
      <w:spacing w:line="420" w:lineRule="atLeast"/>
      <w:jc w:val="left"/>
      <w:textAlignment w:val="baseline"/>
    </w:pPr>
    <w:rPr>
      <w:kern w:val="0"/>
      <w:szCs w:val="20"/>
    </w:rPr>
  </w:style>
  <w:style w:type="paragraph" w:customStyle="1" w:styleId="51">
    <w:name w:val="大标题"/>
    <w:basedOn w:val="1"/>
    <w:next w:val="16"/>
    <w:autoRedefine/>
    <w:qFormat/>
    <w:uiPriority w:val="0"/>
    <w:pPr>
      <w:jc w:val="center"/>
    </w:pPr>
    <w:rPr>
      <w:rFonts w:ascii="Arial" w:hAnsi="Arial"/>
      <w:b/>
      <w:sz w:val="28"/>
    </w:rPr>
  </w:style>
  <w:style w:type="paragraph" w:customStyle="1" w:styleId="52">
    <w:name w:val="正文文本缩进 21"/>
    <w:basedOn w:val="1"/>
    <w:autoRedefine/>
    <w:qFormat/>
    <w:uiPriority w:val="0"/>
    <w:pPr>
      <w:ind w:firstLine="570"/>
    </w:pPr>
    <w:rPr>
      <w:sz w:val="32"/>
    </w:rPr>
  </w:style>
  <w:style w:type="paragraph" w:customStyle="1" w:styleId="53">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5">
    <w:name w:val="No Spacing1"/>
    <w:basedOn w:val="1"/>
    <w:autoRedefine/>
    <w:qFormat/>
    <w:uiPriority w:val="0"/>
    <w:pPr>
      <w:spacing w:line="400" w:lineRule="exact"/>
    </w:pPr>
    <w:rPr>
      <w:sz w:val="24"/>
    </w:rPr>
  </w:style>
  <w:style w:type="paragraph" w:customStyle="1" w:styleId="56">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7">
    <w:name w:val="Char"/>
    <w:basedOn w:val="1"/>
    <w:autoRedefine/>
    <w:qFormat/>
    <w:uiPriority w:val="0"/>
  </w:style>
  <w:style w:type="paragraph" w:customStyle="1" w:styleId="58">
    <w:name w:val="正文缩进1"/>
    <w:basedOn w:val="1"/>
    <w:autoRedefine/>
    <w:qFormat/>
    <w:uiPriority w:val="0"/>
    <w:pPr>
      <w:widowControl/>
      <w:ind w:firstLine="420"/>
      <w:jc w:val="left"/>
    </w:pPr>
    <w:rPr>
      <w:kern w:val="0"/>
      <w:szCs w:val="20"/>
    </w:rPr>
  </w:style>
  <w:style w:type="paragraph" w:customStyle="1" w:styleId="59">
    <w:name w:val="列出段落2"/>
    <w:basedOn w:val="1"/>
    <w:autoRedefine/>
    <w:qFormat/>
    <w:uiPriority w:val="34"/>
    <w:pPr>
      <w:ind w:firstLine="420" w:firstLineChars="200"/>
    </w:pPr>
  </w:style>
  <w:style w:type="paragraph" w:customStyle="1" w:styleId="60">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1"/>
    <w:basedOn w:val="1"/>
    <w:autoRedefine/>
    <w:qFormat/>
    <w:uiPriority w:val="0"/>
    <w:pPr>
      <w:widowControl/>
      <w:spacing w:beforeAutospacing="1" w:afterAutospacing="1"/>
      <w:jc w:val="left"/>
    </w:pPr>
    <w:rPr>
      <w:rFonts w:ascii="宋体" w:hAnsi="宋体" w:cs="宋体"/>
      <w:kern w:val="0"/>
      <w:sz w:val="24"/>
    </w:rPr>
  </w:style>
  <w:style w:type="paragraph" w:styleId="62">
    <w:name w:val="No Spacing"/>
    <w:autoRedefine/>
    <w:qFormat/>
    <w:uiPriority w:val="1"/>
    <w:rPr>
      <w:rFonts w:ascii="Calibri" w:hAnsi="Calibri" w:eastAsia="宋体" w:cs="Times New Roman"/>
      <w:sz w:val="22"/>
      <w:szCs w:val="22"/>
      <w:lang w:val="en-US" w:eastAsia="zh-CN" w:bidi="ar-SA"/>
    </w:rPr>
  </w:style>
  <w:style w:type="paragraph" w:customStyle="1" w:styleId="63">
    <w:name w:val="_Style 2"/>
    <w:basedOn w:val="1"/>
    <w:autoRedefine/>
    <w:qFormat/>
    <w:uiPriority w:val="34"/>
    <w:pPr>
      <w:ind w:firstLine="420" w:firstLineChars="200"/>
    </w:pPr>
    <w:rPr>
      <w:rFonts w:ascii="Calibri" w:hAnsi="Calibri"/>
    </w:rPr>
  </w:style>
  <w:style w:type="paragraph" w:customStyle="1" w:styleId="64">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5">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6">
    <w:name w:val="Char1"/>
    <w:basedOn w:val="1"/>
    <w:autoRedefine/>
    <w:qFormat/>
    <w:uiPriority w:val="0"/>
  </w:style>
  <w:style w:type="paragraph" w:customStyle="1" w:styleId="67">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Table Paragraph"/>
    <w:basedOn w:val="1"/>
    <w:autoRedefine/>
    <w:qFormat/>
    <w:uiPriority w:val="1"/>
    <w:pPr>
      <w:jc w:val="left"/>
    </w:pPr>
    <w:rPr>
      <w:rFonts w:ascii="宋体" w:hAnsi="宋体" w:cs="宋体"/>
      <w:kern w:val="0"/>
      <w:sz w:val="22"/>
      <w:szCs w:val="22"/>
      <w:lang w:eastAsia="en-US"/>
    </w:rPr>
  </w:style>
  <w:style w:type="paragraph" w:customStyle="1" w:styleId="69">
    <w:name w:val="无间隔1"/>
    <w:basedOn w:val="1"/>
    <w:autoRedefine/>
    <w:qFormat/>
    <w:uiPriority w:val="1"/>
    <w:pPr>
      <w:spacing w:line="400" w:lineRule="exact"/>
    </w:pPr>
    <w:rPr>
      <w:sz w:val="24"/>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字符"/>
    <w:basedOn w:val="35"/>
    <w:link w:val="4"/>
    <w:autoRedefine/>
    <w:qFormat/>
    <w:uiPriority w:val="0"/>
  </w:style>
  <w:style w:type="character" w:customStyle="1" w:styleId="78">
    <w:name w:val="apple-converted-space"/>
    <w:basedOn w:val="35"/>
    <w:autoRedefine/>
    <w:qFormat/>
    <w:uiPriority w:val="0"/>
  </w:style>
  <w:style w:type="character" w:customStyle="1" w:styleId="79">
    <w:name w:val="文档结构图 字符"/>
    <w:link w:val="12"/>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5"/>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cs="宋体"/>
      <w:sz w:val="45"/>
      <w:szCs w:val="45"/>
      <w:lang w:eastAsia="en-US"/>
    </w:rPr>
  </w:style>
  <w:style w:type="character" w:customStyle="1" w:styleId="94">
    <w:name w:val="font11"/>
    <w:basedOn w:val="35"/>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5"/>
    <w:qFormat/>
    <w:uiPriority w:val="0"/>
    <w:rPr>
      <w:rFonts w:ascii="宋体" w:hAnsi="宋体" w:eastAsia="宋体" w:cs="宋体"/>
      <w:color w:val="000000"/>
      <w:sz w:val="24"/>
      <w:szCs w:val="24"/>
      <w:u w:val="none"/>
    </w:rPr>
  </w:style>
  <w:style w:type="character" w:customStyle="1" w:styleId="97">
    <w:name w:val="font81"/>
    <w:basedOn w:val="35"/>
    <w:qFormat/>
    <w:uiPriority w:val="0"/>
    <w:rPr>
      <w:rFonts w:hint="default" w:ascii="Times New Roman" w:hAnsi="Times New Roman" w:cs="Times New Roman"/>
      <w:color w:val="000000"/>
      <w:sz w:val="18"/>
      <w:szCs w:val="18"/>
      <w:u w:val="none"/>
    </w:rPr>
  </w:style>
  <w:style w:type="paragraph" w:customStyle="1" w:styleId="98">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99">
    <w:name w:val="首行缩进"/>
    <w:basedOn w:val="1"/>
    <w:qFormat/>
    <w:uiPriority w:val="99"/>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13811</Words>
  <Characters>14534</Characters>
  <Lines>139</Lines>
  <Paragraphs>39</Paragraphs>
  <TotalTime>0</TotalTime>
  <ScaleCrop>false</ScaleCrop>
  <LinksUpToDate>false</LinksUpToDate>
  <CharactersWithSpaces>15387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2025-09-29T03:49:00Z</cp:lastPrinted>
  <dcterms:modified xsi:type="dcterms:W3CDTF">2026-02-24T01:31:02Z</dcterms:modified>
  <dc:title>驻马店市政府采购货物项目</dc:title>
  <cp:revision>1105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D0FBCFF4EC2C4E7AA460B0C95CF331D0_13</vt:lpwstr>
  </property>
  <property fmtid="{D5CDD505-2E9C-101B-9397-08002B2CF9AE}" pid="4" name="KSOTemplateDocerSaveRecord">
    <vt:lpwstr>eyJoZGlkIjoiMzU0MTZjMjFkMjFjOGMwYTIzNWEzZDljNjYxZWI0MmYiLCJ1c2VySWQiOiIxNjg0NTc5MjM2In0=</vt:lpwstr>
  </property>
</Properties>
</file>