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52"/>
          <w:szCs w:val="52"/>
          <w:highlight w:val="none"/>
          <w:lang w:val="en-US" w:eastAsia="zh-CN"/>
        </w:rPr>
      </w:pPr>
      <w:bookmarkStart w:id="0" w:name="_Toc22953395"/>
      <w:bookmarkEnd w:id="0"/>
      <w:bookmarkStart w:id="1" w:name="_Toc22804073"/>
      <w:bookmarkEnd w:id="1"/>
    </w:p>
    <w:p w14:paraId="6DA753D3">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驻马店市中心医院</w:t>
      </w:r>
    </w:p>
    <w:p w14:paraId="6305B982">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五官清洗器、短波紫外线治疗仪采购项目</w:t>
      </w:r>
    </w:p>
    <w:p w14:paraId="07BFE05A">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lang w:val="en-US" w:eastAsia="zh-CN"/>
        </w:rPr>
      </w:pPr>
    </w:p>
    <w:p w14:paraId="72164425">
      <w:pPr>
        <w:pStyle w:val="20"/>
        <w:bidi w:val="0"/>
        <w:jc w:val="center"/>
        <w:rPr>
          <w:rStyle w:val="45"/>
          <w:rFonts w:hint="eastAsia" w:ascii="方正公文小标宋" w:hAnsi="方正公文小标宋" w:eastAsia="方正公文小标宋" w:cs="方正公文小标宋"/>
          <w:b w:val="0"/>
          <w:bCs w:val="0"/>
          <w:color w:val="auto"/>
          <w:sz w:val="56"/>
          <w:szCs w:val="56"/>
          <w:highlight w:val="none"/>
        </w:rPr>
      </w:pPr>
      <w:r>
        <w:rPr>
          <w:rStyle w:val="45"/>
          <w:rFonts w:hint="eastAsia" w:ascii="方正公文小标宋" w:hAnsi="方正公文小标宋" w:eastAsia="方正公文小标宋" w:cs="方正公文小标宋"/>
          <w:b w:val="0"/>
          <w:bCs w:val="0"/>
          <w:color w:val="auto"/>
          <w:sz w:val="56"/>
          <w:szCs w:val="56"/>
          <w:highlight w:val="none"/>
          <w:lang w:val="en-US" w:eastAsia="zh-CN"/>
        </w:rPr>
        <w:t>竞争性磋商</w:t>
      </w:r>
      <w:r>
        <w:rPr>
          <w:rStyle w:val="45"/>
          <w:rFonts w:hint="eastAsia" w:ascii="方正公文小标宋" w:hAnsi="方正公文小标宋" w:eastAsia="方正公文小标宋" w:cs="方正公文小标宋"/>
          <w:b w:val="0"/>
          <w:bCs w:val="0"/>
          <w:color w:val="auto"/>
          <w:sz w:val="56"/>
          <w:szCs w:val="56"/>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宋体" w:hAnsi="宋体" w:eastAsia="宋体" w:cs="宋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w:t>
      </w:r>
      <w:r>
        <w:rPr>
          <w:rFonts w:hint="eastAsia" w:ascii="宋体" w:hAnsi="宋体" w:cs="宋体"/>
          <w:b/>
          <w:bCs/>
          <w:color w:val="auto"/>
          <w:spacing w:val="-10"/>
          <w:sz w:val="34"/>
          <w:szCs w:val="34"/>
          <w:highlight w:val="none"/>
          <w:lang w:val="en-US" w:eastAsia="zh-CN"/>
        </w:rPr>
        <w:t>6</w:t>
      </w:r>
      <w:r>
        <w:rPr>
          <w:rFonts w:hint="eastAsia" w:ascii="宋体" w:hAnsi="宋体" w:eastAsia="宋体" w:cs="宋体"/>
          <w:b/>
          <w:bCs/>
          <w:color w:val="auto"/>
          <w:spacing w:val="-10"/>
          <w:sz w:val="34"/>
          <w:szCs w:val="34"/>
          <w:highlight w:val="none"/>
          <w:lang w:val="en-US" w:eastAsia="zh-CN"/>
        </w:rPr>
        <w:t xml:space="preserve">年 </w:t>
      </w:r>
      <w:r>
        <w:rPr>
          <w:rFonts w:hint="eastAsia" w:ascii="宋体" w:hAnsi="宋体" w:cs="宋体"/>
          <w:b/>
          <w:bCs/>
          <w:color w:val="auto"/>
          <w:spacing w:val="-10"/>
          <w:sz w:val="34"/>
          <w:szCs w:val="34"/>
          <w:highlight w:val="none"/>
          <w:lang w:val="en-US" w:eastAsia="zh-CN"/>
        </w:rPr>
        <w:t>03</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07DC84C8">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_Toc29326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第一章  </w:t>
      </w:r>
      <w:r>
        <w:rPr>
          <w:rFonts w:hint="eastAsia" w:ascii="宋体" w:hAnsi="宋体" w:eastAsia="宋体" w:cs="宋体"/>
          <w:sz w:val="24"/>
          <w:szCs w:val="24"/>
          <w:highlight w:val="none"/>
          <w:lang w:val="en-US" w:eastAsia="zh-CN"/>
        </w:rPr>
        <w:t>竞争性磋商采购</w:t>
      </w:r>
      <w:r>
        <w:rPr>
          <w:rFonts w:hint="eastAsia" w:ascii="宋体" w:hAnsi="宋体" w:eastAsia="宋体" w:cs="宋体"/>
          <w:sz w:val="24"/>
          <w:szCs w:val="24"/>
          <w:highlight w:val="none"/>
        </w:rPr>
        <w:t>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_Toc29326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5E30FEF8">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_Toc32586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第二章  </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_Toc32586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688439A6">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_Toc2220 </w:instrText>
      </w:r>
      <w:r>
        <w:rPr>
          <w:rFonts w:hint="eastAsia" w:ascii="宋体" w:hAnsi="宋体" w:eastAsia="宋体" w:cs="宋体"/>
          <w:bCs/>
          <w:sz w:val="24"/>
          <w:szCs w:val="24"/>
          <w:highlight w:val="none"/>
        </w:rPr>
        <w:fldChar w:fldCharType="separate"/>
      </w:r>
      <w:r>
        <w:rPr>
          <w:rFonts w:hint="eastAsia" w:ascii="宋体" w:hAnsi="宋体" w:eastAsia="宋体" w:cs="宋体"/>
          <w:bCs/>
          <w:sz w:val="24"/>
          <w:szCs w:val="24"/>
          <w:highlight w:val="none"/>
        </w:rPr>
        <w:t xml:space="preserve">第三章  </w:t>
      </w:r>
      <w:r>
        <w:rPr>
          <w:rFonts w:hint="eastAsia" w:ascii="宋体" w:hAnsi="宋体" w:eastAsia="宋体" w:cs="宋体"/>
          <w:bCs/>
          <w:sz w:val="24"/>
          <w:szCs w:val="24"/>
          <w:highlight w:val="none"/>
          <w:lang w:eastAsia="zh-CN"/>
        </w:rPr>
        <w:t>供应商</w:t>
      </w:r>
      <w:r>
        <w:rPr>
          <w:rFonts w:hint="eastAsia" w:ascii="宋体" w:hAnsi="宋体" w:eastAsia="宋体" w:cs="宋体"/>
          <w:bCs/>
          <w:sz w:val="24"/>
          <w:szCs w:val="24"/>
          <w:highlight w:val="none"/>
        </w:rPr>
        <w:t>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_Toc2220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10</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4D6DF072">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_Toc5747 </w:instrText>
      </w:r>
      <w:r>
        <w:rPr>
          <w:rFonts w:hint="eastAsia" w:ascii="宋体" w:hAnsi="宋体" w:eastAsia="宋体" w:cs="宋体"/>
          <w:bCs/>
          <w:sz w:val="24"/>
          <w:szCs w:val="24"/>
          <w:highlight w:val="none"/>
        </w:rPr>
        <w:fldChar w:fldCharType="separate"/>
      </w:r>
      <w:r>
        <w:rPr>
          <w:rFonts w:hint="eastAsia" w:ascii="宋体" w:hAnsi="宋体" w:eastAsia="宋体" w:cs="宋体"/>
          <w:bCs/>
          <w:kern w:val="0"/>
          <w:sz w:val="24"/>
          <w:szCs w:val="24"/>
          <w:highlight w:val="none"/>
        </w:rPr>
        <w:t>第四章  评标办法及评分标准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_Toc5747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7B22F71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_Toc1351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第五章  采购合同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_Toc1351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73B38443">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sz w:val="24"/>
          <w:szCs w:val="24"/>
          <w:highlight w:val="none"/>
        </w:rPr>
        <w:instrText xml:space="preserve"> HYPERLINK \l _Toc28288 </w:instrText>
      </w:r>
      <w:r>
        <w:rPr>
          <w:rFonts w:hint="eastAsia" w:ascii="宋体" w:hAnsi="宋体" w:eastAsia="宋体" w:cs="宋体"/>
          <w:bCs/>
          <w:sz w:val="24"/>
          <w:szCs w:val="24"/>
          <w:highlight w:val="none"/>
        </w:rPr>
        <w:fldChar w:fldCharType="separate"/>
      </w:r>
      <w:r>
        <w:rPr>
          <w:rFonts w:hint="eastAsia" w:ascii="宋体" w:hAnsi="宋体" w:eastAsia="宋体" w:cs="宋体"/>
          <w:sz w:val="24"/>
          <w:szCs w:val="24"/>
          <w:highlight w:val="none"/>
        </w:rPr>
        <w:t xml:space="preserve">第六章  </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_Toc28288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24</w:t>
      </w:r>
      <w:r>
        <w:rPr>
          <w:rFonts w:hint="eastAsia" w:ascii="宋体" w:hAnsi="宋体" w:eastAsia="宋体" w:cs="宋体"/>
          <w:sz w:val="24"/>
          <w:szCs w:val="24"/>
          <w:highlight w:val="none"/>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932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驻马店市中心医院五官清洗器、短波紫外线治疗仪采购项目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五官清洗器、短波紫外线治疗仪采购项目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驻马店市中心医院五官清洗器、短波紫外线治疗仪采购项目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vertAlign w:val="baseline"/>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cs="宋体"/>
          <w:color w:val="auto"/>
          <w:sz w:val="24"/>
          <w:szCs w:val="24"/>
          <w:highlight w:val="none"/>
          <w:shd w:val="clear" w:color="auto" w:fill="FFFFFF"/>
          <w:lang w:val="en-US" w:eastAsia="zh-CN"/>
        </w:rPr>
        <w:t>18万元；其中：</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2265"/>
        <w:gridCol w:w="3324"/>
        <w:gridCol w:w="2215"/>
      </w:tblGrid>
      <w:tr w14:paraId="0754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Align w:val="center"/>
          </w:tcPr>
          <w:p w14:paraId="3BD342CF">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序号</w:t>
            </w:r>
          </w:p>
        </w:tc>
        <w:tc>
          <w:tcPr>
            <w:tcW w:w="2265" w:type="dxa"/>
            <w:vAlign w:val="center"/>
          </w:tcPr>
          <w:p w14:paraId="52D0F3D1">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包号</w:t>
            </w:r>
          </w:p>
        </w:tc>
        <w:tc>
          <w:tcPr>
            <w:tcW w:w="3324" w:type="dxa"/>
            <w:vAlign w:val="center"/>
          </w:tcPr>
          <w:p w14:paraId="1FF09F7F">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名称</w:t>
            </w:r>
          </w:p>
        </w:tc>
        <w:tc>
          <w:tcPr>
            <w:tcW w:w="2215" w:type="dxa"/>
            <w:vAlign w:val="center"/>
          </w:tcPr>
          <w:p w14:paraId="3173E07B">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预算金额</w:t>
            </w:r>
          </w:p>
        </w:tc>
      </w:tr>
      <w:tr w14:paraId="315B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Align w:val="center"/>
          </w:tcPr>
          <w:p w14:paraId="704B0E6E">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1</w:t>
            </w:r>
          </w:p>
        </w:tc>
        <w:tc>
          <w:tcPr>
            <w:tcW w:w="2265" w:type="dxa"/>
            <w:vAlign w:val="center"/>
          </w:tcPr>
          <w:p w14:paraId="5DC809A1">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包1</w:t>
            </w:r>
          </w:p>
        </w:tc>
        <w:tc>
          <w:tcPr>
            <w:tcW w:w="3324" w:type="dxa"/>
            <w:vAlign w:val="center"/>
          </w:tcPr>
          <w:p w14:paraId="3EDF7D8F">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eastAsia" w:ascii="宋体" w:hAnsi="宋体" w:cs="宋体"/>
                <w:color w:val="auto"/>
                <w:sz w:val="24"/>
                <w:szCs w:val="24"/>
                <w:highlight w:val="none"/>
                <w:shd w:val="clear" w:color="auto" w:fill="FFFFFF"/>
                <w:vertAlign w:val="baseline"/>
                <w:lang w:val="en-US" w:eastAsia="zh-CN"/>
              </w:rPr>
            </w:pPr>
            <w:r>
              <w:rPr>
                <w:rFonts w:hint="default" w:ascii="宋体" w:hAnsi="宋体" w:cs="宋体"/>
                <w:color w:val="auto"/>
                <w:sz w:val="24"/>
                <w:szCs w:val="24"/>
                <w:highlight w:val="none"/>
                <w:shd w:val="clear" w:color="auto" w:fill="FFFFFF"/>
                <w:lang w:val="en-US" w:eastAsia="zh-CN"/>
              </w:rPr>
              <w:t>五官清洗器</w:t>
            </w:r>
          </w:p>
        </w:tc>
        <w:tc>
          <w:tcPr>
            <w:tcW w:w="2215" w:type="dxa"/>
            <w:vAlign w:val="center"/>
          </w:tcPr>
          <w:p w14:paraId="381CAFC7">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10万元</w:t>
            </w:r>
          </w:p>
        </w:tc>
      </w:tr>
      <w:tr w14:paraId="1983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vAlign w:val="center"/>
          </w:tcPr>
          <w:p w14:paraId="485F380B">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2</w:t>
            </w:r>
          </w:p>
        </w:tc>
        <w:tc>
          <w:tcPr>
            <w:tcW w:w="2265" w:type="dxa"/>
            <w:vAlign w:val="center"/>
          </w:tcPr>
          <w:p w14:paraId="688774F5">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包2</w:t>
            </w:r>
          </w:p>
        </w:tc>
        <w:tc>
          <w:tcPr>
            <w:tcW w:w="3324" w:type="dxa"/>
            <w:vAlign w:val="center"/>
          </w:tcPr>
          <w:p w14:paraId="2610C36C">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eastAsia" w:ascii="宋体" w:hAnsi="宋体" w:cs="宋体"/>
                <w:color w:val="auto"/>
                <w:sz w:val="24"/>
                <w:szCs w:val="24"/>
                <w:highlight w:val="none"/>
                <w:shd w:val="clear" w:color="auto" w:fill="FFFFFF"/>
                <w:vertAlign w:val="baseline"/>
                <w:lang w:val="en-US" w:eastAsia="zh-CN"/>
              </w:rPr>
            </w:pPr>
            <w:r>
              <w:rPr>
                <w:rFonts w:hint="default" w:ascii="宋体" w:hAnsi="宋体" w:cs="宋体"/>
                <w:color w:val="auto"/>
                <w:sz w:val="24"/>
                <w:szCs w:val="24"/>
                <w:highlight w:val="none"/>
                <w:shd w:val="clear" w:color="auto" w:fill="FFFFFF"/>
                <w:lang w:val="en-US" w:eastAsia="zh-CN"/>
              </w:rPr>
              <w:t>短波紫外线治疗仪</w:t>
            </w:r>
          </w:p>
        </w:tc>
        <w:tc>
          <w:tcPr>
            <w:tcW w:w="2215" w:type="dxa"/>
            <w:vAlign w:val="center"/>
          </w:tcPr>
          <w:p w14:paraId="42E88077">
            <w:pPr>
              <w:keepNext w:val="0"/>
              <w:keepLines w:val="0"/>
              <w:pageBreakBefore w:val="0"/>
              <w:widowControl/>
              <w:tabs>
                <w:tab w:val="left" w:pos="840"/>
              </w:tabs>
              <w:kinsoku/>
              <w:overflowPunct/>
              <w:topLinePunct w:val="0"/>
              <w:autoSpaceDE/>
              <w:autoSpaceDN/>
              <w:bidi w:val="0"/>
              <w:snapToGrid w:val="0"/>
              <w:spacing w:line="500" w:lineRule="exact"/>
              <w:jc w:val="center"/>
              <w:textAlignment w:val="auto"/>
              <w:rPr>
                <w:rFonts w:hint="default" w:ascii="宋体" w:hAnsi="宋体" w:cs="宋体"/>
                <w:color w:val="auto"/>
                <w:sz w:val="24"/>
                <w:szCs w:val="24"/>
                <w:highlight w:val="none"/>
                <w:shd w:val="clear" w:color="auto" w:fill="FFFFFF"/>
                <w:vertAlign w:val="baseline"/>
                <w:lang w:val="en-US" w:eastAsia="zh-CN"/>
              </w:rPr>
            </w:pPr>
            <w:r>
              <w:rPr>
                <w:rFonts w:hint="eastAsia" w:ascii="宋体" w:hAnsi="宋体" w:cs="宋体"/>
                <w:color w:val="auto"/>
                <w:sz w:val="24"/>
                <w:szCs w:val="24"/>
                <w:highlight w:val="none"/>
                <w:shd w:val="clear" w:color="auto" w:fill="FFFFFF"/>
                <w:vertAlign w:val="baseline"/>
                <w:lang w:val="en-US" w:eastAsia="zh-CN"/>
              </w:rPr>
              <w:t>8万元</w:t>
            </w:r>
          </w:p>
        </w:tc>
      </w:tr>
    </w:tbl>
    <w:p w14:paraId="7D6AA1A0">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交货期：合同签订后30日内交货</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4" w:name="_Toc27704"/>
      <w:bookmarkStart w:id="5" w:name="_Toc18607"/>
      <w:bookmarkStart w:id="6" w:name="_Toc23626"/>
      <w:bookmarkStart w:id="7" w:name="_Toc16639"/>
      <w:r>
        <w:rPr>
          <w:rFonts w:hint="eastAsia" w:ascii="宋体" w:hAnsi="宋体" w:eastAsia="宋体" w:cs="宋体"/>
          <w:b/>
          <w:bCs/>
          <w:color w:val="auto"/>
          <w:kern w:val="2"/>
          <w:sz w:val="24"/>
          <w:szCs w:val="24"/>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8" w:name="_Toc7823"/>
      <w:bookmarkStart w:id="9" w:name="_Toc23395"/>
      <w:bookmarkStart w:id="10" w:name="_Toc30971"/>
      <w:bookmarkStart w:id="11" w:name="_Toc30643"/>
      <w:bookmarkStart w:id="12" w:name="_Toc9562"/>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3F8D40C9">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w:t>
      </w:r>
    </w:p>
    <w:p w14:paraId="08BDA343">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b w:val="0"/>
          <w:bCs w:val="0"/>
          <w:color w:val="auto"/>
          <w:sz w:val="24"/>
          <w:szCs w:val="24"/>
          <w:highlight w:val="none"/>
          <w:shd w:val="clear" w:color="auto" w:fill="FFFFFF"/>
          <w:lang w:val="en-US" w:eastAsia="zh-CN"/>
        </w:rPr>
        <w:t>（提供相关证明材料）</w:t>
      </w:r>
      <w:r>
        <w:rPr>
          <w:rFonts w:hint="eastAsia" w:ascii="宋体" w:hAnsi="宋体" w:eastAsia="宋体" w:cs="宋体"/>
          <w:color w:val="auto"/>
          <w:sz w:val="24"/>
          <w:szCs w:val="24"/>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500" w:lineRule="exact"/>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16</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18</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cs="宋体"/>
          <w:color w:val="auto"/>
          <w:kern w:val="0"/>
          <w:sz w:val="24"/>
          <w:szCs w:val="24"/>
          <w:highlight w:val="none"/>
          <w:shd w:val="clear" w:color="auto" w:fill="FFFFFF"/>
          <w:lang w:val="en-US" w:eastAsia="zh-CN" w:bidi="ar-SA"/>
        </w:rPr>
        <w:t>3269714460</w:t>
      </w:r>
      <w:r>
        <w:rPr>
          <w:rFonts w:hint="eastAsia" w:ascii="宋体" w:hAnsi="宋体" w:eastAsia="宋体" w:cs="宋体"/>
          <w:color w:val="auto"/>
          <w:kern w:val="0"/>
          <w:sz w:val="24"/>
          <w:szCs w:val="24"/>
          <w:highlight w:val="none"/>
          <w:shd w:val="clear" w:color="auto" w:fill="FFFFFF"/>
          <w:lang w:val="en-US" w:eastAsia="zh-CN" w:bidi="ar-SA"/>
        </w:rPr>
        <w:t>@qq.com,并标明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500" w:lineRule="exact"/>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3" w:name="_Toc15135"/>
      <w:bookmarkStart w:id="14" w:name="_Toc15111"/>
      <w:bookmarkStart w:id="15" w:name="_Toc27480"/>
      <w:bookmarkStart w:id="16" w:name="_Toc10738"/>
      <w:bookmarkStart w:id="17"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8" w:name="_Toc6523"/>
      <w:bookmarkStart w:id="19" w:name="_Toc20287"/>
      <w:bookmarkStart w:id="20" w:name="_Toc30918"/>
      <w:bookmarkStart w:id="21" w:name="_Toc29784"/>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50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4" w:name="_Toc3604"/>
      <w:bookmarkStart w:id="25" w:name="_Toc31928"/>
      <w:bookmarkStart w:id="26" w:name="_Toc24274"/>
      <w:bookmarkStart w:id="27" w:name="_Toc27370"/>
      <w:bookmarkStart w:id="28" w:name="_Toc16291"/>
      <w:r>
        <w:rPr>
          <w:rFonts w:hint="eastAsia" w:ascii="宋体" w:hAnsi="宋体" w:eastAsia="宋体" w:cs="宋体"/>
          <w:b/>
          <w:bCs/>
          <w:color w:val="auto"/>
          <w:kern w:val="2"/>
          <w:sz w:val="24"/>
          <w:szCs w:val="24"/>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采购代理机构：</w:t>
      </w:r>
    </w:p>
    <w:p w14:paraId="0ECCE7EB">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地址：驻马店市泰山路与骏马路交叉口天基城中心花园3号楼（圆楼）5楼</w:t>
      </w:r>
    </w:p>
    <w:p w14:paraId="606DC887">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联系人：庞先生、张先生</w:t>
      </w:r>
    </w:p>
    <w:p w14:paraId="7EC35143">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联系方式：18272909999、15518321111</w:t>
      </w:r>
    </w:p>
    <w:p w14:paraId="2BB1501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50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598991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0CAD251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03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13</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32586"/>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9989"/>
      <w:bookmarkStart w:id="33" w:name="_Toc23610"/>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驻马店市中心医院五官清洗器、短波紫外线治疗仪采购项目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3"/>
        <w:gridCol w:w="5"/>
        <w:gridCol w:w="1907"/>
        <w:gridCol w:w="926"/>
        <w:gridCol w:w="916"/>
        <w:gridCol w:w="1312"/>
        <w:gridCol w:w="1052"/>
        <w:gridCol w:w="1178"/>
        <w:gridCol w:w="2"/>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38" w:type="dxa"/>
            <w:vAlign w:val="center"/>
          </w:tcPr>
          <w:p w14:paraId="1414DBA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包号</w:t>
            </w:r>
          </w:p>
        </w:tc>
        <w:tc>
          <w:tcPr>
            <w:tcW w:w="938" w:type="dxa"/>
            <w:gridSpan w:val="2"/>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1907"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926"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16"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12"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052"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180"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38" w:type="dxa"/>
            <w:shd w:val="clear" w:color="auto" w:fill="auto"/>
            <w:vAlign w:val="center"/>
          </w:tcPr>
          <w:p w14:paraId="0E63356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938" w:type="dxa"/>
            <w:gridSpan w:val="2"/>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90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五官清洗器</w:t>
            </w:r>
          </w:p>
        </w:tc>
        <w:tc>
          <w:tcPr>
            <w:tcW w:w="926"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16"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12"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10万元</w:t>
            </w:r>
          </w:p>
        </w:tc>
        <w:tc>
          <w:tcPr>
            <w:tcW w:w="1052"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180"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3CD7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shd w:val="clear" w:color="auto" w:fill="auto"/>
            <w:vAlign w:val="center"/>
          </w:tcPr>
          <w:p w14:paraId="6A1CEC5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938" w:type="dxa"/>
            <w:gridSpan w:val="2"/>
            <w:shd w:val="clear" w:color="auto" w:fill="auto"/>
            <w:vAlign w:val="center"/>
          </w:tcPr>
          <w:p w14:paraId="3DE0D0E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1907" w:type="dxa"/>
            <w:shd w:val="clear" w:color="auto" w:fill="auto"/>
            <w:vAlign w:val="center"/>
          </w:tcPr>
          <w:p w14:paraId="0E0A837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短波紫外线治疗仪</w:t>
            </w:r>
          </w:p>
        </w:tc>
        <w:tc>
          <w:tcPr>
            <w:tcW w:w="926" w:type="dxa"/>
            <w:shd w:val="clear" w:color="auto" w:fill="auto"/>
            <w:vAlign w:val="center"/>
          </w:tcPr>
          <w:p w14:paraId="0AE60EC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16" w:type="dxa"/>
            <w:shd w:val="clear" w:color="auto" w:fill="auto"/>
            <w:vAlign w:val="center"/>
          </w:tcPr>
          <w:p w14:paraId="205F29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12" w:type="dxa"/>
            <w:shd w:val="clear" w:color="auto" w:fill="auto"/>
            <w:vAlign w:val="center"/>
          </w:tcPr>
          <w:p w14:paraId="2ABA57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8万元</w:t>
            </w:r>
          </w:p>
        </w:tc>
        <w:tc>
          <w:tcPr>
            <w:tcW w:w="1052" w:type="dxa"/>
            <w:shd w:val="clear" w:color="auto" w:fill="auto"/>
            <w:vAlign w:val="center"/>
          </w:tcPr>
          <w:p w14:paraId="09B08B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自筹</w:t>
            </w:r>
          </w:p>
        </w:tc>
        <w:tc>
          <w:tcPr>
            <w:tcW w:w="1180" w:type="dxa"/>
            <w:gridSpan w:val="2"/>
            <w:shd w:val="clear" w:color="auto" w:fill="auto"/>
            <w:vAlign w:val="center"/>
          </w:tcPr>
          <w:p w14:paraId="070D1F9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938" w:type="dxa"/>
            <w:vAlign w:val="center"/>
          </w:tcPr>
          <w:p w14:paraId="33F553C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938" w:type="dxa"/>
            <w:gridSpan w:val="2"/>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p>
        </w:tc>
        <w:tc>
          <w:tcPr>
            <w:tcW w:w="7291"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jc w:val="center"/>
        </w:trPr>
        <w:tc>
          <w:tcPr>
            <w:tcW w:w="938" w:type="dxa"/>
            <w:vAlign w:val="center"/>
          </w:tcPr>
          <w:p w14:paraId="4EE5DF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cs="宋体"/>
                <w:b/>
                <w:bCs/>
                <w:color w:val="auto"/>
                <w:sz w:val="24"/>
                <w:szCs w:val="24"/>
                <w:highlight w:val="none"/>
                <w:vertAlign w:val="baseline"/>
                <w:lang w:val="en-US" w:eastAsia="zh-CN"/>
              </w:rPr>
              <w:t>备</w:t>
            </w:r>
            <w:r>
              <w:rPr>
                <w:rFonts w:hint="eastAsia" w:ascii="宋体" w:hAnsi="宋体" w:eastAsia="宋体" w:cs="宋体"/>
                <w:b/>
                <w:bCs/>
                <w:color w:val="auto"/>
                <w:sz w:val="24"/>
                <w:szCs w:val="24"/>
                <w:highlight w:val="none"/>
                <w:vertAlign w:val="baseline"/>
                <w:lang w:val="en-US" w:eastAsia="zh-CN"/>
              </w:rPr>
              <w:t>注</w:t>
            </w:r>
          </w:p>
        </w:tc>
        <w:tc>
          <w:tcPr>
            <w:tcW w:w="933"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p>
        </w:tc>
        <w:tc>
          <w:tcPr>
            <w:tcW w:w="7296" w:type="dxa"/>
            <w:gridSpan w:val="7"/>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p>
        </w:tc>
      </w:tr>
    </w:tbl>
    <w:p w14:paraId="2DF54C4E">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27A92261">
      <w:pPr>
        <w:keepNext w:val="0"/>
        <w:keepLines w:val="0"/>
        <w:pageBreakBefore w:val="0"/>
        <w:numPr>
          <w:ilvl w:val="0"/>
          <w:numId w:val="0"/>
        </w:numPr>
        <w:kinsoku/>
        <w:wordWrap/>
        <w:overflowPunct/>
        <w:topLinePunct w:val="0"/>
        <w:autoSpaceDE/>
        <w:autoSpaceDN/>
        <w:bidi w:val="0"/>
        <w:adjustRightInd/>
        <w:snapToGrid/>
        <w:spacing w:line="440" w:lineRule="exact"/>
        <w:jc w:val="center"/>
        <w:textAlignment w:val="auto"/>
        <w:rPr>
          <w:rFonts w:hint="eastAsia" w:ascii="宋体" w:hAnsi="宋体" w:eastAsia="宋体" w:cs="宋体"/>
          <w:b/>
          <w:sz w:val="21"/>
          <w:szCs w:val="21"/>
          <w:highlight w:val="none"/>
          <w:lang w:val="en-US" w:eastAsia="zh-CN"/>
        </w:rPr>
      </w:pPr>
      <w:r>
        <w:rPr>
          <w:rFonts w:hint="eastAsia" w:ascii="宋体" w:hAnsi="宋体" w:cs="宋体"/>
          <w:b/>
          <w:bCs/>
          <w:sz w:val="21"/>
          <w:szCs w:val="21"/>
          <w:highlight w:val="none"/>
          <w:lang w:val="en-US" w:eastAsia="zh-CN"/>
        </w:rPr>
        <w:t>包1：五官清洗器技术参数</w:t>
      </w:r>
    </w:p>
    <w:p w14:paraId="1FD296C9">
      <w:pPr>
        <w:rPr>
          <w:rFonts w:hint="eastAsia" w:ascii="宋体" w:hAnsi="宋体" w:eastAsia="宋体" w:cs="宋体"/>
          <w:sz w:val="21"/>
          <w:szCs w:val="21"/>
          <w:highlight w:val="none"/>
        </w:rPr>
      </w:pPr>
      <w:r>
        <w:rPr>
          <w:rFonts w:hint="eastAsia" w:ascii="宋体" w:hAnsi="宋体" w:eastAsia="宋体" w:cs="宋体"/>
          <w:sz w:val="21"/>
          <w:szCs w:val="21"/>
          <w:highlight w:val="none"/>
        </w:rPr>
        <w:t>1、使用通道：≥双通道</w:t>
      </w:r>
    </w:p>
    <w:p w14:paraId="569FA697">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、标准配置：主机、液晶控制平台、输气管路、一次性雾化器</w:t>
      </w:r>
    </w:p>
    <w:p w14:paraId="4617FB87">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、功能：鼻、咽、喉冲洗及给药护理</w:t>
      </w:r>
      <w:r>
        <w:rPr>
          <w:rFonts w:hint="eastAsia" w:ascii="宋体" w:hAnsi="宋体" w:eastAsia="宋体" w:cs="宋体"/>
          <w:sz w:val="21"/>
          <w:szCs w:val="21"/>
          <w:highlight w:val="none"/>
          <w:lang w:eastAsia="zh-CN"/>
        </w:rPr>
        <w:t>等</w:t>
      </w:r>
    </w:p>
    <w:p w14:paraId="3D3952FA">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、冲洗方式：连续式、脉冲式</w:t>
      </w:r>
      <w:r>
        <w:rPr>
          <w:rFonts w:hint="eastAsia" w:ascii="宋体" w:hAnsi="宋体" w:eastAsia="宋体" w:cs="宋体"/>
          <w:sz w:val="21"/>
          <w:szCs w:val="21"/>
          <w:highlight w:val="none"/>
          <w:lang w:eastAsia="zh-CN"/>
        </w:rPr>
        <w:t>等</w:t>
      </w:r>
    </w:p>
    <w:p w14:paraId="50705638">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、水粒直径：8µm—100µm</w:t>
      </w:r>
    </w:p>
    <w:p w14:paraId="69256D87">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、工作压力：≥125kPa</w:t>
      </w:r>
    </w:p>
    <w:p w14:paraId="18792AAB">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、冲洗压力调整：成人、加强、儿童、口咽雾化、雾化吸入≥五种等级</w:t>
      </w:r>
    </w:p>
    <w:p w14:paraId="13CD3085">
      <w:pP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、冲洗药剂流量：≤95ml/min</w:t>
      </w:r>
    </w:p>
    <w:p w14:paraId="01B23391">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、设备功耗：≤150VA</w:t>
      </w:r>
    </w:p>
    <w:p w14:paraId="0579AE43">
      <w:pPr>
        <w:spacing w:line="192"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10、</w:t>
      </w:r>
      <w:r>
        <w:rPr>
          <w:rFonts w:hint="eastAsia" w:ascii="宋体" w:hAnsi="宋体" w:eastAsia="宋体" w:cs="宋体"/>
          <w:b/>
          <w:bCs/>
          <w:sz w:val="21"/>
          <w:szCs w:val="21"/>
          <w:highlight w:val="none"/>
        </w:rPr>
        <w:t>配置清单</w:t>
      </w:r>
      <w:r>
        <w:rPr>
          <w:rFonts w:hint="eastAsia" w:ascii="宋体" w:hAnsi="宋体" w:eastAsia="宋体" w:cs="宋体"/>
          <w:b/>
          <w:bCs/>
          <w:sz w:val="21"/>
          <w:szCs w:val="21"/>
          <w:highlight w:val="none"/>
          <w:lang w:eastAsia="zh-CN"/>
        </w:rPr>
        <w:t>（包含但不限于）</w:t>
      </w:r>
      <w:r>
        <w:rPr>
          <w:rFonts w:hint="eastAsia" w:ascii="宋体" w:hAnsi="宋体" w:eastAsia="宋体" w:cs="宋体"/>
          <w:b/>
          <w:bCs/>
          <w:sz w:val="21"/>
          <w:szCs w:val="21"/>
          <w:highlight w:val="none"/>
        </w:rPr>
        <w:t>：</w:t>
      </w:r>
    </w:p>
    <w:p w14:paraId="7141EBCB">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主机（推车型）：1台</w:t>
      </w:r>
    </w:p>
    <w:p w14:paraId="344D9023">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转接头：2个</w:t>
      </w:r>
    </w:p>
    <w:p w14:paraId="41DC14B8">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儿童鼻罩：2个</w:t>
      </w:r>
    </w:p>
    <w:p w14:paraId="66D569C9">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喉罩：2个</w:t>
      </w:r>
    </w:p>
    <w:p w14:paraId="0AD1D5BC">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输气管：2条</w:t>
      </w:r>
    </w:p>
    <w:p w14:paraId="7F2EE40F">
      <w:pPr>
        <w:spacing w:line="192"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药杯6ml/雾化器50ml/雾化器200ml/雾化器100ml：2套</w:t>
      </w:r>
    </w:p>
    <w:p w14:paraId="78ED8CDB">
      <w:pPr>
        <w:pStyle w:val="50"/>
        <w:rPr>
          <w:rFonts w:hint="eastAsia" w:ascii="宋体" w:hAnsi="宋体" w:eastAsia="宋体" w:cs="宋体"/>
          <w:b/>
          <w:bCs/>
          <w:color w:val="auto"/>
          <w:kern w:val="2"/>
          <w:sz w:val="21"/>
          <w:szCs w:val="24"/>
          <w:highlight w:val="none"/>
          <w:lang w:val="en-US" w:eastAsia="zh-CN" w:bidi="ar-SA"/>
        </w:rPr>
      </w:pPr>
    </w:p>
    <w:p w14:paraId="32482C5A">
      <w:pPr>
        <w:spacing w:line="240" w:lineRule="atLeast"/>
        <w:jc w:val="center"/>
        <w:rPr>
          <w:rFonts w:hint="eastAsia" w:ascii="宋体" w:hAnsi="宋体" w:eastAsia="宋体" w:cs="宋体"/>
          <w:b/>
          <w:bCs w:val="0"/>
          <w:sz w:val="21"/>
          <w:szCs w:val="21"/>
          <w:highlight w:val="none"/>
          <w:lang w:val="en-US" w:eastAsia="zh-CN"/>
        </w:rPr>
        <w:sectPr>
          <w:footerReference r:id="rId5" w:type="default"/>
          <w:pgSz w:w="11906" w:h="16838"/>
          <w:pgMar w:top="1417" w:right="1474" w:bottom="1417" w:left="1474" w:header="851" w:footer="624" w:gutter="0"/>
          <w:pgNumType w:fmt="decimal"/>
          <w:cols w:space="720" w:num="1"/>
          <w:docGrid w:type="lines" w:linePitch="319" w:charSpace="0"/>
        </w:sectPr>
      </w:pPr>
    </w:p>
    <w:p w14:paraId="229C489C">
      <w:pPr>
        <w:spacing w:line="240" w:lineRule="atLeast"/>
        <w:jc w:val="center"/>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lang w:val="en-US" w:eastAsia="zh-CN"/>
        </w:rPr>
        <w:t>包2：短波紫外线治疗仪</w:t>
      </w:r>
      <w:r>
        <w:rPr>
          <w:rFonts w:hint="eastAsia" w:ascii="宋体" w:hAnsi="宋体" w:eastAsia="宋体" w:cs="宋体"/>
          <w:b/>
          <w:bCs w:val="0"/>
          <w:sz w:val="21"/>
          <w:szCs w:val="21"/>
          <w:highlight w:val="none"/>
        </w:rPr>
        <w:t>技术参数</w:t>
      </w:r>
    </w:p>
    <w:p w14:paraId="4C9F2652">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1、正常工作条件</w:t>
      </w:r>
    </w:p>
    <w:p w14:paraId="0087487B">
      <w:pPr>
        <w:spacing w:line="360" w:lineRule="auto"/>
        <w:ind w:firstLine="210" w:firstLineChars="100"/>
        <w:rPr>
          <w:rFonts w:hint="eastAsia" w:ascii="宋体" w:hAnsi="宋体" w:eastAsia="宋体" w:cs="宋体"/>
          <w:bCs/>
          <w:sz w:val="21"/>
          <w:szCs w:val="21"/>
          <w:highlight w:val="none"/>
        </w:rPr>
      </w:pPr>
      <w:r>
        <w:rPr>
          <w:rFonts w:hint="eastAsia" w:ascii="宋体" w:hAnsi="宋体" w:eastAsia="宋体" w:cs="宋体"/>
          <w:bCs/>
          <w:sz w:val="21"/>
          <w:szCs w:val="21"/>
          <w:highlight w:val="none"/>
        </w:rPr>
        <w:t>a）环境温度：5℃～40℃；</w:t>
      </w:r>
    </w:p>
    <w:p w14:paraId="41365D8F">
      <w:pPr>
        <w:spacing w:line="360" w:lineRule="auto"/>
        <w:ind w:firstLine="210" w:firstLineChars="100"/>
        <w:rPr>
          <w:rFonts w:hint="eastAsia" w:ascii="宋体" w:hAnsi="宋体" w:eastAsia="宋体" w:cs="宋体"/>
          <w:bCs/>
          <w:sz w:val="21"/>
          <w:szCs w:val="21"/>
          <w:highlight w:val="none"/>
        </w:rPr>
      </w:pPr>
      <w:r>
        <w:rPr>
          <w:rFonts w:hint="eastAsia" w:ascii="宋体" w:hAnsi="宋体" w:eastAsia="宋体" w:cs="宋体"/>
          <w:bCs/>
          <w:sz w:val="21"/>
          <w:szCs w:val="21"/>
          <w:highlight w:val="none"/>
        </w:rPr>
        <w:t>b）相对湿度：≤80%；</w:t>
      </w:r>
    </w:p>
    <w:p w14:paraId="79FA5605">
      <w:pPr>
        <w:spacing w:line="360" w:lineRule="auto"/>
        <w:ind w:firstLine="210" w:firstLineChars="100"/>
        <w:rPr>
          <w:rFonts w:hint="eastAsia" w:ascii="宋体" w:hAnsi="宋体" w:eastAsia="宋体" w:cs="宋体"/>
          <w:bCs/>
          <w:sz w:val="21"/>
          <w:szCs w:val="21"/>
          <w:highlight w:val="none"/>
        </w:rPr>
      </w:pPr>
      <w:r>
        <w:rPr>
          <w:rFonts w:hint="eastAsia" w:ascii="宋体" w:hAnsi="宋体" w:eastAsia="宋体" w:cs="宋体"/>
          <w:bCs/>
          <w:sz w:val="21"/>
          <w:szCs w:val="21"/>
          <w:highlight w:val="none"/>
        </w:rPr>
        <w:t>c）大气压力：860hPa～1060hPa；</w:t>
      </w:r>
    </w:p>
    <w:p w14:paraId="4675F827">
      <w:pPr>
        <w:spacing w:line="360" w:lineRule="auto"/>
        <w:ind w:firstLine="210" w:firstLineChars="100"/>
        <w:rPr>
          <w:rFonts w:hint="eastAsia" w:ascii="宋体" w:hAnsi="宋体" w:eastAsia="宋体" w:cs="宋体"/>
          <w:bCs/>
          <w:sz w:val="21"/>
          <w:szCs w:val="21"/>
          <w:highlight w:val="none"/>
        </w:rPr>
      </w:pPr>
      <w:r>
        <w:rPr>
          <w:rFonts w:hint="eastAsia" w:ascii="宋体" w:hAnsi="宋体" w:eastAsia="宋体" w:cs="宋体"/>
          <w:bCs/>
          <w:sz w:val="21"/>
          <w:szCs w:val="21"/>
          <w:highlight w:val="none"/>
        </w:rPr>
        <w:t>d）电源电压：AC 220V±22V 50Hz±1Hz；</w:t>
      </w:r>
    </w:p>
    <w:p w14:paraId="14F120BE">
      <w:pPr>
        <w:spacing w:line="360" w:lineRule="auto"/>
        <w:ind w:firstLine="210" w:firstLineChars="100"/>
        <w:rPr>
          <w:rFonts w:hint="eastAsia" w:ascii="宋体" w:hAnsi="宋体" w:eastAsia="宋体" w:cs="宋体"/>
          <w:bCs/>
          <w:sz w:val="21"/>
          <w:szCs w:val="21"/>
          <w:highlight w:val="none"/>
        </w:rPr>
      </w:pPr>
      <w:r>
        <w:rPr>
          <w:rFonts w:hint="eastAsia" w:ascii="宋体" w:hAnsi="宋体" w:eastAsia="宋体" w:cs="宋体"/>
          <w:bCs/>
          <w:sz w:val="21"/>
          <w:szCs w:val="21"/>
          <w:highlight w:val="none"/>
        </w:rPr>
        <w:t>e）输入功率：150VA；</w:t>
      </w:r>
    </w:p>
    <w:p w14:paraId="1BCE6691">
      <w:pPr>
        <w:spacing w:line="360" w:lineRule="auto"/>
        <w:ind w:firstLine="210" w:firstLineChars="100"/>
        <w:rPr>
          <w:rFonts w:hint="eastAsia" w:ascii="宋体" w:hAnsi="宋体" w:eastAsia="宋体" w:cs="宋体"/>
          <w:bCs/>
          <w:sz w:val="21"/>
          <w:szCs w:val="21"/>
          <w:highlight w:val="none"/>
        </w:rPr>
      </w:pPr>
      <w:r>
        <w:rPr>
          <w:rFonts w:hint="eastAsia" w:ascii="宋体" w:hAnsi="宋体" w:eastAsia="宋体" w:cs="宋体"/>
          <w:bCs/>
          <w:sz w:val="21"/>
          <w:szCs w:val="21"/>
          <w:highlight w:val="none"/>
        </w:rPr>
        <w:t>f）按运行模式分类：间歇加载，连续运行。</w:t>
      </w:r>
    </w:p>
    <w:p w14:paraId="60C4E172">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2、柜式一体机型，推车设计带锁止万向轮，各种角度灵活转动；</w:t>
      </w:r>
    </w:p>
    <w:p w14:paraId="452A18EB">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3、触摸屏操作；</w:t>
      </w:r>
    </w:p>
    <w:p w14:paraId="6CE3797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4、≥双通道输出；</w:t>
      </w:r>
    </w:p>
    <w:p w14:paraId="58B35D1E">
      <w:pPr>
        <w:spacing w:line="360" w:lineRule="auto"/>
        <w:rPr>
          <w:rFonts w:hint="eastAsia" w:ascii="宋体" w:hAnsi="宋体" w:eastAsia="宋体" w:cs="宋体"/>
          <w:bCs/>
          <w:sz w:val="21"/>
          <w:szCs w:val="21"/>
          <w:highlight w:val="none"/>
        </w:rPr>
      </w:pPr>
      <w:bookmarkStart w:id="35" w:name="_Hlk144406309"/>
      <w:r>
        <w:rPr>
          <w:rFonts w:hint="eastAsia" w:ascii="宋体" w:hAnsi="宋体" w:eastAsia="宋体" w:cs="宋体"/>
          <w:bCs/>
          <w:sz w:val="21"/>
          <w:szCs w:val="21"/>
          <w:highlight w:val="none"/>
        </w:rPr>
        <w:t>5、辐射波峰值波长为 253.7nm，误差为±3nm；</w:t>
      </w:r>
    </w:p>
    <w:p w14:paraId="62F5916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6、体腔照射器最大有效辐照强度15mW/cm</w:t>
      </w:r>
      <w:r>
        <w:rPr>
          <w:rFonts w:hint="eastAsia" w:ascii="宋体" w:hAnsi="宋体" w:eastAsia="宋体" w:cs="宋体"/>
          <w:bCs/>
          <w:sz w:val="21"/>
          <w:szCs w:val="21"/>
          <w:highlight w:val="none"/>
          <w:vertAlign w:val="superscript"/>
        </w:rPr>
        <w:t>2</w:t>
      </w:r>
      <w:r>
        <w:rPr>
          <w:rFonts w:hint="eastAsia" w:ascii="宋体" w:hAnsi="宋体" w:eastAsia="宋体" w:cs="宋体"/>
          <w:bCs/>
          <w:sz w:val="21"/>
          <w:szCs w:val="21"/>
          <w:highlight w:val="none"/>
        </w:rPr>
        <w:t>，误差±20%；</w:t>
      </w:r>
    </w:p>
    <w:p w14:paraId="0E6B8F3C">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体表照射器最大有效辐照强度15mW/cm</w:t>
      </w:r>
      <w:r>
        <w:rPr>
          <w:rFonts w:hint="eastAsia" w:ascii="宋体" w:hAnsi="宋体" w:eastAsia="宋体" w:cs="宋体"/>
          <w:bCs/>
          <w:sz w:val="21"/>
          <w:szCs w:val="21"/>
          <w:highlight w:val="none"/>
          <w:vertAlign w:val="superscript"/>
        </w:rPr>
        <w:t>2</w:t>
      </w:r>
      <w:r>
        <w:rPr>
          <w:rFonts w:hint="eastAsia" w:ascii="宋体" w:hAnsi="宋体" w:eastAsia="宋体" w:cs="宋体"/>
          <w:bCs/>
          <w:sz w:val="21"/>
          <w:szCs w:val="21"/>
          <w:highlight w:val="none"/>
        </w:rPr>
        <w:t>，误差±20%；</w:t>
      </w:r>
    </w:p>
    <w:p w14:paraId="7F325BEF">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7、最大有效照射区：2400mm</w:t>
      </w:r>
      <w:r>
        <w:rPr>
          <w:rFonts w:hint="eastAsia" w:ascii="宋体" w:hAnsi="宋体" w:eastAsia="宋体" w:cs="宋体"/>
          <w:bCs/>
          <w:sz w:val="21"/>
          <w:szCs w:val="21"/>
          <w:highlight w:val="none"/>
          <w:vertAlign w:val="superscript"/>
        </w:rPr>
        <w:t>2</w:t>
      </w:r>
      <w:r>
        <w:rPr>
          <w:rFonts w:hint="eastAsia" w:ascii="宋体" w:hAnsi="宋体" w:eastAsia="宋体" w:cs="宋体"/>
          <w:bCs/>
          <w:sz w:val="21"/>
          <w:szCs w:val="21"/>
          <w:highlight w:val="none"/>
        </w:rPr>
        <w:t>；</w:t>
      </w:r>
    </w:p>
    <w:p w14:paraId="452E614D">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8、紫外照射剂量：≤2J/cm</w:t>
      </w:r>
      <w:r>
        <w:rPr>
          <w:rFonts w:hint="eastAsia" w:ascii="宋体" w:hAnsi="宋体" w:eastAsia="宋体" w:cs="宋体"/>
          <w:bCs/>
          <w:sz w:val="21"/>
          <w:szCs w:val="21"/>
          <w:highlight w:val="none"/>
          <w:vertAlign w:val="superscript"/>
        </w:rPr>
        <w:t>2</w:t>
      </w:r>
      <w:r>
        <w:rPr>
          <w:rFonts w:hint="eastAsia" w:ascii="宋体" w:hAnsi="宋体" w:eastAsia="宋体" w:cs="宋体"/>
          <w:bCs/>
          <w:sz w:val="21"/>
          <w:szCs w:val="21"/>
          <w:highlight w:val="none"/>
        </w:rPr>
        <w:t>；</w:t>
      </w:r>
    </w:p>
    <w:p w14:paraId="54810ECA">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9、设备用于辅助治疗术后伤口、创伤感染、褥疮、扁桃体炎，并提供证明文件；</w:t>
      </w:r>
    </w:p>
    <w:p w14:paraId="186E6D94">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10、治疗结束时有音响提示；</w:t>
      </w:r>
    </w:p>
    <w:p w14:paraId="374091C3">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11、治疗时间：1s-100s可调，步长1s，误差±2%；</w:t>
      </w:r>
    </w:p>
    <w:p w14:paraId="059AA285">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12、可在输出状态下进行复位，复位后为待机状态，停止输出；</w:t>
      </w:r>
    </w:p>
    <w:p w14:paraId="338C2124">
      <w:pPr>
        <w:spacing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13、自动散热：治疗状态下，体腔手柄（通风口处）的温度达35℃±5℃时，自动通风散热；</w:t>
      </w:r>
    </w:p>
    <w:p w14:paraId="12B134BF">
      <w:pPr>
        <w:spacing w:afterAutospacing="0" w:line="360" w:lineRule="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14、配备多种照射器：主机标配≥1个体表照射器、≥1个体腔照射器及≥3个体腔光导；</w:t>
      </w:r>
      <w:bookmarkEnd w:id="35"/>
    </w:p>
    <w:p w14:paraId="0C6DBCC9">
      <w:pPr>
        <w:pStyle w:val="8"/>
        <w:spacing w:before="0" w:beforeAutospacing="0" w:after="0" w:afterAutospacing="0"/>
        <w:rPr>
          <w:rFonts w:hint="eastAsia" w:ascii="宋体" w:hAnsi="宋体" w:eastAsia="宋体" w:cs="宋体"/>
          <w:sz w:val="21"/>
          <w:szCs w:val="21"/>
          <w:highlight w:val="none"/>
          <w:lang w:eastAsia="zh-CN"/>
        </w:rPr>
      </w:pPr>
      <w:r>
        <w:rPr>
          <w:rFonts w:hint="eastAsia" w:ascii="宋体" w:hAnsi="宋体" w:eastAsia="宋体" w:cs="宋体"/>
          <w:bCs/>
          <w:sz w:val="21"/>
          <w:szCs w:val="21"/>
          <w:highlight w:val="none"/>
          <w:lang w:val="en-US" w:eastAsia="zh-CN"/>
        </w:rPr>
        <w:t>15、</w:t>
      </w:r>
      <w:r>
        <w:rPr>
          <w:rFonts w:hint="eastAsia" w:ascii="宋体" w:hAnsi="宋体" w:eastAsia="宋体" w:cs="宋体"/>
          <w:bCs/>
          <w:sz w:val="21"/>
          <w:szCs w:val="21"/>
          <w:highlight w:val="none"/>
          <w:lang w:eastAsia="zh-CN"/>
        </w:rPr>
        <w:t>配置清单（包含但不限于）：</w:t>
      </w:r>
    </w:p>
    <w:tbl>
      <w:tblPr>
        <w:tblStyle w:val="34"/>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463"/>
        <w:gridCol w:w="2202"/>
        <w:gridCol w:w="2202"/>
      </w:tblGrid>
      <w:tr w14:paraId="2A26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top"/>
          </w:tcPr>
          <w:p w14:paraId="5E4DF3C1">
            <w:pPr>
              <w:spacing w:beforeAutospacing="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3463" w:type="dxa"/>
            <w:noWrap w:val="0"/>
            <w:vAlign w:val="top"/>
          </w:tcPr>
          <w:p w14:paraId="216D78A4">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2202" w:type="dxa"/>
            <w:noWrap w:val="0"/>
            <w:vAlign w:val="top"/>
          </w:tcPr>
          <w:p w14:paraId="17A6822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2202" w:type="dxa"/>
            <w:noWrap w:val="0"/>
            <w:vAlign w:val="top"/>
          </w:tcPr>
          <w:p w14:paraId="793BE272">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r>
      <w:tr w14:paraId="2209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top"/>
          </w:tcPr>
          <w:p w14:paraId="4A2CFBA3">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463" w:type="dxa"/>
            <w:noWrap w:val="0"/>
            <w:vAlign w:val="top"/>
          </w:tcPr>
          <w:p w14:paraId="651C48A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整机</w:t>
            </w:r>
          </w:p>
        </w:tc>
        <w:tc>
          <w:tcPr>
            <w:tcW w:w="2202" w:type="dxa"/>
            <w:noWrap w:val="0"/>
            <w:vAlign w:val="top"/>
          </w:tcPr>
          <w:p w14:paraId="66ED5F0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台</w:t>
            </w:r>
          </w:p>
        </w:tc>
        <w:tc>
          <w:tcPr>
            <w:tcW w:w="2202" w:type="dxa"/>
            <w:noWrap w:val="0"/>
            <w:vAlign w:val="top"/>
          </w:tcPr>
          <w:p w14:paraId="0D0E2B1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5266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top"/>
          </w:tcPr>
          <w:p w14:paraId="269947E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463" w:type="dxa"/>
            <w:noWrap w:val="0"/>
            <w:vAlign w:val="top"/>
          </w:tcPr>
          <w:p w14:paraId="6723E46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嵌入式软件</w:t>
            </w:r>
          </w:p>
        </w:tc>
        <w:tc>
          <w:tcPr>
            <w:tcW w:w="2202" w:type="dxa"/>
            <w:noWrap w:val="0"/>
            <w:vAlign w:val="top"/>
          </w:tcPr>
          <w:p w14:paraId="5F8D3F3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套</w:t>
            </w:r>
          </w:p>
        </w:tc>
        <w:tc>
          <w:tcPr>
            <w:tcW w:w="2202" w:type="dxa"/>
            <w:noWrap w:val="0"/>
            <w:vAlign w:val="top"/>
          </w:tcPr>
          <w:p w14:paraId="043D043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6A3C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top"/>
          </w:tcPr>
          <w:p w14:paraId="792624A1">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3463" w:type="dxa"/>
            <w:noWrap w:val="0"/>
            <w:vAlign w:val="center"/>
          </w:tcPr>
          <w:p w14:paraId="69AC2979">
            <w:pPr>
              <w:widowControl/>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体表照射器</w:t>
            </w:r>
          </w:p>
        </w:tc>
        <w:tc>
          <w:tcPr>
            <w:tcW w:w="2202" w:type="dxa"/>
            <w:noWrap w:val="0"/>
            <w:vAlign w:val="top"/>
          </w:tcPr>
          <w:p w14:paraId="6ADF1FB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2202" w:type="dxa"/>
            <w:noWrap w:val="0"/>
            <w:vAlign w:val="top"/>
          </w:tcPr>
          <w:p w14:paraId="26CEF691">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6828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center"/>
          </w:tcPr>
          <w:p w14:paraId="4DEC560B">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3463" w:type="dxa"/>
            <w:noWrap w:val="0"/>
            <w:vAlign w:val="center"/>
          </w:tcPr>
          <w:p w14:paraId="2E3E84C3">
            <w:pPr>
              <w:widowControl/>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体腔照射器</w:t>
            </w:r>
          </w:p>
        </w:tc>
        <w:tc>
          <w:tcPr>
            <w:tcW w:w="2202" w:type="dxa"/>
            <w:noWrap w:val="0"/>
            <w:vAlign w:val="center"/>
          </w:tcPr>
          <w:p w14:paraId="036A823E">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2202" w:type="dxa"/>
            <w:noWrap w:val="0"/>
            <w:vAlign w:val="center"/>
          </w:tcPr>
          <w:p w14:paraId="384F2FC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36E1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center"/>
          </w:tcPr>
          <w:p w14:paraId="050AA1FA">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3463" w:type="dxa"/>
            <w:noWrap w:val="0"/>
            <w:vAlign w:val="center"/>
          </w:tcPr>
          <w:p w14:paraId="5B3ECED0">
            <w:pPr>
              <w:widowControl/>
              <w:jc w:val="center"/>
              <w:textAlignment w:val="top"/>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体腔光导</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直光导</w:t>
            </w:r>
            <w:r>
              <w:rPr>
                <w:rFonts w:hint="eastAsia" w:ascii="宋体" w:hAnsi="宋体" w:eastAsia="宋体" w:cs="宋体"/>
                <w:sz w:val="21"/>
                <w:szCs w:val="21"/>
                <w:highlight w:val="none"/>
                <w:lang w:eastAsia="zh-CN"/>
              </w:rPr>
              <w:t>）</w:t>
            </w:r>
          </w:p>
        </w:tc>
        <w:tc>
          <w:tcPr>
            <w:tcW w:w="2202" w:type="dxa"/>
            <w:noWrap w:val="0"/>
            <w:vAlign w:val="center"/>
          </w:tcPr>
          <w:p w14:paraId="06FC9473">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2202" w:type="dxa"/>
            <w:noWrap w:val="0"/>
            <w:vAlign w:val="center"/>
          </w:tcPr>
          <w:p w14:paraId="217D99B0">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r w14:paraId="13BBA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top"/>
          </w:tcPr>
          <w:p w14:paraId="6F5D196C">
            <w:pPr>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w:t>
            </w:r>
          </w:p>
        </w:tc>
        <w:tc>
          <w:tcPr>
            <w:tcW w:w="3463" w:type="dxa"/>
            <w:noWrap w:val="0"/>
            <w:vAlign w:val="center"/>
          </w:tcPr>
          <w:p w14:paraId="56BA1DC7">
            <w:pPr>
              <w:widowControl/>
              <w:jc w:val="center"/>
              <w:textAlignment w:val="top"/>
              <w:rPr>
                <w:rFonts w:hint="eastAsia" w:ascii="宋体" w:hAnsi="宋体" w:eastAsia="宋体" w:cs="宋体"/>
                <w:sz w:val="21"/>
                <w:szCs w:val="21"/>
                <w:highlight w:val="none"/>
              </w:rPr>
            </w:pPr>
            <w:r>
              <w:rPr>
                <w:rFonts w:hint="eastAsia" w:ascii="宋体" w:hAnsi="宋体" w:eastAsia="宋体" w:cs="宋体"/>
                <w:sz w:val="21"/>
                <w:szCs w:val="21"/>
                <w:highlight w:val="none"/>
              </w:rPr>
              <w:t>体腔光导</w:t>
            </w:r>
            <w:r>
              <w:rPr>
                <w:rFonts w:hint="eastAsia" w:ascii="宋体" w:hAnsi="宋体" w:eastAsia="宋体" w:cs="宋体"/>
                <w:sz w:val="21"/>
                <w:szCs w:val="21"/>
                <w:highlight w:val="none"/>
                <w:lang w:eastAsia="zh-CN"/>
              </w:rPr>
              <w:t>（弯</w:t>
            </w:r>
            <w:r>
              <w:rPr>
                <w:rFonts w:hint="eastAsia" w:ascii="宋体" w:hAnsi="宋体" w:eastAsia="宋体" w:cs="宋体"/>
                <w:sz w:val="21"/>
                <w:szCs w:val="21"/>
                <w:highlight w:val="none"/>
              </w:rPr>
              <w:t>光导</w:t>
            </w:r>
            <w:r>
              <w:rPr>
                <w:rFonts w:hint="eastAsia" w:ascii="宋体" w:hAnsi="宋体" w:eastAsia="宋体" w:cs="宋体"/>
                <w:sz w:val="21"/>
                <w:szCs w:val="21"/>
                <w:highlight w:val="none"/>
                <w:lang w:eastAsia="zh-CN"/>
              </w:rPr>
              <w:t>）</w:t>
            </w:r>
          </w:p>
        </w:tc>
        <w:tc>
          <w:tcPr>
            <w:tcW w:w="2202" w:type="dxa"/>
            <w:noWrap w:val="0"/>
            <w:vAlign w:val="center"/>
          </w:tcPr>
          <w:p w14:paraId="1D92CF0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2202" w:type="dxa"/>
            <w:noWrap w:val="0"/>
            <w:vAlign w:val="center"/>
          </w:tcPr>
          <w:p w14:paraId="5E263757">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r>
      <w:tr w14:paraId="4AD7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50" w:type="dxa"/>
            <w:noWrap w:val="0"/>
            <w:vAlign w:val="center"/>
          </w:tcPr>
          <w:p w14:paraId="7AB66AE1">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3463" w:type="dxa"/>
            <w:noWrap w:val="0"/>
            <w:vAlign w:val="center"/>
          </w:tcPr>
          <w:p w14:paraId="6D752552">
            <w:pPr>
              <w:widowControl/>
              <w:spacing w:line="360" w:lineRule="auto"/>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防护眼镜</w:t>
            </w:r>
          </w:p>
        </w:tc>
        <w:tc>
          <w:tcPr>
            <w:tcW w:w="2202" w:type="dxa"/>
            <w:noWrap w:val="0"/>
            <w:vAlign w:val="top"/>
          </w:tcPr>
          <w:p w14:paraId="65A58BAB">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副</w:t>
            </w:r>
          </w:p>
        </w:tc>
        <w:tc>
          <w:tcPr>
            <w:tcW w:w="2202" w:type="dxa"/>
            <w:noWrap w:val="0"/>
            <w:vAlign w:val="top"/>
          </w:tcPr>
          <w:p w14:paraId="3F7F2832">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p>
        </w:tc>
      </w:tr>
      <w:tr w14:paraId="1523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50" w:type="dxa"/>
            <w:noWrap w:val="0"/>
            <w:vAlign w:val="top"/>
          </w:tcPr>
          <w:p w14:paraId="7BD9653D">
            <w:pPr>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8</w:t>
            </w:r>
          </w:p>
        </w:tc>
        <w:tc>
          <w:tcPr>
            <w:tcW w:w="3463" w:type="dxa"/>
            <w:noWrap w:val="0"/>
            <w:vAlign w:val="top"/>
          </w:tcPr>
          <w:p w14:paraId="0E54DC19">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防尘罩</w:t>
            </w:r>
          </w:p>
        </w:tc>
        <w:tc>
          <w:tcPr>
            <w:tcW w:w="2202" w:type="dxa"/>
            <w:noWrap w:val="0"/>
            <w:vAlign w:val="top"/>
          </w:tcPr>
          <w:p w14:paraId="3046CFCF">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个</w:t>
            </w:r>
          </w:p>
        </w:tc>
        <w:tc>
          <w:tcPr>
            <w:tcW w:w="2202" w:type="dxa"/>
            <w:noWrap w:val="0"/>
            <w:vAlign w:val="top"/>
          </w:tcPr>
          <w:p w14:paraId="528BE96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r>
    </w:tbl>
    <w:p w14:paraId="0334D105">
      <w:pPr>
        <w:jc w:val="center"/>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106ADFC5">
      <w:pPr>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商务要求</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包1、包2通用</w:t>
      </w:r>
      <w:r>
        <w:rPr>
          <w:rFonts w:hint="eastAsia" w:ascii="宋体" w:hAnsi="宋体" w:cs="宋体"/>
          <w:b/>
          <w:bCs/>
          <w:color w:val="auto"/>
          <w:sz w:val="30"/>
          <w:szCs w:val="30"/>
          <w:highlight w:val="none"/>
          <w:lang w:eastAsia="zh-CN"/>
        </w:rPr>
        <w:t>）</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6"/>
        <w:gridCol w:w="7720"/>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交货期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r>
              <w:rPr>
                <w:rFonts w:hint="eastAsia" w:cs="宋体"/>
                <w:color w:val="auto"/>
                <w:sz w:val="21"/>
                <w:szCs w:val="21"/>
                <w:highlight w:val="none"/>
                <w:lang w:val="en-US" w:eastAsia="zh-CN"/>
              </w:rPr>
              <w:t>。</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7720"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从产品入库之日起，整机保修三年，出具相关服务承诺书</w:t>
            </w:r>
            <w:r>
              <w:rPr>
                <w:rFonts w:hint="eastAsia" w:cs="宋体"/>
                <w:color w:val="auto"/>
                <w:kern w:val="2"/>
                <w:sz w:val="21"/>
                <w:szCs w:val="24"/>
                <w:highlight w:val="none"/>
                <w:lang w:val="en-US" w:eastAsia="zh-CN" w:bidi="ar-SA"/>
              </w:rPr>
              <w:t>。</w:t>
            </w:r>
          </w:p>
        </w:tc>
      </w:tr>
      <w:tr w14:paraId="0A33E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1812D0DA">
            <w:pPr>
              <w:pStyle w:val="7"/>
              <w:spacing w:line="360" w:lineRule="auto"/>
              <w:jc w:val="center"/>
              <w:rPr>
                <w:rFonts w:hint="eastAsia" w:cs="仿宋" w:asciiTheme="majorEastAsia" w:hAnsiTheme="majorEastAsia" w:eastAsiaTheme="majorEastAsia"/>
                <w:kern w:val="2"/>
                <w:sz w:val="21"/>
                <w:szCs w:val="21"/>
                <w:highlight w:val="none"/>
                <w:lang w:val="en-US" w:eastAsia="zh-CN"/>
              </w:rPr>
            </w:pPr>
            <w:r>
              <w:rPr>
                <w:rFonts w:hint="eastAsia" w:cs="仿宋" w:asciiTheme="majorEastAsia" w:hAnsiTheme="majorEastAsia" w:eastAsiaTheme="majorEastAsia"/>
                <w:kern w:val="2"/>
                <w:sz w:val="21"/>
                <w:szCs w:val="21"/>
                <w:highlight w:val="none"/>
                <w:lang w:val="en-US" w:eastAsia="zh-CN"/>
              </w:rPr>
              <w:t>付款方式</w:t>
            </w:r>
          </w:p>
        </w:tc>
        <w:tc>
          <w:tcPr>
            <w:tcW w:w="7720" w:type="dxa"/>
            <w:tcBorders>
              <w:top w:val="single" w:color="auto" w:sz="4" w:space="0"/>
              <w:left w:val="single" w:color="auto" w:sz="4" w:space="0"/>
              <w:bottom w:val="single" w:color="auto" w:sz="4" w:space="0"/>
              <w:right w:val="single" w:color="auto" w:sz="4" w:space="0"/>
            </w:tcBorders>
            <w:noWrap/>
            <w:vAlign w:val="center"/>
          </w:tcPr>
          <w:p w14:paraId="07DB78FF">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481E1749">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售后服务</w:t>
            </w:r>
          </w:p>
        </w:tc>
        <w:tc>
          <w:tcPr>
            <w:tcW w:w="7720" w:type="dxa"/>
            <w:tcBorders>
              <w:top w:val="single" w:color="auto" w:sz="4" w:space="0"/>
              <w:left w:val="single" w:color="auto" w:sz="4" w:space="0"/>
              <w:bottom w:val="single" w:color="auto" w:sz="4" w:space="0"/>
              <w:right w:val="single" w:color="auto" w:sz="4" w:space="0"/>
            </w:tcBorders>
            <w:noWrap/>
            <w:vAlign w:val="center"/>
          </w:tcPr>
          <w:p w14:paraId="0907E315">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质保期内应当为采购人提供以下技术支持和服务：</w:t>
            </w:r>
          </w:p>
          <w:p w14:paraId="2C60D43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0154AC87">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应当应每季度对该设备进行保养不少于一次,并出具保养报告，具体保养内容见合同。</w:t>
            </w:r>
          </w:p>
          <w:p w14:paraId="6EDE6319">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1AA12150">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0768591F">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426DD86E">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f、除火灾、洪水、地震等天灾外，在保修期内，由于货物故障所产生的所有费用均由成交供应商负责。</w:t>
            </w:r>
          </w:p>
          <w:p w14:paraId="1ABF8D2B">
            <w:pPr>
              <w:pStyle w:val="7"/>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jc w:val="left"/>
              <w:textAlignment w:val="auto"/>
              <w:rPr>
                <w:rFonts w:hint="default"/>
                <w:highlight w:val="none"/>
                <w:lang w:val="en-US" w:eastAsia="zh-CN"/>
              </w:rPr>
            </w:pPr>
            <w:r>
              <w:rPr>
                <w:rFonts w:hint="eastAsia" w:ascii="宋体" w:hAnsi="宋体" w:eastAsia="宋体" w:cs="宋体"/>
                <w:color w:val="auto"/>
                <w:sz w:val="21"/>
                <w:szCs w:val="21"/>
                <w:highlight w:val="none"/>
                <w:lang w:val="en-US" w:eastAsia="zh-CN"/>
              </w:rPr>
              <w:t>2.所有设备按照医院实际要求免费开放端口，免费为医院对接院内信息系统。质保期内免费进行软件升级。</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14478513">
            <w:pPr>
              <w:pStyle w:val="7"/>
              <w:spacing w:line="360" w:lineRule="auto"/>
              <w:jc w:val="center"/>
              <w:rPr>
                <w:rFonts w:hint="default"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培训</w:t>
            </w:r>
          </w:p>
        </w:tc>
        <w:tc>
          <w:tcPr>
            <w:tcW w:w="7720" w:type="dxa"/>
            <w:tcBorders>
              <w:top w:val="single" w:color="auto" w:sz="4" w:space="0"/>
              <w:left w:val="single" w:color="auto" w:sz="4" w:space="0"/>
              <w:bottom w:val="single" w:color="auto" w:sz="4" w:space="0"/>
              <w:right w:val="single" w:color="auto" w:sz="4" w:space="0"/>
            </w:tcBorders>
            <w:noWrap/>
            <w:vAlign w:val="center"/>
          </w:tcPr>
          <w:p w14:paraId="05BA776A">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免费提供操作培训和维修培训</w:t>
            </w:r>
            <w:r>
              <w:rPr>
                <w:rFonts w:hint="eastAsia" w:cs="宋体"/>
                <w:color w:val="auto"/>
                <w:sz w:val="21"/>
                <w:szCs w:val="21"/>
                <w:highlight w:val="none"/>
                <w:lang w:val="en-US" w:eastAsia="zh-CN"/>
              </w:rPr>
              <w:t>。</w:t>
            </w:r>
          </w:p>
        </w:tc>
      </w:tr>
      <w:tr w14:paraId="69E40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766" w:type="dxa"/>
            <w:tcBorders>
              <w:top w:val="single" w:color="auto" w:sz="4" w:space="0"/>
              <w:left w:val="single" w:color="auto" w:sz="4" w:space="0"/>
              <w:bottom w:val="single" w:color="auto" w:sz="4" w:space="0"/>
              <w:right w:val="single" w:color="auto" w:sz="4" w:space="0"/>
            </w:tcBorders>
            <w:noWrap/>
            <w:vAlign w:val="center"/>
          </w:tcPr>
          <w:p w14:paraId="71659DEB">
            <w:pPr>
              <w:pStyle w:val="7"/>
              <w:spacing w:line="360" w:lineRule="auto"/>
              <w:jc w:val="center"/>
              <w:rPr>
                <w:rFonts w:hint="eastAsia" w:cs="宋体"/>
                <w:color w:val="auto"/>
                <w:sz w:val="21"/>
                <w:szCs w:val="21"/>
                <w:highlight w:val="none"/>
                <w:lang w:val="en-US" w:eastAsia="zh-CN"/>
              </w:rPr>
            </w:pPr>
            <w:r>
              <w:rPr>
                <w:rFonts w:hint="eastAsia" w:asciiTheme="majorEastAsia" w:hAnsiTheme="majorEastAsia" w:eastAsiaTheme="majorEastAsia"/>
                <w:sz w:val="21"/>
                <w:szCs w:val="21"/>
                <w:highlight w:val="none"/>
              </w:rPr>
              <w:t>其他要求</w:t>
            </w:r>
          </w:p>
        </w:tc>
        <w:tc>
          <w:tcPr>
            <w:tcW w:w="7720" w:type="dxa"/>
            <w:tcBorders>
              <w:top w:val="single" w:color="auto" w:sz="4" w:space="0"/>
              <w:left w:val="single" w:color="auto" w:sz="4" w:space="0"/>
              <w:bottom w:val="single" w:color="auto" w:sz="4" w:space="0"/>
              <w:right w:val="single" w:color="auto" w:sz="4" w:space="0"/>
            </w:tcBorders>
            <w:noWrap/>
            <w:vAlign w:val="center"/>
          </w:tcPr>
          <w:p w14:paraId="54444678">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要求设备为最新出厂设备，出厂日期不得早于招标日期6个月。</w:t>
            </w:r>
          </w:p>
        </w:tc>
      </w:tr>
    </w:tbl>
    <w:p w14:paraId="4BA8948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r>
        <w:rPr>
          <w:rFonts w:hint="eastAsia" w:ascii="宋体" w:hAnsi="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包1、包2通用</w:t>
      </w:r>
      <w:r>
        <w:rPr>
          <w:rFonts w:hint="eastAsia" w:ascii="宋体" w:hAnsi="宋体" w:cs="宋体"/>
          <w:b/>
          <w:bCs/>
          <w:color w:val="auto"/>
          <w:sz w:val="30"/>
          <w:szCs w:val="30"/>
          <w:highlight w:val="none"/>
          <w:lang w:eastAsia="zh-CN"/>
        </w:rPr>
        <w:t>）</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jc w:val="center"/>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20" w:firstLineChars="200"/>
              <w:textAlignment w:val="auto"/>
              <w:rPr>
                <w:rFonts w:hint="eastAsia" w:ascii="Times New Roman" w:hAnsi="Times New Roman" w:eastAsia="宋体" w:cs="Times New Roman"/>
                <w:color w:val="auto"/>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4.商品包装和快递包装应符合《商品包装政府采购需求标准（试行）》和《快递包装政府采购需求标准（试行）》规定。</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6" w:name="_Toc2220"/>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采购预算：18万元 ；最高投标限价:18万元。其中：</w:t>
            </w:r>
          </w:p>
          <w:p w14:paraId="0A6F5B75">
            <w:pPr>
              <w:widowControl/>
              <w:snapToGrid w:val="0"/>
              <w:spacing w:line="440" w:lineRule="exact"/>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包1（五官清洗器）</w:t>
            </w:r>
            <w:r>
              <w:rPr>
                <w:rFonts w:hint="eastAsia" w:ascii="宋体" w:hAnsi="宋体" w:cs="宋体"/>
                <w:color w:val="auto"/>
                <w:kern w:val="0"/>
                <w:sz w:val="24"/>
                <w:szCs w:val="24"/>
                <w:highlight w:val="none"/>
                <w:lang w:val="en-US" w:eastAsia="zh-CN"/>
              </w:rPr>
              <w:t>预算金额：10万元；</w:t>
            </w:r>
            <w:r>
              <w:rPr>
                <w:rFonts w:hint="eastAsia" w:ascii="宋体" w:hAnsi="宋体" w:eastAsia="宋体" w:cs="宋体"/>
                <w:color w:val="auto"/>
                <w:kern w:val="0"/>
                <w:sz w:val="24"/>
                <w:szCs w:val="24"/>
                <w:highlight w:val="none"/>
                <w:lang w:val="en-US" w:eastAsia="zh-CN"/>
              </w:rPr>
              <w:t>最高投标限价:</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w:t>
            </w:r>
          </w:p>
          <w:p w14:paraId="0A0F8490">
            <w:pPr>
              <w:widowControl/>
              <w:snapToGrid w:val="0"/>
              <w:spacing w:line="440" w:lineRule="exact"/>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包</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（短波紫外线治疗仪）</w:t>
            </w:r>
            <w:r>
              <w:rPr>
                <w:rFonts w:hint="eastAsia" w:ascii="宋体" w:hAnsi="宋体" w:cs="宋体"/>
                <w:color w:val="auto"/>
                <w:kern w:val="0"/>
                <w:sz w:val="24"/>
                <w:szCs w:val="24"/>
                <w:highlight w:val="none"/>
                <w:lang w:val="en-US" w:eastAsia="zh-CN"/>
              </w:rPr>
              <w:t>预算金额：8万元；</w:t>
            </w:r>
            <w:r>
              <w:rPr>
                <w:rFonts w:hint="eastAsia" w:ascii="宋体" w:hAnsi="宋体" w:eastAsia="宋体" w:cs="宋体"/>
                <w:color w:val="auto"/>
                <w:kern w:val="0"/>
                <w:sz w:val="24"/>
                <w:szCs w:val="24"/>
                <w:highlight w:val="none"/>
                <w:lang w:val="en-US" w:eastAsia="zh-CN"/>
              </w:rPr>
              <w:t>最高投标限价:</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val="en-US" w:eastAsia="zh-CN"/>
              </w:rPr>
              <w:t>万元</w:t>
            </w:r>
            <w:r>
              <w:rPr>
                <w:rFonts w:hint="eastAsia" w:ascii="宋体" w:hAnsi="宋体" w:cs="宋体"/>
                <w:color w:val="auto"/>
                <w:kern w:val="0"/>
                <w:sz w:val="24"/>
                <w:szCs w:val="24"/>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343535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pt;margin-top:27.05pt;height:22.5pt;width:66.65pt;z-index:251660288;mso-width-relative:page;mso-height-relative:page;" fillcolor="#FFFFFF [3201]" filled="t" stroked="f" coordsize="21600,21600" o:gfxdata="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YyqSj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391160</wp:posOffset>
                            </wp:positionH>
                            <wp:positionV relativeFrom="paragraph">
                              <wp:posOffset>97790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8pt;margin-top:7.7pt;height:24.05pt;width:76.4pt;z-index:251659264;mso-width-relative:page;mso-height-relative:page;" fillcolor="#FFFFFF [3201]" filled="t" stroked="f" coordsize="21600,21600" o:gfxdata="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lf8IU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41EB4B9C">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bookmarkStart w:id="37" w:name="_Toc4700"/>
      <w:bookmarkStart w:id="38" w:name="_Toc16669"/>
    </w:p>
    <w:p w14:paraId="3FCD23E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 xml:space="preserve"> 货物</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lang w:eastAsia="zh-CN"/>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包1、包2通用</w:t>
      </w:r>
      <w:r>
        <w:rPr>
          <w:rFonts w:hint="eastAsia" w:ascii="宋体" w:hAnsi="宋体" w:cs="宋体"/>
          <w:b/>
          <w:bCs/>
          <w:color w:val="auto"/>
          <w:kern w:val="0"/>
          <w:sz w:val="24"/>
          <w:szCs w:val="24"/>
          <w:highlight w:val="none"/>
          <w:lang w:eastAsia="zh-CN"/>
        </w:rPr>
        <w:t>）</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10554E66">
      <w:pPr>
        <w:keepNext w:val="0"/>
        <w:keepLines w:val="0"/>
        <w:pageBreakBefore w:val="0"/>
        <w:widowControl/>
        <w:tabs>
          <w:tab w:val="left" w:pos="840"/>
        </w:tabs>
        <w:kinsoku/>
        <w:overflowPunct/>
        <w:topLinePunct w:val="0"/>
        <w:autoSpaceDE/>
        <w:autoSpaceDN/>
        <w:bidi w:val="0"/>
        <w:snapToGrid w:val="0"/>
        <w:spacing w:line="50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629CA47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b/>
          <w:bCs/>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w:t>
      </w:r>
      <w:r>
        <w:rPr>
          <w:rFonts w:hint="eastAsia" w:ascii="宋体" w:hAnsi="宋体" w:eastAsia="宋体" w:cs="宋体"/>
          <w:b w:val="0"/>
          <w:bCs w:val="0"/>
          <w:color w:val="auto"/>
          <w:sz w:val="24"/>
          <w:szCs w:val="24"/>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、评标</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1.4</w:t>
      </w:r>
      <w:r>
        <w:rPr>
          <w:rFonts w:hint="eastAsia" w:ascii="宋体" w:hAnsi="宋体" w:eastAsia="宋体" w:cs="宋体"/>
          <w:b w:val="0"/>
          <w:bCs w:val="0"/>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9" w:name="_Toc5747"/>
      <w:r>
        <w:rPr>
          <w:rFonts w:hint="eastAsia" w:ascii="宋体" w:hAnsi="宋体" w:eastAsia="宋体" w:cs="宋体"/>
          <w:b/>
          <w:bCs/>
          <w:color w:val="auto"/>
          <w:kern w:val="0"/>
          <w:sz w:val="32"/>
          <w:szCs w:val="32"/>
          <w:highlight w:val="none"/>
        </w:rPr>
        <w:t>第四章  评标办法及评分标准</w:t>
      </w:r>
      <w:bookmarkEnd w:id="37"/>
      <w:bookmarkEnd w:id="39"/>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2052AF86">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分；如得分为0，则磋商无效。 </w:t>
            </w:r>
          </w:p>
          <w:p w14:paraId="4039B1CC">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w:t>
            </w:r>
            <w:r>
              <w:rPr>
                <w:rFonts w:hint="eastAsia" w:ascii="宋体" w:hAnsi="宋体" w:cs="宋体"/>
                <w:b/>
                <w:bCs/>
                <w:sz w:val="24"/>
                <w:szCs w:val="24"/>
                <w:highlight w:val="none"/>
                <w:lang w:val="en-US" w:eastAsia="zh-CN"/>
              </w:rPr>
              <w:t>（其中检验报告照片页必须提供完整）</w:t>
            </w:r>
            <w:r>
              <w:rPr>
                <w:rFonts w:hint="eastAsia" w:ascii="宋体" w:hAnsi="宋体" w:cs="宋体"/>
                <w:sz w:val="24"/>
                <w:szCs w:val="24"/>
                <w:highlight w:val="none"/>
                <w:lang w:val="en-US" w:eastAsia="zh-CN"/>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2.产品综合评议（8分）</w:t>
            </w:r>
          </w:p>
        </w:tc>
        <w:tc>
          <w:tcPr>
            <w:tcW w:w="6770" w:type="dxa"/>
            <w:noWrap w:val="0"/>
            <w:vAlign w:val="center"/>
          </w:tcPr>
          <w:p w14:paraId="6580CC9B">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5343AEFC">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4</w:t>
            </w:r>
            <w:r>
              <w:rPr>
                <w:rFonts w:ascii="宋体" w:hAnsi="宋体" w:eastAsia="宋体"/>
                <w:sz w:val="24"/>
                <w:szCs w:val="24"/>
                <w:highlight w:val="none"/>
              </w:rPr>
              <w:t>分；</w:t>
            </w:r>
          </w:p>
          <w:p w14:paraId="48F70096">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6C838128">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31F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7C9BAB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483AF832">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6725FAE8">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6F35812E">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4</w:t>
            </w:r>
            <w:r>
              <w:rPr>
                <w:rFonts w:ascii="宋体" w:hAnsi="宋体" w:eastAsia="宋体"/>
                <w:sz w:val="24"/>
                <w:highlight w:val="none"/>
              </w:rPr>
              <w:t>分；</w:t>
            </w:r>
          </w:p>
          <w:p w14:paraId="600DB123">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44538B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FC2144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p>
          <w:p w14:paraId="0FAE2FC2">
            <w:pPr>
              <w:pStyle w:val="8"/>
              <w:pageBreakBefore w:val="0"/>
              <w:kinsoku/>
              <w:wordWrap/>
              <w:overflowPunct/>
              <w:topLinePunct w:val="0"/>
              <w:autoSpaceDE/>
              <w:autoSpaceDN/>
              <w:bidi w:val="0"/>
              <w:adjustRightInd/>
              <w:spacing w:before="0" w:after="0"/>
              <w:textAlignment w:val="auto"/>
              <w:rPr>
                <w:rFonts w:hint="eastAsia"/>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630FFF6E">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6C23467B">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73D2EF40">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eastAsia" w:ascii="宋体" w:hAnsi="宋体" w:cs="宋体"/>
          <w:b/>
          <w:bCs/>
          <w:color w:val="auto"/>
          <w:sz w:val="24"/>
          <w:szCs w:val="24"/>
          <w:highlight w:val="none"/>
          <w:lang w:val="en-US" w:eastAsia="zh-CN"/>
        </w:rPr>
      </w:pPr>
    </w:p>
    <w:p w14:paraId="7E172746">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eastAsia" w:ascii="宋体" w:hAnsi="宋体" w:cs="宋体"/>
          <w:b/>
          <w:bCs/>
          <w:color w:val="auto"/>
          <w:sz w:val="24"/>
          <w:szCs w:val="24"/>
          <w:highlight w:val="none"/>
          <w:lang w:val="en-US" w:eastAsia="zh-CN"/>
        </w:rPr>
      </w:pPr>
    </w:p>
    <w:p w14:paraId="1BDD1060">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eastAsia" w:ascii="宋体" w:hAnsi="宋体" w:cs="宋体"/>
          <w:b/>
          <w:bCs/>
          <w:color w:val="auto"/>
          <w:sz w:val="24"/>
          <w:szCs w:val="24"/>
          <w:highlight w:val="none"/>
          <w:lang w:val="en-US" w:eastAsia="zh-CN"/>
        </w:rPr>
      </w:pPr>
    </w:p>
    <w:p w14:paraId="52E76E6C">
      <w:pPr>
        <w:keepNext w:val="0"/>
        <w:keepLines w:val="0"/>
        <w:pageBreakBefore w:val="0"/>
        <w:widowControl w:val="0"/>
        <w:tabs>
          <w:tab w:val="left" w:pos="1620"/>
        </w:tabs>
        <w:kinsoku/>
        <w:wordWrap/>
        <w:overflowPunct/>
        <w:topLinePunct w:val="0"/>
        <w:autoSpaceDE/>
        <w:autoSpaceDN/>
        <w:bidi w:val="0"/>
        <w:adjustRightInd/>
        <w:snapToGrid w:val="0"/>
        <w:spacing w:line="40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3D53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3BBFEE98">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6ACA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7216C1D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51E998BF">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4AB3931F">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6A60802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069C7C50">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57C4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7C392F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48</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54DEA01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42</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51EF471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42</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每</w:t>
            </w:r>
            <w:r>
              <w:rPr>
                <w:rFonts w:hint="eastAsia" w:ascii="宋体" w:hAnsi="宋体" w:eastAsia="宋体" w:cs="宋体"/>
                <w:color w:val="auto"/>
                <w:sz w:val="24"/>
                <w:szCs w:val="24"/>
                <w:highlight w:val="none"/>
                <w:lang w:val="en-US" w:eastAsia="zh-CN"/>
              </w:rPr>
              <w:t>有一项不满足的扣</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 xml:space="preserve">分；如得分为0，则磋商无效。 </w:t>
            </w:r>
          </w:p>
          <w:p w14:paraId="6389543B">
            <w:pPr>
              <w:widowControl/>
              <w:snapToGrid w:val="0"/>
              <w:spacing w:line="360" w:lineRule="exac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1）供应商需如实填写技术偏离表，并标注偏离情况。</w:t>
            </w:r>
          </w:p>
          <w:p w14:paraId="50E16C3A">
            <w:pPr>
              <w:widowControl/>
              <w:snapToGrid w:val="0"/>
              <w:spacing w:line="360" w:lineRule="exact"/>
              <w:rPr>
                <w:rFonts w:ascii="宋体" w:hAnsi="宋体" w:cs="宋体"/>
                <w:b/>
                <w:bCs/>
                <w:sz w:val="24"/>
                <w:szCs w:val="24"/>
                <w:highlight w:val="none"/>
              </w:rPr>
            </w:pPr>
            <w:r>
              <w:rPr>
                <w:rFonts w:hint="eastAsia" w:ascii="宋体" w:hAnsi="宋体" w:cs="宋体"/>
                <w:b/>
                <w:bCs/>
                <w:sz w:val="24"/>
                <w:szCs w:val="24"/>
                <w:highlight w:val="none"/>
              </w:rPr>
              <w:t>2）供应商需提供所投设备</w:t>
            </w:r>
            <w:r>
              <w:rPr>
                <w:rFonts w:hint="eastAsia" w:ascii="宋体" w:hAnsi="宋体" w:cs="宋体"/>
                <w:b/>
                <w:bCs/>
                <w:sz w:val="24"/>
                <w:szCs w:val="24"/>
                <w:highlight w:val="none"/>
                <w:lang w:val="en-US" w:eastAsia="zh-CN"/>
              </w:rPr>
              <w:t>的</w:t>
            </w:r>
            <w:r>
              <w:rPr>
                <w:rFonts w:hint="eastAsia" w:ascii="宋体" w:hAnsi="宋体" w:cs="宋体"/>
                <w:b/>
                <w:bCs/>
                <w:sz w:val="24"/>
                <w:szCs w:val="24"/>
                <w:highlight w:val="none"/>
              </w:rPr>
              <w:t>医疗器械注册证【含附件：产品技术要求（如有）】</w:t>
            </w:r>
            <w:r>
              <w:rPr>
                <w:rFonts w:hint="eastAsia" w:ascii="宋体" w:hAnsi="宋体" w:cs="宋体"/>
                <w:b/>
                <w:bCs/>
                <w:sz w:val="24"/>
                <w:szCs w:val="24"/>
                <w:highlight w:val="none"/>
                <w:lang w:val="en-US" w:eastAsia="zh-CN"/>
              </w:rPr>
              <w:t>或备案凭证</w:t>
            </w:r>
            <w:r>
              <w:rPr>
                <w:rFonts w:hint="eastAsia" w:ascii="宋体" w:hAnsi="宋体" w:cs="宋体"/>
                <w:b/>
                <w:bCs/>
                <w:sz w:val="24"/>
                <w:szCs w:val="24"/>
                <w:highlight w:val="none"/>
              </w:rPr>
              <w:t>，如未按要求提供，则投标无效。</w:t>
            </w:r>
          </w:p>
          <w:p w14:paraId="606B7F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需提供产品注册检验报告</w:t>
            </w:r>
            <w:r>
              <w:rPr>
                <w:rFonts w:hint="eastAsia" w:ascii="宋体" w:hAnsi="宋体" w:cs="宋体"/>
                <w:b/>
                <w:bCs/>
                <w:sz w:val="24"/>
                <w:szCs w:val="24"/>
                <w:highlight w:val="none"/>
                <w:lang w:val="en-US" w:eastAsia="zh-CN"/>
              </w:rPr>
              <w:t>（其中检验报告照片页必须提供完整）</w:t>
            </w:r>
            <w:r>
              <w:rPr>
                <w:rFonts w:hint="eastAsia" w:ascii="宋体" w:hAnsi="宋体" w:cs="宋体"/>
                <w:sz w:val="24"/>
                <w:szCs w:val="24"/>
                <w:highlight w:val="none"/>
                <w:lang w:val="en-US" w:eastAsia="zh-CN"/>
              </w:rPr>
              <w:t>及响应技术参数条款的技术白皮书和彩页等相关文件，并对响应技术参数部分做出明显标注。</w:t>
            </w:r>
            <w:r>
              <w:rPr>
                <w:rFonts w:hint="eastAsia" w:ascii="宋体" w:hAnsi="宋体" w:cs="宋体"/>
                <w:color w:val="000000" w:themeColor="text1"/>
                <w:sz w:val="24"/>
                <w:szCs w:val="24"/>
                <w:highlight w:val="none"/>
                <w14:textFill>
                  <w14:solidFill>
                    <w14:schemeClr w14:val="tx1"/>
                  </w14:solidFill>
                </w14:textFill>
              </w:rPr>
              <w:t>未提供对应证明材料的，视为不满足该项参数要求，做扣分处理。</w:t>
            </w:r>
          </w:p>
        </w:tc>
      </w:tr>
      <w:tr w14:paraId="0A22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239" w:type="dxa"/>
            <w:vMerge w:val="continue"/>
            <w:noWrap w:val="0"/>
            <w:vAlign w:val="center"/>
          </w:tcPr>
          <w:p w14:paraId="1F0A5D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restart"/>
            <w:noWrap w:val="0"/>
            <w:vAlign w:val="center"/>
          </w:tcPr>
          <w:p w14:paraId="67B0EF8F">
            <w:pPr>
              <w:keepNext w:val="0"/>
              <w:keepLines w:val="0"/>
              <w:pageBreakBefore w:val="0"/>
              <w:widowControl/>
              <w:kinsoku/>
              <w:wordWrap/>
              <w:overflowPunct/>
              <w:topLinePunct w:val="0"/>
              <w:autoSpaceDE/>
              <w:autoSpaceDN/>
              <w:bidi w:val="0"/>
              <w:adjustRightInd/>
              <w:snapToGrid w:val="0"/>
              <w:spacing w:line="36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2.产品综合评议（6分）</w:t>
            </w:r>
          </w:p>
        </w:tc>
        <w:tc>
          <w:tcPr>
            <w:tcW w:w="6770" w:type="dxa"/>
            <w:noWrap w:val="0"/>
            <w:vAlign w:val="center"/>
          </w:tcPr>
          <w:p w14:paraId="1263F0E7">
            <w:pPr>
              <w:jc w:val="left"/>
              <w:rPr>
                <w:rFonts w:ascii="宋体" w:hAnsi="宋体" w:eastAsia="宋体"/>
                <w:sz w:val="24"/>
                <w:szCs w:val="24"/>
                <w:highlight w:val="none"/>
              </w:rPr>
            </w:pPr>
            <w:r>
              <w:rPr>
                <w:rFonts w:ascii="宋体" w:hAnsi="宋体" w:eastAsia="宋体"/>
                <w:sz w:val="24"/>
                <w:szCs w:val="24"/>
                <w:highlight w:val="none"/>
              </w:rPr>
              <w:t>由</w:t>
            </w:r>
            <w:r>
              <w:rPr>
                <w:rFonts w:hint="eastAsia" w:ascii="宋体" w:hAnsi="宋体" w:eastAsia="宋体"/>
                <w:sz w:val="24"/>
                <w:szCs w:val="24"/>
                <w:highlight w:val="none"/>
              </w:rPr>
              <w:t>评审小组</w:t>
            </w:r>
            <w:r>
              <w:rPr>
                <w:rFonts w:ascii="宋体" w:hAnsi="宋体" w:eastAsia="宋体"/>
                <w:sz w:val="24"/>
                <w:szCs w:val="24"/>
                <w:highlight w:val="none"/>
              </w:rPr>
              <w:t>根据项目特性结合各投标产品制造工艺、稳定性</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安全性</w:t>
            </w:r>
            <w:r>
              <w:rPr>
                <w:rFonts w:ascii="宋体" w:hAnsi="宋体" w:eastAsia="宋体"/>
                <w:sz w:val="24"/>
                <w:szCs w:val="24"/>
                <w:highlight w:val="none"/>
              </w:rPr>
              <w:t>等进行打分：</w:t>
            </w:r>
          </w:p>
          <w:p w14:paraId="6EE5A586">
            <w:pPr>
              <w:jc w:val="left"/>
              <w:rPr>
                <w:rFonts w:ascii="宋体" w:hAnsi="宋体" w:eastAsia="宋体"/>
                <w:sz w:val="24"/>
                <w:szCs w:val="24"/>
                <w:highlight w:val="none"/>
              </w:rPr>
            </w:pPr>
            <w:r>
              <w:rPr>
                <w:rFonts w:ascii="宋体" w:hAnsi="宋体" w:eastAsia="宋体"/>
                <w:sz w:val="24"/>
                <w:szCs w:val="24"/>
                <w:highlight w:val="none"/>
              </w:rPr>
              <w:t>投标产品制造工艺、稳定性好，安全性（操作维修安全等）高的得</w:t>
            </w:r>
            <w:r>
              <w:rPr>
                <w:rFonts w:hint="eastAsia" w:ascii="宋体" w:hAnsi="宋体"/>
                <w:sz w:val="24"/>
                <w:szCs w:val="24"/>
                <w:highlight w:val="none"/>
                <w:lang w:val="en-US" w:eastAsia="zh-CN"/>
              </w:rPr>
              <w:t>3</w:t>
            </w:r>
            <w:r>
              <w:rPr>
                <w:rFonts w:ascii="宋体" w:hAnsi="宋体" w:eastAsia="宋体"/>
                <w:sz w:val="24"/>
                <w:szCs w:val="24"/>
                <w:highlight w:val="none"/>
              </w:rPr>
              <w:t>分；</w:t>
            </w:r>
          </w:p>
          <w:p w14:paraId="4C3F0081">
            <w:pPr>
              <w:jc w:val="left"/>
              <w:rPr>
                <w:rFonts w:ascii="宋体" w:hAnsi="宋体" w:eastAsia="宋体"/>
                <w:sz w:val="24"/>
                <w:szCs w:val="24"/>
                <w:highlight w:val="none"/>
              </w:rPr>
            </w:pPr>
            <w:r>
              <w:rPr>
                <w:rFonts w:ascii="宋体" w:hAnsi="宋体" w:eastAsia="宋体"/>
                <w:sz w:val="24"/>
                <w:szCs w:val="24"/>
                <w:highlight w:val="none"/>
              </w:rPr>
              <w:t>投标产品制造工艺、稳定性较好，安全性（操作维修安全等）较高的得</w:t>
            </w:r>
            <w:r>
              <w:rPr>
                <w:rFonts w:hint="eastAsia" w:ascii="宋体" w:hAnsi="宋体"/>
                <w:sz w:val="24"/>
                <w:szCs w:val="24"/>
                <w:highlight w:val="none"/>
                <w:lang w:val="en-US" w:eastAsia="zh-CN"/>
              </w:rPr>
              <w:t>2</w:t>
            </w:r>
            <w:r>
              <w:rPr>
                <w:rFonts w:ascii="宋体" w:hAnsi="宋体" w:eastAsia="宋体"/>
                <w:sz w:val="24"/>
                <w:szCs w:val="24"/>
                <w:highlight w:val="none"/>
              </w:rPr>
              <w:t>分；</w:t>
            </w:r>
          </w:p>
          <w:p w14:paraId="1611971E">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sz w:val="24"/>
                <w:szCs w:val="24"/>
                <w:highlight w:val="none"/>
              </w:rPr>
              <w:t>投标产品制造工艺、稳定性、安全性（操作维修安全等）一般的得1分。</w:t>
            </w:r>
          </w:p>
        </w:tc>
      </w:tr>
      <w:tr w14:paraId="1305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239" w:type="dxa"/>
            <w:vMerge w:val="continue"/>
            <w:noWrap w:val="0"/>
            <w:vAlign w:val="center"/>
          </w:tcPr>
          <w:p w14:paraId="3FBD7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vMerge w:val="continue"/>
            <w:noWrap w:val="0"/>
            <w:vAlign w:val="center"/>
          </w:tcPr>
          <w:p w14:paraId="237B0158">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4"/>
                <w:szCs w:val="24"/>
                <w:highlight w:val="none"/>
                <w:lang w:val="en-US" w:eastAsia="zh-CN"/>
              </w:rPr>
            </w:pPr>
          </w:p>
        </w:tc>
        <w:tc>
          <w:tcPr>
            <w:tcW w:w="6770" w:type="dxa"/>
            <w:noWrap w:val="0"/>
            <w:vAlign w:val="center"/>
          </w:tcPr>
          <w:p w14:paraId="4E260383">
            <w:pPr>
              <w:jc w:val="left"/>
              <w:rPr>
                <w:rFonts w:ascii="宋体" w:hAnsi="宋体" w:eastAsia="宋体"/>
                <w:sz w:val="24"/>
                <w:highlight w:val="none"/>
              </w:rPr>
            </w:pPr>
            <w:r>
              <w:rPr>
                <w:rFonts w:ascii="宋体" w:hAnsi="宋体" w:eastAsia="宋体"/>
                <w:sz w:val="24"/>
                <w:highlight w:val="none"/>
              </w:rPr>
              <w:t>由</w:t>
            </w:r>
            <w:r>
              <w:rPr>
                <w:rFonts w:hint="eastAsia" w:ascii="宋体" w:hAnsi="宋体" w:eastAsia="宋体"/>
                <w:sz w:val="24"/>
                <w:highlight w:val="none"/>
              </w:rPr>
              <w:t>评审小组</w:t>
            </w:r>
            <w:r>
              <w:rPr>
                <w:rFonts w:ascii="宋体" w:hAnsi="宋体" w:eastAsia="宋体"/>
                <w:sz w:val="24"/>
                <w:highlight w:val="none"/>
              </w:rPr>
              <w:t>根据项目特性结合各投标产品操控性、性能及技术先进性等进行打分：</w:t>
            </w:r>
          </w:p>
          <w:p w14:paraId="1EE739C9">
            <w:pPr>
              <w:jc w:val="left"/>
              <w:rPr>
                <w:rFonts w:ascii="宋体" w:hAnsi="宋体" w:eastAsia="宋体"/>
                <w:sz w:val="24"/>
                <w:highlight w:val="none"/>
              </w:rPr>
            </w:pPr>
            <w:r>
              <w:rPr>
                <w:rFonts w:ascii="宋体" w:hAnsi="宋体" w:eastAsia="宋体"/>
                <w:sz w:val="24"/>
                <w:highlight w:val="none"/>
              </w:rPr>
              <w:t>所投产品优秀，操控性强、性能好、技术先进的得</w:t>
            </w:r>
            <w:r>
              <w:rPr>
                <w:rFonts w:hint="eastAsia" w:ascii="宋体" w:hAnsi="宋体"/>
                <w:sz w:val="24"/>
                <w:highlight w:val="none"/>
                <w:lang w:val="en-US" w:eastAsia="zh-CN"/>
              </w:rPr>
              <w:t>3</w:t>
            </w:r>
            <w:r>
              <w:rPr>
                <w:rFonts w:ascii="宋体" w:hAnsi="宋体" w:eastAsia="宋体"/>
                <w:sz w:val="24"/>
                <w:highlight w:val="none"/>
              </w:rPr>
              <w:t>分；</w:t>
            </w:r>
          </w:p>
          <w:p w14:paraId="64BD3B99">
            <w:pPr>
              <w:jc w:val="left"/>
              <w:rPr>
                <w:rFonts w:ascii="宋体" w:hAnsi="宋体" w:eastAsia="宋体"/>
                <w:sz w:val="24"/>
                <w:highlight w:val="none"/>
              </w:rPr>
            </w:pPr>
            <w:r>
              <w:rPr>
                <w:rFonts w:ascii="宋体" w:hAnsi="宋体" w:eastAsia="宋体"/>
                <w:sz w:val="24"/>
                <w:highlight w:val="none"/>
              </w:rPr>
              <w:t>所投产品较好，操控性较强、性能较好、技术较先进的得</w:t>
            </w:r>
            <w:r>
              <w:rPr>
                <w:rFonts w:hint="eastAsia" w:ascii="宋体" w:hAnsi="宋体"/>
                <w:sz w:val="24"/>
                <w:highlight w:val="none"/>
                <w:lang w:val="en-US" w:eastAsia="zh-CN"/>
              </w:rPr>
              <w:t>2</w:t>
            </w:r>
            <w:r>
              <w:rPr>
                <w:rFonts w:ascii="宋体" w:hAnsi="宋体" w:eastAsia="宋体"/>
                <w:sz w:val="24"/>
                <w:highlight w:val="none"/>
              </w:rPr>
              <w:t>分；</w:t>
            </w:r>
          </w:p>
          <w:p w14:paraId="71F4B08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sz w:val="24"/>
                <w:highlight w:val="none"/>
              </w:rPr>
              <w:t>所投产品一般，操控性一般、性能一般、技术保守的得1分。</w:t>
            </w:r>
          </w:p>
        </w:tc>
      </w:tr>
      <w:tr w14:paraId="1A65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07B44C0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9CFC1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284A4D0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质保期</w:t>
            </w:r>
          </w:p>
          <w:p w14:paraId="295E412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51F04A4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期在满足采购文件的基础上，每增加一年加2分,最多加</w:t>
            </w: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cs="宋体"/>
                <w:b w:val="0"/>
                <w:bCs w:val="0"/>
                <w:color w:val="auto"/>
                <w:kern w:val="2"/>
                <w:sz w:val="24"/>
                <w:szCs w:val="24"/>
                <w:highlight w:val="none"/>
                <w:lang w:val="en-US" w:eastAsia="zh-CN" w:bidi="ar-SA"/>
              </w:rPr>
              <w:t>（提供承诺函）</w:t>
            </w:r>
            <w:r>
              <w:rPr>
                <w:rFonts w:hint="eastAsia" w:ascii="宋体" w:hAnsi="宋体" w:eastAsia="宋体" w:cs="宋体"/>
                <w:b w:val="0"/>
                <w:bCs w:val="0"/>
                <w:color w:val="auto"/>
                <w:kern w:val="2"/>
                <w:sz w:val="24"/>
                <w:szCs w:val="24"/>
                <w:highlight w:val="none"/>
                <w:lang w:val="en-US" w:eastAsia="zh-CN" w:bidi="ar-SA"/>
              </w:rPr>
              <w:t>。</w:t>
            </w:r>
            <w:bookmarkStart w:id="92" w:name="_GoBack"/>
            <w:bookmarkEnd w:id="92"/>
          </w:p>
        </w:tc>
      </w:tr>
      <w:tr w14:paraId="3825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03CE2AB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2BE5912E">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27C56ED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w:t>
            </w:r>
            <w:r>
              <w:rPr>
                <w:rFonts w:hint="eastAsia"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年1月1日（以合同签订时间为准）以来所投产品销售业绩(合同甲方须为货物使用单位，业绩为生产企业或各经销商均可)，每提供1份</w:t>
            </w:r>
            <w:r>
              <w:rPr>
                <w:rFonts w:hint="eastAsia" w:cs="宋体"/>
                <w:color w:val="auto"/>
                <w:kern w:val="2"/>
                <w:sz w:val="24"/>
                <w:szCs w:val="24"/>
                <w:highlight w:val="none"/>
                <w:lang w:val="en-US" w:eastAsia="zh-CN" w:bidi="ar-SA"/>
              </w:rPr>
              <w:t>业绩证明材料</w:t>
            </w:r>
            <w:r>
              <w:rPr>
                <w:rFonts w:hint="eastAsia" w:ascii="宋体" w:hAnsi="宋体" w:eastAsia="宋体" w:cs="宋体"/>
                <w:color w:val="auto"/>
                <w:kern w:val="2"/>
                <w:sz w:val="24"/>
                <w:szCs w:val="24"/>
                <w:highlight w:val="none"/>
                <w:lang w:val="en-US" w:eastAsia="zh-CN" w:bidi="ar-SA"/>
              </w:rPr>
              <w:t>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5D0847D7">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default"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注：需提供合同，未按要求提供不得分。</w:t>
            </w:r>
          </w:p>
        </w:tc>
      </w:tr>
      <w:tr w14:paraId="6920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7DF6CD9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D7AFE3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w:t>
            </w:r>
            <w:r>
              <w:rPr>
                <w:rFonts w:hint="eastAsia" w:ascii="宋体" w:hAnsi="宋体" w:cs="宋体"/>
                <w:b w:val="0"/>
                <w:bCs w:val="0"/>
                <w:color w:val="auto"/>
                <w:kern w:val="2"/>
                <w:sz w:val="24"/>
                <w:szCs w:val="24"/>
                <w:highlight w:val="none"/>
                <w:lang w:val="en-US" w:eastAsia="zh-CN"/>
              </w:rPr>
              <w:t>10</w:t>
            </w:r>
            <w:r>
              <w:rPr>
                <w:rFonts w:hint="eastAsia" w:ascii="宋体" w:hAnsi="宋体" w:eastAsia="宋体" w:cs="宋体"/>
                <w:b w:val="0"/>
                <w:bCs w:val="0"/>
                <w:color w:val="auto"/>
                <w:kern w:val="2"/>
                <w:sz w:val="24"/>
                <w:szCs w:val="24"/>
                <w:highlight w:val="none"/>
                <w:lang w:val="en-US" w:eastAsia="zh-CN"/>
              </w:rPr>
              <w:t>分）</w:t>
            </w:r>
          </w:p>
        </w:tc>
        <w:tc>
          <w:tcPr>
            <w:tcW w:w="6770" w:type="dxa"/>
            <w:noWrap w:val="0"/>
            <w:vAlign w:val="center"/>
          </w:tcPr>
          <w:p w14:paraId="663ED56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w:t>
            </w:r>
            <w:r>
              <w:rPr>
                <w:rFonts w:hint="eastAsia" w:ascii="宋体" w:hAnsi="宋体" w:cs="宋体"/>
                <w:b w:val="0"/>
                <w:bCs w:val="0"/>
                <w:color w:val="auto"/>
                <w:sz w:val="24"/>
                <w:szCs w:val="24"/>
                <w:highlight w:val="none"/>
                <w:lang w:val="en-US" w:eastAsia="zh-CN"/>
              </w:rPr>
              <w:t>售后服务网点、</w:t>
            </w:r>
            <w:r>
              <w:rPr>
                <w:rFonts w:hint="eastAsia" w:ascii="宋体" w:hAnsi="宋体" w:eastAsia="宋体" w:cs="宋体"/>
                <w:b w:val="0"/>
                <w:bCs w:val="0"/>
                <w:color w:val="auto"/>
                <w:sz w:val="24"/>
                <w:szCs w:val="24"/>
                <w:highlight w:val="none"/>
                <w:lang w:val="en-US" w:eastAsia="zh-CN"/>
              </w:rPr>
              <w:t>售后服务人员</w:t>
            </w:r>
            <w:r>
              <w:rPr>
                <w:rFonts w:hint="eastAsia" w:ascii="宋体" w:hAnsi="宋体" w:cs="宋体"/>
                <w:b w:val="0"/>
                <w:bCs w:val="0"/>
                <w:color w:val="auto"/>
                <w:sz w:val="24"/>
                <w:szCs w:val="24"/>
                <w:highlight w:val="none"/>
                <w:lang w:val="en-US" w:eastAsia="zh-CN"/>
              </w:rPr>
              <w:t>配备及专业技术能力说明、设备日常维保方案、</w:t>
            </w:r>
            <w:r>
              <w:rPr>
                <w:rFonts w:hint="eastAsia" w:ascii="宋体" w:hAnsi="宋体" w:eastAsia="宋体" w:cs="宋体"/>
                <w:b w:val="0"/>
                <w:bCs w:val="0"/>
                <w:color w:val="auto"/>
                <w:sz w:val="24"/>
                <w:szCs w:val="24"/>
                <w:highlight w:val="none"/>
                <w:lang w:val="en-US" w:eastAsia="zh-CN"/>
              </w:rPr>
              <w:t>故障响应时间、应急维修措施、培训方案等</w:t>
            </w:r>
            <w:r>
              <w:rPr>
                <w:rFonts w:hint="eastAsia" w:ascii="宋体" w:hAnsi="宋体" w:cs="宋体"/>
                <w:b w:val="0"/>
                <w:bCs w:val="0"/>
                <w:color w:val="auto"/>
                <w:sz w:val="24"/>
                <w:szCs w:val="24"/>
                <w:highlight w:val="none"/>
                <w:lang w:val="en-US" w:eastAsia="zh-CN"/>
              </w:rPr>
              <w:t>进行打分</w:t>
            </w:r>
            <w:r>
              <w:rPr>
                <w:rFonts w:hint="eastAsia" w:ascii="宋体" w:hAnsi="宋体" w:eastAsia="宋体" w:cs="宋体"/>
                <w:b w:val="0"/>
                <w:bCs w:val="0"/>
                <w:color w:val="auto"/>
                <w:sz w:val="24"/>
                <w:szCs w:val="24"/>
                <w:highlight w:val="none"/>
                <w:lang w:val="en-US" w:eastAsia="zh-CN"/>
              </w:rPr>
              <w:t>。</w:t>
            </w:r>
          </w:p>
          <w:p w14:paraId="41CC25FD">
            <w:pPr>
              <w:keepNext w:val="0"/>
              <w:keepLines w:val="0"/>
              <w:pageBreakBefore w:val="0"/>
              <w:kinsoku/>
              <w:wordWrap/>
              <w:overflowPunct/>
              <w:topLinePunct w:val="0"/>
              <w:bidi w:val="0"/>
              <w:snapToGrid w:val="0"/>
              <w:spacing w:line="360" w:lineRule="exact"/>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w:t>
            </w:r>
            <w:r>
              <w:rPr>
                <w:rFonts w:hint="eastAsia" w:ascii="宋体" w:hAnsi="宋体" w:cs="宋体"/>
                <w:b w:val="0"/>
                <w:bCs w:val="0"/>
                <w:color w:val="auto"/>
                <w:sz w:val="24"/>
                <w:szCs w:val="24"/>
                <w:highlight w:val="none"/>
                <w:lang w:val="en-US" w:eastAsia="zh-CN"/>
              </w:rPr>
              <w:t>措施详尽、日常维保措施、</w:t>
            </w:r>
            <w:r>
              <w:rPr>
                <w:rFonts w:hint="eastAsia" w:ascii="宋体" w:hAnsi="宋体" w:eastAsia="宋体" w:cs="宋体"/>
                <w:b w:val="0"/>
                <w:bCs w:val="0"/>
                <w:color w:val="auto"/>
                <w:sz w:val="24"/>
                <w:szCs w:val="24"/>
                <w:highlight w:val="none"/>
                <w:lang w:val="en-US" w:eastAsia="zh-CN"/>
              </w:rPr>
              <w:t>故障响应时间极快、应急维修措施合理且可行，有具体的培训方案，得</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分。</w:t>
            </w:r>
          </w:p>
          <w:p w14:paraId="41797A3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符合本项目特点，故障响应时间快、应急维修措施预案较合理，有较具体的培训方案的得</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分；</w:t>
            </w:r>
          </w:p>
          <w:p w14:paraId="06BB8A9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w:t>
            </w:r>
            <w:r>
              <w:rPr>
                <w:rFonts w:hint="eastAsia" w:ascii="宋体" w:hAnsi="宋体" w:eastAsia="宋体" w:cs="宋体"/>
                <w:b w:val="0"/>
                <w:bCs w:val="0"/>
                <w:color w:val="auto"/>
                <w:sz w:val="24"/>
                <w:szCs w:val="24"/>
                <w:highlight w:val="none"/>
                <w:lang w:val="en-US" w:eastAsia="zh-CN"/>
              </w:rPr>
              <w:t>符合本项目特点，故障响应时间较长、应急维修措施预案不完备，培训方案不完备的得</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分；</w:t>
            </w:r>
          </w:p>
          <w:p w14:paraId="3D71B93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售后服务不符合本项目特点，无法满足项目需求的得1分。</w:t>
            </w:r>
          </w:p>
          <w:p w14:paraId="1D81962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缺项得0分</w:t>
            </w:r>
            <w:r>
              <w:rPr>
                <w:rFonts w:hint="eastAsia" w:ascii="宋体" w:hAnsi="宋体" w:eastAsia="宋体" w:cs="宋体"/>
                <w:b w:val="0"/>
                <w:bCs w:val="0"/>
                <w:color w:val="auto"/>
                <w:sz w:val="24"/>
                <w:szCs w:val="24"/>
                <w:highlight w:val="none"/>
                <w:lang w:val="en-US" w:eastAsia="zh-CN"/>
              </w:rPr>
              <w:t>。</w:t>
            </w:r>
          </w:p>
        </w:tc>
      </w:tr>
      <w:tr w14:paraId="45CE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239" w:type="dxa"/>
            <w:noWrap w:val="0"/>
            <w:vAlign w:val="top"/>
          </w:tcPr>
          <w:p w14:paraId="19B2729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E3B1B0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49D0B11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0E3CB99A">
      <w:pPr>
        <w:rPr>
          <w:rFonts w:hint="eastAsia" w:ascii="宋体" w:hAnsi="宋体" w:eastAsia="宋体" w:cs="宋体"/>
          <w:b/>
          <w:color w:val="auto"/>
          <w:highlight w:val="none"/>
        </w:rPr>
      </w:pPr>
    </w:p>
    <w:bookmarkEnd w:id="38"/>
    <w:p w14:paraId="2CCD7513">
      <w:pPr>
        <w:rPr>
          <w:rFonts w:hint="eastAsia" w:ascii="宋体" w:hAnsi="宋体" w:eastAsia="宋体" w:cs="宋体"/>
          <w:color w:val="auto"/>
          <w:highlight w:val="none"/>
        </w:rPr>
      </w:pPr>
      <w:bookmarkStart w:id="40" w:name="_Toc1482"/>
      <w:bookmarkStart w:id="41" w:name="_Toc1947"/>
      <w:bookmarkStart w:id="42" w:name="_Toc326786897"/>
      <w:bookmarkStart w:id="43" w:name="_Toc256519703"/>
    </w:p>
    <w:p w14:paraId="3B053C65">
      <w:pPr>
        <w:pStyle w:val="2"/>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44" w:name="_Toc1351"/>
      <w:r>
        <w:rPr>
          <w:rFonts w:hint="eastAsia" w:ascii="宋体" w:hAnsi="宋体" w:eastAsia="宋体" w:cs="宋体"/>
          <w:color w:val="auto"/>
          <w:sz w:val="28"/>
          <w:szCs w:val="28"/>
          <w:highlight w:val="none"/>
        </w:rPr>
        <w:t>第五章  采购合同</w:t>
      </w:r>
      <w:bookmarkEnd w:id="4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45" w:name="_Toc2828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0"/>
      <w:bookmarkEnd w:id="41"/>
      <w:bookmarkEnd w:id="4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6" w:name="_Toc13604"/>
      <w:r>
        <w:rPr>
          <w:rFonts w:hint="eastAsia" w:ascii="宋体" w:hAnsi="宋体" w:eastAsia="宋体" w:cs="宋体"/>
          <w:b/>
          <w:bCs/>
          <w:color w:val="auto"/>
          <w:sz w:val="32"/>
          <w:szCs w:val="32"/>
          <w:highlight w:val="none"/>
        </w:rPr>
        <w:t>目    录</w:t>
      </w:r>
      <w:bookmarkEnd w:id="4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0" w:name="_Toc9579"/>
      <w:r>
        <w:rPr>
          <w:rFonts w:hint="eastAsia" w:ascii="宋体" w:hAnsi="宋体" w:eastAsia="宋体" w:cs="宋体"/>
          <w:color w:val="auto"/>
          <w:sz w:val="24"/>
          <w:highlight w:val="none"/>
        </w:rPr>
        <w:t xml:space="preserve">附件4 </w:t>
      </w:r>
      <w:bookmarkEnd w:id="5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5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52" w:name="_Toc6234"/>
      <w:r>
        <w:rPr>
          <w:rFonts w:hint="eastAsia" w:ascii="宋体" w:hAnsi="宋体" w:eastAsia="宋体" w:cs="宋体"/>
          <w:color w:val="auto"/>
          <w:sz w:val="24"/>
          <w:highlight w:val="none"/>
        </w:rPr>
        <w:t>附件6 商务</w:t>
      </w:r>
      <w:bookmarkEnd w:id="5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5" w:name="_Toc31857"/>
      <w:r>
        <w:rPr>
          <w:rFonts w:hint="eastAsia" w:ascii="宋体" w:hAnsi="宋体" w:eastAsia="宋体" w:cs="宋体"/>
          <w:color w:val="auto"/>
          <w:sz w:val="24"/>
          <w:highlight w:val="none"/>
        </w:rPr>
        <w:t>附件9 证明文件</w:t>
      </w:r>
      <w:bookmarkEnd w:id="55"/>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6" w:name="_Toc24743"/>
      <w:bookmarkStart w:id="57"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6"/>
      <w:bookmarkEnd w:id="57"/>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8" w:name="_Toc8818"/>
      <w:bookmarkStart w:id="59" w:name="_Toc14560"/>
      <w:r>
        <w:rPr>
          <w:rFonts w:hint="eastAsia" w:ascii="宋体" w:hAnsi="宋体" w:eastAsia="宋体" w:cs="宋体"/>
          <w:color w:val="auto"/>
          <w:sz w:val="28"/>
          <w:szCs w:val="28"/>
          <w:highlight w:val="none"/>
          <w:lang w:val="en-US" w:eastAsia="zh-CN"/>
        </w:rPr>
        <w:t>附件2      竞争性磋商响应书（格式）</w:t>
      </w:r>
      <w:bookmarkEnd w:id="58"/>
      <w:bookmarkEnd w:id="59"/>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0" w:name="_Toc7838"/>
      <w:r>
        <w:rPr>
          <w:rFonts w:hint="eastAsia" w:ascii="宋体" w:hAnsi="宋体" w:eastAsia="宋体" w:cs="宋体"/>
          <w:color w:val="auto"/>
          <w:sz w:val="28"/>
          <w:szCs w:val="28"/>
          <w:highlight w:val="none"/>
          <w:lang w:val="en-US" w:eastAsia="zh-CN"/>
        </w:rPr>
        <w:t>附件3            初次报价一览表</w:t>
      </w:r>
      <w:bookmarkEnd w:id="60"/>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61" w:name="_Toc20877"/>
      <w:bookmarkStart w:id="62" w:name="_Toc11620"/>
    </w:p>
    <w:bookmarkEnd w:id="61"/>
    <w:bookmarkEnd w:id="62"/>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2"/>
    <w:bookmarkEnd w:id="43"/>
    <w:p w14:paraId="32162F70">
      <w:pPr>
        <w:spacing w:before="20" w:after="20"/>
        <w:outlineLvl w:val="9"/>
        <w:rPr>
          <w:rFonts w:hint="eastAsia" w:ascii="宋体" w:hAnsi="宋体" w:eastAsia="宋体" w:cs="宋体"/>
          <w:color w:val="auto"/>
          <w:highlight w:val="none"/>
          <w:lang w:eastAsia="zh-CN"/>
        </w:rPr>
      </w:pPr>
      <w:bookmarkStart w:id="63" w:name="_Toc24984"/>
      <w:bookmarkStart w:id="64"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3"/>
      <w:bookmarkEnd w:id="64"/>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5" w:name="_Toc15804"/>
      <w:bookmarkStart w:id="66"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default" w:eastAsia="宋体"/>
                <w:color w:val="auto"/>
                <w:sz w:val="21"/>
                <w:szCs w:val="21"/>
                <w:highlight w:val="none"/>
                <w:vertAlign w:val="baseline"/>
                <w:lang w:val="en-US" w:eastAsia="zh-CN"/>
              </w:rPr>
            </w:pPr>
            <w:bookmarkStart w:id="67" w:name="_Toc22317"/>
            <w:bookmarkStart w:id="68" w:name="_Toc21835"/>
            <w:r>
              <w:rPr>
                <w:rFonts w:hint="eastAsia"/>
                <w:b/>
                <w:bCs/>
                <w:color w:val="auto"/>
                <w:sz w:val="21"/>
                <w:szCs w:val="21"/>
                <w:highlight w:val="none"/>
                <w:vertAlign w:val="baseline"/>
                <w:lang w:val="en-US" w:eastAsia="zh-CN"/>
              </w:rPr>
              <w:t>收费项目名称</w:t>
            </w:r>
            <w:bookmarkEnd w:id="67"/>
            <w:bookmarkEnd w:id="68"/>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bookmarkStart w:id="69" w:name="_Toc32409"/>
            <w:bookmarkStart w:id="70" w:name="_Toc8141"/>
            <w:r>
              <w:rPr>
                <w:rFonts w:hint="eastAsia" w:ascii="宋体" w:hAnsi="宋体" w:eastAsia="宋体" w:cs="宋体"/>
                <w:b/>
                <w:color w:val="auto"/>
                <w:sz w:val="21"/>
                <w:szCs w:val="21"/>
                <w:highlight w:val="none"/>
                <w:lang w:val="en-US" w:eastAsia="zh-CN"/>
              </w:rPr>
              <w:t>收费编码、</w:t>
            </w:r>
            <w:bookmarkEnd w:id="69"/>
            <w:bookmarkEnd w:id="70"/>
          </w:p>
          <w:p w14:paraId="434CA188">
            <w:pPr>
              <w:widowControl w:val="0"/>
              <w:spacing w:line="320" w:lineRule="exact"/>
              <w:jc w:val="center"/>
              <w:outlineLvl w:val="0"/>
              <w:rPr>
                <w:rFonts w:hint="default" w:ascii="宋体" w:hAnsi="宋体" w:eastAsia="宋体" w:cs="宋体"/>
                <w:b/>
                <w:color w:val="auto"/>
                <w:sz w:val="21"/>
                <w:szCs w:val="21"/>
                <w:highlight w:val="none"/>
                <w:lang w:val="en-US" w:eastAsia="zh-CN"/>
              </w:rPr>
            </w:pPr>
            <w:bookmarkStart w:id="71" w:name="_Toc27332"/>
            <w:bookmarkStart w:id="72" w:name="_Toc12006"/>
            <w:r>
              <w:rPr>
                <w:rFonts w:hint="eastAsia" w:ascii="宋体" w:hAnsi="宋体" w:eastAsia="宋体" w:cs="宋体"/>
                <w:b/>
                <w:color w:val="auto"/>
                <w:sz w:val="21"/>
                <w:szCs w:val="21"/>
                <w:highlight w:val="none"/>
                <w:lang w:val="en-US" w:eastAsia="zh-CN"/>
              </w:rPr>
              <w:t>收费金额</w:t>
            </w:r>
            <w:bookmarkEnd w:id="71"/>
            <w:bookmarkEnd w:id="72"/>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color w:val="auto"/>
                <w:highlight w:val="none"/>
                <w:vertAlign w:val="baseline"/>
              </w:rPr>
            </w:pPr>
          </w:p>
        </w:tc>
        <w:tc>
          <w:tcPr>
            <w:tcW w:w="1181" w:type="dxa"/>
            <w:vMerge w:val="restart"/>
          </w:tcPr>
          <w:p w14:paraId="1411B170">
            <w:pPr>
              <w:widowControl w:val="0"/>
              <w:rPr>
                <w:color w:val="auto"/>
                <w:highlight w:val="none"/>
                <w:vertAlign w:val="baseline"/>
              </w:rPr>
            </w:pPr>
          </w:p>
        </w:tc>
        <w:tc>
          <w:tcPr>
            <w:tcW w:w="1341" w:type="dxa"/>
          </w:tcPr>
          <w:p w14:paraId="538C956D">
            <w:pPr>
              <w:widowControl w:val="0"/>
              <w:rPr>
                <w:color w:val="auto"/>
                <w:highlight w:val="none"/>
                <w:vertAlign w:val="baseline"/>
              </w:rPr>
            </w:pPr>
          </w:p>
        </w:tc>
        <w:tc>
          <w:tcPr>
            <w:tcW w:w="1225" w:type="dxa"/>
          </w:tcPr>
          <w:p w14:paraId="74877ABD">
            <w:pPr>
              <w:widowControl w:val="0"/>
              <w:rPr>
                <w:color w:val="auto"/>
                <w:highlight w:val="none"/>
                <w:vertAlign w:val="baseline"/>
              </w:rPr>
            </w:pPr>
          </w:p>
        </w:tc>
        <w:tc>
          <w:tcPr>
            <w:tcW w:w="995" w:type="dxa"/>
          </w:tcPr>
          <w:p w14:paraId="46285D21">
            <w:pPr>
              <w:widowControl w:val="0"/>
              <w:rPr>
                <w:color w:val="auto"/>
                <w:highlight w:val="none"/>
                <w:vertAlign w:val="baseline"/>
              </w:rPr>
            </w:pPr>
          </w:p>
        </w:tc>
        <w:tc>
          <w:tcPr>
            <w:tcW w:w="995" w:type="dxa"/>
          </w:tcPr>
          <w:p w14:paraId="30AA1993">
            <w:pPr>
              <w:widowControl w:val="0"/>
              <w:rPr>
                <w:color w:val="auto"/>
                <w:highlight w:val="none"/>
                <w:vertAlign w:val="baseline"/>
              </w:rPr>
            </w:pPr>
          </w:p>
        </w:tc>
        <w:tc>
          <w:tcPr>
            <w:tcW w:w="1107" w:type="dxa"/>
          </w:tcPr>
          <w:p w14:paraId="3FDE21BE">
            <w:pPr>
              <w:widowControl w:val="0"/>
              <w:rPr>
                <w:color w:val="auto"/>
                <w:highlight w:val="none"/>
                <w:vertAlign w:val="baseline"/>
              </w:rPr>
            </w:pPr>
          </w:p>
        </w:tc>
        <w:tc>
          <w:tcPr>
            <w:tcW w:w="883" w:type="dxa"/>
          </w:tcPr>
          <w:p w14:paraId="2A5C917F">
            <w:pPr>
              <w:widowControl w:val="0"/>
              <w:rPr>
                <w:color w:val="auto"/>
                <w:highlight w:val="none"/>
                <w:vertAlign w:val="baseline"/>
              </w:rPr>
            </w:pPr>
          </w:p>
        </w:tc>
        <w:tc>
          <w:tcPr>
            <w:tcW w:w="995" w:type="dxa"/>
          </w:tcPr>
          <w:p w14:paraId="2BC032BB">
            <w:pPr>
              <w:widowControl w:val="0"/>
              <w:rPr>
                <w:color w:val="auto"/>
                <w:highlight w:val="none"/>
                <w:vertAlign w:val="baseline"/>
              </w:rPr>
            </w:pPr>
          </w:p>
        </w:tc>
        <w:tc>
          <w:tcPr>
            <w:tcW w:w="1061" w:type="dxa"/>
          </w:tcPr>
          <w:p w14:paraId="43AF7AB5">
            <w:pPr>
              <w:widowControl w:val="0"/>
              <w:rPr>
                <w:color w:val="auto"/>
                <w:highlight w:val="none"/>
                <w:vertAlign w:val="baseline"/>
              </w:rPr>
            </w:pPr>
          </w:p>
        </w:tc>
        <w:tc>
          <w:tcPr>
            <w:tcW w:w="1061" w:type="dxa"/>
          </w:tcPr>
          <w:p w14:paraId="3CD0599F">
            <w:pPr>
              <w:widowControl w:val="0"/>
              <w:rPr>
                <w:color w:val="auto"/>
                <w:highlight w:val="none"/>
                <w:vertAlign w:val="baseline"/>
              </w:rPr>
            </w:pPr>
          </w:p>
        </w:tc>
        <w:tc>
          <w:tcPr>
            <w:tcW w:w="1213" w:type="dxa"/>
          </w:tcPr>
          <w:p w14:paraId="351E7283">
            <w:pPr>
              <w:widowControl w:val="0"/>
              <w:rPr>
                <w:color w:val="auto"/>
                <w:highlight w:val="none"/>
                <w:vertAlign w:val="baseline"/>
              </w:rPr>
            </w:pPr>
          </w:p>
        </w:tc>
        <w:tc>
          <w:tcPr>
            <w:tcW w:w="1584" w:type="dxa"/>
          </w:tcPr>
          <w:p w14:paraId="47A41BCD">
            <w:pPr>
              <w:widowControl w:val="0"/>
              <w:rPr>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color w:val="auto"/>
                <w:highlight w:val="none"/>
                <w:vertAlign w:val="baseline"/>
              </w:rPr>
            </w:pPr>
          </w:p>
        </w:tc>
        <w:tc>
          <w:tcPr>
            <w:tcW w:w="1181" w:type="dxa"/>
            <w:vMerge w:val="continue"/>
          </w:tcPr>
          <w:p w14:paraId="040A03DA">
            <w:pPr>
              <w:widowControl w:val="0"/>
              <w:rPr>
                <w:color w:val="auto"/>
                <w:highlight w:val="none"/>
                <w:vertAlign w:val="baseline"/>
              </w:rPr>
            </w:pPr>
          </w:p>
        </w:tc>
        <w:tc>
          <w:tcPr>
            <w:tcW w:w="1341" w:type="dxa"/>
          </w:tcPr>
          <w:p w14:paraId="6D655FCD">
            <w:pPr>
              <w:widowControl w:val="0"/>
              <w:rPr>
                <w:color w:val="auto"/>
                <w:highlight w:val="none"/>
                <w:vertAlign w:val="baseline"/>
              </w:rPr>
            </w:pPr>
          </w:p>
        </w:tc>
        <w:tc>
          <w:tcPr>
            <w:tcW w:w="1225" w:type="dxa"/>
          </w:tcPr>
          <w:p w14:paraId="5E1CE5CD">
            <w:pPr>
              <w:widowControl w:val="0"/>
              <w:rPr>
                <w:color w:val="auto"/>
                <w:highlight w:val="none"/>
                <w:vertAlign w:val="baseline"/>
              </w:rPr>
            </w:pPr>
          </w:p>
        </w:tc>
        <w:tc>
          <w:tcPr>
            <w:tcW w:w="995" w:type="dxa"/>
          </w:tcPr>
          <w:p w14:paraId="6FFF8D39">
            <w:pPr>
              <w:widowControl w:val="0"/>
              <w:rPr>
                <w:color w:val="auto"/>
                <w:highlight w:val="none"/>
                <w:vertAlign w:val="baseline"/>
              </w:rPr>
            </w:pPr>
          </w:p>
        </w:tc>
        <w:tc>
          <w:tcPr>
            <w:tcW w:w="995" w:type="dxa"/>
          </w:tcPr>
          <w:p w14:paraId="69EFFFF9">
            <w:pPr>
              <w:widowControl w:val="0"/>
              <w:rPr>
                <w:color w:val="auto"/>
                <w:highlight w:val="none"/>
                <w:vertAlign w:val="baseline"/>
              </w:rPr>
            </w:pPr>
          </w:p>
        </w:tc>
        <w:tc>
          <w:tcPr>
            <w:tcW w:w="1107" w:type="dxa"/>
          </w:tcPr>
          <w:p w14:paraId="0D9181D5">
            <w:pPr>
              <w:widowControl w:val="0"/>
              <w:rPr>
                <w:color w:val="auto"/>
                <w:highlight w:val="none"/>
                <w:vertAlign w:val="baseline"/>
              </w:rPr>
            </w:pPr>
          </w:p>
        </w:tc>
        <w:tc>
          <w:tcPr>
            <w:tcW w:w="883" w:type="dxa"/>
          </w:tcPr>
          <w:p w14:paraId="55638291">
            <w:pPr>
              <w:widowControl w:val="0"/>
              <w:rPr>
                <w:color w:val="auto"/>
                <w:highlight w:val="none"/>
                <w:vertAlign w:val="baseline"/>
              </w:rPr>
            </w:pPr>
          </w:p>
        </w:tc>
        <w:tc>
          <w:tcPr>
            <w:tcW w:w="995" w:type="dxa"/>
          </w:tcPr>
          <w:p w14:paraId="18AD76A8">
            <w:pPr>
              <w:widowControl w:val="0"/>
              <w:rPr>
                <w:color w:val="auto"/>
                <w:highlight w:val="none"/>
                <w:vertAlign w:val="baseline"/>
              </w:rPr>
            </w:pPr>
          </w:p>
        </w:tc>
        <w:tc>
          <w:tcPr>
            <w:tcW w:w="1061" w:type="dxa"/>
          </w:tcPr>
          <w:p w14:paraId="3E848191">
            <w:pPr>
              <w:widowControl w:val="0"/>
              <w:rPr>
                <w:color w:val="auto"/>
                <w:highlight w:val="none"/>
                <w:vertAlign w:val="baseline"/>
              </w:rPr>
            </w:pPr>
          </w:p>
        </w:tc>
        <w:tc>
          <w:tcPr>
            <w:tcW w:w="1061" w:type="dxa"/>
          </w:tcPr>
          <w:p w14:paraId="5A6786BD">
            <w:pPr>
              <w:widowControl w:val="0"/>
              <w:rPr>
                <w:color w:val="auto"/>
                <w:highlight w:val="none"/>
                <w:vertAlign w:val="baseline"/>
              </w:rPr>
            </w:pPr>
          </w:p>
        </w:tc>
        <w:tc>
          <w:tcPr>
            <w:tcW w:w="1213" w:type="dxa"/>
          </w:tcPr>
          <w:p w14:paraId="4A951FB8">
            <w:pPr>
              <w:widowControl w:val="0"/>
              <w:rPr>
                <w:color w:val="auto"/>
                <w:highlight w:val="none"/>
                <w:vertAlign w:val="baseline"/>
              </w:rPr>
            </w:pPr>
          </w:p>
        </w:tc>
        <w:tc>
          <w:tcPr>
            <w:tcW w:w="1584" w:type="dxa"/>
          </w:tcPr>
          <w:p w14:paraId="554D3838">
            <w:pPr>
              <w:widowControl w:val="0"/>
              <w:rPr>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color w:val="auto"/>
                <w:highlight w:val="none"/>
                <w:vertAlign w:val="baseline"/>
              </w:rPr>
            </w:pPr>
          </w:p>
        </w:tc>
        <w:tc>
          <w:tcPr>
            <w:tcW w:w="1181" w:type="dxa"/>
            <w:vMerge w:val="restart"/>
          </w:tcPr>
          <w:p w14:paraId="0D9E80CF">
            <w:pPr>
              <w:widowControl w:val="0"/>
              <w:rPr>
                <w:color w:val="auto"/>
                <w:highlight w:val="none"/>
                <w:vertAlign w:val="baseline"/>
              </w:rPr>
            </w:pPr>
          </w:p>
        </w:tc>
        <w:tc>
          <w:tcPr>
            <w:tcW w:w="1341" w:type="dxa"/>
          </w:tcPr>
          <w:p w14:paraId="1E7399C3">
            <w:pPr>
              <w:widowControl w:val="0"/>
              <w:rPr>
                <w:color w:val="auto"/>
                <w:highlight w:val="none"/>
                <w:vertAlign w:val="baseline"/>
              </w:rPr>
            </w:pPr>
          </w:p>
        </w:tc>
        <w:tc>
          <w:tcPr>
            <w:tcW w:w="1225" w:type="dxa"/>
          </w:tcPr>
          <w:p w14:paraId="3F37E071">
            <w:pPr>
              <w:widowControl w:val="0"/>
              <w:rPr>
                <w:color w:val="auto"/>
                <w:highlight w:val="none"/>
                <w:vertAlign w:val="baseline"/>
              </w:rPr>
            </w:pPr>
          </w:p>
        </w:tc>
        <w:tc>
          <w:tcPr>
            <w:tcW w:w="995" w:type="dxa"/>
          </w:tcPr>
          <w:p w14:paraId="3C6E9A35">
            <w:pPr>
              <w:widowControl w:val="0"/>
              <w:rPr>
                <w:color w:val="auto"/>
                <w:highlight w:val="none"/>
                <w:vertAlign w:val="baseline"/>
              </w:rPr>
            </w:pPr>
          </w:p>
        </w:tc>
        <w:tc>
          <w:tcPr>
            <w:tcW w:w="995" w:type="dxa"/>
          </w:tcPr>
          <w:p w14:paraId="439A493E">
            <w:pPr>
              <w:widowControl w:val="0"/>
              <w:rPr>
                <w:color w:val="auto"/>
                <w:highlight w:val="none"/>
                <w:vertAlign w:val="baseline"/>
              </w:rPr>
            </w:pPr>
          </w:p>
        </w:tc>
        <w:tc>
          <w:tcPr>
            <w:tcW w:w="1107" w:type="dxa"/>
          </w:tcPr>
          <w:p w14:paraId="6DA472CA">
            <w:pPr>
              <w:widowControl w:val="0"/>
              <w:rPr>
                <w:color w:val="auto"/>
                <w:highlight w:val="none"/>
                <w:vertAlign w:val="baseline"/>
              </w:rPr>
            </w:pPr>
          </w:p>
        </w:tc>
        <w:tc>
          <w:tcPr>
            <w:tcW w:w="883" w:type="dxa"/>
          </w:tcPr>
          <w:p w14:paraId="4B709168">
            <w:pPr>
              <w:widowControl w:val="0"/>
              <w:rPr>
                <w:color w:val="auto"/>
                <w:highlight w:val="none"/>
                <w:vertAlign w:val="baseline"/>
              </w:rPr>
            </w:pPr>
          </w:p>
        </w:tc>
        <w:tc>
          <w:tcPr>
            <w:tcW w:w="995" w:type="dxa"/>
          </w:tcPr>
          <w:p w14:paraId="0406CE2F">
            <w:pPr>
              <w:widowControl w:val="0"/>
              <w:rPr>
                <w:color w:val="auto"/>
                <w:highlight w:val="none"/>
                <w:vertAlign w:val="baseline"/>
              </w:rPr>
            </w:pPr>
          </w:p>
        </w:tc>
        <w:tc>
          <w:tcPr>
            <w:tcW w:w="1061" w:type="dxa"/>
          </w:tcPr>
          <w:p w14:paraId="51830342">
            <w:pPr>
              <w:widowControl w:val="0"/>
              <w:rPr>
                <w:color w:val="auto"/>
                <w:highlight w:val="none"/>
                <w:vertAlign w:val="baseline"/>
              </w:rPr>
            </w:pPr>
          </w:p>
        </w:tc>
        <w:tc>
          <w:tcPr>
            <w:tcW w:w="1061" w:type="dxa"/>
          </w:tcPr>
          <w:p w14:paraId="19B6E307">
            <w:pPr>
              <w:widowControl w:val="0"/>
              <w:rPr>
                <w:color w:val="auto"/>
                <w:highlight w:val="none"/>
                <w:vertAlign w:val="baseline"/>
              </w:rPr>
            </w:pPr>
          </w:p>
        </w:tc>
        <w:tc>
          <w:tcPr>
            <w:tcW w:w="1213" w:type="dxa"/>
          </w:tcPr>
          <w:p w14:paraId="3E3FE638">
            <w:pPr>
              <w:widowControl w:val="0"/>
              <w:rPr>
                <w:color w:val="auto"/>
                <w:highlight w:val="none"/>
                <w:vertAlign w:val="baseline"/>
              </w:rPr>
            </w:pPr>
          </w:p>
        </w:tc>
        <w:tc>
          <w:tcPr>
            <w:tcW w:w="1584" w:type="dxa"/>
          </w:tcPr>
          <w:p w14:paraId="71BF78D1">
            <w:pPr>
              <w:widowControl w:val="0"/>
              <w:rPr>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color w:val="auto"/>
                <w:highlight w:val="none"/>
                <w:vertAlign w:val="baseline"/>
              </w:rPr>
            </w:pPr>
          </w:p>
        </w:tc>
        <w:tc>
          <w:tcPr>
            <w:tcW w:w="1181" w:type="dxa"/>
            <w:vMerge w:val="continue"/>
          </w:tcPr>
          <w:p w14:paraId="321CC1BD">
            <w:pPr>
              <w:widowControl w:val="0"/>
              <w:rPr>
                <w:color w:val="auto"/>
                <w:highlight w:val="none"/>
                <w:vertAlign w:val="baseline"/>
              </w:rPr>
            </w:pPr>
          </w:p>
        </w:tc>
        <w:tc>
          <w:tcPr>
            <w:tcW w:w="1341" w:type="dxa"/>
          </w:tcPr>
          <w:p w14:paraId="177DB5E9">
            <w:pPr>
              <w:widowControl w:val="0"/>
              <w:rPr>
                <w:color w:val="auto"/>
                <w:highlight w:val="none"/>
                <w:vertAlign w:val="baseline"/>
              </w:rPr>
            </w:pPr>
          </w:p>
        </w:tc>
        <w:tc>
          <w:tcPr>
            <w:tcW w:w="1225" w:type="dxa"/>
          </w:tcPr>
          <w:p w14:paraId="74208401">
            <w:pPr>
              <w:widowControl w:val="0"/>
              <w:rPr>
                <w:color w:val="auto"/>
                <w:highlight w:val="none"/>
                <w:vertAlign w:val="baseline"/>
              </w:rPr>
            </w:pPr>
          </w:p>
        </w:tc>
        <w:tc>
          <w:tcPr>
            <w:tcW w:w="995" w:type="dxa"/>
          </w:tcPr>
          <w:p w14:paraId="1C3E1A61">
            <w:pPr>
              <w:widowControl w:val="0"/>
              <w:rPr>
                <w:color w:val="auto"/>
                <w:highlight w:val="none"/>
                <w:vertAlign w:val="baseline"/>
              </w:rPr>
            </w:pPr>
          </w:p>
        </w:tc>
        <w:tc>
          <w:tcPr>
            <w:tcW w:w="995" w:type="dxa"/>
          </w:tcPr>
          <w:p w14:paraId="045B7522">
            <w:pPr>
              <w:widowControl w:val="0"/>
              <w:rPr>
                <w:color w:val="auto"/>
                <w:highlight w:val="none"/>
                <w:vertAlign w:val="baseline"/>
              </w:rPr>
            </w:pPr>
          </w:p>
        </w:tc>
        <w:tc>
          <w:tcPr>
            <w:tcW w:w="1107" w:type="dxa"/>
          </w:tcPr>
          <w:p w14:paraId="495D32C7">
            <w:pPr>
              <w:widowControl w:val="0"/>
              <w:rPr>
                <w:color w:val="auto"/>
                <w:highlight w:val="none"/>
                <w:vertAlign w:val="baseline"/>
              </w:rPr>
            </w:pPr>
          </w:p>
        </w:tc>
        <w:tc>
          <w:tcPr>
            <w:tcW w:w="883" w:type="dxa"/>
          </w:tcPr>
          <w:p w14:paraId="6707E9BC">
            <w:pPr>
              <w:widowControl w:val="0"/>
              <w:rPr>
                <w:color w:val="auto"/>
                <w:highlight w:val="none"/>
                <w:vertAlign w:val="baseline"/>
              </w:rPr>
            </w:pPr>
          </w:p>
        </w:tc>
        <w:tc>
          <w:tcPr>
            <w:tcW w:w="995" w:type="dxa"/>
          </w:tcPr>
          <w:p w14:paraId="3D0459B3">
            <w:pPr>
              <w:widowControl w:val="0"/>
              <w:rPr>
                <w:color w:val="auto"/>
                <w:highlight w:val="none"/>
                <w:vertAlign w:val="baseline"/>
              </w:rPr>
            </w:pPr>
          </w:p>
        </w:tc>
        <w:tc>
          <w:tcPr>
            <w:tcW w:w="1061" w:type="dxa"/>
          </w:tcPr>
          <w:p w14:paraId="079689F5">
            <w:pPr>
              <w:widowControl w:val="0"/>
              <w:rPr>
                <w:color w:val="auto"/>
                <w:highlight w:val="none"/>
                <w:vertAlign w:val="baseline"/>
              </w:rPr>
            </w:pPr>
          </w:p>
        </w:tc>
        <w:tc>
          <w:tcPr>
            <w:tcW w:w="1061" w:type="dxa"/>
          </w:tcPr>
          <w:p w14:paraId="0417379A">
            <w:pPr>
              <w:widowControl w:val="0"/>
              <w:rPr>
                <w:color w:val="auto"/>
                <w:highlight w:val="none"/>
                <w:vertAlign w:val="baseline"/>
              </w:rPr>
            </w:pPr>
          </w:p>
        </w:tc>
        <w:tc>
          <w:tcPr>
            <w:tcW w:w="1213" w:type="dxa"/>
          </w:tcPr>
          <w:p w14:paraId="60DE824B">
            <w:pPr>
              <w:widowControl w:val="0"/>
              <w:rPr>
                <w:color w:val="auto"/>
                <w:highlight w:val="none"/>
                <w:vertAlign w:val="baseline"/>
              </w:rPr>
            </w:pPr>
          </w:p>
        </w:tc>
        <w:tc>
          <w:tcPr>
            <w:tcW w:w="1584" w:type="dxa"/>
          </w:tcPr>
          <w:p w14:paraId="544ED074">
            <w:pPr>
              <w:widowControl w:val="0"/>
              <w:rPr>
                <w:color w:val="auto"/>
                <w:highlight w:val="none"/>
                <w:vertAlign w:val="baseline"/>
              </w:rPr>
            </w:pPr>
          </w:p>
        </w:tc>
      </w:tr>
    </w:tbl>
    <w:p w14:paraId="5C36BDA2">
      <w:pPr>
        <w:rPr>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538"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default"/>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w:t>
            </w:r>
            <w:r>
              <w:rPr>
                <w:rFonts w:hint="eastAsia" w:ascii="宋体" w:hAnsi="宋体" w:cs="宋体"/>
                <w:b/>
                <w:bCs/>
                <w:snapToGrid w:val="0"/>
                <w:color w:val="auto"/>
                <w:kern w:val="0"/>
                <w:sz w:val="21"/>
                <w:szCs w:val="21"/>
                <w:highlight w:val="none"/>
                <w:lang w:val="en-US" w:eastAsia="zh-CN" w:bidi="ar"/>
              </w:rPr>
              <w:t>及注册证号</w:t>
            </w:r>
          </w:p>
        </w:tc>
        <w:tc>
          <w:tcPr>
            <w:tcW w:w="1134" w:type="dxa"/>
            <w:vAlign w:val="center"/>
          </w:tcPr>
          <w:p w14:paraId="3EA06616">
            <w:pPr>
              <w:keepNext w:val="0"/>
              <w:keepLines w:val="0"/>
              <w:widowControl/>
              <w:suppressLineNumbers w:val="0"/>
              <w:jc w:val="center"/>
              <w:rPr>
                <w:rFonts w:hint="eastAsia" w:asciiTheme="minorEastAsia" w:hAnsiTheme="minorEastAsia"/>
                <w:b/>
                <w:bCs/>
                <w:szCs w:val="21"/>
                <w:highlight w:val="none"/>
              </w:rPr>
            </w:pPr>
            <w:r>
              <w:rPr>
                <w:rFonts w:hint="eastAsia" w:asciiTheme="minorEastAsia" w:hAnsiTheme="minorEastAsia"/>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Theme="minorEastAsia" w:hAnsiTheme="minorEastAsia"/>
                <w:b/>
                <w:bCs/>
                <w:szCs w:val="21"/>
                <w:highlight w:val="none"/>
                <w:lang w:eastAsia="zh-CN"/>
              </w:rPr>
              <w:t>（</w:t>
            </w:r>
            <w:r>
              <w:rPr>
                <w:rFonts w:hint="eastAsia" w:cs="宋体" w:asciiTheme="minorEastAsia" w:hAnsiTheme="minorEastAsia"/>
                <w:b/>
                <w:bCs/>
                <w:szCs w:val="21"/>
                <w:highlight w:val="none"/>
              </w:rPr>
              <w:t>按注册证规格型号填写</w:t>
            </w:r>
            <w:r>
              <w:rPr>
                <w:rFonts w:hint="eastAsia" w:asciiTheme="minorEastAsia" w:hAnsiTheme="minorEastAsia"/>
                <w:b/>
                <w:bCs/>
                <w:szCs w:val="21"/>
                <w:highlight w:val="none"/>
                <w:lang w:eastAsia="zh-CN"/>
              </w:rPr>
              <w:t>）</w:t>
            </w:r>
          </w:p>
        </w:tc>
        <w:tc>
          <w:tcPr>
            <w:tcW w:w="986"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eastAsia="宋体"/>
                <w:b/>
                <w:bCs/>
                <w:color w:val="auto"/>
                <w:sz w:val="21"/>
                <w:szCs w:val="21"/>
                <w:highlight w:val="none"/>
                <w:vertAlign w:val="baseline"/>
                <w:lang w:val="en-US" w:eastAsia="zh-CN"/>
              </w:rPr>
            </w:pPr>
            <w:bookmarkStart w:id="73" w:name="_Toc3188"/>
            <w:bookmarkStart w:id="74" w:name="_Toc13277"/>
            <w:r>
              <w:rPr>
                <w:rFonts w:hint="eastAsia"/>
                <w:b/>
                <w:bCs/>
                <w:color w:val="auto"/>
                <w:sz w:val="21"/>
                <w:szCs w:val="21"/>
                <w:highlight w:val="none"/>
                <w:vertAlign w:val="baseline"/>
                <w:lang w:val="en-US" w:eastAsia="zh-CN"/>
              </w:rPr>
              <w:t>收费项目名称</w:t>
            </w:r>
            <w:bookmarkEnd w:id="73"/>
            <w:bookmarkEnd w:id="74"/>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bookmarkStart w:id="75" w:name="_Toc1695"/>
            <w:bookmarkStart w:id="76" w:name="_Toc22911"/>
            <w:r>
              <w:rPr>
                <w:rFonts w:hint="eastAsia" w:ascii="宋体" w:hAnsi="宋体" w:eastAsia="宋体" w:cs="宋体"/>
                <w:b/>
                <w:color w:val="auto"/>
                <w:sz w:val="21"/>
                <w:szCs w:val="21"/>
                <w:highlight w:val="none"/>
                <w:lang w:val="en-US" w:eastAsia="zh-CN"/>
              </w:rPr>
              <w:t>收费编码、</w:t>
            </w:r>
            <w:bookmarkEnd w:id="75"/>
            <w:bookmarkEnd w:id="76"/>
          </w:p>
          <w:p w14:paraId="750DD40B">
            <w:pPr>
              <w:widowControl w:val="0"/>
              <w:spacing w:line="320" w:lineRule="exact"/>
              <w:jc w:val="center"/>
              <w:outlineLvl w:val="0"/>
              <w:rPr>
                <w:rFonts w:hint="default" w:ascii="宋体" w:hAnsi="宋体" w:eastAsia="宋体" w:cs="宋体"/>
                <w:b/>
                <w:bCs/>
                <w:snapToGrid w:val="0"/>
                <w:color w:val="auto"/>
                <w:kern w:val="0"/>
                <w:sz w:val="21"/>
                <w:szCs w:val="21"/>
                <w:highlight w:val="none"/>
                <w:lang w:val="en-US" w:eastAsia="zh-CN" w:bidi="ar"/>
              </w:rPr>
            </w:pPr>
            <w:bookmarkStart w:id="77" w:name="_Toc28153"/>
            <w:bookmarkStart w:id="78" w:name="_Toc16406"/>
            <w:r>
              <w:rPr>
                <w:rFonts w:hint="eastAsia" w:ascii="宋体" w:hAnsi="宋体" w:eastAsia="宋体" w:cs="宋体"/>
                <w:b/>
                <w:color w:val="auto"/>
                <w:sz w:val="21"/>
                <w:szCs w:val="21"/>
                <w:highlight w:val="none"/>
                <w:lang w:val="en-US" w:eastAsia="zh-CN"/>
              </w:rPr>
              <w:t>收费金额</w:t>
            </w:r>
            <w:bookmarkEnd w:id="77"/>
            <w:bookmarkEnd w:id="78"/>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color w:val="auto"/>
                <w:highlight w:val="none"/>
                <w:vertAlign w:val="baseline"/>
              </w:rPr>
            </w:pPr>
          </w:p>
        </w:tc>
        <w:tc>
          <w:tcPr>
            <w:tcW w:w="1185" w:type="dxa"/>
          </w:tcPr>
          <w:p w14:paraId="0F341263">
            <w:pPr>
              <w:widowControl w:val="0"/>
              <w:rPr>
                <w:color w:val="auto"/>
                <w:highlight w:val="none"/>
                <w:vertAlign w:val="baseline"/>
              </w:rPr>
            </w:pPr>
          </w:p>
        </w:tc>
        <w:tc>
          <w:tcPr>
            <w:tcW w:w="1200" w:type="dxa"/>
          </w:tcPr>
          <w:p w14:paraId="5E2811FC">
            <w:pPr>
              <w:widowControl w:val="0"/>
              <w:rPr>
                <w:color w:val="auto"/>
                <w:highlight w:val="none"/>
                <w:vertAlign w:val="baseline"/>
              </w:rPr>
            </w:pPr>
          </w:p>
        </w:tc>
        <w:tc>
          <w:tcPr>
            <w:tcW w:w="1134" w:type="dxa"/>
          </w:tcPr>
          <w:p w14:paraId="4138DDFD">
            <w:pPr>
              <w:widowControl w:val="0"/>
              <w:rPr>
                <w:color w:val="auto"/>
                <w:highlight w:val="none"/>
                <w:vertAlign w:val="baseline"/>
              </w:rPr>
            </w:pPr>
          </w:p>
        </w:tc>
        <w:tc>
          <w:tcPr>
            <w:tcW w:w="986" w:type="dxa"/>
          </w:tcPr>
          <w:p w14:paraId="6406ADBC">
            <w:pPr>
              <w:widowControl w:val="0"/>
              <w:rPr>
                <w:color w:val="auto"/>
                <w:highlight w:val="none"/>
                <w:vertAlign w:val="baseline"/>
              </w:rPr>
            </w:pPr>
          </w:p>
        </w:tc>
        <w:tc>
          <w:tcPr>
            <w:tcW w:w="986" w:type="dxa"/>
          </w:tcPr>
          <w:p w14:paraId="23110391">
            <w:pPr>
              <w:widowControl w:val="0"/>
              <w:rPr>
                <w:color w:val="auto"/>
                <w:highlight w:val="none"/>
                <w:vertAlign w:val="baseline"/>
              </w:rPr>
            </w:pPr>
          </w:p>
        </w:tc>
        <w:tc>
          <w:tcPr>
            <w:tcW w:w="986" w:type="dxa"/>
          </w:tcPr>
          <w:p w14:paraId="403934A1">
            <w:pPr>
              <w:widowControl w:val="0"/>
              <w:rPr>
                <w:color w:val="auto"/>
                <w:highlight w:val="none"/>
                <w:vertAlign w:val="baseline"/>
              </w:rPr>
            </w:pPr>
          </w:p>
        </w:tc>
        <w:tc>
          <w:tcPr>
            <w:tcW w:w="708" w:type="dxa"/>
          </w:tcPr>
          <w:p w14:paraId="542CE9FA">
            <w:pPr>
              <w:widowControl w:val="0"/>
              <w:rPr>
                <w:color w:val="auto"/>
                <w:highlight w:val="none"/>
                <w:vertAlign w:val="baseline"/>
              </w:rPr>
            </w:pPr>
          </w:p>
        </w:tc>
        <w:tc>
          <w:tcPr>
            <w:tcW w:w="1125" w:type="dxa"/>
          </w:tcPr>
          <w:p w14:paraId="1C229079">
            <w:pPr>
              <w:widowControl w:val="0"/>
              <w:rPr>
                <w:color w:val="auto"/>
                <w:highlight w:val="none"/>
                <w:vertAlign w:val="baseline"/>
              </w:rPr>
            </w:pPr>
          </w:p>
        </w:tc>
        <w:tc>
          <w:tcPr>
            <w:tcW w:w="1275" w:type="dxa"/>
          </w:tcPr>
          <w:p w14:paraId="0535F847">
            <w:pPr>
              <w:widowControl w:val="0"/>
              <w:rPr>
                <w:color w:val="auto"/>
                <w:highlight w:val="none"/>
                <w:vertAlign w:val="baseline"/>
              </w:rPr>
            </w:pPr>
          </w:p>
        </w:tc>
        <w:tc>
          <w:tcPr>
            <w:tcW w:w="1500" w:type="dxa"/>
          </w:tcPr>
          <w:p w14:paraId="2034F975">
            <w:pPr>
              <w:widowControl w:val="0"/>
              <w:rPr>
                <w:color w:val="auto"/>
                <w:highlight w:val="none"/>
                <w:vertAlign w:val="baseline"/>
              </w:rPr>
            </w:pPr>
          </w:p>
        </w:tc>
        <w:tc>
          <w:tcPr>
            <w:tcW w:w="1405"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color w:val="auto"/>
                <w:highlight w:val="none"/>
                <w:vertAlign w:val="baseline"/>
              </w:rPr>
            </w:pPr>
          </w:p>
        </w:tc>
        <w:tc>
          <w:tcPr>
            <w:tcW w:w="1185" w:type="dxa"/>
          </w:tcPr>
          <w:p w14:paraId="6F728AC8">
            <w:pPr>
              <w:widowControl w:val="0"/>
              <w:rPr>
                <w:color w:val="auto"/>
                <w:highlight w:val="none"/>
                <w:vertAlign w:val="baseline"/>
              </w:rPr>
            </w:pPr>
          </w:p>
        </w:tc>
        <w:tc>
          <w:tcPr>
            <w:tcW w:w="1200" w:type="dxa"/>
          </w:tcPr>
          <w:p w14:paraId="5DC1D47F">
            <w:pPr>
              <w:widowControl w:val="0"/>
              <w:rPr>
                <w:color w:val="auto"/>
                <w:highlight w:val="none"/>
                <w:vertAlign w:val="baseline"/>
              </w:rPr>
            </w:pPr>
          </w:p>
        </w:tc>
        <w:tc>
          <w:tcPr>
            <w:tcW w:w="1134" w:type="dxa"/>
          </w:tcPr>
          <w:p w14:paraId="0736C76F">
            <w:pPr>
              <w:widowControl w:val="0"/>
              <w:rPr>
                <w:color w:val="auto"/>
                <w:highlight w:val="none"/>
                <w:vertAlign w:val="baseline"/>
              </w:rPr>
            </w:pPr>
          </w:p>
        </w:tc>
        <w:tc>
          <w:tcPr>
            <w:tcW w:w="986" w:type="dxa"/>
          </w:tcPr>
          <w:p w14:paraId="4A635A5B">
            <w:pPr>
              <w:widowControl w:val="0"/>
              <w:rPr>
                <w:color w:val="auto"/>
                <w:highlight w:val="none"/>
                <w:vertAlign w:val="baseline"/>
              </w:rPr>
            </w:pPr>
          </w:p>
        </w:tc>
        <w:tc>
          <w:tcPr>
            <w:tcW w:w="986" w:type="dxa"/>
          </w:tcPr>
          <w:p w14:paraId="41FF43D8">
            <w:pPr>
              <w:widowControl w:val="0"/>
              <w:rPr>
                <w:color w:val="auto"/>
                <w:highlight w:val="none"/>
                <w:vertAlign w:val="baseline"/>
              </w:rPr>
            </w:pPr>
          </w:p>
        </w:tc>
        <w:tc>
          <w:tcPr>
            <w:tcW w:w="986" w:type="dxa"/>
          </w:tcPr>
          <w:p w14:paraId="739BF70B">
            <w:pPr>
              <w:widowControl w:val="0"/>
              <w:rPr>
                <w:color w:val="auto"/>
                <w:highlight w:val="none"/>
                <w:vertAlign w:val="baseline"/>
              </w:rPr>
            </w:pPr>
          </w:p>
        </w:tc>
        <w:tc>
          <w:tcPr>
            <w:tcW w:w="708" w:type="dxa"/>
          </w:tcPr>
          <w:p w14:paraId="21217D12">
            <w:pPr>
              <w:widowControl w:val="0"/>
              <w:rPr>
                <w:color w:val="auto"/>
                <w:highlight w:val="none"/>
                <w:vertAlign w:val="baseline"/>
              </w:rPr>
            </w:pPr>
          </w:p>
        </w:tc>
        <w:tc>
          <w:tcPr>
            <w:tcW w:w="1125" w:type="dxa"/>
          </w:tcPr>
          <w:p w14:paraId="2D25857A">
            <w:pPr>
              <w:widowControl w:val="0"/>
              <w:rPr>
                <w:color w:val="auto"/>
                <w:highlight w:val="none"/>
                <w:vertAlign w:val="baseline"/>
              </w:rPr>
            </w:pPr>
          </w:p>
        </w:tc>
        <w:tc>
          <w:tcPr>
            <w:tcW w:w="1275" w:type="dxa"/>
          </w:tcPr>
          <w:p w14:paraId="4976030C">
            <w:pPr>
              <w:widowControl w:val="0"/>
              <w:rPr>
                <w:color w:val="auto"/>
                <w:highlight w:val="none"/>
                <w:vertAlign w:val="baseline"/>
              </w:rPr>
            </w:pPr>
          </w:p>
        </w:tc>
        <w:tc>
          <w:tcPr>
            <w:tcW w:w="1500" w:type="dxa"/>
          </w:tcPr>
          <w:p w14:paraId="5664F5DB">
            <w:pPr>
              <w:widowControl w:val="0"/>
              <w:rPr>
                <w:color w:val="auto"/>
                <w:highlight w:val="none"/>
                <w:vertAlign w:val="baseline"/>
              </w:rPr>
            </w:pPr>
          </w:p>
        </w:tc>
        <w:tc>
          <w:tcPr>
            <w:tcW w:w="1405"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color w:val="auto"/>
                <w:highlight w:val="none"/>
                <w:vertAlign w:val="baseline"/>
              </w:rPr>
            </w:pPr>
          </w:p>
        </w:tc>
        <w:tc>
          <w:tcPr>
            <w:tcW w:w="1185" w:type="dxa"/>
          </w:tcPr>
          <w:p w14:paraId="0D8A01B7">
            <w:pPr>
              <w:widowControl w:val="0"/>
              <w:rPr>
                <w:color w:val="auto"/>
                <w:highlight w:val="none"/>
                <w:vertAlign w:val="baseline"/>
              </w:rPr>
            </w:pPr>
          </w:p>
        </w:tc>
        <w:tc>
          <w:tcPr>
            <w:tcW w:w="1200" w:type="dxa"/>
          </w:tcPr>
          <w:p w14:paraId="5D2869C6">
            <w:pPr>
              <w:widowControl w:val="0"/>
              <w:rPr>
                <w:color w:val="auto"/>
                <w:highlight w:val="none"/>
                <w:vertAlign w:val="baseline"/>
              </w:rPr>
            </w:pPr>
          </w:p>
        </w:tc>
        <w:tc>
          <w:tcPr>
            <w:tcW w:w="1134" w:type="dxa"/>
          </w:tcPr>
          <w:p w14:paraId="1AA351AF">
            <w:pPr>
              <w:widowControl w:val="0"/>
              <w:rPr>
                <w:color w:val="auto"/>
                <w:highlight w:val="none"/>
                <w:vertAlign w:val="baseline"/>
              </w:rPr>
            </w:pPr>
          </w:p>
        </w:tc>
        <w:tc>
          <w:tcPr>
            <w:tcW w:w="986" w:type="dxa"/>
          </w:tcPr>
          <w:p w14:paraId="709D356D">
            <w:pPr>
              <w:widowControl w:val="0"/>
              <w:rPr>
                <w:color w:val="auto"/>
                <w:highlight w:val="none"/>
                <w:vertAlign w:val="baseline"/>
              </w:rPr>
            </w:pPr>
          </w:p>
        </w:tc>
        <w:tc>
          <w:tcPr>
            <w:tcW w:w="986" w:type="dxa"/>
          </w:tcPr>
          <w:p w14:paraId="140B3B78">
            <w:pPr>
              <w:widowControl w:val="0"/>
              <w:rPr>
                <w:color w:val="auto"/>
                <w:highlight w:val="none"/>
                <w:vertAlign w:val="baseline"/>
              </w:rPr>
            </w:pPr>
          </w:p>
        </w:tc>
        <w:tc>
          <w:tcPr>
            <w:tcW w:w="986" w:type="dxa"/>
          </w:tcPr>
          <w:p w14:paraId="7187B6F3">
            <w:pPr>
              <w:widowControl w:val="0"/>
              <w:rPr>
                <w:color w:val="auto"/>
                <w:highlight w:val="none"/>
                <w:vertAlign w:val="baseline"/>
              </w:rPr>
            </w:pPr>
          </w:p>
        </w:tc>
        <w:tc>
          <w:tcPr>
            <w:tcW w:w="708" w:type="dxa"/>
          </w:tcPr>
          <w:p w14:paraId="782C0C79">
            <w:pPr>
              <w:widowControl w:val="0"/>
              <w:rPr>
                <w:color w:val="auto"/>
                <w:highlight w:val="none"/>
                <w:vertAlign w:val="baseline"/>
              </w:rPr>
            </w:pPr>
          </w:p>
        </w:tc>
        <w:tc>
          <w:tcPr>
            <w:tcW w:w="1125" w:type="dxa"/>
          </w:tcPr>
          <w:p w14:paraId="3BA3AD13">
            <w:pPr>
              <w:widowControl w:val="0"/>
              <w:rPr>
                <w:color w:val="auto"/>
                <w:highlight w:val="none"/>
                <w:vertAlign w:val="baseline"/>
              </w:rPr>
            </w:pPr>
          </w:p>
        </w:tc>
        <w:tc>
          <w:tcPr>
            <w:tcW w:w="1275" w:type="dxa"/>
          </w:tcPr>
          <w:p w14:paraId="3F864AE3">
            <w:pPr>
              <w:widowControl w:val="0"/>
              <w:rPr>
                <w:color w:val="auto"/>
                <w:highlight w:val="none"/>
                <w:vertAlign w:val="baseline"/>
              </w:rPr>
            </w:pPr>
          </w:p>
        </w:tc>
        <w:tc>
          <w:tcPr>
            <w:tcW w:w="1500" w:type="dxa"/>
          </w:tcPr>
          <w:p w14:paraId="6D48088E">
            <w:pPr>
              <w:widowControl w:val="0"/>
              <w:rPr>
                <w:color w:val="auto"/>
                <w:highlight w:val="none"/>
                <w:vertAlign w:val="baseline"/>
              </w:rPr>
            </w:pPr>
          </w:p>
        </w:tc>
        <w:tc>
          <w:tcPr>
            <w:tcW w:w="1405"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color w:val="auto"/>
                <w:highlight w:val="none"/>
                <w:vertAlign w:val="baseline"/>
              </w:rPr>
            </w:pPr>
          </w:p>
        </w:tc>
        <w:tc>
          <w:tcPr>
            <w:tcW w:w="1185" w:type="dxa"/>
            <w:vMerge w:val="continue"/>
          </w:tcPr>
          <w:p w14:paraId="4D0CA1FD">
            <w:pPr>
              <w:widowControl w:val="0"/>
              <w:rPr>
                <w:color w:val="auto"/>
                <w:highlight w:val="none"/>
                <w:vertAlign w:val="baseline"/>
              </w:rPr>
            </w:pPr>
          </w:p>
        </w:tc>
        <w:tc>
          <w:tcPr>
            <w:tcW w:w="1185" w:type="dxa"/>
          </w:tcPr>
          <w:p w14:paraId="23AB6B66">
            <w:pPr>
              <w:widowControl w:val="0"/>
              <w:rPr>
                <w:color w:val="auto"/>
                <w:highlight w:val="none"/>
                <w:vertAlign w:val="baseline"/>
              </w:rPr>
            </w:pPr>
          </w:p>
        </w:tc>
        <w:tc>
          <w:tcPr>
            <w:tcW w:w="1200" w:type="dxa"/>
          </w:tcPr>
          <w:p w14:paraId="6B29D694">
            <w:pPr>
              <w:widowControl w:val="0"/>
              <w:rPr>
                <w:color w:val="auto"/>
                <w:highlight w:val="none"/>
                <w:vertAlign w:val="baseline"/>
              </w:rPr>
            </w:pPr>
          </w:p>
        </w:tc>
        <w:tc>
          <w:tcPr>
            <w:tcW w:w="1134" w:type="dxa"/>
          </w:tcPr>
          <w:p w14:paraId="424656BF">
            <w:pPr>
              <w:widowControl w:val="0"/>
              <w:rPr>
                <w:color w:val="auto"/>
                <w:highlight w:val="none"/>
                <w:vertAlign w:val="baseline"/>
              </w:rPr>
            </w:pPr>
          </w:p>
        </w:tc>
        <w:tc>
          <w:tcPr>
            <w:tcW w:w="986" w:type="dxa"/>
          </w:tcPr>
          <w:p w14:paraId="7D39357A">
            <w:pPr>
              <w:widowControl w:val="0"/>
              <w:rPr>
                <w:color w:val="auto"/>
                <w:highlight w:val="none"/>
                <w:vertAlign w:val="baseline"/>
              </w:rPr>
            </w:pPr>
          </w:p>
        </w:tc>
        <w:tc>
          <w:tcPr>
            <w:tcW w:w="986" w:type="dxa"/>
          </w:tcPr>
          <w:p w14:paraId="747DFEFE">
            <w:pPr>
              <w:widowControl w:val="0"/>
              <w:rPr>
                <w:color w:val="auto"/>
                <w:highlight w:val="none"/>
                <w:vertAlign w:val="baseline"/>
              </w:rPr>
            </w:pPr>
          </w:p>
        </w:tc>
        <w:tc>
          <w:tcPr>
            <w:tcW w:w="986" w:type="dxa"/>
          </w:tcPr>
          <w:p w14:paraId="3CDE67A2">
            <w:pPr>
              <w:widowControl w:val="0"/>
              <w:rPr>
                <w:color w:val="auto"/>
                <w:highlight w:val="none"/>
                <w:vertAlign w:val="baseline"/>
              </w:rPr>
            </w:pPr>
          </w:p>
        </w:tc>
        <w:tc>
          <w:tcPr>
            <w:tcW w:w="708" w:type="dxa"/>
          </w:tcPr>
          <w:p w14:paraId="5D8AC925">
            <w:pPr>
              <w:widowControl w:val="0"/>
              <w:rPr>
                <w:color w:val="auto"/>
                <w:highlight w:val="none"/>
                <w:vertAlign w:val="baseline"/>
              </w:rPr>
            </w:pPr>
          </w:p>
        </w:tc>
        <w:tc>
          <w:tcPr>
            <w:tcW w:w="1125" w:type="dxa"/>
          </w:tcPr>
          <w:p w14:paraId="3D2C7340">
            <w:pPr>
              <w:widowControl w:val="0"/>
              <w:rPr>
                <w:color w:val="auto"/>
                <w:highlight w:val="none"/>
                <w:vertAlign w:val="baseline"/>
              </w:rPr>
            </w:pPr>
          </w:p>
        </w:tc>
        <w:tc>
          <w:tcPr>
            <w:tcW w:w="1275" w:type="dxa"/>
          </w:tcPr>
          <w:p w14:paraId="4A016A1F">
            <w:pPr>
              <w:widowControl w:val="0"/>
              <w:rPr>
                <w:color w:val="auto"/>
                <w:highlight w:val="none"/>
                <w:vertAlign w:val="baseline"/>
              </w:rPr>
            </w:pPr>
          </w:p>
        </w:tc>
        <w:tc>
          <w:tcPr>
            <w:tcW w:w="1500" w:type="dxa"/>
          </w:tcPr>
          <w:p w14:paraId="6AA74C35">
            <w:pPr>
              <w:widowControl w:val="0"/>
              <w:rPr>
                <w:color w:val="auto"/>
                <w:highlight w:val="none"/>
                <w:vertAlign w:val="baseline"/>
              </w:rPr>
            </w:pPr>
          </w:p>
        </w:tc>
        <w:tc>
          <w:tcPr>
            <w:tcW w:w="1405" w:type="dxa"/>
          </w:tcPr>
          <w:p w14:paraId="091E8271">
            <w:pPr>
              <w:widowControl w:val="0"/>
              <w:rPr>
                <w:color w:val="auto"/>
                <w:highlight w:val="none"/>
                <w:vertAlign w:val="baseline"/>
              </w:rPr>
            </w:pPr>
          </w:p>
        </w:tc>
      </w:tr>
    </w:tbl>
    <w:p w14:paraId="367C1593">
      <w:pPr>
        <w:rPr>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708C5B50">
      <w:pPr>
        <w:bidi w:val="0"/>
        <w:rPr>
          <w:rFonts w:hint="default"/>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5"/>
      <w:bookmarkEnd w:id="6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443"/>
        <w:gridCol w:w="2070"/>
        <w:gridCol w:w="2175"/>
        <w:gridCol w:w="1560"/>
        <w:gridCol w:w="1309"/>
      </w:tblGrid>
      <w:tr w14:paraId="63D88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56A1E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43" w:type="dxa"/>
            <w:noWrap w:val="0"/>
            <w:vAlign w:val="center"/>
          </w:tcPr>
          <w:p w14:paraId="6D6DFDE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070" w:type="dxa"/>
            <w:noWrap w:val="0"/>
            <w:vAlign w:val="center"/>
          </w:tcPr>
          <w:p w14:paraId="6117F9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175" w:type="dxa"/>
            <w:noWrap w:val="0"/>
            <w:vAlign w:val="center"/>
          </w:tcPr>
          <w:p w14:paraId="488ABF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560" w:type="dxa"/>
            <w:noWrap w:val="0"/>
            <w:vAlign w:val="center"/>
          </w:tcPr>
          <w:p w14:paraId="2916BB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1309" w:type="dxa"/>
            <w:noWrap w:val="0"/>
            <w:vAlign w:val="center"/>
          </w:tcPr>
          <w:p w14:paraId="3B53A1EA">
            <w:pPr>
              <w:pageBreakBefore w:val="0"/>
              <w:widowControl/>
              <w:wordWrap/>
              <w:overflowPunct/>
              <w:topLinePunct w:val="0"/>
              <w:bidi w:val="0"/>
              <w:spacing w:line="360" w:lineRule="auto"/>
              <w:jc w:val="center"/>
              <w:textAlignment w:val="baseline"/>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证明材料在响应文件的页码</w:t>
            </w:r>
          </w:p>
          <w:p w14:paraId="704D7A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FF0000"/>
                <w:sz w:val="21"/>
                <w:szCs w:val="21"/>
                <w:highlight w:val="none"/>
                <w:lang w:val="en-US" w:eastAsia="zh-CN"/>
              </w:rPr>
              <w:t>（每条参数需做明确标记）</w:t>
            </w:r>
          </w:p>
        </w:tc>
      </w:tr>
      <w:tr w14:paraId="44ED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56C3B56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43" w:type="dxa"/>
            <w:noWrap w:val="0"/>
            <w:vAlign w:val="center"/>
          </w:tcPr>
          <w:p w14:paraId="4C1F27D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0C123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3E7B70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1424DF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298CEAF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DB18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49AAB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43" w:type="dxa"/>
            <w:noWrap w:val="0"/>
            <w:vAlign w:val="center"/>
          </w:tcPr>
          <w:p w14:paraId="31C8C4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703B98C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5F9D3F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271C11B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76BAA9B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0B9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367497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443" w:type="dxa"/>
            <w:noWrap w:val="0"/>
            <w:vAlign w:val="center"/>
          </w:tcPr>
          <w:p w14:paraId="777F6F7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70" w:type="dxa"/>
            <w:noWrap w:val="0"/>
            <w:vAlign w:val="center"/>
          </w:tcPr>
          <w:p w14:paraId="517DE1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75" w:type="dxa"/>
            <w:noWrap w:val="0"/>
            <w:vAlign w:val="center"/>
          </w:tcPr>
          <w:p w14:paraId="19E7C6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560" w:type="dxa"/>
            <w:noWrap w:val="0"/>
            <w:vAlign w:val="center"/>
          </w:tcPr>
          <w:p w14:paraId="0E8F5E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09" w:type="dxa"/>
            <w:noWrap w:val="0"/>
            <w:vAlign w:val="center"/>
          </w:tcPr>
          <w:p w14:paraId="7889CE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537060AA">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142BC37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bCs/>
          <w:color w:val="auto"/>
          <w:sz w:val="24"/>
          <w:szCs w:val="32"/>
          <w:highlight w:val="none"/>
          <w:lang w:val="en-US" w:eastAsia="zh-CN"/>
        </w:rPr>
      </w:pPr>
      <w:r>
        <w:rPr>
          <w:rFonts w:hint="eastAsia" w:asciiTheme="minorEastAsia" w:hAnsiTheme="minorEastAsia"/>
          <w:b/>
          <w:bCs/>
          <w:color w:val="auto"/>
          <w:sz w:val="24"/>
          <w:szCs w:val="32"/>
          <w:highlight w:val="none"/>
          <w:lang w:val="en-US" w:eastAsia="zh-CN"/>
        </w:rPr>
        <w:t>注：</w:t>
      </w:r>
    </w:p>
    <w:p w14:paraId="284E86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asciiTheme="minorEastAsia" w:hAnsiTheme="minorEastAsia"/>
          <w:b w:val="0"/>
          <w:bCs w:val="0"/>
          <w:color w:val="auto"/>
          <w:sz w:val="24"/>
          <w:szCs w:val="32"/>
          <w:highlight w:val="none"/>
          <w:lang w:eastAsia="zh-CN"/>
        </w:rPr>
      </w:pPr>
      <w:r>
        <w:rPr>
          <w:rFonts w:hint="eastAsia" w:asciiTheme="minorEastAsia" w:hAnsiTheme="minorEastAsia"/>
          <w:b w:val="0"/>
          <w:bCs w:val="0"/>
          <w:color w:val="auto"/>
          <w:sz w:val="24"/>
          <w:szCs w:val="32"/>
          <w:highlight w:val="none"/>
          <w:lang w:val="en-US" w:eastAsia="zh-CN"/>
        </w:rPr>
        <w:t>1.</w:t>
      </w:r>
      <w:r>
        <w:rPr>
          <w:rFonts w:hint="eastAsia" w:asciiTheme="minorEastAsia" w:hAnsiTheme="minorEastAsia"/>
          <w:b w:val="0"/>
          <w:bCs w:val="0"/>
          <w:color w:val="auto"/>
          <w:sz w:val="24"/>
          <w:szCs w:val="32"/>
          <w:highlight w:val="none"/>
        </w:rPr>
        <w:t>本表中“偏离</w:t>
      </w:r>
      <w:r>
        <w:rPr>
          <w:rFonts w:hint="eastAsia" w:asciiTheme="minorEastAsia" w:hAnsiTheme="minorEastAsia"/>
          <w:b w:val="0"/>
          <w:bCs w:val="0"/>
          <w:color w:val="auto"/>
          <w:sz w:val="24"/>
          <w:szCs w:val="32"/>
          <w:highlight w:val="none"/>
          <w:lang w:val="en-US" w:eastAsia="zh-CN"/>
        </w:rPr>
        <w:t>情况</w:t>
      </w:r>
      <w:r>
        <w:rPr>
          <w:rFonts w:hint="eastAsia" w:asciiTheme="minorEastAsia" w:hAnsiTheme="minorEastAsia"/>
          <w:b w:val="0"/>
          <w:bCs w:val="0"/>
          <w:color w:val="auto"/>
          <w:sz w:val="24"/>
          <w:szCs w:val="32"/>
          <w:highlight w:val="none"/>
        </w:rPr>
        <w:t>”只有三种状态（正偏离、无偏离、负偏离）</w:t>
      </w:r>
      <w:r>
        <w:rPr>
          <w:rFonts w:hint="eastAsia" w:asciiTheme="minorEastAsia" w:hAnsiTheme="minorEastAsia"/>
          <w:b w:val="0"/>
          <w:bCs w:val="0"/>
          <w:color w:val="auto"/>
          <w:sz w:val="24"/>
          <w:szCs w:val="32"/>
          <w:highlight w:val="none"/>
          <w:lang w:eastAsia="zh-CN"/>
        </w:rPr>
        <w:t>。</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2.评审专家逐项核对技术偏离表及证明材料，评审结合证明材料，若填写“无偏离或正偏离”但证明材料不满足或低于采购文件要求，则视为负偏离，做扣分处理并上报监督部门进行处理。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b w:val="0"/>
          <w:bCs w:val="0"/>
          <w:color w:val="FF0000"/>
          <w:sz w:val="24"/>
          <w:szCs w:val="32"/>
          <w:highlight w:val="none"/>
          <w:lang w:val="en-US" w:eastAsia="zh-CN"/>
        </w:rPr>
      </w:pPr>
      <w:r>
        <w:rPr>
          <w:rFonts w:hint="eastAsia" w:asciiTheme="minorEastAsia" w:hAnsiTheme="minorEastAsia"/>
          <w:b w:val="0"/>
          <w:bCs w:val="0"/>
          <w:color w:val="FF0000"/>
          <w:sz w:val="24"/>
          <w:szCs w:val="32"/>
          <w:highlight w:val="none"/>
          <w:lang w:val="en-US" w:eastAsia="zh-CN"/>
        </w:rPr>
        <w:t>3.验收以“技术偏离表+投标文件证明材料+设备实际功能”为依据进行逐条验收，信息不一致则验收不通过，上报监督部门进行处理。</w:t>
      </w:r>
    </w:p>
    <w:p w14:paraId="6A2C75F5">
      <w:pPr>
        <w:pageBreakBefore w:val="0"/>
        <w:widowControl/>
        <w:wordWrap/>
        <w:overflowPunct/>
        <w:topLinePunct w:val="0"/>
        <w:bidi w:val="0"/>
        <w:spacing w:line="360" w:lineRule="auto"/>
        <w:textAlignment w:val="baseline"/>
        <w:rPr>
          <w:rFonts w:hint="eastAsia" w:ascii="宋体" w:hAnsi="宋体" w:eastAsia="宋体" w:cs="宋体"/>
          <w:b/>
          <w:bCs/>
          <w:color w:val="auto"/>
          <w:sz w:val="21"/>
          <w:szCs w:val="21"/>
          <w:highlight w:val="none"/>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9960"/>
      <w:bookmarkStart w:id="80" w:name="_Toc20420"/>
      <w:bookmarkStart w:id="81" w:name="_Toc24168"/>
      <w:r>
        <w:rPr>
          <w:rFonts w:hint="eastAsia" w:ascii="宋体" w:hAnsi="宋体" w:eastAsia="宋体" w:cs="宋体"/>
          <w:color w:val="auto"/>
          <w:sz w:val="28"/>
          <w:szCs w:val="28"/>
          <w:highlight w:val="none"/>
          <w:lang w:val="en-US" w:eastAsia="zh-CN"/>
        </w:rPr>
        <w:t>附件6            商务响应</w:t>
      </w:r>
      <w:bookmarkEnd w:id="79"/>
      <w:bookmarkEnd w:id="80"/>
      <w:bookmarkEnd w:id="81"/>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1" w:type="dxa"/>
            <w:noWrap w:val="0"/>
            <w:vAlign w:val="center"/>
          </w:tcPr>
          <w:p w14:paraId="6DC2849E">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交货期</w:t>
            </w: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2301" w:type="dxa"/>
            <w:noWrap w:val="0"/>
            <w:vAlign w:val="center"/>
          </w:tcPr>
          <w:p w14:paraId="0472149B">
            <w:pPr>
              <w:pStyle w:val="7"/>
              <w:spacing w:line="360" w:lineRule="auto"/>
              <w:jc w:val="center"/>
              <w:rPr>
                <w:rFonts w:hint="eastAsia" w:ascii="宋体" w:hAnsi="宋体" w:eastAsia="宋体" w:cs="宋体"/>
                <w:color w:val="auto"/>
                <w:sz w:val="21"/>
                <w:szCs w:val="21"/>
                <w:highlight w:val="none"/>
                <w:lang w:val="en-US" w:eastAsia="zh-CN"/>
              </w:rPr>
            </w:pPr>
            <w:r>
              <w:rPr>
                <w:rFonts w:hint="eastAsia" w:cs="仿宋" w:asciiTheme="majorEastAsia" w:hAnsiTheme="majorEastAsia" w:eastAsiaTheme="majorEastAsia"/>
                <w:kern w:val="2"/>
                <w:sz w:val="21"/>
                <w:szCs w:val="21"/>
                <w:highlight w:val="none"/>
              </w:rPr>
              <w:t>质保期</w:t>
            </w: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50BB9001">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lang w:val="en-US" w:eastAsia="zh-CN"/>
              </w:rPr>
              <w:t>付款方式</w:t>
            </w: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6182A3E4">
            <w:pPr>
              <w:pStyle w:val="7"/>
              <w:spacing w:line="360" w:lineRule="auto"/>
              <w:jc w:val="center"/>
              <w:rPr>
                <w:rFonts w:hint="eastAsia" w:ascii="宋体" w:hAnsi="宋体" w:eastAsia="宋体" w:cs="宋体"/>
                <w:color w:val="auto"/>
                <w:sz w:val="21"/>
                <w:szCs w:val="21"/>
                <w:highlight w:val="none"/>
              </w:rPr>
            </w:pPr>
            <w:r>
              <w:rPr>
                <w:rFonts w:hint="eastAsia" w:cs="仿宋" w:asciiTheme="majorEastAsia" w:hAnsiTheme="majorEastAsia" w:eastAsiaTheme="majorEastAsia"/>
                <w:kern w:val="2"/>
                <w:sz w:val="21"/>
                <w:szCs w:val="21"/>
                <w:highlight w:val="none"/>
              </w:rPr>
              <w:t>售后服务</w:t>
            </w: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0A06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6F2CB6F5">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71666285">
            <w:pPr>
              <w:pStyle w:val="7"/>
              <w:spacing w:line="360" w:lineRule="auto"/>
              <w:jc w:val="center"/>
              <w:rPr>
                <w:rFonts w:hint="eastAsia"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培训</w:t>
            </w:r>
          </w:p>
        </w:tc>
        <w:tc>
          <w:tcPr>
            <w:tcW w:w="2198" w:type="dxa"/>
            <w:noWrap w:val="0"/>
            <w:vAlign w:val="center"/>
          </w:tcPr>
          <w:p w14:paraId="3AD5D8B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4FD6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E951C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716E43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5C43BD33">
            <w:pPr>
              <w:pStyle w:val="7"/>
              <w:spacing w:line="360" w:lineRule="auto"/>
              <w:jc w:val="center"/>
              <w:rPr>
                <w:rFonts w:hint="eastAsia" w:ascii="宋体" w:hAnsi="宋体" w:eastAsia="宋体" w:cs="宋体"/>
                <w:color w:val="auto"/>
                <w:sz w:val="21"/>
                <w:szCs w:val="21"/>
                <w:highlight w:val="none"/>
              </w:rPr>
            </w:pPr>
            <w:r>
              <w:rPr>
                <w:rFonts w:hint="eastAsia" w:asciiTheme="majorEastAsia" w:hAnsiTheme="majorEastAsia" w:eastAsiaTheme="majorEastAsia"/>
                <w:sz w:val="21"/>
                <w:szCs w:val="21"/>
                <w:highlight w:val="none"/>
              </w:rPr>
              <w:t>其他要求</w:t>
            </w: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p>
        </w:tc>
        <w:tc>
          <w:tcPr>
            <w:tcW w:w="2301" w:type="dxa"/>
            <w:noWrap w:val="0"/>
            <w:vAlign w:val="center"/>
          </w:tcPr>
          <w:p w14:paraId="56FFBDC6">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D62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E6BE3A4">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p>
        </w:tc>
        <w:tc>
          <w:tcPr>
            <w:tcW w:w="2301" w:type="dxa"/>
            <w:noWrap w:val="0"/>
            <w:vAlign w:val="center"/>
          </w:tcPr>
          <w:p w14:paraId="32DD6AB7">
            <w:pPr>
              <w:pStyle w:val="7"/>
              <w:spacing w:line="360" w:lineRule="auto"/>
              <w:jc w:val="center"/>
              <w:rPr>
                <w:rFonts w:hint="eastAsia" w:ascii="宋体" w:hAnsi="宋体" w:eastAsia="宋体" w:cs="宋体"/>
                <w:color w:val="auto"/>
                <w:sz w:val="21"/>
                <w:szCs w:val="21"/>
                <w:highlight w:val="none"/>
              </w:rPr>
            </w:pPr>
          </w:p>
        </w:tc>
        <w:tc>
          <w:tcPr>
            <w:tcW w:w="2198" w:type="dxa"/>
            <w:noWrap w:val="0"/>
            <w:vAlign w:val="center"/>
          </w:tcPr>
          <w:p w14:paraId="540F70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EA93C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AD63A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89801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43FA7BC">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2" w:name="_Toc28621"/>
      <w:bookmarkStart w:id="83"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r>
        <w:rPr>
          <w:rFonts w:hint="eastAsia" w:ascii="宋体" w:hAnsi="宋体" w:eastAsia="宋体" w:cs="宋体"/>
          <w:color w:val="auto"/>
          <w:sz w:val="28"/>
          <w:szCs w:val="28"/>
          <w:highlight w:val="none"/>
          <w:lang w:val="en-US" w:eastAsia="zh-CN"/>
        </w:rPr>
        <w:t>附件7         法定代表人身份证明（格式）</w:t>
      </w:r>
      <w:bookmarkEnd w:id="82"/>
      <w:bookmarkEnd w:id="83"/>
      <w:bookmarkEnd w:id="84"/>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12939"/>
      <w:bookmarkStart w:id="86" w:name="_Toc13976"/>
      <w:bookmarkStart w:id="87" w:name="_Toc30519"/>
      <w:r>
        <w:rPr>
          <w:rFonts w:hint="eastAsia" w:ascii="宋体" w:hAnsi="宋体" w:eastAsia="宋体" w:cs="宋体"/>
          <w:color w:val="auto"/>
          <w:sz w:val="28"/>
          <w:szCs w:val="28"/>
          <w:highlight w:val="none"/>
          <w:lang w:val="en-US" w:eastAsia="zh-CN"/>
        </w:rPr>
        <w:t>附件8         法定代表人授权书（格式）</w:t>
      </w:r>
      <w:bookmarkEnd w:id="85"/>
      <w:bookmarkEnd w:id="86"/>
      <w:bookmarkEnd w:id="8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88" w:name="_Toc3342"/>
      <w:bookmarkStart w:id="89" w:name="_Toc24693"/>
      <w:bookmarkStart w:id="90" w:name="_Toc18105"/>
      <w:r>
        <w:rPr>
          <w:rFonts w:hint="eastAsia" w:ascii="宋体" w:hAnsi="宋体" w:eastAsia="宋体" w:cs="宋体"/>
          <w:color w:val="auto"/>
          <w:sz w:val="28"/>
          <w:szCs w:val="28"/>
          <w:highlight w:val="none"/>
          <w:lang w:val="en-US" w:eastAsia="zh-CN"/>
        </w:rPr>
        <w:t>附件9          证明文件</w:t>
      </w:r>
      <w:bookmarkEnd w:id="88"/>
      <w:bookmarkEnd w:id="89"/>
      <w:bookmarkEnd w:id="90"/>
    </w:p>
    <w:p w14:paraId="61593FAD">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3BF5E483">
      <w:pPr>
        <w:pStyle w:val="13"/>
        <w:spacing w:beforeAutospacing="0" w:afterAutospacing="0" w:line="480" w:lineRule="auto"/>
        <w:jc w:val="both"/>
        <w:rPr>
          <w:rFonts w:hint="eastAsia" w:cs="宋体"/>
          <w:b/>
          <w:bCs w:val="0"/>
          <w:color w:val="auto"/>
          <w:sz w:val="24"/>
          <w:szCs w:val="24"/>
          <w:highlight w:val="none"/>
          <w:lang w:val="en-US" w:eastAsia="zh-CN"/>
        </w:rPr>
      </w:pPr>
    </w:p>
    <w:p w14:paraId="1BE6B334">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 xml:space="preserve">9.2 </w:t>
      </w:r>
      <w:r>
        <w:rPr>
          <w:rFonts w:hint="eastAsia" w:ascii="宋体" w:hAnsi="宋体" w:eastAsia="宋体" w:cs="宋体"/>
          <w:b/>
          <w:bCs/>
          <w:sz w:val="24"/>
          <w:szCs w:val="24"/>
          <w:highlight w:val="none"/>
          <w:lang w:val="en-US" w:eastAsia="zh-CN"/>
        </w:rPr>
        <w:t>所投产品的医疗器械注册证【含附件：产品技术要求（如有）】或医疗器械备案凭证、按照采购文件“第二章 采购需求 二、技术要求”及“评分标准”中的要求提供产品技术证明文件。</w:t>
      </w:r>
    </w:p>
    <w:p w14:paraId="1234F03B">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default" w:cs="宋体"/>
          <w:b w:val="0"/>
          <w:bCs/>
          <w:color w:val="FF0000"/>
          <w:sz w:val="24"/>
          <w:szCs w:val="24"/>
          <w:highlight w:val="none"/>
          <w:lang w:val="en-US" w:eastAsia="zh-CN"/>
        </w:rPr>
      </w:pPr>
      <w:r>
        <w:rPr>
          <w:rFonts w:hint="eastAsia" w:cs="宋体"/>
          <w:b w:val="0"/>
          <w:bCs/>
          <w:color w:val="FF0000"/>
          <w:sz w:val="24"/>
          <w:szCs w:val="24"/>
          <w:highlight w:val="none"/>
          <w:lang w:val="en-US" w:eastAsia="zh-CN"/>
        </w:rPr>
        <w:t>注：</w:t>
      </w:r>
      <w:r>
        <w:rPr>
          <w:rFonts w:hint="eastAsia" w:ascii="宋体" w:hAnsi="宋体" w:eastAsia="宋体" w:cs="宋体"/>
          <w:b w:val="0"/>
          <w:bCs/>
          <w:color w:val="FF0000"/>
          <w:sz w:val="24"/>
          <w:szCs w:val="24"/>
          <w:highlight w:val="none"/>
          <w:lang w:val="en-US" w:eastAsia="zh-CN"/>
        </w:rPr>
        <w:t>医疗器械注册证【含附件：产品技术要求（如有）】</w:t>
      </w:r>
      <w:r>
        <w:rPr>
          <w:rFonts w:hint="eastAsia" w:cs="宋体"/>
          <w:b w:val="0"/>
          <w:bCs/>
          <w:color w:val="FF0000"/>
          <w:sz w:val="24"/>
          <w:szCs w:val="24"/>
          <w:highlight w:val="none"/>
          <w:lang w:val="en-US" w:eastAsia="zh-CN"/>
        </w:rPr>
        <w:t>是指医疗器械注册证上附件如写产品技术要求，则需同步提供产品技术要求相关的证明材料。</w:t>
      </w:r>
    </w:p>
    <w:p w14:paraId="44541A15">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44E82C90">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52799A6F">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r>
        <w:rPr>
          <w:rFonts w:hint="eastAsia" w:cs="宋体"/>
          <w:b/>
          <w:bCs w:val="0"/>
          <w:color w:val="auto"/>
          <w:sz w:val="24"/>
          <w:szCs w:val="24"/>
          <w:highlight w:val="none"/>
          <w:lang w:val="en-US" w:eastAsia="zh-CN"/>
        </w:rPr>
        <w:t>9.3评分标准中需提供的证明材料（除技术参数要求外）</w:t>
      </w:r>
    </w:p>
    <w:p w14:paraId="2F51F77D">
      <w:pPr>
        <w:pStyle w:val="13"/>
        <w:spacing w:beforeAutospacing="0" w:afterAutospacing="0" w:line="480" w:lineRule="auto"/>
        <w:jc w:val="both"/>
        <w:rPr>
          <w:rFonts w:hint="default" w:cs="宋体"/>
          <w:b/>
          <w:bCs w:val="0"/>
          <w:color w:val="auto"/>
          <w:sz w:val="24"/>
          <w:szCs w:val="24"/>
          <w:highlight w:val="none"/>
          <w:lang w:val="en-US" w:eastAsia="zh-CN"/>
        </w:rPr>
      </w:pPr>
    </w:p>
    <w:p w14:paraId="44D2F11A">
      <w:pPr>
        <w:pStyle w:val="13"/>
        <w:spacing w:beforeAutospacing="0" w:afterAutospacing="0" w:line="480" w:lineRule="auto"/>
        <w:ind w:firstLine="540" w:firstLineChars="224"/>
        <w:jc w:val="both"/>
        <w:rPr>
          <w:rFonts w:cs="Arial" w:asciiTheme="minorEastAsia" w:hAnsiTheme="minorEastAsia"/>
          <w:sz w:val="24"/>
          <w:szCs w:val="24"/>
          <w:highlight w:val="none"/>
        </w:rPr>
      </w:pPr>
      <w:bookmarkStart w:id="91" w:name="_Toc17966"/>
      <w:r>
        <w:rPr>
          <w:rFonts w:hint="eastAsia" w:ascii="宋体" w:hAnsi="宋体" w:eastAsia="宋体" w:cs="宋体"/>
          <w:b/>
          <w:bCs w:val="0"/>
          <w:color w:val="auto"/>
          <w:sz w:val="24"/>
          <w:szCs w:val="24"/>
          <w:highlight w:val="none"/>
          <w:lang w:val="en-US" w:eastAsia="zh-CN"/>
        </w:rPr>
        <w:t>9.</w:t>
      </w:r>
      <w:r>
        <w:rPr>
          <w:rFonts w:hint="eastAsia" w:cs="宋体"/>
          <w:b/>
          <w:bCs w:val="0"/>
          <w:color w:val="auto"/>
          <w:sz w:val="24"/>
          <w:szCs w:val="24"/>
          <w:highlight w:val="none"/>
          <w:lang w:val="en-US" w:eastAsia="zh-CN"/>
        </w:rPr>
        <w:t>4</w:t>
      </w:r>
      <w:r>
        <w:rPr>
          <w:rFonts w:cs="Arial" w:asciiTheme="minorEastAsia" w:hAnsiTheme="minorEastAsia"/>
          <w:b/>
          <w:sz w:val="24"/>
          <w:szCs w:val="24"/>
          <w:highlight w:val="none"/>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1392" w:type="dxa"/>
            <w:vAlign w:val="center"/>
          </w:tcPr>
          <w:p w14:paraId="5D77AEB6">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1485" w:type="dxa"/>
            <w:vAlign w:val="center"/>
          </w:tcPr>
          <w:p w14:paraId="4E9B63B6">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产品名称</w:t>
            </w:r>
          </w:p>
        </w:tc>
        <w:tc>
          <w:tcPr>
            <w:tcW w:w="1470" w:type="dxa"/>
            <w:vAlign w:val="center"/>
          </w:tcPr>
          <w:p w14:paraId="38187210">
            <w:pPr>
              <w:spacing w:before="120"/>
              <w:jc w:val="center"/>
              <w:rPr>
                <w:rFonts w:hint="default"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品牌</w:t>
            </w:r>
          </w:p>
        </w:tc>
        <w:tc>
          <w:tcPr>
            <w:tcW w:w="1365" w:type="dxa"/>
            <w:vAlign w:val="center"/>
          </w:tcPr>
          <w:p w14:paraId="02D23B7A">
            <w:pPr>
              <w:spacing w:before="120"/>
              <w:jc w:val="center"/>
              <w:rPr>
                <w:rFonts w:hint="default"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型号</w:t>
            </w:r>
          </w:p>
        </w:tc>
        <w:tc>
          <w:tcPr>
            <w:tcW w:w="1365" w:type="dxa"/>
            <w:vAlign w:val="center"/>
          </w:tcPr>
          <w:p w14:paraId="788302A4">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1395" w:type="dxa"/>
            <w:vAlign w:val="center"/>
          </w:tcPr>
          <w:p w14:paraId="0CD37DB9">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cs="Arial" w:asciiTheme="minorEastAsia" w:hAnsiTheme="minorEastAsia"/>
                <w:highlight w:val="none"/>
              </w:rPr>
            </w:pPr>
          </w:p>
        </w:tc>
        <w:tc>
          <w:tcPr>
            <w:tcW w:w="1392" w:type="dxa"/>
            <w:vAlign w:val="center"/>
          </w:tcPr>
          <w:p w14:paraId="0B354FD7">
            <w:pPr>
              <w:spacing w:before="120"/>
              <w:jc w:val="center"/>
              <w:rPr>
                <w:rFonts w:cs="Arial" w:asciiTheme="minorEastAsia" w:hAnsiTheme="minorEastAsia"/>
                <w:highlight w:val="none"/>
              </w:rPr>
            </w:pPr>
          </w:p>
        </w:tc>
        <w:tc>
          <w:tcPr>
            <w:tcW w:w="1485" w:type="dxa"/>
            <w:vAlign w:val="center"/>
          </w:tcPr>
          <w:p w14:paraId="37AC1C1D">
            <w:pPr>
              <w:spacing w:before="120"/>
              <w:jc w:val="center"/>
              <w:rPr>
                <w:rFonts w:cs="Arial" w:asciiTheme="minorEastAsia" w:hAnsiTheme="minorEastAsia"/>
                <w:highlight w:val="none"/>
              </w:rPr>
            </w:pPr>
          </w:p>
        </w:tc>
        <w:tc>
          <w:tcPr>
            <w:tcW w:w="1470" w:type="dxa"/>
            <w:vAlign w:val="center"/>
          </w:tcPr>
          <w:p w14:paraId="281E28E4">
            <w:pPr>
              <w:spacing w:before="120"/>
              <w:jc w:val="center"/>
              <w:rPr>
                <w:rFonts w:cs="Arial" w:asciiTheme="minorEastAsia" w:hAnsiTheme="minorEastAsia"/>
                <w:highlight w:val="none"/>
              </w:rPr>
            </w:pPr>
          </w:p>
        </w:tc>
        <w:tc>
          <w:tcPr>
            <w:tcW w:w="1365" w:type="dxa"/>
            <w:vAlign w:val="center"/>
          </w:tcPr>
          <w:p w14:paraId="771BD6AB">
            <w:pPr>
              <w:spacing w:before="120"/>
              <w:jc w:val="center"/>
              <w:rPr>
                <w:rFonts w:cs="Arial" w:asciiTheme="minorEastAsia" w:hAnsiTheme="minorEastAsia"/>
                <w:highlight w:val="none"/>
              </w:rPr>
            </w:pPr>
          </w:p>
        </w:tc>
        <w:tc>
          <w:tcPr>
            <w:tcW w:w="1365" w:type="dxa"/>
            <w:vAlign w:val="center"/>
          </w:tcPr>
          <w:p w14:paraId="61E60ADA">
            <w:pPr>
              <w:spacing w:before="120"/>
              <w:jc w:val="center"/>
              <w:rPr>
                <w:rFonts w:cs="Arial" w:asciiTheme="minorEastAsia" w:hAnsiTheme="minorEastAsia"/>
                <w:highlight w:val="none"/>
              </w:rPr>
            </w:pPr>
          </w:p>
        </w:tc>
        <w:tc>
          <w:tcPr>
            <w:tcW w:w="1395" w:type="dxa"/>
            <w:vAlign w:val="center"/>
          </w:tcPr>
          <w:p w14:paraId="04447730">
            <w:pPr>
              <w:spacing w:before="120"/>
              <w:jc w:val="center"/>
              <w:rPr>
                <w:rFonts w:cs="Arial" w:asciiTheme="minorEastAsia" w:hAnsiTheme="minorEastAsia"/>
                <w:highlight w:val="none"/>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cs="Arial" w:asciiTheme="minorEastAsia" w:hAnsiTheme="minorEastAsia"/>
                <w:highlight w:val="none"/>
              </w:rPr>
            </w:pPr>
          </w:p>
        </w:tc>
        <w:tc>
          <w:tcPr>
            <w:tcW w:w="1392" w:type="dxa"/>
            <w:vAlign w:val="center"/>
          </w:tcPr>
          <w:p w14:paraId="2DA219B5">
            <w:pPr>
              <w:spacing w:before="120"/>
              <w:jc w:val="center"/>
              <w:rPr>
                <w:rFonts w:cs="Arial" w:asciiTheme="minorEastAsia" w:hAnsiTheme="minorEastAsia"/>
                <w:highlight w:val="none"/>
              </w:rPr>
            </w:pPr>
          </w:p>
        </w:tc>
        <w:tc>
          <w:tcPr>
            <w:tcW w:w="1485" w:type="dxa"/>
            <w:vAlign w:val="center"/>
          </w:tcPr>
          <w:p w14:paraId="60964CDB">
            <w:pPr>
              <w:spacing w:before="120"/>
              <w:jc w:val="center"/>
              <w:rPr>
                <w:rFonts w:cs="Arial" w:asciiTheme="minorEastAsia" w:hAnsiTheme="minorEastAsia"/>
                <w:highlight w:val="none"/>
              </w:rPr>
            </w:pPr>
          </w:p>
        </w:tc>
        <w:tc>
          <w:tcPr>
            <w:tcW w:w="1470" w:type="dxa"/>
            <w:vAlign w:val="center"/>
          </w:tcPr>
          <w:p w14:paraId="61B640D0">
            <w:pPr>
              <w:spacing w:before="120"/>
              <w:jc w:val="center"/>
              <w:rPr>
                <w:rFonts w:cs="Arial" w:asciiTheme="minorEastAsia" w:hAnsiTheme="minorEastAsia"/>
                <w:highlight w:val="none"/>
              </w:rPr>
            </w:pPr>
          </w:p>
        </w:tc>
        <w:tc>
          <w:tcPr>
            <w:tcW w:w="1365" w:type="dxa"/>
            <w:vAlign w:val="center"/>
          </w:tcPr>
          <w:p w14:paraId="536881BB">
            <w:pPr>
              <w:spacing w:before="120"/>
              <w:jc w:val="center"/>
              <w:rPr>
                <w:rFonts w:cs="Arial" w:asciiTheme="minorEastAsia" w:hAnsiTheme="minorEastAsia"/>
                <w:highlight w:val="none"/>
              </w:rPr>
            </w:pPr>
          </w:p>
        </w:tc>
        <w:tc>
          <w:tcPr>
            <w:tcW w:w="1365" w:type="dxa"/>
            <w:vAlign w:val="center"/>
          </w:tcPr>
          <w:p w14:paraId="2C3F9359">
            <w:pPr>
              <w:spacing w:before="120"/>
              <w:jc w:val="center"/>
              <w:rPr>
                <w:rFonts w:cs="Arial" w:asciiTheme="minorEastAsia" w:hAnsiTheme="minorEastAsia"/>
                <w:highlight w:val="none"/>
              </w:rPr>
            </w:pPr>
          </w:p>
        </w:tc>
        <w:tc>
          <w:tcPr>
            <w:tcW w:w="1395" w:type="dxa"/>
            <w:vAlign w:val="center"/>
          </w:tcPr>
          <w:p w14:paraId="104FB69F">
            <w:pPr>
              <w:spacing w:before="120"/>
              <w:jc w:val="center"/>
              <w:rPr>
                <w:rFonts w:cs="Arial" w:asciiTheme="minorEastAsia" w:hAnsiTheme="minorEastAsia"/>
                <w:highlight w:val="none"/>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cs="Arial" w:asciiTheme="minorEastAsia" w:hAnsiTheme="minorEastAsia"/>
                <w:highlight w:val="none"/>
              </w:rPr>
            </w:pPr>
          </w:p>
        </w:tc>
        <w:tc>
          <w:tcPr>
            <w:tcW w:w="1392" w:type="dxa"/>
            <w:vAlign w:val="center"/>
          </w:tcPr>
          <w:p w14:paraId="0EC68B0F">
            <w:pPr>
              <w:spacing w:before="120"/>
              <w:jc w:val="center"/>
              <w:rPr>
                <w:rFonts w:cs="Arial" w:asciiTheme="minorEastAsia" w:hAnsiTheme="minorEastAsia"/>
                <w:highlight w:val="none"/>
              </w:rPr>
            </w:pPr>
          </w:p>
        </w:tc>
        <w:tc>
          <w:tcPr>
            <w:tcW w:w="1485" w:type="dxa"/>
            <w:vAlign w:val="center"/>
          </w:tcPr>
          <w:p w14:paraId="6264E41A">
            <w:pPr>
              <w:spacing w:before="120"/>
              <w:jc w:val="center"/>
              <w:rPr>
                <w:rFonts w:cs="Arial" w:asciiTheme="minorEastAsia" w:hAnsiTheme="minorEastAsia"/>
                <w:highlight w:val="none"/>
              </w:rPr>
            </w:pPr>
          </w:p>
        </w:tc>
        <w:tc>
          <w:tcPr>
            <w:tcW w:w="1470" w:type="dxa"/>
            <w:vAlign w:val="center"/>
          </w:tcPr>
          <w:p w14:paraId="07450E34">
            <w:pPr>
              <w:spacing w:before="120"/>
              <w:jc w:val="center"/>
              <w:rPr>
                <w:rFonts w:cs="Arial" w:asciiTheme="minorEastAsia" w:hAnsiTheme="minorEastAsia"/>
                <w:highlight w:val="none"/>
              </w:rPr>
            </w:pPr>
          </w:p>
        </w:tc>
        <w:tc>
          <w:tcPr>
            <w:tcW w:w="1365" w:type="dxa"/>
            <w:vAlign w:val="center"/>
          </w:tcPr>
          <w:p w14:paraId="4C553C60">
            <w:pPr>
              <w:spacing w:before="120"/>
              <w:jc w:val="center"/>
              <w:rPr>
                <w:rFonts w:cs="Arial" w:asciiTheme="minorEastAsia" w:hAnsiTheme="minorEastAsia"/>
                <w:highlight w:val="none"/>
              </w:rPr>
            </w:pPr>
          </w:p>
        </w:tc>
        <w:tc>
          <w:tcPr>
            <w:tcW w:w="1365" w:type="dxa"/>
            <w:vAlign w:val="center"/>
          </w:tcPr>
          <w:p w14:paraId="1A92A840">
            <w:pPr>
              <w:spacing w:before="120"/>
              <w:jc w:val="center"/>
              <w:rPr>
                <w:rFonts w:cs="Arial" w:asciiTheme="minorEastAsia" w:hAnsiTheme="minorEastAsia"/>
                <w:highlight w:val="none"/>
              </w:rPr>
            </w:pPr>
          </w:p>
        </w:tc>
        <w:tc>
          <w:tcPr>
            <w:tcW w:w="1395" w:type="dxa"/>
            <w:vAlign w:val="center"/>
          </w:tcPr>
          <w:p w14:paraId="4ED4F07A">
            <w:pPr>
              <w:spacing w:before="120"/>
              <w:jc w:val="center"/>
              <w:rPr>
                <w:rFonts w:cs="Arial" w:asciiTheme="minorEastAsia" w:hAnsiTheme="minorEastAsia"/>
                <w:highlight w:val="none"/>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cs="Arial" w:asciiTheme="minorEastAsia" w:hAnsiTheme="minorEastAsia"/>
                <w:highlight w:val="none"/>
              </w:rPr>
            </w:pPr>
          </w:p>
        </w:tc>
        <w:tc>
          <w:tcPr>
            <w:tcW w:w="1392" w:type="dxa"/>
            <w:vAlign w:val="center"/>
          </w:tcPr>
          <w:p w14:paraId="1B2F6ED2">
            <w:pPr>
              <w:spacing w:before="120"/>
              <w:jc w:val="center"/>
              <w:rPr>
                <w:rFonts w:cs="Arial" w:asciiTheme="minorEastAsia" w:hAnsiTheme="minorEastAsia"/>
                <w:highlight w:val="none"/>
              </w:rPr>
            </w:pPr>
          </w:p>
        </w:tc>
        <w:tc>
          <w:tcPr>
            <w:tcW w:w="1485" w:type="dxa"/>
            <w:vAlign w:val="center"/>
          </w:tcPr>
          <w:p w14:paraId="2D2D2FEC">
            <w:pPr>
              <w:spacing w:before="120"/>
              <w:jc w:val="center"/>
              <w:rPr>
                <w:rFonts w:cs="Arial" w:asciiTheme="minorEastAsia" w:hAnsiTheme="minorEastAsia"/>
                <w:highlight w:val="none"/>
              </w:rPr>
            </w:pPr>
          </w:p>
        </w:tc>
        <w:tc>
          <w:tcPr>
            <w:tcW w:w="1470" w:type="dxa"/>
            <w:vAlign w:val="center"/>
          </w:tcPr>
          <w:p w14:paraId="190C8459">
            <w:pPr>
              <w:spacing w:before="120"/>
              <w:jc w:val="center"/>
              <w:rPr>
                <w:rFonts w:cs="Arial" w:asciiTheme="minorEastAsia" w:hAnsiTheme="minorEastAsia"/>
                <w:highlight w:val="none"/>
              </w:rPr>
            </w:pPr>
          </w:p>
        </w:tc>
        <w:tc>
          <w:tcPr>
            <w:tcW w:w="1365" w:type="dxa"/>
            <w:vAlign w:val="center"/>
          </w:tcPr>
          <w:p w14:paraId="5C1E72EF">
            <w:pPr>
              <w:spacing w:before="120"/>
              <w:jc w:val="center"/>
              <w:rPr>
                <w:rFonts w:cs="Arial" w:asciiTheme="minorEastAsia" w:hAnsiTheme="minorEastAsia"/>
                <w:highlight w:val="none"/>
              </w:rPr>
            </w:pPr>
          </w:p>
        </w:tc>
        <w:tc>
          <w:tcPr>
            <w:tcW w:w="1365" w:type="dxa"/>
            <w:vAlign w:val="center"/>
          </w:tcPr>
          <w:p w14:paraId="5A6E5E8B">
            <w:pPr>
              <w:spacing w:before="120"/>
              <w:jc w:val="center"/>
              <w:rPr>
                <w:rFonts w:cs="Arial" w:asciiTheme="minorEastAsia" w:hAnsiTheme="minorEastAsia"/>
                <w:highlight w:val="none"/>
              </w:rPr>
            </w:pPr>
          </w:p>
        </w:tc>
        <w:tc>
          <w:tcPr>
            <w:tcW w:w="1395" w:type="dxa"/>
            <w:vAlign w:val="center"/>
          </w:tcPr>
          <w:p w14:paraId="2D89B567">
            <w:pPr>
              <w:spacing w:before="120"/>
              <w:jc w:val="center"/>
              <w:rPr>
                <w:rFonts w:cs="Arial" w:asciiTheme="minorEastAsia" w:hAnsiTheme="minorEastAsia"/>
                <w:highlight w:val="none"/>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cs="Arial" w:asciiTheme="minorEastAsia" w:hAnsiTheme="minorEastAsia"/>
                <w:highlight w:val="none"/>
              </w:rPr>
            </w:pPr>
          </w:p>
        </w:tc>
        <w:tc>
          <w:tcPr>
            <w:tcW w:w="1392" w:type="dxa"/>
            <w:vAlign w:val="center"/>
          </w:tcPr>
          <w:p w14:paraId="6EC5F5FE">
            <w:pPr>
              <w:spacing w:before="120"/>
              <w:jc w:val="center"/>
              <w:rPr>
                <w:rFonts w:cs="Arial" w:asciiTheme="minorEastAsia" w:hAnsiTheme="minorEastAsia"/>
                <w:highlight w:val="none"/>
              </w:rPr>
            </w:pPr>
          </w:p>
        </w:tc>
        <w:tc>
          <w:tcPr>
            <w:tcW w:w="1485" w:type="dxa"/>
            <w:vAlign w:val="center"/>
          </w:tcPr>
          <w:p w14:paraId="1226E7A2">
            <w:pPr>
              <w:spacing w:before="120"/>
              <w:jc w:val="center"/>
              <w:rPr>
                <w:rFonts w:cs="Arial" w:asciiTheme="minorEastAsia" w:hAnsiTheme="minorEastAsia"/>
                <w:highlight w:val="none"/>
              </w:rPr>
            </w:pPr>
          </w:p>
        </w:tc>
        <w:tc>
          <w:tcPr>
            <w:tcW w:w="1470" w:type="dxa"/>
            <w:vAlign w:val="center"/>
          </w:tcPr>
          <w:p w14:paraId="4369E923">
            <w:pPr>
              <w:spacing w:before="120"/>
              <w:jc w:val="center"/>
              <w:rPr>
                <w:rFonts w:cs="Arial" w:asciiTheme="minorEastAsia" w:hAnsiTheme="minorEastAsia"/>
                <w:highlight w:val="none"/>
              </w:rPr>
            </w:pPr>
          </w:p>
        </w:tc>
        <w:tc>
          <w:tcPr>
            <w:tcW w:w="1365" w:type="dxa"/>
            <w:vAlign w:val="center"/>
          </w:tcPr>
          <w:p w14:paraId="06A63D0D">
            <w:pPr>
              <w:spacing w:before="120"/>
              <w:jc w:val="center"/>
              <w:rPr>
                <w:rFonts w:cs="Arial" w:asciiTheme="minorEastAsia" w:hAnsiTheme="minorEastAsia"/>
                <w:highlight w:val="none"/>
              </w:rPr>
            </w:pPr>
          </w:p>
        </w:tc>
        <w:tc>
          <w:tcPr>
            <w:tcW w:w="1365" w:type="dxa"/>
            <w:vAlign w:val="center"/>
          </w:tcPr>
          <w:p w14:paraId="2EE9EADA">
            <w:pPr>
              <w:spacing w:before="120"/>
              <w:jc w:val="center"/>
              <w:rPr>
                <w:rFonts w:cs="Arial" w:asciiTheme="minorEastAsia" w:hAnsiTheme="minorEastAsia"/>
                <w:highlight w:val="none"/>
              </w:rPr>
            </w:pPr>
          </w:p>
        </w:tc>
        <w:tc>
          <w:tcPr>
            <w:tcW w:w="1395" w:type="dxa"/>
            <w:vAlign w:val="center"/>
          </w:tcPr>
          <w:p w14:paraId="2827C9D7">
            <w:pPr>
              <w:spacing w:before="120"/>
              <w:jc w:val="center"/>
              <w:rPr>
                <w:rFonts w:cs="Arial" w:asciiTheme="minorEastAsia" w:hAnsiTheme="minorEastAsia"/>
                <w:highlight w:val="none"/>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cs="Arial" w:asciiTheme="minorEastAsia" w:hAnsiTheme="minorEastAsia"/>
                <w:highlight w:val="none"/>
              </w:rPr>
            </w:pPr>
          </w:p>
        </w:tc>
        <w:tc>
          <w:tcPr>
            <w:tcW w:w="1392" w:type="dxa"/>
            <w:vAlign w:val="center"/>
          </w:tcPr>
          <w:p w14:paraId="3904317C">
            <w:pPr>
              <w:spacing w:before="120"/>
              <w:jc w:val="center"/>
              <w:rPr>
                <w:rFonts w:cs="Arial" w:asciiTheme="minorEastAsia" w:hAnsiTheme="minorEastAsia"/>
                <w:highlight w:val="none"/>
              </w:rPr>
            </w:pPr>
          </w:p>
        </w:tc>
        <w:tc>
          <w:tcPr>
            <w:tcW w:w="1485" w:type="dxa"/>
            <w:vAlign w:val="center"/>
          </w:tcPr>
          <w:p w14:paraId="2B41D14C">
            <w:pPr>
              <w:spacing w:before="120"/>
              <w:jc w:val="center"/>
              <w:rPr>
                <w:rFonts w:cs="Arial" w:asciiTheme="minorEastAsia" w:hAnsiTheme="minorEastAsia"/>
                <w:highlight w:val="none"/>
              </w:rPr>
            </w:pPr>
          </w:p>
        </w:tc>
        <w:tc>
          <w:tcPr>
            <w:tcW w:w="1470" w:type="dxa"/>
            <w:vAlign w:val="center"/>
          </w:tcPr>
          <w:p w14:paraId="45CFC41B">
            <w:pPr>
              <w:spacing w:before="120"/>
              <w:jc w:val="center"/>
              <w:rPr>
                <w:rFonts w:cs="Arial" w:asciiTheme="minorEastAsia" w:hAnsiTheme="minorEastAsia"/>
                <w:highlight w:val="none"/>
              </w:rPr>
            </w:pPr>
          </w:p>
        </w:tc>
        <w:tc>
          <w:tcPr>
            <w:tcW w:w="1365" w:type="dxa"/>
            <w:vAlign w:val="center"/>
          </w:tcPr>
          <w:p w14:paraId="32CFA217">
            <w:pPr>
              <w:spacing w:before="120"/>
              <w:jc w:val="center"/>
              <w:rPr>
                <w:rFonts w:cs="Arial" w:asciiTheme="minorEastAsia" w:hAnsiTheme="minorEastAsia"/>
                <w:highlight w:val="none"/>
              </w:rPr>
            </w:pPr>
          </w:p>
        </w:tc>
        <w:tc>
          <w:tcPr>
            <w:tcW w:w="1365" w:type="dxa"/>
            <w:vAlign w:val="center"/>
          </w:tcPr>
          <w:p w14:paraId="3797DB3D">
            <w:pPr>
              <w:spacing w:before="120"/>
              <w:jc w:val="center"/>
              <w:rPr>
                <w:rFonts w:cs="Arial" w:asciiTheme="minorEastAsia" w:hAnsiTheme="minorEastAsia"/>
                <w:highlight w:val="none"/>
              </w:rPr>
            </w:pPr>
          </w:p>
        </w:tc>
        <w:tc>
          <w:tcPr>
            <w:tcW w:w="1395" w:type="dxa"/>
            <w:vAlign w:val="center"/>
          </w:tcPr>
          <w:p w14:paraId="54B94AE8">
            <w:pPr>
              <w:spacing w:before="120"/>
              <w:jc w:val="center"/>
              <w:rPr>
                <w:rFonts w:cs="Arial" w:asciiTheme="minorEastAsia" w:hAnsiTheme="minorEastAsia"/>
                <w:highlight w:val="none"/>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cs="Arial" w:asciiTheme="minorEastAsia" w:hAnsiTheme="minorEastAsia"/>
                <w:highlight w:val="none"/>
              </w:rPr>
            </w:pPr>
          </w:p>
        </w:tc>
        <w:tc>
          <w:tcPr>
            <w:tcW w:w="1392" w:type="dxa"/>
            <w:vAlign w:val="center"/>
          </w:tcPr>
          <w:p w14:paraId="1313E78D">
            <w:pPr>
              <w:spacing w:before="120"/>
              <w:jc w:val="center"/>
              <w:rPr>
                <w:rFonts w:cs="Arial" w:asciiTheme="minorEastAsia" w:hAnsiTheme="minorEastAsia"/>
                <w:highlight w:val="none"/>
              </w:rPr>
            </w:pPr>
          </w:p>
        </w:tc>
        <w:tc>
          <w:tcPr>
            <w:tcW w:w="1485" w:type="dxa"/>
            <w:vAlign w:val="center"/>
          </w:tcPr>
          <w:p w14:paraId="1B7314DE">
            <w:pPr>
              <w:spacing w:before="120"/>
              <w:jc w:val="center"/>
              <w:rPr>
                <w:rFonts w:cs="Arial" w:asciiTheme="minorEastAsia" w:hAnsiTheme="minorEastAsia"/>
                <w:highlight w:val="none"/>
              </w:rPr>
            </w:pPr>
          </w:p>
        </w:tc>
        <w:tc>
          <w:tcPr>
            <w:tcW w:w="1470" w:type="dxa"/>
            <w:vAlign w:val="center"/>
          </w:tcPr>
          <w:p w14:paraId="3DF6CFC0">
            <w:pPr>
              <w:spacing w:before="120"/>
              <w:jc w:val="center"/>
              <w:rPr>
                <w:rFonts w:cs="Arial" w:asciiTheme="minorEastAsia" w:hAnsiTheme="minorEastAsia"/>
                <w:highlight w:val="none"/>
              </w:rPr>
            </w:pPr>
          </w:p>
        </w:tc>
        <w:tc>
          <w:tcPr>
            <w:tcW w:w="1365" w:type="dxa"/>
            <w:vAlign w:val="center"/>
          </w:tcPr>
          <w:p w14:paraId="755F2A9A">
            <w:pPr>
              <w:spacing w:before="120"/>
              <w:jc w:val="center"/>
              <w:rPr>
                <w:rFonts w:cs="Arial" w:asciiTheme="minorEastAsia" w:hAnsiTheme="minorEastAsia"/>
                <w:highlight w:val="none"/>
              </w:rPr>
            </w:pPr>
          </w:p>
        </w:tc>
        <w:tc>
          <w:tcPr>
            <w:tcW w:w="1365" w:type="dxa"/>
            <w:vAlign w:val="center"/>
          </w:tcPr>
          <w:p w14:paraId="2E509206">
            <w:pPr>
              <w:spacing w:before="120"/>
              <w:jc w:val="center"/>
              <w:rPr>
                <w:rFonts w:cs="Arial" w:asciiTheme="minorEastAsia" w:hAnsiTheme="minorEastAsia"/>
                <w:highlight w:val="none"/>
              </w:rPr>
            </w:pPr>
          </w:p>
        </w:tc>
        <w:tc>
          <w:tcPr>
            <w:tcW w:w="1395" w:type="dxa"/>
            <w:vAlign w:val="center"/>
          </w:tcPr>
          <w:p w14:paraId="79E06EF4">
            <w:pPr>
              <w:spacing w:before="120"/>
              <w:jc w:val="center"/>
              <w:rPr>
                <w:rFonts w:cs="Arial" w:asciiTheme="minorEastAsia" w:hAnsiTheme="minorEastAsia"/>
                <w:highlight w:val="none"/>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cs="Arial" w:asciiTheme="minorEastAsia" w:hAnsiTheme="minorEastAsia"/>
                <w:highlight w:val="none"/>
              </w:rPr>
            </w:pPr>
          </w:p>
        </w:tc>
        <w:tc>
          <w:tcPr>
            <w:tcW w:w="1392" w:type="dxa"/>
            <w:vAlign w:val="center"/>
          </w:tcPr>
          <w:p w14:paraId="561AB2CF">
            <w:pPr>
              <w:spacing w:before="120"/>
              <w:jc w:val="center"/>
              <w:rPr>
                <w:rFonts w:cs="Arial" w:asciiTheme="minorEastAsia" w:hAnsiTheme="minorEastAsia"/>
                <w:highlight w:val="none"/>
              </w:rPr>
            </w:pPr>
          </w:p>
        </w:tc>
        <w:tc>
          <w:tcPr>
            <w:tcW w:w="1485" w:type="dxa"/>
            <w:vAlign w:val="center"/>
          </w:tcPr>
          <w:p w14:paraId="4DC497D5">
            <w:pPr>
              <w:spacing w:before="120"/>
              <w:jc w:val="center"/>
              <w:rPr>
                <w:rFonts w:cs="Arial" w:asciiTheme="minorEastAsia" w:hAnsiTheme="minorEastAsia"/>
                <w:highlight w:val="none"/>
              </w:rPr>
            </w:pPr>
          </w:p>
        </w:tc>
        <w:tc>
          <w:tcPr>
            <w:tcW w:w="1470" w:type="dxa"/>
            <w:vAlign w:val="center"/>
          </w:tcPr>
          <w:p w14:paraId="6F07EB69">
            <w:pPr>
              <w:spacing w:before="120"/>
              <w:jc w:val="center"/>
              <w:rPr>
                <w:rFonts w:cs="Arial" w:asciiTheme="minorEastAsia" w:hAnsiTheme="minorEastAsia"/>
                <w:highlight w:val="none"/>
              </w:rPr>
            </w:pPr>
          </w:p>
        </w:tc>
        <w:tc>
          <w:tcPr>
            <w:tcW w:w="1365" w:type="dxa"/>
            <w:vAlign w:val="center"/>
          </w:tcPr>
          <w:p w14:paraId="67F571B3">
            <w:pPr>
              <w:spacing w:before="120"/>
              <w:jc w:val="center"/>
              <w:rPr>
                <w:rFonts w:cs="Arial" w:asciiTheme="minorEastAsia" w:hAnsiTheme="minorEastAsia"/>
                <w:highlight w:val="none"/>
              </w:rPr>
            </w:pPr>
          </w:p>
        </w:tc>
        <w:tc>
          <w:tcPr>
            <w:tcW w:w="1365" w:type="dxa"/>
            <w:vAlign w:val="center"/>
          </w:tcPr>
          <w:p w14:paraId="0E56BECE">
            <w:pPr>
              <w:spacing w:before="120"/>
              <w:jc w:val="center"/>
              <w:rPr>
                <w:rFonts w:cs="Arial" w:asciiTheme="minorEastAsia" w:hAnsiTheme="minorEastAsia"/>
                <w:highlight w:val="none"/>
              </w:rPr>
            </w:pPr>
          </w:p>
        </w:tc>
        <w:tc>
          <w:tcPr>
            <w:tcW w:w="1395" w:type="dxa"/>
            <w:vAlign w:val="center"/>
          </w:tcPr>
          <w:p w14:paraId="4147F08F">
            <w:pPr>
              <w:spacing w:before="120"/>
              <w:jc w:val="center"/>
              <w:rPr>
                <w:rFonts w:cs="Arial" w:asciiTheme="minorEastAsia" w:hAnsiTheme="minorEastAsia"/>
                <w:highlight w:val="none"/>
              </w:rPr>
            </w:pPr>
          </w:p>
        </w:tc>
      </w:tr>
    </w:tbl>
    <w:p w14:paraId="5016CED6">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auto"/>
          <w:sz w:val="22"/>
          <w:szCs w:val="22"/>
          <w:highlight w:val="none"/>
        </w:rPr>
      </w:pPr>
    </w:p>
    <w:p w14:paraId="335E608E">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5</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91"/>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2BF322-0B1A-41DD-B3D9-26966E9FDE6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2" w:fontKey="{74CEC10E-EA89-46B3-8F00-E4AC06B3E3A8}"/>
  </w:font>
  <w:font w:name="仿宋">
    <w:panose1 w:val="02010609060101010101"/>
    <w:charset w:val="86"/>
    <w:family w:val="modern"/>
    <w:pitch w:val="default"/>
    <w:sig w:usb0="800002BF" w:usb1="38CF7CFA" w:usb2="00000016" w:usb3="00000000" w:csb0="00040001" w:csb1="00000000"/>
    <w:embedRegular r:id="rId3" w:fontKey="{EEA78073-FC7F-4707-A454-111743B17A11}"/>
  </w:font>
  <w:font w:name="仿宋_GB2312">
    <w:panose1 w:val="02010609030101010101"/>
    <w:charset w:val="86"/>
    <w:family w:val="auto"/>
    <w:pitch w:val="default"/>
    <w:sig w:usb0="00000001" w:usb1="080E0000" w:usb2="00000000" w:usb3="00000000" w:csb0="00040000" w:csb1="00000000"/>
    <w:embedRegular r:id="rId4" w:fontKey="{FCF321BA-EDF6-4891-A0D9-80F4978FF6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驻马店市中心医院五官清洗器、短波紫外线治疗仪采购项目采购</w:t>
    </w:r>
    <w:r>
      <w:rPr>
        <w:rFonts w:hint="eastAsia"/>
      </w:rPr>
      <w:t>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541F4"/>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50E236F"/>
    <w:rsid w:val="0512137B"/>
    <w:rsid w:val="05121E5F"/>
    <w:rsid w:val="054C0111"/>
    <w:rsid w:val="05545DD3"/>
    <w:rsid w:val="056E2AD6"/>
    <w:rsid w:val="0571302A"/>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446B44"/>
    <w:rsid w:val="06471BE3"/>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517CAA"/>
    <w:rsid w:val="0A8455AD"/>
    <w:rsid w:val="0A8729A8"/>
    <w:rsid w:val="0ABA2D7D"/>
    <w:rsid w:val="0AD13A85"/>
    <w:rsid w:val="0AE0655C"/>
    <w:rsid w:val="0B091954"/>
    <w:rsid w:val="0B195776"/>
    <w:rsid w:val="0B1A7CC0"/>
    <w:rsid w:val="0B224DC6"/>
    <w:rsid w:val="0B34773E"/>
    <w:rsid w:val="0B3B7D65"/>
    <w:rsid w:val="0B434C20"/>
    <w:rsid w:val="0B5533E5"/>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AC2EB1"/>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534CC3"/>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5287C"/>
    <w:rsid w:val="15A703A2"/>
    <w:rsid w:val="15BB487B"/>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179CD"/>
    <w:rsid w:val="18C53099"/>
    <w:rsid w:val="18C71DBA"/>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B1D11"/>
    <w:rsid w:val="1CAB2820"/>
    <w:rsid w:val="1CD402EC"/>
    <w:rsid w:val="1CDF6F49"/>
    <w:rsid w:val="1CE83C63"/>
    <w:rsid w:val="1CED16EF"/>
    <w:rsid w:val="1CF02333"/>
    <w:rsid w:val="1D036806"/>
    <w:rsid w:val="1D047E88"/>
    <w:rsid w:val="1D0C33A2"/>
    <w:rsid w:val="1D0C4F8F"/>
    <w:rsid w:val="1D113E6E"/>
    <w:rsid w:val="1D114E5E"/>
    <w:rsid w:val="1D1F0050"/>
    <w:rsid w:val="1D214EDE"/>
    <w:rsid w:val="1D2222DC"/>
    <w:rsid w:val="1D3544E5"/>
    <w:rsid w:val="1D392120"/>
    <w:rsid w:val="1D5144F7"/>
    <w:rsid w:val="1D5B3CDE"/>
    <w:rsid w:val="1D5D0701"/>
    <w:rsid w:val="1D6E2950"/>
    <w:rsid w:val="1D741422"/>
    <w:rsid w:val="1D79298C"/>
    <w:rsid w:val="1D98209B"/>
    <w:rsid w:val="1DA23746"/>
    <w:rsid w:val="1DAA14B9"/>
    <w:rsid w:val="1DD04513"/>
    <w:rsid w:val="1DD8524D"/>
    <w:rsid w:val="1DDD2BCB"/>
    <w:rsid w:val="1E0345E3"/>
    <w:rsid w:val="1E04324C"/>
    <w:rsid w:val="1E1B7B7F"/>
    <w:rsid w:val="1E443370"/>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D4691"/>
    <w:rsid w:val="1F2D491A"/>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CB5604"/>
    <w:rsid w:val="20EA3839"/>
    <w:rsid w:val="2100305C"/>
    <w:rsid w:val="210F579E"/>
    <w:rsid w:val="21163FF0"/>
    <w:rsid w:val="211B39F2"/>
    <w:rsid w:val="21224762"/>
    <w:rsid w:val="212550B5"/>
    <w:rsid w:val="21592B62"/>
    <w:rsid w:val="2172049B"/>
    <w:rsid w:val="21747CD2"/>
    <w:rsid w:val="219263AA"/>
    <w:rsid w:val="219E2450"/>
    <w:rsid w:val="219E5782"/>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3F1C1A"/>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3402E"/>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85958"/>
    <w:rsid w:val="277E30D2"/>
    <w:rsid w:val="27803F2A"/>
    <w:rsid w:val="278A18D2"/>
    <w:rsid w:val="27983FEE"/>
    <w:rsid w:val="27A34941"/>
    <w:rsid w:val="27A97FAA"/>
    <w:rsid w:val="27EE3A7B"/>
    <w:rsid w:val="27FA25B3"/>
    <w:rsid w:val="28033B5E"/>
    <w:rsid w:val="28047CA2"/>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CA642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41B69"/>
    <w:rsid w:val="2A2B114A"/>
    <w:rsid w:val="2A306A36"/>
    <w:rsid w:val="2A457300"/>
    <w:rsid w:val="2A5372C6"/>
    <w:rsid w:val="2A5A558B"/>
    <w:rsid w:val="2A5B03D8"/>
    <w:rsid w:val="2A6F6D07"/>
    <w:rsid w:val="2A852253"/>
    <w:rsid w:val="2A882500"/>
    <w:rsid w:val="2A9A4101"/>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367DA6"/>
    <w:rsid w:val="2B400742"/>
    <w:rsid w:val="2B4A5600"/>
    <w:rsid w:val="2B574FD9"/>
    <w:rsid w:val="2B642979"/>
    <w:rsid w:val="2B681F2A"/>
    <w:rsid w:val="2B7408CF"/>
    <w:rsid w:val="2B88534B"/>
    <w:rsid w:val="2B8D373E"/>
    <w:rsid w:val="2B9E4F56"/>
    <w:rsid w:val="2BD96984"/>
    <w:rsid w:val="2BDB5A88"/>
    <w:rsid w:val="2BDB6BA0"/>
    <w:rsid w:val="2BE91C37"/>
    <w:rsid w:val="2BEC3F72"/>
    <w:rsid w:val="2C083572"/>
    <w:rsid w:val="2C185F94"/>
    <w:rsid w:val="2C1F1AC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2A34C6"/>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8B5145"/>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00294D"/>
    <w:rsid w:val="32176602"/>
    <w:rsid w:val="322A7699"/>
    <w:rsid w:val="322B25C6"/>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AF4725"/>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4D6BA3"/>
    <w:rsid w:val="375E0DA6"/>
    <w:rsid w:val="377639AE"/>
    <w:rsid w:val="377E111B"/>
    <w:rsid w:val="378142CB"/>
    <w:rsid w:val="378B61A6"/>
    <w:rsid w:val="37920A5A"/>
    <w:rsid w:val="37B90F0B"/>
    <w:rsid w:val="37BA1D5F"/>
    <w:rsid w:val="37CD3F98"/>
    <w:rsid w:val="37CF53BB"/>
    <w:rsid w:val="37DF75BA"/>
    <w:rsid w:val="37E148E2"/>
    <w:rsid w:val="37EF4AF6"/>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465F15"/>
    <w:rsid w:val="39505209"/>
    <w:rsid w:val="396453C5"/>
    <w:rsid w:val="39660A78"/>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192AFD"/>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240E7"/>
    <w:rsid w:val="3D2B37EA"/>
    <w:rsid w:val="3D2F7FF3"/>
    <w:rsid w:val="3D3B56F0"/>
    <w:rsid w:val="3D3D1507"/>
    <w:rsid w:val="3D62085B"/>
    <w:rsid w:val="3D6B12FD"/>
    <w:rsid w:val="3D777E8C"/>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7D3D9E"/>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C15F0C"/>
    <w:rsid w:val="40E66965"/>
    <w:rsid w:val="40F701DF"/>
    <w:rsid w:val="40FC3D9D"/>
    <w:rsid w:val="40FD480A"/>
    <w:rsid w:val="411B59C4"/>
    <w:rsid w:val="412A32F8"/>
    <w:rsid w:val="417F433E"/>
    <w:rsid w:val="418A1D66"/>
    <w:rsid w:val="418A4550"/>
    <w:rsid w:val="419177DE"/>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B21FB1"/>
    <w:rsid w:val="42C972FA"/>
    <w:rsid w:val="42D737C5"/>
    <w:rsid w:val="42EA5650"/>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DB6DF5"/>
    <w:rsid w:val="44FB1C9C"/>
    <w:rsid w:val="45014B29"/>
    <w:rsid w:val="450C05A0"/>
    <w:rsid w:val="45392A13"/>
    <w:rsid w:val="453E3FCF"/>
    <w:rsid w:val="454F1836"/>
    <w:rsid w:val="456048C2"/>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D15DA"/>
    <w:rsid w:val="46767799"/>
    <w:rsid w:val="4691012F"/>
    <w:rsid w:val="46BF7E28"/>
    <w:rsid w:val="46C3037C"/>
    <w:rsid w:val="46CB1893"/>
    <w:rsid w:val="46DD5122"/>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2928A1"/>
    <w:rsid w:val="493368B1"/>
    <w:rsid w:val="49413F52"/>
    <w:rsid w:val="494F6304"/>
    <w:rsid w:val="49792B95"/>
    <w:rsid w:val="49E669E4"/>
    <w:rsid w:val="49F11610"/>
    <w:rsid w:val="4A01681E"/>
    <w:rsid w:val="4A05334F"/>
    <w:rsid w:val="4A060864"/>
    <w:rsid w:val="4A244932"/>
    <w:rsid w:val="4A2922C8"/>
    <w:rsid w:val="4A2A68D0"/>
    <w:rsid w:val="4A344C24"/>
    <w:rsid w:val="4A4117B2"/>
    <w:rsid w:val="4A4A6F73"/>
    <w:rsid w:val="4A712751"/>
    <w:rsid w:val="4A7A4350"/>
    <w:rsid w:val="4A7B1703"/>
    <w:rsid w:val="4A7E2497"/>
    <w:rsid w:val="4A896826"/>
    <w:rsid w:val="4A8E50B1"/>
    <w:rsid w:val="4A993A56"/>
    <w:rsid w:val="4AA448D5"/>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555E5D"/>
    <w:rsid w:val="4B603107"/>
    <w:rsid w:val="4B720EAF"/>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455C43"/>
    <w:rsid w:val="4C694192"/>
    <w:rsid w:val="4C7964D9"/>
    <w:rsid w:val="4C8229F4"/>
    <w:rsid w:val="4C891FD4"/>
    <w:rsid w:val="4C8C5620"/>
    <w:rsid w:val="4C9269F6"/>
    <w:rsid w:val="4CB75F07"/>
    <w:rsid w:val="4CC4733F"/>
    <w:rsid w:val="4CC84335"/>
    <w:rsid w:val="4CD22B0F"/>
    <w:rsid w:val="4CDA3E72"/>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DB254D"/>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916F1E"/>
    <w:rsid w:val="4EB23220"/>
    <w:rsid w:val="4EC866B8"/>
    <w:rsid w:val="4ED46303"/>
    <w:rsid w:val="4EE661F8"/>
    <w:rsid w:val="4EF27A04"/>
    <w:rsid w:val="4F0773B4"/>
    <w:rsid w:val="4F0C69BB"/>
    <w:rsid w:val="4F241019"/>
    <w:rsid w:val="4F307BB1"/>
    <w:rsid w:val="4F336227"/>
    <w:rsid w:val="4F3C3EF2"/>
    <w:rsid w:val="4F3D562D"/>
    <w:rsid w:val="4F5C4EE0"/>
    <w:rsid w:val="4F681AF1"/>
    <w:rsid w:val="4F6E1972"/>
    <w:rsid w:val="4F943166"/>
    <w:rsid w:val="4F9C19A5"/>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27191"/>
    <w:rsid w:val="515B06D0"/>
    <w:rsid w:val="51764AF1"/>
    <w:rsid w:val="51996737"/>
    <w:rsid w:val="51B408B8"/>
    <w:rsid w:val="51B6770D"/>
    <w:rsid w:val="51B80848"/>
    <w:rsid w:val="51CC0868"/>
    <w:rsid w:val="51D5340F"/>
    <w:rsid w:val="52287B99"/>
    <w:rsid w:val="52382F2A"/>
    <w:rsid w:val="52386E3D"/>
    <w:rsid w:val="523A7DD1"/>
    <w:rsid w:val="523B7711"/>
    <w:rsid w:val="5257222D"/>
    <w:rsid w:val="526C13E5"/>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57F4F"/>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87607C"/>
    <w:rsid w:val="5895585D"/>
    <w:rsid w:val="58B31855"/>
    <w:rsid w:val="58BA4DCB"/>
    <w:rsid w:val="58C6004A"/>
    <w:rsid w:val="58CF56D8"/>
    <w:rsid w:val="58D31010"/>
    <w:rsid w:val="58D6741E"/>
    <w:rsid w:val="58DA5965"/>
    <w:rsid w:val="58DB0535"/>
    <w:rsid w:val="58E467E4"/>
    <w:rsid w:val="58E62E0E"/>
    <w:rsid w:val="58EA3D0E"/>
    <w:rsid w:val="58EB594B"/>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B64468"/>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8D74BC"/>
    <w:rsid w:val="5CBB7F6F"/>
    <w:rsid w:val="5CC248CE"/>
    <w:rsid w:val="5CC826A5"/>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3E75CF"/>
    <w:rsid w:val="5E442F62"/>
    <w:rsid w:val="5E6C2C5B"/>
    <w:rsid w:val="5E6E2DD8"/>
    <w:rsid w:val="5E7251A2"/>
    <w:rsid w:val="5E7C3591"/>
    <w:rsid w:val="5E9842F9"/>
    <w:rsid w:val="5E9D0E18"/>
    <w:rsid w:val="5EA26F25"/>
    <w:rsid w:val="5EA341D7"/>
    <w:rsid w:val="5EA755DE"/>
    <w:rsid w:val="5EAE7678"/>
    <w:rsid w:val="5EB91E7D"/>
    <w:rsid w:val="5ECB647C"/>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22285"/>
    <w:rsid w:val="605D2617"/>
    <w:rsid w:val="60616CDC"/>
    <w:rsid w:val="60624E53"/>
    <w:rsid w:val="606319E5"/>
    <w:rsid w:val="607A77D8"/>
    <w:rsid w:val="607B3C50"/>
    <w:rsid w:val="608B6567"/>
    <w:rsid w:val="60902A4E"/>
    <w:rsid w:val="60AA3E6F"/>
    <w:rsid w:val="60BB607C"/>
    <w:rsid w:val="60D12CA5"/>
    <w:rsid w:val="60FF21D9"/>
    <w:rsid w:val="610C0686"/>
    <w:rsid w:val="611063C8"/>
    <w:rsid w:val="611E37D0"/>
    <w:rsid w:val="613021B3"/>
    <w:rsid w:val="61306A6A"/>
    <w:rsid w:val="613253FD"/>
    <w:rsid w:val="61421F29"/>
    <w:rsid w:val="61521F2D"/>
    <w:rsid w:val="615F221E"/>
    <w:rsid w:val="61637D56"/>
    <w:rsid w:val="61712185"/>
    <w:rsid w:val="617B71E2"/>
    <w:rsid w:val="618B7207"/>
    <w:rsid w:val="61907E69"/>
    <w:rsid w:val="61A90D68"/>
    <w:rsid w:val="61B43A15"/>
    <w:rsid w:val="61DA0425"/>
    <w:rsid w:val="61DC7135"/>
    <w:rsid w:val="62015D11"/>
    <w:rsid w:val="62065A1D"/>
    <w:rsid w:val="6213792C"/>
    <w:rsid w:val="621775E2"/>
    <w:rsid w:val="621C0D9D"/>
    <w:rsid w:val="622F7552"/>
    <w:rsid w:val="6250406E"/>
    <w:rsid w:val="626369CC"/>
    <w:rsid w:val="6267666C"/>
    <w:rsid w:val="627D6831"/>
    <w:rsid w:val="62811B1C"/>
    <w:rsid w:val="62A20409"/>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612AB8"/>
    <w:rsid w:val="6379289B"/>
    <w:rsid w:val="637B1AF3"/>
    <w:rsid w:val="637C540F"/>
    <w:rsid w:val="637D0978"/>
    <w:rsid w:val="637F3391"/>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34C3B"/>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6FE3167"/>
    <w:rsid w:val="67071922"/>
    <w:rsid w:val="673B73C0"/>
    <w:rsid w:val="674743C8"/>
    <w:rsid w:val="674E19F8"/>
    <w:rsid w:val="675608B6"/>
    <w:rsid w:val="6760172C"/>
    <w:rsid w:val="67754402"/>
    <w:rsid w:val="677D54ED"/>
    <w:rsid w:val="678B726C"/>
    <w:rsid w:val="67B25E27"/>
    <w:rsid w:val="67B4646D"/>
    <w:rsid w:val="67B464CA"/>
    <w:rsid w:val="67C4383B"/>
    <w:rsid w:val="67D35E1A"/>
    <w:rsid w:val="67D839B8"/>
    <w:rsid w:val="67DB0DB2"/>
    <w:rsid w:val="67F35317"/>
    <w:rsid w:val="67F73E3E"/>
    <w:rsid w:val="68016A6B"/>
    <w:rsid w:val="680201B7"/>
    <w:rsid w:val="68040309"/>
    <w:rsid w:val="68060525"/>
    <w:rsid w:val="6828049B"/>
    <w:rsid w:val="68345AD6"/>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AE0505D"/>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3274C"/>
    <w:rsid w:val="6C573E9C"/>
    <w:rsid w:val="6C5C23DC"/>
    <w:rsid w:val="6C6D1126"/>
    <w:rsid w:val="6C7672FB"/>
    <w:rsid w:val="6C9500C9"/>
    <w:rsid w:val="6C975BF0"/>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8842D7"/>
    <w:rsid w:val="6E952B9A"/>
    <w:rsid w:val="6EA75E92"/>
    <w:rsid w:val="6EAD447C"/>
    <w:rsid w:val="6EAE5472"/>
    <w:rsid w:val="6EBC069A"/>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5C38CA"/>
    <w:rsid w:val="6F63625D"/>
    <w:rsid w:val="6F6B6A15"/>
    <w:rsid w:val="6F947E4B"/>
    <w:rsid w:val="6F9957DB"/>
    <w:rsid w:val="6FA30BDA"/>
    <w:rsid w:val="6FB21D4C"/>
    <w:rsid w:val="6FB80698"/>
    <w:rsid w:val="6FFD5E0F"/>
    <w:rsid w:val="70076BE8"/>
    <w:rsid w:val="701021F4"/>
    <w:rsid w:val="701C29A6"/>
    <w:rsid w:val="7024611F"/>
    <w:rsid w:val="702F7EED"/>
    <w:rsid w:val="7038498C"/>
    <w:rsid w:val="703F45D4"/>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15531"/>
    <w:rsid w:val="72BD2C86"/>
    <w:rsid w:val="72CD226C"/>
    <w:rsid w:val="72D27981"/>
    <w:rsid w:val="73047407"/>
    <w:rsid w:val="73047904"/>
    <w:rsid w:val="730C5A87"/>
    <w:rsid w:val="731A4E85"/>
    <w:rsid w:val="73253EFA"/>
    <w:rsid w:val="73353A6C"/>
    <w:rsid w:val="734C1A6A"/>
    <w:rsid w:val="73555EBD"/>
    <w:rsid w:val="735663B7"/>
    <w:rsid w:val="73577E87"/>
    <w:rsid w:val="735C5949"/>
    <w:rsid w:val="73671287"/>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30DD9"/>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9D588A"/>
    <w:rsid w:val="78AE679B"/>
    <w:rsid w:val="78B65E3A"/>
    <w:rsid w:val="78C95383"/>
    <w:rsid w:val="78D87374"/>
    <w:rsid w:val="78E0091E"/>
    <w:rsid w:val="78E954BD"/>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4F7B0A"/>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665EB"/>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5533D1"/>
    <w:rsid w:val="7C631577"/>
    <w:rsid w:val="7C691974"/>
    <w:rsid w:val="7C8A6570"/>
    <w:rsid w:val="7C8B7390"/>
    <w:rsid w:val="7C9B0D0E"/>
    <w:rsid w:val="7CA42B03"/>
    <w:rsid w:val="7CBB76D8"/>
    <w:rsid w:val="7CC55E61"/>
    <w:rsid w:val="7CCB5EDA"/>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13862</Words>
  <Characters>14523</Characters>
  <Lines>50</Lines>
  <Paragraphs>68</Paragraphs>
  <TotalTime>0</TotalTime>
  <ScaleCrop>false</ScaleCrop>
  <LinksUpToDate>false</LinksUpToDate>
  <CharactersWithSpaces>15009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2026-03-13T01:44:39Z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