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38BEA94">
      <w:pPr>
        <w:pStyle w:val="20"/>
        <w:widowControl w:val="0"/>
        <w:spacing w:beforeLines="50"/>
        <w:ind w:firstLine="964"/>
        <w:jc w:val="center"/>
        <w:rPr>
          <w:b/>
          <w:bCs/>
          <w:sz w:val="48"/>
          <w:szCs w:val="48"/>
          <w:highlight w:val="none"/>
        </w:rPr>
      </w:pPr>
    </w:p>
    <w:p w14:paraId="7E33E06D">
      <w:pPr>
        <w:pStyle w:val="20"/>
        <w:widowControl w:val="0"/>
        <w:spacing w:beforeLines="50"/>
        <w:ind w:firstLine="803"/>
        <w:jc w:val="center"/>
        <w:rPr>
          <w:b/>
          <w:bCs/>
          <w:sz w:val="44"/>
          <w:szCs w:val="48"/>
          <w:highlight w:val="none"/>
        </w:rPr>
      </w:pPr>
      <w:r>
        <w:rPr>
          <w:rFonts w:hint="eastAsia"/>
          <w:b/>
          <w:bCs/>
          <w:sz w:val="44"/>
          <w:szCs w:val="48"/>
          <w:highlight w:val="none"/>
        </w:rPr>
        <w:t>驻马店市中心医院全院一次性输液瓶（袋）</w:t>
      </w:r>
    </w:p>
    <w:p w14:paraId="4E38E384">
      <w:pPr>
        <w:pStyle w:val="20"/>
        <w:widowControl w:val="0"/>
        <w:spacing w:beforeLines="50"/>
        <w:ind w:firstLine="803"/>
        <w:jc w:val="center"/>
        <w:rPr>
          <w:rFonts w:hint="eastAsia" w:eastAsia="宋体"/>
          <w:b/>
          <w:bCs/>
          <w:sz w:val="44"/>
          <w:szCs w:val="48"/>
          <w:highlight w:val="none"/>
          <w:lang w:val="en-US" w:eastAsia="zh-CN"/>
        </w:rPr>
      </w:pPr>
      <w:r>
        <w:rPr>
          <w:rFonts w:hint="eastAsia"/>
          <w:b/>
          <w:bCs/>
          <w:sz w:val="44"/>
          <w:szCs w:val="48"/>
          <w:highlight w:val="none"/>
        </w:rPr>
        <w:t>集中回收服务</w:t>
      </w:r>
      <w:r>
        <w:rPr>
          <w:rFonts w:hint="eastAsia"/>
          <w:b/>
          <w:bCs/>
          <w:sz w:val="44"/>
          <w:szCs w:val="48"/>
          <w:highlight w:val="none"/>
          <w:lang w:val="en-US" w:eastAsia="zh-CN"/>
        </w:rPr>
        <w:t>项目（二次）</w:t>
      </w:r>
    </w:p>
    <w:p w14:paraId="3921CE8E">
      <w:pPr>
        <w:pStyle w:val="20"/>
        <w:ind w:firstLine="964"/>
        <w:jc w:val="center"/>
        <w:rPr>
          <w:rStyle w:val="45"/>
          <w:b/>
          <w:bCs/>
          <w:color w:val="auto"/>
          <w:sz w:val="48"/>
          <w:szCs w:val="48"/>
          <w:highlight w:val="none"/>
        </w:rPr>
      </w:pPr>
    </w:p>
    <w:p w14:paraId="00287F7B">
      <w:pPr>
        <w:pStyle w:val="20"/>
        <w:ind w:firstLine="883"/>
        <w:jc w:val="center"/>
        <w:rPr>
          <w:rStyle w:val="45"/>
          <w:b/>
          <w:bCs/>
          <w:color w:val="auto"/>
          <w:sz w:val="44"/>
          <w:szCs w:val="44"/>
          <w:highlight w:val="none"/>
        </w:rPr>
      </w:pPr>
      <w:r>
        <w:rPr>
          <w:rStyle w:val="45"/>
          <w:rFonts w:hint="eastAsia"/>
          <w:b/>
          <w:bCs/>
          <w:color w:val="auto"/>
          <w:sz w:val="44"/>
          <w:szCs w:val="44"/>
          <w:highlight w:val="none"/>
        </w:rPr>
        <w:t>竞争性磋商文件</w:t>
      </w:r>
    </w:p>
    <w:p w14:paraId="7AF28EEB">
      <w:pPr>
        <w:tabs>
          <w:tab w:val="left" w:pos="2700"/>
          <w:tab w:val="left" w:pos="2880"/>
          <w:tab w:val="left" w:pos="3060"/>
          <w:tab w:val="left" w:pos="7560"/>
        </w:tabs>
        <w:snapToGrid w:val="0"/>
        <w:spacing w:line="360" w:lineRule="auto"/>
        <w:ind w:firstLine="1928" w:firstLineChars="600"/>
        <w:rPr>
          <w:rFonts w:ascii="宋体" w:hAnsi="宋体" w:cs="宋体"/>
          <w:b/>
          <w:bCs/>
          <w:spacing w:val="-10"/>
          <w:sz w:val="34"/>
          <w:szCs w:val="34"/>
          <w:highlight w:val="none"/>
        </w:rPr>
      </w:pPr>
    </w:p>
    <w:p w14:paraId="7F293B9C">
      <w:pPr>
        <w:snapToGrid w:val="0"/>
        <w:spacing w:line="380" w:lineRule="exact"/>
        <w:ind w:firstLine="643"/>
        <w:jc w:val="center"/>
        <w:rPr>
          <w:rFonts w:ascii="宋体" w:hAnsi="宋体" w:cs="宋体"/>
          <w:b/>
          <w:sz w:val="32"/>
          <w:szCs w:val="32"/>
          <w:highlight w:val="none"/>
        </w:rPr>
      </w:pPr>
    </w:p>
    <w:p w14:paraId="06CF22C8">
      <w:pPr>
        <w:pStyle w:val="33"/>
        <w:ind w:firstLine="210"/>
        <w:rPr>
          <w:rFonts w:ascii="宋体" w:hAnsi="宋体" w:cs="宋体"/>
          <w:highlight w:val="none"/>
        </w:rPr>
      </w:pPr>
    </w:p>
    <w:p w14:paraId="79D11C48">
      <w:pPr>
        <w:pStyle w:val="60"/>
        <w:rPr>
          <w:rFonts w:ascii="宋体" w:hAnsi="宋体" w:cs="宋体"/>
          <w:bCs/>
          <w:sz w:val="2"/>
          <w:szCs w:val="2"/>
          <w:highlight w:val="none"/>
        </w:rPr>
      </w:pPr>
    </w:p>
    <w:p w14:paraId="70D8C461">
      <w:pPr>
        <w:ind w:firstLine="40"/>
        <w:rPr>
          <w:rFonts w:ascii="宋体" w:hAnsi="宋体" w:cs="宋体"/>
          <w:bCs/>
          <w:sz w:val="2"/>
          <w:szCs w:val="2"/>
          <w:highlight w:val="none"/>
        </w:rPr>
      </w:pPr>
    </w:p>
    <w:p w14:paraId="09537F45">
      <w:pPr>
        <w:spacing w:line="20" w:lineRule="exact"/>
        <w:ind w:firstLine="40"/>
        <w:rPr>
          <w:rFonts w:ascii="宋体" w:hAnsi="宋体" w:cs="宋体"/>
          <w:bCs/>
          <w:sz w:val="2"/>
          <w:szCs w:val="2"/>
          <w:highlight w:val="none"/>
        </w:rPr>
      </w:pPr>
    </w:p>
    <w:p w14:paraId="73A5A5C6">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highlight w:val="none"/>
        </w:rPr>
      </w:pPr>
    </w:p>
    <w:p w14:paraId="197023D6">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highlight w:val="none"/>
        </w:rPr>
      </w:pPr>
    </w:p>
    <w:p w14:paraId="12708A0D">
      <w:pPr>
        <w:tabs>
          <w:tab w:val="left" w:pos="2700"/>
          <w:tab w:val="left" w:pos="2880"/>
          <w:tab w:val="left" w:pos="3060"/>
          <w:tab w:val="left" w:pos="7560"/>
        </w:tabs>
        <w:snapToGrid w:val="0"/>
        <w:spacing w:line="480" w:lineRule="auto"/>
        <w:ind w:firstLine="643"/>
        <w:jc w:val="left"/>
        <w:rPr>
          <w:rFonts w:ascii="宋体" w:hAnsi="宋体" w:cs="宋体"/>
          <w:b/>
          <w:bCs/>
          <w:spacing w:val="80"/>
          <w:sz w:val="34"/>
          <w:szCs w:val="34"/>
          <w:highlight w:val="none"/>
        </w:rPr>
      </w:pPr>
      <w:r>
        <w:rPr>
          <w:rFonts w:hint="eastAsia" w:ascii="宋体" w:hAnsi="宋体" w:cs="宋体"/>
          <w:b/>
          <w:bCs/>
          <w:spacing w:val="-10"/>
          <w:sz w:val="34"/>
          <w:szCs w:val="34"/>
          <w:highlight w:val="none"/>
        </w:rPr>
        <w:t xml:space="preserve">      采    购   人：驻马店市中心医院</w:t>
      </w:r>
    </w:p>
    <w:p w14:paraId="3F1BFEFA">
      <w:pPr>
        <w:tabs>
          <w:tab w:val="left" w:pos="2700"/>
          <w:tab w:val="left" w:pos="2880"/>
          <w:tab w:val="left" w:pos="3060"/>
          <w:tab w:val="left" w:pos="7560"/>
        </w:tabs>
        <w:snapToGrid w:val="0"/>
        <w:spacing w:line="480" w:lineRule="auto"/>
        <w:ind w:firstLine="643"/>
        <w:jc w:val="center"/>
        <w:rPr>
          <w:rFonts w:ascii="宋体" w:hAnsi="宋体" w:cs="宋体"/>
          <w:b/>
          <w:bCs/>
          <w:spacing w:val="-10"/>
          <w:sz w:val="34"/>
          <w:szCs w:val="34"/>
          <w:highlight w:val="none"/>
        </w:rPr>
      </w:pPr>
      <w:r>
        <w:rPr>
          <w:rFonts w:hint="eastAsia" w:ascii="宋体" w:hAnsi="宋体" w:cs="宋体"/>
          <w:b/>
          <w:bCs/>
          <w:spacing w:val="-10"/>
          <w:sz w:val="34"/>
          <w:szCs w:val="34"/>
          <w:highlight w:val="none"/>
        </w:rPr>
        <w:t xml:space="preserve">    采购代理机构：驻马店市成浩招投标代理有限公司</w:t>
      </w:r>
    </w:p>
    <w:p w14:paraId="7836894F">
      <w:pPr>
        <w:tabs>
          <w:tab w:val="left" w:pos="2700"/>
          <w:tab w:val="left" w:pos="2880"/>
          <w:tab w:val="left" w:pos="3060"/>
          <w:tab w:val="left" w:pos="7560"/>
        </w:tabs>
        <w:snapToGrid w:val="0"/>
        <w:spacing w:line="480" w:lineRule="auto"/>
        <w:ind w:firstLine="643"/>
        <w:jc w:val="left"/>
        <w:rPr>
          <w:rFonts w:ascii="宋体" w:hAnsi="宋体" w:cs="宋体"/>
          <w:b/>
          <w:bCs/>
          <w:spacing w:val="-10"/>
          <w:sz w:val="34"/>
          <w:szCs w:val="34"/>
          <w:highlight w:val="none"/>
        </w:rPr>
      </w:pPr>
      <w:r>
        <w:rPr>
          <w:rFonts w:hint="eastAsia" w:ascii="宋体" w:hAnsi="宋体" w:cs="宋体"/>
          <w:b/>
          <w:bCs/>
          <w:spacing w:val="-10"/>
          <w:sz w:val="34"/>
          <w:szCs w:val="34"/>
          <w:highlight w:val="none"/>
        </w:rPr>
        <w:t xml:space="preserve">      日         期：2026年3月</w:t>
      </w:r>
    </w:p>
    <w:p w14:paraId="0B479299">
      <w:pPr>
        <w:ind w:firstLine="480"/>
        <w:rPr>
          <w:rFonts w:ascii="宋体" w:hAnsi="宋体" w:cs="宋体"/>
          <w:bCs/>
          <w:sz w:val="24"/>
          <w:highlight w:val="none"/>
        </w:rPr>
      </w:pPr>
    </w:p>
    <w:p w14:paraId="42E12221">
      <w:pPr>
        <w:ind w:firstLine="723"/>
        <w:jc w:val="center"/>
        <w:rPr>
          <w:rFonts w:ascii="宋体" w:hAnsi="宋体" w:cs="宋体"/>
          <w:b/>
          <w:bCs/>
          <w:sz w:val="36"/>
          <w:szCs w:val="36"/>
          <w:highlight w:val="none"/>
        </w:rPr>
      </w:pPr>
    </w:p>
    <w:p w14:paraId="16ED9E00">
      <w:pPr>
        <w:ind w:firstLine="723"/>
        <w:jc w:val="center"/>
        <w:rPr>
          <w:rFonts w:ascii="宋体" w:hAnsi="宋体" w:cs="宋体"/>
          <w:b/>
          <w:bCs/>
          <w:sz w:val="36"/>
          <w:szCs w:val="36"/>
          <w:highlight w:val="none"/>
        </w:rPr>
      </w:pPr>
    </w:p>
    <w:p w14:paraId="268F99D4">
      <w:pPr>
        <w:ind w:firstLine="723"/>
        <w:jc w:val="center"/>
        <w:rPr>
          <w:rFonts w:ascii="宋体" w:hAnsi="宋体" w:cs="宋体"/>
          <w:b/>
          <w:bCs/>
          <w:sz w:val="36"/>
          <w:szCs w:val="36"/>
          <w:highlight w:val="none"/>
        </w:rPr>
      </w:pPr>
    </w:p>
    <w:p w14:paraId="1D1E453A">
      <w:pPr>
        <w:ind w:firstLine="723"/>
        <w:jc w:val="center"/>
        <w:rPr>
          <w:rFonts w:ascii="宋体" w:hAnsi="宋体" w:cs="宋体"/>
          <w:b/>
          <w:bCs/>
          <w:sz w:val="36"/>
          <w:szCs w:val="36"/>
          <w:highlight w:val="none"/>
        </w:rPr>
      </w:pPr>
    </w:p>
    <w:p w14:paraId="632C243C">
      <w:pPr>
        <w:ind w:firstLine="723"/>
        <w:jc w:val="center"/>
        <w:rPr>
          <w:rFonts w:ascii="宋体" w:hAnsi="宋体" w:cs="宋体"/>
          <w:b/>
          <w:bCs/>
          <w:sz w:val="36"/>
          <w:szCs w:val="36"/>
          <w:highlight w:val="none"/>
        </w:rPr>
      </w:pPr>
      <w:r>
        <w:rPr>
          <w:rFonts w:hint="eastAsia" w:ascii="宋体" w:hAnsi="宋体" w:cs="宋体"/>
          <w:b/>
          <w:bCs/>
          <w:sz w:val="36"/>
          <w:szCs w:val="36"/>
          <w:highlight w:val="none"/>
        </w:rPr>
        <w:t>目   录</w:t>
      </w:r>
    </w:p>
    <w:p w14:paraId="69F62DEC">
      <w:pPr>
        <w:pStyle w:val="54"/>
        <w:rPr>
          <w:color w:val="auto"/>
          <w:highlight w:val="none"/>
        </w:rPr>
      </w:pPr>
    </w:p>
    <w:p w14:paraId="39B0E1BF">
      <w:pPr>
        <w:pStyle w:val="26"/>
        <w:tabs>
          <w:tab w:val="right" w:leader="dot" w:pos="8958"/>
        </w:tabs>
        <w:spacing w:line="500" w:lineRule="exact"/>
        <w:ind w:firstLine="643"/>
        <w:rPr>
          <w:rFonts w:ascii="宋体" w:hAnsi="宋体" w:cs="宋体"/>
          <w:b/>
          <w:bCs/>
          <w:sz w:val="32"/>
          <w:szCs w:val="32"/>
          <w:highlight w:val="none"/>
        </w:rPr>
      </w:pPr>
    </w:p>
    <w:p w14:paraId="74029C77">
      <w:pPr>
        <w:pStyle w:val="26"/>
        <w:tabs>
          <w:tab w:val="right" w:leader="dot" w:pos="8958"/>
        </w:tabs>
        <w:spacing w:line="500" w:lineRule="exact"/>
        <w:ind w:firstLine="643"/>
        <w:rPr>
          <w:rFonts w:ascii="宋体" w:hAnsi="宋体" w:cs="宋体"/>
          <w:b/>
          <w:bCs/>
          <w:sz w:val="32"/>
          <w:szCs w:val="32"/>
          <w:highlight w:val="none"/>
        </w:rPr>
      </w:pPr>
    </w:p>
    <w:p w14:paraId="7110AB97">
      <w:pPr>
        <w:pStyle w:val="26"/>
        <w:tabs>
          <w:tab w:val="right" w:leader="dot" w:pos="8958"/>
        </w:tabs>
        <w:spacing w:line="500" w:lineRule="exact"/>
        <w:ind w:firstLine="643"/>
        <w:rPr>
          <w:rFonts w:ascii="宋体" w:hAnsi="宋体" w:cs="宋体"/>
          <w:highlight w:val="none"/>
        </w:rPr>
      </w:pPr>
      <w:r>
        <w:rPr>
          <w:rFonts w:hint="eastAsia" w:ascii="宋体" w:hAnsi="宋体" w:cs="宋体"/>
          <w:b/>
          <w:bCs/>
          <w:sz w:val="32"/>
          <w:szCs w:val="32"/>
          <w:highlight w:val="none"/>
        </w:rPr>
        <w:fldChar w:fldCharType="begin"/>
      </w:r>
      <w:r>
        <w:rPr>
          <w:rFonts w:hint="eastAsia" w:ascii="宋体" w:hAnsi="宋体" w:cs="宋体"/>
          <w:b/>
          <w:bCs/>
          <w:sz w:val="32"/>
          <w:szCs w:val="32"/>
          <w:highlight w:val="none"/>
        </w:rPr>
        <w:instrText xml:space="preserve">TOC \o "1-1" \h \u </w:instrText>
      </w:r>
      <w:r>
        <w:rPr>
          <w:rFonts w:hint="eastAsia" w:ascii="宋体" w:hAnsi="宋体" w:cs="宋体"/>
          <w:b/>
          <w:bCs/>
          <w:sz w:val="32"/>
          <w:szCs w:val="32"/>
          <w:highlight w:val="none"/>
        </w:rPr>
        <w:fldChar w:fldCharType="separate"/>
      </w:r>
      <w:r>
        <w:rPr>
          <w:highlight w:val="none"/>
        </w:rPr>
        <w:fldChar w:fldCharType="begin"/>
      </w:r>
      <w:r>
        <w:rPr>
          <w:highlight w:val="none"/>
        </w:rPr>
        <w:instrText xml:space="preserve"> HYPERLINK \l "_Toc26528" </w:instrText>
      </w:r>
      <w:r>
        <w:rPr>
          <w:highlight w:val="none"/>
        </w:rPr>
        <w:fldChar w:fldCharType="separate"/>
      </w:r>
      <w:r>
        <w:rPr>
          <w:rFonts w:hint="eastAsia" w:ascii="宋体" w:hAnsi="宋体" w:cs="宋体"/>
          <w:szCs w:val="32"/>
          <w:highlight w:val="none"/>
        </w:rPr>
        <w:t>第一章  竞争性磋商采购公告</w:t>
      </w:r>
      <w:r>
        <w:rPr>
          <w:rFonts w:hint="eastAsia" w:ascii="宋体" w:hAnsi="宋体" w:cs="宋体"/>
          <w:highlight w:val="none"/>
        </w:rPr>
        <w:tab/>
      </w:r>
      <w:r>
        <w:rPr>
          <w:rFonts w:hint="eastAsia" w:ascii="宋体" w:hAnsi="宋体" w:cs="宋体"/>
          <w:highlight w:val="none"/>
        </w:rPr>
        <w:t>3</w:t>
      </w:r>
      <w:r>
        <w:rPr>
          <w:rFonts w:hint="eastAsia" w:ascii="宋体" w:hAnsi="宋体" w:cs="宋体"/>
          <w:highlight w:val="none"/>
        </w:rPr>
        <w:fldChar w:fldCharType="end"/>
      </w:r>
    </w:p>
    <w:p w14:paraId="6951B77E">
      <w:pPr>
        <w:pStyle w:val="26"/>
        <w:tabs>
          <w:tab w:val="right" w:leader="dot" w:pos="8958"/>
        </w:tabs>
        <w:spacing w:line="500" w:lineRule="exact"/>
        <w:rPr>
          <w:rFonts w:ascii="宋体" w:hAnsi="宋体" w:cs="宋体"/>
          <w:highlight w:val="none"/>
        </w:rPr>
      </w:pPr>
      <w:r>
        <w:rPr>
          <w:rFonts w:hint="eastAsia"/>
          <w:highlight w:val="none"/>
        </w:rPr>
        <w:t xml:space="preserve">      </w:t>
      </w:r>
      <w:r>
        <w:rPr>
          <w:highlight w:val="none"/>
        </w:rPr>
        <w:fldChar w:fldCharType="begin"/>
      </w:r>
      <w:r>
        <w:rPr>
          <w:highlight w:val="none"/>
        </w:rPr>
        <w:instrText xml:space="preserve"> HYPERLINK \l "_Toc19124" </w:instrText>
      </w:r>
      <w:r>
        <w:rPr>
          <w:highlight w:val="none"/>
        </w:rPr>
        <w:fldChar w:fldCharType="separate"/>
      </w:r>
      <w:r>
        <w:rPr>
          <w:rFonts w:hint="eastAsia" w:ascii="宋体" w:hAnsi="宋体" w:cs="宋体"/>
          <w:szCs w:val="32"/>
          <w:highlight w:val="none"/>
        </w:rPr>
        <w:t>第二章  采购需求</w:t>
      </w:r>
      <w:r>
        <w:rPr>
          <w:rFonts w:hint="eastAsia" w:ascii="宋体" w:hAnsi="宋体" w:cs="宋体"/>
          <w:highlight w:val="none"/>
        </w:rPr>
        <w:tab/>
      </w:r>
      <w:r>
        <w:rPr>
          <w:rFonts w:hint="eastAsia" w:ascii="宋体" w:hAnsi="宋体" w:cs="宋体"/>
          <w:highlight w:val="none"/>
        </w:rPr>
        <w:t>5</w:t>
      </w:r>
      <w:r>
        <w:rPr>
          <w:rFonts w:hint="eastAsia" w:ascii="宋体" w:hAnsi="宋体" w:cs="宋体"/>
          <w:highlight w:val="none"/>
        </w:rPr>
        <w:fldChar w:fldCharType="end"/>
      </w:r>
    </w:p>
    <w:p w14:paraId="2A72FEA3">
      <w:pPr>
        <w:pStyle w:val="26"/>
        <w:tabs>
          <w:tab w:val="right" w:leader="dot" w:pos="8958"/>
        </w:tabs>
        <w:spacing w:line="500" w:lineRule="exact"/>
        <w:rPr>
          <w:rFonts w:ascii="宋体" w:hAnsi="宋体" w:cs="宋体"/>
          <w:highlight w:val="none"/>
        </w:rPr>
      </w:pPr>
      <w:r>
        <w:rPr>
          <w:rFonts w:hint="eastAsia"/>
          <w:highlight w:val="none"/>
        </w:rPr>
        <w:t xml:space="preserve">      </w:t>
      </w:r>
      <w:r>
        <w:rPr>
          <w:highlight w:val="none"/>
        </w:rPr>
        <w:fldChar w:fldCharType="begin"/>
      </w:r>
      <w:r>
        <w:rPr>
          <w:highlight w:val="none"/>
        </w:rPr>
        <w:instrText xml:space="preserve"> HYPERLINK \l "_Toc8501" </w:instrText>
      </w:r>
      <w:r>
        <w:rPr>
          <w:highlight w:val="none"/>
        </w:rPr>
        <w:fldChar w:fldCharType="separate"/>
      </w:r>
      <w:r>
        <w:rPr>
          <w:rFonts w:hint="eastAsia" w:ascii="宋体" w:hAnsi="宋体" w:cs="宋体"/>
          <w:bCs/>
          <w:szCs w:val="32"/>
          <w:highlight w:val="none"/>
        </w:rPr>
        <w:t>第三章  供应商须知</w:t>
      </w:r>
      <w:r>
        <w:rPr>
          <w:rFonts w:hint="eastAsia" w:ascii="宋体" w:hAnsi="宋体" w:cs="宋体"/>
          <w:highlight w:val="none"/>
        </w:rPr>
        <w:tab/>
      </w:r>
      <w:r>
        <w:rPr>
          <w:rFonts w:hint="eastAsia" w:ascii="宋体" w:hAnsi="宋体" w:cs="宋体"/>
          <w:highlight w:val="none"/>
        </w:rPr>
        <w:t>8</w:t>
      </w:r>
      <w:r>
        <w:rPr>
          <w:rFonts w:hint="eastAsia" w:ascii="宋体" w:hAnsi="宋体" w:cs="宋体"/>
          <w:highlight w:val="none"/>
        </w:rPr>
        <w:fldChar w:fldCharType="end"/>
      </w:r>
    </w:p>
    <w:p w14:paraId="62EF6B7D">
      <w:pPr>
        <w:pStyle w:val="26"/>
        <w:tabs>
          <w:tab w:val="right" w:leader="dot" w:pos="8958"/>
        </w:tabs>
        <w:spacing w:line="500" w:lineRule="exact"/>
        <w:rPr>
          <w:rFonts w:ascii="宋体" w:hAnsi="宋体" w:cs="宋体"/>
          <w:highlight w:val="none"/>
        </w:rPr>
      </w:pPr>
      <w:r>
        <w:rPr>
          <w:rFonts w:hint="eastAsia"/>
          <w:highlight w:val="none"/>
        </w:rPr>
        <w:t xml:space="preserve">      </w:t>
      </w:r>
      <w:r>
        <w:rPr>
          <w:highlight w:val="none"/>
        </w:rPr>
        <w:fldChar w:fldCharType="begin"/>
      </w:r>
      <w:r>
        <w:rPr>
          <w:highlight w:val="none"/>
        </w:rPr>
        <w:instrText xml:space="preserve"> HYPERLINK \l "_Toc31399" </w:instrText>
      </w:r>
      <w:r>
        <w:rPr>
          <w:highlight w:val="none"/>
        </w:rPr>
        <w:fldChar w:fldCharType="separate"/>
      </w:r>
      <w:r>
        <w:rPr>
          <w:rFonts w:hint="eastAsia" w:ascii="宋体" w:hAnsi="宋体" w:cs="宋体"/>
          <w:bCs/>
          <w:kern w:val="0"/>
          <w:szCs w:val="32"/>
          <w:highlight w:val="none"/>
        </w:rPr>
        <w:t>第四章  评标办法及评分标准</w:t>
      </w:r>
      <w:r>
        <w:rPr>
          <w:rFonts w:hint="eastAsia" w:ascii="宋体" w:hAnsi="宋体" w:cs="宋体"/>
          <w:highlight w:val="none"/>
        </w:rPr>
        <w:tab/>
      </w:r>
      <w:r>
        <w:rPr>
          <w:rFonts w:hint="eastAsia" w:ascii="宋体" w:hAnsi="宋体" w:cs="宋体"/>
          <w:highlight w:val="none"/>
        </w:rPr>
        <w:t>19</w:t>
      </w:r>
      <w:r>
        <w:rPr>
          <w:rFonts w:hint="eastAsia" w:ascii="宋体" w:hAnsi="宋体" w:cs="宋体"/>
          <w:highlight w:val="none"/>
        </w:rPr>
        <w:fldChar w:fldCharType="end"/>
      </w:r>
    </w:p>
    <w:p w14:paraId="0FA42C7B">
      <w:pPr>
        <w:pStyle w:val="26"/>
        <w:tabs>
          <w:tab w:val="right" w:leader="dot" w:pos="8958"/>
        </w:tabs>
        <w:spacing w:line="500" w:lineRule="exact"/>
        <w:rPr>
          <w:rFonts w:ascii="宋体" w:hAnsi="宋体" w:cs="宋体"/>
          <w:highlight w:val="none"/>
        </w:rPr>
      </w:pPr>
      <w:r>
        <w:rPr>
          <w:rFonts w:hint="eastAsia"/>
          <w:highlight w:val="none"/>
        </w:rPr>
        <w:t xml:space="preserve">      </w:t>
      </w:r>
      <w:r>
        <w:rPr>
          <w:highlight w:val="none"/>
        </w:rPr>
        <w:fldChar w:fldCharType="begin"/>
      </w:r>
      <w:r>
        <w:rPr>
          <w:highlight w:val="none"/>
        </w:rPr>
        <w:instrText xml:space="preserve"> HYPERLINK \l "_Toc11904" </w:instrText>
      </w:r>
      <w:r>
        <w:rPr>
          <w:highlight w:val="none"/>
        </w:rPr>
        <w:fldChar w:fldCharType="separate"/>
      </w:r>
      <w:r>
        <w:rPr>
          <w:rFonts w:hint="eastAsia" w:ascii="宋体" w:hAnsi="宋体" w:cs="宋体"/>
          <w:szCs w:val="28"/>
          <w:highlight w:val="none"/>
        </w:rPr>
        <w:t>第五章  采购合同</w:t>
      </w:r>
      <w:r>
        <w:rPr>
          <w:rFonts w:hint="eastAsia" w:ascii="宋体" w:hAnsi="宋体" w:cs="宋体"/>
          <w:highlight w:val="none"/>
        </w:rPr>
        <w:tab/>
      </w:r>
      <w:r>
        <w:rPr>
          <w:rFonts w:hint="eastAsia" w:ascii="宋体" w:hAnsi="宋体" w:cs="宋体"/>
          <w:highlight w:val="none"/>
        </w:rPr>
        <w:t>21</w:t>
      </w:r>
      <w:r>
        <w:rPr>
          <w:rFonts w:hint="eastAsia" w:ascii="宋体" w:hAnsi="宋体" w:cs="宋体"/>
          <w:highlight w:val="none"/>
        </w:rPr>
        <w:fldChar w:fldCharType="end"/>
      </w:r>
    </w:p>
    <w:p w14:paraId="3AE9EBBB">
      <w:pPr>
        <w:pStyle w:val="26"/>
        <w:tabs>
          <w:tab w:val="right" w:leader="dot" w:pos="8958"/>
        </w:tabs>
        <w:spacing w:line="500" w:lineRule="exact"/>
        <w:rPr>
          <w:highlight w:val="none"/>
        </w:rPr>
      </w:pPr>
      <w:r>
        <w:rPr>
          <w:rFonts w:hint="eastAsia"/>
          <w:highlight w:val="none"/>
        </w:rPr>
        <w:t xml:space="preserve">      </w:t>
      </w:r>
      <w:r>
        <w:rPr>
          <w:highlight w:val="none"/>
        </w:rPr>
        <w:fldChar w:fldCharType="begin"/>
      </w:r>
      <w:r>
        <w:rPr>
          <w:highlight w:val="none"/>
        </w:rPr>
        <w:instrText xml:space="preserve"> HYPERLINK \l "_Toc18702" </w:instrText>
      </w:r>
      <w:r>
        <w:rPr>
          <w:highlight w:val="none"/>
        </w:rPr>
        <w:fldChar w:fldCharType="separate"/>
      </w:r>
      <w:r>
        <w:rPr>
          <w:rFonts w:hint="eastAsia" w:ascii="宋体" w:hAnsi="宋体" w:cs="宋体"/>
          <w:szCs w:val="32"/>
          <w:highlight w:val="none"/>
        </w:rPr>
        <w:t>第六章  响应文件格式</w:t>
      </w:r>
      <w:r>
        <w:rPr>
          <w:rFonts w:hint="eastAsia" w:ascii="宋体" w:hAnsi="宋体" w:cs="宋体"/>
          <w:highlight w:val="none"/>
        </w:rPr>
        <w:tab/>
      </w:r>
      <w:r>
        <w:rPr>
          <w:rFonts w:hint="eastAsia" w:ascii="宋体" w:hAnsi="宋体" w:cs="宋体"/>
          <w:highlight w:val="none"/>
        </w:rPr>
        <w:t>22</w:t>
      </w:r>
      <w:r>
        <w:rPr>
          <w:rFonts w:hint="eastAsia" w:ascii="宋体" w:hAnsi="宋体" w:cs="宋体"/>
          <w:highlight w:val="none"/>
        </w:rPr>
        <w:fldChar w:fldCharType="end"/>
      </w:r>
    </w:p>
    <w:p w14:paraId="1DDE0ECD">
      <w:pPr>
        <w:pStyle w:val="84"/>
        <w:tabs>
          <w:tab w:val="right" w:leader="dot" w:pos="8300"/>
        </w:tabs>
        <w:snapToGrid w:val="0"/>
        <w:spacing w:line="360" w:lineRule="auto"/>
        <w:rPr>
          <w:rFonts w:ascii="宋体" w:hAnsi="宋体" w:cs="宋体"/>
          <w:sz w:val="32"/>
          <w:szCs w:val="32"/>
          <w:highlight w:val="none"/>
        </w:rPr>
      </w:pPr>
      <w:r>
        <w:rPr>
          <w:rFonts w:hint="eastAsia" w:ascii="宋体" w:hAnsi="宋体" w:cs="宋体"/>
          <w:bCs/>
          <w:szCs w:val="32"/>
          <w:highlight w:val="none"/>
        </w:rPr>
        <w:fldChar w:fldCharType="end"/>
      </w:r>
    </w:p>
    <w:p w14:paraId="3EC232E7">
      <w:pPr>
        <w:spacing w:line="440" w:lineRule="exact"/>
        <w:ind w:firstLine="643"/>
        <w:rPr>
          <w:rFonts w:ascii="宋体" w:hAnsi="宋体" w:cs="宋体"/>
          <w:b/>
          <w:sz w:val="32"/>
          <w:szCs w:val="32"/>
          <w:highlight w:val="none"/>
        </w:rPr>
      </w:pPr>
    </w:p>
    <w:p w14:paraId="3A74FE6B">
      <w:pPr>
        <w:spacing w:line="360" w:lineRule="auto"/>
        <w:ind w:firstLine="2409" w:firstLineChars="600"/>
        <w:rPr>
          <w:rFonts w:ascii="宋体" w:hAnsi="宋体" w:cs="宋体"/>
          <w:b/>
          <w:sz w:val="40"/>
          <w:szCs w:val="40"/>
          <w:highlight w:val="none"/>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371F0A4D">
      <w:pPr>
        <w:spacing w:line="360" w:lineRule="auto"/>
        <w:ind w:firstLine="643"/>
        <w:jc w:val="center"/>
        <w:outlineLvl w:val="0"/>
        <w:rPr>
          <w:rFonts w:ascii="宋体" w:hAnsi="宋体" w:cs="宋体"/>
          <w:b/>
          <w:sz w:val="32"/>
          <w:szCs w:val="32"/>
          <w:highlight w:val="none"/>
        </w:rPr>
      </w:pPr>
      <w:bookmarkStart w:id="0" w:name="_Toc26528"/>
      <w:r>
        <w:rPr>
          <w:rFonts w:hint="eastAsia" w:ascii="宋体" w:hAnsi="宋体" w:cs="宋体"/>
          <w:b/>
          <w:sz w:val="32"/>
          <w:szCs w:val="32"/>
          <w:highlight w:val="none"/>
        </w:rPr>
        <w:t>第一章  竞争性磋商采购公告</w:t>
      </w:r>
      <w:bookmarkEnd w:id="0"/>
    </w:p>
    <w:p w14:paraId="12130C93">
      <w:pPr>
        <w:widowControl/>
        <w:adjustRightInd w:val="0"/>
        <w:snapToGrid w:val="0"/>
        <w:spacing w:line="324" w:lineRule="auto"/>
        <w:ind w:firstLine="562"/>
        <w:jc w:val="center"/>
        <w:rPr>
          <w:rFonts w:hint="eastAsia" w:ascii="宋体" w:hAnsi="宋体" w:eastAsia="宋体" w:cs="宋体"/>
          <w:b/>
          <w:kern w:val="0"/>
          <w:sz w:val="28"/>
          <w:szCs w:val="28"/>
          <w:highlight w:val="none"/>
          <w:lang w:eastAsia="zh-CN"/>
        </w:rPr>
      </w:pPr>
      <w:r>
        <w:rPr>
          <w:rFonts w:hint="eastAsia" w:ascii="宋体" w:hAnsi="宋体" w:cs="宋体"/>
          <w:b/>
          <w:kern w:val="0"/>
          <w:sz w:val="28"/>
          <w:szCs w:val="28"/>
          <w:highlight w:val="none"/>
        </w:rPr>
        <w:t>驻马店市中心医院全院一次性输液瓶（袋）集中回收服务</w:t>
      </w:r>
      <w:r>
        <w:rPr>
          <w:rFonts w:hint="eastAsia" w:ascii="宋体" w:hAnsi="宋体" w:cs="宋体"/>
          <w:b/>
          <w:kern w:val="0"/>
          <w:sz w:val="28"/>
          <w:szCs w:val="28"/>
          <w:highlight w:val="none"/>
          <w:lang w:eastAsia="zh-CN"/>
        </w:rPr>
        <w:t>（</w:t>
      </w:r>
      <w:r>
        <w:rPr>
          <w:rFonts w:hint="eastAsia" w:ascii="宋体" w:hAnsi="宋体" w:cs="宋体"/>
          <w:b/>
          <w:kern w:val="0"/>
          <w:sz w:val="28"/>
          <w:szCs w:val="28"/>
          <w:highlight w:val="none"/>
          <w:lang w:val="en-US" w:eastAsia="zh-CN"/>
        </w:rPr>
        <w:t>二次</w:t>
      </w:r>
      <w:r>
        <w:rPr>
          <w:rFonts w:hint="eastAsia" w:ascii="宋体" w:hAnsi="宋体" w:cs="宋体"/>
          <w:b/>
          <w:kern w:val="0"/>
          <w:sz w:val="28"/>
          <w:szCs w:val="28"/>
          <w:highlight w:val="none"/>
          <w:lang w:eastAsia="zh-CN"/>
        </w:rPr>
        <w:t>）</w:t>
      </w:r>
    </w:p>
    <w:p w14:paraId="37FDC9D3">
      <w:pPr>
        <w:widowControl/>
        <w:adjustRightInd w:val="0"/>
        <w:snapToGrid w:val="0"/>
        <w:spacing w:line="324" w:lineRule="auto"/>
        <w:ind w:firstLine="562"/>
        <w:jc w:val="center"/>
        <w:rPr>
          <w:rFonts w:ascii="宋体" w:hAnsi="宋体" w:cs="宋体"/>
          <w:b/>
          <w:kern w:val="0"/>
          <w:sz w:val="28"/>
          <w:szCs w:val="28"/>
          <w:highlight w:val="none"/>
        </w:rPr>
      </w:pPr>
      <w:r>
        <w:rPr>
          <w:rFonts w:hint="eastAsia" w:ascii="宋体" w:hAnsi="宋体" w:cs="宋体"/>
          <w:b/>
          <w:kern w:val="0"/>
          <w:sz w:val="28"/>
          <w:szCs w:val="28"/>
          <w:highlight w:val="none"/>
        </w:rPr>
        <w:t>竞争性磋商公告</w:t>
      </w:r>
    </w:p>
    <w:p w14:paraId="367AE792">
      <w:pPr>
        <w:snapToGrid w:val="0"/>
        <w:spacing w:line="324" w:lineRule="auto"/>
        <w:ind w:firstLine="420" w:firstLineChars="200"/>
        <w:rPr>
          <w:rFonts w:ascii="宋体" w:hAnsi="宋体" w:cs="宋体"/>
          <w:highlight w:val="none"/>
        </w:rPr>
      </w:pPr>
      <w:r>
        <w:rPr>
          <w:rFonts w:hint="eastAsia" w:ascii="宋体" w:hAnsi="宋体" w:cs="宋体"/>
          <w:highlight w:val="none"/>
        </w:rPr>
        <w:t>驻马店市中心医院全院一次性输液瓶（袋）集中回收服务</w:t>
      </w:r>
      <w:r>
        <w:rPr>
          <w:rFonts w:hint="eastAsia" w:ascii="宋体" w:hAnsi="宋体" w:cs="宋体"/>
          <w:highlight w:val="none"/>
          <w:lang w:eastAsia="zh-CN"/>
        </w:rPr>
        <w:t>（</w:t>
      </w:r>
      <w:r>
        <w:rPr>
          <w:rFonts w:hint="eastAsia" w:ascii="宋体" w:hAnsi="宋体" w:cs="宋体"/>
          <w:highlight w:val="none"/>
          <w:lang w:val="en-US" w:eastAsia="zh-CN"/>
        </w:rPr>
        <w:t>二次</w:t>
      </w:r>
      <w:r>
        <w:rPr>
          <w:rFonts w:hint="eastAsia" w:ascii="宋体" w:hAnsi="宋体" w:cs="宋体"/>
          <w:highlight w:val="none"/>
          <w:lang w:eastAsia="zh-CN"/>
        </w:rPr>
        <w:t>）</w:t>
      </w:r>
      <w:r>
        <w:rPr>
          <w:rFonts w:hint="eastAsia" w:ascii="宋体" w:hAnsi="宋体" w:cs="宋体"/>
          <w:highlight w:val="none"/>
        </w:rPr>
        <w:t>进行院内竞争性磋商采购，欢迎符合资格条件的供应商前来报名并获取采购文件。</w:t>
      </w:r>
    </w:p>
    <w:p w14:paraId="0F3650C2">
      <w:pPr>
        <w:snapToGrid w:val="0"/>
        <w:spacing w:line="324" w:lineRule="auto"/>
        <w:ind w:firstLine="442"/>
        <w:rPr>
          <w:rFonts w:ascii="宋体" w:hAnsi="宋体" w:cs="宋体"/>
          <w:b/>
          <w:highlight w:val="none"/>
        </w:rPr>
      </w:pPr>
      <w:r>
        <w:rPr>
          <w:rFonts w:hint="eastAsia" w:ascii="宋体" w:hAnsi="宋体" w:cs="宋体"/>
          <w:b/>
          <w:highlight w:val="none"/>
        </w:rPr>
        <w:t>一、项目基本情况</w:t>
      </w:r>
    </w:p>
    <w:p w14:paraId="735B2AB2">
      <w:pPr>
        <w:snapToGrid w:val="0"/>
        <w:spacing w:line="324" w:lineRule="auto"/>
        <w:ind w:firstLine="420" w:firstLineChars="200"/>
        <w:rPr>
          <w:rFonts w:ascii="宋体" w:hAnsi="宋体" w:cs="宋体"/>
          <w:highlight w:val="none"/>
        </w:rPr>
      </w:pPr>
      <w:r>
        <w:rPr>
          <w:rFonts w:hint="eastAsia" w:ascii="宋体" w:hAnsi="宋体" w:cs="宋体"/>
          <w:highlight w:val="none"/>
        </w:rPr>
        <w:t>1、采购项目名称：驻马店市中心医院全院一次性输液瓶（袋）集中回收服务</w:t>
      </w:r>
      <w:r>
        <w:rPr>
          <w:rFonts w:hint="eastAsia" w:ascii="宋体" w:hAnsi="宋体" w:cs="宋体"/>
          <w:highlight w:val="none"/>
          <w:lang w:eastAsia="zh-CN"/>
        </w:rPr>
        <w:t>（</w:t>
      </w:r>
      <w:r>
        <w:rPr>
          <w:rFonts w:hint="eastAsia" w:ascii="宋体" w:hAnsi="宋体" w:cs="宋体"/>
          <w:highlight w:val="none"/>
          <w:lang w:val="en-US" w:eastAsia="zh-CN"/>
        </w:rPr>
        <w:t>二次</w:t>
      </w:r>
      <w:r>
        <w:rPr>
          <w:rFonts w:hint="eastAsia" w:ascii="宋体" w:hAnsi="宋体" w:cs="宋体"/>
          <w:highlight w:val="none"/>
          <w:lang w:eastAsia="zh-CN"/>
        </w:rPr>
        <w:t>）</w:t>
      </w:r>
    </w:p>
    <w:p w14:paraId="131F8195">
      <w:pPr>
        <w:snapToGrid w:val="0"/>
        <w:spacing w:line="324" w:lineRule="auto"/>
        <w:ind w:firstLine="420" w:firstLineChars="200"/>
        <w:rPr>
          <w:rFonts w:ascii="宋体" w:hAnsi="宋体" w:cs="宋体"/>
          <w:highlight w:val="none"/>
        </w:rPr>
      </w:pPr>
      <w:r>
        <w:rPr>
          <w:rFonts w:hint="eastAsia" w:ascii="宋体" w:hAnsi="宋体" w:cs="宋体"/>
          <w:highlight w:val="none"/>
        </w:rPr>
        <w:t>2、采购需求：详见第二章采购需求</w:t>
      </w:r>
    </w:p>
    <w:p w14:paraId="2082A3F0">
      <w:pPr>
        <w:snapToGrid w:val="0"/>
        <w:spacing w:line="324" w:lineRule="auto"/>
        <w:ind w:firstLine="420" w:firstLineChars="200"/>
        <w:rPr>
          <w:rFonts w:hint="eastAsia" w:ascii="宋体" w:hAnsi="宋体" w:cs="宋体"/>
          <w:szCs w:val="21"/>
          <w:highlight w:val="none"/>
          <w:shd w:val="clear" w:color="auto" w:fill="FFFFFF"/>
        </w:rPr>
      </w:pPr>
      <w:r>
        <w:rPr>
          <w:rFonts w:hint="eastAsia" w:ascii="宋体" w:hAnsi="宋体" w:cs="宋体"/>
          <w:highlight w:val="none"/>
        </w:rPr>
        <w:t>3</w:t>
      </w:r>
      <w:bookmarkStart w:id="1" w:name="_Toc26725"/>
      <w:r>
        <w:rPr>
          <w:rFonts w:hint="eastAsia" w:ascii="宋体" w:hAnsi="宋体" w:cs="宋体"/>
          <w:highlight w:val="none"/>
        </w:rPr>
        <w:t>、预算金额：</w:t>
      </w:r>
      <w:r>
        <w:rPr>
          <w:rFonts w:hint="eastAsia" w:ascii="宋体" w:hAnsi="宋体" w:cs="宋体"/>
          <w:szCs w:val="21"/>
          <w:highlight w:val="none"/>
          <w:shd w:val="clear" w:color="auto" w:fill="FFFFFF"/>
        </w:rPr>
        <w:t>144000元</w:t>
      </w:r>
    </w:p>
    <w:p w14:paraId="3580A8FD">
      <w:pPr>
        <w:snapToGrid w:val="0"/>
        <w:spacing w:line="324" w:lineRule="auto"/>
        <w:ind w:firstLine="420" w:firstLineChars="200"/>
        <w:rPr>
          <w:rFonts w:hint="default" w:ascii="宋体" w:hAnsi="宋体" w:eastAsia="宋体" w:cs="宋体"/>
          <w:szCs w:val="21"/>
          <w:highlight w:val="none"/>
          <w:shd w:val="clear" w:color="auto" w:fill="FFFFFF"/>
          <w:lang w:val="en-US" w:eastAsia="zh-CN"/>
        </w:rPr>
      </w:pPr>
      <w:r>
        <w:rPr>
          <w:rFonts w:hint="eastAsia" w:ascii="宋体" w:hAnsi="宋体" w:cs="宋体"/>
          <w:szCs w:val="21"/>
          <w:highlight w:val="none"/>
          <w:shd w:val="clear" w:color="auto" w:fill="FFFFFF"/>
          <w:lang w:val="en-US" w:eastAsia="zh-CN"/>
        </w:rPr>
        <w:t>4、服务期限：三年（</w:t>
      </w:r>
      <w:r>
        <w:rPr>
          <w:rFonts w:hint="eastAsia" w:asciiTheme="majorEastAsia" w:hAnsiTheme="majorEastAsia" w:eastAsiaTheme="majorEastAsia"/>
          <w:sz w:val="21"/>
          <w:szCs w:val="21"/>
          <w:highlight w:val="none"/>
        </w:rPr>
        <w:t>合同一年一签，经考核合格后可续签一年，最多续签二年</w:t>
      </w:r>
      <w:r>
        <w:rPr>
          <w:rFonts w:hint="eastAsia" w:ascii="宋体" w:hAnsi="宋体" w:cs="宋体"/>
          <w:szCs w:val="21"/>
          <w:highlight w:val="none"/>
          <w:shd w:val="clear" w:color="auto" w:fill="FFFFFF"/>
          <w:lang w:val="en-US" w:eastAsia="zh-CN"/>
        </w:rPr>
        <w:t>）</w:t>
      </w:r>
    </w:p>
    <w:p w14:paraId="7E853A10">
      <w:pPr>
        <w:widowControl/>
        <w:snapToGrid w:val="0"/>
        <w:spacing w:line="324" w:lineRule="auto"/>
        <w:ind w:firstLine="442"/>
        <w:jc w:val="left"/>
        <w:outlineLvl w:val="1"/>
        <w:rPr>
          <w:rFonts w:ascii="宋体" w:hAnsi="宋体" w:cs="宋体"/>
          <w:b/>
          <w:bCs/>
          <w:color w:val="000000" w:themeColor="text1"/>
          <w:szCs w:val="21"/>
          <w:highlight w:val="none"/>
          <w:shd w:val="clear" w:color="auto" w:fill="FFFFFF"/>
        </w:rPr>
      </w:pPr>
      <w:bookmarkStart w:id="2" w:name="_Toc23626"/>
      <w:bookmarkStart w:id="3" w:name="_Toc18607"/>
      <w:bookmarkStart w:id="4" w:name="_Toc27704"/>
      <w:bookmarkStart w:id="5" w:name="_Toc16639"/>
      <w:r>
        <w:rPr>
          <w:rFonts w:hint="eastAsia" w:ascii="宋体" w:hAnsi="宋体" w:cs="宋体"/>
          <w:b/>
          <w:bCs/>
          <w:color w:val="000000" w:themeColor="text1"/>
          <w:szCs w:val="21"/>
          <w:highlight w:val="none"/>
          <w:shd w:val="clear" w:color="auto" w:fill="FFFFFF"/>
        </w:rPr>
        <w:t>二、</w:t>
      </w:r>
      <w:bookmarkEnd w:id="1"/>
      <w:bookmarkEnd w:id="2"/>
      <w:bookmarkEnd w:id="3"/>
      <w:bookmarkEnd w:id="4"/>
      <w:bookmarkEnd w:id="5"/>
      <w:r>
        <w:rPr>
          <w:rFonts w:hint="eastAsia" w:ascii="宋体" w:hAnsi="宋体" w:cs="宋体"/>
          <w:b/>
          <w:bCs/>
          <w:color w:val="000000" w:themeColor="text1"/>
          <w:szCs w:val="21"/>
          <w:highlight w:val="none"/>
          <w:shd w:val="clear" w:color="auto" w:fill="FFFFFF"/>
        </w:rPr>
        <w:t>供应商资格要求：</w:t>
      </w:r>
    </w:p>
    <w:p w14:paraId="2E23194E">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bookmarkStart w:id="6" w:name="_Toc30971"/>
      <w:bookmarkStart w:id="7" w:name="_Toc9562"/>
      <w:bookmarkStart w:id="8" w:name="_Toc23395"/>
      <w:bookmarkStart w:id="9" w:name="_Toc30643"/>
      <w:bookmarkStart w:id="10" w:name="_Toc7823"/>
      <w:r>
        <w:rPr>
          <w:rFonts w:hint="eastAsia" w:ascii="宋体" w:hAnsi="宋体" w:cs="宋体"/>
          <w:szCs w:val="21"/>
          <w:highlight w:val="none"/>
          <w:shd w:val="clear" w:color="auto" w:fill="FFFFFF"/>
        </w:rPr>
        <w:t>1、具有独立承担民事责任的能力（提供营业执照或其他证明材料）；</w:t>
      </w:r>
    </w:p>
    <w:p w14:paraId="3107F1C6">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2、具有良好的商业信誉和健全的财务会计制度（提供经审计的2024年</w:t>
      </w:r>
      <w:r>
        <w:rPr>
          <w:rFonts w:hint="eastAsia" w:ascii="宋体" w:hAnsi="宋体" w:cs="宋体"/>
          <w:szCs w:val="21"/>
          <w:highlight w:val="none"/>
          <w:shd w:val="clear" w:color="auto" w:fill="FFFFFF"/>
          <w:lang w:val="en-US" w:eastAsia="zh-CN"/>
        </w:rPr>
        <w:t>或2025年</w:t>
      </w:r>
      <w:r>
        <w:rPr>
          <w:rFonts w:hint="eastAsia" w:ascii="宋体" w:hAnsi="宋体" w:cs="宋体"/>
          <w:szCs w:val="21"/>
          <w:highlight w:val="none"/>
          <w:shd w:val="clear" w:color="auto" w:fill="FFFFFF"/>
        </w:rPr>
        <w:t>度财务报告或者其基本开户银行出具的资信证明）；</w:t>
      </w:r>
    </w:p>
    <w:p w14:paraId="52B7D6B8">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0B5E6050">
      <w:pPr>
        <w:widowControl/>
        <w:tabs>
          <w:tab w:val="left" w:pos="840"/>
        </w:tabs>
        <w:snapToGrid w:val="0"/>
        <w:spacing w:line="360"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4、具有履行合同所必需的设备和专业技术能力（提供书面承诺函）；</w:t>
      </w:r>
    </w:p>
    <w:p w14:paraId="3DF0D679">
      <w:pPr>
        <w:widowControl/>
        <w:tabs>
          <w:tab w:val="left" w:pos="840"/>
        </w:tabs>
        <w:snapToGrid w:val="0"/>
        <w:spacing w:line="360" w:lineRule="auto"/>
        <w:ind w:firstLine="420" w:firstLineChars="200"/>
        <w:jc w:val="left"/>
        <w:rPr>
          <w:highlight w:val="none"/>
        </w:rPr>
      </w:pPr>
      <w:r>
        <w:rPr>
          <w:rFonts w:hint="eastAsia" w:ascii="宋体" w:hAnsi="宋体" w:cs="宋体"/>
          <w:szCs w:val="21"/>
          <w:highlight w:val="none"/>
          <w:shd w:val="clear" w:color="auto" w:fill="FFFFFF"/>
        </w:rPr>
        <w:t>5、参加本采购活动前三年内，在经营活动中没有重大违法记录（提供书面承诺函）；</w:t>
      </w:r>
    </w:p>
    <w:p w14:paraId="6C821535">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p>
    <w:p w14:paraId="7BA1F523">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7、单位负责人为同一人或者存在直接控股、管理关系的不同供应商，不得参加同一合同项下的磋商（提供承诺函）。</w:t>
      </w:r>
    </w:p>
    <w:p w14:paraId="79E4F557">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8、特定资格要求：</w:t>
      </w:r>
    </w:p>
    <w:p w14:paraId="33147654">
      <w:pPr>
        <w:widowControl/>
        <w:tabs>
          <w:tab w:val="left" w:pos="840"/>
        </w:tabs>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供应商纳入未被污染输液瓶（袋）回收企业目录库，提供商务部门颁发的证明材料。</w:t>
      </w:r>
    </w:p>
    <w:p w14:paraId="5E88886E">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9、不接受联合体磋商。</w:t>
      </w:r>
    </w:p>
    <w:p w14:paraId="6F8A8B4A">
      <w:pPr>
        <w:widowControl/>
        <w:snapToGrid w:val="0"/>
        <w:spacing w:line="324" w:lineRule="auto"/>
        <w:ind w:firstLine="442"/>
        <w:jc w:val="left"/>
        <w:outlineLvl w:val="1"/>
        <w:rPr>
          <w:rFonts w:ascii="宋体" w:hAnsi="宋体" w:cs="宋体"/>
          <w:b/>
          <w:bCs/>
          <w:highlight w:val="none"/>
        </w:rPr>
      </w:pPr>
      <w:r>
        <w:rPr>
          <w:rFonts w:hint="eastAsia" w:ascii="宋体" w:hAnsi="宋体" w:cs="宋体"/>
          <w:b/>
          <w:bCs/>
          <w:highlight w:val="none"/>
        </w:rPr>
        <w:t>三、获取采购文件</w:t>
      </w:r>
      <w:bookmarkEnd w:id="6"/>
      <w:bookmarkEnd w:id="7"/>
      <w:bookmarkEnd w:id="8"/>
      <w:bookmarkEnd w:id="9"/>
      <w:bookmarkEnd w:id="10"/>
    </w:p>
    <w:p w14:paraId="4B97F6A4">
      <w:pPr>
        <w:widowControl/>
        <w:adjustRightInd w:val="0"/>
        <w:snapToGrid w:val="0"/>
        <w:spacing w:line="324" w:lineRule="auto"/>
        <w:ind w:firstLine="420" w:firstLineChars="200"/>
        <w:jc w:val="left"/>
        <w:rPr>
          <w:rFonts w:ascii="宋体" w:hAnsi="宋体" w:cs="宋体"/>
          <w:color w:val="000000" w:themeColor="text1"/>
          <w:szCs w:val="21"/>
          <w:highlight w:val="none"/>
          <w:shd w:val="clear" w:color="auto" w:fill="FFFFFF"/>
        </w:rPr>
      </w:pPr>
      <w:r>
        <w:rPr>
          <w:rFonts w:hint="eastAsia" w:ascii="宋体" w:hAnsi="宋体" w:cs="宋体"/>
          <w:szCs w:val="21"/>
          <w:highlight w:val="none"/>
          <w:shd w:val="clear" w:color="auto" w:fill="FFFFFF"/>
        </w:rPr>
        <w:t xml:space="preserve">1. </w:t>
      </w:r>
      <w:r>
        <w:rPr>
          <w:rFonts w:hint="eastAsia" w:ascii="宋体" w:hAnsi="宋体" w:cs="宋体"/>
          <w:color w:val="000000" w:themeColor="text1"/>
          <w:szCs w:val="21"/>
          <w:highlight w:val="none"/>
          <w:shd w:val="clear" w:color="auto" w:fill="FFFFFF"/>
        </w:rPr>
        <w:t>报名时间：2026年</w:t>
      </w:r>
      <w:r>
        <w:rPr>
          <w:rFonts w:hint="eastAsia" w:ascii="宋体" w:hAnsi="宋体" w:cs="宋体"/>
          <w:color w:val="000000" w:themeColor="text1"/>
          <w:szCs w:val="21"/>
          <w:highlight w:val="none"/>
          <w:shd w:val="clear" w:color="auto" w:fill="FFFFFF"/>
          <w:lang w:val="en-US" w:eastAsia="zh-CN"/>
        </w:rPr>
        <w:t>3</w:t>
      </w:r>
      <w:r>
        <w:rPr>
          <w:rFonts w:hint="eastAsia" w:ascii="宋体" w:hAnsi="宋体" w:cs="宋体"/>
          <w:color w:val="000000" w:themeColor="text1"/>
          <w:szCs w:val="21"/>
          <w:highlight w:val="none"/>
          <w:shd w:val="clear" w:color="auto" w:fill="FFFFFF"/>
        </w:rPr>
        <w:t>月</w:t>
      </w:r>
      <w:r>
        <w:rPr>
          <w:rFonts w:hint="eastAsia" w:ascii="宋体" w:hAnsi="宋体" w:cs="宋体"/>
          <w:color w:val="000000" w:themeColor="text1"/>
          <w:szCs w:val="21"/>
          <w:highlight w:val="none"/>
          <w:shd w:val="clear" w:color="auto" w:fill="FFFFFF"/>
          <w:lang w:val="en-US" w:eastAsia="zh-CN"/>
        </w:rPr>
        <w:t>24</w:t>
      </w:r>
      <w:r>
        <w:rPr>
          <w:rFonts w:hint="eastAsia" w:ascii="宋体" w:hAnsi="宋体" w:cs="宋体"/>
          <w:color w:val="000000" w:themeColor="text1"/>
          <w:szCs w:val="21"/>
          <w:highlight w:val="none"/>
          <w:shd w:val="clear" w:color="auto" w:fill="FFFFFF"/>
        </w:rPr>
        <w:t>日-2026年</w:t>
      </w:r>
      <w:r>
        <w:rPr>
          <w:rFonts w:hint="eastAsia" w:ascii="宋体" w:hAnsi="宋体" w:cs="宋体"/>
          <w:color w:val="000000" w:themeColor="text1"/>
          <w:szCs w:val="21"/>
          <w:highlight w:val="none"/>
          <w:shd w:val="clear" w:color="auto" w:fill="FFFFFF"/>
          <w:lang w:val="en-US" w:eastAsia="zh-CN"/>
        </w:rPr>
        <w:t>3</w:t>
      </w:r>
      <w:r>
        <w:rPr>
          <w:rFonts w:hint="eastAsia" w:ascii="宋体" w:hAnsi="宋体" w:cs="宋体"/>
          <w:color w:val="000000" w:themeColor="text1"/>
          <w:szCs w:val="21"/>
          <w:highlight w:val="none"/>
          <w:shd w:val="clear" w:color="auto" w:fill="FFFFFF"/>
        </w:rPr>
        <w:t>月</w:t>
      </w:r>
      <w:r>
        <w:rPr>
          <w:rFonts w:hint="eastAsia" w:ascii="宋体" w:hAnsi="宋体" w:cs="宋体"/>
          <w:color w:val="000000" w:themeColor="text1"/>
          <w:szCs w:val="21"/>
          <w:highlight w:val="none"/>
          <w:shd w:val="clear" w:color="auto" w:fill="FFFFFF"/>
          <w:lang w:val="en-US" w:eastAsia="zh-CN"/>
        </w:rPr>
        <w:t>26</w:t>
      </w:r>
      <w:r>
        <w:rPr>
          <w:rFonts w:hint="eastAsia" w:ascii="宋体" w:hAnsi="宋体" w:cs="宋体"/>
          <w:color w:val="000000" w:themeColor="text1"/>
          <w:szCs w:val="21"/>
          <w:highlight w:val="none"/>
          <w:shd w:val="clear" w:color="auto" w:fill="FFFFFF"/>
        </w:rPr>
        <w:t>日，上午08：00-下午17:30（北京时间，法定节假日除外）。</w:t>
      </w:r>
    </w:p>
    <w:p w14:paraId="6513971E">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color w:val="000000" w:themeColor="text1"/>
          <w:kern w:val="0"/>
          <w:szCs w:val="21"/>
          <w:highlight w:val="none"/>
          <w:shd w:val="clear" w:color="auto" w:fill="FFFFFF"/>
        </w:rPr>
        <w:t>2. 凡报名成功的供应商无故不来参与投标的，列入我院黑名</w:t>
      </w:r>
      <w:r>
        <w:rPr>
          <w:rFonts w:hint="eastAsia" w:ascii="宋体" w:hAnsi="宋体" w:cs="宋体"/>
          <w:kern w:val="0"/>
          <w:szCs w:val="21"/>
          <w:highlight w:val="none"/>
          <w:shd w:val="clear" w:color="auto" w:fill="FFFFFF"/>
        </w:rPr>
        <w:t>单，一年内不得参与我院任何采购活动。</w:t>
      </w:r>
    </w:p>
    <w:p w14:paraId="21A9CAAC">
      <w:pPr>
        <w:widowControl/>
        <w:wordWrap w:val="0"/>
        <w:snapToGrid w:val="0"/>
        <w:spacing w:line="324" w:lineRule="auto"/>
        <w:ind w:firstLine="420" w:firstLineChars="200"/>
        <w:jc w:val="left"/>
        <w:rPr>
          <w:rFonts w:ascii="宋体" w:hAnsi="宋体" w:cs="宋体"/>
          <w:kern w:val="0"/>
          <w:szCs w:val="21"/>
          <w:highlight w:val="none"/>
          <w:u w:val="single"/>
          <w:shd w:val="clear" w:color="auto" w:fill="FFFFFF"/>
        </w:rPr>
      </w:pPr>
      <w:r>
        <w:rPr>
          <w:rFonts w:hint="eastAsia" w:ascii="宋体" w:hAnsi="宋体" w:cs="宋体"/>
          <w:kern w:val="0"/>
          <w:szCs w:val="21"/>
          <w:highlight w:val="none"/>
          <w:shd w:val="clear" w:color="auto" w:fill="FFFFFF"/>
        </w:rPr>
        <w:t>3. 采购文件获取方式：供应商须把填写完整的报名登记表及本磋商公告第二项供应商资格要求中需提供加盖单位公章的相关资料扫描件按序排版为PDF格式文件，发送至以下邮箱：</w:t>
      </w:r>
      <w:r>
        <w:rPr>
          <w:highlight w:val="none"/>
        </w:rPr>
        <w:fldChar w:fldCharType="begin"/>
      </w:r>
      <w:r>
        <w:rPr>
          <w:highlight w:val="none"/>
        </w:rPr>
        <w:instrText xml:space="preserve"> HYPERLINK "mailto:hnwxzb2@163.com并标明XX" </w:instrText>
      </w:r>
      <w:r>
        <w:rPr>
          <w:highlight w:val="none"/>
        </w:rPr>
        <w:fldChar w:fldCharType="separate"/>
      </w:r>
      <w:r>
        <w:rPr>
          <w:rFonts w:hint="eastAsia" w:ascii="宋体" w:hAnsi="宋体" w:cs="宋体"/>
          <w:kern w:val="0"/>
          <w:szCs w:val="21"/>
          <w:highlight w:val="none"/>
          <w:shd w:val="clear" w:color="auto" w:fill="FFFFFF"/>
        </w:rPr>
        <w:t>2155019208@qq.com,并标明XX公司XX</w:t>
      </w:r>
      <w:r>
        <w:rPr>
          <w:rFonts w:hint="eastAsia" w:ascii="宋体" w:hAnsi="宋体" w:cs="宋体"/>
          <w:kern w:val="0"/>
          <w:szCs w:val="21"/>
          <w:highlight w:val="none"/>
          <w:shd w:val="clear" w:color="auto" w:fill="FFFFFF"/>
        </w:rPr>
        <w:fldChar w:fldCharType="end"/>
      </w:r>
      <w:r>
        <w:rPr>
          <w:rFonts w:hint="eastAsia" w:ascii="宋体" w:hAnsi="宋体" w:cs="宋体"/>
          <w:kern w:val="0"/>
          <w:szCs w:val="21"/>
          <w:highlight w:val="none"/>
          <w:shd w:val="clear" w:color="auto" w:fill="FFFFFF"/>
        </w:rPr>
        <w:t>项目报名资料。</w:t>
      </w:r>
    </w:p>
    <w:p w14:paraId="02BC03EC">
      <w:pPr>
        <w:widowControl/>
        <w:wordWrap w:val="0"/>
        <w:snapToGrid w:val="0"/>
        <w:spacing w:line="324" w:lineRule="auto"/>
        <w:ind w:left="420" w:left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4. 报名登记表：请从附件中下载。</w:t>
      </w:r>
    </w:p>
    <w:p w14:paraId="3D5A7D48">
      <w:pPr>
        <w:widowControl/>
        <w:snapToGrid w:val="0"/>
        <w:spacing w:line="324" w:lineRule="auto"/>
        <w:ind w:firstLine="442"/>
        <w:jc w:val="left"/>
        <w:outlineLvl w:val="1"/>
        <w:rPr>
          <w:rFonts w:ascii="宋体" w:hAnsi="宋体" w:cs="宋体"/>
          <w:b/>
          <w:bCs/>
          <w:szCs w:val="21"/>
          <w:highlight w:val="none"/>
        </w:rPr>
      </w:pPr>
      <w:bookmarkStart w:id="11" w:name="_Toc15135"/>
      <w:bookmarkStart w:id="12" w:name="_Toc25869"/>
      <w:bookmarkStart w:id="13" w:name="_Toc10738"/>
      <w:bookmarkStart w:id="14" w:name="_Toc15111"/>
      <w:bookmarkStart w:id="15" w:name="_Toc27480"/>
      <w:r>
        <w:rPr>
          <w:rFonts w:hint="eastAsia" w:ascii="宋体" w:hAnsi="宋体" w:cs="宋体"/>
          <w:b/>
          <w:bCs/>
          <w:szCs w:val="21"/>
          <w:highlight w:val="none"/>
          <w:shd w:val="clear" w:color="auto" w:fill="FFFFFF"/>
        </w:rPr>
        <w:t>四、磋商截止时间及地点</w:t>
      </w:r>
      <w:bookmarkEnd w:id="11"/>
      <w:bookmarkEnd w:id="12"/>
      <w:bookmarkEnd w:id="13"/>
      <w:bookmarkEnd w:id="14"/>
      <w:bookmarkEnd w:id="15"/>
    </w:p>
    <w:p w14:paraId="102A6E34">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1. 时间：</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60824105">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 地点：</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30C3F70A">
      <w:pPr>
        <w:widowControl/>
        <w:snapToGrid w:val="0"/>
        <w:spacing w:line="324" w:lineRule="auto"/>
        <w:ind w:firstLine="442"/>
        <w:jc w:val="left"/>
        <w:outlineLvl w:val="1"/>
        <w:rPr>
          <w:rFonts w:ascii="宋体" w:hAnsi="宋体" w:cs="宋体"/>
          <w:b/>
          <w:bCs/>
          <w:szCs w:val="21"/>
          <w:highlight w:val="none"/>
        </w:rPr>
      </w:pPr>
      <w:r>
        <w:rPr>
          <w:rFonts w:hint="eastAsia" w:ascii="宋体" w:hAnsi="宋体" w:cs="宋体"/>
          <w:b/>
          <w:bCs/>
          <w:szCs w:val="21"/>
          <w:highlight w:val="none"/>
          <w:shd w:val="clear" w:color="auto" w:fill="FFFFFF"/>
        </w:rPr>
        <w:t>五、磋商时间及地点</w:t>
      </w:r>
    </w:p>
    <w:p w14:paraId="2E71ADB7">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1. 时间：</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522425B9">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 地点：</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322FACCB">
      <w:pPr>
        <w:widowControl/>
        <w:snapToGrid w:val="0"/>
        <w:spacing w:line="324" w:lineRule="auto"/>
        <w:ind w:firstLine="442"/>
        <w:jc w:val="left"/>
        <w:outlineLvl w:val="1"/>
        <w:rPr>
          <w:rFonts w:ascii="宋体" w:hAnsi="宋体" w:cs="宋体"/>
          <w:b/>
          <w:bCs/>
          <w:szCs w:val="21"/>
          <w:highlight w:val="none"/>
        </w:rPr>
      </w:pPr>
      <w:bookmarkStart w:id="16" w:name="_Toc20287"/>
      <w:bookmarkStart w:id="17" w:name="_Toc29784"/>
      <w:bookmarkStart w:id="18" w:name="_Toc30918"/>
      <w:bookmarkStart w:id="19" w:name="_Toc6523"/>
      <w:r>
        <w:rPr>
          <w:rFonts w:hint="eastAsia" w:ascii="宋体" w:hAnsi="宋体" w:cs="宋体"/>
          <w:b/>
          <w:bCs/>
          <w:szCs w:val="21"/>
          <w:highlight w:val="none"/>
          <w:shd w:val="clear" w:color="auto" w:fill="FFFFFF"/>
        </w:rPr>
        <w:t>六、发布公告的媒介及</w:t>
      </w:r>
      <w:r>
        <w:rPr>
          <w:rFonts w:hint="eastAsia" w:ascii="宋体" w:hAnsi="宋体" w:cs="宋体"/>
          <w:b/>
          <w:bCs/>
          <w:szCs w:val="21"/>
          <w:highlight w:val="none"/>
        </w:rPr>
        <w:t>采购</w:t>
      </w:r>
      <w:r>
        <w:rPr>
          <w:rFonts w:hint="eastAsia" w:ascii="宋体" w:hAnsi="宋体" w:cs="宋体"/>
          <w:b/>
          <w:bCs/>
          <w:szCs w:val="21"/>
          <w:highlight w:val="none"/>
          <w:shd w:val="clear" w:color="auto" w:fill="FFFFFF"/>
        </w:rPr>
        <w:t>公告期限</w:t>
      </w:r>
      <w:bookmarkEnd w:id="16"/>
      <w:bookmarkEnd w:id="17"/>
      <w:bookmarkEnd w:id="18"/>
      <w:bookmarkEnd w:id="19"/>
    </w:p>
    <w:p w14:paraId="7353FC2F">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本次</w:t>
      </w:r>
      <w:r>
        <w:rPr>
          <w:rFonts w:hint="eastAsia" w:ascii="宋体" w:hAnsi="宋体" w:cs="宋体"/>
          <w:szCs w:val="21"/>
          <w:highlight w:val="none"/>
        </w:rPr>
        <w:t>采购</w:t>
      </w:r>
      <w:r>
        <w:rPr>
          <w:rFonts w:hint="eastAsia" w:ascii="宋体" w:hAnsi="宋体" w:cs="宋体"/>
          <w:kern w:val="0"/>
          <w:szCs w:val="21"/>
          <w:highlight w:val="none"/>
          <w:shd w:val="clear" w:color="auto" w:fill="FFFFFF"/>
        </w:rPr>
        <w:t>公告在《驻马店市中心医院》院内网</w:t>
      </w:r>
      <w:r>
        <w:rPr>
          <w:rFonts w:hint="eastAsia" w:ascii="宋体" w:hAnsi="宋体" w:cs="宋体"/>
          <w:szCs w:val="21"/>
          <w:highlight w:val="none"/>
        </w:rPr>
        <w:t>上发布，采购公告期限为三个工作日</w:t>
      </w:r>
      <w:r>
        <w:rPr>
          <w:rFonts w:hint="eastAsia" w:ascii="宋体" w:hAnsi="宋体" w:cs="宋体"/>
          <w:kern w:val="0"/>
          <w:szCs w:val="21"/>
          <w:highlight w:val="none"/>
          <w:shd w:val="clear" w:color="auto" w:fill="FFFFFF"/>
        </w:rPr>
        <w:t>。</w:t>
      </w:r>
      <w:bookmarkStart w:id="20" w:name="_Toc35393795"/>
      <w:bookmarkStart w:id="21" w:name="_Toc35393626"/>
    </w:p>
    <w:bookmarkEnd w:id="20"/>
    <w:bookmarkEnd w:id="21"/>
    <w:p w14:paraId="7F4B8F5B">
      <w:pPr>
        <w:widowControl/>
        <w:snapToGrid w:val="0"/>
        <w:spacing w:line="324" w:lineRule="auto"/>
        <w:ind w:firstLine="442"/>
        <w:jc w:val="left"/>
        <w:outlineLvl w:val="1"/>
        <w:rPr>
          <w:rFonts w:ascii="宋体" w:hAnsi="宋体" w:cs="宋体"/>
          <w:b/>
          <w:bCs/>
          <w:szCs w:val="21"/>
          <w:highlight w:val="none"/>
        </w:rPr>
      </w:pPr>
      <w:bookmarkStart w:id="22" w:name="_Toc3604"/>
      <w:bookmarkStart w:id="23" w:name="_Toc31928"/>
      <w:bookmarkStart w:id="24" w:name="_Toc24274"/>
      <w:bookmarkStart w:id="25" w:name="_Toc27370"/>
      <w:bookmarkStart w:id="26" w:name="_Toc16291"/>
      <w:r>
        <w:rPr>
          <w:rFonts w:hint="eastAsia" w:ascii="宋体" w:hAnsi="宋体" w:cs="宋体"/>
          <w:b/>
          <w:bCs/>
          <w:szCs w:val="21"/>
          <w:highlight w:val="none"/>
          <w:shd w:val="clear" w:color="auto" w:fill="FFFFFF"/>
        </w:rPr>
        <w:t>七、</w:t>
      </w:r>
      <w:bookmarkEnd w:id="22"/>
      <w:bookmarkEnd w:id="23"/>
      <w:bookmarkEnd w:id="24"/>
      <w:bookmarkEnd w:id="25"/>
      <w:bookmarkEnd w:id="26"/>
      <w:r>
        <w:rPr>
          <w:rFonts w:hint="eastAsia" w:ascii="宋体" w:hAnsi="宋体" w:cs="宋体"/>
          <w:b/>
          <w:bCs/>
          <w:szCs w:val="21"/>
          <w:highlight w:val="none"/>
          <w:shd w:val="clear" w:color="auto" w:fill="FFFFFF"/>
        </w:rPr>
        <w:t>凡对本次招标提出询问，请按照以下方式联系</w:t>
      </w:r>
    </w:p>
    <w:p w14:paraId="2B864DC1">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1.采购人：驻马店市中心医院</w:t>
      </w:r>
    </w:p>
    <w:p w14:paraId="53B49A9F">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地址：驻马店市中华大道747号</w:t>
      </w:r>
    </w:p>
    <w:p w14:paraId="0FD12A81">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联系人：陈先生</w:t>
      </w:r>
    </w:p>
    <w:p w14:paraId="7F6B267E">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电话：0396-2726379</w:t>
      </w:r>
    </w:p>
    <w:p w14:paraId="38B36F9C">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2.采购代理机构：驻马店市成浩招投标代理有限公司</w:t>
      </w:r>
    </w:p>
    <w:p w14:paraId="76797E69">
      <w:pPr>
        <w:widowControl/>
        <w:shd w:val="clear" w:color="auto" w:fill="FFFFFF"/>
        <w:spacing w:line="360" w:lineRule="auto"/>
        <w:ind w:firstLine="440"/>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地址：驻马店市金盾路8号开发区五小公寓楼东单元6楼西户</w:t>
      </w:r>
    </w:p>
    <w:p w14:paraId="3A975EAE">
      <w:pPr>
        <w:widowControl/>
        <w:shd w:val="clear" w:color="auto" w:fill="FFFFFF"/>
        <w:spacing w:line="360" w:lineRule="auto"/>
        <w:ind w:firstLine="440"/>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联系人：方女士</w:t>
      </w:r>
    </w:p>
    <w:p w14:paraId="7E7259E9">
      <w:pPr>
        <w:widowControl/>
        <w:shd w:val="clear" w:color="auto" w:fill="FFFFFF"/>
        <w:spacing w:line="360" w:lineRule="auto"/>
        <w:ind w:firstLine="440"/>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联系方式：17739698825</w:t>
      </w:r>
    </w:p>
    <w:p w14:paraId="693F65AF">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3.监督部门：驻马店市中心医院纪检监察室</w:t>
      </w:r>
    </w:p>
    <w:p w14:paraId="132427F2">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监督电话：0396-2726678</w:t>
      </w:r>
    </w:p>
    <w:p w14:paraId="67CE6A83">
      <w:pPr>
        <w:widowControl/>
        <w:snapToGrid w:val="0"/>
        <w:spacing w:line="324" w:lineRule="auto"/>
        <w:ind w:firstLine="420" w:firstLineChars="200"/>
        <w:jc w:val="right"/>
        <w:rPr>
          <w:rFonts w:hint="eastAsia" w:ascii="宋体" w:hAnsi="宋体" w:cs="宋体"/>
          <w:kern w:val="0"/>
          <w:szCs w:val="21"/>
          <w:highlight w:val="none"/>
          <w:shd w:val="clear" w:color="auto" w:fill="FFFFFF"/>
        </w:rPr>
      </w:pPr>
    </w:p>
    <w:p w14:paraId="6F4B308D">
      <w:pPr>
        <w:widowControl/>
        <w:snapToGrid w:val="0"/>
        <w:spacing w:line="324" w:lineRule="auto"/>
        <w:ind w:firstLine="420" w:firstLineChars="200"/>
        <w:jc w:val="right"/>
        <w:rPr>
          <w:rFonts w:hint="eastAsia" w:ascii="宋体" w:hAnsi="宋体" w:cs="宋体"/>
          <w:kern w:val="0"/>
          <w:szCs w:val="21"/>
          <w:highlight w:val="none"/>
          <w:shd w:val="clear" w:color="auto" w:fill="FFFFFF"/>
        </w:rPr>
      </w:pPr>
    </w:p>
    <w:p w14:paraId="5C62FD3F">
      <w:pPr>
        <w:widowControl/>
        <w:snapToGrid w:val="0"/>
        <w:spacing w:line="324" w:lineRule="auto"/>
        <w:ind w:firstLine="420" w:firstLineChars="200"/>
        <w:jc w:val="right"/>
        <w:rPr>
          <w:rFonts w:ascii="宋体" w:hAnsi="宋体" w:cs="宋体"/>
          <w:color w:val="000000" w:themeColor="text1"/>
          <w:kern w:val="0"/>
          <w:szCs w:val="21"/>
          <w:highlight w:val="none"/>
          <w:shd w:val="clear" w:color="auto" w:fill="FFFFFF"/>
        </w:rPr>
      </w:pPr>
      <w:r>
        <w:rPr>
          <w:rFonts w:hint="eastAsia" w:ascii="宋体" w:hAnsi="宋体" w:cs="宋体"/>
          <w:kern w:val="0"/>
          <w:szCs w:val="21"/>
          <w:highlight w:val="none"/>
          <w:shd w:val="clear" w:color="auto" w:fill="FFFFFF"/>
        </w:rPr>
        <w:t>驻马</w:t>
      </w:r>
      <w:r>
        <w:rPr>
          <w:rFonts w:hint="eastAsia" w:ascii="宋体" w:hAnsi="宋体" w:cs="宋体"/>
          <w:color w:val="000000" w:themeColor="text1"/>
          <w:kern w:val="0"/>
          <w:szCs w:val="21"/>
          <w:highlight w:val="none"/>
          <w:shd w:val="clear" w:color="auto" w:fill="FFFFFF"/>
        </w:rPr>
        <w:t>店市中心医院采购科</w:t>
      </w:r>
    </w:p>
    <w:p w14:paraId="6C5097D7">
      <w:pPr>
        <w:pStyle w:val="31"/>
        <w:widowControl/>
        <w:snapToGrid w:val="0"/>
        <w:spacing w:before="159" w:beforeAutospacing="0" w:after="0" w:afterAutospacing="0" w:line="324" w:lineRule="auto"/>
        <w:ind w:firstLine="420" w:firstLineChars="200"/>
        <w:jc w:val="center"/>
        <w:rPr>
          <w:rFonts w:ascii="宋体" w:hAnsi="宋体" w:cs="宋体"/>
          <w:sz w:val="21"/>
          <w:szCs w:val="21"/>
          <w:highlight w:val="none"/>
          <w:shd w:val="clear" w:color="auto" w:fill="FFFFFF"/>
        </w:rPr>
      </w:pPr>
      <w:r>
        <w:rPr>
          <w:rFonts w:hint="eastAsia" w:ascii="宋体" w:hAnsi="宋体" w:cs="宋体"/>
          <w:color w:val="000000" w:themeColor="text1"/>
          <w:sz w:val="21"/>
          <w:szCs w:val="21"/>
          <w:highlight w:val="none"/>
          <w:shd w:val="clear" w:color="auto" w:fill="FFFFFF"/>
        </w:rPr>
        <w:t xml:space="preserve">                                                             2026年3月</w:t>
      </w:r>
      <w:r>
        <w:rPr>
          <w:rFonts w:hint="eastAsia" w:ascii="宋体" w:hAnsi="宋体" w:cs="宋体"/>
          <w:color w:val="000000" w:themeColor="text1"/>
          <w:sz w:val="21"/>
          <w:szCs w:val="21"/>
          <w:highlight w:val="none"/>
          <w:shd w:val="clear" w:color="auto" w:fill="FFFFFF"/>
          <w:lang w:val="en-US" w:eastAsia="zh-CN"/>
        </w:rPr>
        <w:t>23</w:t>
      </w:r>
      <w:r>
        <w:rPr>
          <w:rFonts w:hint="eastAsia" w:ascii="宋体" w:hAnsi="宋体" w:cs="宋体"/>
          <w:color w:val="000000" w:themeColor="text1"/>
          <w:sz w:val="21"/>
          <w:szCs w:val="21"/>
          <w:highlight w:val="none"/>
          <w:shd w:val="clear" w:color="auto" w:fill="FFFFFF"/>
        </w:rPr>
        <w:t>日</w:t>
      </w:r>
    </w:p>
    <w:p w14:paraId="063F0C4C">
      <w:pPr>
        <w:ind w:firstLine="643"/>
        <w:jc w:val="center"/>
        <w:rPr>
          <w:rFonts w:ascii="宋体" w:hAnsi="宋体" w:cs="宋体"/>
          <w:b/>
          <w:sz w:val="32"/>
          <w:szCs w:val="32"/>
          <w:highlight w:val="none"/>
        </w:rPr>
      </w:pPr>
      <w:bookmarkStart w:id="27" w:name="_Toc29890"/>
      <w:bookmarkStart w:id="28" w:name="_Toc23793"/>
      <w:r>
        <w:rPr>
          <w:rFonts w:hint="eastAsia" w:ascii="宋体" w:hAnsi="宋体" w:cs="宋体"/>
          <w:b/>
          <w:sz w:val="32"/>
          <w:szCs w:val="32"/>
          <w:highlight w:val="none"/>
        </w:rPr>
        <w:br w:type="page"/>
      </w:r>
      <w:bookmarkStart w:id="29" w:name="_Toc19124"/>
      <w:r>
        <w:rPr>
          <w:rFonts w:hint="eastAsia" w:ascii="宋体" w:hAnsi="宋体" w:cs="宋体"/>
          <w:b/>
          <w:sz w:val="32"/>
          <w:szCs w:val="32"/>
          <w:highlight w:val="none"/>
        </w:rPr>
        <w:t>第二章  采购需求</w:t>
      </w:r>
      <w:bookmarkEnd w:id="29"/>
      <w:bookmarkStart w:id="30" w:name="_Toc9989"/>
      <w:bookmarkStart w:id="31" w:name="_Toc23610"/>
      <w:bookmarkStart w:id="32" w:name="_Toc31536"/>
    </w:p>
    <w:bookmarkEnd w:id="27"/>
    <w:bookmarkEnd w:id="28"/>
    <w:bookmarkEnd w:id="30"/>
    <w:bookmarkEnd w:id="31"/>
    <w:bookmarkEnd w:id="32"/>
    <w:p w14:paraId="1DAE3A28">
      <w:pPr>
        <w:snapToGrid w:val="0"/>
        <w:spacing w:line="324" w:lineRule="auto"/>
        <w:ind w:firstLine="442"/>
        <w:rPr>
          <w:rFonts w:ascii="宋体" w:hAnsi="宋体" w:cs="宋体"/>
          <w:highlight w:val="none"/>
        </w:rPr>
      </w:pPr>
      <w:r>
        <w:rPr>
          <w:rFonts w:hint="eastAsia" w:ascii="宋体" w:hAnsi="宋体" w:cs="宋体"/>
          <w:b/>
          <w:bCs/>
          <w:iCs/>
          <w:szCs w:val="21"/>
          <w:highlight w:val="none"/>
        </w:rPr>
        <w:t>项目名称：</w:t>
      </w:r>
      <w:r>
        <w:rPr>
          <w:rFonts w:hint="eastAsia" w:ascii="宋体" w:hAnsi="宋体" w:cs="宋体"/>
          <w:highlight w:val="none"/>
        </w:rPr>
        <w:t>驻马店市中心医院全院一次性输液瓶（袋）集中回收服务</w:t>
      </w:r>
      <w:r>
        <w:rPr>
          <w:rFonts w:hint="eastAsia" w:ascii="宋体" w:hAnsi="宋体" w:cs="宋体"/>
          <w:highlight w:val="none"/>
          <w:lang w:eastAsia="zh-CN"/>
        </w:rPr>
        <w:t>（</w:t>
      </w:r>
      <w:r>
        <w:rPr>
          <w:rFonts w:hint="eastAsia" w:ascii="宋体" w:hAnsi="宋体" w:cs="宋体"/>
          <w:highlight w:val="none"/>
          <w:lang w:val="en-US" w:eastAsia="zh-CN"/>
        </w:rPr>
        <w:t>二次</w:t>
      </w:r>
      <w:r>
        <w:rPr>
          <w:rFonts w:hint="eastAsia" w:ascii="宋体" w:hAnsi="宋体" w:cs="宋体"/>
          <w:highlight w:val="none"/>
          <w:lang w:eastAsia="zh-CN"/>
        </w:rPr>
        <w:t>）</w:t>
      </w:r>
    </w:p>
    <w:p w14:paraId="504CCA3C">
      <w:pPr>
        <w:snapToGrid w:val="0"/>
        <w:spacing w:line="360" w:lineRule="auto"/>
        <w:ind w:firstLine="442"/>
        <w:rPr>
          <w:b/>
          <w:bCs/>
          <w:highlight w:val="none"/>
        </w:rPr>
      </w:pPr>
      <w:r>
        <w:rPr>
          <w:rFonts w:hint="eastAsia"/>
          <w:b/>
          <w:bCs/>
          <w:highlight w:val="none"/>
          <w:lang w:val="en-US" w:eastAsia="zh-CN"/>
        </w:rPr>
        <w:t>一、</w:t>
      </w:r>
      <w:r>
        <w:rPr>
          <w:rFonts w:hint="eastAsia"/>
          <w:b/>
          <w:bCs/>
          <w:highlight w:val="none"/>
        </w:rPr>
        <w:t>采购标的清单：</w:t>
      </w:r>
    </w:p>
    <w:tbl>
      <w:tblPr>
        <w:tblStyle w:val="35"/>
        <w:tblW w:w="7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9"/>
        <w:gridCol w:w="5"/>
        <w:gridCol w:w="2280"/>
        <w:gridCol w:w="900"/>
        <w:gridCol w:w="1140"/>
        <w:gridCol w:w="1440"/>
        <w:gridCol w:w="1149"/>
      </w:tblGrid>
      <w:tr w14:paraId="6FA3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4" w:type="dxa"/>
            <w:gridSpan w:val="2"/>
            <w:vAlign w:val="center"/>
          </w:tcPr>
          <w:p w14:paraId="7DD133CA">
            <w:pPr>
              <w:spacing w:line="400" w:lineRule="exact"/>
              <w:jc w:val="center"/>
              <w:rPr>
                <w:rFonts w:cs="仿宋" w:asciiTheme="majorEastAsia" w:hAnsiTheme="majorEastAsia" w:eastAsiaTheme="majorEastAsia"/>
                <w:szCs w:val="21"/>
                <w:highlight w:val="none"/>
              </w:rPr>
            </w:pPr>
            <w:r>
              <w:rPr>
                <w:rFonts w:hint="eastAsia" w:cs="仿宋" w:asciiTheme="majorEastAsia" w:hAnsiTheme="majorEastAsia" w:eastAsiaTheme="majorEastAsia"/>
                <w:b/>
                <w:bCs/>
                <w:szCs w:val="21"/>
                <w:highlight w:val="none"/>
              </w:rPr>
              <w:t>序号</w:t>
            </w:r>
          </w:p>
        </w:tc>
        <w:tc>
          <w:tcPr>
            <w:tcW w:w="2280" w:type="dxa"/>
            <w:vAlign w:val="center"/>
          </w:tcPr>
          <w:p w14:paraId="44653FA5">
            <w:pPr>
              <w:spacing w:line="400" w:lineRule="exact"/>
              <w:jc w:val="center"/>
              <w:rPr>
                <w:rFonts w:cs="仿宋" w:asciiTheme="majorEastAsia" w:hAnsiTheme="majorEastAsia" w:eastAsiaTheme="majorEastAsia"/>
                <w:szCs w:val="21"/>
                <w:highlight w:val="none"/>
              </w:rPr>
            </w:pPr>
            <w:r>
              <w:rPr>
                <w:rFonts w:hint="eastAsia" w:cs="仿宋" w:asciiTheme="majorEastAsia" w:hAnsiTheme="majorEastAsia" w:eastAsiaTheme="majorEastAsia"/>
                <w:b/>
                <w:bCs/>
                <w:szCs w:val="21"/>
                <w:highlight w:val="none"/>
              </w:rPr>
              <w:t>标的名称</w:t>
            </w:r>
          </w:p>
        </w:tc>
        <w:tc>
          <w:tcPr>
            <w:tcW w:w="900" w:type="dxa"/>
            <w:vAlign w:val="center"/>
          </w:tcPr>
          <w:p w14:paraId="18F2AC1C">
            <w:pPr>
              <w:spacing w:line="400" w:lineRule="exact"/>
              <w:jc w:val="center"/>
              <w:rPr>
                <w:rFonts w:cs="仿宋" w:asciiTheme="majorEastAsia" w:hAnsiTheme="majorEastAsia" w:eastAsiaTheme="majorEastAsia"/>
                <w:szCs w:val="21"/>
                <w:highlight w:val="none"/>
              </w:rPr>
            </w:pPr>
            <w:r>
              <w:rPr>
                <w:rFonts w:hint="eastAsia" w:cs="仿宋" w:asciiTheme="majorEastAsia" w:hAnsiTheme="majorEastAsia" w:eastAsiaTheme="majorEastAsia"/>
                <w:b/>
                <w:bCs/>
                <w:szCs w:val="21"/>
                <w:highlight w:val="none"/>
              </w:rPr>
              <w:t>单位</w:t>
            </w:r>
          </w:p>
        </w:tc>
        <w:tc>
          <w:tcPr>
            <w:tcW w:w="1140" w:type="dxa"/>
            <w:vAlign w:val="center"/>
          </w:tcPr>
          <w:p w14:paraId="54612A6C">
            <w:pPr>
              <w:spacing w:line="400" w:lineRule="exact"/>
              <w:jc w:val="center"/>
              <w:rPr>
                <w:rFonts w:cs="仿宋" w:asciiTheme="majorEastAsia" w:hAnsiTheme="majorEastAsia" w:eastAsiaTheme="majorEastAsia"/>
                <w:szCs w:val="21"/>
                <w:highlight w:val="none"/>
              </w:rPr>
            </w:pPr>
            <w:r>
              <w:rPr>
                <w:rFonts w:hint="eastAsia" w:cs="仿宋" w:asciiTheme="majorEastAsia" w:hAnsiTheme="majorEastAsia" w:eastAsiaTheme="majorEastAsia"/>
                <w:b/>
                <w:bCs/>
                <w:szCs w:val="21"/>
                <w:highlight w:val="none"/>
              </w:rPr>
              <w:t>数量</w:t>
            </w:r>
          </w:p>
        </w:tc>
        <w:tc>
          <w:tcPr>
            <w:tcW w:w="1440" w:type="dxa"/>
            <w:vAlign w:val="center"/>
          </w:tcPr>
          <w:p w14:paraId="298991C9">
            <w:pPr>
              <w:spacing w:line="400" w:lineRule="exact"/>
              <w:jc w:val="center"/>
              <w:rPr>
                <w:rFonts w:cs="仿宋" w:asciiTheme="majorEastAsia" w:hAnsiTheme="majorEastAsia" w:eastAsiaTheme="majorEastAsia"/>
                <w:b/>
                <w:bCs/>
                <w:szCs w:val="21"/>
                <w:highlight w:val="none"/>
              </w:rPr>
            </w:pPr>
            <w:r>
              <w:rPr>
                <w:rFonts w:hint="eastAsia" w:cs="仿宋" w:asciiTheme="majorEastAsia" w:hAnsiTheme="majorEastAsia" w:eastAsiaTheme="majorEastAsia"/>
                <w:b/>
                <w:bCs/>
                <w:szCs w:val="21"/>
                <w:highlight w:val="none"/>
              </w:rPr>
              <w:t>资金</w:t>
            </w:r>
          </w:p>
          <w:p w14:paraId="5B0FCAA9">
            <w:pPr>
              <w:spacing w:line="400" w:lineRule="exact"/>
              <w:jc w:val="center"/>
              <w:rPr>
                <w:rFonts w:cs="仿宋" w:asciiTheme="majorEastAsia" w:hAnsiTheme="majorEastAsia" w:eastAsiaTheme="majorEastAsia"/>
                <w:szCs w:val="21"/>
                <w:highlight w:val="none"/>
              </w:rPr>
            </w:pPr>
            <w:r>
              <w:rPr>
                <w:rFonts w:hint="eastAsia" w:cs="仿宋" w:asciiTheme="majorEastAsia" w:hAnsiTheme="majorEastAsia" w:eastAsiaTheme="majorEastAsia"/>
                <w:b/>
                <w:bCs/>
                <w:szCs w:val="21"/>
                <w:highlight w:val="none"/>
              </w:rPr>
              <w:t>预算</w:t>
            </w:r>
          </w:p>
        </w:tc>
        <w:tc>
          <w:tcPr>
            <w:tcW w:w="1149" w:type="dxa"/>
            <w:vAlign w:val="center"/>
          </w:tcPr>
          <w:p w14:paraId="7EA78EA5">
            <w:pPr>
              <w:spacing w:line="400" w:lineRule="exact"/>
              <w:jc w:val="center"/>
              <w:rPr>
                <w:rFonts w:cs="仿宋" w:asciiTheme="majorEastAsia" w:hAnsiTheme="majorEastAsia" w:eastAsiaTheme="majorEastAsia"/>
                <w:b/>
                <w:bCs/>
                <w:szCs w:val="21"/>
                <w:highlight w:val="none"/>
              </w:rPr>
            </w:pPr>
            <w:r>
              <w:rPr>
                <w:rFonts w:hint="eastAsia" w:cs="仿宋" w:asciiTheme="majorEastAsia" w:hAnsiTheme="majorEastAsia" w:eastAsiaTheme="majorEastAsia"/>
                <w:b/>
                <w:bCs/>
                <w:szCs w:val="21"/>
                <w:highlight w:val="none"/>
              </w:rPr>
              <w:t>资金</w:t>
            </w:r>
          </w:p>
          <w:p w14:paraId="0BAC6890">
            <w:pPr>
              <w:spacing w:line="400" w:lineRule="exact"/>
              <w:jc w:val="center"/>
              <w:rPr>
                <w:rFonts w:cs="仿宋" w:asciiTheme="majorEastAsia" w:hAnsiTheme="majorEastAsia" w:eastAsiaTheme="majorEastAsia"/>
                <w:szCs w:val="21"/>
                <w:highlight w:val="none"/>
              </w:rPr>
            </w:pPr>
            <w:r>
              <w:rPr>
                <w:rFonts w:hint="eastAsia" w:cs="仿宋" w:asciiTheme="majorEastAsia" w:hAnsiTheme="majorEastAsia" w:eastAsiaTheme="majorEastAsia"/>
                <w:b/>
                <w:bCs/>
                <w:szCs w:val="21"/>
                <w:highlight w:val="none"/>
              </w:rPr>
              <w:t>性质</w:t>
            </w:r>
          </w:p>
        </w:tc>
      </w:tr>
      <w:tr w14:paraId="295BF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gridSpan w:val="2"/>
            <w:vAlign w:val="center"/>
          </w:tcPr>
          <w:p w14:paraId="2A89C346">
            <w:pPr>
              <w:spacing w:line="560" w:lineRule="exact"/>
              <w:jc w:val="center"/>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w:t>
            </w:r>
          </w:p>
        </w:tc>
        <w:tc>
          <w:tcPr>
            <w:tcW w:w="2280" w:type="dxa"/>
            <w:vAlign w:val="center"/>
          </w:tcPr>
          <w:p w14:paraId="42CABADF">
            <w:pPr>
              <w:spacing w:line="560" w:lineRule="exact"/>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全院一次性输液瓶（袋）集中回收服务</w:t>
            </w:r>
          </w:p>
        </w:tc>
        <w:tc>
          <w:tcPr>
            <w:tcW w:w="900" w:type="dxa"/>
            <w:vAlign w:val="center"/>
          </w:tcPr>
          <w:p w14:paraId="42B77F78">
            <w:pPr>
              <w:spacing w:line="560" w:lineRule="exact"/>
              <w:jc w:val="center"/>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年</w:t>
            </w:r>
          </w:p>
        </w:tc>
        <w:tc>
          <w:tcPr>
            <w:tcW w:w="1140" w:type="dxa"/>
            <w:vAlign w:val="center"/>
          </w:tcPr>
          <w:p w14:paraId="4E51AD0B">
            <w:pPr>
              <w:spacing w:line="560" w:lineRule="exact"/>
              <w:jc w:val="center"/>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w:t>
            </w:r>
          </w:p>
        </w:tc>
        <w:tc>
          <w:tcPr>
            <w:tcW w:w="1440" w:type="dxa"/>
            <w:vAlign w:val="center"/>
          </w:tcPr>
          <w:p w14:paraId="3D7E75BD">
            <w:pPr>
              <w:spacing w:line="560" w:lineRule="exact"/>
              <w:jc w:val="center"/>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4.8万元</w:t>
            </w:r>
          </w:p>
        </w:tc>
        <w:tc>
          <w:tcPr>
            <w:tcW w:w="1149" w:type="dxa"/>
            <w:vAlign w:val="center"/>
          </w:tcPr>
          <w:p w14:paraId="2A22C4D9">
            <w:pPr>
              <w:spacing w:line="560" w:lineRule="exact"/>
              <w:jc w:val="center"/>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自筹</w:t>
            </w:r>
          </w:p>
        </w:tc>
      </w:tr>
      <w:tr w14:paraId="6704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9" w:type="dxa"/>
            <w:vAlign w:val="center"/>
          </w:tcPr>
          <w:p w14:paraId="251B6D62">
            <w:pPr>
              <w:spacing w:line="560" w:lineRule="exact"/>
              <w:jc w:val="center"/>
              <w:rPr>
                <w:rFonts w:hint="eastAsia" w:cs="仿宋" w:asciiTheme="majorEastAsia" w:hAnsiTheme="majorEastAsia" w:eastAsiaTheme="majorEastAsia"/>
                <w:b/>
                <w:bCs/>
                <w:szCs w:val="21"/>
                <w:highlight w:val="none"/>
              </w:rPr>
            </w:pPr>
            <w:r>
              <w:rPr>
                <w:rFonts w:hint="eastAsia" w:cs="仿宋" w:asciiTheme="majorEastAsia" w:hAnsiTheme="majorEastAsia" w:eastAsiaTheme="majorEastAsia"/>
                <w:b/>
                <w:bCs/>
                <w:szCs w:val="21"/>
                <w:highlight w:val="none"/>
              </w:rPr>
              <w:t>合计</w:t>
            </w:r>
          </w:p>
        </w:tc>
        <w:tc>
          <w:tcPr>
            <w:tcW w:w="2285" w:type="dxa"/>
            <w:gridSpan w:val="2"/>
            <w:vAlign w:val="center"/>
          </w:tcPr>
          <w:p w14:paraId="0FEAA607">
            <w:pPr>
              <w:spacing w:line="560" w:lineRule="exact"/>
              <w:jc w:val="center"/>
              <w:rPr>
                <w:rFonts w:cs="仿宋" w:asciiTheme="majorEastAsia" w:hAnsiTheme="majorEastAsia" w:eastAsiaTheme="majorEastAsia"/>
                <w:b/>
                <w:bCs/>
                <w:szCs w:val="21"/>
                <w:highlight w:val="none"/>
              </w:rPr>
            </w:pPr>
          </w:p>
        </w:tc>
        <w:tc>
          <w:tcPr>
            <w:tcW w:w="900" w:type="dxa"/>
            <w:vAlign w:val="center"/>
          </w:tcPr>
          <w:p w14:paraId="0CC897C5">
            <w:pPr>
              <w:spacing w:line="560" w:lineRule="exact"/>
              <w:jc w:val="center"/>
              <w:rPr>
                <w:rFonts w:cs="仿宋" w:asciiTheme="majorEastAsia" w:hAnsiTheme="majorEastAsia" w:eastAsiaTheme="majorEastAsia"/>
                <w:b/>
                <w:bCs/>
                <w:szCs w:val="21"/>
                <w:highlight w:val="none"/>
              </w:rPr>
            </w:pPr>
            <w:r>
              <w:rPr>
                <w:rFonts w:hint="eastAsia" w:cs="仿宋" w:asciiTheme="majorEastAsia" w:hAnsiTheme="majorEastAsia" w:eastAsiaTheme="majorEastAsia"/>
                <w:b/>
                <w:bCs/>
                <w:szCs w:val="21"/>
                <w:highlight w:val="none"/>
              </w:rPr>
              <w:t>年</w:t>
            </w:r>
          </w:p>
        </w:tc>
        <w:tc>
          <w:tcPr>
            <w:tcW w:w="1140" w:type="dxa"/>
            <w:vAlign w:val="center"/>
          </w:tcPr>
          <w:p w14:paraId="48F31366">
            <w:pPr>
              <w:spacing w:line="560" w:lineRule="exact"/>
              <w:jc w:val="center"/>
              <w:rPr>
                <w:rFonts w:cs="仿宋" w:asciiTheme="majorEastAsia" w:hAnsiTheme="majorEastAsia" w:eastAsiaTheme="majorEastAsia"/>
                <w:b/>
                <w:bCs/>
                <w:szCs w:val="21"/>
                <w:highlight w:val="none"/>
              </w:rPr>
            </w:pPr>
            <w:r>
              <w:rPr>
                <w:rFonts w:hint="eastAsia" w:cs="仿宋" w:asciiTheme="majorEastAsia" w:hAnsiTheme="majorEastAsia" w:eastAsiaTheme="majorEastAsia"/>
                <w:b/>
                <w:bCs/>
                <w:szCs w:val="21"/>
                <w:highlight w:val="none"/>
              </w:rPr>
              <w:t>3</w:t>
            </w:r>
          </w:p>
        </w:tc>
        <w:tc>
          <w:tcPr>
            <w:tcW w:w="1440" w:type="dxa"/>
            <w:vAlign w:val="center"/>
          </w:tcPr>
          <w:p w14:paraId="7593A472">
            <w:pPr>
              <w:spacing w:line="560" w:lineRule="exact"/>
              <w:jc w:val="center"/>
              <w:rPr>
                <w:rFonts w:cs="仿宋" w:asciiTheme="majorEastAsia" w:hAnsiTheme="majorEastAsia" w:eastAsiaTheme="majorEastAsia"/>
                <w:b/>
                <w:bCs/>
                <w:szCs w:val="21"/>
                <w:highlight w:val="none"/>
              </w:rPr>
            </w:pPr>
            <w:r>
              <w:rPr>
                <w:rFonts w:hint="eastAsia" w:cs="仿宋" w:asciiTheme="majorEastAsia" w:hAnsiTheme="majorEastAsia" w:eastAsiaTheme="majorEastAsia"/>
                <w:b/>
                <w:bCs/>
                <w:szCs w:val="21"/>
                <w:highlight w:val="none"/>
              </w:rPr>
              <w:t>14.4万元</w:t>
            </w:r>
          </w:p>
        </w:tc>
        <w:tc>
          <w:tcPr>
            <w:tcW w:w="1149" w:type="dxa"/>
            <w:vAlign w:val="center"/>
          </w:tcPr>
          <w:p w14:paraId="3323FC74">
            <w:pPr>
              <w:spacing w:line="560" w:lineRule="exact"/>
              <w:jc w:val="center"/>
              <w:rPr>
                <w:rFonts w:cs="仿宋" w:asciiTheme="majorEastAsia" w:hAnsiTheme="majorEastAsia" w:eastAsiaTheme="majorEastAsia"/>
                <w:b/>
                <w:bCs/>
                <w:szCs w:val="21"/>
                <w:highlight w:val="none"/>
              </w:rPr>
            </w:pPr>
          </w:p>
        </w:tc>
      </w:tr>
      <w:tr w14:paraId="353C0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9" w:type="dxa"/>
            <w:vAlign w:val="center"/>
          </w:tcPr>
          <w:p w14:paraId="1777F6AA">
            <w:pPr>
              <w:spacing w:line="560" w:lineRule="exact"/>
              <w:jc w:val="center"/>
              <w:rPr>
                <w:rFonts w:hint="eastAsia" w:cs="仿宋" w:asciiTheme="majorEastAsia" w:hAnsiTheme="majorEastAsia" w:eastAsiaTheme="majorEastAsia"/>
                <w:b/>
                <w:bCs/>
                <w:szCs w:val="21"/>
                <w:highlight w:val="none"/>
              </w:rPr>
            </w:pPr>
            <w:r>
              <w:rPr>
                <w:rFonts w:hint="eastAsia" w:cs="仿宋" w:asciiTheme="majorEastAsia" w:hAnsiTheme="majorEastAsia" w:eastAsiaTheme="majorEastAsia"/>
                <w:b/>
                <w:bCs/>
                <w:szCs w:val="21"/>
                <w:highlight w:val="none"/>
              </w:rPr>
              <w:t>备注</w:t>
            </w:r>
          </w:p>
        </w:tc>
        <w:tc>
          <w:tcPr>
            <w:tcW w:w="6914" w:type="dxa"/>
            <w:gridSpan w:val="6"/>
            <w:vAlign w:val="center"/>
          </w:tcPr>
          <w:p w14:paraId="2BB4FE8C">
            <w:pPr>
              <w:spacing w:line="560" w:lineRule="exact"/>
              <w:jc w:val="center"/>
              <w:rPr>
                <w:rFonts w:cs="仿宋" w:asciiTheme="majorEastAsia" w:hAnsiTheme="majorEastAsia" w:eastAsiaTheme="majorEastAsia"/>
                <w:b/>
                <w:bCs/>
                <w:szCs w:val="21"/>
                <w:highlight w:val="none"/>
              </w:rPr>
            </w:pPr>
            <w:r>
              <w:rPr>
                <w:rFonts w:hint="eastAsia" w:cs="仿宋" w:asciiTheme="majorEastAsia" w:hAnsiTheme="majorEastAsia" w:eastAsiaTheme="majorEastAsia"/>
                <w:b/>
                <w:bCs/>
                <w:szCs w:val="21"/>
                <w:highlight w:val="none"/>
              </w:rPr>
              <w:t>合同一年一签，经考核合格后可续签一年，最多续签二年</w:t>
            </w:r>
          </w:p>
        </w:tc>
      </w:tr>
    </w:tbl>
    <w:p w14:paraId="66A7EE8D">
      <w:pPr>
        <w:spacing w:line="192" w:lineRule="auto"/>
        <w:ind w:firstLine="442"/>
        <w:rPr>
          <w:rFonts w:ascii="宋体" w:hAnsi="宋体" w:cs="宋体"/>
          <w:b/>
          <w:bCs/>
          <w:highlight w:val="none"/>
        </w:rPr>
      </w:pPr>
    </w:p>
    <w:p w14:paraId="1DC7CE8E">
      <w:pPr>
        <w:pStyle w:val="7"/>
        <w:snapToGrid w:val="0"/>
        <w:spacing w:beforeAutospacing="0" w:afterAutospacing="0" w:line="360" w:lineRule="auto"/>
        <w:ind w:firstLine="422"/>
        <w:jc w:val="both"/>
        <w:rPr>
          <w:b/>
          <w:bCs/>
          <w:kern w:val="2"/>
          <w:sz w:val="21"/>
          <w:highlight w:val="none"/>
        </w:rPr>
      </w:pPr>
      <w:r>
        <w:rPr>
          <w:rFonts w:hint="eastAsia"/>
          <w:b/>
          <w:bCs/>
          <w:kern w:val="2"/>
          <w:sz w:val="21"/>
          <w:highlight w:val="none"/>
          <w:lang w:val="en-US" w:eastAsia="zh-CN"/>
        </w:rPr>
        <w:t>二、</w:t>
      </w:r>
      <w:r>
        <w:rPr>
          <w:rFonts w:hint="eastAsia"/>
          <w:b/>
          <w:bCs/>
          <w:kern w:val="2"/>
          <w:sz w:val="21"/>
          <w:highlight w:val="none"/>
        </w:rPr>
        <w:t>服务技术要求：</w:t>
      </w:r>
    </w:p>
    <w:p w14:paraId="3BCAB2C6">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1.供应商免费提供编织袋、暂存桶、回收交接登记本。                  </w:t>
      </w:r>
    </w:p>
    <w:p w14:paraId="3CE246B5">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2.回收人员统一着装，严格执行称重、双签字手续，使用专人专车运送，确保回收物不丢失、不人为转卖。                                     </w:t>
      </w:r>
    </w:p>
    <w:p w14:paraId="1ED9B524">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3.每天必须到科室回收一次，回收后保持科室场地清洁。如遇有医院检查或科室过多时，根据医院电话通知，调整回收次数和时间。                                                            </w:t>
      </w:r>
    </w:p>
    <w:p w14:paraId="3A9F85F9">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4.负责提供一次性塑料输液瓶（袋）的运输工具及运输安全，必须按照相关卫生法规、程序、标准和医院感控要求对回收的一次性塑料输液瓶（袋）进行运输和无害化处置，严禁丢失、污染环境、违法转卖等。                                              </w:t>
      </w:r>
    </w:p>
    <w:p w14:paraId="1C9ABB89">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5.须提供环境保护部门对医用玻璃瓶，使用后未被污染输液瓶(袋)等废塑料回收处理单位的环评审批报告及有效的排污许可证。 </w:t>
      </w:r>
    </w:p>
    <w:p w14:paraId="7C2BE817">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6.具备履约所需的回收、运输、处理等专业能力，制度健全，回收的使用后未被污染塑料瓶不得用于医疗、食品、药品、化妆品、玩具、洗涤等包装或服装、被褥、日用品等可能危害人体健康的行业中，回收废物运输、处理、再生利用溯源机制完善，服务期间能正常运营（须提供承诺函）。                                                                  </w:t>
      </w:r>
    </w:p>
    <w:p w14:paraId="0C6C51AF">
      <w:pPr>
        <w:widowControl/>
        <w:snapToGrid w:val="0"/>
        <w:spacing w:line="324" w:lineRule="auto"/>
        <w:ind w:firstLine="420" w:firstLineChars="200"/>
        <w:jc w:val="left"/>
        <w:rPr>
          <w:rFonts w:hint="eastAsia"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7.具备满足本项目回收的经营场所(须提供图片、自有产证或租赁合同相关证明材料）。 </w:t>
      </w:r>
    </w:p>
    <w:p w14:paraId="2538E5D3">
      <w:pPr>
        <w:widowControl/>
        <w:snapToGrid w:val="0"/>
        <w:spacing w:line="324" w:lineRule="auto"/>
        <w:ind w:firstLine="420" w:firstLineChars="200"/>
        <w:jc w:val="left"/>
        <w:rPr>
          <w:rFonts w:hint="eastAsia" w:ascii="宋体" w:hAnsi="宋体" w:cs="宋体"/>
          <w:kern w:val="0"/>
          <w:szCs w:val="21"/>
          <w:highlight w:val="none"/>
          <w:shd w:val="clear" w:color="auto" w:fill="FFFFFF"/>
        </w:rPr>
      </w:pPr>
    </w:p>
    <w:p w14:paraId="48A007AA">
      <w:pPr>
        <w:widowControl/>
        <w:snapToGrid w:val="0"/>
        <w:spacing w:line="324" w:lineRule="auto"/>
        <w:ind w:firstLine="420" w:firstLineChars="200"/>
        <w:jc w:val="left"/>
        <w:rPr>
          <w:rFonts w:hint="eastAsia" w:ascii="宋体" w:hAnsi="宋体" w:cs="宋体"/>
          <w:kern w:val="0"/>
          <w:szCs w:val="21"/>
          <w:highlight w:val="none"/>
          <w:shd w:val="clear" w:color="auto" w:fill="FFFFFF"/>
        </w:rPr>
      </w:pPr>
    </w:p>
    <w:p w14:paraId="09813C56">
      <w:pPr>
        <w:widowControl/>
        <w:snapToGrid w:val="0"/>
        <w:spacing w:line="324" w:lineRule="auto"/>
        <w:ind w:firstLine="420" w:firstLineChars="200"/>
        <w:jc w:val="left"/>
        <w:rPr>
          <w:rFonts w:hint="eastAsia" w:ascii="宋体" w:hAnsi="宋体" w:cs="宋体"/>
          <w:kern w:val="0"/>
          <w:szCs w:val="21"/>
          <w:highlight w:val="none"/>
          <w:shd w:val="clear" w:color="auto" w:fill="FFFFFF"/>
        </w:rPr>
      </w:pPr>
    </w:p>
    <w:p w14:paraId="4DEBC992">
      <w:pPr>
        <w:widowControl/>
        <w:snapToGrid w:val="0"/>
        <w:spacing w:line="324" w:lineRule="auto"/>
        <w:ind w:firstLine="482" w:firstLineChars="200"/>
        <w:jc w:val="center"/>
        <w:rPr>
          <w:rFonts w:ascii="宋体" w:hAnsi="宋体" w:cs="宋体"/>
          <w:b/>
          <w:bCs/>
          <w:sz w:val="24"/>
          <w:szCs w:val="30"/>
          <w:highlight w:val="none"/>
        </w:rPr>
      </w:pPr>
      <w:r>
        <w:rPr>
          <w:rFonts w:hint="eastAsia" w:ascii="宋体" w:hAnsi="宋体" w:cs="宋体"/>
          <w:b/>
          <w:bCs/>
          <w:sz w:val="24"/>
          <w:szCs w:val="30"/>
          <w:highlight w:val="none"/>
        </w:rPr>
        <w:t>商务要求</w:t>
      </w:r>
    </w:p>
    <w:tbl>
      <w:tblPr>
        <w:tblStyle w:val="34"/>
        <w:tblpPr w:leftFromText="180" w:rightFromText="180" w:vertAnchor="text" w:tblpXSpec="center" w:tblpY="1"/>
        <w:tblOverlap w:val="never"/>
        <w:tblW w:w="90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57"/>
        <w:gridCol w:w="6844"/>
      </w:tblGrid>
      <w:tr w14:paraId="18E359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1" w:hRule="atLeast"/>
          <w:jc w:val="center"/>
        </w:trPr>
        <w:tc>
          <w:tcPr>
            <w:tcW w:w="2157" w:type="dxa"/>
            <w:tcBorders>
              <w:top w:val="single" w:color="auto" w:sz="4" w:space="0"/>
              <w:left w:val="single" w:color="auto" w:sz="4" w:space="0"/>
              <w:bottom w:val="single" w:color="auto" w:sz="4" w:space="0"/>
              <w:right w:val="single" w:color="auto" w:sz="4" w:space="0"/>
            </w:tcBorders>
            <w:noWrap/>
            <w:vAlign w:val="center"/>
          </w:tcPr>
          <w:p w14:paraId="50AE1EDE">
            <w:pPr>
              <w:pStyle w:val="7"/>
              <w:spacing w:line="360" w:lineRule="auto"/>
              <w:jc w:val="center"/>
              <w:rPr>
                <w:rFonts w:asciiTheme="majorEastAsia" w:hAnsiTheme="majorEastAsia" w:eastAsiaTheme="majorEastAsia"/>
                <w:sz w:val="21"/>
                <w:szCs w:val="21"/>
                <w:highlight w:val="none"/>
              </w:rPr>
            </w:pPr>
            <w:r>
              <w:rPr>
                <w:rFonts w:hint="eastAsia" w:asciiTheme="majorEastAsia" w:hAnsiTheme="majorEastAsia" w:eastAsiaTheme="majorEastAsia"/>
                <w:sz w:val="21"/>
                <w:szCs w:val="21"/>
                <w:highlight w:val="none"/>
              </w:rPr>
              <w:t>服务期限</w:t>
            </w:r>
          </w:p>
        </w:tc>
        <w:tc>
          <w:tcPr>
            <w:tcW w:w="6844" w:type="dxa"/>
            <w:tcBorders>
              <w:top w:val="single" w:color="auto" w:sz="4" w:space="0"/>
              <w:left w:val="single" w:color="auto" w:sz="4" w:space="0"/>
              <w:bottom w:val="single" w:color="auto" w:sz="4" w:space="0"/>
              <w:right w:val="single" w:color="auto" w:sz="4" w:space="0"/>
            </w:tcBorders>
            <w:noWrap/>
            <w:vAlign w:val="center"/>
          </w:tcPr>
          <w:p w14:paraId="788D689B">
            <w:pPr>
              <w:pStyle w:val="7"/>
              <w:spacing w:line="360" w:lineRule="auto"/>
              <w:rPr>
                <w:rFonts w:asciiTheme="majorEastAsia" w:hAnsiTheme="majorEastAsia" w:eastAsiaTheme="majorEastAsia"/>
                <w:sz w:val="21"/>
                <w:szCs w:val="21"/>
                <w:highlight w:val="none"/>
              </w:rPr>
            </w:pPr>
            <w:r>
              <w:rPr>
                <w:rFonts w:hint="eastAsia" w:asciiTheme="majorEastAsia" w:hAnsiTheme="majorEastAsia" w:eastAsiaTheme="majorEastAsia"/>
                <w:sz w:val="21"/>
                <w:szCs w:val="21"/>
                <w:highlight w:val="none"/>
              </w:rPr>
              <w:t>三年，合同一年一签，经考核合格后可续签一年，最多续签二年。</w:t>
            </w:r>
          </w:p>
        </w:tc>
      </w:tr>
      <w:tr w14:paraId="006750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1" w:hRule="atLeast"/>
          <w:jc w:val="center"/>
        </w:trPr>
        <w:tc>
          <w:tcPr>
            <w:tcW w:w="2157" w:type="dxa"/>
            <w:tcBorders>
              <w:top w:val="single" w:color="auto" w:sz="4" w:space="0"/>
              <w:left w:val="single" w:color="auto" w:sz="4" w:space="0"/>
              <w:bottom w:val="single" w:color="auto" w:sz="4" w:space="0"/>
              <w:right w:val="single" w:color="auto" w:sz="4" w:space="0"/>
            </w:tcBorders>
            <w:noWrap/>
            <w:vAlign w:val="center"/>
          </w:tcPr>
          <w:p w14:paraId="35D90360">
            <w:pPr>
              <w:pStyle w:val="7"/>
              <w:spacing w:line="360" w:lineRule="auto"/>
              <w:jc w:val="center"/>
              <w:rPr>
                <w:rFonts w:asciiTheme="majorEastAsia" w:hAnsiTheme="majorEastAsia" w:eastAsiaTheme="majorEastAsia"/>
                <w:sz w:val="21"/>
                <w:szCs w:val="21"/>
                <w:highlight w:val="none"/>
              </w:rPr>
            </w:pPr>
            <w:r>
              <w:rPr>
                <w:rFonts w:hint="eastAsia" w:asciiTheme="majorEastAsia" w:hAnsiTheme="majorEastAsia" w:eastAsiaTheme="majorEastAsia"/>
                <w:sz w:val="21"/>
                <w:szCs w:val="21"/>
                <w:highlight w:val="none"/>
              </w:rPr>
              <w:t>支付方式</w:t>
            </w:r>
          </w:p>
        </w:tc>
        <w:tc>
          <w:tcPr>
            <w:tcW w:w="6844" w:type="dxa"/>
            <w:tcBorders>
              <w:top w:val="single" w:color="auto" w:sz="4" w:space="0"/>
              <w:left w:val="single" w:color="auto" w:sz="4" w:space="0"/>
              <w:bottom w:val="single" w:color="auto" w:sz="4" w:space="0"/>
              <w:right w:val="single" w:color="auto" w:sz="4" w:space="0"/>
            </w:tcBorders>
            <w:noWrap/>
            <w:vAlign w:val="center"/>
          </w:tcPr>
          <w:p w14:paraId="5D3F4C65">
            <w:pPr>
              <w:pStyle w:val="7"/>
              <w:spacing w:line="360" w:lineRule="auto"/>
              <w:rPr>
                <w:rFonts w:asciiTheme="majorEastAsia" w:hAnsiTheme="majorEastAsia" w:eastAsiaTheme="majorEastAsia"/>
                <w:sz w:val="21"/>
                <w:szCs w:val="21"/>
                <w:highlight w:val="none"/>
              </w:rPr>
            </w:pPr>
            <w:r>
              <w:rPr>
                <w:rFonts w:hint="eastAsia" w:asciiTheme="majorEastAsia" w:hAnsiTheme="majorEastAsia" w:eastAsiaTheme="majorEastAsia"/>
                <w:sz w:val="21"/>
                <w:szCs w:val="21"/>
                <w:highlight w:val="none"/>
              </w:rPr>
              <w:t>合同签订后30日内向医院缴纳全部管理费用。</w:t>
            </w:r>
          </w:p>
        </w:tc>
      </w:tr>
    </w:tbl>
    <w:p w14:paraId="42ED3E99">
      <w:pPr>
        <w:ind w:firstLine="643"/>
        <w:jc w:val="center"/>
        <w:rPr>
          <w:rFonts w:hint="eastAsia" w:ascii="宋体" w:hAnsi="宋体" w:cs="宋体"/>
          <w:b/>
          <w:bCs/>
          <w:sz w:val="32"/>
          <w:szCs w:val="32"/>
          <w:highlight w:val="none"/>
        </w:rPr>
        <w:sectPr>
          <w:footerReference r:id="rId5" w:type="default"/>
          <w:pgSz w:w="11906" w:h="16838"/>
          <w:pgMar w:top="1417" w:right="1474" w:bottom="1417" w:left="1474" w:header="851" w:footer="624" w:gutter="0"/>
          <w:cols w:space="720" w:num="1"/>
          <w:docGrid w:type="lines" w:linePitch="319" w:charSpace="0"/>
        </w:sectPr>
      </w:pPr>
      <w:bookmarkStart w:id="33" w:name="_Toc8501"/>
    </w:p>
    <w:p w14:paraId="0BF5E51B">
      <w:pPr>
        <w:ind w:firstLine="643"/>
        <w:jc w:val="center"/>
        <w:rPr>
          <w:rFonts w:ascii="宋体" w:hAnsi="宋体" w:cs="宋体"/>
          <w:b/>
          <w:bCs/>
          <w:sz w:val="32"/>
          <w:szCs w:val="32"/>
          <w:highlight w:val="none"/>
        </w:rPr>
      </w:pPr>
      <w:r>
        <w:rPr>
          <w:rFonts w:hint="eastAsia" w:ascii="宋体" w:hAnsi="宋体" w:cs="宋体"/>
          <w:b/>
          <w:bCs/>
          <w:sz w:val="32"/>
          <w:szCs w:val="32"/>
          <w:highlight w:val="none"/>
        </w:rPr>
        <w:t>第三章  供应商须知</w:t>
      </w:r>
      <w:bookmarkEnd w:id="33"/>
    </w:p>
    <w:p w14:paraId="422691AE">
      <w:pPr>
        <w:snapToGrid w:val="0"/>
        <w:spacing w:beforeLines="50" w:line="360" w:lineRule="auto"/>
        <w:ind w:firstLine="560"/>
        <w:jc w:val="center"/>
        <w:outlineLvl w:val="1"/>
        <w:rPr>
          <w:rFonts w:ascii="宋体" w:hAnsi="宋体" w:cs="宋体"/>
          <w:sz w:val="28"/>
          <w:szCs w:val="28"/>
          <w:highlight w:val="none"/>
        </w:rPr>
      </w:pPr>
      <w:r>
        <w:rPr>
          <w:rFonts w:hint="eastAsia" w:ascii="宋体" w:hAnsi="宋体" w:cs="宋体"/>
          <w:sz w:val="28"/>
          <w:szCs w:val="28"/>
          <w:highlight w:val="none"/>
        </w:rPr>
        <w:t>供应商须知前附表</w:t>
      </w:r>
    </w:p>
    <w:tbl>
      <w:tblPr>
        <w:tblStyle w:val="34"/>
        <w:tblW w:w="9513" w:type="dxa"/>
        <w:jc w:val="center"/>
        <w:tblLayout w:type="fixed"/>
        <w:tblCellMar>
          <w:top w:w="0" w:type="dxa"/>
          <w:left w:w="0" w:type="dxa"/>
          <w:bottom w:w="0" w:type="dxa"/>
          <w:right w:w="0" w:type="dxa"/>
        </w:tblCellMar>
      </w:tblPr>
      <w:tblGrid>
        <w:gridCol w:w="926"/>
        <w:gridCol w:w="8587"/>
      </w:tblGrid>
      <w:tr w14:paraId="7D1CE164">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2D396F5">
            <w:pPr>
              <w:widowControl/>
              <w:jc w:val="center"/>
              <w:rPr>
                <w:rFonts w:ascii="宋体" w:hAnsi="宋体" w:cs="宋体"/>
                <w:kern w:val="0"/>
                <w:szCs w:val="21"/>
                <w:highlight w:val="none"/>
              </w:rPr>
            </w:pPr>
            <w:r>
              <w:rPr>
                <w:rFonts w:hint="eastAsia" w:ascii="宋体" w:hAnsi="宋体" w:cs="宋体"/>
                <w:kern w:val="0"/>
                <w:szCs w:val="21"/>
                <w:highlight w:val="none"/>
              </w:rPr>
              <w:t>序号</w:t>
            </w:r>
          </w:p>
        </w:tc>
        <w:tc>
          <w:tcPr>
            <w:tcW w:w="858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7591284">
            <w:pPr>
              <w:widowControl/>
              <w:ind w:firstLine="420"/>
              <w:jc w:val="center"/>
              <w:rPr>
                <w:rFonts w:ascii="宋体" w:hAnsi="宋体" w:cs="宋体"/>
                <w:kern w:val="0"/>
                <w:szCs w:val="21"/>
                <w:highlight w:val="none"/>
              </w:rPr>
            </w:pPr>
            <w:r>
              <w:rPr>
                <w:rFonts w:hint="eastAsia" w:ascii="宋体" w:hAnsi="宋体" w:cs="宋体"/>
                <w:kern w:val="0"/>
                <w:szCs w:val="21"/>
                <w:highlight w:val="none"/>
              </w:rPr>
              <w:t>内容、要求</w:t>
            </w:r>
          </w:p>
        </w:tc>
      </w:tr>
      <w:tr w14:paraId="03CEE1A0">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CB7F7F1">
            <w:pPr>
              <w:widowControl/>
              <w:snapToGrid w:val="0"/>
              <w:spacing w:line="360" w:lineRule="auto"/>
              <w:ind w:firstLine="420"/>
              <w:jc w:val="center"/>
              <w:rPr>
                <w:rFonts w:ascii="宋体" w:hAnsi="宋体" w:cs="宋体"/>
                <w:kern w:val="0"/>
                <w:szCs w:val="21"/>
                <w:highlight w:val="none"/>
              </w:rPr>
            </w:pPr>
            <w:r>
              <w:rPr>
                <w:rFonts w:hint="eastAsia" w:ascii="宋体" w:hAnsi="宋体" w:cs="宋体"/>
                <w:kern w:val="0"/>
                <w:szCs w:val="21"/>
                <w:highlight w:val="none"/>
              </w:rPr>
              <w:t>1</w:t>
            </w:r>
          </w:p>
        </w:tc>
        <w:tc>
          <w:tcPr>
            <w:tcW w:w="85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9DDA4F6">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采购预算：14</w:t>
            </w:r>
            <w:r>
              <w:rPr>
                <w:rFonts w:hint="eastAsia" w:ascii="宋体" w:hAnsi="宋体" w:cs="宋体"/>
                <w:kern w:val="0"/>
                <w:szCs w:val="21"/>
                <w:highlight w:val="none"/>
                <w:lang w:val="en-US" w:eastAsia="zh-CN"/>
              </w:rPr>
              <w:t>4</w:t>
            </w:r>
            <w:r>
              <w:rPr>
                <w:rFonts w:hint="eastAsia" w:ascii="宋体" w:hAnsi="宋体" w:cs="宋体"/>
                <w:kern w:val="0"/>
                <w:szCs w:val="21"/>
                <w:highlight w:val="none"/>
              </w:rPr>
              <w:t>000元；最高投标限价: 14</w:t>
            </w:r>
            <w:r>
              <w:rPr>
                <w:rFonts w:hint="eastAsia" w:ascii="宋体" w:hAnsi="宋体" w:cs="宋体"/>
                <w:kern w:val="0"/>
                <w:szCs w:val="21"/>
                <w:highlight w:val="none"/>
                <w:lang w:val="en-US" w:eastAsia="zh-CN"/>
              </w:rPr>
              <w:t>4</w:t>
            </w:r>
            <w:r>
              <w:rPr>
                <w:rFonts w:hint="eastAsia" w:ascii="宋体" w:hAnsi="宋体" w:cs="宋体"/>
                <w:kern w:val="0"/>
                <w:szCs w:val="21"/>
                <w:highlight w:val="none"/>
              </w:rPr>
              <w:t>000元。</w:t>
            </w:r>
          </w:p>
          <w:p w14:paraId="2A9671D9">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1.1本项目磋商以人民币报价。</w:t>
            </w:r>
          </w:p>
          <w:p w14:paraId="62841F78">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1.2供应商的报价低于采购预算，按废标处理。</w:t>
            </w:r>
          </w:p>
          <w:p w14:paraId="21EEA6B6">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1.3本项目由成交供应商缴纳招标代理服务费。代理服务费不得高于《招代理机构服务管理暂行办法》（计价格[2002]1980号）相应标准：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27DA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w:tcPr>
                <w:p w14:paraId="0E4C0DA9">
                  <w:pPr>
                    <w:widowControl/>
                    <w:snapToGrid w:val="0"/>
                    <w:ind w:firstLine="422"/>
                    <w:rPr>
                      <w:rFonts w:ascii="宋体" w:hAnsi="宋体" w:cs="宋体"/>
                      <w:b/>
                      <w:bCs/>
                      <w:kern w:val="0"/>
                      <w:szCs w:val="21"/>
                      <w:highlight w:val="none"/>
                    </w:rPr>
                  </w:pPr>
                  <w:bookmarkStart w:id="34" w:name="_Toc22953395"/>
                  <w:bookmarkEnd w:id="34"/>
                  <w:bookmarkStart w:id="35" w:name="_Toc22804073"/>
                  <w:bookmarkEnd w:id="35"/>
                  <w:r>
                    <w:rPr>
                      <w:b/>
                      <w:bCs/>
                      <w:szCs w:val="21"/>
                      <w:highlight w:val="none"/>
                    </w:rPr>
                    <w:pict>
                      <v:shape id="_x0000_s2053" o:spid="_x0000_s2053" o:spt="202" type="#_x0000_t202" style="position:absolute;left:0pt;margin-left:55.35pt;margin-top:9.3pt;height:24.05pt;width:76.4pt;z-index:251660288;mso-width-relative:page;mso-height-relative:page;" fillcolor="#FFFFFF"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path/>
                        <v:fill on="t" focussize="0,0"/>
                        <v:stroke on="f" weight="0.5pt" joinstyle="miter"/>
                        <v:imagedata o:title=""/>
                        <o:lock v:ext="edit"/>
                        <v:textbox>
                          <w:txbxContent>
                            <w:p w14:paraId="78CDB2D1">
                              <w:r>
                                <w:rPr>
                                  <w:rFonts w:hint="eastAsia"/>
                                  <w:b/>
                                  <w:bCs/>
                                </w:rPr>
                                <w:t>服务费率类</w:t>
                              </w:r>
                              <w:r>
                                <w:rPr>
                                  <w:rFonts w:hint="eastAsia"/>
                                </w:rPr>
                                <w:t>型</w:t>
                              </w:r>
                            </w:p>
                          </w:txbxContent>
                        </v:textbox>
                      </v:shape>
                    </w:pict>
                  </w:r>
                </w:p>
                <w:p w14:paraId="56768DE2">
                  <w:pPr>
                    <w:widowControl/>
                    <w:snapToGrid w:val="0"/>
                    <w:spacing w:line="440" w:lineRule="exact"/>
                    <w:ind w:firstLine="422"/>
                    <w:jc w:val="center"/>
                    <w:rPr>
                      <w:rFonts w:ascii="宋体" w:hAnsi="宋体" w:cs="宋体"/>
                      <w:b/>
                      <w:bCs/>
                      <w:kern w:val="0"/>
                      <w:szCs w:val="21"/>
                      <w:highlight w:val="none"/>
                    </w:rPr>
                  </w:pPr>
                  <w:r>
                    <w:rPr>
                      <w:b/>
                      <w:bCs/>
                      <w:szCs w:val="21"/>
                      <w:highlight w:val="none"/>
                    </w:rPr>
                    <w:pict>
                      <v:shape id="_x0000_s2054" o:spid="_x0000_s2054" o:spt="202" type="#_x0000_t202" style="position:absolute;left:0pt;margin-left:15.9pt;margin-top:19pt;height:22.5pt;width:66.65pt;z-index:251661312;mso-width-relative:page;mso-height-relative:page;" fillcolor="#FFFFFF"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path/>
                        <v:fill on="t" focussize="0,0"/>
                        <v:stroke on="f" weight="0.5pt" joinstyle="miter"/>
                        <v:imagedata o:title=""/>
                        <o:lock v:ext="edit"/>
                        <v:textbox>
                          <w:txbxContent>
                            <w:p w14:paraId="1BD85918">
                              <w:pPr>
                                <w:rPr>
                                  <w:b/>
                                  <w:bCs/>
                                </w:rPr>
                              </w:pPr>
                              <w:r>
                                <w:rPr>
                                  <w:rFonts w:hint="eastAsia"/>
                                  <w:b/>
                                  <w:bCs/>
                                </w:rPr>
                                <w:t>中标金额</w:t>
                              </w:r>
                            </w:p>
                          </w:txbxContent>
                        </v:textbox>
                      </v:shape>
                    </w:pict>
                  </w:r>
                </w:p>
              </w:tc>
              <w:tc>
                <w:tcPr>
                  <w:tcW w:w="1605" w:type="dxa"/>
                  <w:vAlign w:val="center"/>
                </w:tcPr>
                <w:p w14:paraId="1AD3C3AB">
                  <w:pPr>
                    <w:widowControl/>
                    <w:snapToGrid w:val="0"/>
                    <w:spacing w:line="440" w:lineRule="exact"/>
                    <w:ind w:firstLine="422"/>
                    <w:jc w:val="center"/>
                    <w:rPr>
                      <w:rFonts w:ascii="宋体" w:hAnsi="宋体" w:cs="宋体"/>
                      <w:b/>
                      <w:bCs/>
                      <w:kern w:val="0"/>
                      <w:szCs w:val="21"/>
                      <w:highlight w:val="none"/>
                    </w:rPr>
                  </w:pPr>
                  <w:r>
                    <w:rPr>
                      <w:rFonts w:hint="eastAsia" w:ascii="宋体" w:hAnsi="宋体" w:cs="宋体"/>
                      <w:b/>
                      <w:bCs/>
                      <w:kern w:val="0"/>
                      <w:szCs w:val="21"/>
                      <w:highlight w:val="none"/>
                    </w:rPr>
                    <w:t>货物招标</w:t>
                  </w:r>
                </w:p>
              </w:tc>
              <w:tc>
                <w:tcPr>
                  <w:tcW w:w="1560" w:type="dxa"/>
                  <w:vAlign w:val="center"/>
                </w:tcPr>
                <w:p w14:paraId="62FB6A02">
                  <w:pPr>
                    <w:widowControl/>
                    <w:snapToGrid w:val="0"/>
                    <w:spacing w:line="440" w:lineRule="exact"/>
                    <w:ind w:firstLine="422"/>
                    <w:jc w:val="center"/>
                    <w:rPr>
                      <w:rFonts w:ascii="宋体" w:hAnsi="宋体" w:cs="宋体"/>
                      <w:b/>
                      <w:bCs/>
                      <w:kern w:val="0"/>
                      <w:szCs w:val="21"/>
                      <w:highlight w:val="none"/>
                    </w:rPr>
                  </w:pPr>
                  <w:r>
                    <w:rPr>
                      <w:rFonts w:hint="eastAsia" w:ascii="宋体" w:hAnsi="宋体" w:cs="宋体"/>
                      <w:b/>
                      <w:bCs/>
                      <w:kern w:val="0"/>
                      <w:szCs w:val="21"/>
                      <w:highlight w:val="none"/>
                    </w:rPr>
                    <w:t>服务招标</w:t>
                  </w:r>
                </w:p>
              </w:tc>
              <w:tc>
                <w:tcPr>
                  <w:tcW w:w="1380" w:type="dxa"/>
                  <w:vAlign w:val="center"/>
                </w:tcPr>
                <w:p w14:paraId="4611FE86">
                  <w:pPr>
                    <w:widowControl/>
                    <w:snapToGrid w:val="0"/>
                    <w:spacing w:line="440" w:lineRule="exact"/>
                    <w:ind w:firstLine="422"/>
                    <w:jc w:val="center"/>
                    <w:rPr>
                      <w:rFonts w:ascii="宋体" w:hAnsi="宋体" w:cs="宋体"/>
                      <w:b/>
                      <w:bCs/>
                      <w:kern w:val="0"/>
                      <w:szCs w:val="21"/>
                      <w:highlight w:val="none"/>
                    </w:rPr>
                  </w:pPr>
                  <w:r>
                    <w:rPr>
                      <w:rFonts w:hint="eastAsia" w:ascii="宋体" w:hAnsi="宋体" w:cs="宋体"/>
                      <w:b/>
                      <w:bCs/>
                      <w:kern w:val="0"/>
                      <w:szCs w:val="21"/>
                      <w:highlight w:val="none"/>
                    </w:rPr>
                    <w:t>工程招标</w:t>
                  </w:r>
                </w:p>
              </w:tc>
            </w:tr>
            <w:tr w14:paraId="1EDB1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764FD26D">
                  <w:pPr>
                    <w:widowControl/>
                    <w:snapToGrid w:val="0"/>
                    <w:spacing w:line="440" w:lineRule="exact"/>
                    <w:ind w:firstLine="420"/>
                    <w:jc w:val="center"/>
                    <w:rPr>
                      <w:rFonts w:ascii="宋体" w:hAnsi="宋体" w:cs="宋体"/>
                      <w:kern w:val="0"/>
                      <w:szCs w:val="21"/>
                      <w:highlight w:val="none"/>
                    </w:rPr>
                  </w:pPr>
                  <w:r>
                    <w:rPr>
                      <w:rFonts w:hint="eastAsia" w:ascii="宋体" w:hAnsi="宋体" w:cs="宋体"/>
                      <w:kern w:val="0"/>
                      <w:szCs w:val="21"/>
                      <w:highlight w:val="none"/>
                    </w:rPr>
                    <w:t>100万元以下</w:t>
                  </w:r>
                </w:p>
              </w:tc>
              <w:tc>
                <w:tcPr>
                  <w:tcW w:w="1605" w:type="dxa"/>
                  <w:vAlign w:val="center"/>
                </w:tcPr>
                <w:p w14:paraId="61CE8ECC">
                  <w:pPr>
                    <w:widowControl/>
                    <w:snapToGrid w:val="0"/>
                    <w:spacing w:line="440" w:lineRule="exact"/>
                    <w:ind w:firstLine="420"/>
                    <w:jc w:val="center"/>
                    <w:rPr>
                      <w:rFonts w:ascii="宋体" w:hAnsi="宋体" w:cs="宋体"/>
                      <w:kern w:val="0"/>
                      <w:szCs w:val="21"/>
                      <w:highlight w:val="none"/>
                    </w:rPr>
                  </w:pPr>
                  <w:r>
                    <w:rPr>
                      <w:rFonts w:hint="eastAsia" w:ascii="宋体" w:hAnsi="宋体" w:cs="宋体"/>
                      <w:kern w:val="0"/>
                      <w:szCs w:val="21"/>
                      <w:highlight w:val="none"/>
                    </w:rPr>
                    <w:t>1.5%</w:t>
                  </w:r>
                </w:p>
              </w:tc>
              <w:tc>
                <w:tcPr>
                  <w:tcW w:w="1560" w:type="dxa"/>
                  <w:vAlign w:val="center"/>
                </w:tcPr>
                <w:p w14:paraId="19E30041">
                  <w:pPr>
                    <w:widowControl/>
                    <w:snapToGrid w:val="0"/>
                    <w:spacing w:line="440" w:lineRule="exact"/>
                    <w:ind w:firstLine="420"/>
                    <w:jc w:val="center"/>
                    <w:rPr>
                      <w:rFonts w:ascii="宋体" w:hAnsi="宋体" w:cs="宋体"/>
                      <w:kern w:val="0"/>
                      <w:szCs w:val="21"/>
                      <w:highlight w:val="none"/>
                    </w:rPr>
                  </w:pPr>
                  <w:r>
                    <w:rPr>
                      <w:rFonts w:hint="eastAsia" w:ascii="宋体" w:hAnsi="宋体" w:cs="宋体"/>
                      <w:kern w:val="0"/>
                      <w:szCs w:val="21"/>
                      <w:highlight w:val="none"/>
                    </w:rPr>
                    <w:t>1.5%</w:t>
                  </w:r>
                </w:p>
              </w:tc>
              <w:tc>
                <w:tcPr>
                  <w:tcW w:w="1380" w:type="dxa"/>
                  <w:vAlign w:val="center"/>
                </w:tcPr>
                <w:p w14:paraId="66D6530C">
                  <w:pPr>
                    <w:widowControl/>
                    <w:snapToGrid w:val="0"/>
                    <w:spacing w:line="440" w:lineRule="exact"/>
                    <w:ind w:firstLine="420"/>
                    <w:jc w:val="center"/>
                    <w:rPr>
                      <w:rFonts w:ascii="宋体" w:hAnsi="宋体" w:cs="宋体"/>
                      <w:kern w:val="0"/>
                      <w:szCs w:val="21"/>
                      <w:highlight w:val="none"/>
                    </w:rPr>
                  </w:pPr>
                  <w:r>
                    <w:rPr>
                      <w:rFonts w:hint="eastAsia" w:ascii="宋体" w:hAnsi="宋体" w:cs="宋体"/>
                      <w:kern w:val="0"/>
                      <w:szCs w:val="21"/>
                      <w:highlight w:val="none"/>
                    </w:rPr>
                    <w:t>1.0%</w:t>
                  </w:r>
                </w:p>
              </w:tc>
            </w:tr>
          </w:tbl>
          <w:p w14:paraId="6DB99EB9">
            <w:pPr>
              <w:widowControl/>
              <w:snapToGrid w:val="0"/>
              <w:spacing w:line="440" w:lineRule="exact"/>
              <w:ind w:firstLine="420"/>
              <w:jc w:val="left"/>
              <w:rPr>
                <w:rFonts w:ascii="宋体" w:hAnsi="宋体" w:cs="宋体"/>
                <w:kern w:val="0"/>
                <w:szCs w:val="21"/>
                <w:highlight w:val="none"/>
              </w:rPr>
            </w:pPr>
          </w:p>
        </w:tc>
      </w:tr>
      <w:tr w14:paraId="360B34C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0AEF3A1">
            <w:pPr>
              <w:widowControl/>
              <w:snapToGrid w:val="0"/>
              <w:spacing w:line="360" w:lineRule="auto"/>
              <w:ind w:firstLine="420"/>
              <w:jc w:val="center"/>
              <w:rPr>
                <w:rFonts w:ascii="宋体" w:hAnsi="宋体" w:cs="宋体"/>
                <w:kern w:val="0"/>
                <w:szCs w:val="21"/>
                <w:highlight w:val="none"/>
              </w:rPr>
            </w:pPr>
            <w:r>
              <w:rPr>
                <w:rFonts w:hint="eastAsia" w:ascii="宋体" w:hAnsi="宋体" w:cs="宋体"/>
                <w:kern w:val="0"/>
                <w:szCs w:val="21"/>
                <w:highlight w:val="none"/>
              </w:rPr>
              <w:t>2</w:t>
            </w:r>
          </w:p>
        </w:tc>
        <w:tc>
          <w:tcPr>
            <w:tcW w:w="85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A5F293F">
            <w:pPr>
              <w:widowControl/>
              <w:snapToGrid w:val="0"/>
              <w:spacing w:line="440" w:lineRule="exact"/>
              <w:jc w:val="left"/>
              <w:rPr>
                <w:rFonts w:ascii="宋体" w:hAnsi="宋体" w:cs="宋体"/>
                <w:szCs w:val="21"/>
                <w:highlight w:val="none"/>
              </w:rPr>
            </w:pPr>
            <w:r>
              <w:rPr>
                <w:rFonts w:hint="eastAsia" w:ascii="宋体" w:hAnsi="宋体" w:cs="宋体"/>
                <w:szCs w:val="21"/>
                <w:highlight w:val="none"/>
              </w:rPr>
              <w:t>在原公告发布媒体上发布澄清或修改公告，供应商在提交响应文件截止时间前须自行查看在原公告发布媒体上发布的澄清或修改公告，因供应商未及时查看而造成的后果自负。</w:t>
            </w:r>
          </w:p>
        </w:tc>
      </w:tr>
      <w:tr w14:paraId="34B145D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AE65A0">
            <w:pPr>
              <w:widowControl/>
              <w:snapToGrid w:val="0"/>
              <w:spacing w:line="360" w:lineRule="auto"/>
              <w:ind w:firstLine="420"/>
              <w:jc w:val="center"/>
              <w:rPr>
                <w:rFonts w:ascii="宋体" w:hAnsi="宋体" w:cs="宋体"/>
                <w:kern w:val="0"/>
                <w:szCs w:val="21"/>
                <w:highlight w:val="none"/>
              </w:rPr>
            </w:pPr>
            <w:r>
              <w:rPr>
                <w:rFonts w:hint="eastAsia" w:ascii="宋体" w:hAnsi="宋体" w:cs="宋体"/>
                <w:kern w:val="0"/>
                <w:szCs w:val="21"/>
                <w:highlight w:val="none"/>
              </w:rPr>
              <w:t>3</w:t>
            </w:r>
          </w:p>
        </w:tc>
        <w:tc>
          <w:tcPr>
            <w:tcW w:w="85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E03AC7">
            <w:pPr>
              <w:widowControl/>
              <w:snapToGrid w:val="0"/>
              <w:spacing w:line="440" w:lineRule="exact"/>
              <w:jc w:val="left"/>
              <w:rPr>
                <w:rFonts w:ascii="宋体" w:hAnsi="宋体" w:cs="宋体"/>
                <w:szCs w:val="21"/>
                <w:highlight w:val="none"/>
              </w:rPr>
            </w:pPr>
            <w:r>
              <w:rPr>
                <w:rFonts w:hint="eastAsia" w:ascii="宋体" w:hAnsi="宋体" w:cs="宋体"/>
                <w:szCs w:val="21"/>
                <w:highlight w:val="none"/>
              </w:rPr>
              <w:t>响应文件组成：纸质响应文件正本1份、副本2份。</w:t>
            </w:r>
          </w:p>
        </w:tc>
      </w:tr>
      <w:tr w14:paraId="25B86F6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B5CE8DF">
            <w:pPr>
              <w:widowControl/>
              <w:snapToGrid w:val="0"/>
              <w:spacing w:line="360" w:lineRule="auto"/>
              <w:ind w:firstLine="420"/>
              <w:jc w:val="center"/>
              <w:rPr>
                <w:rFonts w:ascii="宋体" w:hAnsi="宋体" w:cs="宋体"/>
                <w:kern w:val="0"/>
                <w:szCs w:val="21"/>
                <w:highlight w:val="none"/>
              </w:rPr>
            </w:pPr>
            <w:r>
              <w:rPr>
                <w:rFonts w:hint="eastAsia" w:ascii="宋体" w:hAnsi="宋体" w:cs="宋体"/>
                <w:kern w:val="0"/>
                <w:szCs w:val="21"/>
                <w:highlight w:val="none"/>
              </w:rPr>
              <w:t>4</w:t>
            </w:r>
          </w:p>
        </w:tc>
        <w:tc>
          <w:tcPr>
            <w:tcW w:w="85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D2D84E4">
            <w:pPr>
              <w:spacing w:line="440" w:lineRule="exact"/>
              <w:rPr>
                <w:rFonts w:ascii="宋体" w:hAnsi="宋体" w:cs="宋体"/>
                <w:szCs w:val="21"/>
                <w:highlight w:val="none"/>
              </w:rPr>
            </w:pPr>
            <w:r>
              <w:rPr>
                <w:rFonts w:hint="eastAsia" w:ascii="宋体" w:hAnsi="宋体" w:cs="宋体"/>
                <w:szCs w:val="21"/>
                <w:highlight w:val="none"/>
              </w:rPr>
              <w:t>磋商小组成</w:t>
            </w:r>
            <w:r>
              <w:rPr>
                <w:rFonts w:hint="eastAsia" w:ascii="宋体" w:hAnsi="宋体" w:cs="宋体"/>
                <w:kern w:val="0"/>
                <w:szCs w:val="21"/>
                <w:highlight w:val="none"/>
              </w:rPr>
              <w:t>员：</w:t>
            </w:r>
            <w:r>
              <w:rPr>
                <w:rFonts w:hint="eastAsia" w:ascii="宋体" w:hAnsi="宋体" w:cs="宋体"/>
                <w:szCs w:val="21"/>
                <w:highlight w:val="none"/>
              </w:rPr>
              <w:t>3人及以上单数</w:t>
            </w:r>
            <w:r>
              <w:rPr>
                <w:rFonts w:hint="eastAsia" w:ascii="宋体" w:hAnsi="宋体" w:cs="宋体"/>
                <w:kern w:val="0"/>
                <w:szCs w:val="21"/>
                <w:highlight w:val="none"/>
              </w:rPr>
              <w:t>。</w:t>
            </w:r>
          </w:p>
          <w:p w14:paraId="4F2DF35D">
            <w:pPr>
              <w:widowControl/>
              <w:spacing w:line="440" w:lineRule="exact"/>
              <w:jc w:val="left"/>
              <w:rPr>
                <w:rFonts w:ascii="宋体" w:hAnsi="宋体" w:cs="宋体"/>
                <w:kern w:val="0"/>
                <w:szCs w:val="21"/>
                <w:highlight w:val="none"/>
              </w:rPr>
            </w:pPr>
            <w:r>
              <w:rPr>
                <w:rFonts w:hint="eastAsia" w:ascii="宋体" w:hAnsi="宋体" w:cs="宋体"/>
                <w:szCs w:val="21"/>
                <w:highlight w:val="none"/>
              </w:rPr>
              <w:t>专家确定方式：</w:t>
            </w:r>
            <w:r>
              <w:rPr>
                <w:rFonts w:hint="eastAsia" w:ascii="宋体" w:hAnsi="宋体" w:cs="宋体"/>
                <w:kern w:val="0"/>
                <w:szCs w:val="21"/>
                <w:highlight w:val="none"/>
              </w:rPr>
              <w:t>由评审专家、采购人代表组成</w:t>
            </w:r>
          </w:p>
        </w:tc>
      </w:tr>
      <w:tr w14:paraId="295CA59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1C3DF9B">
            <w:pPr>
              <w:widowControl/>
              <w:ind w:firstLine="420"/>
              <w:jc w:val="center"/>
              <w:rPr>
                <w:rFonts w:ascii="宋体" w:hAnsi="宋体" w:cs="宋体"/>
                <w:kern w:val="0"/>
                <w:szCs w:val="21"/>
                <w:highlight w:val="none"/>
              </w:rPr>
            </w:pPr>
            <w:r>
              <w:rPr>
                <w:rFonts w:hint="eastAsia" w:ascii="宋体" w:hAnsi="宋体" w:cs="宋体"/>
                <w:kern w:val="0"/>
                <w:szCs w:val="21"/>
                <w:highlight w:val="none"/>
              </w:rPr>
              <w:t>5</w:t>
            </w:r>
          </w:p>
        </w:tc>
        <w:tc>
          <w:tcPr>
            <w:tcW w:w="85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06F5B70">
            <w:pPr>
              <w:rPr>
                <w:rFonts w:ascii="宋体" w:hAnsi="宋体" w:cs="宋体"/>
                <w:kern w:val="0"/>
                <w:szCs w:val="21"/>
                <w:highlight w:val="none"/>
              </w:rPr>
            </w:pPr>
            <w:r>
              <w:rPr>
                <w:rFonts w:hint="eastAsia" w:ascii="宋体" w:hAnsi="宋体" w:cs="宋体"/>
                <w:szCs w:val="21"/>
                <w:highlight w:val="none"/>
              </w:rPr>
              <w:t>评标办法：</w:t>
            </w:r>
            <w:r>
              <w:rPr>
                <w:rFonts w:hint="eastAsia" w:ascii="宋体" w:hAnsi="宋体" w:cs="宋体"/>
                <w:kern w:val="0"/>
                <w:szCs w:val="21"/>
                <w:highlight w:val="none"/>
              </w:rPr>
              <w:t>本项目采用</w:t>
            </w:r>
            <w:r>
              <w:rPr>
                <w:rFonts w:hint="eastAsia" w:ascii="宋体" w:hAnsi="宋体" w:cs="宋体"/>
                <w:szCs w:val="21"/>
                <w:highlight w:val="none"/>
              </w:rPr>
              <w:t>综合评分法</w:t>
            </w:r>
            <w:r>
              <w:rPr>
                <w:rFonts w:hint="eastAsia" w:ascii="宋体" w:hAnsi="宋体" w:cs="宋体"/>
                <w:kern w:val="0"/>
                <w:szCs w:val="21"/>
                <w:highlight w:val="none"/>
              </w:rPr>
              <w:t>。</w:t>
            </w:r>
          </w:p>
        </w:tc>
      </w:tr>
      <w:tr w14:paraId="656B11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1A47B6A">
            <w:pPr>
              <w:widowControl/>
              <w:spacing w:line="460" w:lineRule="atLeast"/>
              <w:ind w:firstLine="420"/>
              <w:jc w:val="center"/>
              <w:rPr>
                <w:rFonts w:ascii="宋体" w:hAnsi="宋体" w:cs="宋体"/>
                <w:kern w:val="0"/>
                <w:szCs w:val="21"/>
                <w:highlight w:val="none"/>
              </w:rPr>
            </w:pPr>
            <w:r>
              <w:rPr>
                <w:rFonts w:hint="eastAsia" w:ascii="宋体" w:hAnsi="宋体" w:cs="宋体"/>
                <w:kern w:val="0"/>
                <w:szCs w:val="21"/>
                <w:highlight w:val="none"/>
              </w:rPr>
              <w:t>6</w:t>
            </w:r>
          </w:p>
        </w:tc>
        <w:tc>
          <w:tcPr>
            <w:tcW w:w="85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14C9DDC">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3A6A1D1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7CC5848">
            <w:pPr>
              <w:widowControl/>
              <w:spacing w:line="460" w:lineRule="atLeast"/>
              <w:ind w:firstLine="420"/>
              <w:jc w:val="center"/>
              <w:rPr>
                <w:rFonts w:ascii="宋体" w:hAnsi="宋体" w:cs="宋体"/>
                <w:kern w:val="0"/>
                <w:szCs w:val="21"/>
                <w:highlight w:val="none"/>
              </w:rPr>
            </w:pPr>
            <w:r>
              <w:rPr>
                <w:rFonts w:hint="eastAsia" w:ascii="宋体" w:hAnsi="宋体" w:cs="宋体"/>
                <w:kern w:val="0"/>
                <w:szCs w:val="21"/>
                <w:highlight w:val="none"/>
              </w:rPr>
              <w:t>7</w:t>
            </w:r>
          </w:p>
        </w:tc>
        <w:tc>
          <w:tcPr>
            <w:tcW w:w="85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870018B">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采购资金来源：自筹资金。</w:t>
            </w:r>
          </w:p>
        </w:tc>
      </w:tr>
      <w:tr w14:paraId="490BB52F">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6DCCF7E">
            <w:pPr>
              <w:widowControl/>
              <w:snapToGrid w:val="0"/>
              <w:spacing w:line="360" w:lineRule="auto"/>
              <w:ind w:firstLine="420"/>
              <w:jc w:val="center"/>
              <w:rPr>
                <w:rFonts w:ascii="宋体" w:hAnsi="宋体" w:cs="宋体"/>
                <w:kern w:val="0"/>
                <w:szCs w:val="21"/>
                <w:highlight w:val="none"/>
              </w:rPr>
            </w:pPr>
            <w:r>
              <w:rPr>
                <w:rFonts w:hint="eastAsia" w:ascii="宋体" w:hAnsi="宋体" w:cs="宋体"/>
                <w:kern w:val="0"/>
                <w:szCs w:val="21"/>
                <w:highlight w:val="none"/>
              </w:rPr>
              <w:t>8</w:t>
            </w:r>
          </w:p>
        </w:tc>
        <w:tc>
          <w:tcPr>
            <w:tcW w:w="85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F9A9CC9">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响应文件有效期：响应文件递交截止期结束后90日。成交供应商的响应文件是合同的组成部分,有效期至合同完全履行止。</w:t>
            </w:r>
          </w:p>
        </w:tc>
      </w:tr>
    </w:tbl>
    <w:p w14:paraId="4C5799E5">
      <w:pPr>
        <w:ind w:firstLine="440"/>
        <w:rPr>
          <w:rFonts w:ascii="宋体" w:hAnsi="宋体" w:cs="宋体"/>
          <w:highlight w:val="none"/>
        </w:rPr>
      </w:pPr>
    </w:p>
    <w:p w14:paraId="224A7767">
      <w:pPr>
        <w:snapToGrid w:val="0"/>
        <w:spacing w:line="360" w:lineRule="auto"/>
        <w:ind w:firstLine="562"/>
        <w:jc w:val="center"/>
        <w:outlineLvl w:val="1"/>
        <w:rPr>
          <w:rFonts w:ascii="宋体" w:hAnsi="宋体" w:cs="宋体"/>
          <w:kern w:val="0"/>
          <w:sz w:val="24"/>
          <w:highlight w:val="none"/>
        </w:rPr>
      </w:pPr>
      <w:bookmarkStart w:id="36" w:name="_Toc4700"/>
      <w:bookmarkStart w:id="37" w:name="_Toc16669"/>
      <w:r>
        <w:rPr>
          <w:rFonts w:hint="eastAsia" w:ascii="宋体" w:hAnsi="宋体" w:cs="宋体"/>
          <w:b/>
          <w:bCs/>
          <w:kern w:val="0"/>
          <w:sz w:val="28"/>
          <w:szCs w:val="28"/>
          <w:highlight w:val="none"/>
        </w:rPr>
        <w:t>一 、说 明</w:t>
      </w:r>
    </w:p>
    <w:p w14:paraId="76154C68">
      <w:pPr>
        <w:snapToGrid w:val="0"/>
        <w:spacing w:line="360" w:lineRule="auto"/>
        <w:ind w:firstLine="442"/>
        <w:jc w:val="left"/>
        <w:rPr>
          <w:rFonts w:ascii="宋体" w:hAnsi="宋体" w:cs="宋体"/>
          <w:b/>
          <w:bCs/>
          <w:kern w:val="0"/>
          <w:szCs w:val="21"/>
          <w:highlight w:val="none"/>
        </w:rPr>
      </w:pPr>
      <w:r>
        <w:rPr>
          <w:rFonts w:hint="eastAsia" w:ascii="宋体" w:hAnsi="宋体" w:cs="宋体"/>
          <w:b/>
          <w:bCs/>
          <w:kern w:val="0"/>
          <w:szCs w:val="21"/>
          <w:highlight w:val="none"/>
        </w:rPr>
        <w:t>1.适用范围</w:t>
      </w:r>
    </w:p>
    <w:p w14:paraId="5173509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本采购文件仅适用于驻马店市中心医院采购的服务项目。</w:t>
      </w:r>
    </w:p>
    <w:p w14:paraId="41AC8B04">
      <w:pPr>
        <w:snapToGrid w:val="0"/>
        <w:spacing w:line="360" w:lineRule="auto"/>
        <w:ind w:firstLine="442"/>
        <w:jc w:val="left"/>
        <w:rPr>
          <w:rFonts w:ascii="宋体" w:hAnsi="宋体" w:cs="宋体"/>
          <w:b/>
          <w:bCs/>
          <w:kern w:val="0"/>
          <w:szCs w:val="21"/>
          <w:highlight w:val="none"/>
        </w:rPr>
      </w:pPr>
      <w:r>
        <w:rPr>
          <w:rFonts w:hint="eastAsia" w:ascii="宋体" w:hAnsi="宋体" w:cs="宋体"/>
          <w:b/>
          <w:bCs/>
          <w:kern w:val="0"/>
          <w:szCs w:val="21"/>
          <w:highlight w:val="none"/>
        </w:rPr>
        <w:t>2.定义</w:t>
      </w:r>
    </w:p>
    <w:p w14:paraId="658A8EB5">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2.1供应商：领取了本采购文件，且已经提交本次响应文件的供应商。</w:t>
      </w:r>
    </w:p>
    <w:p w14:paraId="6AD9FE02">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2.2供应商代表：代表供应商参加本次采购活动的供应商的法定代表人或其委托代理人。</w:t>
      </w:r>
    </w:p>
    <w:p w14:paraId="3E244F7E">
      <w:pPr>
        <w:snapToGrid w:val="0"/>
        <w:spacing w:line="324" w:lineRule="auto"/>
        <w:ind w:firstLine="442"/>
        <w:rPr>
          <w:rFonts w:ascii="宋体" w:hAnsi="宋体" w:cs="宋体"/>
          <w:b/>
          <w:kern w:val="0"/>
          <w:szCs w:val="21"/>
          <w:highlight w:val="none"/>
        </w:rPr>
      </w:pPr>
      <w:r>
        <w:rPr>
          <w:rFonts w:hint="eastAsia" w:ascii="宋体" w:hAnsi="宋体" w:cs="宋体"/>
          <w:b/>
          <w:kern w:val="0"/>
          <w:szCs w:val="21"/>
          <w:highlight w:val="none"/>
        </w:rPr>
        <w:t>3.供应商应提交的证明文件</w:t>
      </w:r>
    </w:p>
    <w:p w14:paraId="50805DC0">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3.1具有独立承担民事责任的能力（提供营业执照或其他证明材料）；</w:t>
      </w:r>
    </w:p>
    <w:p w14:paraId="49BEE5C3">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3.2具有良好的商业信誉和健全的财务会计制度（提供经审计的2024年</w:t>
      </w:r>
      <w:r>
        <w:rPr>
          <w:rFonts w:hint="eastAsia" w:ascii="宋体" w:hAnsi="宋体" w:cs="宋体"/>
          <w:szCs w:val="21"/>
          <w:highlight w:val="none"/>
          <w:shd w:val="clear" w:color="auto" w:fill="FFFFFF"/>
          <w:lang w:val="en-US" w:eastAsia="zh-CN"/>
        </w:rPr>
        <w:t>或2025年</w:t>
      </w:r>
      <w:r>
        <w:rPr>
          <w:rFonts w:hint="eastAsia" w:ascii="宋体" w:hAnsi="宋体" w:cs="宋体"/>
          <w:szCs w:val="21"/>
          <w:highlight w:val="none"/>
          <w:shd w:val="clear" w:color="auto" w:fill="FFFFFF"/>
        </w:rPr>
        <w:t>度财务报告或者其基本开户银行出具的资信证明）；</w:t>
      </w:r>
    </w:p>
    <w:p w14:paraId="4E46BDEB">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3.3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2896D998">
      <w:pPr>
        <w:widowControl/>
        <w:tabs>
          <w:tab w:val="left" w:pos="840"/>
        </w:tabs>
        <w:snapToGrid w:val="0"/>
        <w:spacing w:line="360"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3.4具有履行合同所必需的设备和专业技术能力（提供书面承诺函）；</w:t>
      </w:r>
    </w:p>
    <w:p w14:paraId="79AE6790">
      <w:pPr>
        <w:widowControl/>
        <w:tabs>
          <w:tab w:val="left" w:pos="840"/>
        </w:tabs>
        <w:snapToGrid w:val="0"/>
        <w:spacing w:line="360" w:lineRule="auto"/>
        <w:ind w:firstLine="420" w:firstLineChars="200"/>
        <w:jc w:val="left"/>
        <w:rPr>
          <w:highlight w:val="none"/>
        </w:rPr>
      </w:pPr>
      <w:r>
        <w:rPr>
          <w:rFonts w:hint="eastAsia" w:ascii="宋体" w:hAnsi="宋体" w:cs="宋体"/>
          <w:szCs w:val="21"/>
          <w:highlight w:val="none"/>
          <w:shd w:val="clear" w:color="auto" w:fill="FFFFFF"/>
        </w:rPr>
        <w:t>3.5参加本采购活动前三年内，在经营活动中没有重大违法记录（提供书面承诺函）；</w:t>
      </w:r>
    </w:p>
    <w:p w14:paraId="0A8500BE">
      <w:pPr>
        <w:widowControl/>
        <w:tabs>
          <w:tab w:val="left" w:pos="840"/>
        </w:tabs>
        <w:snapToGrid w:val="0"/>
        <w:spacing w:line="324" w:lineRule="auto"/>
        <w:ind w:firstLine="420" w:firstLineChars="200"/>
        <w:jc w:val="left"/>
        <w:rPr>
          <w:rFonts w:hint="eastAsia" w:ascii="宋体" w:hAnsi="宋体" w:eastAsia="宋体" w:cs="宋体"/>
          <w:szCs w:val="21"/>
          <w:highlight w:val="none"/>
          <w:shd w:val="clear" w:color="auto" w:fill="FFFFFF"/>
          <w:lang w:eastAsia="zh-CN"/>
        </w:rPr>
      </w:pPr>
      <w:r>
        <w:rPr>
          <w:rFonts w:hint="eastAsia" w:ascii="宋体" w:hAnsi="宋体" w:cs="宋体"/>
          <w:szCs w:val="21"/>
          <w:highlight w:val="none"/>
          <w:shd w:val="clear" w:color="auto" w:fill="FFFFFF"/>
        </w:rPr>
        <w:t>3.6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szCs w:val="21"/>
          <w:highlight w:val="none"/>
          <w:shd w:val="clear" w:color="auto" w:fill="FFFFFF"/>
          <w:lang w:eastAsia="zh-CN"/>
        </w:rPr>
        <w:t>。</w:t>
      </w:r>
    </w:p>
    <w:p w14:paraId="7E1277FD">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3.7单位负责人为同一人或者存在直接控股、管理关系的不同供应商，不得参加同一合同项下的磋商（提供承诺函）。</w:t>
      </w:r>
    </w:p>
    <w:p w14:paraId="193EFE19">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3.8本项目特定资格要求：</w:t>
      </w:r>
    </w:p>
    <w:p w14:paraId="32425181">
      <w:pPr>
        <w:widowControl/>
        <w:tabs>
          <w:tab w:val="left" w:pos="840"/>
        </w:tabs>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供应商纳入未被污染输液瓶（袋）回收企业目录库，提供商务部门颁发的证明材料。</w:t>
      </w:r>
    </w:p>
    <w:p w14:paraId="59AF1D96">
      <w:pPr>
        <w:snapToGrid w:val="0"/>
        <w:spacing w:line="360" w:lineRule="auto"/>
        <w:ind w:firstLine="482"/>
        <w:jc w:val="left"/>
        <w:rPr>
          <w:rFonts w:ascii="宋体" w:hAnsi="宋体" w:cs="宋体"/>
          <w:kern w:val="0"/>
          <w:szCs w:val="21"/>
          <w:highlight w:val="none"/>
        </w:rPr>
      </w:pPr>
      <w:r>
        <w:rPr>
          <w:rFonts w:hint="eastAsia" w:ascii="宋体" w:hAnsi="宋体" w:cs="宋体"/>
          <w:b/>
          <w:bCs/>
          <w:kern w:val="0"/>
          <w:szCs w:val="21"/>
          <w:highlight w:val="none"/>
        </w:rPr>
        <w:t>4.投标费用</w:t>
      </w:r>
    </w:p>
    <w:p w14:paraId="571AEC4B">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不论投标结果如何，供应商均应自行承担所有与投标有关的全部费用。</w:t>
      </w:r>
    </w:p>
    <w:p w14:paraId="0A01D95C">
      <w:pPr>
        <w:snapToGrid w:val="0"/>
        <w:spacing w:line="360" w:lineRule="auto"/>
        <w:ind w:firstLine="482"/>
        <w:jc w:val="left"/>
        <w:rPr>
          <w:rFonts w:ascii="宋体" w:hAnsi="宋体" w:cs="宋体"/>
          <w:kern w:val="0"/>
          <w:szCs w:val="21"/>
          <w:highlight w:val="none"/>
        </w:rPr>
      </w:pPr>
      <w:r>
        <w:rPr>
          <w:rFonts w:hint="eastAsia" w:ascii="宋体" w:hAnsi="宋体" w:cs="宋体"/>
          <w:b/>
          <w:bCs/>
          <w:kern w:val="0"/>
          <w:szCs w:val="21"/>
          <w:highlight w:val="none"/>
        </w:rPr>
        <w:t>5.关联企业投标</w:t>
      </w:r>
    </w:p>
    <w:p w14:paraId="49A4466A">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5.1 本采购文件所称关联企业,是指存在关联关系的企业。“关联关系”的界定适用《中华人民共和国公司法》第二百一十六条、《中华人民共和国政府采购法实施条例》第十八条之规定。</w:t>
      </w:r>
    </w:p>
    <w:p w14:paraId="701E2F29">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5.2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72E63CA8">
      <w:pPr>
        <w:snapToGrid w:val="0"/>
        <w:spacing w:line="360" w:lineRule="auto"/>
        <w:ind w:firstLine="482"/>
        <w:jc w:val="left"/>
        <w:rPr>
          <w:rFonts w:ascii="宋体" w:hAnsi="宋体" w:cs="宋体"/>
          <w:kern w:val="0"/>
          <w:szCs w:val="21"/>
          <w:highlight w:val="none"/>
        </w:rPr>
      </w:pPr>
      <w:r>
        <w:rPr>
          <w:rFonts w:hint="eastAsia" w:ascii="宋体" w:hAnsi="宋体" w:cs="宋体"/>
          <w:b/>
          <w:bCs/>
          <w:kern w:val="0"/>
          <w:szCs w:val="21"/>
          <w:highlight w:val="none"/>
        </w:rPr>
        <w:t>6.转包与分包</w:t>
      </w:r>
    </w:p>
    <w:p w14:paraId="56B182F3">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6.1本项目不允许采取转包方式履行合同。</w:t>
      </w:r>
    </w:p>
    <w:p w14:paraId="54459277">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6.2本项目不允许采取分包方式履行合同。</w:t>
      </w:r>
    </w:p>
    <w:p w14:paraId="67F9F2C1">
      <w:pPr>
        <w:snapToGrid w:val="0"/>
        <w:spacing w:line="360" w:lineRule="auto"/>
        <w:ind w:firstLine="482"/>
        <w:jc w:val="left"/>
        <w:rPr>
          <w:rFonts w:ascii="宋体" w:hAnsi="宋体" w:cs="宋体"/>
          <w:kern w:val="0"/>
          <w:szCs w:val="21"/>
          <w:highlight w:val="none"/>
        </w:rPr>
      </w:pPr>
      <w:r>
        <w:rPr>
          <w:rFonts w:hint="eastAsia" w:ascii="宋体" w:hAnsi="宋体" w:cs="宋体"/>
          <w:b/>
          <w:bCs/>
          <w:kern w:val="0"/>
          <w:szCs w:val="21"/>
          <w:highlight w:val="none"/>
        </w:rPr>
        <w:t>7.特别说明：</w:t>
      </w:r>
    </w:p>
    <w:p w14:paraId="3A764577">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7.1供应商代表只能接受一个供应商的委托参加投标。</w:t>
      </w:r>
    </w:p>
    <w:p w14:paraId="68937B40">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7.2《政府采购法》第二十二条第五款“参加政府采购活动前三年内，在经营活动中没有重大违法记录”，《政府采购法》实施条例第十九条 “重大违法记录是指供应商因违法经营受到刑事处罚或者责令停产停业、吊销许可证或者执照、较大数额罚款等行政处罚。”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3DDDAD83">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7.3供应商在投标活动中提供虚假材料或从事其他违法活动的,其投标无效，由相关部门查处。</w:t>
      </w:r>
    </w:p>
    <w:p w14:paraId="4BA66A37">
      <w:pPr>
        <w:snapToGrid w:val="0"/>
        <w:spacing w:line="360" w:lineRule="auto"/>
        <w:ind w:firstLine="482"/>
        <w:jc w:val="left"/>
        <w:rPr>
          <w:rFonts w:ascii="宋体" w:hAnsi="宋体" w:cs="宋体"/>
          <w:kern w:val="0"/>
          <w:szCs w:val="21"/>
          <w:highlight w:val="none"/>
        </w:rPr>
      </w:pPr>
      <w:r>
        <w:rPr>
          <w:rFonts w:hint="eastAsia" w:ascii="宋体" w:hAnsi="宋体" w:cs="宋体"/>
          <w:b/>
          <w:bCs/>
          <w:kern w:val="0"/>
          <w:szCs w:val="21"/>
          <w:highlight w:val="none"/>
        </w:rPr>
        <w:t>8.质疑和投诉</w:t>
      </w:r>
    </w:p>
    <w:p w14:paraId="350019FC">
      <w:pPr>
        <w:snapToGrid w:val="0"/>
        <w:spacing w:line="360" w:lineRule="auto"/>
        <w:ind w:firstLine="411" w:firstLineChars="196"/>
        <w:jc w:val="left"/>
        <w:rPr>
          <w:rFonts w:ascii="宋体" w:hAnsi="宋体" w:cs="宋体"/>
          <w:kern w:val="0"/>
          <w:szCs w:val="21"/>
          <w:highlight w:val="none"/>
        </w:rPr>
      </w:pPr>
      <w:r>
        <w:rPr>
          <w:rFonts w:hint="eastAsia" w:ascii="宋体" w:hAnsi="宋体" w:cs="宋体"/>
          <w:kern w:val="0"/>
          <w:szCs w:val="21"/>
          <w:highlight w:val="none"/>
        </w:rPr>
        <w:t>8.1</w:t>
      </w:r>
      <w:r>
        <w:rPr>
          <w:rFonts w:hint="eastAsia" w:ascii="宋体" w:hAnsi="宋体" w:cs="宋体"/>
          <w:bCs/>
          <w:kern w:val="0"/>
          <w:szCs w:val="21"/>
          <w:highlight w:val="none"/>
        </w:rPr>
        <w:t>供应商认为采购文件使自己的合法权益受到损害的，</w:t>
      </w:r>
      <w:r>
        <w:rPr>
          <w:rFonts w:hint="eastAsia" w:ascii="宋体" w:hAnsi="宋体" w:cs="宋体"/>
          <w:kern w:val="0"/>
          <w:szCs w:val="21"/>
          <w:highlight w:val="none"/>
        </w:rPr>
        <w:t>应当在采购公告期限届满之日(或收到采购文件之日)起3个工作日之内向</w:t>
      </w:r>
      <w:r>
        <w:rPr>
          <w:rFonts w:hint="eastAsia" w:ascii="宋体" w:hAnsi="宋体" w:cs="宋体"/>
          <w:bCs/>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highlight w:val="none"/>
        </w:rPr>
        <w:t>逾期不再受理,</w:t>
      </w:r>
      <w:r>
        <w:rPr>
          <w:rFonts w:hint="eastAsia" w:ascii="宋体" w:hAnsi="宋体" w:cs="宋体"/>
          <w:bCs/>
          <w:kern w:val="0"/>
          <w:szCs w:val="21"/>
          <w:highlight w:val="none"/>
        </w:rPr>
        <w:t>供应商在法定质疑期内应一次性提出针对同一采购环节的质疑。</w:t>
      </w:r>
      <w:r>
        <w:rPr>
          <w:rFonts w:hint="eastAsia" w:ascii="宋体" w:hAnsi="宋体" w:cs="宋体"/>
          <w:kern w:val="0"/>
          <w:szCs w:val="21"/>
          <w:highlight w:val="none"/>
        </w:rPr>
        <w:t>供应商对</w:t>
      </w:r>
      <w:r>
        <w:rPr>
          <w:rFonts w:hint="eastAsia" w:ascii="宋体" w:hAnsi="宋体" w:cs="宋体"/>
          <w:bCs/>
          <w:kern w:val="0"/>
          <w:szCs w:val="21"/>
          <w:highlight w:val="none"/>
        </w:rPr>
        <w:t>采购人</w:t>
      </w:r>
      <w:r>
        <w:rPr>
          <w:rFonts w:hint="eastAsia" w:ascii="宋体" w:hAnsi="宋体" w:cs="宋体"/>
          <w:kern w:val="0"/>
          <w:szCs w:val="21"/>
          <w:highlight w:val="none"/>
        </w:rPr>
        <w:t>的质疑答复不满意,或</w:t>
      </w:r>
      <w:r>
        <w:rPr>
          <w:rFonts w:hint="eastAsia" w:ascii="宋体" w:hAnsi="宋体" w:cs="宋体"/>
          <w:bCs/>
          <w:kern w:val="0"/>
          <w:szCs w:val="21"/>
          <w:highlight w:val="none"/>
        </w:rPr>
        <w:t>采购人</w:t>
      </w:r>
      <w:r>
        <w:rPr>
          <w:rFonts w:hint="eastAsia" w:ascii="宋体" w:hAnsi="宋体" w:cs="宋体"/>
          <w:kern w:val="0"/>
          <w:szCs w:val="21"/>
          <w:highlight w:val="none"/>
        </w:rPr>
        <w:t>未在规定时间内作出答复的，可以在答复期满后15个工作日内向医院纪检部门投诉。</w:t>
      </w:r>
    </w:p>
    <w:p w14:paraId="0817EF86">
      <w:pPr>
        <w:shd w:val="clear" w:color="auto" w:fill="FFFFFF"/>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8.2</w:t>
      </w:r>
      <w:r>
        <w:rPr>
          <w:rFonts w:hint="eastAsia" w:ascii="宋体" w:hAnsi="宋体" w:cs="宋体"/>
          <w:bCs/>
          <w:kern w:val="0"/>
          <w:szCs w:val="21"/>
          <w:highlight w:val="none"/>
        </w:rPr>
        <w:t>质疑、投诉应当采用书面形式，质疑书、投诉书均应明确阐述采购文件、磋商过程和成交结果中使自己合法权益受到损害的实质性内容，提供相关事实、依据和证据及其来源或线索，便于有关单位调查、答复和处理。</w:t>
      </w:r>
    </w:p>
    <w:p w14:paraId="4E450A95">
      <w:pPr>
        <w:snapToGrid w:val="0"/>
        <w:spacing w:line="360" w:lineRule="auto"/>
        <w:ind w:firstLine="482"/>
        <w:jc w:val="center"/>
        <w:outlineLvl w:val="1"/>
        <w:rPr>
          <w:rFonts w:ascii="宋体" w:hAnsi="宋体" w:cs="宋体"/>
          <w:b/>
          <w:bCs/>
          <w:kern w:val="0"/>
          <w:szCs w:val="21"/>
          <w:highlight w:val="none"/>
        </w:rPr>
      </w:pPr>
      <w:r>
        <w:rPr>
          <w:rFonts w:hint="eastAsia" w:ascii="宋体" w:hAnsi="宋体" w:cs="宋体"/>
          <w:b/>
          <w:bCs/>
          <w:kern w:val="0"/>
          <w:szCs w:val="21"/>
          <w:highlight w:val="none"/>
        </w:rPr>
        <w:t>二、采购文件</w:t>
      </w:r>
    </w:p>
    <w:p w14:paraId="7613D581">
      <w:pPr>
        <w:tabs>
          <w:tab w:val="left" w:pos="720"/>
        </w:tabs>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9.采购文件构成</w:t>
      </w:r>
    </w:p>
    <w:p w14:paraId="4A29853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供应商应仔细阅读采购文件中供应商须知、条款、格式等所有事项，按采购文件的要求制作并提交响应文件，并保证所提供的全部资料的真实性，以使其投标对采购文件做出实质性响应，否则，将承担其投标被拒绝的风险。</w:t>
      </w:r>
    </w:p>
    <w:p w14:paraId="2D61B50F">
      <w:pPr>
        <w:snapToGrid w:val="0"/>
        <w:spacing w:line="360" w:lineRule="auto"/>
        <w:ind w:firstLine="417" w:firstLineChars="198"/>
        <w:rPr>
          <w:rFonts w:ascii="宋体" w:hAnsi="宋体" w:cs="宋体"/>
          <w:b/>
          <w:bCs/>
          <w:kern w:val="0"/>
          <w:szCs w:val="21"/>
          <w:highlight w:val="none"/>
        </w:rPr>
      </w:pPr>
      <w:r>
        <w:rPr>
          <w:rFonts w:hint="eastAsia" w:ascii="宋体" w:hAnsi="宋体" w:cs="宋体"/>
          <w:b/>
          <w:bCs/>
          <w:kern w:val="0"/>
          <w:szCs w:val="21"/>
          <w:highlight w:val="none"/>
        </w:rPr>
        <w:t>10.采购文件的澄清与修改</w:t>
      </w:r>
    </w:p>
    <w:p w14:paraId="77BA682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10.1 采购人对已发出的采购文件进行必要澄清、修改或补充的，应当在原采购公告发布媒体上发布更正公告或变更公告。</w:t>
      </w:r>
    </w:p>
    <w:p w14:paraId="54B3F168">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10.2 采购文件澄清、修改或补充的内容为采购文件的组成部分。</w:t>
      </w:r>
    </w:p>
    <w:p w14:paraId="1D170065">
      <w:pPr>
        <w:snapToGrid w:val="0"/>
        <w:spacing w:line="360" w:lineRule="auto"/>
        <w:ind w:firstLine="482"/>
        <w:jc w:val="center"/>
        <w:outlineLvl w:val="1"/>
        <w:rPr>
          <w:rFonts w:ascii="宋体" w:hAnsi="宋体" w:cs="宋体"/>
          <w:b/>
          <w:bCs/>
          <w:kern w:val="0"/>
          <w:szCs w:val="21"/>
          <w:highlight w:val="none"/>
        </w:rPr>
      </w:pPr>
      <w:r>
        <w:rPr>
          <w:rFonts w:hint="eastAsia" w:ascii="宋体" w:hAnsi="宋体" w:cs="宋体"/>
          <w:b/>
          <w:bCs/>
          <w:kern w:val="0"/>
          <w:szCs w:val="21"/>
          <w:highlight w:val="none"/>
        </w:rPr>
        <w:t>三、响应文件的编制</w:t>
      </w:r>
    </w:p>
    <w:p w14:paraId="688A9531">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11.要求</w:t>
      </w:r>
    </w:p>
    <w:p w14:paraId="587036F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w:t>
      </w:r>
      <w:r>
        <w:rPr>
          <w:rFonts w:hint="eastAsia" w:ascii="宋体" w:hAnsi="宋体" w:cs="宋体"/>
          <w:kern w:val="0"/>
          <w:szCs w:val="21"/>
          <w:highlight w:val="none"/>
          <w:lang w:val="en-US" w:eastAsia="zh-CN"/>
        </w:rPr>
        <w:t>服务</w:t>
      </w:r>
      <w:r>
        <w:rPr>
          <w:rFonts w:hint="eastAsia" w:ascii="宋体" w:hAnsi="宋体" w:cs="宋体"/>
          <w:kern w:val="0"/>
          <w:szCs w:val="21"/>
          <w:highlight w:val="none"/>
        </w:rPr>
        <w:t>技术要求、商务要求和响应文件格式中对磋商的要求），供应商对所提供的全部资料的合法性、真实性负责。</w:t>
      </w:r>
    </w:p>
    <w:p w14:paraId="41BB549D">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12.响应文件的语言和计量单位</w:t>
      </w:r>
    </w:p>
    <w:p w14:paraId="5D6944F4">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12.1 响应文件以及供应商与采购人就有关磋商事宜的所有来往函电均应使用简体中文书写。供应商提供的外文资料应附有相应的中文译本，并以中文译本为准。</w:t>
      </w:r>
    </w:p>
    <w:p w14:paraId="71A24980">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12.2关于磋商计量单位，采购文件已有明确规定的，使用采购文件规定的计量单位；采购文件没有规定的，应采用中华人民共和国法定计量单位。</w:t>
      </w:r>
    </w:p>
    <w:p w14:paraId="1786921D">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13.响应文件的组成</w:t>
      </w:r>
      <w:r>
        <w:rPr>
          <w:rFonts w:hint="eastAsia" w:ascii="宋体" w:hAnsi="宋体" w:cs="宋体"/>
          <w:kern w:val="0"/>
          <w:szCs w:val="21"/>
          <w:highlight w:val="none"/>
        </w:rPr>
        <w:t>。</w:t>
      </w:r>
      <w:r>
        <w:rPr>
          <w:rFonts w:hint="eastAsia" w:ascii="宋体" w:hAnsi="宋体" w:cs="宋体"/>
          <w:b/>
          <w:bCs/>
          <w:kern w:val="0"/>
          <w:szCs w:val="21"/>
          <w:highlight w:val="none"/>
        </w:rPr>
        <w:t>响应文件应包括下列部分：</w:t>
      </w:r>
    </w:p>
    <w:p w14:paraId="1A0F1BE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13.1竞争性磋商响应书</w:t>
      </w:r>
    </w:p>
    <w:p w14:paraId="4C234C49">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13.2初次报价一览表</w:t>
      </w:r>
    </w:p>
    <w:p w14:paraId="136262CB">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13.3服务技术响应表</w:t>
      </w:r>
    </w:p>
    <w:p w14:paraId="6CA11BF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13.4商务响应表</w:t>
      </w:r>
    </w:p>
    <w:p w14:paraId="7658B703">
      <w:pPr>
        <w:snapToGrid w:val="0"/>
        <w:spacing w:line="360" w:lineRule="auto"/>
        <w:ind w:left="208" w:leftChars="99" w:firstLine="210" w:firstLineChars="100"/>
        <w:jc w:val="left"/>
        <w:rPr>
          <w:rFonts w:ascii="宋体" w:hAnsi="宋体" w:cs="宋体"/>
          <w:kern w:val="0"/>
          <w:szCs w:val="21"/>
          <w:highlight w:val="none"/>
        </w:rPr>
      </w:pPr>
      <w:r>
        <w:rPr>
          <w:rFonts w:hint="eastAsia" w:ascii="宋体" w:hAnsi="宋体" w:cs="宋体"/>
          <w:kern w:val="0"/>
          <w:szCs w:val="21"/>
          <w:highlight w:val="none"/>
        </w:rPr>
        <w:t>13.5法定代表人身份证明</w:t>
      </w:r>
    </w:p>
    <w:p w14:paraId="12F6798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13.6法定代表人授权书</w:t>
      </w:r>
    </w:p>
    <w:p w14:paraId="7CAD0C9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13.8证明文件</w:t>
      </w:r>
    </w:p>
    <w:p w14:paraId="50F9E9D0">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14.响应文件有效期</w:t>
      </w:r>
    </w:p>
    <w:p w14:paraId="296D6503">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响应文件应自规定的磋商之日起，在“供应商须知”规定的时间内保持有效。磋商有效期不足的投标将被视为非实质性响应，并予以拒绝。</w:t>
      </w:r>
    </w:p>
    <w:p w14:paraId="4C6698AE">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15.投标报价</w:t>
      </w:r>
    </w:p>
    <w:p w14:paraId="4899C83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15.1 所有磋商报价均以人民币元为计算单位。</w:t>
      </w:r>
    </w:p>
    <w:p w14:paraId="08A4D3B3">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15.2 供应商要按初次报价一览表的内容填写。</w:t>
      </w:r>
    </w:p>
    <w:p w14:paraId="351DDCB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15.3 </w:t>
      </w:r>
      <w:r>
        <w:rPr>
          <w:rFonts w:hint="eastAsia" w:ascii="宋体" w:hAnsi="宋体" w:cs="宋体"/>
          <w:spacing w:val="10"/>
          <w:kern w:val="0"/>
          <w:szCs w:val="21"/>
          <w:highlight w:val="none"/>
        </w:rPr>
        <w:t>供应商投报多标包的，应对每标包分别报价并分别填报</w:t>
      </w:r>
      <w:r>
        <w:rPr>
          <w:rFonts w:hint="eastAsia" w:ascii="宋体" w:hAnsi="宋体" w:cs="宋体"/>
          <w:kern w:val="0"/>
          <w:szCs w:val="21"/>
          <w:highlight w:val="none"/>
        </w:rPr>
        <w:t>初次报价一览表</w:t>
      </w:r>
      <w:r>
        <w:rPr>
          <w:rFonts w:hint="eastAsia" w:ascii="宋体" w:hAnsi="宋体" w:cs="宋体"/>
          <w:spacing w:val="10"/>
          <w:kern w:val="0"/>
          <w:szCs w:val="21"/>
          <w:highlight w:val="none"/>
        </w:rPr>
        <w:t>。</w:t>
      </w:r>
    </w:p>
    <w:p w14:paraId="58308CD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15.4 初次报价一览表中标明的价格在政府采购合同执行过程中是固定不变的，供应商不得以任何理由予以变更。以可调整的价格提交的投标将被作为无效投标处理。</w:t>
      </w:r>
    </w:p>
    <w:p w14:paraId="2A310E1B">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15.5 采购人不接受可选择的投标报价。</w:t>
      </w:r>
    </w:p>
    <w:p w14:paraId="332C428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15.6 对于供应商在初次报价一览表和响应文件中列出的赠送条款，在评审时不得作为价格评分因素或者调整评标价格的依据。</w:t>
      </w:r>
    </w:p>
    <w:p w14:paraId="54096285">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16.</w:t>
      </w:r>
      <w:r>
        <w:rPr>
          <w:rFonts w:hint="eastAsia" w:ascii="宋体" w:hAnsi="宋体" w:cs="宋体"/>
          <w:b/>
          <w:bCs/>
          <w:kern w:val="0"/>
          <w:szCs w:val="21"/>
          <w:highlight w:val="none"/>
        </w:rPr>
        <w:t>响应</w:t>
      </w:r>
      <w:r>
        <w:rPr>
          <w:rFonts w:hint="eastAsia" w:ascii="宋体" w:hAnsi="宋体" w:cs="宋体"/>
          <w:b/>
          <w:kern w:val="0"/>
          <w:szCs w:val="21"/>
          <w:highlight w:val="none"/>
        </w:rPr>
        <w:t>文件的签署及其他规定</w:t>
      </w:r>
    </w:p>
    <w:p w14:paraId="1F3EBB19">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16.1响应文件应按第六章“响应文件格式”进行编写，如有必要，可以增加附页，作为响应文件的组成部分。其中，磋商报价一览表在满足采购文件实质性要求的基础上，可以提出比采购文件要求更有利于采购人的承诺。</w:t>
      </w:r>
    </w:p>
    <w:p w14:paraId="7A35F34E">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16.2响应文件应用不褪色的材料书写或打印，并由供应商的法定代表人盖章或盖单位公章；响应文件应尽量避免涂改、行间插字或删除，如果出现上述情况，改动之处应加盖单位公章或由供应商的法定代表人盖章确认。</w:t>
      </w:r>
    </w:p>
    <w:p w14:paraId="6D341247">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16.3响应文件份数见供应商须知前附表。响应文件正本和副本的封面上应清楚地标记“正本”或“副本”的字样。</w:t>
      </w:r>
    </w:p>
    <w:p w14:paraId="7403FA6B">
      <w:pPr>
        <w:snapToGrid w:val="0"/>
        <w:spacing w:line="360" w:lineRule="auto"/>
        <w:ind w:firstLine="482"/>
        <w:jc w:val="center"/>
        <w:outlineLvl w:val="1"/>
        <w:rPr>
          <w:rFonts w:ascii="宋体" w:hAnsi="宋体" w:cs="宋体"/>
          <w:b/>
          <w:bCs/>
          <w:kern w:val="0"/>
          <w:szCs w:val="21"/>
          <w:highlight w:val="none"/>
        </w:rPr>
      </w:pPr>
      <w:r>
        <w:rPr>
          <w:rFonts w:hint="eastAsia" w:ascii="宋体" w:hAnsi="宋体" w:cs="宋体"/>
          <w:b/>
          <w:bCs/>
          <w:kern w:val="0"/>
          <w:szCs w:val="21"/>
          <w:highlight w:val="none"/>
        </w:rPr>
        <w:t>四、响应文件的递交</w:t>
      </w:r>
    </w:p>
    <w:p w14:paraId="44CB6202">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17.响应文件的密封、标记</w:t>
      </w:r>
    </w:p>
    <w:p w14:paraId="57A2E914">
      <w:pPr>
        <w:spacing w:line="360" w:lineRule="auto"/>
        <w:ind w:firstLine="424" w:firstLineChars="202"/>
        <w:rPr>
          <w:rFonts w:ascii="宋体" w:hAnsi="宋体" w:cs="宋体"/>
          <w:kern w:val="0"/>
          <w:szCs w:val="21"/>
          <w:highlight w:val="none"/>
        </w:rPr>
      </w:pPr>
      <w:r>
        <w:rPr>
          <w:rFonts w:hint="eastAsia" w:ascii="宋体" w:hAnsi="宋体" w:cs="宋体"/>
          <w:kern w:val="0"/>
          <w:szCs w:val="21"/>
          <w:highlight w:val="none"/>
        </w:rPr>
        <w:t>17.1</w:t>
      </w:r>
      <w:r>
        <w:rPr>
          <w:rFonts w:hint="eastAsia" w:ascii="宋体" w:hAnsi="宋体" w:cs="宋体"/>
          <w:szCs w:val="21"/>
          <w:highlight w:val="none"/>
        </w:rPr>
        <w:t>响应文件应密封包装，并在封套的封口处加盖供应商单位章或由供应商的法定代表人（单位负责人）或其授权的代理人签字。</w:t>
      </w:r>
    </w:p>
    <w:p w14:paraId="48B6BA31">
      <w:pPr>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17.2 未按本章第17.1项要求密封的</w:t>
      </w:r>
      <w:r>
        <w:rPr>
          <w:rFonts w:hint="eastAsia" w:ascii="宋体" w:hAnsi="宋体" w:cs="宋体"/>
          <w:kern w:val="0"/>
          <w:szCs w:val="21"/>
          <w:highlight w:val="none"/>
        </w:rPr>
        <w:t>响应</w:t>
      </w:r>
      <w:r>
        <w:rPr>
          <w:rFonts w:hint="eastAsia" w:ascii="宋体" w:hAnsi="宋体" w:cs="宋体"/>
          <w:szCs w:val="21"/>
          <w:highlight w:val="none"/>
        </w:rPr>
        <w:t>文件，采购人不予受理。</w:t>
      </w:r>
    </w:p>
    <w:p w14:paraId="72075BFB">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18. 响应文件的递交</w:t>
      </w:r>
    </w:p>
    <w:p w14:paraId="1559F368">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18.1 供应商应在规定的磋商截止时间前递交响应文件。</w:t>
      </w:r>
    </w:p>
    <w:p w14:paraId="019566BC">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18.2 逾期送达的或者未送达指定地点的响应文件，采购人不予受理。</w:t>
      </w:r>
    </w:p>
    <w:p w14:paraId="0AA99814">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19. 响应文件的修改和撤回</w:t>
      </w:r>
    </w:p>
    <w:p w14:paraId="73ED531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19.1 供应商在投标截止时间前，可以对所提交的响应文件进行补充、修改或者撤回，并书面通知采购人。补充、修改的内容和撤回通知应当按本须知要求签署、盖章、密封，并作为响应文件的组成部分。</w:t>
      </w:r>
    </w:p>
    <w:p w14:paraId="4E767930">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19.2 供应商在磋商截止期后不得修改、撤回响应文件。供应商在投标截止期后修改响应文件的，其投标将被拒绝。</w:t>
      </w:r>
    </w:p>
    <w:p w14:paraId="49584DFE">
      <w:pPr>
        <w:snapToGrid w:val="0"/>
        <w:spacing w:line="360" w:lineRule="auto"/>
        <w:ind w:firstLine="482"/>
        <w:jc w:val="center"/>
        <w:outlineLvl w:val="1"/>
        <w:rPr>
          <w:rFonts w:ascii="宋体" w:hAnsi="宋体" w:cs="宋体"/>
          <w:b/>
          <w:bCs/>
          <w:kern w:val="0"/>
          <w:szCs w:val="21"/>
          <w:highlight w:val="none"/>
        </w:rPr>
      </w:pPr>
      <w:r>
        <w:rPr>
          <w:rFonts w:hint="eastAsia" w:ascii="宋体" w:hAnsi="宋体" w:cs="宋体"/>
          <w:b/>
          <w:bCs/>
          <w:kern w:val="0"/>
          <w:szCs w:val="21"/>
          <w:highlight w:val="none"/>
        </w:rPr>
        <w:t>五、评标</w:t>
      </w:r>
    </w:p>
    <w:p w14:paraId="74CF324B">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20. 组建磋商小组</w:t>
      </w:r>
    </w:p>
    <w:p w14:paraId="6ECE8CFF">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20.1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47B252D2">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20.2磋商小组成员要依法独立评审，并对评审意见承担个人责任。</w:t>
      </w:r>
      <w:r>
        <w:rPr>
          <w:rFonts w:hint="eastAsia" w:ascii="宋体" w:hAnsi="宋体" w:cs="宋体"/>
          <w:szCs w:val="21"/>
          <w:highlight w:val="none"/>
        </w:rPr>
        <w:t>磋商小组成员对需要共同认定的事项存在争议的，按照少数服从多数的原则</w:t>
      </w:r>
      <w:r>
        <w:rPr>
          <w:rFonts w:hint="eastAsia" w:ascii="宋体" w:hAnsi="宋体" w:cs="宋体"/>
          <w:kern w:val="0"/>
          <w:szCs w:val="21"/>
          <w:highlight w:val="none"/>
        </w:rPr>
        <w:t>做</w:t>
      </w:r>
      <w:r>
        <w:rPr>
          <w:rFonts w:hint="eastAsia" w:ascii="宋体" w:hAnsi="宋体" w:cs="宋体"/>
          <w:szCs w:val="21"/>
          <w:highlight w:val="none"/>
        </w:rPr>
        <w:t>出结论。持不同意见的磋商小组成员应当在评审报告上签署不同意见</w:t>
      </w:r>
      <w:r>
        <w:rPr>
          <w:rFonts w:hint="eastAsia" w:ascii="宋体" w:hAnsi="宋体" w:cs="宋体"/>
          <w:kern w:val="0"/>
          <w:szCs w:val="21"/>
          <w:highlight w:val="none"/>
        </w:rPr>
        <w:t>并说明</w:t>
      </w:r>
      <w:r>
        <w:rPr>
          <w:rFonts w:hint="eastAsia" w:ascii="宋体" w:hAnsi="宋体" w:cs="宋体"/>
          <w:szCs w:val="21"/>
          <w:highlight w:val="none"/>
        </w:rPr>
        <w:t>理由，否则视为同意。</w:t>
      </w:r>
    </w:p>
    <w:p w14:paraId="4F3DA3A1">
      <w:pPr>
        <w:snapToGrid w:val="0"/>
        <w:spacing w:line="360" w:lineRule="auto"/>
        <w:ind w:firstLine="422" w:firstLineChars="200"/>
        <w:jc w:val="left"/>
        <w:rPr>
          <w:rFonts w:ascii="宋体" w:hAnsi="宋体" w:cs="宋体"/>
          <w:b/>
          <w:bCs/>
          <w:szCs w:val="21"/>
          <w:highlight w:val="none"/>
        </w:rPr>
      </w:pPr>
      <w:r>
        <w:rPr>
          <w:rFonts w:hint="eastAsia" w:ascii="宋体" w:hAnsi="宋体" w:cs="宋体"/>
          <w:b/>
          <w:bCs/>
          <w:szCs w:val="21"/>
          <w:highlight w:val="none"/>
        </w:rPr>
        <w:t xml:space="preserve">21. </w:t>
      </w:r>
      <w:r>
        <w:rPr>
          <w:rFonts w:hint="eastAsia" w:ascii="宋体" w:hAnsi="宋体" w:cs="宋体"/>
          <w:b/>
          <w:bCs/>
          <w:kern w:val="0"/>
          <w:szCs w:val="21"/>
          <w:highlight w:val="none"/>
        </w:rPr>
        <w:t>响应</w:t>
      </w:r>
      <w:r>
        <w:rPr>
          <w:rFonts w:hint="eastAsia" w:ascii="宋体" w:hAnsi="宋体" w:cs="宋体"/>
          <w:b/>
          <w:bCs/>
          <w:szCs w:val="21"/>
          <w:highlight w:val="none"/>
        </w:rPr>
        <w:t>文件的初审</w:t>
      </w:r>
    </w:p>
    <w:p w14:paraId="0A54D9E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21.1 响应文件报价出现前后不一致的，除采购文件另有规定外，修正错误的原则如下：</w:t>
      </w:r>
    </w:p>
    <w:p w14:paraId="36B05B7D">
      <w:pPr>
        <w:pStyle w:val="31"/>
        <w:shd w:val="clear" w:color="auto" w:fill="FFFFFF"/>
        <w:snapToGrid w:val="0"/>
        <w:spacing w:before="159"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21.1.1响应文件</w:t>
      </w:r>
      <w:r>
        <w:rPr>
          <w:rFonts w:hint="eastAsia" w:ascii="宋体" w:hAnsi="宋体" w:cs="宋体"/>
          <w:sz w:val="21"/>
          <w:szCs w:val="21"/>
          <w:highlight w:val="none"/>
          <w:shd w:val="clear" w:color="auto" w:fill="FFFFFF"/>
        </w:rPr>
        <w:t>初次报价一览表（报价表）内容与响应文件中相应内容不一致的，以初次报价一览表（报价表）为准；</w:t>
      </w:r>
    </w:p>
    <w:p w14:paraId="510795A9">
      <w:pPr>
        <w:pStyle w:val="31"/>
        <w:shd w:val="clear" w:color="auto" w:fill="FFFFFF"/>
        <w:snapToGrid w:val="0"/>
        <w:spacing w:before="159"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21.1.2</w:t>
      </w:r>
      <w:r>
        <w:rPr>
          <w:rFonts w:hint="eastAsia" w:ascii="宋体" w:hAnsi="宋体" w:cs="宋体"/>
          <w:sz w:val="21"/>
          <w:szCs w:val="21"/>
          <w:highlight w:val="none"/>
          <w:shd w:val="clear" w:color="auto" w:fill="FFFFFF"/>
        </w:rPr>
        <w:t>大写金额</w:t>
      </w:r>
      <w:r>
        <w:rPr>
          <w:rFonts w:hint="eastAsia" w:ascii="宋体" w:hAnsi="宋体" w:cs="宋体"/>
          <w:sz w:val="21"/>
          <w:szCs w:val="21"/>
          <w:highlight w:val="none"/>
        </w:rPr>
        <w:t>与</w:t>
      </w:r>
      <w:r>
        <w:rPr>
          <w:rFonts w:hint="eastAsia" w:ascii="宋体" w:hAnsi="宋体" w:cs="宋体"/>
          <w:sz w:val="21"/>
          <w:szCs w:val="21"/>
          <w:highlight w:val="none"/>
          <w:shd w:val="clear" w:color="auto" w:fill="FFFFFF"/>
        </w:rPr>
        <w:t>小写金额不一致的，以大写金额为准；</w:t>
      </w:r>
    </w:p>
    <w:p w14:paraId="64623920">
      <w:pPr>
        <w:pStyle w:val="31"/>
        <w:shd w:val="clear" w:color="auto" w:fill="FFFFFF"/>
        <w:snapToGrid w:val="0"/>
        <w:spacing w:before="159"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21.1.3</w:t>
      </w:r>
      <w:r>
        <w:rPr>
          <w:rFonts w:hint="eastAsia" w:ascii="宋体" w:hAnsi="宋体" w:cs="宋体"/>
          <w:sz w:val="21"/>
          <w:szCs w:val="21"/>
          <w:highlight w:val="none"/>
          <w:shd w:val="clear" w:color="auto" w:fill="FFFFFF"/>
        </w:rPr>
        <w:t>单价金额小数点或者百分比有明显错位的，以初次报价一览表的总价为准，并修改单价；</w:t>
      </w:r>
    </w:p>
    <w:p w14:paraId="661B2CCD">
      <w:pPr>
        <w:pStyle w:val="31"/>
        <w:shd w:val="clear" w:color="auto" w:fill="FFFFFF"/>
        <w:snapToGrid w:val="0"/>
        <w:spacing w:before="159"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21.1.4</w:t>
      </w:r>
      <w:r>
        <w:rPr>
          <w:rFonts w:hint="eastAsia" w:ascii="宋体" w:hAnsi="宋体" w:cs="宋体"/>
          <w:sz w:val="21"/>
          <w:szCs w:val="21"/>
          <w:highlight w:val="none"/>
          <w:shd w:val="clear" w:color="auto" w:fill="FFFFFF"/>
        </w:rPr>
        <w:t>总价金额与按单价汇总金额不一致的，以单价金额计算结果为准。</w:t>
      </w:r>
    </w:p>
    <w:p w14:paraId="2B3F9A3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21.1.5对不同文字文本响应文件的解释发生异议的，以中文文本为准。</w:t>
      </w:r>
    </w:p>
    <w:p w14:paraId="1D15D595">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21.1.6同时出现两种以上不一致的，按照前款规定的顺序修正。修正后的报价按照财政部87号令第五十一条第二款的规定经供应商确认后产生约束力，供应商不确认的，其投标无效。</w:t>
      </w:r>
    </w:p>
    <w:p w14:paraId="2C7446C5">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21.2 资格性检查和符合性检查。</w:t>
      </w:r>
    </w:p>
    <w:p w14:paraId="5B81B4DC">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kern w:val="0"/>
          <w:szCs w:val="21"/>
          <w:highlight w:val="none"/>
        </w:rPr>
        <w:t>21.2.1</w:t>
      </w:r>
      <w:r>
        <w:rPr>
          <w:rFonts w:hint="eastAsia" w:ascii="宋体" w:hAnsi="宋体" w:cs="宋体"/>
          <w:szCs w:val="21"/>
          <w:highlight w:val="none"/>
        </w:rPr>
        <w:t>资格性检查。</w:t>
      </w:r>
    </w:p>
    <w:p w14:paraId="24956270">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采购人委托代购代理机构按采购公告第二项和采购文件第三章3.供应商应提交的证明文件所述的资格标准对供应商进行资格审查,以确定其是否具备磋商资格。如果供应商不具备磋商资格、不满足采购文件所规定的资格标准或提供资格证明文件不全,其投标将被作为无效磋商。</w:t>
      </w:r>
    </w:p>
    <w:p w14:paraId="5A0077C6">
      <w:pPr>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21.2.2 资格审查后合格的供应商不足3家的，不得评标。</w:t>
      </w:r>
    </w:p>
    <w:p w14:paraId="5CED8EE3">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21.2.3 符合性检查。依据采购文件的规定，磋商小组将从</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的有效性、完整性和对采购文件的响应程度进行审查，以确定是否符合对采购文件的实质性要求作出响应。对没有实质性响应的响应文件将不进行评估，其投标被作为无效磋商。凡有下列情况之一者，响应文件也将被视为未实质性响应采购文件要求：</w:t>
      </w:r>
    </w:p>
    <w:p w14:paraId="6A7B960A">
      <w:pPr>
        <w:snapToGrid w:val="0"/>
        <w:spacing w:line="360" w:lineRule="auto"/>
        <w:ind w:firstLine="422" w:firstLineChars="200"/>
        <w:jc w:val="left"/>
        <w:rPr>
          <w:rFonts w:ascii="宋体" w:hAnsi="宋体" w:cs="宋体"/>
          <w:b/>
          <w:bCs/>
          <w:kern w:val="0"/>
          <w:szCs w:val="21"/>
          <w:highlight w:val="none"/>
        </w:rPr>
      </w:pPr>
      <w:r>
        <w:rPr>
          <w:rFonts w:hint="eastAsia" w:ascii="宋体" w:hAnsi="宋体" w:cs="宋体"/>
          <w:b/>
          <w:bCs/>
          <w:kern w:val="0"/>
          <w:szCs w:val="21"/>
          <w:highlight w:val="none"/>
        </w:rPr>
        <w:t>（1）响应文件未按规定签字、盖章的。</w:t>
      </w:r>
    </w:p>
    <w:p w14:paraId="7E48528B">
      <w:pPr>
        <w:snapToGrid w:val="0"/>
        <w:spacing w:line="360" w:lineRule="auto"/>
        <w:ind w:firstLine="422"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（2）未按磋商文件规定报价，报价均</w:t>
      </w:r>
      <w:r>
        <w:rPr>
          <w:rFonts w:hint="eastAsia" w:ascii="宋体" w:hAnsi="宋体" w:cs="宋体"/>
          <w:b/>
          <w:bCs/>
          <w:kern w:val="0"/>
          <w:szCs w:val="21"/>
          <w:highlight w:val="none"/>
          <w:lang w:val="en-US" w:eastAsia="zh-CN"/>
        </w:rPr>
        <w:t>低于</w:t>
      </w:r>
      <w:r>
        <w:rPr>
          <w:rFonts w:hint="eastAsia" w:ascii="宋体" w:hAnsi="宋体" w:cs="宋体"/>
          <w:b/>
          <w:bCs/>
          <w:kern w:val="0"/>
          <w:szCs w:val="21"/>
          <w:highlight w:val="none"/>
        </w:rPr>
        <w:t>采购预算或最高限价的。</w:t>
      </w:r>
    </w:p>
    <w:p w14:paraId="0F48E724">
      <w:pPr>
        <w:snapToGrid w:val="0"/>
        <w:spacing w:line="360" w:lineRule="auto"/>
        <w:ind w:firstLine="422" w:firstLineChars="200"/>
        <w:jc w:val="left"/>
        <w:rPr>
          <w:rFonts w:hint="eastAsia" w:ascii="宋体" w:hAnsi="宋体" w:eastAsia="宋体" w:cs="宋体"/>
          <w:b/>
          <w:bCs/>
          <w:kern w:val="0"/>
          <w:szCs w:val="21"/>
          <w:highlight w:val="none"/>
          <w:lang w:val="en-US" w:eastAsia="zh-CN"/>
        </w:rPr>
      </w:pPr>
      <w:r>
        <w:rPr>
          <w:rFonts w:hint="eastAsia" w:ascii="宋体" w:hAnsi="宋体" w:eastAsia="宋体" w:cs="宋体"/>
          <w:b/>
          <w:bCs/>
          <w:kern w:val="0"/>
          <w:szCs w:val="21"/>
          <w:highlight w:val="none"/>
          <w:lang w:val="en-US" w:eastAsia="zh-CN"/>
        </w:rPr>
        <w:t>（3）任何1项服务内容不满足或低于采购需求的。</w:t>
      </w:r>
    </w:p>
    <w:p w14:paraId="598AE3D6">
      <w:pPr>
        <w:snapToGrid w:val="0"/>
        <w:spacing w:line="360" w:lineRule="auto"/>
        <w:ind w:firstLine="422" w:firstLineChars="200"/>
        <w:jc w:val="left"/>
        <w:rPr>
          <w:rFonts w:ascii="宋体" w:hAnsi="宋体" w:cs="宋体"/>
          <w:b/>
          <w:bCs/>
          <w:kern w:val="0"/>
          <w:szCs w:val="21"/>
          <w:highlight w:val="none"/>
        </w:rPr>
      </w:pPr>
      <w:r>
        <w:rPr>
          <w:rFonts w:hint="eastAsia" w:ascii="宋体" w:hAnsi="宋体" w:cs="宋体"/>
          <w:b/>
          <w:bCs/>
          <w:kern w:val="0"/>
          <w:szCs w:val="21"/>
          <w:highlight w:val="none"/>
        </w:rPr>
        <w:t>（</w:t>
      </w:r>
      <w:r>
        <w:rPr>
          <w:rFonts w:hint="eastAsia" w:ascii="宋体" w:hAnsi="宋体" w:cs="宋体"/>
          <w:b/>
          <w:bCs/>
          <w:kern w:val="0"/>
          <w:szCs w:val="21"/>
          <w:highlight w:val="none"/>
          <w:lang w:val="en-US" w:eastAsia="zh-CN"/>
        </w:rPr>
        <w:t>4</w:t>
      </w:r>
      <w:r>
        <w:rPr>
          <w:rFonts w:hint="eastAsia" w:ascii="宋体" w:hAnsi="宋体" w:cs="宋体"/>
          <w:b/>
          <w:bCs/>
          <w:kern w:val="0"/>
          <w:szCs w:val="21"/>
          <w:highlight w:val="none"/>
        </w:rPr>
        <w:t>）不符合采购文件中规定的其它实质性条款。</w:t>
      </w:r>
    </w:p>
    <w:p w14:paraId="2E9452BD">
      <w:pPr>
        <w:tabs>
          <w:tab w:val="left" w:pos="0"/>
        </w:tabs>
        <w:snapToGrid w:val="0"/>
        <w:spacing w:line="360" w:lineRule="auto"/>
        <w:ind w:firstLine="420" w:firstLineChars="200"/>
        <w:contextualSpacing/>
        <w:jc w:val="left"/>
        <w:rPr>
          <w:rFonts w:ascii="宋体" w:hAnsi="宋体" w:cs="宋体"/>
          <w:kern w:val="0"/>
          <w:szCs w:val="21"/>
          <w:highlight w:val="none"/>
        </w:rPr>
      </w:pPr>
      <w:r>
        <w:rPr>
          <w:rFonts w:hint="eastAsia" w:ascii="宋体" w:hAnsi="宋体" w:cs="宋体"/>
          <w:kern w:val="0"/>
          <w:szCs w:val="21"/>
          <w:highlight w:val="none"/>
        </w:rPr>
        <w:t>磋商小组决定投标的响应性只根据响应文件本身的内容，而不寻求其他的外部证据。</w:t>
      </w:r>
    </w:p>
    <w:p w14:paraId="31382FC0">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21.2.4 对资格性检查和符合性检查不合格的供应商，应当面告知其理由。</w:t>
      </w:r>
    </w:p>
    <w:p w14:paraId="53901928">
      <w:pPr>
        <w:pStyle w:val="31"/>
        <w:snapToGrid w:val="0"/>
        <w:spacing w:before="159"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21.3 在评审过程中，磋商小组发现供应商有下列情形之一的，视为供应商串通投标，其磋商无效：</w:t>
      </w:r>
    </w:p>
    <w:p w14:paraId="1FFF35B3">
      <w:pPr>
        <w:tabs>
          <w:tab w:val="left" w:pos="0"/>
        </w:tabs>
        <w:snapToGrid w:val="0"/>
        <w:spacing w:line="360" w:lineRule="auto"/>
        <w:ind w:left="105" w:leftChars="50" w:firstLine="315" w:firstLineChars="150"/>
        <w:contextualSpacing/>
        <w:jc w:val="left"/>
        <w:rPr>
          <w:rFonts w:ascii="宋体" w:hAnsi="宋体" w:cs="宋体"/>
          <w:kern w:val="0"/>
          <w:szCs w:val="21"/>
          <w:highlight w:val="none"/>
        </w:rPr>
      </w:pPr>
      <w:r>
        <w:rPr>
          <w:rFonts w:hint="eastAsia" w:ascii="宋体" w:hAnsi="宋体" w:cs="宋体"/>
          <w:kern w:val="0"/>
          <w:szCs w:val="21"/>
          <w:highlight w:val="none"/>
        </w:rPr>
        <w:t>21.3.1不同供应商的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异常一致。</w:t>
      </w:r>
    </w:p>
    <w:p w14:paraId="158BA45A">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21.3.2不同供应商的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由同一单位或者个人编制；</w:t>
      </w:r>
    </w:p>
    <w:p w14:paraId="2855D934">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21.3.3不同供应商委托同一单位或者个人办理投标事宜；</w:t>
      </w:r>
    </w:p>
    <w:p w14:paraId="51CAD0B5">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21.3.4不同供应商的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载明的项目管理成员或者联系人员为同一人；　　</w:t>
      </w:r>
    </w:p>
    <w:p w14:paraId="2EA619B9">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21.3.5不同供应商的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相互混装；</w:t>
      </w:r>
    </w:p>
    <w:p w14:paraId="1D4248A4">
      <w:pPr>
        <w:adjustRightInd w:val="0"/>
        <w:snapToGrid w:val="0"/>
        <w:spacing w:line="360" w:lineRule="auto"/>
        <w:ind w:left="19" w:leftChars="9" w:firstLine="399" w:firstLineChars="190"/>
        <w:jc w:val="left"/>
        <w:textAlignment w:val="baseline"/>
        <w:rPr>
          <w:rFonts w:ascii="宋体" w:hAnsi="宋体" w:cs="宋体"/>
          <w:szCs w:val="21"/>
          <w:highlight w:val="none"/>
        </w:rPr>
      </w:pPr>
      <w:r>
        <w:rPr>
          <w:rFonts w:hint="eastAsia" w:ascii="宋体" w:hAnsi="宋体" w:cs="宋体"/>
          <w:kern w:val="0"/>
          <w:szCs w:val="21"/>
          <w:highlight w:val="none"/>
        </w:rPr>
        <w:t>21.3.6 有证据证明供应商串通投标的其他情形的；</w:t>
      </w:r>
    </w:p>
    <w:p w14:paraId="28E58CB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21.3.7磋商小组认定的其他串通投标情形。</w:t>
      </w:r>
    </w:p>
    <w:p w14:paraId="247E9D33">
      <w:pPr>
        <w:tabs>
          <w:tab w:val="left" w:pos="0"/>
        </w:tabs>
        <w:snapToGrid w:val="0"/>
        <w:spacing w:line="360" w:lineRule="auto"/>
        <w:ind w:left="105" w:leftChars="50" w:firstLine="315" w:firstLineChars="150"/>
        <w:contextualSpacing/>
        <w:jc w:val="left"/>
        <w:rPr>
          <w:rFonts w:ascii="宋体" w:hAnsi="宋体" w:cs="宋体"/>
          <w:b w:val="0"/>
          <w:bCs w:val="0"/>
          <w:szCs w:val="21"/>
          <w:highlight w:val="none"/>
        </w:rPr>
      </w:pPr>
      <w:r>
        <w:rPr>
          <w:rFonts w:hint="eastAsia" w:ascii="宋体" w:hAnsi="宋体" w:cs="宋体"/>
          <w:b w:val="0"/>
          <w:bCs w:val="0"/>
          <w:szCs w:val="21"/>
          <w:highlight w:val="none"/>
        </w:rPr>
        <w:t>21.4磋商</w:t>
      </w:r>
    </w:p>
    <w:p w14:paraId="30E82410">
      <w:pPr>
        <w:widowControl/>
        <w:kinsoku w:val="0"/>
        <w:autoSpaceDE w:val="0"/>
        <w:autoSpaceDN w:val="0"/>
        <w:adjustRightInd w:val="0"/>
        <w:snapToGrid w:val="0"/>
        <w:spacing w:line="360" w:lineRule="auto"/>
        <w:ind w:firstLine="420" w:firstLineChars="200"/>
        <w:textAlignment w:val="baseline"/>
        <w:rPr>
          <w:rFonts w:ascii="宋体" w:hAnsi="宋体" w:cs="宋体"/>
          <w:b w:val="0"/>
          <w:bCs w:val="0"/>
          <w:szCs w:val="21"/>
          <w:highlight w:val="none"/>
        </w:rPr>
      </w:pPr>
      <w:r>
        <w:rPr>
          <w:rFonts w:hint="eastAsia" w:ascii="宋体" w:hAnsi="宋体" w:cs="宋体"/>
          <w:b w:val="0"/>
          <w:bCs w:val="0"/>
          <w:szCs w:val="21"/>
          <w:highlight w:val="none"/>
        </w:rPr>
        <w:t>对资格性检查和符合性检查合格的供应商，进入本次磋商程序。</w:t>
      </w:r>
    </w:p>
    <w:p w14:paraId="533A6B35">
      <w:pPr>
        <w:widowControl/>
        <w:kinsoku w:val="0"/>
        <w:autoSpaceDE w:val="0"/>
        <w:autoSpaceDN w:val="0"/>
        <w:adjustRightInd w:val="0"/>
        <w:snapToGrid w:val="0"/>
        <w:spacing w:line="360" w:lineRule="auto"/>
        <w:ind w:firstLine="420" w:firstLineChars="200"/>
        <w:textAlignment w:val="baseline"/>
        <w:rPr>
          <w:rFonts w:ascii="宋体" w:hAnsi="宋体" w:cs="宋体"/>
          <w:b w:val="0"/>
          <w:bCs w:val="0"/>
          <w:szCs w:val="21"/>
          <w:highlight w:val="none"/>
        </w:rPr>
      </w:pPr>
      <w:r>
        <w:rPr>
          <w:rFonts w:hint="eastAsia" w:ascii="宋体" w:hAnsi="宋体" w:cs="宋体"/>
          <w:b w:val="0"/>
          <w:bCs w:val="0"/>
          <w:szCs w:val="21"/>
          <w:highlight w:val="none"/>
        </w:rPr>
        <w:t>21.4.1 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65F9FAE1">
      <w:pPr>
        <w:widowControl/>
        <w:kinsoku w:val="0"/>
        <w:autoSpaceDE w:val="0"/>
        <w:autoSpaceDN w:val="0"/>
        <w:adjustRightInd w:val="0"/>
        <w:snapToGrid w:val="0"/>
        <w:spacing w:line="360" w:lineRule="auto"/>
        <w:ind w:firstLine="420" w:firstLineChars="200"/>
        <w:textAlignment w:val="baseline"/>
        <w:rPr>
          <w:rFonts w:ascii="宋体" w:hAnsi="宋体" w:cs="宋体"/>
          <w:b w:val="0"/>
          <w:bCs w:val="0"/>
          <w:kern w:val="0"/>
          <w:szCs w:val="21"/>
          <w:highlight w:val="none"/>
        </w:rPr>
      </w:pPr>
      <w:r>
        <w:rPr>
          <w:rFonts w:hint="eastAsia" w:ascii="宋体" w:hAnsi="宋体" w:cs="宋体"/>
          <w:b w:val="0"/>
          <w:bCs w:val="0"/>
          <w:szCs w:val="21"/>
          <w:highlight w:val="none"/>
        </w:rPr>
        <w:t>21.4.2 本次竞争性磋商进行</w:t>
      </w:r>
      <w:r>
        <w:rPr>
          <w:rFonts w:hint="eastAsia" w:ascii="宋体" w:hAnsi="宋体" w:cs="宋体"/>
          <w:b w:val="0"/>
          <w:bCs w:val="0"/>
          <w:szCs w:val="21"/>
          <w:highlight w:val="none"/>
          <w:u w:val="single"/>
        </w:rPr>
        <w:t xml:space="preserve"> 多 </w:t>
      </w:r>
      <w:r>
        <w:rPr>
          <w:rFonts w:hint="eastAsia" w:ascii="宋体" w:hAnsi="宋体" w:cs="宋体"/>
          <w:b w:val="0"/>
          <w:bCs w:val="0"/>
          <w:szCs w:val="21"/>
          <w:highlight w:val="none"/>
        </w:rPr>
        <w:t>轮次报价（二次及以上），并给予每个供应商相同的机会。响应文件报价为第一轮报价，以后轮次报价不得</w:t>
      </w:r>
      <w:r>
        <w:rPr>
          <w:rFonts w:hint="eastAsia" w:ascii="宋体" w:hAnsi="宋体" w:cs="宋体"/>
          <w:b w:val="0"/>
          <w:bCs w:val="0"/>
          <w:szCs w:val="21"/>
          <w:highlight w:val="none"/>
          <w:lang w:val="en-US" w:eastAsia="zh-CN"/>
        </w:rPr>
        <w:t>低</w:t>
      </w:r>
      <w:r>
        <w:rPr>
          <w:rFonts w:hint="eastAsia" w:ascii="宋体" w:hAnsi="宋体" w:cs="宋体"/>
          <w:b w:val="0"/>
          <w:bCs w:val="0"/>
          <w:szCs w:val="21"/>
          <w:highlight w:val="none"/>
        </w:rPr>
        <w:t>于上一轮次报价（除竞争性磋商文件有实质性变动外），否则将被视为未实质性响应竞争性磋商文件。磋商报价以供应商的最后一轮次报价为准。</w:t>
      </w:r>
    </w:p>
    <w:p w14:paraId="3E099632">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22. 响应文件的澄清</w:t>
      </w:r>
    </w:p>
    <w:p w14:paraId="54C45C14">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22.1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ABCC746">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22.2评审小组要求供应商澄清、说明或者更正响应文件应当以书面形式作出。供应商的澄清、说明或者更正应当由法定代表人或其授权代表签字或者加盖公章。</w:t>
      </w:r>
    </w:p>
    <w:p w14:paraId="39995747">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23. 评标过程及保密原则</w:t>
      </w:r>
    </w:p>
    <w:p w14:paraId="036D8E6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23.1 凡与本次采购有关人员对属于审查、澄清、评价和比较磋商的有关资料以及定标意向等，均不得向供应商或其他人员透露。否则,将按有关规定追究相关人员的责任。</w:t>
      </w:r>
    </w:p>
    <w:p w14:paraId="0D8B2E16">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23.2 在评标期间，供应商试图影响或干预评审的任何行为，将导致其磋商被作为无效磋商，并承担相应的法律责任。</w:t>
      </w:r>
    </w:p>
    <w:p w14:paraId="4D58C692">
      <w:pPr>
        <w:snapToGrid w:val="0"/>
        <w:spacing w:line="360" w:lineRule="auto"/>
        <w:ind w:firstLine="482"/>
        <w:jc w:val="center"/>
        <w:outlineLvl w:val="1"/>
        <w:rPr>
          <w:rFonts w:ascii="宋体" w:hAnsi="宋体" w:cs="宋体"/>
          <w:b/>
          <w:bCs/>
          <w:kern w:val="0"/>
          <w:szCs w:val="21"/>
          <w:highlight w:val="none"/>
        </w:rPr>
      </w:pPr>
      <w:r>
        <w:rPr>
          <w:rFonts w:hint="eastAsia" w:ascii="宋体" w:hAnsi="宋体" w:cs="宋体"/>
          <w:b/>
          <w:bCs/>
          <w:kern w:val="0"/>
          <w:szCs w:val="21"/>
          <w:highlight w:val="none"/>
        </w:rPr>
        <w:t>六、成交结果</w:t>
      </w:r>
    </w:p>
    <w:p w14:paraId="11C5BC70">
      <w:pPr>
        <w:snapToGrid w:val="0"/>
        <w:spacing w:line="360" w:lineRule="auto"/>
        <w:ind w:firstLine="422" w:firstLineChars="200"/>
        <w:rPr>
          <w:rFonts w:ascii="宋体" w:hAnsi="宋体" w:cs="宋体"/>
          <w:kern w:val="0"/>
          <w:szCs w:val="21"/>
          <w:highlight w:val="none"/>
        </w:rPr>
      </w:pPr>
      <w:r>
        <w:rPr>
          <w:rFonts w:hint="eastAsia" w:ascii="宋体" w:hAnsi="宋体" w:cs="宋体"/>
          <w:b/>
          <w:bCs/>
          <w:kern w:val="0"/>
          <w:szCs w:val="21"/>
          <w:highlight w:val="none"/>
        </w:rPr>
        <w:t>24. 成交原则</w:t>
      </w:r>
    </w:p>
    <w:p w14:paraId="7F30DDE6">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采用综合评分法的，评标结果按评审后得分由高到低顺序排列。</w:t>
      </w:r>
      <w:r>
        <w:rPr>
          <w:rFonts w:hint="eastAsia" w:ascii="宋体" w:hAnsi="宋体" w:cs="宋体"/>
          <w:szCs w:val="21"/>
          <w:highlight w:val="none"/>
          <w:shd w:val="clear" w:color="auto" w:fill="FFFFFF"/>
        </w:rPr>
        <w:t>响应文件</w:t>
      </w:r>
      <w:r>
        <w:rPr>
          <w:rFonts w:hint="eastAsia" w:ascii="宋体" w:hAnsi="宋体" w:cs="宋体"/>
          <w:szCs w:val="21"/>
          <w:highlight w:val="none"/>
        </w:rPr>
        <w:t>满足采购文件全部实质性要求，且按照评审因素的量化指标评审得分最高的供应商为排名第一的成交供应商，以此类推。得分相同的，按磋商报价由</w:t>
      </w:r>
      <w:r>
        <w:rPr>
          <w:rFonts w:hint="eastAsia" w:ascii="宋体" w:hAnsi="宋体" w:cs="宋体"/>
          <w:szCs w:val="21"/>
          <w:highlight w:val="none"/>
          <w:lang w:val="en-US" w:eastAsia="zh-CN"/>
        </w:rPr>
        <w:t>高</w:t>
      </w:r>
      <w:r>
        <w:rPr>
          <w:rFonts w:hint="eastAsia" w:ascii="宋体" w:hAnsi="宋体" w:cs="宋体"/>
          <w:szCs w:val="21"/>
          <w:highlight w:val="none"/>
        </w:rPr>
        <w:t>到</w:t>
      </w:r>
      <w:r>
        <w:rPr>
          <w:rFonts w:hint="eastAsia" w:ascii="宋体" w:hAnsi="宋体" w:cs="宋体"/>
          <w:szCs w:val="21"/>
          <w:highlight w:val="none"/>
          <w:lang w:val="en-US" w:eastAsia="zh-CN"/>
        </w:rPr>
        <w:t>低</w:t>
      </w:r>
      <w:r>
        <w:rPr>
          <w:rFonts w:hint="eastAsia" w:ascii="宋体" w:hAnsi="宋体" w:cs="宋体"/>
          <w:szCs w:val="21"/>
          <w:highlight w:val="none"/>
        </w:rPr>
        <w:t>顺序排列。得分且磋商报价相同的，按技术部分得分顺序排列。得分与技术指标优劣均相同的，通过随机抽取产生。</w:t>
      </w:r>
    </w:p>
    <w:p w14:paraId="4977915E">
      <w:pPr>
        <w:snapToGrid w:val="0"/>
        <w:spacing w:line="360" w:lineRule="auto"/>
        <w:ind w:firstLine="422" w:firstLineChars="200"/>
        <w:rPr>
          <w:rFonts w:ascii="宋体" w:hAnsi="宋体" w:cs="宋体"/>
          <w:kern w:val="0"/>
          <w:szCs w:val="21"/>
          <w:highlight w:val="none"/>
        </w:rPr>
      </w:pPr>
      <w:r>
        <w:rPr>
          <w:rFonts w:hint="eastAsia" w:ascii="宋体" w:hAnsi="宋体" w:cs="宋体"/>
          <w:b/>
          <w:bCs/>
          <w:kern w:val="0"/>
          <w:szCs w:val="21"/>
          <w:highlight w:val="none"/>
        </w:rPr>
        <w:t>25. 确定成交供应商和成交候选供应商</w:t>
      </w:r>
    </w:p>
    <w:p w14:paraId="213F5EEE">
      <w:pPr>
        <w:snapToGrid w:val="0"/>
        <w:spacing w:line="360" w:lineRule="auto"/>
        <w:ind w:firstLine="420" w:firstLineChars="200"/>
        <w:jc w:val="left"/>
        <w:rPr>
          <w:rFonts w:ascii="宋体" w:hAnsi="宋体" w:cs="宋体"/>
          <w:kern w:val="0"/>
          <w:szCs w:val="21"/>
          <w:highlight w:val="none"/>
        </w:rPr>
      </w:pPr>
      <w:r>
        <w:rPr>
          <w:rFonts w:hint="eastAsia" w:ascii="宋体" w:hAnsi="宋体" w:cs="宋体"/>
          <w:bCs/>
          <w:kern w:val="0"/>
          <w:szCs w:val="21"/>
          <w:highlight w:val="none"/>
        </w:rPr>
        <w:t>本项目由采购人授权磋商小组确定一名成交供应商并推荐一名成交候选供应商</w:t>
      </w:r>
      <w:r>
        <w:rPr>
          <w:rFonts w:hint="eastAsia" w:ascii="宋体" w:hAnsi="宋体" w:cs="宋体"/>
          <w:kern w:val="0"/>
          <w:szCs w:val="21"/>
          <w:highlight w:val="none"/>
        </w:rPr>
        <w:t>。</w:t>
      </w:r>
    </w:p>
    <w:p w14:paraId="52C66170">
      <w:pPr>
        <w:snapToGrid w:val="0"/>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26. 成交通知书及成交结果公告</w:t>
      </w:r>
    </w:p>
    <w:p w14:paraId="6A347AF4">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26.1评审结束后，采购人将成交供应商的情况在本采购项目采购公告发布的同一媒介予以公示，公示期限1个工作日，公示期结束后向成交供应商发出成交通知书。</w:t>
      </w:r>
    </w:p>
    <w:p w14:paraId="3F44821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26.2采购人与成交供应商应当在成交通知书发出之日起 30 日内，按照磋商文件确定的合同文本以及磋商标的、规格型号、磋商金额、磋商数量、技术和服务要求等事项签订采购合同。</w:t>
      </w:r>
    </w:p>
    <w:p w14:paraId="6EF16A9B">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26.3成交通知书对采购人和成交供应商具有同等法律效力。成交通知书发出后，采购人改变成交结果，或者成交供应商放弃成交，应按相关法律、规章、规范性文件的要求承担相应的法律责任。</w:t>
      </w:r>
    </w:p>
    <w:p w14:paraId="17BCDE9F">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kern w:val="0"/>
          <w:szCs w:val="21"/>
          <w:highlight w:val="none"/>
        </w:rPr>
        <w:t>26</w:t>
      </w:r>
      <w:r>
        <w:rPr>
          <w:rFonts w:hint="eastAsia" w:ascii="宋体" w:hAnsi="宋体" w:cs="宋体"/>
          <w:bCs/>
          <w:kern w:val="0"/>
          <w:szCs w:val="21"/>
          <w:highlight w:val="none"/>
        </w:rPr>
        <w:t>.4成交通知书将作为签订合同的依据。合同签订后，成交通知书成为合同的一部分。</w:t>
      </w:r>
    </w:p>
    <w:p w14:paraId="5EF5509E">
      <w:pPr>
        <w:snapToGrid w:val="0"/>
        <w:spacing w:line="360" w:lineRule="auto"/>
        <w:ind w:firstLine="420" w:firstLineChars="200"/>
        <w:jc w:val="left"/>
        <w:rPr>
          <w:szCs w:val="21"/>
          <w:highlight w:val="none"/>
        </w:rPr>
      </w:pPr>
      <w:r>
        <w:rPr>
          <w:rFonts w:hint="eastAsia" w:ascii="宋体" w:hAnsi="宋体" w:cs="宋体"/>
          <w:kern w:val="0"/>
          <w:szCs w:val="21"/>
          <w:highlight w:val="none"/>
        </w:rPr>
        <w:t>26.5采购文件、采购文件的修改文件、成交供应商的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、补充或修改的文件及澄清或承诺文件等，均为双方签订合同的组成部分，并与合同一并作为本采购文件所列采购项目的互补性法律文件，与合同具有同等法律效力。</w:t>
      </w:r>
    </w:p>
    <w:p w14:paraId="7850106A">
      <w:pPr>
        <w:snapToGrid w:val="0"/>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27. 采购人宣布废标的权利</w:t>
      </w:r>
    </w:p>
    <w:p w14:paraId="53998E83">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出现下列情况之一时，采购人有权宣布废标，并将理由通知所有供应商：</w:t>
      </w:r>
    </w:p>
    <w:p w14:paraId="4D1D6323">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（1）出现影响采购公正的违法、违规行为的。</w:t>
      </w:r>
    </w:p>
    <w:p w14:paraId="73A0FCF9">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（2）供应商的报价均</w:t>
      </w:r>
      <w:r>
        <w:rPr>
          <w:rFonts w:hint="eastAsia" w:ascii="宋体" w:hAnsi="宋体" w:cs="宋体"/>
          <w:bCs/>
          <w:kern w:val="0"/>
          <w:szCs w:val="21"/>
          <w:highlight w:val="none"/>
          <w:lang w:val="en-US" w:eastAsia="zh-CN"/>
        </w:rPr>
        <w:t>低于</w:t>
      </w:r>
      <w:r>
        <w:rPr>
          <w:rFonts w:hint="eastAsia" w:ascii="宋体" w:hAnsi="宋体" w:cs="宋体"/>
          <w:bCs/>
          <w:kern w:val="0"/>
          <w:szCs w:val="21"/>
          <w:highlight w:val="none"/>
        </w:rPr>
        <w:t>采购预算金额，</w:t>
      </w:r>
      <w:r>
        <w:rPr>
          <w:rFonts w:hint="eastAsia" w:ascii="宋体" w:hAnsi="宋体" w:cs="宋体"/>
          <w:bCs/>
          <w:kern w:val="0"/>
          <w:szCs w:val="21"/>
          <w:highlight w:val="none"/>
          <w:lang w:val="en-US" w:eastAsia="zh-CN"/>
        </w:rPr>
        <w:t>不符合</w:t>
      </w:r>
      <w:r>
        <w:rPr>
          <w:rFonts w:hint="eastAsia" w:ascii="宋体" w:hAnsi="宋体" w:cs="宋体"/>
          <w:bCs/>
          <w:kern w:val="0"/>
          <w:szCs w:val="21"/>
          <w:highlight w:val="none"/>
        </w:rPr>
        <w:t>采购</w:t>
      </w:r>
      <w:r>
        <w:rPr>
          <w:rFonts w:hint="eastAsia" w:ascii="宋体" w:hAnsi="宋体" w:cs="宋体"/>
          <w:bCs/>
          <w:kern w:val="0"/>
          <w:szCs w:val="21"/>
          <w:highlight w:val="none"/>
          <w:lang w:val="en-US" w:eastAsia="zh-CN"/>
        </w:rPr>
        <w:t>人要求</w:t>
      </w:r>
      <w:r>
        <w:rPr>
          <w:rFonts w:hint="eastAsia" w:ascii="宋体" w:hAnsi="宋体" w:cs="宋体"/>
          <w:bCs/>
          <w:kern w:val="0"/>
          <w:szCs w:val="21"/>
          <w:highlight w:val="none"/>
        </w:rPr>
        <w:t>的。</w:t>
      </w:r>
    </w:p>
    <w:p w14:paraId="0A24EB18">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（3）因重大变故，采购任务取消的。</w:t>
      </w:r>
    </w:p>
    <w:p w14:paraId="7083E56A">
      <w:pPr>
        <w:snapToGrid w:val="0"/>
        <w:spacing w:line="360" w:lineRule="auto"/>
        <w:ind w:firstLine="420" w:firstLineChars="200"/>
        <w:rPr>
          <w:rFonts w:ascii="宋体" w:hAnsi="宋体" w:cs="宋体"/>
          <w:b/>
          <w:kern w:val="0"/>
          <w:szCs w:val="21"/>
          <w:highlight w:val="none"/>
        </w:rPr>
      </w:pPr>
      <w:r>
        <w:rPr>
          <w:rFonts w:hint="eastAsia" w:ascii="宋体" w:hAnsi="宋体" w:cs="宋体"/>
          <w:bCs/>
          <w:kern w:val="0"/>
          <w:szCs w:val="21"/>
          <w:highlight w:val="none"/>
        </w:rPr>
        <w:t>（4）</w:t>
      </w:r>
      <w:r>
        <w:rPr>
          <w:rFonts w:hint="eastAsia" w:ascii="宋体" w:hAnsi="宋体" w:cs="宋体"/>
          <w:szCs w:val="21"/>
          <w:highlight w:val="none"/>
        </w:rPr>
        <w:t>投标截止后供应商不足3家或通过资格性检查或符合性检查的供应商不足3家的。</w:t>
      </w:r>
    </w:p>
    <w:p w14:paraId="625FD277">
      <w:pPr>
        <w:snapToGrid w:val="0"/>
        <w:spacing w:line="360" w:lineRule="auto"/>
        <w:ind w:firstLine="562"/>
        <w:jc w:val="center"/>
        <w:outlineLvl w:val="1"/>
        <w:rPr>
          <w:rFonts w:ascii="宋体" w:hAnsi="宋体" w:cs="宋体"/>
          <w:b/>
          <w:bCs/>
          <w:kern w:val="0"/>
          <w:sz w:val="28"/>
          <w:szCs w:val="28"/>
          <w:highlight w:val="none"/>
        </w:rPr>
      </w:pPr>
    </w:p>
    <w:p w14:paraId="7D45C6EB">
      <w:pPr>
        <w:ind w:firstLine="440"/>
        <w:rPr>
          <w:rFonts w:ascii="宋体" w:hAnsi="宋体" w:cs="宋体"/>
          <w:highlight w:val="none"/>
        </w:rPr>
      </w:pPr>
      <w:r>
        <w:rPr>
          <w:rFonts w:hint="eastAsia" w:ascii="宋体" w:hAnsi="宋体" w:cs="宋体"/>
          <w:highlight w:val="none"/>
        </w:rPr>
        <w:br w:type="page"/>
      </w:r>
    </w:p>
    <w:p w14:paraId="7A4DCB96">
      <w:pPr>
        <w:widowControl/>
        <w:snapToGrid w:val="0"/>
        <w:ind w:firstLine="643"/>
        <w:jc w:val="center"/>
        <w:outlineLvl w:val="0"/>
        <w:rPr>
          <w:rFonts w:ascii="宋体" w:hAnsi="宋体" w:cs="宋体"/>
          <w:kern w:val="0"/>
          <w:sz w:val="24"/>
          <w:highlight w:val="none"/>
        </w:rPr>
      </w:pPr>
      <w:bookmarkStart w:id="38" w:name="_Toc31399"/>
      <w:r>
        <w:rPr>
          <w:rFonts w:hint="eastAsia" w:ascii="宋体" w:hAnsi="宋体" w:cs="宋体"/>
          <w:b/>
          <w:bCs/>
          <w:kern w:val="0"/>
          <w:sz w:val="32"/>
          <w:szCs w:val="32"/>
          <w:highlight w:val="none"/>
        </w:rPr>
        <w:t>第四章  评标办法及评分标准</w:t>
      </w:r>
      <w:bookmarkEnd w:id="36"/>
      <w:bookmarkEnd w:id="38"/>
    </w:p>
    <w:p w14:paraId="2C2D817A">
      <w:pPr>
        <w:ind w:firstLine="440"/>
        <w:rPr>
          <w:rFonts w:ascii="宋体" w:hAnsi="宋体" w:cs="宋体"/>
          <w:highlight w:val="none"/>
        </w:rPr>
      </w:pPr>
    </w:p>
    <w:p w14:paraId="30B32FE6">
      <w:pPr>
        <w:tabs>
          <w:tab w:val="left" w:pos="1620"/>
        </w:tabs>
        <w:snapToGrid w:val="0"/>
        <w:spacing w:line="360" w:lineRule="auto"/>
        <w:ind w:firstLine="440"/>
        <w:rPr>
          <w:rFonts w:ascii="宋体" w:hAnsi="宋体" w:cs="宋体"/>
          <w:szCs w:val="21"/>
          <w:highlight w:val="none"/>
        </w:rPr>
      </w:pPr>
    </w:p>
    <w:p w14:paraId="495B172A">
      <w:pPr>
        <w:tabs>
          <w:tab w:val="left" w:pos="1620"/>
        </w:tabs>
        <w:snapToGrid w:val="0"/>
        <w:spacing w:line="360" w:lineRule="auto"/>
        <w:ind w:firstLine="440"/>
        <w:rPr>
          <w:rFonts w:ascii="宋体" w:hAnsi="宋体" w:cs="宋体"/>
          <w:b/>
          <w:szCs w:val="21"/>
          <w:highlight w:val="none"/>
        </w:rPr>
      </w:pPr>
      <w:r>
        <w:rPr>
          <w:rFonts w:hint="eastAsia" w:ascii="宋体" w:hAnsi="宋体" w:cs="宋体"/>
          <w:b/>
          <w:szCs w:val="21"/>
          <w:highlight w:val="none"/>
        </w:rPr>
        <w:t>（一）评标原则</w:t>
      </w:r>
    </w:p>
    <w:p w14:paraId="6CA5B1B9">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按照“公平、公正”的原则对待所有供应商，按照采购文件的相关规定进行评标、定标。</w:t>
      </w:r>
    </w:p>
    <w:p w14:paraId="706ADDE4">
      <w:pPr>
        <w:tabs>
          <w:tab w:val="left" w:pos="1620"/>
        </w:tabs>
        <w:snapToGrid w:val="0"/>
        <w:spacing w:line="360" w:lineRule="auto"/>
        <w:ind w:firstLine="440"/>
        <w:rPr>
          <w:rFonts w:ascii="宋体" w:hAnsi="宋体" w:cs="宋体"/>
          <w:b/>
          <w:szCs w:val="21"/>
          <w:highlight w:val="none"/>
        </w:rPr>
      </w:pPr>
      <w:r>
        <w:rPr>
          <w:rFonts w:hint="eastAsia" w:ascii="宋体" w:hAnsi="宋体" w:cs="宋体"/>
          <w:b/>
          <w:szCs w:val="21"/>
          <w:highlight w:val="none"/>
        </w:rPr>
        <w:t>（二）评标办法</w:t>
      </w:r>
    </w:p>
    <w:p w14:paraId="0D105484">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1．本项目采用综合评分法，总分为100分。</w:t>
      </w:r>
    </w:p>
    <w:p w14:paraId="2D9BB23D">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2．磋商小组按照采购文件中规定的评标方法和标准，对</w:t>
      </w:r>
      <w:r>
        <w:rPr>
          <w:rFonts w:hint="eastAsia" w:ascii="宋体" w:hAnsi="宋体" w:cs="宋体"/>
          <w:kern w:val="0"/>
          <w:szCs w:val="21"/>
          <w:highlight w:val="none"/>
        </w:rPr>
        <w:t>响应</w:t>
      </w:r>
      <w:r>
        <w:rPr>
          <w:rFonts w:hint="eastAsia" w:ascii="宋体" w:hAnsi="宋体" w:cs="宋体"/>
          <w:szCs w:val="21"/>
          <w:highlight w:val="none"/>
        </w:rPr>
        <w:t>文件进行综合比较与评价。</w:t>
      </w:r>
    </w:p>
    <w:p w14:paraId="19CE2D9E">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3. 评标结果按评审后得分由高到低顺序排列，得分相同的，按投标报价由</w:t>
      </w:r>
      <w:r>
        <w:rPr>
          <w:rFonts w:hint="eastAsia" w:ascii="宋体" w:hAnsi="宋体" w:cs="宋体"/>
          <w:szCs w:val="21"/>
          <w:highlight w:val="none"/>
          <w:lang w:val="en-US" w:eastAsia="zh-CN"/>
        </w:rPr>
        <w:t>高</w:t>
      </w:r>
      <w:r>
        <w:rPr>
          <w:rFonts w:hint="eastAsia" w:ascii="宋体" w:hAnsi="宋体" w:cs="宋体"/>
          <w:szCs w:val="21"/>
          <w:highlight w:val="none"/>
        </w:rPr>
        <w:t>到</w:t>
      </w:r>
      <w:r>
        <w:rPr>
          <w:rFonts w:hint="eastAsia" w:ascii="宋体" w:hAnsi="宋体" w:cs="宋体"/>
          <w:szCs w:val="21"/>
          <w:highlight w:val="none"/>
          <w:lang w:val="en-US" w:eastAsia="zh-CN"/>
        </w:rPr>
        <w:t>低</w:t>
      </w:r>
      <w:r>
        <w:rPr>
          <w:rFonts w:hint="eastAsia" w:ascii="宋体" w:hAnsi="宋体" w:cs="宋体"/>
          <w:szCs w:val="21"/>
          <w:highlight w:val="none"/>
        </w:rPr>
        <w:t>顺序排列。得分且投标报价相同的，按技术部分得分顺序排列。</w:t>
      </w:r>
    </w:p>
    <w:p w14:paraId="32FF337A">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 xml:space="preserve">4. </w:t>
      </w:r>
      <w:r>
        <w:rPr>
          <w:rFonts w:hint="eastAsia" w:ascii="宋体" w:hAnsi="宋体" w:cs="宋体"/>
          <w:kern w:val="0"/>
          <w:szCs w:val="21"/>
          <w:highlight w:val="none"/>
        </w:rPr>
        <w:t>响应</w:t>
      </w:r>
      <w:r>
        <w:rPr>
          <w:rFonts w:hint="eastAsia" w:ascii="宋体" w:hAnsi="宋体" w:cs="宋体"/>
          <w:szCs w:val="21"/>
          <w:highlight w:val="none"/>
        </w:rPr>
        <w:t>文件满足采购文件全部实质性要求，且评审得分最高的供应商为成交供应商。</w:t>
      </w:r>
    </w:p>
    <w:p w14:paraId="262F696E">
      <w:pPr>
        <w:tabs>
          <w:tab w:val="left" w:pos="1620"/>
        </w:tabs>
        <w:snapToGrid w:val="0"/>
        <w:spacing w:line="360" w:lineRule="auto"/>
        <w:ind w:firstLine="440"/>
        <w:rPr>
          <w:rFonts w:ascii="宋体" w:hAnsi="宋体" w:cs="宋体"/>
          <w:b/>
          <w:szCs w:val="21"/>
          <w:highlight w:val="none"/>
        </w:rPr>
      </w:pPr>
      <w:r>
        <w:rPr>
          <w:rFonts w:hint="eastAsia" w:ascii="宋体" w:hAnsi="宋体" w:cs="宋体"/>
          <w:b/>
          <w:szCs w:val="21"/>
          <w:highlight w:val="none"/>
        </w:rPr>
        <w:t>（三）评标程序</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C88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ign w:val="center"/>
          </w:tcPr>
          <w:p w14:paraId="733B0202">
            <w:pPr>
              <w:tabs>
                <w:tab w:val="left" w:pos="3000"/>
              </w:tabs>
              <w:snapToGrid w:val="0"/>
              <w:ind w:firstLine="440"/>
              <w:jc w:val="center"/>
              <w:rPr>
                <w:rFonts w:ascii="宋体" w:hAnsi="宋体" w:cs="宋体"/>
                <w:szCs w:val="21"/>
                <w:highlight w:val="none"/>
              </w:rPr>
            </w:pPr>
            <w:r>
              <w:rPr>
                <w:rFonts w:hint="eastAsia" w:ascii="宋体" w:hAnsi="宋体" w:cs="宋体"/>
                <w:szCs w:val="21"/>
                <w:highlight w:val="none"/>
              </w:rPr>
              <w:t>评审内容</w:t>
            </w:r>
          </w:p>
        </w:tc>
      </w:tr>
      <w:tr w14:paraId="7085E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1239" w:type="dxa"/>
            <w:noWrap/>
            <w:vAlign w:val="center"/>
          </w:tcPr>
          <w:p w14:paraId="611566E6">
            <w:pPr>
              <w:snapToGrid w:val="0"/>
              <w:spacing w:line="32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价格标部分 (</w:t>
            </w:r>
            <w:r>
              <w:rPr>
                <w:rFonts w:hint="eastAsia" w:asciiTheme="minorEastAsia" w:hAnsiTheme="minorEastAsia" w:eastAsiaTheme="minorEastAsia" w:cstheme="minorEastAsia"/>
                <w:sz w:val="21"/>
                <w:szCs w:val="21"/>
                <w:highlight w:val="none"/>
                <w:lang w:val="en-US" w:eastAsia="zh-CN"/>
              </w:rPr>
              <w:t>50</w:t>
            </w:r>
            <w:r>
              <w:rPr>
                <w:rFonts w:hint="eastAsia" w:asciiTheme="minorEastAsia" w:hAnsiTheme="minorEastAsia" w:eastAsiaTheme="minorEastAsia" w:cstheme="minorEastAsia"/>
                <w:sz w:val="21"/>
                <w:szCs w:val="21"/>
                <w:highlight w:val="none"/>
              </w:rPr>
              <w:t>分)</w:t>
            </w:r>
          </w:p>
        </w:tc>
        <w:tc>
          <w:tcPr>
            <w:tcW w:w="8243" w:type="dxa"/>
            <w:gridSpan w:val="2"/>
            <w:noWrap/>
            <w:vAlign w:val="center"/>
          </w:tcPr>
          <w:p w14:paraId="09CE344F">
            <w:pPr>
              <w:widowControl/>
              <w:snapToGrid w:val="0"/>
              <w:spacing w:line="360" w:lineRule="exact"/>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有效磋商报价：磋商报价不得低于采购预算价的为有效磋商报价。</w:t>
            </w:r>
          </w:p>
          <w:p w14:paraId="570CF4B9">
            <w:pPr>
              <w:widowControl/>
              <w:snapToGrid w:val="0"/>
              <w:spacing w:line="360" w:lineRule="exact"/>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评标基准值的确定：满足采购文件要求且磋商价格最高的有效磋商报价为评标基准价。</w:t>
            </w:r>
          </w:p>
          <w:p w14:paraId="68F5F7BA">
            <w:pPr>
              <w:widowControl/>
              <w:snapToGrid w:val="0"/>
              <w:spacing w:line="36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themeColor="text1"/>
                <w:sz w:val="21"/>
                <w:szCs w:val="21"/>
                <w:highlight w:val="none"/>
              </w:rPr>
              <w:t>磋商报价得分=（评标基准价/有效磋商报价）×</w:t>
            </w:r>
            <w:r>
              <w:rPr>
                <w:rFonts w:hint="eastAsia" w:asciiTheme="minorEastAsia" w:hAnsiTheme="minorEastAsia" w:eastAsiaTheme="minorEastAsia" w:cstheme="minorEastAsia"/>
                <w:color w:val="000000" w:themeColor="text1"/>
                <w:sz w:val="21"/>
                <w:szCs w:val="21"/>
                <w:highlight w:val="none"/>
                <w:lang w:val="en-US" w:eastAsia="zh-CN"/>
              </w:rPr>
              <w:t>50</w:t>
            </w:r>
            <w:r>
              <w:rPr>
                <w:rFonts w:hint="eastAsia" w:asciiTheme="minorEastAsia" w:hAnsiTheme="minorEastAsia" w:eastAsiaTheme="minorEastAsia" w:cstheme="minorEastAsia"/>
                <w:color w:val="000000" w:themeColor="text1"/>
                <w:sz w:val="21"/>
                <w:szCs w:val="21"/>
                <w:highlight w:val="none"/>
              </w:rPr>
              <w:t>分</w:t>
            </w:r>
          </w:p>
        </w:tc>
      </w:tr>
      <w:tr w14:paraId="751B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ign w:val="center"/>
          </w:tcPr>
          <w:p w14:paraId="4336C25E">
            <w:pPr>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技术部分（</w:t>
            </w:r>
            <w:r>
              <w:rPr>
                <w:rFonts w:hint="eastAsia" w:asciiTheme="minorEastAsia" w:hAnsiTheme="minorEastAsia" w:eastAsiaTheme="minorEastAsia" w:cstheme="minorEastAsia"/>
                <w:sz w:val="21"/>
                <w:szCs w:val="21"/>
                <w:highlight w:val="none"/>
                <w:lang w:val="en-US" w:eastAsia="zh-CN"/>
              </w:rPr>
              <w:t>35</w:t>
            </w:r>
            <w:r>
              <w:rPr>
                <w:rFonts w:hint="eastAsia" w:asciiTheme="minorEastAsia" w:hAnsiTheme="minorEastAsia" w:eastAsiaTheme="minorEastAsia" w:cstheme="minorEastAsia"/>
                <w:sz w:val="21"/>
                <w:szCs w:val="21"/>
                <w:highlight w:val="none"/>
              </w:rPr>
              <w:t>分）</w:t>
            </w:r>
          </w:p>
        </w:tc>
        <w:tc>
          <w:tcPr>
            <w:tcW w:w="1473" w:type="dxa"/>
            <w:noWrap/>
            <w:vAlign w:val="center"/>
          </w:tcPr>
          <w:p w14:paraId="5DB9E941">
            <w:pPr>
              <w:snapToGrid w:val="0"/>
              <w:spacing w:line="320" w:lineRule="exact"/>
              <w:jc w:val="left"/>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sz w:val="21"/>
                <w:szCs w:val="21"/>
                <w:highlight w:val="none"/>
                <w:lang w:val="en-US" w:eastAsia="zh-CN"/>
              </w:rPr>
              <w:t>1.回收</w:t>
            </w:r>
            <w:r>
              <w:rPr>
                <w:rFonts w:hint="eastAsia" w:asciiTheme="minorEastAsia" w:hAnsiTheme="minorEastAsia" w:eastAsiaTheme="minorEastAsia" w:cstheme="minorEastAsia"/>
                <w:sz w:val="21"/>
                <w:szCs w:val="21"/>
                <w:highlight w:val="none"/>
              </w:rPr>
              <w:t>服务方案（</w:t>
            </w:r>
            <w:r>
              <w:rPr>
                <w:rFonts w:hint="eastAsia" w:asciiTheme="minorEastAsia" w:hAnsiTheme="minorEastAsia" w:eastAsiaTheme="minorEastAsia" w:cstheme="minorEastAsia"/>
                <w:sz w:val="21"/>
                <w:szCs w:val="21"/>
                <w:highlight w:val="none"/>
                <w:lang w:val="en-US" w:eastAsia="zh-CN"/>
              </w:rPr>
              <w:t>12</w:t>
            </w:r>
            <w:r>
              <w:rPr>
                <w:rFonts w:hint="eastAsia" w:asciiTheme="minorEastAsia" w:hAnsiTheme="minorEastAsia" w:eastAsiaTheme="minorEastAsia" w:cstheme="minorEastAsia"/>
                <w:sz w:val="21"/>
                <w:szCs w:val="21"/>
                <w:highlight w:val="none"/>
              </w:rPr>
              <w:t>分）</w:t>
            </w:r>
          </w:p>
        </w:tc>
        <w:tc>
          <w:tcPr>
            <w:tcW w:w="6770" w:type="dxa"/>
            <w:noWrap/>
            <w:vAlign w:val="center"/>
          </w:tcPr>
          <w:p w14:paraId="36256855">
            <w:pPr>
              <w:widowControl/>
              <w:snapToGrid w:val="0"/>
              <w:spacing w:line="36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根据供应商提供的年度回收服务实施方案进行评分：</w:t>
            </w:r>
          </w:p>
          <w:p w14:paraId="19D5D191">
            <w:pPr>
              <w:widowControl/>
              <w:snapToGrid w:val="0"/>
              <w:spacing w:line="36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回收流程完整规范，包含交接核对、暂存、运输、台账追溯等全流程内容，方案科学合理、针对性强得12分；</w:t>
            </w:r>
          </w:p>
          <w:p w14:paraId="5970FA0F">
            <w:pPr>
              <w:widowControl/>
              <w:snapToGrid w:val="0"/>
              <w:spacing w:line="36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回收流程基本完整，具备主要环节，方案针对性较强得8分；</w:t>
            </w:r>
          </w:p>
          <w:p w14:paraId="259CDC91">
            <w:pPr>
              <w:widowControl/>
              <w:snapToGrid w:val="0"/>
              <w:spacing w:line="36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回收流程不完整，方案简单、可操作性欠缺得4分；</w:t>
            </w:r>
          </w:p>
          <w:p w14:paraId="7C973B81">
            <w:pPr>
              <w:widowControl/>
              <w:snapToGrid w:val="0"/>
              <w:spacing w:line="36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回收流程满足满足采购需求，缺乏可操作性得1分；</w:t>
            </w:r>
          </w:p>
          <w:p w14:paraId="47D1DC5E">
            <w:pPr>
              <w:widowControl/>
              <w:snapToGrid w:val="0"/>
              <w:spacing w:line="360" w:lineRule="exact"/>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未提供不得分。</w:t>
            </w:r>
          </w:p>
        </w:tc>
      </w:tr>
      <w:tr w14:paraId="4B005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continue"/>
            <w:noWrap/>
            <w:vAlign w:val="center"/>
          </w:tcPr>
          <w:p w14:paraId="2AE19D1A">
            <w:pPr>
              <w:snapToGrid w:val="0"/>
              <w:spacing w:line="320" w:lineRule="exact"/>
              <w:jc w:val="center"/>
              <w:rPr>
                <w:rFonts w:hint="eastAsia" w:asciiTheme="minorEastAsia" w:hAnsiTheme="minorEastAsia" w:eastAsiaTheme="minorEastAsia" w:cstheme="minorEastAsia"/>
                <w:sz w:val="21"/>
                <w:szCs w:val="21"/>
                <w:highlight w:val="none"/>
              </w:rPr>
            </w:pPr>
          </w:p>
        </w:tc>
        <w:tc>
          <w:tcPr>
            <w:tcW w:w="1473" w:type="dxa"/>
            <w:noWrap/>
            <w:vAlign w:val="center"/>
          </w:tcPr>
          <w:p w14:paraId="2BCA85C1">
            <w:pPr>
              <w:snapToGrid w:val="0"/>
              <w:spacing w:line="320" w:lineRule="exact"/>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回收服务保障能力</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15分</w:t>
            </w:r>
            <w:r>
              <w:rPr>
                <w:rFonts w:hint="eastAsia" w:asciiTheme="minorEastAsia" w:hAnsiTheme="minorEastAsia" w:eastAsiaTheme="minorEastAsia" w:cstheme="minorEastAsia"/>
                <w:sz w:val="21"/>
                <w:szCs w:val="21"/>
                <w:highlight w:val="none"/>
                <w:lang w:eastAsia="zh-CN"/>
              </w:rPr>
              <w:t>）</w:t>
            </w:r>
          </w:p>
        </w:tc>
        <w:tc>
          <w:tcPr>
            <w:tcW w:w="6770" w:type="dxa"/>
            <w:noWrap/>
            <w:vAlign w:val="center"/>
          </w:tcPr>
          <w:p w14:paraId="3861BA61">
            <w:pPr>
              <w:widowControl/>
              <w:snapToGrid w:val="0"/>
              <w:spacing w:line="36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根据供应商提供的回收服务保障能力进行评分：</w:t>
            </w:r>
          </w:p>
          <w:p w14:paraId="1E59ED7A">
            <w:pPr>
              <w:widowControl/>
              <w:snapToGrid w:val="0"/>
              <w:spacing w:line="360" w:lineRule="exact"/>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具备专用密闭运输车辆、固定回收作业人员，配备完善的安全防护及防污染设备设施，保障能力充足</w:t>
            </w:r>
            <w:r>
              <w:rPr>
                <w:rFonts w:hint="eastAsia" w:asciiTheme="minorEastAsia" w:hAnsiTheme="minorEastAsia" w:eastAsiaTheme="minorEastAsia" w:cstheme="minorEastAsia"/>
                <w:sz w:val="21"/>
                <w:szCs w:val="21"/>
                <w:highlight w:val="none"/>
                <w:lang w:val="en-US" w:eastAsia="zh-CN"/>
              </w:rPr>
              <w:t>得15分；</w:t>
            </w:r>
          </w:p>
          <w:p w14:paraId="103E0B4C">
            <w:pPr>
              <w:widowControl/>
              <w:snapToGrid w:val="0"/>
              <w:spacing w:line="360" w:lineRule="exact"/>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具备基本运输、人员及场地条件，保障能力</w:t>
            </w:r>
            <w:r>
              <w:rPr>
                <w:rFonts w:hint="eastAsia" w:asciiTheme="minorEastAsia" w:hAnsiTheme="minorEastAsia" w:eastAsiaTheme="minorEastAsia" w:cstheme="minorEastAsia"/>
                <w:sz w:val="21"/>
                <w:szCs w:val="21"/>
                <w:highlight w:val="none"/>
                <w:lang w:val="en-US" w:eastAsia="zh-CN"/>
              </w:rPr>
              <w:t>较强得10分；</w:t>
            </w:r>
          </w:p>
          <w:p w14:paraId="0B05BE27">
            <w:pPr>
              <w:widowControl/>
              <w:snapToGrid w:val="0"/>
              <w:spacing w:line="36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设备、人员、场地条件</w:t>
            </w:r>
            <w:r>
              <w:rPr>
                <w:rFonts w:hint="eastAsia" w:asciiTheme="minorEastAsia" w:hAnsiTheme="minorEastAsia" w:eastAsiaTheme="minorEastAsia" w:cstheme="minorEastAsia"/>
                <w:sz w:val="21"/>
                <w:szCs w:val="21"/>
                <w:highlight w:val="none"/>
                <w:lang w:val="en-US" w:eastAsia="zh-CN"/>
              </w:rPr>
              <w:t>一般得5分。</w:t>
            </w:r>
          </w:p>
          <w:p w14:paraId="71F5A732">
            <w:pPr>
              <w:widowControl/>
              <w:snapToGrid w:val="0"/>
              <w:spacing w:line="36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设备、人员、场</w:t>
            </w:r>
            <w:r>
              <w:rPr>
                <w:rFonts w:hint="eastAsia" w:asciiTheme="minorEastAsia" w:hAnsiTheme="minorEastAsia" w:eastAsiaTheme="minorEastAsia" w:cstheme="minorEastAsia"/>
                <w:sz w:val="21"/>
                <w:szCs w:val="21"/>
                <w:highlight w:val="none"/>
                <w:lang w:val="en-US" w:eastAsia="zh-CN"/>
              </w:rPr>
              <w:t>地条件较差得1分。</w:t>
            </w:r>
          </w:p>
          <w:p w14:paraId="711EBDBF">
            <w:pPr>
              <w:widowControl/>
              <w:snapToGrid w:val="0"/>
              <w:spacing w:line="360" w:lineRule="exact"/>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未提供不得分。</w:t>
            </w:r>
          </w:p>
        </w:tc>
      </w:tr>
      <w:tr w14:paraId="37CDB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239" w:type="dxa"/>
            <w:vMerge w:val="continue"/>
            <w:noWrap/>
            <w:vAlign w:val="center"/>
          </w:tcPr>
          <w:p w14:paraId="7D0CA7CD">
            <w:pPr>
              <w:snapToGrid w:val="0"/>
              <w:spacing w:line="320" w:lineRule="exact"/>
              <w:jc w:val="center"/>
              <w:rPr>
                <w:rFonts w:hint="eastAsia" w:asciiTheme="minorEastAsia" w:hAnsiTheme="minorEastAsia" w:eastAsiaTheme="minorEastAsia" w:cstheme="minorEastAsia"/>
                <w:sz w:val="21"/>
                <w:szCs w:val="21"/>
                <w:highlight w:val="none"/>
              </w:rPr>
            </w:pPr>
          </w:p>
        </w:tc>
        <w:tc>
          <w:tcPr>
            <w:tcW w:w="1473" w:type="dxa"/>
            <w:noWrap/>
            <w:vAlign w:val="center"/>
          </w:tcPr>
          <w:p w14:paraId="70AC16A1">
            <w:pPr>
              <w:snapToGrid w:val="0"/>
              <w:spacing w:line="320" w:lineRule="exact"/>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应急与响应服务</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8分</w:t>
            </w:r>
            <w:r>
              <w:rPr>
                <w:rFonts w:hint="eastAsia" w:asciiTheme="minorEastAsia" w:hAnsiTheme="minorEastAsia" w:eastAsiaTheme="minorEastAsia" w:cstheme="minorEastAsia"/>
                <w:sz w:val="21"/>
                <w:szCs w:val="21"/>
                <w:highlight w:val="none"/>
                <w:lang w:eastAsia="zh-CN"/>
              </w:rPr>
              <w:t>）</w:t>
            </w:r>
          </w:p>
        </w:tc>
        <w:tc>
          <w:tcPr>
            <w:tcW w:w="6770" w:type="dxa"/>
            <w:noWrap/>
            <w:vAlign w:val="center"/>
          </w:tcPr>
          <w:p w14:paraId="07B2DDB1">
            <w:pPr>
              <w:widowControl/>
              <w:snapToGrid w:val="0"/>
              <w:spacing w:line="36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根据供应商提供的应急方案进行评分：</w:t>
            </w:r>
          </w:p>
          <w:p w14:paraId="30FFDC48">
            <w:pPr>
              <w:widowControl/>
              <w:snapToGrid w:val="0"/>
              <w:spacing w:line="360" w:lineRule="exact"/>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建立完善的应急回收机制，</w:t>
            </w:r>
            <w:r>
              <w:rPr>
                <w:rFonts w:hint="eastAsia" w:asciiTheme="minorEastAsia" w:hAnsiTheme="minorEastAsia" w:eastAsiaTheme="minorEastAsia" w:cstheme="minorEastAsia"/>
                <w:sz w:val="21"/>
                <w:szCs w:val="21"/>
                <w:highlight w:val="none"/>
                <w:lang w:val="en-US" w:eastAsia="zh-CN"/>
              </w:rPr>
              <w:t>保障措施完善，</w:t>
            </w:r>
            <w:r>
              <w:rPr>
                <w:rFonts w:hint="eastAsia" w:asciiTheme="minorEastAsia" w:hAnsiTheme="minorEastAsia" w:eastAsiaTheme="minorEastAsia" w:cstheme="minorEastAsia"/>
                <w:sz w:val="21"/>
                <w:szCs w:val="21"/>
                <w:highlight w:val="none"/>
              </w:rPr>
              <w:t>突发情况处置及时高效</w:t>
            </w:r>
            <w:r>
              <w:rPr>
                <w:rFonts w:hint="eastAsia" w:asciiTheme="minorEastAsia" w:hAnsiTheme="minorEastAsia" w:eastAsiaTheme="minorEastAsia" w:cstheme="minorEastAsia"/>
                <w:sz w:val="21"/>
                <w:szCs w:val="21"/>
                <w:highlight w:val="none"/>
                <w:lang w:val="en-US" w:eastAsia="zh-CN"/>
              </w:rPr>
              <w:t>得8分；</w:t>
            </w:r>
          </w:p>
          <w:p w14:paraId="3D7F316F">
            <w:pPr>
              <w:widowControl/>
              <w:snapToGrid w:val="0"/>
              <w:spacing w:line="36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提供</w:t>
            </w:r>
            <w:r>
              <w:rPr>
                <w:rFonts w:hint="eastAsia" w:asciiTheme="minorEastAsia" w:hAnsiTheme="minorEastAsia" w:eastAsiaTheme="minorEastAsia" w:cstheme="minorEastAsia"/>
                <w:sz w:val="21"/>
                <w:szCs w:val="21"/>
                <w:highlight w:val="none"/>
              </w:rPr>
              <w:t>基本应急响应</w:t>
            </w:r>
            <w:r>
              <w:rPr>
                <w:rFonts w:hint="eastAsia" w:asciiTheme="minorEastAsia" w:hAnsiTheme="minorEastAsia" w:eastAsiaTheme="minorEastAsia" w:cstheme="minorEastAsia"/>
                <w:sz w:val="21"/>
                <w:szCs w:val="21"/>
                <w:highlight w:val="none"/>
                <w:lang w:val="en-US" w:eastAsia="zh-CN"/>
              </w:rPr>
              <w:t>方案，保障措施一般，处置效率较高得5分；</w:t>
            </w:r>
          </w:p>
          <w:p w14:paraId="762873AC">
            <w:pPr>
              <w:widowControl/>
              <w:snapToGrid w:val="0"/>
              <w:spacing w:line="360" w:lineRule="exact"/>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应急响应方案处置效率低得2分。</w:t>
            </w:r>
          </w:p>
          <w:p w14:paraId="6653BFAF">
            <w:pPr>
              <w:widowControl/>
              <w:snapToGrid w:val="0"/>
              <w:spacing w:line="360" w:lineRule="exact"/>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无应急服务方案</w:t>
            </w:r>
            <w:r>
              <w:rPr>
                <w:rFonts w:hint="eastAsia" w:asciiTheme="minorEastAsia" w:hAnsiTheme="minorEastAsia" w:eastAsiaTheme="minorEastAsia" w:cstheme="minorEastAsia"/>
                <w:sz w:val="21"/>
                <w:szCs w:val="21"/>
                <w:highlight w:val="none"/>
                <w:lang w:val="en-US" w:eastAsia="zh-CN"/>
              </w:rPr>
              <w:t>的0分。</w:t>
            </w:r>
          </w:p>
        </w:tc>
      </w:tr>
      <w:tr w14:paraId="44481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restart"/>
            <w:noWrap/>
            <w:vAlign w:val="center"/>
          </w:tcPr>
          <w:p w14:paraId="2334FD82">
            <w:pPr>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商务评价(</w:t>
            </w:r>
            <w:r>
              <w:rPr>
                <w:rFonts w:hint="eastAsia" w:asciiTheme="minorEastAsia" w:hAnsiTheme="minorEastAsia" w:eastAsiaTheme="minorEastAsia" w:cstheme="minorEastAsia"/>
                <w:sz w:val="21"/>
                <w:szCs w:val="21"/>
                <w:highlight w:val="none"/>
                <w:lang w:val="en-US" w:eastAsia="zh-CN"/>
              </w:rPr>
              <w:t>15</w:t>
            </w:r>
            <w:r>
              <w:rPr>
                <w:rFonts w:hint="eastAsia" w:asciiTheme="minorEastAsia" w:hAnsiTheme="minorEastAsia" w:eastAsiaTheme="minorEastAsia" w:cstheme="minorEastAsia"/>
                <w:sz w:val="21"/>
                <w:szCs w:val="21"/>
                <w:highlight w:val="none"/>
              </w:rPr>
              <w:t>分)</w:t>
            </w:r>
          </w:p>
        </w:tc>
        <w:tc>
          <w:tcPr>
            <w:tcW w:w="1473" w:type="dxa"/>
            <w:tcBorders>
              <w:top w:val="single" w:color="auto" w:sz="4" w:space="0"/>
            </w:tcBorders>
            <w:noWrap/>
            <w:vAlign w:val="center"/>
          </w:tcPr>
          <w:p w14:paraId="2EFF68AC">
            <w:pPr>
              <w:snapToGrid w:val="0"/>
              <w:spacing w:line="32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类似业绩（</w:t>
            </w: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分）</w:t>
            </w:r>
          </w:p>
        </w:tc>
        <w:tc>
          <w:tcPr>
            <w:tcW w:w="6770" w:type="dxa"/>
            <w:noWrap/>
            <w:vAlign w:val="center"/>
          </w:tcPr>
          <w:p w14:paraId="323818E2">
            <w:pPr>
              <w:snapToGrid w:val="0"/>
              <w:spacing w:line="36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自202</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年01月01日以来具有的类似项目(以合同文件为准），每提供一份得</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分，最多得</w:t>
            </w: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分。</w:t>
            </w:r>
          </w:p>
          <w:p w14:paraId="6B381F9F">
            <w:pPr>
              <w:snapToGrid w:val="0"/>
              <w:spacing w:line="36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注：提供合同证明文件，未提供不得分。</w:t>
            </w:r>
          </w:p>
        </w:tc>
      </w:tr>
      <w:tr w14:paraId="66511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continue"/>
            <w:noWrap/>
            <w:vAlign w:val="center"/>
          </w:tcPr>
          <w:p w14:paraId="0B38BDFB">
            <w:pPr>
              <w:snapToGrid w:val="0"/>
              <w:spacing w:line="320" w:lineRule="exact"/>
              <w:jc w:val="center"/>
              <w:rPr>
                <w:rFonts w:hint="eastAsia" w:asciiTheme="minorEastAsia" w:hAnsiTheme="minorEastAsia" w:eastAsiaTheme="minorEastAsia" w:cstheme="minorEastAsia"/>
                <w:sz w:val="21"/>
                <w:szCs w:val="21"/>
                <w:highlight w:val="none"/>
              </w:rPr>
            </w:pPr>
          </w:p>
        </w:tc>
        <w:tc>
          <w:tcPr>
            <w:tcW w:w="1473" w:type="dxa"/>
            <w:tcBorders>
              <w:top w:val="single" w:color="auto" w:sz="4" w:space="0"/>
            </w:tcBorders>
            <w:noWrap/>
            <w:vAlign w:val="center"/>
          </w:tcPr>
          <w:p w14:paraId="1DD9B131">
            <w:pPr>
              <w:tabs>
                <w:tab w:val="left" w:pos="0"/>
              </w:tabs>
              <w:spacing w:line="360" w:lineRule="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荣誉（</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分）</w:t>
            </w:r>
          </w:p>
        </w:tc>
        <w:tc>
          <w:tcPr>
            <w:tcW w:w="6770" w:type="dxa"/>
            <w:noWrap/>
            <w:vAlign w:val="center"/>
          </w:tcPr>
          <w:p w14:paraId="6DFEFEF2">
            <w:pPr>
              <w:tabs>
                <w:tab w:val="left" w:pos="0"/>
              </w:tabs>
              <w:spacing w:line="36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2023年1月1日以来，供应商获得过省级及以上</w:t>
            </w:r>
            <w:r>
              <w:rPr>
                <w:rFonts w:hint="eastAsia" w:asciiTheme="minorEastAsia" w:hAnsiTheme="minorEastAsia" w:eastAsiaTheme="minorEastAsia" w:cstheme="minorEastAsia"/>
                <w:sz w:val="21"/>
                <w:szCs w:val="21"/>
                <w:highlight w:val="none"/>
                <w:lang w:val="en-US" w:eastAsia="zh-CN"/>
              </w:rPr>
              <w:t>环保/再生资源类</w:t>
            </w:r>
            <w:r>
              <w:rPr>
                <w:rFonts w:hint="eastAsia" w:asciiTheme="minorEastAsia" w:hAnsiTheme="minorEastAsia" w:eastAsiaTheme="minorEastAsia" w:cstheme="minorEastAsia"/>
                <w:sz w:val="21"/>
                <w:szCs w:val="21"/>
                <w:highlight w:val="none"/>
              </w:rPr>
              <w:t>相关</w:t>
            </w:r>
            <w:r>
              <w:rPr>
                <w:rFonts w:hint="eastAsia" w:asciiTheme="minorEastAsia" w:hAnsiTheme="minorEastAsia" w:eastAsiaTheme="minorEastAsia" w:cstheme="minorEastAsia"/>
                <w:sz w:val="21"/>
                <w:szCs w:val="21"/>
                <w:highlight w:val="none"/>
                <w:lang w:val="en-US" w:eastAsia="zh-CN"/>
              </w:rPr>
              <w:t>荣誉</w:t>
            </w:r>
            <w:r>
              <w:rPr>
                <w:rFonts w:hint="eastAsia" w:asciiTheme="minorEastAsia" w:hAnsiTheme="minorEastAsia" w:eastAsiaTheme="minorEastAsia" w:cstheme="minorEastAsia"/>
                <w:sz w:val="21"/>
                <w:szCs w:val="21"/>
                <w:highlight w:val="none"/>
              </w:rPr>
              <w:t>，每提供</w:t>
            </w:r>
            <w:r>
              <w:rPr>
                <w:rFonts w:hint="eastAsia" w:asciiTheme="minorEastAsia" w:hAnsiTheme="minorEastAsia" w:eastAsiaTheme="minorEastAsia" w:cstheme="minorEastAsia"/>
                <w:sz w:val="21"/>
                <w:szCs w:val="21"/>
                <w:highlight w:val="none"/>
                <w:lang w:val="en-US" w:eastAsia="zh-CN"/>
              </w:rPr>
              <w:t>一个</w:t>
            </w:r>
            <w:r>
              <w:rPr>
                <w:rFonts w:hint="eastAsia" w:asciiTheme="minorEastAsia" w:hAnsiTheme="minorEastAsia" w:eastAsiaTheme="minorEastAsia" w:cstheme="minorEastAsia"/>
                <w:sz w:val="21"/>
                <w:szCs w:val="21"/>
                <w:highlight w:val="none"/>
              </w:rPr>
              <w:t>得</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分，最高</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分。</w:t>
            </w:r>
          </w:p>
          <w:p w14:paraId="6F31DEF6">
            <w:pPr>
              <w:tabs>
                <w:tab w:val="left" w:pos="0"/>
              </w:tabs>
              <w:spacing w:line="36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注：</w:t>
            </w:r>
            <w:r>
              <w:rPr>
                <w:rFonts w:hint="eastAsia" w:asciiTheme="minorEastAsia" w:hAnsiTheme="minorEastAsia" w:eastAsiaTheme="minorEastAsia" w:cstheme="minorEastAsia"/>
                <w:sz w:val="21"/>
                <w:szCs w:val="21"/>
                <w:highlight w:val="none"/>
              </w:rPr>
              <w:t>提供</w:t>
            </w:r>
            <w:r>
              <w:rPr>
                <w:rFonts w:hint="eastAsia" w:asciiTheme="minorEastAsia" w:hAnsiTheme="minorEastAsia" w:eastAsiaTheme="minorEastAsia" w:cstheme="minorEastAsia"/>
                <w:sz w:val="21"/>
                <w:szCs w:val="21"/>
                <w:highlight w:val="none"/>
                <w:lang w:val="en-US" w:eastAsia="zh-CN"/>
              </w:rPr>
              <w:t>荣誉</w:t>
            </w:r>
            <w:r>
              <w:rPr>
                <w:rFonts w:hint="eastAsia" w:asciiTheme="minorEastAsia" w:hAnsiTheme="minorEastAsia" w:eastAsiaTheme="minorEastAsia" w:cstheme="minorEastAsia"/>
                <w:sz w:val="21"/>
                <w:szCs w:val="21"/>
                <w:highlight w:val="none"/>
              </w:rPr>
              <w:t>证书</w:t>
            </w:r>
            <w:r>
              <w:rPr>
                <w:rFonts w:hint="eastAsia" w:asciiTheme="minorEastAsia" w:hAnsiTheme="minorEastAsia" w:eastAsiaTheme="minorEastAsia" w:cstheme="minorEastAsia"/>
                <w:sz w:val="21"/>
                <w:szCs w:val="21"/>
                <w:highlight w:val="none"/>
                <w:lang w:val="en-US" w:eastAsia="zh-CN"/>
              </w:rPr>
              <w:t>复印件。</w:t>
            </w:r>
          </w:p>
        </w:tc>
      </w:tr>
      <w:tr w14:paraId="7161A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tcPr>
          <w:p w14:paraId="3D7AA0C2">
            <w:pPr>
              <w:snapToGrid w:val="0"/>
              <w:spacing w:line="320" w:lineRule="exact"/>
              <w:jc w:val="center"/>
              <w:rPr>
                <w:rFonts w:ascii="宋体" w:hAnsi="宋体" w:cs="宋体"/>
                <w:szCs w:val="21"/>
                <w:highlight w:val="none"/>
              </w:rPr>
            </w:pPr>
            <w:r>
              <w:rPr>
                <w:rFonts w:hint="eastAsia" w:ascii="宋体" w:hAnsi="宋体" w:cs="宋体"/>
                <w:szCs w:val="21"/>
                <w:highlight w:val="none"/>
              </w:rPr>
              <w:t>得分的计算</w:t>
            </w:r>
          </w:p>
        </w:tc>
        <w:tc>
          <w:tcPr>
            <w:tcW w:w="8243" w:type="dxa"/>
            <w:gridSpan w:val="2"/>
            <w:noWrap/>
            <w:vAlign w:val="center"/>
          </w:tcPr>
          <w:p w14:paraId="64672349">
            <w:pPr>
              <w:snapToGrid w:val="0"/>
              <w:spacing w:line="360" w:lineRule="exact"/>
              <w:rPr>
                <w:rFonts w:ascii="宋体" w:hAnsi="宋体" w:cs="宋体"/>
                <w:szCs w:val="21"/>
                <w:highlight w:val="none"/>
              </w:rPr>
            </w:pPr>
            <w:r>
              <w:rPr>
                <w:rFonts w:hint="eastAsia" w:ascii="宋体" w:hAnsi="宋体" w:cs="宋体"/>
                <w:szCs w:val="21"/>
                <w:highlight w:val="none"/>
              </w:rPr>
              <w:t>磋商小组成员评分=各项评分因素的汇总得分。</w:t>
            </w:r>
          </w:p>
          <w:p w14:paraId="067217A8">
            <w:pPr>
              <w:snapToGrid w:val="0"/>
              <w:spacing w:line="360" w:lineRule="exact"/>
              <w:rPr>
                <w:rFonts w:ascii="宋体" w:hAnsi="宋体" w:cs="宋体"/>
                <w:szCs w:val="21"/>
                <w:highlight w:val="none"/>
              </w:rPr>
            </w:pPr>
            <w:r>
              <w:rPr>
                <w:rFonts w:hint="eastAsia" w:ascii="宋体" w:hAnsi="宋体" w:cs="宋体"/>
                <w:szCs w:val="21"/>
                <w:highlight w:val="none"/>
              </w:rPr>
              <w:t>评标总得分=磋商小组所有成员合计评分/磋商小组组成人员数。</w:t>
            </w:r>
          </w:p>
        </w:tc>
      </w:tr>
    </w:tbl>
    <w:p w14:paraId="33F24ACC">
      <w:pPr>
        <w:ind w:firstLine="440"/>
        <w:rPr>
          <w:highlight w:val="none"/>
        </w:rPr>
        <w:sectPr>
          <w:pgSz w:w="11906" w:h="16838"/>
          <w:pgMar w:top="1417" w:right="1474" w:bottom="1417" w:left="1474" w:header="851" w:footer="624" w:gutter="0"/>
          <w:cols w:space="720" w:num="1"/>
          <w:docGrid w:type="lines" w:linePitch="319" w:charSpace="0"/>
        </w:sectPr>
      </w:pPr>
    </w:p>
    <w:bookmarkEnd w:id="37"/>
    <w:p w14:paraId="26919006">
      <w:pPr>
        <w:pStyle w:val="2"/>
        <w:snapToGrid w:val="0"/>
        <w:spacing w:before="159" w:after="0" w:line="480" w:lineRule="auto"/>
        <w:ind w:firstLine="562"/>
        <w:jc w:val="center"/>
        <w:rPr>
          <w:rFonts w:ascii="宋体" w:hAnsi="宋体" w:cs="宋体"/>
          <w:sz w:val="28"/>
          <w:szCs w:val="28"/>
          <w:highlight w:val="none"/>
        </w:rPr>
      </w:pPr>
      <w:bookmarkStart w:id="39" w:name="_Toc11904"/>
      <w:bookmarkStart w:id="40" w:name="_Toc1482"/>
      <w:bookmarkStart w:id="41" w:name="_Toc1947"/>
      <w:bookmarkStart w:id="42" w:name="_Toc256519703"/>
      <w:bookmarkStart w:id="43" w:name="_Toc326786897"/>
      <w:r>
        <w:rPr>
          <w:rFonts w:hint="eastAsia" w:ascii="宋体" w:hAnsi="宋体" w:cs="宋体"/>
          <w:sz w:val="28"/>
          <w:szCs w:val="28"/>
          <w:highlight w:val="none"/>
        </w:rPr>
        <w:t>第五章  采购合同</w:t>
      </w:r>
      <w:bookmarkEnd w:id="39"/>
    </w:p>
    <w:p w14:paraId="4C7620C3">
      <w:pPr>
        <w:snapToGrid w:val="0"/>
        <w:spacing w:line="360" w:lineRule="auto"/>
        <w:ind w:firstLine="440"/>
        <w:jc w:val="center"/>
        <w:rPr>
          <w:rFonts w:ascii="宋体" w:hAnsi="宋体" w:cs="宋体"/>
          <w:szCs w:val="21"/>
          <w:highlight w:val="none"/>
        </w:rPr>
      </w:pPr>
      <w:r>
        <w:rPr>
          <w:rFonts w:hint="eastAsia" w:ascii="宋体" w:hAnsi="宋体" w:cs="宋体"/>
          <w:szCs w:val="21"/>
          <w:highlight w:val="none"/>
        </w:rPr>
        <w:t>（以实际合同为准）</w:t>
      </w:r>
    </w:p>
    <w:p w14:paraId="234BA021">
      <w:pPr>
        <w:ind w:firstLine="440"/>
        <w:rPr>
          <w:rFonts w:ascii="宋体" w:hAnsi="宋体" w:cs="宋体"/>
          <w:highlight w:val="none"/>
        </w:rPr>
      </w:pPr>
    </w:p>
    <w:p w14:paraId="519B33FD">
      <w:pPr>
        <w:ind w:firstLine="640"/>
        <w:rPr>
          <w:rFonts w:ascii="宋体" w:hAnsi="宋体" w:cs="宋体"/>
          <w:sz w:val="32"/>
          <w:szCs w:val="32"/>
          <w:highlight w:val="none"/>
        </w:rPr>
      </w:pPr>
    </w:p>
    <w:p w14:paraId="61345ECF">
      <w:pPr>
        <w:ind w:firstLine="440"/>
        <w:rPr>
          <w:rFonts w:ascii="宋体" w:hAnsi="宋体" w:cs="宋体"/>
          <w:highlight w:val="none"/>
        </w:rPr>
      </w:pPr>
      <w:r>
        <w:rPr>
          <w:rFonts w:hint="eastAsia" w:ascii="宋体" w:hAnsi="宋体" w:cs="宋体"/>
          <w:highlight w:val="none"/>
        </w:rPr>
        <w:br w:type="page"/>
      </w:r>
    </w:p>
    <w:p w14:paraId="50D1B65E">
      <w:pPr>
        <w:pStyle w:val="2"/>
        <w:spacing w:before="159"/>
        <w:ind w:firstLine="643"/>
        <w:jc w:val="center"/>
        <w:rPr>
          <w:rFonts w:ascii="宋体" w:hAnsi="宋体" w:cs="宋体"/>
          <w:kern w:val="0"/>
          <w:highlight w:val="none"/>
        </w:rPr>
      </w:pPr>
      <w:bookmarkStart w:id="44" w:name="_Toc18702"/>
      <w:r>
        <w:rPr>
          <w:rFonts w:hint="eastAsia" w:ascii="宋体" w:hAnsi="宋体" w:cs="宋体"/>
          <w:sz w:val="32"/>
          <w:szCs w:val="32"/>
          <w:highlight w:val="none"/>
        </w:rPr>
        <w:t>第六章  响应文件格式</w:t>
      </w:r>
      <w:bookmarkEnd w:id="40"/>
      <w:bookmarkEnd w:id="41"/>
      <w:bookmarkEnd w:id="44"/>
    </w:p>
    <w:p w14:paraId="2AF149DB">
      <w:pPr>
        <w:spacing w:line="440" w:lineRule="exact"/>
        <w:ind w:firstLine="480"/>
        <w:rPr>
          <w:rFonts w:ascii="宋体" w:hAnsi="宋体" w:cs="宋体"/>
          <w:sz w:val="24"/>
          <w:highlight w:val="none"/>
        </w:rPr>
      </w:pPr>
    </w:p>
    <w:p w14:paraId="202AB357">
      <w:pPr>
        <w:ind w:firstLine="643"/>
        <w:jc w:val="center"/>
        <w:rPr>
          <w:rFonts w:ascii="宋体" w:hAnsi="宋体" w:cs="宋体"/>
          <w:b/>
          <w:bCs/>
          <w:sz w:val="32"/>
          <w:szCs w:val="32"/>
          <w:highlight w:val="none"/>
        </w:rPr>
      </w:pPr>
      <w:bookmarkStart w:id="45" w:name="_Toc13604"/>
      <w:r>
        <w:rPr>
          <w:rFonts w:hint="eastAsia" w:ascii="宋体" w:hAnsi="宋体" w:cs="宋体"/>
          <w:b/>
          <w:bCs/>
          <w:sz w:val="32"/>
          <w:szCs w:val="32"/>
          <w:highlight w:val="none"/>
        </w:rPr>
        <w:t>目    录</w:t>
      </w:r>
      <w:bookmarkEnd w:id="45"/>
    </w:p>
    <w:p w14:paraId="42FEF73F">
      <w:pPr>
        <w:widowControl/>
        <w:wordWrap w:val="0"/>
        <w:spacing w:line="460" w:lineRule="exact"/>
        <w:ind w:firstLine="480" w:firstLineChars="200"/>
        <w:jc w:val="left"/>
        <w:rPr>
          <w:rFonts w:ascii="宋体" w:hAnsi="宋体" w:cs="宋体"/>
          <w:kern w:val="0"/>
          <w:sz w:val="24"/>
          <w:highlight w:val="none"/>
        </w:rPr>
      </w:pPr>
    </w:p>
    <w:p w14:paraId="3270F8F6">
      <w:pPr>
        <w:snapToGrid w:val="0"/>
        <w:spacing w:line="360" w:lineRule="auto"/>
        <w:ind w:firstLine="480" w:firstLineChars="200"/>
        <w:rPr>
          <w:rFonts w:ascii="宋体" w:hAnsi="宋体" w:cs="宋体"/>
          <w:sz w:val="24"/>
          <w:highlight w:val="none"/>
        </w:rPr>
      </w:pPr>
      <w:bookmarkStart w:id="46" w:name="_Toc11308"/>
      <w:r>
        <w:rPr>
          <w:rFonts w:hint="eastAsia" w:ascii="宋体" w:hAnsi="宋体" w:cs="宋体"/>
          <w:sz w:val="24"/>
          <w:highlight w:val="none"/>
        </w:rPr>
        <w:t>附件1响应文件封面（格式）</w:t>
      </w:r>
      <w:bookmarkEnd w:id="46"/>
    </w:p>
    <w:p w14:paraId="3F64B5D9">
      <w:pPr>
        <w:snapToGrid w:val="0"/>
        <w:spacing w:line="360" w:lineRule="auto"/>
        <w:ind w:firstLine="480" w:firstLineChars="200"/>
        <w:rPr>
          <w:rFonts w:ascii="宋体" w:hAnsi="宋体" w:cs="宋体"/>
          <w:sz w:val="24"/>
          <w:highlight w:val="none"/>
        </w:rPr>
      </w:pPr>
      <w:bookmarkStart w:id="47" w:name="_Toc25345"/>
      <w:r>
        <w:rPr>
          <w:rFonts w:hint="eastAsia" w:ascii="宋体" w:hAnsi="宋体" w:cs="宋体"/>
          <w:sz w:val="24"/>
          <w:highlight w:val="none"/>
        </w:rPr>
        <w:t xml:space="preserve">附件2 </w:t>
      </w:r>
      <w:r>
        <w:rPr>
          <w:rFonts w:hint="eastAsia" w:ascii="宋体" w:hAnsi="宋体" w:cs="宋体"/>
          <w:kern w:val="0"/>
          <w:sz w:val="24"/>
          <w:highlight w:val="none"/>
        </w:rPr>
        <w:t>竞争性磋商响应书</w:t>
      </w:r>
      <w:r>
        <w:rPr>
          <w:rFonts w:hint="eastAsia" w:ascii="宋体" w:hAnsi="宋体" w:cs="宋体"/>
          <w:sz w:val="24"/>
          <w:highlight w:val="none"/>
        </w:rPr>
        <w:t>（格式）</w:t>
      </w:r>
      <w:bookmarkEnd w:id="47"/>
    </w:p>
    <w:p w14:paraId="54B41334">
      <w:pPr>
        <w:snapToGrid w:val="0"/>
        <w:spacing w:line="360" w:lineRule="auto"/>
        <w:ind w:firstLine="480" w:firstLineChars="200"/>
        <w:rPr>
          <w:rFonts w:ascii="宋体" w:hAnsi="宋体" w:cs="宋体"/>
          <w:sz w:val="24"/>
          <w:highlight w:val="none"/>
        </w:rPr>
      </w:pPr>
      <w:bookmarkStart w:id="48" w:name="_Toc10217"/>
      <w:r>
        <w:rPr>
          <w:rFonts w:hint="eastAsia" w:ascii="宋体" w:hAnsi="宋体" w:cs="宋体"/>
          <w:sz w:val="24"/>
          <w:highlight w:val="none"/>
        </w:rPr>
        <w:t xml:space="preserve">附件3 </w:t>
      </w:r>
      <w:r>
        <w:rPr>
          <w:rFonts w:hint="eastAsia" w:ascii="宋体" w:hAnsi="宋体" w:cs="宋体"/>
          <w:kern w:val="0"/>
          <w:sz w:val="24"/>
          <w:highlight w:val="none"/>
        </w:rPr>
        <w:t>初次报价一览表</w:t>
      </w:r>
      <w:r>
        <w:rPr>
          <w:rFonts w:hint="eastAsia" w:ascii="宋体" w:hAnsi="宋体" w:cs="宋体"/>
          <w:sz w:val="24"/>
          <w:highlight w:val="none"/>
        </w:rPr>
        <w:t>（格式）</w:t>
      </w:r>
      <w:bookmarkEnd w:id="48"/>
    </w:p>
    <w:p w14:paraId="6F1F448A">
      <w:pPr>
        <w:snapToGrid w:val="0"/>
        <w:spacing w:line="360" w:lineRule="auto"/>
        <w:ind w:firstLine="480" w:firstLineChars="200"/>
        <w:rPr>
          <w:rFonts w:ascii="宋体" w:hAnsi="宋体" w:cs="宋体"/>
          <w:sz w:val="24"/>
          <w:highlight w:val="none"/>
        </w:rPr>
      </w:pPr>
      <w:bookmarkStart w:id="49" w:name="_Toc9579"/>
      <w:r>
        <w:rPr>
          <w:rFonts w:hint="eastAsia" w:ascii="宋体" w:hAnsi="宋体" w:cs="宋体"/>
          <w:sz w:val="24"/>
          <w:highlight w:val="none"/>
        </w:rPr>
        <w:t xml:space="preserve">附件4 </w:t>
      </w:r>
      <w:bookmarkEnd w:id="49"/>
      <w:bookmarkStart w:id="50" w:name="_Toc28392"/>
      <w:r>
        <w:rPr>
          <w:rFonts w:hint="eastAsia" w:ascii="宋体" w:hAnsi="宋体" w:cs="宋体"/>
          <w:sz w:val="24"/>
          <w:highlight w:val="none"/>
        </w:rPr>
        <w:t>服务技术响应</w:t>
      </w:r>
      <w:bookmarkEnd w:id="50"/>
      <w:r>
        <w:rPr>
          <w:rFonts w:hint="eastAsia" w:ascii="宋体" w:hAnsi="宋体" w:cs="宋体"/>
          <w:sz w:val="24"/>
          <w:highlight w:val="none"/>
        </w:rPr>
        <w:t>表（格式）</w:t>
      </w:r>
    </w:p>
    <w:p w14:paraId="42CDC707">
      <w:pPr>
        <w:snapToGrid w:val="0"/>
        <w:spacing w:line="360" w:lineRule="auto"/>
        <w:ind w:firstLine="480" w:firstLineChars="200"/>
        <w:rPr>
          <w:rFonts w:ascii="宋体" w:hAnsi="宋体" w:cs="宋体"/>
          <w:sz w:val="24"/>
          <w:highlight w:val="none"/>
        </w:rPr>
      </w:pPr>
      <w:bookmarkStart w:id="51" w:name="_Toc6234"/>
      <w:r>
        <w:rPr>
          <w:rFonts w:hint="eastAsia" w:ascii="宋体" w:hAnsi="宋体" w:cs="宋体"/>
          <w:sz w:val="24"/>
          <w:highlight w:val="none"/>
        </w:rPr>
        <w:t>附件5 商务</w:t>
      </w:r>
      <w:bookmarkEnd w:id="51"/>
      <w:r>
        <w:rPr>
          <w:rFonts w:hint="eastAsia" w:ascii="宋体" w:hAnsi="宋体" w:cs="宋体"/>
          <w:sz w:val="24"/>
          <w:highlight w:val="none"/>
        </w:rPr>
        <w:t>响应表（格式）</w:t>
      </w:r>
    </w:p>
    <w:p w14:paraId="5563A79C">
      <w:pPr>
        <w:snapToGrid w:val="0"/>
        <w:spacing w:line="360" w:lineRule="auto"/>
        <w:ind w:firstLine="480" w:firstLineChars="200"/>
        <w:rPr>
          <w:rFonts w:ascii="宋体" w:hAnsi="宋体" w:cs="宋体"/>
          <w:sz w:val="24"/>
          <w:highlight w:val="none"/>
        </w:rPr>
      </w:pPr>
      <w:bookmarkStart w:id="52" w:name="_Toc26231"/>
      <w:r>
        <w:rPr>
          <w:rFonts w:hint="eastAsia" w:ascii="宋体" w:hAnsi="宋体" w:cs="宋体"/>
          <w:sz w:val="24"/>
          <w:highlight w:val="none"/>
        </w:rPr>
        <w:t>附件6法定代表人身份证明（格式）</w:t>
      </w:r>
      <w:bookmarkEnd w:id="52"/>
    </w:p>
    <w:p w14:paraId="47EB34CA">
      <w:pPr>
        <w:snapToGrid w:val="0"/>
        <w:spacing w:line="360" w:lineRule="auto"/>
        <w:ind w:firstLine="480" w:firstLineChars="200"/>
        <w:rPr>
          <w:rFonts w:ascii="宋体" w:hAnsi="宋体" w:cs="宋体"/>
          <w:sz w:val="24"/>
          <w:highlight w:val="none"/>
        </w:rPr>
      </w:pPr>
      <w:bookmarkStart w:id="53" w:name="_Toc18484"/>
      <w:r>
        <w:rPr>
          <w:rFonts w:hint="eastAsia" w:ascii="宋体" w:hAnsi="宋体" w:cs="宋体"/>
          <w:sz w:val="24"/>
          <w:highlight w:val="none"/>
        </w:rPr>
        <w:t>附件7法定代表人授权书（格式）</w:t>
      </w:r>
      <w:bookmarkEnd w:id="53"/>
    </w:p>
    <w:p w14:paraId="4A58B83A">
      <w:pPr>
        <w:snapToGrid w:val="0"/>
        <w:spacing w:line="360" w:lineRule="auto"/>
        <w:ind w:firstLine="480" w:firstLineChars="200"/>
        <w:rPr>
          <w:rFonts w:ascii="宋体" w:hAnsi="宋体" w:cs="宋体"/>
          <w:sz w:val="24"/>
          <w:highlight w:val="none"/>
        </w:rPr>
      </w:pPr>
      <w:bookmarkStart w:id="54" w:name="_Toc31857"/>
      <w:r>
        <w:rPr>
          <w:rFonts w:hint="eastAsia" w:ascii="宋体" w:hAnsi="宋体" w:cs="宋体"/>
          <w:sz w:val="24"/>
          <w:highlight w:val="none"/>
        </w:rPr>
        <w:t>附件8 证明文件</w:t>
      </w:r>
      <w:bookmarkEnd w:id="54"/>
    </w:p>
    <w:p w14:paraId="4C46A299">
      <w:pPr>
        <w:snapToGrid w:val="0"/>
        <w:spacing w:line="360" w:lineRule="auto"/>
        <w:ind w:firstLine="480" w:firstLineChars="200"/>
        <w:rPr>
          <w:rFonts w:ascii="宋体" w:hAnsi="宋体" w:cs="宋体"/>
          <w:sz w:val="24"/>
          <w:highlight w:val="none"/>
        </w:rPr>
      </w:pPr>
    </w:p>
    <w:p w14:paraId="4898BA64">
      <w:pPr>
        <w:pStyle w:val="33"/>
        <w:ind w:firstLine="210"/>
        <w:rPr>
          <w:rFonts w:ascii="宋体" w:hAnsi="宋体" w:cs="宋体"/>
          <w:highlight w:val="none"/>
        </w:rPr>
      </w:pPr>
    </w:p>
    <w:p w14:paraId="188FD516">
      <w:pPr>
        <w:widowControl/>
        <w:wordWrap w:val="0"/>
        <w:snapToGrid w:val="0"/>
        <w:spacing w:line="460" w:lineRule="exact"/>
        <w:ind w:firstLine="482" w:firstLineChars="200"/>
        <w:jc w:val="center"/>
        <w:rPr>
          <w:rFonts w:ascii="宋体" w:hAnsi="宋体" w:cs="宋体"/>
          <w:b/>
          <w:bCs/>
          <w:kern w:val="0"/>
          <w:sz w:val="24"/>
          <w:highlight w:val="none"/>
        </w:rPr>
      </w:pPr>
    </w:p>
    <w:p w14:paraId="5E506078">
      <w:pPr>
        <w:widowControl/>
        <w:wordWrap w:val="0"/>
        <w:snapToGrid w:val="0"/>
        <w:spacing w:line="460" w:lineRule="exact"/>
        <w:ind w:firstLine="482" w:firstLineChars="200"/>
        <w:jc w:val="center"/>
        <w:rPr>
          <w:rFonts w:ascii="宋体" w:hAnsi="宋体" w:cs="宋体"/>
          <w:b/>
          <w:bCs/>
          <w:kern w:val="0"/>
          <w:sz w:val="24"/>
          <w:highlight w:val="none"/>
        </w:rPr>
      </w:pPr>
    </w:p>
    <w:p w14:paraId="2669259F">
      <w:pPr>
        <w:widowControl/>
        <w:wordWrap w:val="0"/>
        <w:snapToGrid w:val="0"/>
        <w:spacing w:line="460" w:lineRule="exact"/>
        <w:ind w:firstLine="482" w:firstLineChars="200"/>
        <w:jc w:val="center"/>
        <w:rPr>
          <w:rFonts w:ascii="宋体" w:hAnsi="宋体" w:cs="宋体"/>
          <w:b/>
          <w:bCs/>
          <w:kern w:val="0"/>
          <w:sz w:val="24"/>
          <w:highlight w:val="none"/>
        </w:rPr>
      </w:pPr>
    </w:p>
    <w:p w14:paraId="7AF186B6">
      <w:pPr>
        <w:pStyle w:val="3"/>
        <w:ind w:firstLine="482"/>
        <w:rPr>
          <w:rFonts w:ascii="宋体" w:hAnsi="宋体" w:cs="宋体"/>
          <w:b/>
          <w:bCs/>
          <w:kern w:val="0"/>
          <w:sz w:val="24"/>
          <w:highlight w:val="none"/>
        </w:rPr>
      </w:pPr>
    </w:p>
    <w:p w14:paraId="6E1C46F9">
      <w:pPr>
        <w:pStyle w:val="4"/>
        <w:rPr>
          <w:rFonts w:hAnsi="宋体"/>
          <w:b/>
          <w:bCs/>
          <w:color w:val="auto"/>
          <w:highlight w:val="none"/>
        </w:rPr>
      </w:pPr>
    </w:p>
    <w:p w14:paraId="59BF0CE2">
      <w:pPr>
        <w:pStyle w:val="4"/>
        <w:rPr>
          <w:rFonts w:hAnsi="宋体"/>
          <w:b/>
          <w:bCs/>
          <w:color w:val="auto"/>
          <w:highlight w:val="none"/>
        </w:rPr>
      </w:pPr>
    </w:p>
    <w:p w14:paraId="3D1DA4FF">
      <w:pPr>
        <w:ind w:firstLine="440"/>
        <w:rPr>
          <w:rFonts w:ascii="宋体" w:hAnsi="宋体" w:cs="宋体"/>
          <w:highlight w:val="none"/>
        </w:rPr>
      </w:pPr>
      <w:r>
        <w:rPr>
          <w:rFonts w:hint="eastAsia" w:ascii="宋体" w:hAnsi="宋体" w:cs="宋体"/>
          <w:highlight w:val="none"/>
        </w:rPr>
        <w:br w:type="page"/>
      </w:r>
    </w:p>
    <w:p w14:paraId="5902A683">
      <w:pPr>
        <w:pStyle w:val="8"/>
        <w:rPr>
          <w:rFonts w:hint="eastAsia" w:asciiTheme="minorEastAsia" w:hAnsiTheme="minorEastAsia" w:eastAsiaTheme="minorEastAsia" w:cstheme="minorEastAsia"/>
          <w:b/>
          <w:bCs/>
          <w:sz w:val="32"/>
          <w:szCs w:val="32"/>
          <w:highlight w:val="none"/>
        </w:rPr>
      </w:pPr>
      <w:bookmarkStart w:id="55" w:name="_Toc24743"/>
      <w:bookmarkStart w:id="56" w:name="_Toc31798"/>
      <w:r>
        <w:rPr>
          <w:rFonts w:hint="eastAsia" w:asciiTheme="minorEastAsia" w:hAnsiTheme="minorEastAsia" w:eastAsiaTheme="minorEastAsia" w:cstheme="minorEastAsia"/>
          <w:b/>
          <w:bCs/>
          <w:sz w:val="32"/>
          <w:szCs w:val="32"/>
          <w:highlight w:val="none"/>
        </w:rPr>
        <w:t>附件1              响应文件封面（格式）</w:t>
      </w:r>
      <w:bookmarkEnd w:id="55"/>
      <w:bookmarkEnd w:id="56"/>
    </w:p>
    <w:p w14:paraId="74C9F0DF">
      <w:pPr>
        <w:widowControl/>
        <w:wordWrap w:val="0"/>
        <w:spacing w:line="460" w:lineRule="exact"/>
        <w:ind w:firstLine="482" w:firstLineChars="200"/>
        <w:jc w:val="center"/>
        <w:rPr>
          <w:rFonts w:ascii="宋体" w:hAnsi="宋体" w:cs="宋体"/>
          <w:b/>
          <w:kern w:val="0"/>
          <w:sz w:val="24"/>
          <w:highlight w:val="none"/>
        </w:rPr>
      </w:pPr>
    </w:p>
    <w:p w14:paraId="300905CB">
      <w:pPr>
        <w:spacing w:line="360" w:lineRule="auto"/>
        <w:ind w:firstLine="560"/>
        <w:jc w:val="center"/>
        <w:rPr>
          <w:rFonts w:hint="eastAsia" w:ascii="宋体" w:hAnsi="宋体" w:eastAsia="宋体" w:cs="宋体"/>
          <w:b/>
          <w:bCs/>
          <w:sz w:val="44"/>
          <w:szCs w:val="44"/>
          <w:highlight w:val="none"/>
          <w:lang w:eastAsia="zh-CN"/>
        </w:rPr>
      </w:pPr>
      <w:r>
        <w:rPr>
          <w:rFonts w:hint="eastAsia" w:ascii="宋体" w:hAnsi="宋体" w:cs="宋体"/>
          <w:b/>
          <w:bCs/>
          <w:sz w:val="44"/>
          <w:szCs w:val="44"/>
          <w:highlight w:val="none"/>
        </w:rPr>
        <w:t>驻马店市中心医院全院一次性输液瓶（袋）集中回收服</w:t>
      </w:r>
      <w:bookmarkStart w:id="83" w:name="_GoBack"/>
      <w:bookmarkEnd w:id="83"/>
      <w:r>
        <w:rPr>
          <w:rFonts w:hint="eastAsia" w:ascii="宋体" w:hAnsi="宋体" w:cs="宋体"/>
          <w:b/>
          <w:bCs/>
          <w:sz w:val="44"/>
          <w:szCs w:val="44"/>
          <w:highlight w:val="none"/>
        </w:rPr>
        <w:t>务（二次）</w:t>
      </w:r>
    </w:p>
    <w:p w14:paraId="49F54662">
      <w:pPr>
        <w:spacing w:line="360" w:lineRule="auto"/>
        <w:ind w:firstLine="560"/>
        <w:jc w:val="center"/>
        <w:rPr>
          <w:rFonts w:ascii="宋体" w:hAnsi="宋体" w:cs="宋体"/>
          <w:b/>
          <w:spacing w:val="90"/>
          <w:sz w:val="52"/>
          <w:szCs w:val="52"/>
          <w:highlight w:val="none"/>
        </w:rPr>
      </w:pPr>
      <w:r>
        <w:rPr>
          <w:rFonts w:hint="eastAsia" w:ascii="宋体" w:hAnsi="宋体" w:cs="宋体"/>
          <w:b/>
          <w:spacing w:val="90"/>
          <w:sz w:val="52"/>
          <w:szCs w:val="52"/>
          <w:highlight w:val="none"/>
        </w:rPr>
        <w:t>响应文件</w:t>
      </w:r>
    </w:p>
    <w:p w14:paraId="157DCF20">
      <w:pPr>
        <w:spacing w:line="360" w:lineRule="auto"/>
        <w:ind w:firstLine="560"/>
        <w:rPr>
          <w:rFonts w:ascii="宋体" w:hAnsi="宋体" w:cs="宋体"/>
          <w:sz w:val="28"/>
          <w:highlight w:val="none"/>
        </w:rPr>
      </w:pPr>
    </w:p>
    <w:p w14:paraId="739D1596">
      <w:pPr>
        <w:pStyle w:val="4"/>
        <w:spacing w:line="360" w:lineRule="auto"/>
        <w:rPr>
          <w:rFonts w:hAnsi="宋体"/>
          <w:color w:val="auto"/>
          <w:highlight w:val="none"/>
        </w:rPr>
      </w:pPr>
    </w:p>
    <w:p w14:paraId="35A81BE9">
      <w:pPr>
        <w:pStyle w:val="4"/>
        <w:spacing w:line="360" w:lineRule="auto"/>
        <w:rPr>
          <w:rFonts w:hAnsi="宋体"/>
          <w:color w:val="auto"/>
          <w:highlight w:val="none"/>
        </w:rPr>
      </w:pPr>
    </w:p>
    <w:p w14:paraId="5A8B5229">
      <w:pPr>
        <w:spacing w:line="360" w:lineRule="auto"/>
        <w:ind w:firstLine="482"/>
        <w:rPr>
          <w:rFonts w:ascii="宋体" w:hAnsi="宋体" w:cs="宋体"/>
          <w:sz w:val="28"/>
          <w:highlight w:val="none"/>
        </w:rPr>
      </w:pPr>
      <w:r>
        <w:rPr>
          <w:rFonts w:hint="eastAsia" w:ascii="宋体" w:hAnsi="宋体" w:cs="宋体"/>
          <w:b/>
          <w:color w:val="000000"/>
          <w:kern w:val="0"/>
          <w:sz w:val="24"/>
          <w:highlight w:val="none"/>
        </w:rPr>
        <w:t xml:space="preserve">                    </w:t>
      </w:r>
    </w:p>
    <w:p w14:paraId="3C9F9882">
      <w:pPr>
        <w:spacing w:line="360" w:lineRule="auto"/>
        <w:ind w:firstLine="560"/>
        <w:rPr>
          <w:rFonts w:ascii="宋体" w:hAnsi="宋体" w:cs="宋体"/>
          <w:sz w:val="28"/>
          <w:highlight w:val="none"/>
        </w:rPr>
      </w:pPr>
    </w:p>
    <w:p w14:paraId="0E06E2BF">
      <w:pPr>
        <w:spacing w:line="360" w:lineRule="auto"/>
        <w:ind w:firstLine="560"/>
        <w:rPr>
          <w:rFonts w:ascii="宋体" w:hAnsi="宋体" w:cs="宋体"/>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209F8F02">
      <w:pPr>
        <w:widowControl/>
        <w:wordWrap w:val="0"/>
        <w:spacing w:line="460" w:lineRule="exact"/>
        <w:ind w:firstLine="482" w:firstLineChars="200"/>
        <w:jc w:val="left"/>
        <w:rPr>
          <w:rFonts w:ascii="宋体" w:hAnsi="宋体" w:cs="宋体"/>
          <w:b/>
          <w:kern w:val="0"/>
          <w:sz w:val="24"/>
          <w:highlight w:val="none"/>
        </w:rPr>
      </w:pPr>
    </w:p>
    <w:p w14:paraId="5A609CF2">
      <w:pPr>
        <w:pStyle w:val="3"/>
        <w:ind w:firstLine="482"/>
        <w:rPr>
          <w:rFonts w:ascii="宋体" w:hAnsi="宋体" w:cs="宋体"/>
          <w:b/>
          <w:kern w:val="0"/>
          <w:sz w:val="24"/>
          <w:highlight w:val="none"/>
        </w:rPr>
      </w:pPr>
    </w:p>
    <w:p w14:paraId="6DA6CDE8">
      <w:pPr>
        <w:ind w:firstLine="482"/>
        <w:rPr>
          <w:rFonts w:ascii="宋体" w:hAnsi="宋体" w:cs="宋体"/>
          <w:b/>
          <w:kern w:val="0"/>
          <w:sz w:val="24"/>
          <w:highlight w:val="none"/>
        </w:rPr>
      </w:pPr>
      <w:r>
        <w:rPr>
          <w:rFonts w:hint="eastAsia" w:ascii="宋体" w:hAnsi="宋体" w:cs="宋体"/>
          <w:b/>
          <w:kern w:val="0"/>
          <w:sz w:val="24"/>
          <w:highlight w:val="none"/>
        </w:rPr>
        <w:br w:type="page"/>
      </w:r>
    </w:p>
    <w:p w14:paraId="0CDD70DB">
      <w:pPr>
        <w:pStyle w:val="8"/>
        <w:rPr>
          <w:rFonts w:hint="eastAsia" w:asciiTheme="minorEastAsia" w:hAnsiTheme="minorEastAsia" w:eastAsiaTheme="minorEastAsia" w:cstheme="minorEastAsia"/>
          <w:b/>
          <w:bCs/>
          <w:sz w:val="28"/>
          <w:szCs w:val="28"/>
          <w:highlight w:val="none"/>
          <w:u w:val="none"/>
        </w:rPr>
      </w:pPr>
      <w:bookmarkStart w:id="57" w:name="_Toc8818"/>
      <w:bookmarkStart w:id="58" w:name="_Toc14560"/>
      <w:r>
        <w:rPr>
          <w:rFonts w:hint="eastAsia" w:asciiTheme="minorEastAsia" w:hAnsiTheme="minorEastAsia" w:eastAsiaTheme="minorEastAsia" w:cstheme="minorEastAsia"/>
          <w:b/>
          <w:bCs/>
          <w:sz w:val="28"/>
          <w:szCs w:val="28"/>
          <w:highlight w:val="none"/>
          <w:u w:val="none"/>
        </w:rPr>
        <w:t>附件2               竞争性磋商响应书（格式）</w:t>
      </w:r>
      <w:bookmarkEnd w:id="57"/>
      <w:bookmarkEnd w:id="58"/>
    </w:p>
    <w:p w14:paraId="4503F71D">
      <w:pPr>
        <w:wordWrap w:val="0"/>
        <w:snapToGrid w:val="0"/>
        <w:spacing w:line="460" w:lineRule="exact"/>
        <w:ind w:firstLine="480"/>
        <w:jc w:val="left"/>
        <w:rPr>
          <w:rFonts w:ascii="宋体" w:hAnsi="宋体" w:cs="宋体"/>
          <w:kern w:val="0"/>
          <w:szCs w:val="21"/>
          <w:highlight w:val="none"/>
        </w:rPr>
      </w:pPr>
      <w:r>
        <w:rPr>
          <w:rFonts w:hint="eastAsia" w:ascii="宋体" w:hAnsi="宋体" w:cs="宋体"/>
          <w:kern w:val="0"/>
          <w:szCs w:val="21"/>
          <w:highlight w:val="none"/>
        </w:rPr>
        <w:t>致：</w:t>
      </w:r>
      <w:r>
        <w:rPr>
          <w:rFonts w:hint="eastAsia" w:ascii="宋体" w:hAnsi="宋体" w:cs="宋体"/>
          <w:kern w:val="0"/>
          <w:szCs w:val="21"/>
          <w:highlight w:val="none"/>
          <w:u w:val="single"/>
        </w:rPr>
        <w:t>驻马店市中心医院</w:t>
      </w:r>
    </w:p>
    <w:p w14:paraId="141850F0">
      <w:pPr>
        <w:pStyle w:val="97"/>
        <w:spacing w:line="360" w:lineRule="auto"/>
        <w:ind w:firstLine="420" w:firstLineChars="200"/>
        <w:rPr>
          <w:rFonts w:asciiTheme="minorEastAsia" w:hAnsiTheme="minorEastAsia"/>
          <w:szCs w:val="21"/>
          <w:highlight w:val="none"/>
        </w:rPr>
      </w:pPr>
      <w:r>
        <w:rPr>
          <w:rFonts w:hint="eastAsia" w:asciiTheme="minorEastAsia" w:hAnsiTheme="minorEastAsia"/>
          <w:szCs w:val="21"/>
          <w:highlight w:val="none"/>
        </w:rPr>
        <w:t>我方仔细研究了</w:t>
      </w:r>
      <w:r>
        <w:rPr>
          <w:rFonts w:hint="eastAsia" w:asciiTheme="minorEastAsia" w:hAnsiTheme="minorEastAsia"/>
          <w:bCs/>
          <w:szCs w:val="21"/>
          <w:highlight w:val="none"/>
          <w:u w:val="single"/>
        </w:rPr>
        <w:t xml:space="preserve">（项目名称：      </w:t>
      </w:r>
      <w:r>
        <w:rPr>
          <w:rFonts w:hint="eastAsia" w:asciiTheme="minorEastAsia" w:hAnsiTheme="minorEastAsia"/>
          <w:bCs/>
          <w:szCs w:val="21"/>
          <w:highlight w:val="none"/>
          <w:u w:val="single"/>
          <w:lang w:val="en-US" w:eastAsia="zh-CN"/>
        </w:rPr>
        <w:t xml:space="preserve">  </w:t>
      </w:r>
      <w:r>
        <w:rPr>
          <w:rFonts w:hint="eastAsia" w:asciiTheme="minorEastAsia" w:hAnsiTheme="minorEastAsia"/>
          <w:bCs/>
          <w:szCs w:val="21"/>
          <w:highlight w:val="none"/>
          <w:u w:val="single"/>
        </w:rPr>
        <w:t xml:space="preserve">  ）</w:t>
      </w:r>
      <w:r>
        <w:rPr>
          <w:rFonts w:hint="eastAsia" w:asciiTheme="minorEastAsia" w:hAnsiTheme="minorEastAsia"/>
          <w:szCs w:val="21"/>
          <w:highlight w:val="none"/>
        </w:rPr>
        <w:t>采购文件的全部内容，决定参加该项目的磋商活动并按要求提交响应文件。我们郑重声明以下诸点并负法律责任</w:t>
      </w:r>
      <w:r>
        <w:rPr>
          <w:rFonts w:asciiTheme="minorEastAsia" w:hAnsiTheme="minorEastAsia"/>
          <w:szCs w:val="21"/>
          <w:highlight w:val="none"/>
        </w:rPr>
        <w:t>:</w:t>
      </w:r>
    </w:p>
    <w:p w14:paraId="7017EA4C">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1、我方愿意向贵方提供任何与本竞争性磋商项目有关的数据、情况和技术资料，并保证其真实、合法、有效、完整。</w:t>
      </w:r>
    </w:p>
    <w:p w14:paraId="009E186B">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2、</w:t>
      </w:r>
      <w:r>
        <w:rPr>
          <w:rFonts w:hint="eastAsia" w:asciiTheme="minorEastAsia" w:hAnsiTheme="minorEastAsia"/>
          <w:szCs w:val="21"/>
          <w:highlight w:val="none"/>
        </w:rPr>
        <w:t>我方响应文件有效期为自磋商之日起</w:t>
      </w:r>
      <w:r>
        <w:rPr>
          <w:rFonts w:asciiTheme="minorEastAsia" w:hAnsiTheme="minorEastAsia"/>
          <w:szCs w:val="21"/>
          <w:highlight w:val="none"/>
        </w:rPr>
        <w:t>90</w:t>
      </w:r>
      <w:r>
        <w:rPr>
          <w:rFonts w:hint="eastAsia" w:asciiTheme="minorEastAsia" w:hAnsiTheme="minorEastAsia"/>
          <w:szCs w:val="21"/>
          <w:highlight w:val="none"/>
        </w:rPr>
        <w:t>天，</w:t>
      </w:r>
      <w:r>
        <w:rPr>
          <w:rFonts w:hint="eastAsia" w:ascii="宋体" w:hAnsi="宋体" w:cs="宋体"/>
          <w:kern w:val="0"/>
          <w:szCs w:val="21"/>
          <w:highlight w:val="none"/>
        </w:rPr>
        <w:t>同意在响应文件有效期内遵守本响应文件中的承诺且在此期限期满之前均具有约束力。如果我方成交，响应文件有效期与合同履行期相同。</w:t>
      </w:r>
    </w:p>
    <w:p w14:paraId="0CE2E22C">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3、我方已详细审查全部采购文件，包括修改文件（如有的话）和有关附件，将自行承担因对全部采购文件理解不正确或误解而产生的相应后果。</w:t>
      </w:r>
    </w:p>
    <w:p w14:paraId="312D2EA1">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4、我方尊重磋商小组的评审结果，完全理解本采购项目最</w:t>
      </w:r>
      <w:r>
        <w:rPr>
          <w:rFonts w:hint="eastAsia" w:ascii="宋体" w:hAnsi="宋体" w:cs="宋体"/>
          <w:kern w:val="0"/>
          <w:szCs w:val="21"/>
          <w:highlight w:val="none"/>
          <w:lang w:val="en-US" w:eastAsia="zh-CN"/>
        </w:rPr>
        <w:t>高</w:t>
      </w:r>
      <w:r>
        <w:rPr>
          <w:rFonts w:hint="eastAsia" w:ascii="宋体" w:hAnsi="宋体" w:cs="宋体"/>
          <w:kern w:val="0"/>
          <w:szCs w:val="21"/>
          <w:highlight w:val="none"/>
        </w:rPr>
        <w:t>投标价不作为成交的保证。</w:t>
      </w:r>
    </w:p>
    <w:p w14:paraId="40C95DBF">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5、如果被确定为成交供应商，我方同意按采购文件的规定领取成交通知书并缴纳服务费。否则，视为我方成交后自动放弃成交资格，承担由此引起的一切后果。</w:t>
      </w:r>
    </w:p>
    <w:p w14:paraId="30B8E2C7">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6、如果被确定为成交供应商，我方同意在领取成交通知书之日起30日内与采购人签订采购合同。否则，视为我方成交后无正当理由不与采购人签订合同并承担相应法律责任。</w:t>
      </w:r>
    </w:p>
    <w:p w14:paraId="00AAC703">
      <w:pPr>
        <w:tabs>
          <w:tab w:val="left" w:pos="939"/>
        </w:tabs>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7、以上事项如有虚假或隐瞒，我方愿意承担一切后果和责任。</w:t>
      </w:r>
    </w:p>
    <w:p w14:paraId="561FF21F">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8、与磋商有关的一切正式往来通讯请寄（地址电话必须为最新并可以联系到）：</w:t>
      </w:r>
    </w:p>
    <w:p w14:paraId="7105B2F0">
      <w:pPr>
        <w:wordWrap w:val="0"/>
        <w:spacing w:line="460" w:lineRule="exact"/>
        <w:ind w:firstLine="420" w:firstLineChars="200"/>
        <w:jc w:val="left"/>
        <w:rPr>
          <w:rFonts w:ascii="宋体" w:hAnsi="宋体" w:cs="宋体"/>
          <w:kern w:val="0"/>
          <w:szCs w:val="21"/>
          <w:highlight w:val="none"/>
          <w:u w:val="single"/>
        </w:rPr>
      </w:pPr>
      <w:r>
        <w:rPr>
          <w:rFonts w:hint="eastAsia" w:ascii="宋体" w:hAnsi="宋体" w:cs="宋体"/>
          <w:kern w:val="0"/>
          <w:szCs w:val="21"/>
          <w:highlight w:val="none"/>
        </w:rPr>
        <w:t xml:space="preserve">   地址：  邮编：</w:t>
      </w:r>
    </w:p>
    <w:p w14:paraId="74FB71B3">
      <w:pPr>
        <w:wordWrap w:val="0"/>
        <w:spacing w:line="460" w:lineRule="exact"/>
        <w:ind w:firstLine="420" w:firstLineChars="200"/>
        <w:jc w:val="left"/>
        <w:rPr>
          <w:rFonts w:ascii="宋体" w:hAnsi="宋体" w:cs="宋体"/>
          <w:kern w:val="0"/>
          <w:szCs w:val="21"/>
          <w:highlight w:val="none"/>
          <w:u w:val="single"/>
        </w:rPr>
      </w:pPr>
      <w:r>
        <w:rPr>
          <w:rFonts w:hint="eastAsia" w:ascii="宋体" w:hAnsi="宋体" w:cs="宋体"/>
          <w:kern w:val="0"/>
          <w:szCs w:val="21"/>
          <w:highlight w:val="none"/>
        </w:rPr>
        <w:t xml:space="preserve">   电话：  传真： </w:t>
      </w:r>
    </w:p>
    <w:p w14:paraId="51829613">
      <w:pPr>
        <w:wordWrap w:val="0"/>
        <w:spacing w:line="460" w:lineRule="exact"/>
        <w:ind w:firstLine="420" w:firstLineChars="200"/>
        <w:jc w:val="left"/>
        <w:rPr>
          <w:rFonts w:ascii="宋体" w:hAnsi="宋体" w:cs="宋体"/>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 xml:space="preserve">： </w:t>
      </w:r>
    </w:p>
    <w:p w14:paraId="2249E6D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eastAsia="zh-CN"/>
        </w:rPr>
        <w:t>供应商</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全称并</w:t>
      </w:r>
      <w:r>
        <w:rPr>
          <w:rFonts w:hint="eastAsia" w:ascii="宋体" w:hAnsi="宋体" w:eastAsia="宋体" w:cs="宋体"/>
          <w:color w:val="auto"/>
          <w:kern w:val="0"/>
          <w:sz w:val="21"/>
          <w:szCs w:val="21"/>
          <w:highlight w:val="none"/>
          <w:lang w:val="en-US" w:eastAsia="zh-CN"/>
        </w:rPr>
        <w:t>加</w:t>
      </w:r>
      <w:r>
        <w:rPr>
          <w:rFonts w:hint="eastAsia" w:ascii="宋体" w:hAnsi="宋体" w:eastAsia="宋体" w:cs="宋体"/>
          <w:color w:val="auto"/>
          <w:kern w:val="0"/>
          <w:sz w:val="21"/>
          <w:szCs w:val="21"/>
          <w:highlight w:val="none"/>
          <w:lang w:eastAsia="zh-CN"/>
        </w:rPr>
        <w:t>盖</w:t>
      </w:r>
      <w:r>
        <w:rPr>
          <w:rFonts w:hint="eastAsia" w:ascii="宋体" w:hAnsi="宋体" w:eastAsia="宋体" w:cs="宋体"/>
          <w:color w:val="auto"/>
          <w:kern w:val="0"/>
          <w:sz w:val="21"/>
          <w:szCs w:val="21"/>
          <w:highlight w:val="none"/>
          <w:lang w:val="en-US" w:eastAsia="zh-CN"/>
        </w:rPr>
        <w:t>公</w:t>
      </w:r>
      <w:r>
        <w:rPr>
          <w:rFonts w:hint="eastAsia" w:ascii="宋体" w:hAnsi="宋体" w:eastAsia="宋体" w:cs="宋体"/>
          <w:color w:val="auto"/>
          <w:kern w:val="0"/>
          <w:sz w:val="21"/>
          <w:szCs w:val="21"/>
          <w:highlight w:val="none"/>
          <w:lang w:eastAsia="zh-CN"/>
        </w:rPr>
        <w:t>章</w:t>
      </w:r>
      <w:r>
        <w:rPr>
          <w:rFonts w:hint="eastAsia" w:ascii="宋体" w:hAnsi="宋体" w:eastAsia="宋体" w:cs="宋体"/>
          <w:color w:val="auto"/>
          <w:kern w:val="0"/>
          <w:sz w:val="21"/>
          <w:szCs w:val="21"/>
          <w:highlight w:val="none"/>
        </w:rPr>
        <w:t>）</w:t>
      </w:r>
    </w:p>
    <w:p w14:paraId="534A3902">
      <w:pPr>
        <w:widowControl/>
        <w:wordWrap w:val="0"/>
        <w:snapToGrid w:val="0"/>
        <w:spacing w:before="159" w:after="50" w:line="480" w:lineRule="auto"/>
        <w:ind w:firstLine="690" w:firstLineChars="329"/>
        <w:jc w:val="left"/>
        <w:rPr>
          <w:rFonts w:hint="eastAsia" w:ascii="宋体" w:hAnsi="宋体" w:eastAsia="宋体" w:cs="宋体"/>
          <w:b/>
          <w:bCs/>
          <w:sz w:val="24"/>
          <w:highlight w:val="none"/>
          <w:lang w:val="en-US" w:eastAsia="zh-CN"/>
        </w:rPr>
        <w:sectPr>
          <w:pgSz w:w="11906" w:h="16838"/>
          <w:pgMar w:top="1417" w:right="1474" w:bottom="1417" w:left="1474" w:header="851" w:footer="624" w:gutter="0"/>
          <w:cols w:space="720" w:num="1"/>
          <w:docGrid w:type="lines" w:linePitch="319" w:charSpace="0"/>
        </w:sectPr>
      </w:pPr>
      <w:r>
        <w:rPr>
          <w:rFonts w:hint="eastAsia" w:ascii="宋体" w:hAnsi="宋体" w:cs="宋体"/>
          <w:color w:val="auto"/>
          <w:kern w:val="0"/>
          <w:sz w:val="21"/>
          <w:szCs w:val="21"/>
          <w:highlight w:val="none"/>
          <w:lang w:val="en-US" w:eastAsia="zh-CN"/>
        </w:rPr>
        <w:t xml:space="preserve">日期：    </w:t>
      </w:r>
      <w:r>
        <w:rPr>
          <w:rFonts w:hint="eastAsia" w:ascii="宋体" w:hAnsi="宋体" w:eastAsia="宋体" w:cs="宋体"/>
          <w:color w:val="auto"/>
          <w:kern w:val="0"/>
          <w:sz w:val="21"/>
          <w:szCs w:val="21"/>
          <w:highlight w:val="none"/>
        </w:rPr>
        <w:t xml:space="preserve">年    月   </w:t>
      </w:r>
      <w:r>
        <w:rPr>
          <w:rFonts w:hint="eastAsia" w:ascii="宋体" w:hAnsi="宋体" w:cs="宋体"/>
          <w:color w:val="auto"/>
          <w:kern w:val="0"/>
          <w:sz w:val="21"/>
          <w:szCs w:val="21"/>
          <w:highlight w:val="none"/>
          <w:lang w:val="en-US" w:eastAsia="zh-CN"/>
        </w:rPr>
        <w:t>日</w:t>
      </w:r>
    </w:p>
    <w:p w14:paraId="187BE6FB">
      <w:pPr>
        <w:pStyle w:val="8"/>
        <w:rPr>
          <w:rFonts w:hint="eastAsia" w:asciiTheme="minorEastAsia" w:hAnsiTheme="minorEastAsia" w:eastAsiaTheme="minorEastAsia" w:cstheme="minorEastAsia"/>
          <w:b/>
          <w:bCs/>
          <w:sz w:val="28"/>
          <w:szCs w:val="28"/>
          <w:highlight w:val="none"/>
        </w:rPr>
      </w:pPr>
      <w:bookmarkStart w:id="59" w:name="_Toc7838"/>
      <w:r>
        <w:rPr>
          <w:rFonts w:hint="eastAsia" w:asciiTheme="minorEastAsia" w:hAnsiTheme="minorEastAsia" w:eastAsiaTheme="minorEastAsia" w:cstheme="minorEastAsia"/>
          <w:b/>
          <w:bCs/>
          <w:sz w:val="28"/>
          <w:szCs w:val="28"/>
          <w:highlight w:val="none"/>
        </w:rPr>
        <w:t>附件3                初次报价一览表</w:t>
      </w:r>
      <w:bookmarkEnd w:id="59"/>
      <w:r>
        <w:rPr>
          <w:rFonts w:hint="eastAsia" w:asciiTheme="minorEastAsia" w:hAnsiTheme="minorEastAsia" w:eastAsiaTheme="minorEastAsia" w:cstheme="minorEastAsia"/>
          <w:b/>
          <w:bCs/>
          <w:sz w:val="28"/>
          <w:szCs w:val="28"/>
          <w:highlight w:val="none"/>
        </w:rPr>
        <w:t>（格式）</w:t>
      </w:r>
    </w:p>
    <w:p w14:paraId="475DA4D9">
      <w:pPr>
        <w:ind w:firstLine="440"/>
        <w:rPr>
          <w:rFonts w:ascii="宋体" w:hAnsi="宋体" w:cs="宋体"/>
          <w:sz w:val="22"/>
          <w:highlight w:val="none"/>
        </w:rPr>
      </w:pPr>
      <w:r>
        <w:rPr>
          <w:rFonts w:hint="eastAsia" w:ascii="宋体" w:hAnsi="宋体" w:cs="宋体"/>
          <w:highlight w:val="none"/>
        </w:rPr>
        <w:t xml:space="preserve">                                                               </w:t>
      </w:r>
      <w:r>
        <w:rPr>
          <w:rFonts w:hint="eastAsia" w:ascii="宋体" w:hAnsi="宋体" w:cs="宋体"/>
          <w:sz w:val="22"/>
          <w:highlight w:val="none"/>
        </w:rPr>
        <w:t>单位：人民币元</w:t>
      </w: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7"/>
        <w:gridCol w:w="7479"/>
      </w:tblGrid>
      <w:tr w14:paraId="1375C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2207" w:type="dxa"/>
            <w:noWrap/>
            <w:vAlign w:val="center"/>
          </w:tcPr>
          <w:p w14:paraId="2AA3A196">
            <w:pPr>
              <w:widowControl/>
              <w:snapToGrid w:val="0"/>
              <w:ind w:firstLine="440"/>
              <w:jc w:val="both"/>
              <w:rPr>
                <w:rFonts w:ascii="宋体" w:hAnsi="宋体" w:cs="宋体"/>
                <w:szCs w:val="21"/>
                <w:highlight w:val="none"/>
              </w:rPr>
            </w:pPr>
            <w:r>
              <w:rPr>
                <w:rFonts w:hint="eastAsia" w:ascii="宋体" w:hAnsi="宋体" w:cs="宋体"/>
                <w:kern w:val="0"/>
                <w:szCs w:val="21"/>
                <w:highlight w:val="none"/>
              </w:rPr>
              <w:t>项目名称</w:t>
            </w:r>
          </w:p>
        </w:tc>
        <w:tc>
          <w:tcPr>
            <w:tcW w:w="7479" w:type="dxa"/>
            <w:noWrap/>
            <w:vAlign w:val="center"/>
          </w:tcPr>
          <w:p w14:paraId="110F648C">
            <w:pPr>
              <w:ind w:firstLine="440"/>
              <w:rPr>
                <w:rFonts w:ascii="宋体" w:hAnsi="宋体" w:cs="宋体"/>
                <w:bCs/>
                <w:szCs w:val="21"/>
                <w:highlight w:val="none"/>
              </w:rPr>
            </w:pPr>
          </w:p>
        </w:tc>
      </w:tr>
      <w:tr w14:paraId="43CBD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207" w:type="dxa"/>
            <w:noWrap/>
            <w:vAlign w:val="center"/>
          </w:tcPr>
          <w:p w14:paraId="7765A306">
            <w:pPr>
              <w:widowControl/>
              <w:snapToGrid w:val="0"/>
              <w:ind w:firstLine="440"/>
              <w:jc w:val="both"/>
              <w:rPr>
                <w:rFonts w:ascii="宋体" w:hAnsi="宋体" w:cs="宋体"/>
                <w:szCs w:val="21"/>
                <w:highlight w:val="none"/>
              </w:rPr>
            </w:pPr>
            <w:r>
              <w:rPr>
                <w:rFonts w:hint="eastAsia" w:ascii="宋体" w:hAnsi="宋体" w:cs="宋体"/>
                <w:kern w:val="0"/>
                <w:szCs w:val="21"/>
                <w:highlight w:val="none"/>
              </w:rPr>
              <w:t>供应商名称</w:t>
            </w:r>
          </w:p>
        </w:tc>
        <w:tc>
          <w:tcPr>
            <w:tcW w:w="7479" w:type="dxa"/>
            <w:noWrap/>
            <w:vAlign w:val="center"/>
          </w:tcPr>
          <w:p w14:paraId="03F8EC5A">
            <w:pPr>
              <w:ind w:firstLine="440"/>
              <w:rPr>
                <w:rFonts w:ascii="宋体" w:hAnsi="宋体" w:cs="宋体"/>
                <w:szCs w:val="21"/>
                <w:highlight w:val="none"/>
              </w:rPr>
            </w:pPr>
          </w:p>
        </w:tc>
      </w:tr>
      <w:tr w14:paraId="5549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2207" w:type="dxa"/>
            <w:noWrap/>
            <w:vAlign w:val="center"/>
          </w:tcPr>
          <w:p w14:paraId="44F0DC63">
            <w:pPr>
              <w:ind w:firstLine="440"/>
              <w:jc w:val="both"/>
              <w:rPr>
                <w:rFonts w:ascii="宋体" w:hAnsi="宋体" w:cs="宋体"/>
                <w:spacing w:val="-20"/>
                <w:szCs w:val="21"/>
                <w:highlight w:val="none"/>
              </w:rPr>
            </w:pPr>
            <w:r>
              <w:rPr>
                <w:rFonts w:hint="eastAsia" w:ascii="宋体" w:hAnsi="宋体" w:cs="宋体"/>
                <w:szCs w:val="21"/>
                <w:highlight w:val="none"/>
              </w:rPr>
              <w:t>磋商报价</w:t>
            </w:r>
          </w:p>
        </w:tc>
        <w:tc>
          <w:tcPr>
            <w:tcW w:w="7479" w:type="dxa"/>
            <w:noWrap/>
            <w:vAlign w:val="center"/>
          </w:tcPr>
          <w:p w14:paraId="6B79B2EB">
            <w:pPr>
              <w:rPr>
                <w:rFonts w:hint="default" w:ascii="宋体" w:hAnsi="宋体" w:eastAsia="宋体" w:cs="宋体"/>
                <w:color w:val="000000" w:themeColor="text1"/>
                <w:szCs w:val="21"/>
                <w:highlight w:val="none"/>
                <w:u w:val="single"/>
                <w:lang w:val="en-US" w:eastAsia="zh-CN"/>
              </w:rPr>
            </w:pPr>
            <w:r>
              <w:rPr>
                <w:rFonts w:hint="eastAsia" w:ascii="宋体" w:hAnsi="宋体" w:cs="宋体"/>
                <w:color w:val="000000" w:themeColor="text1"/>
                <w:szCs w:val="21"/>
                <w:highlight w:val="none"/>
              </w:rPr>
              <w:t>大写：</w:t>
            </w:r>
            <w:r>
              <w:rPr>
                <w:rFonts w:hint="eastAsia" w:ascii="宋体" w:hAnsi="宋体" w:cs="宋体"/>
                <w:color w:val="000000" w:themeColor="text1"/>
                <w:szCs w:val="21"/>
                <w:highlight w:val="none"/>
                <w:u w:val="single"/>
                <w:lang w:val="en-US" w:eastAsia="zh-CN"/>
              </w:rPr>
              <w:t xml:space="preserve">             </w:t>
            </w:r>
          </w:p>
          <w:p w14:paraId="61016942">
            <w:pPr>
              <w:rPr>
                <w:rFonts w:ascii="宋体" w:hAnsi="宋体" w:cs="宋体"/>
                <w:szCs w:val="21"/>
                <w:highlight w:val="none"/>
              </w:rPr>
            </w:pPr>
            <w:r>
              <w:rPr>
                <w:rFonts w:hint="eastAsia" w:ascii="宋体" w:hAnsi="宋体" w:cs="宋体"/>
                <w:color w:val="000000" w:themeColor="text1"/>
                <w:szCs w:val="21"/>
                <w:highlight w:val="none"/>
              </w:rPr>
              <w:t>小写：</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u w:val="single"/>
                <w:lang w:val="en-US" w:eastAsia="zh-CN"/>
              </w:rPr>
              <w:t xml:space="preserve">           </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元</w:t>
            </w:r>
          </w:p>
        </w:tc>
      </w:tr>
      <w:tr w14:paraId="7DC16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2207" w:type="dxa"/>
            <w:noWrap/>
            <w:vAlign w:val="center"/>
          </w:tcPr>
          <w:p w14:paraId="394B70CE">
            <w:pPr>
              <w:ind w:firstLine="440"/>
              <w:jc w:val="both"/>
              <w:rPr>
                <w:rFonts w:ascii="宋体" w:hAnsi="宋体" w:cs="宋体"/>
                <w:szCs w:val="21"/>
                <w:highlight w:val="none"/>
              </w:rPr>
            </w:pPr>
            <w:r>
              <w:rPr>
                <w:rFonts w:hint="eastAsia" w:ascii="宋体" w:hAnsi="宋体" w:cs="宋体"/>
                <w:szCs w:val="21"/>
                <w:highlight w:val="none"/>
              </w:rPr>
              <w:t>备  注</w:t>
            </w:r>
          </w:p>
        </w:tc>
        <w:tc>
          <w:tcPr>
            <w:tcW w:w="7479" w:type="dxa"/>
            <w:noWrap/>
            <w:vAlign w:val="center"/>
          </w:tcPr>
          <w:p w14:paraId="23AEDD42">
            <w:pPr>
              <w:pStyle w:val="21"/>
              <w:ind w:left="0" w:leftChars="0" w:firstLine="420"/>
              <w:rPr>
                <w:rFonts w:cs="宋体"/>
                <w:sz w:val="21"/>
                <w:szCs w:val="21"/>
                <w:highlight w:val="none"/>
              </w:rPr>
            </w:pPr>
          </w:p>
        </w:tc>
      </w:tr>
    </w:tbl>
    <w:p w14:paraId="1CB05B74">
      <w:pPr>
        <w:spacing w:line="360" w:lineRule="auto"/>
        <w:ind w:firstLine="420" w:firstLineChars="200"/>
        <w:jc w:val="center"/>
        <w:rPr>
          <w:rFonts w:ascii="宋体" w:hAnsi="宋体" w:cs="宋体"/>
          <w:szCs w:val="21"/>
          <w:highlight w:val="none"/>
        </w:rPr>
      </w:pPr>
      <w:bookmarkStart w:id="60" w:name="_Toc20877"/>
      <w:bookmarkStart w:id="61" w:name="_Toc11620"/>
    </w:p>
    <w:bookmarkEnd w:id="60"/>
    <w:bookmarkEnd w:id="61"/>
    <w:p w14:paraId="1DA81096">
      <w:pPr>
        <w:spacing w:line="360" w:lineRule="auto"/>
        <w:ind w:firstLine="420" w:firstLineChars="200"/>
        <w:jc w:val="center"/>
        <w:rPr>
          <w:rFonts w:ascii="宋体" w:hAnsi="宋体" w:cs="宋体"/>
          <w:szCs w:val="21"/>
          <w:highlight w:val="none"/>
        </w:rPr>
      </w:pPr>
      <w:bookmarkStart w:id="62" w:name="_Toc625"/>
      <w:bookmarkStart w:id="63" w:name="_Toc12222"/>
      <w:r>
        <w:rPr>
          <w:rFonts w:hint="eastAsia" w:ascii="宋体" w:hAnsi="宋体" w:cs="宋体"/>
          <w:kern w:val="0"/>
          <w:szCs w:val="21"/>
          <w:highlight w:val="none"/>
        </w:rPr>
        <w:t xml:space="preserve"> 供应商：</w:t>
      </w:r>
      <w:r>
        <w:rPr>
          <w:rFonts w:hint="eastAsia" w:ascii="宋体" w:hAnsi="宋体" w:cs="宋体"/>
          <w:kern w:val="0"/>
          <w:szCs w:val="21"/>
          <w:highlight w:val="none"/>
          <w:u w:val="single"/>
          <w:lang w:val="en-US" w:eastAsia="zh-CN"/>
        </w:rPr>
        <w:t xml:space="preserve">                     </w:t>
      </w:r>
      <w:r>
        <w:rPr>
          <w:rFonts w:hint="eastAsia" w:ascii="宋体" w:hAnsi="宋体" w:cs="宋体"/>
          <w:kern w:val="0"/>
          <w:szCs w:val="21"/>
          <w:highlight w:val="none"/>
        </w:rPr>
        <w:t>（全称并加盖公章）</w:t>
      </w:r>
      <w:bookmarkEnd w:id="62"/>
      <w:bookmarkEnd w:id="63"/>
    </w:p>
    <w:p w14:paraId="74C33CBE">
      <w:pPr>
        <w:spacing w:line="360" w:lineRule="auto"/>
        <w:ind w:firstLine="420" w:firstLineChars="200"/>
        <w:jc w:val="center"/>
        <w:rPr>
          <w:rFonts w:ascii="宋体" w:hAnsi="宋体" w:cs="宋体"/>
          <w:highlight w:val="none"/>
        </w:rPr>
      </w:pPr>
      <w:bookmarkStart w:id="64" w:name="_Toc9950"/>
      <w:bookmarkStart w:id="65" w:name="_Toc1330"/>
      <w:r>
        <w:rPr>
          <w:rFonts w:hint="eastAsia" w:ascii="宋体" w:hAnsi="宋体" w:cs="宋体"/>
          <w:szCs w:val="21"/>
          <w:highlight w:val="none"/>
        </w:rPr>
        <w:t>年  月  日</w:t>
      </w:r>
      <w:bookmarkEnd w:id="64"/>
      <w:bookmarkEnd w:id="65"/>
    </w:p>
    <w:p w14:paraId="0DBE4C1A">
      <w:pPr>
        <w:ind w:firstLine="440"/>
        <w:rPr>
          <w:rFonts w:ascii="宋体" w:hAnsi="宋体" w:cs="宋体"/>
          <w:highlight w:val="none"/>
        </w:rPr>
      </w:pPr>
    </w:p>
    <w:bookmarkEnd w:id="42"/>
    <w:bookmarkEnd w:id="43"/>
    <w:p w14:paraId="63648336">
      <w:pPr>
        <w:spacing w:before="159" w:after="20"/>
        <w:ind w:firstLine="440"/>
        <w:rPr>
          <w:rFonts w:ascii="宋体" w:hAnsi="宋体" w:cs="宋体"/>
          <w:highlight w:val="none"/>
        </w:rPr>
      </w:pPr>
      <w:bookmarkStart w:id="66" w:name="_Toc22004"/>
      <w:bookmarkStart w:id="67" w:name="_Toc24984"/>
    </w:p>
    <w:p w14:paraId="40129501">
      <w:pPr>
        <w:ind w:firstLine="440"/>
        <w:rPr>
          <w:rFonts w:ascii="宋体" w:hAnsi="宋体" w:cs="宋体"/>
          <w:highlight w:val="none"/>
        </w:rPr>
      </w:pPr>
    </w:p>
    <w:p w14:paraId="1F7AD957">
      <w:pPr>
        <w:ind w:firstLine="440"/>
        <w:rPr>
          <w:rFonts w:ascii="宋体" w:hAnsi="宋体" w:cs="宋体"/>
          <w:highlight w:val="none"/>
        </w:rPr>
      </w:pPr>
      <w:r>
        <w:rPr>
          <w:rFonts w:hint="eastAsia" w:ascii="宋体" w:hAnsi="宋体" w:cs="宋体"/>
          <w:highlight w:val="none"/>
        </w:rPr>
        <w:br w:type="page"/>
      </w:r>
    </w:p>
    <w:p w14:paraId="25124659">
      <w:pPr>
        <w:pStyle w:val="8"/>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附件4         </w:t>
      </w:r>
      <w:bookmarkEnd w:id="66"/>
      <w:bookmarkEnd w:id="67"/>
      <w:bookmarkStart w:id="68" w:name="_Toc226"/>
      <w:bookmarkStart w:id="69" w:name="_Toc15804"/>
      <w:r>
        <w:rPr>
          <w:rFonts w:hint="eastAsia" w:asciiTheme="minorEastAsia" w:hAnsiTheme="minorEastAsia" w:eastAsiaTheme="minorEastAsia" w:cstheme="minorEastAsia"/>
          <w:sz w:val="28"/>
          <w:szCs w:val="28"/>
          <w:highlight w:val="none"/>
        </w:rPr>
        <w:t xml:space="preserve">     </w:t>
      </w:r>
      <w:bookmarkEnd w:id="68"/>
      <w:bookmarkEnd w:id="69"/>
      <w:r>
        <w:rPr>
          <w:rFonts w:hint="eastAsia" w:asciiTheme="minorEastAsia" w:hAnsiTheme="minorEastAsia" w:eastAsiaTheme="minorEastAsia" w:cstheme="minorEastAsia"/>
          <w:sz w:val="28"/>
          <w:szCs w:val="28"/>
          <w:highlight w:val="none"/>
        </w:rPr>
        <w:t>服务技术响应表（格式）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42798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ign w:val="center"/>
          </w:tcPr>
          <w:p w14:paraId="098978DA">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序号</w:t>
            </w:r>
          </w:p>
        </w:tc>
        <w:tc>
          <w:tcPr>
            <w:tcW w:w="1837" w:type="dxa"/>
            <w:noWrap/>
            <w:vAlign w:val="center"/>
          </w:tcPr>
          <w:p w14:paraId="01C71177">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名称</w:t>
            </w:r>
          </w:p>
        </w:tc>
        <w:tc>
          <w:tcPr>
            <w:tcW w:w="2160" w:type="dxa"/>
            <w:noWrap/>
            <w:vAlign w:val="center"/>
          </w:tcPr>
          <w:p w14:paraId="170F9B11">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磋商文件要求</w:t>
            </w:r>
          </w:p>
        </w:tc>
        <w:tc>
          <w:tcPr>
            <w:tcW w:w="2205" w:type="dxa"/>
            <w:noWrap/>
            <w:vAlign w:val="center"/>
          </w:tcPr>
          <w:p w14:paraId="0920DEDA">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响应文件响应</w:t>
            </w:r>
          </w:p>
        </w:tc>
        <w:tc>
          <w:tcPr>
            <w:tcW w:w="1425" w:type="dxa"/>
            <w:noWrap/>
            <w:vAlign w:val="center"/>
          </w:tcPr>
          <w:p w14:paraId="77CE740A">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偏离情况</w:t>
            </w:r>
          </w:p>
        </w:tc>
        <w:tc>
          <w:tcPr>
            <w:tcW w:w="930" w:type="dxa"/>
            <w:noWrap/>
            <w:vAlign w:val="center"/>
          </w:tcPr>
          <w:p w14:paraId="729372C2">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备注</w:t>
            </w:r>
          </w:p>
        </w:tc>
      </w:tr>
      <w:tr w14:paraId="71416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ign w:val="center"/>
          </w:tcPr>
          <w:p w14:paraId="03A074CC">
            <w:pPr>
              <w:widowControl/>
              <w:spacing w:line="360" w:lineRule="auto"/>
              <w:ind w:firstLine="440"/>
              <w:jc w:val="center"/>
              <w:textAlignment w:val="baseline"/>
              <w:rPr>
                <w:rFonts w:ascii="宋体" w:hAnsi="宋体" w:cs="宋体"/>
                <w:szCs w:val="21"/>
                <w:highlight w:val="none"/>
              </w:rPr>
            </w:pPr>
            <w:r>
              <w:rPr>
                <w:rFonts w:hint="eastAsia" w:ascii="宋体" w:hAnsi="宋体" w:cs="宋体"/>
                <w:szCs w:val="21"/>
                <w:highlight w:val="none"/>
              </w:rPr>
              <w:t>1</w:t>
            </w:r>
          </w:p>
        </w:tc>
        <w:tc>
          <w:tcPr>
            <w:tcW w:w="1837" w:type="dxa"/>
            <w:noWrap/>
            <w:vAlign w:val="center"/>
          </w:tcPr>
          <w:p w14:paraId="32C1504F">
            <w:pPr>
              <w:widowControl/>
              <w:spacing w:line="360" w:lineRule="auto"/>
              <w:ind w:firstLine="440"/>
              <w:jc w:val="center"/>
              <w:textAlignment w:val="baseline"/>
              <w:rPr>
                <w:rFonts w:ascii="宋体" w:hAnsi="宋体" w:cs="宋体"/>
                <w:szCs w:val="21"/>
                <w:highlight w:val="none"/>
              </w:rPr>
            </w:pPr>
          </w:p>
        </w:tc>
        <w:tc>
          <w:tcPr>
            <w:tcW w:w="2160" w:type="dxa"/>
            <w:noWrap/>
            <w:vAlign w:val="center"/>
          </w:tcPr>
          <w:p w14:paraId="2999C9E2">
            <w:pPr>
              <w:widowControl/>
              <w:spacing w:line="360" w:lineRule="auto"/>
              <w:ind w:firstLine="440"/>
              <w:jc w:val="center"/>
              <w:textAlignment w:val="baseline"/>
              <w:rPr>
                <w:rFonts w:ascii="宋体" w:hAnsi="宋体" w:cs="宋体"/>
                <w:szCs w:val="21"/>
                <w:highlight w:val="none"/>
              </w:rPr>
            </w:pPr>
          </w:p>
        </w:tc>
        <w:tc>
          <w:tcPr>
            <w:tcW w:w="2205" w:type="dxa"/>
            <w:noWrap/>
            <w:vAlign w:val="center"/>
          </w:tcPr>
          <w:p w14:paraId="7E8462B1">
            <w:pPr>
              <w:widowControl/>
              <w:spacing w:line="360" w:lineRule="auto"/>
              <w:ind w:firstLine="440"/>
              <w:jc w:val="center"/>
              <w:textAlignment w:val="baseline"/>
              <w:rPr>
                <w:rFonts w:ascii="宋体" w:hAnsi="宋体" w:cs="宋体"/>
                <w:szCs w:val="21"/>
                <w:highlight w:val="none"/>
              </w:rPr>
            </w:pPr>
          </w:p>
        </w:tc>
        <w:tc>
          <w:tcPr>
            <w:tcW w:w="1425" w:type="dxa"/>
            <w:noWrap/>
            <w:vAlign w:val="center"/>
          </w:tcPr>
          <w:p w14:paraId="2E2EF0F5">
            <w:pPr>
              <w:widowControl/>
              <w:spacing w:line="360" w:lineRule="auto"/>
              <w:ind w:firstLine="440"/>
              <w:jc w:val="center"/>
              <w:textAlignment w:val="baseline"/>
              <w:rPr>
                <w:rFonts w:ascii="宋体" w:hAnsi="宋体" w:cs="宋体"/>
                <w:szCs w:val="21"/>
                <w:highlight w:val="none"/>
              </w:rPr>
            </w:pPr>
          </w:p>
        </w:tc>
        <w:tc>
          <w:tcPr>
            <w:tcW w:w="930" w:type="dxa"/>
            <w:noWrap/>
            <w:vAlign w:val="center"/>
          </w:tcPr>
          <w:p w14:paraId="00611213">
            <w:pPr>
              <w:widowControl/>
              <w:spacing w:line="360" w:lineRule="auto"/>
              <w:ind w:firstLine="440"/>
              <w:jc w:val="center"/>
              <w:textAlignment w:val="baseline"/>
              <w:rPr>
                <w:rFonts w:ascii="宋体" w:hAnsi="宋体" w:cs="宋体"/>
                <w:szCs w:val="21"/>
                <w:highlight w:val="none"/>
              </w:rPr>
            </w:pPr>
          </w:p>
        </w:tc>
      </w:tr>
      <w:tr w14:paraId="4E227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ign w:val="center"/>
          </w:tcPr>
          <w:p w14:paraId="66290652">
            <w:pPr>
              <w:widowControl/>
              <w:spacing w:line="360" w:lineRule="auto"/>
              <w:ind w:firstLine="440"/>
              <w:jc w:val="center"/>
              <w:textAlignment w:val="baseline"/>
              <w:rPr>
                <w:rFonts w:ascii="宋体" w:hAnsi="宋体" w:cs="宋体"/>
                <w:szCs w:val="21"/>
                <w:highlight w:val="none"/>
              </w:rPr>
            </w:pPr>
            <w:r>
              <w:rPr>
                <w:rFonts w:hint="eastAsia" w:ascii="宋体" w:hAnsi="宋体" w:cs="宋体"/>
                <w:szCs w:val="21"/>
                <w:highlight w:val="none"/>
              </w:rPr>
              <w:t>2</w:t>
            </w:r>
          </w:p>
        </w:tc>
        <w:tc>
          <w:tcPr>
            <w:tcW w:w="1837" w:type="dxa"/>
            <w:noWrap/>
            <w:vAlign w:val="center"/>
          </w:tcPr>
          <w:p w14:paraId="4DA04987">
            <w:pPr>
              <w:widowControl/>
              <w:spacing w:line="360" w:lineRule="auto"/>
              <w:ind w:firstLine="440"/>
              <w:jc w:val="center"/>
              <w:textAlignment w:val="baseline"/>
              <w:rPr>
                <w:rFonts w:ascii="宋体" w:hAnsi="宋体" w:cs="宋体"/>
                <w:szCs w:val="21"/>
                <w:highlight w:val="none"/>
              </w:rPr>
            </w:pPr>
          </w:p>
        </w:tc>
        <w:tc>
          <w:tcPr>
            <w:tcW w:w="2160" w:type="dxa"/>
            <w:noWrap/>
            <w:vAlign w:val="center"/>
          </w:tcPr>
          <w:p w14:paraId="5A3288AE">
            <w:pPr>
              <w:widowControl/>
              <w:spacing w:line="360" w:lineRule="auto"/>
              <w:ind w:firstLine="440"/>
              <w:jc w:val="center"/>
              <w:textAlignment w:val="baseline"/>
              <w:rPr>
                <w:rFonts w:ascii="宋体" w:hAnsi="宋体" w:cs="宋体"/>
                <w:szCs w:val="21"/>
                <w:highlight w:val="none"/>
              </w:rPr>
            </w:pPr>
          </w:p>
        </w:tc>
        <w:tc>
          <w:tcPr>
            <w:tcW w:w="2205" w:type="dxa"/>
            <w:noWrap/>
            <w:vAlign w:val="center"/>
          </w:tcPr>
          <w:p w14:paraId="1916E38F">
            <w:pPr>
              <w:widowControl/>
              <w:spacing w:line="360" w:lineRule="auto"/>
              <w:ind w:firstLine="440"/>
              <w:jc w:val="center"/>
              <w:textAlignment w:val="baseline"/>
              <w:rPr>
                <w:rFonts w:ascii="宋体" w:hAnsi="宋体" w:cs="宋体"/>
                <w:szCs w:val="21"/>
                <w:highlight w:val="none"/>
              </w:rPr>
            </w:pPr>
          </w:p>
        </w:tc>
        <w:tc>
          <w:tcPr>
            <w:tcW w:w="1425" w:type="dxa"/>
            <w:noWrap/>
            <w:vAlign w:val="center"/>
          </w:tcPr>
          <w:p w14:paraId="028D5280">
            <w:pPr>
              <w:widowControl/>
              <w:spacing w:line="360" w:lineRule="auto"/>
              <w:ind w:firstLine="440"/>
              <w:jc w:val="center"/>
              <w:textAlignment w:val="baseline"/>
              <w:rPr>
                <w:rFonts w:ascii="宋体" w:hAnsi="宋体" w:cs="宋体"/>
                <w:szCs w:val="21"/>
                <w:highlight w:val="none"/>
              </w:rPr>
            </w:pPr>
          </w:p>
        </w:tc>
        <w:tc>
          <w:tcPr>
            <w:tcW w:w="930" w:type="dxa"/>
            <w:noWrap/>
            <w:vAlign w:val="center"/>
          </w:tcPr>
          <w:p w14:paraId="5DEF0D93">
            <w:pPr>
              <w:widowControl/>
              <w:spacing w:line="360" w:lineRule="auto"/>
              <w:ind w:firstLine="440"/>
              <w:jc w:val="center"/>
              <w:textAlignment w:val="baseline"/>
              <w:rPr>
                <w:rFonts w:ascii="宋体" w:hAnsi="宋体" w:cs="宋体"/>
                <w:szCs w:val="21"/>
                <w:highlight w:val="none"/>
              </w:rPr>
            </w:pPr>
          </w:p>
        </w:tc>
      </w:tr>
      <w:tr w14:paraId="47B62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ign w:val="center"/>
          </w:tcPr>
          <w:p w14:paraId="2FD73963">
            <w:pPr>
              <w:widowControl/>
              <w:spacing w:line="360" w:lineRule="auto"/>
              <w:ind w:firstLine="440"/>
              <w:jc w:val="center"/>
              <w:textAlignment w:val="baseline"/>
              <w:rPr>
                <w:rFonts w:ascii="宋体" w:hAnsi="宋体" w:cs="宋体"/>
                <w:szCs w:val="21"/>
                <w:highlight w:val="none"/>
              </w:rPr>
            </w:pPr>
            <w:r>
              <w:rPr>
                <w:rFonts w:hint="eastAsia" w:ascii="宋体" w:hAnsi="宋体" w:cs="宋体"/>
                <w:szCs w:val="21"/>
                <w:highlight w:val="none"/>
              </w:rPr>
              <w:t>…</w:t>
            </w:r>
          </w:p>
        </w:tc>
        <w:tc>
          <w:tcPr>
            <w:tcW w:w="1837" w:type="dxa"/>
            <w:noWrap/>
            <w:vAlign w:val="center"/>
          </w:tcPr>
          <w:p w14:paraId="02B84D53">
            <w:pPr>
              <w:widowControl/>
              <w:spacing w:line="360" w:lineRule="auto"/>
              <w:ind w:firstLine="440"/>
              <w:jc w:val="center"/>
              <w:textAlignment w:val="baseline"/>
              <w:rPr>
                <w:rFonts w:ascii="宋体" w:hAnsi="宋体" w:cs="宋体"/>
                <w:szCs w:val="21"/>
                <w:highlight w:val="none"/>
              </w:rPr>
            </w:pPr>
          </w:p>
        </w:tc>
        <w:tc>
          <w:tcPr>
            <w:tcW w:w="2160" w:type="dxa"/>
            <w:noWrap/>
            <w:vAlign w:val="center"/>
          </w:tcPr>
          <w:p w14:paraId="163E053F">
            <w:pPr>
              <w:widowControl/>
              <w:spacing w:line="360" w:lineRule="auto"/>
              <w:ind w:firstLine="440"/>
              <w:jc w:val="center"/>
              <w:textAlignment w:val="baseline"/>
              <w:rPr>
                <w:rFonts w:ascii="宋体" w:hAnsi="宋体" w:cs="宋体"/>
                <w:szCs w:val="21"/>
                <w:highlight w:val="none"/>
              </w:rPr>
            </w:pPr>
          </w:p>
        </w:tc>
        <w:tc>
          <w:tcPr>
            <w:tcW w:w="2205" w:type="dxa"/>
            <w:noWrap/>
            <w:vAlign w:val="center"/>
          </w:tcPr>
          <w:p w14:paraId="6D8EFD0A">
            <w:pPr>
              <w:widowControl/>
              <w:spacing w:line="360" w:lineRule="auto"/>
              <w:ind w:firstLine="440"/>
              <w:jc w:val="center"/>
              <w:textAlignment w:val="baseline"/>
              <w:rPr>
                <w:rFonts w:ascii="宋体" w:hAnsi="宋体" w:cs="宋体"/>
                <w:szCs w:val="21"/>
                <w:highlight w:val="none"/>
              </w:rPr>
            </w:pPr>
          </w:p>
        </w:tc>
        <w:tc>
          <w:tcPr>
            <w:tcW w:w="1425" w:type="dxa"/>
            <w:noWrap/>
            <w:vAlign w:val="center"/>
          </w:tcPr>
          <w:p w14:paraId="120B2B61">
            <w:pPr>
              <w:widowControl/>
              <w:spacing w:line="360" w:lineRule="auto"/>
              <w:ind w:firstLine="440"/>
              <w:jc w:val="center"/>
              <w:textAlignment w:val="baseline"/>
              <w:rPr>
                <w:rFonts w:ascii="宋体" w:hAnsi="宋体" w:cs="宋体"/>
                <w:szCs w:val="21"/>
                <w:highlight w:val="none"/>
              </w:rPr>
            </w:pPr>
          </w:p>
        </w:tc>
        <w:tc>
          <w:tcPr>
            <w:tcW w:w="930" w:type="dxa"/>
            <w:noWrap/>
            <w:vAlign w:val="center"/>
          </w:tcPr>
          <w:p w14:paraId="0ECF77D9">
            <w:pPr>
              <w:widowControl/>
              <w:spacing w:line="360" w:lineRule="auto"/>
              <w:ind w:firstLine="440"/>
              <w:jc w:val="center"/>
              <w:textAlignment w:val="baseline"/>
              <w:rPr>
                <w:rFonts w:ascii="宋体" w:hAnsi="宋体" w:cs="宋体"/>
                <w:szCs w:val="21"/>
                <w:highlight w:val="none"/>
              </w:rPr>
            </w:pPr>
          </w:p>
        </w:tc>
      </w:tr>
    </w:tbl>
    <w:p w14:paraId="1EB70F52">
      <w:pPr>
        <w:spacing w:line="360" w:lineRule="auto"/>
        <w:rPr>
          <w:rFonts w:asciiTheme="minorEastAsia" w:hAnsiTheme="minorEastAsia"/>
          <w:b/>
          <w:bCs/>
          <w:sz w:val="22"/>
          <w:szCs w:val="32"/>
          <w:highlight w:val="none"/>
        </w:rPr>
      </w:pPr>
      <w:r>
        <w:rPr>
          <w:rFonts w:hint="eastAsia" w:asciiTheme="minorEastAsia" w:hAnsiTheme="minorEastAsia"/>
          <w:b/>
          <w:bCs/>
          <w:sz w:val="22"/>
          <w:szCs w:val="32"/>
          <w:highlight w:val="none"/>
        </w:rPr>
        <w:t>注：本表中“偏离情况”只有三种状态（正偏离、无偏离、负偏离）</w:t>
      </w:r>
    </w:p>
    <w:p w14:paraId="02BDE684">
      <w:pPr>
        <w:widowControl/>
        <w:spacing w:line="360" w:lineRule="auto"/>
        <w:ind w:firstLine="440"/>
        <w:textAlignment w:val="baseline"/>
        <w:rPr>
          <w:rFonts w:ascii="宋体" w:hAnsi="宋体" w:cs="宋体"/>
          <w:szCs w:val="21"/>
          <w:highlight w:val="none"/>
        </w:rPr>
      </w:pPr>
    </w:p>
    <w:p w14:paraId="548A5049">
      <w:pPr>
        <w:widowControl/>
        <w:spacing w:line="360" w:lineRule="auto"/>
        <w:ind w:firstLine="440"/>
        <w:textAlignment w:val="baseline"/>
        <w:rPr>
          <w:rFonts w:ascii="宋体" w:hAnsi="宋体" w:cs="宋体"/>
          <w:szCs w:val="21"/>
          <w:highlight w:val="none"/>
        </w:rPr>
      </w:pPr>
    </w:p>
    <w:p w14:paraId="393942DB">
      <w:pPr>
        <w:widowControl/>
        <w:spacing w:line="360" w:lineRule="auto"/>
        <w:ind w:firstLine="440"/>
        <w:textAlignment w:val="baseline"/>
        <w:rPr>
          <w:rFonts w:ascii="宋体" w:hAnsi="宋体" w:cs="宋体"/>
          <w:szCs w:val="21"/>
          <w:highlight w:val="none"/>
        </w:rPr>
      </w:pPr>
    </w:p>
    <w:p w14:paraId="15F6EE26">
      <w:pPr>
        <w:widowControl/>
        <w:spacing w:line="360" w:lineRule="auto"/>
        <w:ind w:firstLine="2100" w:firstLineChars="1000"/>
        <w:textAlignment w:val="baseline"/>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（全称并加盖公章）</w:t>
      </w:r>
    </w:p>
    <w:p w14:paraId="3C34A25A">
      <w:pPr>
        <w:widowControl/>
        <w:wordWrap w:val="0"/>
        <w:spacing w:line="460" w:lineRule="exact"/>
        <w:ind w:firstLine="3570" w:firstLineChars="1700"/>
        <w:jc w:val="left"/>
        <w:rPr>
          <w:rFonts w:ascii="宋体" w:hAnsi="宋体" w:cs="宋体"/>
          <w:b/>
          <w:kern w:val="0"/>
          <w:sz w:val="32"/>
          <w:szCs w:val="32"/>
          <w:highlight w:val="none"/>
        </w:rPr>
      </w:pPr>
      <w:r>
        <w:rPr>
          <w:rFonts w:hint="eastAsia" w:ascii="宋体" w:hAnsi="宋体" w:cs="宋体"/>
          <w:szCs w:val="21"/>
          <w:highlight w:val="none"/>
        </w:rPr>
        <w:t>年    月    日</w:t>
      </w:r>
    </w:p>
    <w:p w14:paraId="3D7121ED">
      <w:pPr>
        <w:widowControl/>
        <w:wordWrap w:val="0"/>
        <w:spacing w:line="460" w:lineRule="exact"/>
        <w:ind w:firstLine="643" w:firstLineChars="200"/>
        <w:jc w:val="left"/>
        <w:rPr>
          <w:rFonts w:ascii="宋体" w:hAnsi="宋体" w:cs="宋体"/>
          <w:b/>
          <w:kern w:val="0"/>
          <w:sz w:val="32"/>
          <w:szCs w:val="32"/>
          <w:highlight w:val="none"/>
        </w:rPr>
      </w:pPr>
    </w:p>
    <w:p w14:paraId="39F42180">
      <w:pPr>
        <w:widowControl/>
        <w:wordWrap w:val="0"/>
        <w:spacing w:line="460" w:lineRule="exact"/>
        <w:ind w:firstLine="643" w:firstLineChars="200"/>
        <w:jc w:val="left"/>
        <w:rPr>
          <w:rFonts w:ascii="宋体" w:hAnsi="宋体" w:cs="宋体"/>
          <w:b/>
          <w:kern w:val="0"/>
          <w:sz w:val="32"/>
          <w:szCs w:val="32"/>
          <w:highlight w:val="none"/>
        </w:rPr>
      </w:pPr>
    </w:p>
    <w:p w14:paraId="7EE0412B">
      <w:pPr>
        <w:widowControl/>
        <w:wordWrap w:val="0"/>
        <w:spacing w:line="460" w:lineRule="exact"/>
        <w:ind w:firstLine="643" w:firstLineChars="200"/>
        <w:jc w:val="left"/>
        <w:rPr>
          <w:rFonts w:ascii="宋体" w:hAnsi="宋体" w:cs="宋体"/>
          <w:b/>
          <w:kern w:val="0"/>
          <w:sz w:val="32"/>
          <w:szCs w:val="32"/>
          <w:highlight w:val="none"/>
        </w:rPr>
      </w:pPr>
    </w:p>
    <w:p w14:paraId="6234E65A">
      <w:pPr>
        <w:widowControl/>
        <w:wordWrap w:val="0"/>
        <w:spacing w:line="460" w:lineRule="exact"/>
        <w:ind w:firstLine="643" w:firstLineChars="200"/>
        <w:jc w:val="left"/>
        <w:rPr>
          <w:rFonts w:ascii="宋体" w:hAnsi="宋体" w:cs="宋体"/>
          <w:b/>
          <w:kern w:val="0"/>
          <w:sz w:val="32"/>
          <w:szCs w:val="32"/>
          <w:highlight w:val="none"/>
        </w:rPr>
      </w:pPr>
    </w:p>
    <w:p w14:paraId="74D34AE0">
      <w:pPr>
        <w:widowControl/>
        <w:wordWrap w:val="0"/>
        <w:spacing w:line="460" w:lineRule="exact"/>
        <w:ind w:firstLine="643" w:firstLineChars="200"/>
        <w:jc w:val="left"/>
        <w:rPr>
          <w:rFonts w:ascii="宋体" w:hAnsi="宋体" w:cs="宋体"/>
          <w:b/>
          <w:kern w:val="0"/>
          <w:sz w:val="32"/>
          <w:szCs w:val="32"/>
          <w:highlight w:val="none"/>
        </w:rPr>
      </w:pPr>
    </w:p>
    <w:p w14:paraId="7A33966F">
      <w:pPr>
        <w:widowControl/>
        <w:wordWrap w:val="0"/>
        <w:snapToGrid w:val="0"/>
        <w:spacing w:before="159" w:afterLines="50"/>
        <w:ind w:firstLine="480"/>
        <w:jc w:val="left"/>
        <w:rPr>
          <w:rFonts w:ascii="宋体" w:hAnsi="宋体" w:cs="宋体"/>
          <w:kern w:val="0"/>
          <w:sz w:val="24"/>
          <w:highlight w:val="none"/>
          <w:u w:val="single"/>
        </w:rPr>
      </w:pPr>
    </w:p>
    <w:p w14:paraId="054A8CD1">
      <w:pPr>
        <w:ind w:firstLine="482"/>
        <w:rPr>
          <w:rFonts w:ascii="宋体" w:hAnsi="宋体" w:cs="宋体"/>
          <w:b/>
          <w:kern w:val="0"/>
          <w:sz w:val="24"/>
          <w:highlight w:val="none"/>
        </w:rPr>
      </w:pPr>
      <w:r>
        <w:rPr>
          <w:rFonts w:hint="eastAsia" w:ascii="宋体" w:hAnsi="宋体" w:cs="宋体"/>
          <w:b/>
          <w:kern w:val="0"/>
          <w:sz w:val="24"/>
          <w:highlight w:val="none"/>
        </w:rPr>
        <w:br w:type="page"/>
      </w:r>
    </w:p>
    <w:p w14:paraId="61A9F7A1">
      <w:pPr>
        <w:pStyle w:val="8"/>
        <w:rPr>
          <w:rFonts w:hint="eastAsia" w:asciiTheme="minorEastAsia" w:hAnsiTheme="minorEastAsia" w:eastAsiaTheme="minorEastAsia" w:cstheme="minorEastAsia"/>
          <w:sz w:val="28"/>
          <w:szCs w:val="28"/>
          <w:highlight w:val="none"/>
        </w:rPr>
      </w:pPr>
      <w:bookmarkStart w:id="70" w:name="_Toc24168"/>
      <w:bookmarkStart w:id="71" w:name="_Toc29960"/>
      <w:bookmarkStart w:id="72" w:name="_Toc20420"/>
      <w:r>
        <w:rPr>
          <w:rFonts w:hint="eastAsia" w:asciiTheme="minorEastAsia" w:hAnsiTheme="minorEastAsia" w:eastAsiaTheme="minorEastAsia" w:cstheme="minorEastAsia"/>
          <w:sz w:val="28"/>
          <w:szCs w:val="28"/>
          <w:highlight w:val="none"/>
        </w:rPr>
        <w:t>附件5                    商务响应</w:t>
      </w:r>
      <w:bookmarkEnd w:id="70"/>
      <w:bookmarkEnd w:id="71"/>
      <w:bookmarkEnd w:id="72"/>
      <w:r>
        <w:rPr>
          <w:rFonts w:hint="eastAsia" w:asciiTheme="minorEastAsia" w:hAnsiTheme="minorEastAsia" w:eastAsiaTheme="minorEastAsia" w:cstheme="minorEastAsia"/>
          <w:sz w:val="28"/>
          <w:szCs w:val="28"/>
          <w:highlight w:val="none"/>
        </w:rPr>
        <w:t>表（格式）</w:t>
      </w:r>
    </w:p>
    <w:p w14:paraId="2E47A519">
      <w:pPr>
        <w:ind w:firstLine="440"/>
        <w:rPr>
          <w:rFonts w:ascii="宋体" w:hAnsi="宋体" w:cs="宋体"/>
          <w:highlight w:val="none"/>
        </w:rPr>
      </w:pPr>
      <w:r>
        <w:rPr>
          <w:rFonts w:hint="eastAsia" w:ascii="宋体" w:hAnsi="宋体" w:cs="宋体"/>
          <w:highlight w:val="none"/>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3D80E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ign w:val="center"/>
          </w:tcPr>
          <w:p w14:paraId="71E95400">
            <w:pPr>
              <w:widowControl/>
              <w:spacing w:line="360" w:lineRule="auto"/>
              <w:jc w:val="center"/>
              <w:textAlignment w:val="baseline"/>
              <w:rPr>
                <w:rFonts w:ascii="宋体" w:hAnsi="宋体" w:cs="宋体"/>
                <w:sz w:val="24"/>
                <w:highlight w:val="none"/>
              </w:rPr>
            </w:pPr>
            <w:r>
              <w:rPr>
                <w:rFonts w:hint="eastAsia" w:ascii="宋体" w:hAnsi="宋体" w:cs="宋体"/>
                <w:sz w:val="24"/>
                <w:highlight w:val="none"/>
              </w:rPr>
              <w:t>序号</w:t>
            </w:r>
          </w:p>
        </w:tc>
        <w:tc>
          <w:tcPr>
            <w:tcW w:w="2301" w:type="dxa"/>
            <w:noWrap/>
            <w:vAlign w:val="center"/>
          </w:tcPr>
          <w:p w14:paraId="10B2367D">
            <w:pPr>
              <w:widowControl/>
              <w:spacing w:line="360" w:lineRule="auto"/>
              <w:jc w:val="center"/>
              <w:textAlignment w:val="baseline"/>
              <w:rPr>
                <w:rFonts w:ascii="宋体" w:hAnsi="宋体" w:cs="宋体"/>
                <w:sz w:val="24"/>
                <w:highlight w:val="none"/>
              </w:rPr>
            </w:pPr>
            <w:r>
              <w:rPr>
                <w:rFonts w:hint="eastAsia" w:ascii="宋体" w:hAnsi="宋体" w:cs="宋体"/>
                <w:sz w:val="24"/>
                <w:highlight w:val="none"/>
              </w:rPr>
              <w:t>项目</w:t>
            </w:r>
          </w:p>
        </w:tc>
        <w:tc>
          <w:tcPr>
            <w:tcW w:w="2198" w:type="dxa"/>
            <w:noWrap/>
            <w:vAlign w:val="center"/>
          </w:tcPr>
          <w:p w14:paraId="15EA7300">
            <w:pPr>
              <w:widowControl/>
              <w:spacing w:line="360" w:lineRule="auto"/>
              <w:jc w:val="center"/>
              <w:textAlignment w:val="baseline"/>
              <w:rPr>
                <w:rFonts w:ascii="宋体" w:hAnsi="宋体" w:cs="宋体"/>
                <w:sz w:val="24"/>
                <w:highlight w:val="none"/>
              </w:rPr>
            </w:pPr>
            <w:r>
              <w:rPr>
                <w:rFonts w:hint="eastAsia" w:ascii="宋体" w:hAnsi="宋体" w:cs="宋体"/>
                <w:sz w:val="24"/>
                <w:highlight w:val="none"/>
              </w:rPr>
              <w:t>磋商文件要求</w:t>
            </w:r>
          </w:p>
        </w:tc>
        <w:tc>
          <w:tcPr>
            <w:tcW w:w="2038" w:type="dxa"/>
            <w:noWrap/>
            <w:vAlign w:val="center"/>
          </w:tcPr>
          <w:p w14:paraId="360AFC7F">
            <w:pPr>
              <w:widowControl/>
              <w:snapToGrid w:val="0"/>
              <w:spacing w:beforeLines="50" w:line="360" w:lineRule="auto"/>
              <w:jc w:val="center"/>
              <w:rPr>
                <w:rFonts w:ascii="宋体" w:hAnsi="宋体" w:cs="宋体"/>
                <w:sz w:val="24"/>
                <w:highlight w:val="none"/>
              </w:rPr>
            </w:pPr>
            <w:r>
              <w:rPr>
                <w:rFonts w:hint="eastAsia" w:ascii="仿宋_GB2312" w:hAnsi="宋体" w:cs="宋体"/>
                <w:kern w:val="0"/>
                <w:sz w:val="24"/>
                <w:highlight w:val="none"/>
              </w:rPr>
              <w:t>响应文件响应</w:t>
            </w:r>
          </w:p>
        </w:tc>
        <w:tc>
          <w:tcPr>
            <w:tcW w:w="1349" w:type="dxa"/>
            <w:noWrap/>
            <w:vAlign w:val="center"/>
          </w:tcPr>
          <w:p w14:paraId="65559F59">
            <w:pPr>
              <w:widowControl/>
              <w:snapToGrid w:val="0"/>
              <w:spacing w:beforeLines="50" w:line="360" w:lineRule="auto"/>
              <w:jc w:val="center"/>
              <w:rPr>
                <w:rFonts w:ascii="宋体" w:hAnsi="宋体" w:cs="宋体"/>
                <w:sz w:val="24"/>
                <w:highlight w:val="none"/>
              </w:rPr>
            </w:pPr>
            <w:r>
              <w:rPr>
                <w:rFonts w:hint="eastAsia" w:ascii="仿宋_GB2312" w:hAnsi="宋体" w:cs="宋体"/>
                <w:kern w:val="0"/>
                <w:sz w:val="24"/>
                <w:highlight w:val="none"/>
              </w:rPr>
              <w:t>偏离情况</w:t>
            </w:r>
          </w:p>
        </w:tc>
        <w:tc>
          <w:tcPr>
            <w:tcW w:w="1349" w:type="dxa"/>
            <w:noWrap/>
            <w:vAlign w:val="center"/>
          </w:tcPr>
          <w:p w14:paraId="0DD39CC3">
            <w:pPr>
              <w:widowControl/>
              <w:snapToGrid w:val="0"/>
              <w:spacing w:beforeLines="50" w:line="360" w:lineRule="auto"/>
              <w:jc w:val="center"/>
              <w:rPr>
                <w:rFonts w:ascii="仿宋_GB2312" w:hAnsi="宋体" w:cs="宋体"/>
                <w:kern w:val="0"/>
                <w:sz w:val="24"/>
                <w:highlight w:val="none"/>
              </w:rPr>
            </w:pPr>
            <w:r>
              <w:rPr>
                <w:rFonts w:hint="eastAsia" w:ascii="仿宋_GB2312" w:hAnsi="宋体" w:cs="宋体"/>
                <w:kern w:val="0"/>
                <w:sz w:val="24"/>
                <w:highlight w:val="none"/>
              </w:rPr>
              <w:t>备注</w:t>
            </w:r>
          </w:p>
        </w:tc>
      </w:tr>
      <w:tr w14:paraId="48C02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ign w:val="center"/>
          </w:tcPr>
          <w:p w14:paraId="2DAA2B12">
            <w:pPr>
              <w:widowControl/>
              <w:spacing w:line="360" w:lineRule="auto"/>
              <w:ind w:firstLine="480"/>
              <w:jc w:val="center"/>
              <w:textAlignment w:val="baseline"/>
              <w:rPr>
                <w:rFonts w:ascii="宋体" w:hAnsi="宋体" w:cs="宋体"/>
                <w:sz w:val="24"/>
                <w:highlight w:val="none"/>
              </w:rPr>
            </w:pPr>
          </w:p>
        </w:tc>
        <w:tc>
          <w:tcPr>
            <w:tcW w:w="2301" w:type="dxa"/>
            <w:noWrap/>
            <w:vAlign w:val="center"/>
          </w:tcPr>
          <w:p w14:paraId="29ADA0C7">
            <w:pPr>
              <w:pStyle w:val="7"/>
              <w:ind w:firstLine="480"/>
              <w:jc w:val="center"/>
              <w:rPr>
                <w:highlight w:val="none"/>
              </w:rPr>
            </w:pPr>
            <w:r>
              <w:rPr>
                <w:rFonts w:hint="eastAsia"/>
                <w:highlight w:val="none"/>
              </w:rPr>
              <w:t xml:space="preserve"> </w:t>
            </w:r>
          </w:p>
        </w:tc>
        <w:tc>
          <w:tcPr>
            <w:tcW w:w="2198" w:type="dxa"/>
            <w:noWrap/>
            <w:vAlign w:val="center"/>
          </w:tcPr>
          <w:p w14:paraId="0E050F29">
            <w:pPr>
              <w:widowControl/>
              <w:spacing w:line="360" w:lineRule="auto"/>
              <w:ind w:firstLine="480"/>
              <w:jc w:val="center"/>
              <w:textAlignment w:val="baseline"/>
              <w:rPr>
                <w:rFonts w:ascii="宋体" w:hAnsi="宋体" w:cs="宋体"/>
                <w:sz w:val="24"/>
                <w:highlight w:val="none"/>
              </w:rPr>
            </w:pPr>
          </w:p>
        </w:tc>
        <w:tc>
          <w:tcPr>
            <w:tcW w:w="2038" w:type="dxa"/>
            <w:noWrap/>
            <w:vAlign w:val="center"/>
          </w:tcPr>
          <w:p w14:paraId="73C41A39">
            <w:pPr>
              <w:widowControl/>
              <w:spacing w:line="360" w:lineRule="auto"/>
              <w:ind w:firstLine="480"/>
              <w:jc w:val="center"/>
              <w:textAlignment w:val="baseline"/>
              <w:rPr>
                <w:rFonts w:ascii="宋体" w:hAnsi="宋体" w:cs="宋体"/>
                <w:sz w:val="24"/>
                <w:highlight w:val="none"/>
              </w:rPr>
            </w:pPr>
          </w:p>
        </w:tc>
        <w:tc>
          <w:tcPr>
            <w:tcW w:w="1349" w:type="dxa"/>
            <w:noWrap/>
            <w:vAlign w:val="center"/>
          </w:tcPr>
          <w:p w14:paraId="25F17EE2">
            <w:pPr>
              <w:widowControl/>
              <w:spacing w:line="360" w:lineRule="auto"/>
              <w:ind w:firstLine="480"/>
              <w:jc w:val="center"/>
              <w:textAlignment w:val="baseline"/>
              <w:rPr>
                <w:rFonts w:ascii="宋体" w:hAnsi="宋体" w:cs="宋体"/>
                <w:sz w:val="24"/>
                <w:highlight w:val="none"/>
              </w:rPr>
            </w:pPr>
          </w:p>
        </w:tc>
        <w:tc>
          <w:tcPr>
            <w:tcW w:w="1349" w:type="dxa"/>
            <w:noWrap/>
            <w:vAlign w:val="center"/>
          </w:tcPr>
          <w:p w14:paraId="288D47E6">
            <w:pPr>
              <w:widowControl/>
              <w:spacing w:line="360" w:lineRule="auto"/>
              <w:ind w:firstLine="480"/>
              <w:jc w:val="center"/>
              <w:textAlignment w:val="baseline"/>
              <w:rPr>
                <w:rFonts w:ascii="宋体" w:hAnsi="宋体" w:cs="宋体"/>
                <w:sz w:val="24"/>
                <w:highlight w:val="none"/>
              </w:rPr>
            </w:pPr>
          </w:p>
        </w:tc>
      </w:tr>
      <w:tr w14:paraId="705E5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ign w:val="center"/>
          </w:tcPr>
          <w:p w14:paraId="25CBD033">
            <w:pPr>
              <w:widowControl/>
              <w:spacing w:line="360" w:lineRule="auto"/>
              <w:ind w:firstLine="480"/>
              <w:jc w:val="center"/>
              <w:textAlignment w:val="baseline"/>
              <w:rPr>
                <w:rFonts w:ascii="宋体" w:hAnsi="宋体" w:cs="宋体"/>
                <w:sz w:val="24"/>
                <w:highlight w:val="none"/>
              </w:rPr>
            </w:pPr>
          </w:p>
        </w:tc>
        <w:tc>
          <w:tcPr>
            <w:tcW w:w="2301" w:type="dxa"/>
            <w:noWrap/>
            <w:vAlign w:val="center"/>
          </w:tcPr>
          <w:p w14:paraId="2B6A9D1F">
            <w:pPr>
              <w:pStyle w:val="7"/>
              <w:ind w:firstLine="480"/>
              <w:jc w:val="center"/>
              <w:rPr>
                <w:highlight w:val="none"/>
              </w:rPr>
            </w:pPr>
          </w:p>
        </w:tc>
        <w:tc>
          <w:tcPr>
            <w:tcW w:w="2198" w:type="dxa"/>
            <w:noWrap/>
            <w:vAlign w:val="center"/>
          </w:tcPr>
          <w:p w14:paraId="1D1DE056">
            <w:pPr>
              <w:widowControl/>
              <w:spacing w:line="360" w:lineRule="auto"/>
              <w:ind w:firstLine="480"/>
              <w:jc w:val="center"/>
              <w:textAlignment w:val="baseline"/>
              <w:rPr>
                <w:rFonts w:ascii="宋体" w:hAnsi="宋体" w:cs="宋体"/>
                <w:sz w:val="24"/>
                <w:highlight w:val="none"/>
              </w:rPr>
            </w:pPr>
          </w:p>
        </w:tc>
        <w:tc>
          <w:tcPr>
            <w:tcW w:w="2038" w:type="dxa"/>
            <w:noWrap/>
            <w:vAlign w:val="center"/>
          </w:tcPr>
          <w:p w14:paraId="53CF0421">
            <w:pPr>
              <w:widowControl/>
              <w:spacing w:line="360" w:lineRule="auto"/>
              <w:ind w:firstLine="480"/>
              <w:jc w:val="center"/>
              <w:textAlignment w:val="baseline"/>
              <w:rPr>
                <w:rFonts w:ascii="宋体" w:hAnsi="宋体" w:cs="宋体"/>
                <w:sz w:val="24"/>
                <w:highlight w:val="none"/>
              </w:rPr>
            </w:pPr>
          </w:p>
        </w:tc>
        <w:tc>
          <w:tcPr>
            <w:tcW w:w="1349" w:type="dxa"/>
            <w:noWrap/>
            <w:vAlign w:val="center"/>
          </w:tcPr>
          <w:p w14:paraId="420C83AB">
            <w:pPr>
              <w:widowControl/>
              <w:spacing w:line="360" w:lineRule="auto"/>
              <w:ind w:firstLine="480"/>
              <w:jc w:val="center"/>
              <w:textAlignment w:val="baseline"/>
              <w:rPr>
                <w:rFonts w:ascii="宋体" w:hAnsi="宋体" w:cs="宋体"/>
                <w:sz w:val="24"/>
                <w:highlight w:val="none"/>
              </w:rPr>
            </w:pPr>
          </w:p>
        </w:tc>
        <w:tc>
          <w:tcPr>
            <w:tcW w:w="1349" w:type="dxa"/>
            <w:noWrap/>
            <w:vAlign w:val="center"/>
          </w:tcPr>
          <w:p w14:paraId="2B82A8F7">
            <w:pPr>
              <w:widowControl/>
              <w:spacing w:line="360" w:lineRule="auto"/>
              <w:ind w:firstLine="480"/>
              <w:jc w:val="center"/>
              <w:textAlignment w:val="baseline"/>
              <w:rPr>
                <w:rFonts w:ascii="宋体" w:hAnsi="宋体" w:cs="宋体"/>
                <w:sz w:val="24"/>
                <w:highlight w:val="none"/>
              </w:rPr>
            </w:pPr>
          </w:p>
        </w:tc>
      </w:tr>
      <w:tr w14:paraId="63A75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ign w:val="center"/>
          </w:tcPr>
          <w:p w14:paraId="7C08CD04">
            <w:pPr>
              <w:widowControl/>
              <w:spacing w:line="360" w:lineRule="auto"/>
              <w:ind w:firstLine="480"/>
              <w:jc w:val="center"/>
              <w:textAlignment w:val="baseline"/>
              <w:rPr>
                <w:rFonts w:ascii="宋体" w:hAnsi="宋体" w:cs="宋体"/>
                <w:sz w:val="24"/>
                <w:highlight w:val="none"/>
              </w:rPr>
            </w:pPr>
          </w:p>
        </w:tc>
        <w:tc>
          <w:tcPr>
            <w:tcW w:w="2301" w:type="dxa"/>
            <w:noWrap/>
            <w:vAlign w:val="center"/>
          </w:tcPr>
          <w:p w14:paraId="15953248">
            <w:pPr>
              <w:pStyle w:val="7"/>
              <w:ind w:firstLine="480"/>
              <w:jc w:val="center"/>
              <w:rPr>
                <w:highlight w:val="none"/>
              </w:rPr>
            </w:pPr>
          </w:p>
        </w:tc>
        <w:tc>
          <w:tcPr>
            <w:tcW w:w="2198" w:type="dxa"/>
            <w:noWrap/>
            <w:vAlign w:val="center"/>
          </w:tcPr>
          <w:p w14:paraId="0C167975">
            <w:pPr>
              <w:widowControl/>
              <w:spacing w:line="360" w:lineRule="auto"/>
              <w:ind w:firstLine="480"/>
              <w:jc w:val="center"/>
              <w:textAlignment w:val="baseline"/>
              <w:rPr>
                <w:rFonts w:ascii="宋体" w:hAnsi="宋体" w:cs="宋体"/>
                <w:sz w:val="24"/>
                <w:highlight w:val="none"/>
              </w:rPr>
            </w:pPr>
          </w:p>
        </w:tc>
        <w:tc>
          <w:tcPr>
            <w:tcW w:w="2038" w:type="dxa"/>
            <w:noWrap/>
            <w:vAlign w:val="center"/>
          </w:tcPr>
          <w:p w14:paraId="306DDD7C">
            <w:pPr>
              <w:widowControl/>
              <w:spacing w:line="360" w:lineRule="auto"/>
              <w:ind w:firstLine="480"/>
              <w:jc w:val="center"/>
              <w:textAlignment w:val="baseline"/>
              <w:rPr>
                <w:rFonts w:ascii="宋体" w:hAnsi="宋体" w:cs="宋体"/>
                <w:sz w:val="24"/>
                <w:highlight w:val="none"/>
              </w:rPr>
            </w:pPr>
          </w:p>
        </w:tc>
        <w:tc>
          <w:tcPr>
            <w:tcW w:w="1349" w:type="dxa"/>
            <w:noWrap/>
            <w:vAlign w:val="center"/>
          </w:tcPr>
          <w:p w14:paraId="00E0C59A">
            <w:pPr>
              <w:widowControl/>
              <w:spacing w:line="360" w:lineRule="auto"/>
              <w:ind w:firstLine="480"/>
              <w:jc w:val="center"/>
              <w:textAlignment w:val="baseline"/>
              <w:rPr>
                <w:rFonts w:ascii="宋体" w:hAnsi="宋体" w:cs="宋体"/>
                <w:sz w:val="24"/>
                <w:highlight w:val="none"/>
              </w:rPr>
            </w:pPr>
          </w:p>
        </w:tc>
        <w:tc>
          <w:tcPr>
            <w:tcW w:w="1349" w:type="dxa"/>
            <w:noWrap/>
            <w:vAlign w:val="center"/>
          </w:tcPr>
          <w:p w14:paraId="42A3C116">
            <w:pPr>
              <w:widowControl/>
              <w:spacing w:line="360" w:lineRule="auto"/>
              <w:ind w:firstLine="480"/>
              <w:jc w:val="center"/>
              <w:textAlignment w:val="baseline"/>
              <w:rPr>
                <w:rFonts w:ascii="宋体" w:hAnsi="宋体" w:cs="宋体"/>
                <w:sz w:val="24"/>
                <w:highlight w:val="none"/>
              </w:rPr>
            </w:pPr>
          </w:p>
        </w:tc>
      </w:tr>
      <w:tr w14:paraId="6226E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ign w:val="center"/>
          </w:tcPr>
          <w:p w14:paraId="54D3AAD8">
            <w:pPr>
              <w:widowControl/>
              <w:spacing w:line="360" w:lineRule="auto"/>
              <w:ind w:firstLine="480"/>
              <w:jc w:val="center"/>
              <w:textAlignment w:val="baseline"/>
              <w:rPr>
                <w:rFonts w:ascii="宋体" w:hAnsi="宋体" w:cs="宋体"/>
                <w:sz w:val="24"/>
                <w:highlight w:val="none"/>
              </w:rPr>
            </w:pPr>
          </w:p>
        </w:tc>
        <w:tc>
          <w:tcPr>
            <w:tcW w:w="2301" w:type="dxa"/>
            <w:noWrap/>
            <w:vAlign w:val="center"/>
          </w:tcPr>
          <w:p w14:paraId="12989066">
            <w:pPr>
              <w:pStyle w:val="7"/>
              <w:ind w:firstLine="480"/>
              <w:jc w:val="center"/>
              <w:rPr>
                <w:highlight w:val="none"/>
              </w:rPr>
            </w:pPr>
          </w:p>
        </w:tc>
        <w:tc>
          <w:tcPr>
            <w:tcW w:w="2198" w:type="dxa"/>
            <w:noWrap/>
            <w:vAlign w:val="center"/>
          </w:tcPr>
          <w:p w14:paraId="67FF5F94">
            <w:pPr>
              <w:widowControl/>
              <w:spacing w:line="360" w:lineRule="auto"/>
              <w:ind w:firstLine="480"/>
              <w:jc w:val="center"/>
              <w:textAlignment w:val="baseline"/>
              <w:rPr>
                <w:rFonts w:ascii="宋体" w:hAnsi="宋体" w:cs="宋体"/>
                <w:sz w:val="24"/>
                <w:highlight w:val="none"/>
              </w:rPr>
            </w:pPr>
          </w:p>
        </w:tc>
        <w:tc>
          <w:tcPr>
            <w:tcW w:w="2038" w:type="dxa"/>
            <w:noWrap/>
            <w:vAlign w:val="center"/>
          </w:tcPr>
          <w:p w14:paraId="2A0031D6">
            <w:pPr>
              <w:widowControl/>
              <w:spacing w:line="360" w:lineRule="auto"/>
              <w:ind w:firstLine="480"/>
              <w:jc w:val="center"/>
              <w:textAlignment w:val="baseline"/>
              <w:rPr>
                <w:rFonts w:ascii="宋体" w:hAnsi="宋体" w:cs="宋体"/>
                <w:sz w:val="24"/>
                <w:highlight w:val="none"/>
              </w:rPr>
            </w:pPr>
          </w:p>
        </w:tc>
        <w:tc>
          <w:tcPr>
            <w:tcW w:w="1349" w:type="dxa"/>
            <w:noWrap/>
            <w:vAlign w:val="center"/>
          </w:tcPr>
          <w:p w14:paraId="3E0FD2AB">
            <w:pPr>
              <w:widowControl/>
              <w:spacing w:line="360" w:lineRule="auto"/>
              <w:ind w:firstLine="480"/>
              <w:jc w:val="center"/>
              <w:textAlignment w:val="baseline"/>
              <w:rPr>
                <w:rFonts w:ascii="宋体" w:hAnsi="宋体" w:cs="宋体"/>
                <w:sz w:val="24"/>
                <w:highlight w:val="none"/>
              </w:rPr>
            </w:pPr>
          </w:p>
        </w:tc>
        <w:tc>
          <w:tcPr>
            <w:tcW w:w="1349" w:type="dxa"/>
            <w:noWrap/>
            <w:vAlign w:val="center"/>
          </w:tcPr>
          <w:p w14:paraId="7184892F">
            <w:pPr>
              <w:widowControl/>
              <w:spacing w:line="360" w:lineRule="auto"/>
              <w:ind w:firstLine="480"/>
              <w:jc w:val="center"/>
              <w:textAlignment w:val="baseline"/>
              <w:rPr>
                <w:rFonts w:ascii="宋体" w:hAnsi="宋体" w:cs="宋体"/>
                <w:sz w:val="24"/>
                <w:highlight w:val="none"/>
              </w:rPr>
            </w:pPr>
          </w:p>
        </w:tc>
      </w:tr>
      <w:tr w14:paraId="30643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ign w:val="center"/>
          </w:tcPr>
          <w:p w14:paraId="3F173105">
            <w:pPr>
              <w:widowControl/>
              <w:spacing w:line="360" w:lineRule="auto"/>
              <w:ind w:firstLine="480"/>
              <w:jc w:val="center"/>
              <w:textAlignment w:val="baseline"/>
              <w:rPr>
                <w:rFonts w:ascii="宋体" w:hAnsi="宋体" w:cs="宋体"/>
                <w:sz w:val="24"/>
                <w:highlight w:val="none"/>
              </w:rPr>
            </w:pPr>
          </w:p>
        </w:tc>
        <w:tc>
          <w:tcPr>
            <w:tcW w:w="2301" w:type="dxa"/>
            <w:noWrap/>
            <w:vAlign w:val="center"/>
          </w:tcPr>
          <w:p w14:paraId="72E419AC">
            <w:pPr>
              <w:pStyle w:val="7"/>
              <w:ind w:firstLine="480"/>
              <w:jc w:val="center"/>
              <w:rPr>
                <w:highlight w:val="none"/>
              </w:rPr>
            </w:pPr>
          </w:p>
        </w:tc>
        <w:tc>
          <w:tcPr>
            <w:tcW w:w="2198" w:type="dxa"/>
            <w:noWrap/>
            <w:vAlign w:val="center"/>
          </w:tcPr>
          <w:p w14:paraId="2D998781">
            <w:pPr>
              <w:widowControl/>
              <w:spacing w:line="360" w:lineRule="auto"/>
              <w:ind w:firstLine="480"/>
              <w:jc w:val="center"/>
              <w:textAlignment w:val="baseline"/>
              <w:rPr>
                <w:rFonts w:ascii="宋体" w:hAnsi="宋体" w:cs="宋体"/>
                <w:sz w:val="24"/>
                <w:highlight w:val="none"/>
              </w:rPr>
            </w:pPr>
          </w:p>
        </w:tc>
        <w:tc>
          <w:tcPr>
            <w:tcW w:w="2038" w:type="dxa"/>
            <w:noWrap/>
            <w:vAlign w:val="center"/>
          </w:tcPr>
          <w:p w14:paraId="30932103">
            <w:pPr>
              <w:widowControl/>
              <w:spacing w:line="360" w:lineRule="auto"/>
              <w:ind w:firstLine="480"/>
              <w:jc w:val="center"/>
              <w:textAlignment w:val="baseline"/>
              <w:rPr>
                <w:rFonts w:ascii="宋体" w:hAnsi="宋体" w:cs="宋体"/>
                <w:sz w:val="24"/>
                <w:highlight w:val="none"/>
              </w:rPr>
            </w:pPr>
          </w:p>
        </w:tc>
        <w:tc>
          <w:tcPr>
            <w:tcW w:w="1349" w:type="dxa"/>
            <w:noWrap/>
            <w:vAlign w:val="center"/>
          </w:tcPr>
          <w:p w14:paraId="4C0D3A2C">
            <w:pPr>
              <w:widowControl/>
              <w:spacing w:line="360" w:lineRule="auto"/>
              <w:ind w:firstLine="480"/>
              <w:jc w:val="center"/>
              <w:textAlignment w:val="baseline"/>
              <w:rPr>
                <w:rFonts w:ascii="宋体" w:hAnsi="宋体" w:cs="宋体"/>
                <w:sz w:val="24"/>
                <w:highlight w:val="none"/>
              </w:rPr>
            </w:pPr>
          </w:p>
        </w:tc>
        <w:tc>
          <w:tcPr>
            <w:tcW w:w="1349" w:type="dxa"/>
            <w:noWrap/>
            <w:vAlign w:val="center"/>
          </w:tcPr>
          <w:p w14:paraId="16FFFB79">
            <w:pPr>
              <w:widowControl/>
              <w:spacing w:line="360" w:lineRule="auto"/>
              <w:ind w:firstLine="480"/>
              <w:jc w:val="center"/>
              <w:textAlignment w:val="baseline"/>
              <w:rPr>
                <w:rFonts w:ascii="宋体" w:hAnsi="宋体" w:cs="宋体"/>
                <w:sz w:val="24"/>
                <w:highlight w:val="none"/>
              </w:rPr>
            </w:pPr>
          </w:p>
        </w:tc>
      </w:tr>
      <w:tr w14:paraId="67574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ign w:val="center"/>
          </w:tcPr>
          <w:p w14:paraId="12BD5D95">
            <w:pPr>
              <w:widowControl/>
              <w:spacing w:line="360" w:lineRule="auto"/>
              <w:jc w:val="center"/>
              <w:textAlignment w:val="baseline"/>
              <w:rPr>
                <w:rFonts w:ascii="宋体" w:hAnsi="宋体" w:cs="宋体"/>
                <w:szCs w:val="21"/>
                <w:highlight w:val="none"/>
              </w:rPr>
            </w:pPr>
          </w:p>
        </w:tc>
        <w:tc>
          <w:tcPr>
            <w:tcW w:w="2301" w:type="dxa"/>
            <w:noWrap/>
            <w:vAlign w:val="center"/>
          </w:tcPr>
          <w:p w14:paraId="33EBE456">
            <w:pPr>
              <w:pStyle w:val="7"/>
              <w:ind w:firstLine="420"/>
              <w:jc w:val="center"/>
              <w:rPr>
                <w:sz w:val="21"/>
                <w:szCs w:val="21"/>
                <w:highlight w:val="none"/>
              </w:rPr>
            </w:pPr>
          </w:p>
        </w:tc>
        <w:tc>
          <w:tcPr>
            <w:tcW w:w="2198" w:type="dxa"/>
            <w:noWrap/>
            <w:vAlign w:val="center"/>
          </w:tcPr>
          <w:p w14:paraId="6F8F4271">
            <w:pPr>
              <w:widowControl/>
              <w:spacing w:line="360" w:lineRule="auto"/>
              <w:jc w:val="center"/>
              <w:textAlignment w:val="baseline"/>
              <w:rPr>
                <w:rFonts w:ascii="宋体" w:hAnsi="宋体" w:cs="宋体"/>
                <w:szCs w:val="21"/>
                <w:highlight w:val="none"/>
              </w:rPr>
            </w:pPr>
          </w:p>
        </w:tc>
        <w:tc>
          <w:tcPr>
            <w:tcW w:w="2038" w:type="dxa"/>
            <w:noWrap/>
            <w:vAlign w:val="center"/>
          </w:tcPr>
          <w:p w14:paraId="5CFA8320">
            <w:pPr>
              <w:widowControl/>
              <w:spacing w:line="360" w:lineRule="auto"/>
              <w:jc w:val="center"/>
              <w:textAlignment w:val="baseline"/>
              <w:rPr>
                <w:rFonts w:ascii="宋体" w:hAnsi="宋体" w:cs="宋体"/>
                <w:szCs w:val="21"/>
                <w:highlight w:val="none"/>
              </w:rPr>
            </w:pPr>
          </w:p>
        </w:tc>
        <w:tc>
          <w:tcPr>
            <w:tcW w:w="1349" w:type="dxa"/>
            <w:noWrap/>
            <w:vAlign w:val="center"/>
          </w:tcPr>
          <w:p w14:paraId="758542FF">
            <w:pPr>
              <w:widowControl/>
              <w:spacing w:line="360" w:lineRule="auto"/>
              <w:jc w:val="center"/>
              <w:textAlignment w:val="baseline"/>
              <w:rPr>
                <w:rFonts w:ascii="宋体" w:hAnsi="宋体" w:cs="宋体"/>
                <w:szCs w:val="21"/>
                <w:highlight w:val="none"/>
              </w:rPr>
            </w:pPr>
          </w:p>
        </w:tc>
        <w:tc>
          <w:tcPr>
            <w:tcW w:w="1349" w:type="dxa"/>
            <w:noWrap/>
            <w:vAlign w:val="center"/>
          </w:tcPr>
          <w:p w14:paraId="57928FE9">
            <w:pPr>
              <w:widowControl/>
              <w:spacing w:line="360" w:lineRule="auto"/>
              <w:jc w:val="center"/>
              <w:textAlignment w:val="baseline"/>
              <w:rPr>
                <w:rFonts w:ascii="宋体" w:hAnsi="宋体" w:cs="宋体"/>
                <w:szCs w:val="21"/>
                <w:highlight w:val="none"/>
              </w:rPr>
            </w:pPr>
          </w:p>
        </w:tc>
      </w:tr>
    </w:tbl>
    <w:p w14:paraId="2B0C51CD">
      <w:pPr>
        <w:ind w:firstLine="440"/>
        <w:rPr>
          <w:rFonts w:ascii="宋体" w:hAnsi="宋体" w:cs="宋体"/>
          <w:highlight w:val="none"/>
        </w:rPr>
      </w:pPr>
    </w:p>
    <w:p w14:paraId="78F74C45">
      <w:pPr>
        <w:spacing w:line="360" w:lineRule="auto"/>
        <w:ind w:firstLine="482"/>
        <w:rPr>
          <w:rFonts w:asciiTheme="minorEastAsia" w:hAnsiTheme="minorEastAsia"/>
          <w:b/>
          <w:bCs/>
          <w:sz w:val="24"/>
          <w:szCs w:val="32"/>
          <w:highlight w:val="none"/>
        </w:rPr>
      </w:pPr>
      <w:r>
        <w:rPr>
          <w:rFonts w:hint="eastAsia" w:asciiTheme="minorEastAsia" w:hAnsiTheme="minorEastAsia"/>
          <w:b/>
          <w:bCs/>
          <w:sz w:val="24"/>
          <w:szCs w:val="32"/>
          <w:highlight w:val="none"/>
        </w:rPr>
        <w:t>注：本表中“偏离情况”只有三种状态（正偏离、无偏离、负偏离）</w:t>
      </w:r>
    </w:p>
    <w:p w14:paraId="1E70F1A8">
      <w:pPr>
        <w:ind w:firstLine="442"/>
        <w:rPr>
          <w:rFonts w:ascii="宋体" w:hAnsi="宋体" w:cs="宋体"/>
          <w:b/>
          <w:kern w:val="0"/>
          <w:szCs w:val="21"/>
          <w:highlight w:val="none"/>
        </w:rPr>
      </w:pPr>
    </w:p>
    <w:p w14:paraId="5AFEEFDD">
      <w:pPr>
        <w:pStyle w:val="33"/>
        <w:ind w:firstLine="210"/>
        <w:rPr>
          <w:rFonts w:ascii="宋体" w:hAnsi="宋体" w:cs="宋体"/>
          <w:highlight w:val="none"/>
        </w:rPr>
      </w:pPr>
    </w:p>
    <w:p w14:paraId="24B4062C">
      <w:pPr>
        <w:widowControl/>
        <w:spacing w:line="360" w:lineRule="auto"/>
        <w:ind w:firstLine="3360" w:firstLineChars="1600"/>
        <w:textAlignment w:val="baseline"/>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i w:val="0"/>
          <w:iCs w:val="0"/>
          <w:szCs w:val="21"/>
          <w:highlight w:val="none"/>
          <w:u w:val="single"/>
          <w:lang w:val="en-US" w:eastAsia="zh-CN"/>
        </w:rPr>
        <w:t xml:space="preserve">                       </w:t>
      </w:r>
      <w:r>
        <w:rPr>
          <w:rFonts w:hint="eastAsia" w:ascii="宋体" w:hAnsi="宋体" w:cs="宋体"/>
          <w:szCs w:val="21"/>
          <w:highlight w:val="none"/>
        </w:rPr>
        <w:t>（全称并加盖公章）</w:t>
      </w:r>
    </w:p>
    <w:p w14:paraId="6FDFC106">
      <w:pPr>
        <w:widowControl/>
        <w:spacing w:line="360" w:lineRule="auto"/>
        <w:ind w:firstLine="4410" w:firstLineChars="2100"/>
        <w:textAlignment w:val="baseline"/>
        <w:rPr>
          <w:rFonts w:ascii="宋体" w:hAnsi="宋体" w:cs="宋体"/>
          <w:sz w:val="24"/>
          <w:highlight w:val="none"/>
        </w:rPr>
      </w:pPr>
      <w:r>
        <w:rPr>
          <w:rFonts w:hint="eastAsia" w:ascii="宋体" w:hAnsi="宋体" w:cs="宋体"/>
          <w:szCs w:val="21"/>
          <w:highlight w:val="none"/>
        </w:rPr>
        <w:t>年    月    日</w:t>
      </w:r>
    </w:p>
    <w:p w14:paraId="5371949C">
      <w:pPr>
        <w:ind w:firstLine="440"/>
        <w:rPr>
          <w:rFonts w:ascii="宋体" w:hAnsi="宋体" w:cs="宋体"/>
          <w:highlight w:val="none"/>
        </w:rPr>
      </w:pPr>
    </w:p>
    <w:p w14:paraId="0C3D5E66">
      <w:pPr>
        <w:ind w:firstLine="440"/>
        <w:rPr>
          <w:rFonts w:ascii="宋体" w:hAnsi="宋体" w:cs="宋体"/>
          <w:highlight w:val="none"/>
        </w:rPr>
      </w:pPr>
    </w:p>
    <w:p w14:paraId="6E00371E">
      <w:pPr>
        <w:ind w:firstLine="440"/>
        <w:rPr>
          <w:rFonts w:ascii="宋体" w:hAnsi="宋体" w:cs="宋体"/>
          <w:highlight w:val="none"/>
        </w:rPr>
      </w:pPr>
    </w:p>
    <w:p w14:paraId="2BA9C6B4">
      <w:pPr>
        <w:ind w:firstLine="440"/>
        <w:rPr>
          <w:rFonts w:ascii="宋体" w:hAnsi="宋体" w:cs="宋体"/>
          <w:highlight w:val="none"/>
        </w:rPr>
      </w:pPr>
    </w:p>
    <w:p w14:paraId="7D12E39D">
      <w:pPr>
        <w:ind w:firstLine="440"/>
        <w:rPr>
          <w:rFonts w:ascii="宋体" w:hAnsi="宋体" w:cs="宋体"/>
          <w:highlight w:val="none"/>
        </w:rPr>
      </w:pPr>
    </w:p>
    <w:p w14:paraId="0B8E9EE3">
      <w:pPr>
        <w:ind w:firstLine="440"/>
        <w:rPr>
          <w:rFonts w:ascii="宋体" w:hAnsi="宋体" w:cs="宋体"/>
          <w:highlight w:val="none"/>
        </w:rPr>
      </w:pPr>
    </w:p>
    <w:p w14:paraId="7F439610">
      <w:pPr>
        <w:ind w:firstLine="440"/>
        <w:rPr>
          <w:rFonts w:ascii="宋体" w:hAnsi="宋体" w:cs="宋体"/>
          <w:highlight w:val="none"/>
        </w:rPr>
      </w:pPr>
    </w:p>
    <w:p w14:paraId="511DDD60">
      <w:pPr>
        <w:ind w:firstLine="440"/>
        <w:rPr>
          <w:rFonts w:ascii="宋体" w:hAnsi="宋体" w:cs="宋体"/>
          <w:highlight w:val="none"/>
        </w:rPr>
      </w:pPr>
    </w:p>
    <w:p w14:paraId="3D539EE8">
      <w:pPr>
        <w:ind w:firstLine="440"/>
        <w:rPr>
          <w:rFonts w:ascii="宋体" w:hAnsi="宋体" w:cs="宋体"/>
          <w:highlight w:val="none"/>
        </w:rPr>
      </w:pPr>
    </w:p>
    <w:p w14:paraId="0143D1A8">
      <w:pPr>
        <w:ind w:firstLine="440"/>
        <w:rPr>
          <w:rFonts w:ascii="宋体" w:hAnsi="宋体" w:cs="宋体"/>
          <w:highlight w:val="none"/>
        </w:rPr>
      </w:pPr>
    </w:p>
    <w:p w14:paraId="6C8E9778">
      <w:pPr>
        <w:ind w:firstLine="440"/>
        <w:rPr>
          <w:rFonts w:ascii="宋体" w:hAnsi="宋体" w:cs="宋体"/>
          <w:highlight w:val="none"/>
        </w:rPr>
      </w:pPr>
    </w:p>
    <w:p w14:paraId="35CD3B6B">
      <w:pPr>
        <w:ind w:firstLine="562"/>
        <w:rPr>
          <w:rFonts w:ascii="宋体" w:hAnsi="宋体" w:cs="宋体"/>
          <w:b/>
          <w:sz w:val="28"/>
          <w:highlight w:val="none"/>
        </w:rPr>
      </w:pPr>
      <w:bookmarkStart w:id="73" w:name="_Toc31526"/>
      <w:bookmarkStart w:id="74" w:name="_Toc28621"/>
      <w:r>
        <w:rPr>
          <w:rFonts w:hint="eastAsia" w:ascii="宋体" w:hAnsi="宋体" w:cs="宋体"/>
          <w:b/>
          <w:sz w:val="28"/>
          <w:highlight w:val="none"/>
        </w:rPr>
        <w:br w:type="page"/>
      </w:r>
    </w:p>
    <w:p w14:paraId="799E6C88">
      <w:pPr>
        <w:pStyle w:val="8"/>
        <w:rPr>
          <w:rFonts w:hint="eastAsia" w:asciiTheme="minorEastAsia" w:hAnsiTheme="minorEastAsia" w:eastAsiaTheme="minorEastAsia" w:cstheme="minorEastAsia"/>
          <w:sz w:val="28"/>
          <w:szCs w:val="28"/>
          <w:highlight w:val="none"/>
        </w:rPr>
      </w:pPr>
      <w:bookmarkStart w:id="75" w:name="_Toc29406"/>
      <w:r>
        <w:rPr>
          <w:rFonts w:hint="eastAsia" w:asciiTheme="minorEastAsia" w:hAnsiTheme="minorEastAsia" w:eastAsiaTheme="minorEastAsia" w:cstheme="minorEastAsia"/>
          <w:sz w:val="28"/>
          <w:szCs w:val="28"/>
          <w:highlight w:val="none"/>
        </w:rPr>
        <w:t>附件6              法定代表人身份证明（格式）</w:t>
      </w:r>
      <w:bookmarkEnd w:id="73"/>
      <w:bookmarkEnd w:id="74"/>
      <w:bookmarkEnd w:id="75"/>
    </w:p>
    <w:p w14:paraId="35215FC3">
      <w:pPr>
        <w:widowControl/>
        <w:wordWrap w:val="0"/>
        <w:spacing w:line="460" w:lineRule="exact"/>
        <w:ind w:firstLine="480"/>
        <w:jc w:val="left"/>
        <w:rPr>
          <w:rFonts w:ascii="宋体" w:hAnsi="宋体" w:cs="宋体"/>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36B11F28">
      <w:pPr>
        <w:widowControl/>
        <w:wordWrap w:val="0"/>
        <w:spacing w:line="460" w:lineRule="exact"/>
        <w:ind w:firstLine="480"/>
        <w:jc w:val="left"/>
        <w:rPr>
          <w:rFonts w:ascii="宋体" w:hAnsi="宋体" w:cs="宋体"/>
          <w:kern w:val="0"/>
          <w:sz w:val="24"/>
          <w:szCs w:val="20"/>
          <w:highlight w:val="none"/>
        </w:rPr>
      </w:pPr>
    </w:p>
    <w:p w14:paraId="3911E227">
      <w:pPr>
        <w:widowControl/>
        <w:wordWrap w:val="0"/>
        <w:spacing w:beforeLines="100" w:afterLines="100" w:line="480" w:lineRule="exact"/>
        <w:ind w:firstLine="723"/>
        <w:jc w:val="center"/>
        <w:rPr>
          <w:rFonts w:ascii="宋体" w:hAnsi="宋体" w:cs="宋体"/>
          <w:b/>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5180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5C4DE9A1">
            <w:pPr>
              <w:widowControl/>
              <w:spacing w:line="480" w:lineRule="exact"/>
              <w:ind w:firstLine="480"/>
              <w:jc w:val="left"/>
              <w:rPr>
                <w:rFonts w:ascii="宋体" w:hAnsi="宋体" w:cs="宋体"/>
                <w:bCs/>
                <w:kern w:val="0"/>
                <w:sz w:val="24"/>
                <w:highlight w:val="none"/>
              </w:rPr>
            </w:pPr>
            <w:r>
              <w:rPr>
                <w:rFonts w:hint="eastAsia" w:ascii="宋体" w:hAnsi="宋体" w:cs="宋体"/>
                <w:bCs/>
                <w:kern w:val="0"/>
                <w:sz w:val="24"/>
                <w:highlight w:val="none"/>
              </w:rPr>
              <w:t>此处请粘贴法定代表人身份证复印件</w:t>
            </w:r>
          </w:p>
          <w:p w14:paraId="44CECBBE">
            <w:pPr>
              <w:widowControl/>
              <w:spacing w:line="480" w:lineRule="exact"/>
              <w:ind w:firstLine="480"/>
              <w:jc w:val="left"/>
              <w:rPr>
                <w:rFonts w:ascii="宋体" w:hAnsi="宋体" w:cs="宋体"/>
                <w:kern w:val="0"/>
                <w:sz w:val="24"/>
                <w:highlight w:val="none"/>
              </w:rPr>
            </w:pPr>
          </w:p>
          <w:p w14:paraId="3041B307">
            <w:pPr>
              <w:widowControl/>
              <w:spacing w:line="480" w:lineRule="exact"/>
              <w:ind w:firstLine="480"/>
              <w:jc w:val="left"/>
              <w:rPr>
                <w:rFonts w:ascii="宋体" w:hAnsi="宋体" w:cs="宋体"/>
                <w:kern w:val="0"/>
                <w:sz w:val="24"/>
                <w:highlight w:val="none"/>
              </w:rPr>
            </w:pPr>
          </w:p>
        </w:tc>
      </w:tr>
    </w:tbl>
    <w:p w14:paraId="26EA86DA">
      <w:pPr>
        <w:widowControl/>
        <w:wordWrap w:val="0"/>
        <w:spacing w:beforeLines="100" w:afterLines="100" w:line="480" w:lineRule="exact"/>
        <w:ind w:firstLine="482"/>
        <w:jc w:val="center"/>
        <w:rPr>
          <w:rFonts w:ascii="宋体" w:hAnsi="宋体" w:cs="宋体"/>
          <w:b/>
          <w:kern w:val="0"/>
          <w:sz w:val="24"/>
          <w:highlight w:val="none"/>
        </w:rPr>
      </w:pPr>
    </w:p>
    <w:p w14:paraId="473FDCD6">
      <w:pPr>
        <w:widowControl/>
        <w:wordWrap w:val="0"/>
        <w:spacing w:beforeLines="100" w:afterLines="100" w:line="480" w:lineRule="exact"/>
        <w:ind w:firstLine="723"/>
        <w:jc w:val="center"/>
        <w:rPr>
          <w:rFonts w:ascii="宋体" w:hAnsi="宋体" w:cs="宋体"/>
          <w:b/>
          <w:kern w:val="0"/>
          <w:sz w:val="36"/>
          <w:szCs w:val="36"/>
          <w:highlight w:val="none"/>
        </w:rPr>
      </w:pPr>
    </w:p>
    <w:p w14:paraId="58950C84">
      <w:pPr>
        <w:widowControl/>
        <w:wordWrap w:val="0"/>
        <w:spacing w:beforeLines="100" w:afterLines="100" w:line="480" w:lineRule="exact"/>
        <w:ind w:firstLine="723"/>
        <w:jc w:val="center"/>
        <w:rPr>
          <w:rFonts w:ascii="宋体" w:hAnsi="宋体" w:cs="宋体"/>
          <w:b/>
          <w:kern w:val="0"/>
          <w:sz w:val="36"/>
          <w:szCs w:val="36"/>
          <w:highlight w:val="none"/>
        </w:rPr>
      </w:pPr>
    </w:p>
    <w:p w14:paraId="5827D483">
      <w:pPr>
        <w:widowControl/>
        <w:wordWrap w:val="0"/>
        <w:spacing w:line="480" w:lineRule="exact"/>
        <w:ind w:firstLine="480"/>
        <w:jc w:val="right"/>
        <w:rPr>
          <w:rFonts w:ascii="宋体" w:hAnsi="宋体" w:cs="宋体"/>
          <w:kern w:val="0"/>
          <w:sz w:val="24"/>
          <w:highlight w:val="none"/>
        </w:rPr>
      </w:pPr>
    </w:p>
    <w:p w14:paraId="5192D34C">
      <w:pPr>
        <w:widowControl/>
        <w:wordWrap w:val="0"/>
        <w:spacing w:line="480" w:lineRule="exact"/>
        <w:ind w:firstLine="480"/>
        <w:jc w:val="right"/>
        <w:rPr>
          <w:rFonts w:ascii="宋体" w:hAnsi="宋体" w:cs="宋体"/>
          <w:kern w:val="0"/>
          <w:sz w:val="24"/>
          <w:highlight w:val="none"/>
        </w:rPr>
      </w:pPr>
    </w:p>
    <w:p w14:paraId="0BAD4768">
      <w:pPr>
        <w:widowControl/>
        <w:wordWrap w:val="0"/>
        <w:snapToGrid w:val="0"/>
        <w:spacing w:line="460" w:lineRule="exact"/>
        <w:ind w:firstLine="2760" w:firstLineChars="1150"/>
        <w:jc w:val="left"/>
        <w:rPr>
          <w:rFonts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rPr>
        <w:t>（全称并加盖公章）</w:t>
      </w:r>
    </w:p>
    <w:p w14:paraId="048EA1D3">
      <w:pPr>
        <w:widowControl/>
        <w:wordWrap w:val="0"/>
        <w:spacing w:line="460" w:lineRule="exact"/>
        <w:ind w:left="3780" w:leftChars="1800" w:firstLine="480" w:firstLineChars="200"/>
        <w:jc w:val="left"/>
        <w:rPr>
          <w:rFonts w:ascii="宋体" w:hAnsi="宋体" w:cs="宋体"/>
          <w:kern w:val="0"/>
          <w:sz w:val="24"/>
          <w:highlight w:val="none"/>
        </w:rPr>
      </w:pPr>
      <w:r>
        <w:rPr>
          <w:rFonts w:hint="eastAsia" w:ascii="宋体" w:hAnsi="宋体" w:cs="宋体"/>
          <w:kern w:val="0"/>
          <w:sz w:val="24"/>
          <w:highlight w:val="none"/>
        </w:rPr>
        <w:t>年    月    日</w:t>
      </w:r>
    </w:p>
    <w:p w14:paraId="799ABE0C">
      <w:pPr>
        <w:ind w:firstLine="440"/>
        <w:rPr>
          <w:rFonts w:ascii="宋体" w:hAnsi="宋体" w:cs="宋体"/>
          <w:highlight w:val="none"/>
        </w:rPr>
      </w:pPr>
    </w:p>
    <w:p w14:paraId="7E3EB593">
      <w:pPr>
        <w:ind w:firstLine="440"/>
        <w:rPr>
          <w:rFonts w:ascii="宋体" w:hAnsi="宋体" w:cs="宋体"/>
          <w:highlight w:val="none"/>
        </w:rPr>
      </w:pPr>
      <w:r>
        <w:rPr>
          <w:rFonts w:hint="eastAsia" w:ascii="宋体" w:hAnsi="宋体" w:cs="宋体"/>
          <w:highlight w:val="none"/>
        </w:rPr>
        <w:br w:type="page"/>
      </w:r>
    </w:p>
    <w:p w14:paraId="6D303EF6">
      <w:pPr>
        <w:pStyle w:val="8"/>
        <w:rPr>
          <w:rFonts w:hint="eastAsia" w:asciiTheme="minorEastAsia" w:hAnsiTheme="minorEastAsia" w:eastAsiaTheme="minorEastAsia" w:cstheme="minorEastAsia"/>
          <w:sz w:val="28"/>
          <w:szCs w:val="28"/>
          <w:highlight w:val="none"/>
        </w:rPr>
      </w:pPr>
      <w:bookmarkStart w:id="76" w:name="_Toc30519"/>
      <w:bookmarkStart w:id="77" w:name="_Toc12939"/>
      <w:bookmarkStart w:id="78" w:name="_Toc13976"/>
      <w:r>
        <w:rPr>
          <w:rFonts w:hint="eastAsia" w:asciiTheme="minorEastAsia" w:hAnsiTheme="minorEastAsia" w:eastAsiaTheme="minorEastAsia" w:cstheme="minorEastAsia"/>
          <w:sz w:val="28"/>
          <w:szCs w:val="28"/>
          <w:highlight w:val="none"/>
        </w:rPr>
        <w:t>附件7              法定代表人授权书（格式）</w:t>
      </w:r>
      <w:bookmarkEnd w:id="76"/>
      <w:bookmarkEnd w:id="77"/>
      <w:bookmarkEnd w:id="78"/>
    </w:p>
    <w:p w14:paraId="7A34425B">
      <w:pPr>
        <w:widowControl/>
        <w:tabs>
          <w:tab w:val="left" w:pos="420"/>
          <w:tab w:val="left" w:pos="2160"/>
        </w:tabs>
        <w:wordWrap w:val="0"/>
        <w:spacing w:line="460" w:lineRule="exact"/>
        <w:ind w:firstLine="480" w:firstLineChars="200"/>
        <w:jc w:val="left"/>
        <w:rPr>
          <w:rFonts w:ascii="宋体" w:hAnsi="宋体" w:cs="宋体"/>
          <w:kern w:val="0"/>
          <w:sz w:val="24"/>
          <w:highlight w:val="none"/>
        </w:rPr>
      </w:pPr>
    </w:p>
    <w:p w14:paraId="58F62060">
      <w:pPr>
        <w:widowControl/>
        <w:wordWrap w:val="0"/>
        <w:snapToGrid w:val="0"/>
        <w:spacing w:line="460" w:lineRule="exact"/>
        <w:ind w:firstLine="720" w:firstLineChars="300"/>
        <w:jc w:val="left"/>
        <w:rPr>
          <w:rFonts w:ascii="宋体" w:hAnsi="宋体" w:cs="宋体"/>
          <w:b/>
          <w:bCs/>
          <w:kern w:val="0"/>
          <w:sz w:val="24"/>
          <w:highlight w:val="none"/>
        </w:rPr>
      </w:pPr>
      <w:r>
        <w:rPr>
          <w:rFonts w:hint="eastAsia" w:ascii="宋体" w:hAnsi="宋体" w:cs="宋体"/>
          <w:bCs/>
          <w:kern w:val="0"/>
          <w:sz w:val="24"/>
          <w:highlight w:val="none"/>
        </w:rPr>
        <w:t>致：</w:t>
      </w:r>
      <w:r>
        <w:rPr>
          <w:rFonts w:hint="eastAsia" w:ascii="宋体" w:hAnsi="宋体" w:cs="宋体"/>
          <w:bCs/>
          <w:kern w:val="0"/>
          <w:sz w:val="24"/>
          <w:highlight w:val="none"/>
          <w:u w:val="single"/>
          <w:lang w:val="en-US" w:eastAsia="zh-CN"/>
        </w:rPr>
        <w:t xml:space="preserve">驻马店市中心医院 </w:t>
      </w:r>
    </w:p>
    <w:p w14:paraId="1D1AD65E">
      <w:pPr>
        <w:widowControl/>
        <w:wordWrap w:val="0"/>
        <w:snapToGrid w:val="0"/>
        <w:spacing w:line="460" w:lineRule="exact"/>
        <w:ind w:firstLine="720" w:firstLineChars="300"/>
        <w:jc w:val="left"/>
        <w:rPr>
          <w:rFonts w:ascii="宋体" w:hAnsi="宋体" w:cs="宋体"/>
          <w:kern w:val="0"/>
          <w:sz w:val="24"/>
          <w:highlight w:val="none"/>
        </w:rPr>
      </w:pPr>
      <w:r>
        <w:rPr>
          <w:rFonts w:hint="eastAsia" w:ascii="宋体" w:hAnsi="宋体" w:cs="宋体"/>
          <w:kern w:val="0"/>
          <w:sz w:val="24"/>
          <w:highlight w:val="none"/>
        </w:rPr>
        <w:t>我</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rPr>
        <w:t>（姓名）系</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rPr>
        <w:t>（供应商名称）的法定代表人，现委托</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rPr>
        <w:t xml:space="preserve"> （姓名）为我方代理人。代理人根据本授权，以我方的名义参加</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rPr>
        <w:t>项目的投标活动，并代表我方全权办理针对上述项目的磋商、开标、评审、签约等具体事务和签署相关文件。</w:t>
      </w:r>
    </w:p>
    <w:p w14:paraId="2451589A">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我方对代理人的签名负全部责任。在撤销授权的书面通知以前，本授权书一直有效。代理人在授权书有效期内签署的所有文件不因授权的撤销而失效。</w:t>
      </w:r>
    </w:p>
    <w:p w14:paraId="180378ED">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如果本次采购活动现场变更采购方式，本授权书有效。</w:t>
      </w:r>
    </w:p>
    <w:p w14:paraId="14A59119">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代理人无转委托权。</w:t>
      </w:r>
    </w:p>
    <w:p w14:paraId="7EE04D9E">
      <w:pPr>
        <w:widowControl/>
        <w:wordWrap w:val="0"/>
        <w:snapToGrid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委托期限：</w:t>
      </w:r>
    </w:p>
    <w:p w14:paraId="4C885028">
      <w:pPr>
        <w:widowControl/>
        <w:wordWrap w:val="0"/>
        <w:snapToGrid w:val="0"/>
        <w:spacing w:line="460" w:lineRule="exact"/>
        <w:ind w:firstLine="480" w:firstLineChars="200"/>
        <w:jc w:val="left"/>
        <w:rPr>
          <w:rFonts w:ascii="宋体" w:hAnsi="宋体" w:cs="宋体"/>
          <w:kern w:val="0"/>
          <w:sz w:val="24"/>
          <w:highlight w:val="none"/>
        </w:rPr>
      </w:pPr>
    </w:p>
    <w:p w14:paraId="79B4CAB4">
      <w:pPr>
        <w:widowControl/>
        <w:wordWrap w:val="0"/>
        <w:snapToGrid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委托代理人签名：             法定代表人签名或盖章：</w:t>
      </w:r>
    </w:p>
    <w:p w14:paraId="204EEA83">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4A5E8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7EBCB3D5">
            <w:pPr>
              <w:widowControl/>
              <w:spacing w:line="480" w:lineRule="exact"/>
              <w:ind w:firstLine="480"/>
              <w:jc w:val="left"/>
              <w:rPr>
                <w:rFonts w:ascii="宋体" w:hAnsi="宋体" w:cs="宋体"/>
                <w:kern w:val="0"/>
                <w:sz w:val="24"/>
                <w:highlight w:val="none"/>
              </w:rPr>
            </w:pPr>
            <w:r>
              <w:rPr>
                <w:rFonts w:hint="eastAsia" w:ascii="宋体" w:hAnsi="宋体" w:cs="宋体"/>
                <w:bCs/>
                <w:kern w:val="0"/>
                <w:sz w:val="24"/>
                <w:highlight w:val="none"/>
              </w:rPr>
              <w:t>此处请粘贴</w:t>
            </w:r>
            <w:r>
              <w:rPr>
                <w:rFonts w:hint="eastAsia" w:ascii="宋体" w:hAnsi="宋体" w:cs="宋体"/>
                <w:kern w:val="0"/>
                <w:sz w:val="24"/>
                <w:highlight w:val="none"/>
              </w:rPr>
              <w:t>委托代理人</w:t>
            </w:r>
            <w:r>
              <w:rPr>
                <w:rFonts w:hint="eastAsia" w:ascii="宋体" w:hAnsi="宋体" w:cs="宋体"/>
                <w:bCs/>
                <w:kern w:val="0"/>
                <w:sz w:val="24"/>
                <w:highlight w:val="none"/>
              </w:rPr>
              <w:t>身份证复印件</w:t>
            </w:r>
          </w:p>
        </w:tc>
      </w:tr>
    </w:tbl>
    <w:p w14:paraId="59FBA3DB">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委托代理人身份证号码：</w:t>
      </w:r>
    </w:p>
    <w:p w14:paraId="039BAFBA">
      <w:pPr>
        <w:widowControl/>
        <w:wordWrap w:val="0"/>
        <w:spacing w:line="460" w:lineRule="exact"/>
        <w:ind w:firstLine="4800" w:firstLineChars="2000"/>
        <w:jc w:val="left"/>
        <w:rPr>
          <w:rFonts w:ascii="宋体" w:hAnsi="宋体" w:cs="宋体"/>
          <w:kern w:val="0"/>
          <w:sz w:val="24"/>
          <w:highlight w:val="none"/>
        </w:rPr>
      </w:pPr>
    </w:p>
    <w:p w14:paraId="77CAACC6">
      <w:pPr>
        <w:widowControl/>
        <w:wordWrap w:val="0"/>
        <w:spacing w:line="360" w:lineRule="auto"/>
        <w:ind w:firstLine="480"/>
        <w:jc w:val="center"/>
        <w:rPr>
          <w:rFonts w:ascii="宋体" w:hAnsi="宋体" w:cs="宋体"/>
          <w:kern w:val="0"/>
          <w:sz w:val="24"/>
          <w:highlight w:val="none"/>
        </w:rPr>
      </w:pPr>
    </w:p>
    <w:p w14:paraId="4FF4C48D">
      <w:pPr>
        <w:widowControl/>
        <w:wordWrap w:val="0"/>
        <w:spacing w:line="360" w:lineRule="auto"/>
        <w:ind w:firstLine="480"/>
        <w:jc w:val="right"/>
        <w:rPr>
          <w:rFonts w:ascii="宋体" w:hAnsi="宋体" w:cs="宋体"/>
          <w:kern w:val="0"/>
          <w:sz w:val="24"/>
          <w:highlight w:val="none"/>
        </w:rPr>
      </w:pPr>
    </w:p>
    <w:p w14:paraId="67AE8239">
      <w:pPr>
        <w:widowControl/>
        <w:wordWrap w:val="0"/>
        <w:spacing w:line="360" w:lineRule="auto"/>
        <w:ind w:firstLine="480"/>
        <w:jc w:val="right"/>
        <w:rPr>
          <w:rFonts w:ascii="宋体" w:hAnsi="宋体" w:cs="宋体"/>
          <w:kern w:val="0"/>
          <w:sz w:val="24"/>
          <w:highlight w:val="none"/>
        </w:rPr>
      </w:pPr>
    </w:p>
    <w:p w14:paraId="38FD181F">
      <w:pPr>
        <w:widowControl/>
        <w:wordWrap w:val="0"/>
        <w:spacing w:line="360" w:lineRule="auto"/>
        <w:ind w:firstLine="480"/>
        <w:jc w:val="right"/>
        <w:rPr>
          <w:rFonts w:ascii="宋体" w:hAnsi="宋体" w:cs="宋体"/>
          <w:kern w:val="0"/>
          <w:sz w:val="24"/>
          <w:highlight w:val="none"/>
        </w:rPr>
      </w:pPr>
    </w:p>
    <w:p w14:paraId="7D321224">
      <w:pPr>
        <w:widowControl/>
        <w:wordWrap w:val="0"/>
        <w:spacing w:line="360" w:lineRule="auto"/>
        <w:ind w:firstLine="480"/>
        <w:jc w:val="right"/>
        <w:rPr>
          <w:rFonts w:ascii="宋体" w:hAnsi="宋体" w:cs="宋体"/>
          <w:kern w:val="0"/>
          <w:sz w:val="24"/>
          <w:highlight w:val="none"/>
        </w:rPr>
      </w:pPr>
    </w:p>
    <w:p w14:paraId="51B02E43">
      <w:pPr>
        <w:widowControl/>
        <w:wordWrap w:val="0"/>
        <w:spacing w:line="360" w:lineRule="auto"/>
        <w:ind w:firstLine="480"/>
        <w:jc w:val="right"/>
        <w:rPr>
          <w:rFonts w:ascii="宋体" w:hAnsi="宋体" w:cs="宋体"/>
          <w:kern w:val="0"/>
          <w:sz w:val="24"/>
          <w:highlight w:val="none"/>
        </w:rPr>
      </w:pPr>
    </w:p>
    <w:p w14:paraId="5E8EEC0C">
      <w:pPr>
        <w:widowControl/>
        <w:spacing w:line="360" w:lineRule="auto"/>
        <w:ind w:firstLine="480"/>
        <w:jc w:val="center"/>
        <w:rPr>
          <w:rFonts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rPr>
        <w:t>（全称并加盖公章）</w:t>
      </w:r>
    </w:p>
    <w:p w14:paraId="3870E6DA">
      <w:pPr>
        <w:widowControl/>
        <w:wordWrap w:val="0"/>
        <w:spacing w:line="460" w:lineRule="exact"/>
        <w:ind w:firstLine="3840" w:firstLineChars="1600"/>
        <w:jc w:val="left"/>
        <w:rPr>
          <w:rFonts w:ascii="宋体" w:hAnsi="宋体" w:cs="宋体"/>
          <w:b/>
          <w:kern w:val="0"/>
          <w:sz w:val="32"/>
          <w:szCs w:val="32"/>
          <w:highlight w:val="none"/>
        </w:rPr>
      </w:pPr>
      <w:r>
        <w:rPr>
          <w:rFonts w:hint="eastAsia" w:ascii="宋体" w:hAnsi="宋体" w:cs="宋体"/>
          <w:kern w:val="0"/>
          <w:sz w:val="24"/>
          <w:highlight w:val="none"/>
        </w:rPr>
        <w:t>年    月    日</w:t>
      </w:r>
    </w:p>
    <w:p w14:paraId="21CFC803">
      <w:pPr>
        <w:widowControl/>
        <w:spacing w:line="360" w:lineRule="auto"/>
        <w:ind w:firstLine="7228" w:firstLineChars="2250"/>
        <w:jc w:val="left"/>
        <w:rPr>
          <w:rFonts w:ascii="宋体" w:hAnsi="宋体" w:cs="宋体"/>
          <w:b/>
          <w:kern w:val="0"/>
          <w:sz w:val="32"/>
          <w:szCs w:val="32"/>
          <w:highlight w:val="none"/>
        </w:rPr>
      </w:pPr>
    </w:p>
    <w:p w14:paraId="4F4D4144">
      <w:pPr>
        <w:ind w:firstLine="643"/>
        <w:rPr>
          <w:rFonts w:ascii="宋体" w:hAnsi="宋体" w:cs="宋体"/>
          <w:b/>
          <w:kern w:val="0"/>
          <w:sz w:val="32"/>
          <w:szCs w:val="32"/>
          <w:highlight w:val="none"/>
        </w:rPr>
      </w:pPr>
      <w:r>
        <w:rPr>
          <w:rFonts w:hint="eastAsia" w:ascii="宋体" w:hAnsi="宋体" w:cs="宋体"/>
          <w:b/>
          <w:kern w:val="0"/>
          <w:sz w:val="32"/>
          <w:szCs w:val="32"/>
          <w:highlight w:val="none"/>
        </w:rPr>
        <w:br w:type="page"/>
      </w:r>
    </w:p>
    <w:p w14:paraId="73BD5669">
      <w:pPr>
        <w:pStyle w:val="8"/>
        <w:rPr>
          <w:rFonts w:hint="eastAsia" w:asciiTheme="minorEastAsia" w:hAnsiTheme="minorEastAsia" w:eastAsiaTheme="minorEastAsia" w:cstheme="minorEastAsia"/>
          <w:sz w:val="28"/>
          <w:szCs w:val="28"/>
          <w:highlight w:val="none"/>
        </w:rPr>
      </w:pPr>
      <w:bookmarkStart w:id="79" w:name="_Toc24693"/>
      <w:bookmarkStart w:id="80" w:name="_Toc18105"/>
      <w:bookmarkStart w:id="81" w:name="_Toc3342"/>
      <w:r>
        <w:rPr>
          <w:rFonts w:hint="eastAsia" w:asciiTheme="minorEastAsia" w:hAnsiTheme="minorEastAsia" w:eastAsiaTheme="minorEastAsia" w:cstheme="minorEastAsia"/>
          <w:sz w:val="28"/>
          <w:szCs w:val="28"/>
          <w:highlight w:val="none"/>
        </w:rPr>
        <w:t>附件8                证明文件</w:t>
      </w:r>
      <w:bookmarkEnd w:id="79"/>
      <w:bookmarkEnd w:id="80"/>
      <w:bookmarkEnd w:id="81"/>
    </w:p>
    <w:p w14:paraId="5E3841E5">
      <w:pPr>
        <w:pStyle w:val="13"/>
        <w:spacing w:beforeAutospacing="0" w:afterAutospacing="0" w:line="480" w:lineRule="auto"/>
        <w:ind w:firstLine="472" w:firstLineChars="224"/>
        <w:jc w:val="both"/>
        <w:rPr>
          <w:b/>
          <w:sz w:val="21"/>
          <w:szCs w:val="21"/>
          <w:highlight w:val="none"/>
        </w:rPr>
      </w:pPr>
      <w:bookmarkStart w:id="82" w:name="_Toc17966"/>
    </w:p>
    <w:p w14:paraId="5DA47D70">
      <w:pPr>
        <w:pStyle w:val="13"/>
        <w:spacing w:beforeAutospacing="0" w:afterAutospacing="0" w:line="480" w:lineRule="auto"/>
        <w:ind w:firstLine="495" w:firstLineChars="224"/>
        <w:jc w:val="both"/>
        <w:rPr>
          <w:b/>
          <w:sz w:val="22"/>
          <w:highlight w:val="none"/>
        </w:rPr>
      </w:pPr>
      <w:r>
        <w:rPr>
          <w:rFonts w:hint="eastAsia"/>
          <w:b/>
          <w:sz w:val="22"/>
          <w:highlight w:val="none"/>
        </w:rPr>
        <w:t>8.1供应商资格审查证明材料</w:t>
      </w:r>
    </w:p>
    <w:p w14:paraId="69395316">
      <w:pPr>
        <w:pStyle w:val="22"/>
        <w:ind w:firstLine="400"/>
        <w:rPr>
          <w:sz w:val="20"/>
          <w:highlight w:val="none"/>
        </w:rPr>
      </w:pPr>
    </w:p>
    <w:p w14:paraId="0CED40A4">
      <w:pPr>
        <w:pStyle w:val="22"/>
        <w:ind w:firstLine="400"/>
        <w:rPr>
          <w:sz w:val="20"/>
          <w:highlight w:val="none"/>
        </w:rPr>
      </w:pPr>
    </w:p>
    <w:p w14:paraId="1FAC64E4">
      <w:pPr>
        <w:pStyle w:val="13"/>
        <w:spacing w:beforeAutospacing="0" w:afterAutospacing="0" w:line="480" w:lineRule="auto"/>
        <w:ind w:firstLine="495" w:firstLineChars="224"/>
        <w:jc w:val="both"/>
        <w:rPr>
          <w:b/>
          <w:sz w:val="22"/>
          <w:highlight w:val="none"/>
        </w:rPr>
      </w:pPr>
      <w:r>
        <w:rPr>
          <w:rFonts w:hint="eastAsia"/>
          <w:b/>
          <w:sz w:val="22"/>
          <w:highlight w:val="none"/>
        </w:rPr>
        <w:t>8.2针对“第二章 采购需求  二、服务技术要求”</w:t>
      </w:r>
      <w:r>
        <w:rPr>
          <w:rFonts w:hint="eastAsia"/>
          <w:b/>
          <w:bCs/>
          <w:sz w:val="22"/>
          <w:highlight w:val="none"/>
        </w:rPr>
        <w:t>应需提供的证明材料</w:t>
      </w:r>
    </w:p>
    <w:p w14:paraId="30C408BC">
      <w:pPr>
        <w:pStyle w:val="13"/>
        <w:spacing w:beforeAutospacing="0" w:afterAutospacing="0" w:line="480" w:lineRule="auto"/>
        <w:ind w:firstLine="495" w:firstLineChars="224"/>
        <w:jc w:val="both"/>
        <w:rPr>
          <w:b/>
          <w:sz w:val="22"/>
          <w:highlight w:val="none"/>
        </w:rPr>
      </w:pPr>
    </w:p>
    <w:p w14:paraId="4AC705AA">
      <w:pPr>
        <w:pStyle w:val="13"/>
        <w:spacing w:beforeAutospacing="0" w:afterAutospacing="0" w:line="480" w:lineRule="auto"/>
        <w:ind w:firstLine="495" w:firstLineChars="224"/>
        <w:jc w:val="both"/>
        <w:rPr>
          <w:b/>
          <w:sz w:val="22"/>
          <w:highlight w:val="none"/>
        </w:rPr>
      </w:pPr>
    </w:p>
    <w:p w14:paraId="1E1C68DF">
      <w:pPr>
        <w:pStyle w:val="13"/>
        <w:spacing w:beforeAutospacing="0" w:afterAutospacing="0" w:line="480" w:lineRule="auto"/>
        <w:ind w:firstLine="495" w:firstLineChars="224"/>
        <w:jc w:val="both"/>
        <w:rPr>
          <w:b/>
          <w:sz w:val="22"/>
          <w:highlight w:val="none"/>
        </w:rPr>
      </w:pPr>
      <w:r>
        <w:rPr>
          <w:rFonts w:hint="eastAsia"/>
          <w:b/>
          <w:sz w:val="22"/>
          <w:highlight w:val="none"/>
        </w:rPr>
        <w:t>8.3评分标准中需提供的证明材料</w:t>
      </w:r>
    </w:p>
    <w:p w14:paraId="0C81AA59">
      <w:pPr>
        <w:pStyle w:val="13"/>
        <w:spacing w:beforeAutospacing="0" w:afterAutospacing="0" w:line="480" w:lineRule="auto"/>
        <w:ind w:firstLine="540" w:firstLineChars="224"/>
        <w:jc w:val="both"/>
        <w:rPr>
          <w:b/>
          <w:bCs/>
          <w:highlight w:val="none"/>
        </w:rPr>
      </w:pPr>
    </w:p>
    <w:p w14:paraId="7DAB9D98">
      <w:pPr>
        <w:pStyle w:val="13"/>
        <w:spacing w:beforeAutospacing="0" w:afterAutospacing="0" w:line="480" w:lineRule="auto"/>
        <w:ind w:firstLine="540" w:firstLineChars="224"/>
        <w:jc w:val="both"/>
        <w:rPr>
          <w:b/>
          <w:bCs/>
          <w:highlight w:val="none"/>
        </w:rPr>
      </w:pPr>
    </w:p>
    <w:p w14:paraId="35C66855">
      <w:pPr>
        <w:pStyle w:val="13"/>
        <w:spacing w:beforeAutospacing="0" w:afterAutospacing="0" w:line="480" w:lineRule="auto"/>
        <w:ind w:firstLine="540" w:firstLineChars="224"/>
        <w:jc w:val="both"/>
        <w:rPr>
          <w:b/>
          <w:bCs/>
          <w:highlight w:val="none"/>
        </w:rPr>
      </w:pPr>
      <w:r>
        <w:rPr>
          <w:rFonts w:hint="eastAsia"/>
          <w:b/>
          <w:bCs/>
          <w:highlight w:val="none"/>
        </w:rPr>
        <w:t>8.4</w:t>
      </w:r>
      <w:r>
        <w:rPr>
          <w:rFonts w:hint="eastAsia"/>
          <w:b/>
          <w:sz w:val="22"/>
          <w:szCs w:val="22"/>
          <w:highlight w:val="none"/>
        </w:rPr>
        <w:t>供应商认为其他应提供的证明材料</w:t>
      </w:r>
    </w:p>
    <w:p w14:paraId="33F0D5D4">
      <w:pPr>
        <w:pStyle w:val="13"/>
        <w:spacing w:beforeAutospacing="0" w:afterAutospacing="0" w:line="480" w:lineRule="auto"/>
        <w:ind w:firstLine="540" w:firstLineChars="224"/>
        <w:jc w:val="both"/>
        <w:rPr>
          <w:b/>
          <w:bCs/>
          <w:highlight w:val="none"/>
        </w:rPr>
      </w:pPr>
    </w:p>
    <w:p w14:paraId="0B2C823B">
      <w:pPr>
        <w:pStyle w:val="13"/>
        <w:spacing w:beforeAutospacing="0" w:afterAutospacing="0" w:line="480" w:lineRule="auto"/>
        <w:ind w:firstLine="540" w:firstLineChars="224"/>
        <w:jc w:val="both"/>
        <w:rPr>
          <w:b/>
          <w:bCs/>
          <w:highlight w:val="none"/>
        </w:rPr>
      </w:pPr>
    </w:p>
    <w:p w14:paraId="657823E5">
      <w:pPr>
        <w:pStyle w:val="13"/>
        <w:spacing w:beforeAutospacing="0" w:afterAutospacing="0" w:line="480" w:lineRule="auto"/>
        <w:ind w:firstLine="540" w:firstLineChars="224"/>
        <w:jc w:val="both"/>
        <w:rPr>
          <w:b/>
          <w:bCs/>
          <w:highlight w:val="none"/>
        </w:rPr>
      </w:pPr>
    </w:p>
    <w:p w14:paraId="2CB575DC">
      <w:pPr>
        <w:pStyle w:val="13"/>
        <w:spacing w:beforeAutospacing="0" w:afterAutospacing="0" w:line="480" w:lineRule="auto"/>
        <w:ind w:firstLine="540" w:firstLineChars="224"/>
        <w:jc w:val="both"/>
        <w:rPr>
          <w:b/>
          <w:bCs/>
          <w:highlight w:val="none"/>
        </w:rPr>
      </w:pPr>
    </w:p>
    <w:p w14:paraId="6AE14E28">
      <w:pPr>
        <w:pStyle w:val="13"/>
        <w:spacing w:beforeAutospacing="0" w:afterAutospacing="0" w:line="480" w:lineRule="auto"/>
        <w:ind w:firstLine="540" w:firstLineChars="224"/>
        <w:jc w:val="both"/>
        <w:rPr>
          <w:b/>
          <w:bCs/>
          <w:highlight w:val="none"/>
        </w:rPr>
      </w:pPr>
    </w:p>
    <w:p w14:paraId="30CD1C54">
      <w:pPr>
        <w:pStyle w:val="13"/>
        <w:spacing w:beforeAutospacing="0" w:afterAutospacing="0" w:line="480" w:lineRule="auto"/>
        <w:ind w:firstLine="540" w:firstLineChars="224"/>
        <w:jc w:val="both"/>
        <w:rPr>
          <w:b/>
          <w:bCs/>
          <w:highlight w:val="none"/>
        </w:rPr>
      </w:pPr>
    </w:p>
    <w:p w14:paraId="75E09E35">
      <w:pPr>
        <w:pStyle w:val="13"/>
        <w:spacing w:beforeAutospacing="0" w:afterAutospacing="0" w:line="480" w:lineRule="auto"/>
        <w:ind w:firstLine="540" w:firstLineChars="224"/>
        <w:jc w:val="both"/>
        <w:rPr>
          <w:b/>
          <w:bCs/>
          <w:highlight w:val="none"/>
        </w:rPr>
      </w:pPr>
    </w:p>
    <w:p w14:paraId="6A4AB3D8">
      <w:pPr>
        <w:pStyle w:val="13"/>
        <w:spacing w:beforeAutospacing="0" w:afterAutospacing="0" w:line="480" w:lineRule="auto"/>
        <w:ind w:firstLine="540" w:firstLineChars="224"/>
        <w:jc w:val="both"/>
        <w:rPr>
          <w:b/>
          <w:bCs/>
          <w:highlight w:val="none"/>
        </w:rPr>
      </w:pPr>
    </w:p>
    <w:bookmarkEnd w:id="82"/>
    <w:p w14:paraId="512F6C30">
      <w:pPr>
        <w:pStyle w:val="13"/>
        <w:spacing w:beforeAutospacing="0" w:afterAutospacing="0" w:line="480" w:lineRule="auto"/>
        <w:ind w:firstLine="540" w:firstLineChars="224"/>
        <w:jc w:val="both"/>
        <w:rPr>
          <w:b/>
          <w:bCs/>
          <w:highlight w:val="none"/>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681CD">
    <w:pPr>
      <w:pStyle w:val="23"/>
      <w:pBdr>
        <w:top w:val="single" w:color="auto" w:sz="4" w:space="1"/>
      </w:pBdr>
      <w:jc w:val="both"/>
    </w:pPr>
    <w:r>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Ot32AzaAQAAswMAAA4AAABkcnMvZTJvRG9jLnhtbK1TS27bMBDd&#10;F+gdCO5rySoSGILpoIWRokDRFkh7AJqiLAL8gUNb8gWaG2TVTfc5l8+RISU5RbrJohtphjN8M+/N&#10;cH0zGE2OMoByltHloqREWuEaZfeM/vxx+25FCURuG66dlYyeJNCbzds3697XsnKd040MBEEs1L1n&#10;tIvR10UBopOGw8J5aTHYumB4RDfsiybwHtGNLqqyvC56FxofnJAAeLodg3RCDK8BdG2rhNw6cTDS&#10;xhE1SM0jUoJOeaCb3G3bShG/tS3ISDSjyDTmLxZBe5e+xWbN633gvlNiaoG/poUXnAxXFoteoLY8&#10;cnII6h8oo0Rw4Nq4EM4UI5GsCLJYli+0ueu4l5kLSg3+Ijr8P1jx9fg9ENUwWlFiucGBnx/uz78f&#10;z39+kWVZXSWFeg81Jt55TI3DRzfg3szngIeJ+NAGk/5IiWAc9T1d9JVDJCJdWlWrVYkhgbHZQfzi&#10;+boPED9JZ0gyGA04wKwrP36BOKbOKamadbdK6zxEbUnP6PX7qzJfuEQQXNuUK/M6TDCJ0th6suKw&#10;GyaeO9eckGaPK8GoxRdAif5sUfG0PbMRZmM3Gwcf1L7Djpe5OvgPh4i95ZZThREWqSYHZ5lJT3uX&#10;luVvP2c9v7XN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nDNi/TAAAABgEAAA8AAAAAAAAAAQAg&#10;AAAAIgAAAGRycy9kb3ducmV2LnhtbFBLAQIUABQAAAAIAIdO4kDrd9gM2gEAALMDAAAOAAAAAAAA&#10;AAEAIAAAACIBAABkcnMvZTJvRG9jLnhtbFBLBQYAAAAABgAGAFkBAABuBQAAAAA=&#10;">
          <v:path/>
          <v:fill on="f" focussize="0,0"/>
          <v:stroke on="f" weight="0.5pt" joinstyle="miter"/>
          <v:imagedata o:title=""/>
          <o:lock v:ext="edit"/>
          <v:textbox inset="0mm,0mm,0mm,0mm" style="mso-fit-shape-to-text:t;">
            <w:txbxContent>
              <w:p w14:paraId="448CF345">
                <w:pPr>
                  <w:pStyle w:val="23"/>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64DB9">
    <w:pPr>
      <w:pStyle w:val="23"/>
      <w:pBdr>
        <w:top w:val="single" w:color="auto" w:sz="4" w:space="1"/>
      </w:pBdr>
      <w:jc w:val="both"/>
    </w:pPr>
    <w:r>
      <w:pict>
        <v:shape id="文本框 1026" o:spid="_x0000_s1027"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Cz9e9lvwEAAIIDAAAOAAAAZHJzL2Uyb0RvYy54bWytU0tu2zAQ&#10;3RfoHQjua8pGkAaC5QCBkSBA0BRIewCaIi0C/IFDW/IFmht01U33PZfP0SElu2m6yaIbajgzfDPv&#10;zWh5PVhD9jKC9q6h81lFiXTCt9ptG/r1y+2HK0ogcddy451s6EECvV69f7fsQy0XvvOmlZEgiIO6&#10;Dw3tUgo1YyA6aTnMfJAOg8pHyxNe45a1kfeIbg1bVNUl631sQ/RCAqB3PQbphBjfAuiV0kKuvdhZ&#10;6dKIGqXhCSlBpwPQVelWKSnSo1IgEzENRaapnFgE7U0+2WrJ623kodNiaoG/pYVXnCzXDoueodY8&#10;cbKL+h8oq0X04FWaCW/ZSKQogizm1SttnjoeZOGCUkM4iw7/D1Z82n+ORLe4CZQ4bnHgx+/Pxx+/&#10;jj+/kXm1uMwK9QFqTHwKmJqGGz/k7MkP6MzEBxVt/iIlgnHU93DWVw6JiPzo4uLjFUYEhhYVXor+&#10;7M/jECHdSW9JNhoacXxFVb5/gIQFMfWUkms5f6uNKSM07i8HJo4eWXZgep15jP1mKw2bYSKx8e0B&#10;uZl7h9LmNTkZ8WRsTsYuRL3tsLmiAMtAOJrS2rRGefYv72i//HV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X2aas1AAAAAQBAAAPAAAAAAAAAAEAIAAAACIAAABkcnMvZG93bnJldi54bWxQSwEC&#10;FAAUAAAACACHTuJAs/XvZb8BAACCAwAADgAAAAAAAAABACAAAAAjAQAAZHJzL2Uyb0RvYy54bWxQ&#10;SwUGAAAAAAYABgBZAQAAVAUAAAAA&#10;">
          <v:path/>
          <v:fill on="f" focussize="0,0"/>
          <v:stroke on="f" joinstyle="miter"/>
          <v:imagedata o:title=""/>
          <o:lock v:ext="edit"/>
          <v:textbox inset="0mm,0mm,0mm,0mm">
            <w:txbxContent>
              <w:p w14:paraId="63A820A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22</w:t>
                </w:r>
                <w:r>
                  <w:rPr>
                    <w:rFonts w:hint="eastAsia" w:ascii="宋体" w:hAnsi="宋体" w:cs="宋体"/>
                  </w:rPr>
                  <w:fldChar w:fldCharType="end"/>
                </w:r>
              </w:p>
            </w:txbxContent>
          </v:textbox>
        </v:shape>
      </w:pict>
    </w:r>
  </w:p>
  <w:p w14:paraId="3135E025">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8050E">
    <w:pPr>
      <w:snapToGrid w:val="0"/>
      <w:spacing w:line="324" w:lineRule="auto"/>
      <w:ind w:firstLine="420" w:firstLineChars="2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319"/>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UxZTMwNmMyMDcwMThhNDM2NzZhZjYxYzY5Y2VkNzQifQ=="/>
  </w:docVars>
  <w:rsids>
    <w:rsidRoot w:val="00172A27"/>
    <w:rsid w:val="00000AB1"/>
    <w:rsid w:val="00000E51"/>
    <w:rsid w:val="00001783"/>
    <w:rsid w:val="00002A62"/>
    <w:rsid w:val="000034B0"/>
    <w:rsid w:val="00003688"/>
    <w:rsid w:val="000036EC"/>
    <w:rsid w:val="00006414"/>
    <w:rsid w:val="00006E01"/>
    <w:rsid w:val="000070D2"/>
    <w:rsid w:val="00011BEB"/>
    <w:rsid w:val="00012F90"/>
    <w:rsid w:val="000134E8"/>
    <w:rsid w:val="000165C3"/>
    <w:rsid w:val="00017230"/>
    <w:rsid w:val="00017BD5"/>
    <w:rsid w:val="00020C53"/>
    <w:rsid w:val="00021C37"/>
    <w:rsid w:val="000224F7"/>
    <w:rsid w:val="00022E51"/>
    <w:rsid w:val="00024627"/>
    <w:rsid w:val="0002491A"/>
    <w:rsid w:val="000262D7"/>
    <w:rsid w:val="00026368"/>
    <w:rsid w:val="00026467"/>
    <w:rsid w:val="0002667F"/>
    <w:rsid w:val="00026B79"/>
    <w:rsid w:val="000272B2"/>
    <w:rsid w:val="00030CFB"/>
    <w:rsid w:val="00031431"/>
    <w:rsid w:val="00033E1F"/>
    <w:rsid w:val="00034451"/>
    <w:rsid w:val="00034F10"/>
    <w:rsid w:val="00035692"/>
    <w:rsid w:val="00036275"/>
    <w:rsid w:val="00037EC8"/>
    <w:rsid w:val="00040E94"/>
    <w:rsid w:val="00040F14"/>
    <w:rsid w:val="00043DD5"/>
    <w:rsid w:val="0004437B"/>
    <w:rsid w:val="0005061A"/>
    <w:rsid w:val="000521E5"/>
    <w:rsid w:val="00054185"/>
    <w:rsid w:val="00054740"/>
    <w:rsid w:val="00055707"/>
    <w:rsid w:val="0005650A"/>
    <w:rsid w:val="00057843"/>
    <w:rsid w:val="00057904"/>
    <w:rsid w:val="00061862"/>
    <w:rsid w:val="00064977"/>
    <w:rsid w:val="000658B2"/>
    <w:rsid w:val="00065EFE"/>
    <w:rsid w:val="00067398"/>
    <w:rsid w:val="000678CF"/>
    <w:rsid w:val="00067EA4"/>
    <w:rsid w:val="00073455"/>
    <w:rsid w:val="000757DD"/>
    <w:rsid w:val="000763E2"/>
    <w:rsid w:val="000771AB"/>
    <w:rsid w:val="0007730A"/>
    <w:rsid w:val="00080E88"/>
    <w:rsid w:val="000828BF"/>
    <w:rsid w:val="00082E68"/>
    <w:rsid w:val="00082F1F"/>
    <w:rsid w:val="0008472B"/>
    <w:rsid w:val="00084866"/>
    <w:rsid w:val="00084D2B"/>
    <w:rsid w:val="00085B27"/>
    <w:rsid w:val="00085F92"/>
    <w:rsid w:val="00087C68"/>
    <w:rsid w:val="000910D5"/>
    <w:rsid w:val="0009148A"/>
    <w:rsid w:val="00091777"/>
    <w:rsid w:val="00092B31"/>
    <w:rsid w:val="00097532"/>
    <w:rsid w:val="00097E42"/>
    <w:rsid w:val="000A0B1B"/>
    <w:rsid w:val="000A126A"/>
    <w:rsid w:val="000A16B7"/>
    <w:rsid w:val="000A4B66"/>
    <w:rsid w:val="000A5E29"/>
    <w:rsid w:val="000A7088"/>
    <w:rsid w:val="000A78F6"/>
    <w:rsid w:val="000B0240"/>
    <w:rsid w:val="000B1BAF"/>
    <w:rsid w:val="000B3671"/>
    <w:rsid w:val="000B58B6"/>
    <w:rsid w:val="000B6531"/>
    <w:rsid w:val="000B772E"/>
    <w:rsid w:val="000C0F01"/>
    <w:rsid w:val="000C43E1"/>
    <w:rsid w:val="000C5DC7"/>
    <w:rsid w:val="000C5F74"/>
    <w:rsid w:val="000C6026"/>
    <w:rsid w:val="000C6342"/>
    <w:rsid w:val="000C6986"/>
    <w:rsid w:val="000C6F01"/>
    <w:rsid w:val="000C73C9"/>
    <w:rsid w:val="000D0D98"/>
    <w:rsid w:val="000D1FB4"/>
    <w:rsid w:val="000D2906"/>
    <w:rsid w:val="000D44AD"/>
    <w:rsid w:val="000D700F"/>
    <w:rsid w:val="000D720F"/>
    <w:rsid w:val="000D72E6"/>
    <w:rsid w:val="000E0F91"/>
    <w:rsid w:val="000E252C"/>
    <w:rsid w:val="000E5095"/>
    <w:rsid w:val="000E619B"/>
    <w:rsid w:val="000E6B87"/>
    <w:rsid w:val="000E6D3C"/>
    <w:rsid w:val="000E7320"/>
    <w:rsid w:val="000F035B"/>
    <w:rsid w:val="000F0C99"/>
    <w:rsid w:val="000F2100"/>
    <w:rsid w:val="000F38BF"/>
    <w:rsid w:val="000F48B5"/>
    <w:rsid w:val="000F613E"/>
    <w:rsid w:val="000F685E"/>
    <w:rsid w:val="000F760E"/>
    <w:rsid w:val="00100393"/>
    <w:rsid w:val="001032D9"/>
    <w:rsid w:val="00104521"/>
    <w:rsid w:val="001068B2"/>
    <w:rsid w:val="00110444"/>
    <w:rsid w:val="00110E95"/>
    <w:rsid w:val="0011253B"/>
    <w:rsid w:val="001139C0"/>
    <w:rsid w:val="0011410E"/>
    <w:rsid w:val="0011452C"/>
    <w:rsid w:val="001159E0"/>
    <w:rsid w:val="00117A8A"/>
    <w:rsid w:val="00121774"/>
    <w:rsid w:val="00121A13"/>
    <w:rsid w:val="00122AE5"/>
    <w:rsid w:val="00123CC3"/>
    <w:rsid w:val="00127E77"/>
    <w:rsid w:val="0013119C"/>
    <w:rsid w:val="001312F9"/>
    <w:rsid w:val="001317E8"/>
    <w:rsid w:val="00131DD7"/>
    <w:rsid w:val="0013574E"/>
    <w:rsid w:val="001369A8"/>
    <w:rsid w:val="00136EAF"/>
    <w:rsid w:val="00141198"/>
    <w:rsid w:val="001415A9"/>
    <w:rsid w:val="00141C52"/>
    <w:rsid w:val="0014434B"/>
    <w:rsid w:val="00144591"/>
    <w:rsid w:val="001450DC"/>
    <w:rsid w:val="00145792"/>
    <w:rsid w:val="001464A2"/>
    <w:rsid w:val="00147FC2"/>
    <w:rsid w:val="00150F19"/>
    <w:rsid w:val="0015192E"/>
    <w:rsid w:val="00151D92"/>
    <w:rsid w:val="00153449"/>
    <w:rsid w:val="0015397F"/>
    <w:rsid w:val="0015540A"/>
    <w:rsid w:val="00155B84"/>
    <w:rsid w:val="00160D41"/>
    <w:rsid w:val="00161142"/>
    <w:rsid w:val="001613AE"/>
    <w:rsid w:val="0016181E"/>
    <w:rsid w:val="00162EA5"/>
    <w:rsid w:val="001630D8"/>
    <w:rsid w:val="001636E7"/>
    <w:rsid w:val="00163DB4"/>
    <w:rsid w:val="001641C5"/>
    <w:rsid w:val="001642CE"/>
    <w:rsid w:val="001656CE"/>
    <w:rsid w:val="00166218"/>
    <w:rsid w:val="001666F6"/>
    <w:rsid w:val="00166B7C"/>
    <w:rsid w:val="001670DD"/>
    <w:rsid w:val="00170402"/>
    <w:rsid w:val="00170488"/>
    <w:rsid w:val="00171081"/>
    <w:rsid w:val="00171DC4"/>
    <w:rsid w:val="00172A27"/>
    <w:rsid w:val="001743D2"/>
    <w:rsid w:val="00175383"/>
    <w:rsid w:val="001756D5"/>
    <w:rsid w:val="00175E52"/>
    <w:rsid w:val="00176116"/>
    <w:rsid w:val="00176541"/>
    <w:rsid w:val="00177086"/>
    <w:rsid w:val="00177AD1"/>
    <w:rsid w:val="00177B8C"/>
    <w:rsid w:val="001809B6"/>
    <w:rsid w:val="00180A78"/>
    <w:rsid w:val="00181303"/>
    <w:rsid w:val="0018222D"/>
    <w:rsid w:val="0018227E"/>
    <w:rsid w:val="00183B61"/>
    <w:rsid w:val="00184196"/>
    <w:rsid w:val="001866AC"/>
    <w:rsid w:val="00190212"/>
    <w:rsid w:val="001929CA"/>
    <w:rsid w:val="00192E94"/>
    <w:rsid w:val="00193782"/>
    <w:rsid w:val="00194C91"/>
    <w:rsid w:val="001A1E1C"/>
    <w:rsid w:val="001A1F77"/>
    <w:rsid w:val="001A2CD9"/>
    <w:rsid w:val="001A2ED8"/>
    <w:rsid w:val="001A3C34"/>
    <w:rsid w:val="001A56C1"/>
    <w:rsid w:val="001A6057"/>
    <w:rsid w:val="001A63D5"/>
    <w:rsid w:val="001A7FFD"/>
    <w:rsid w:val="001B03E7"/>
    <w:rsid w:val="001B14FE"/>
    <w:rsid w:val="001B17D7"/>
    <w:rsid w:val="001B4D8E"/>
    <w:rsid w:val="001B6482"/>
    <w:rsid w:val="001B6FFC"/>
    <w:rsid w:val="001B74AE"/>
    <w:rsid w:val="001C08A9"/>
    <w:rsid w:val="001C0E0A"/>
    <w:rsid w:val="001C150B"/>
    <w:rsid w:val="001C1C8B"/>
    <w:rsid w:val="001D0E22"/>
    <w:rsid w:val="001D0FF7"/>
    <w:rsid w:val="001D1E9E"/>
    <w:rsid w:val="001D414F"/>
    <w:rsid w:val="001D4D3C"/>
    <w:rsid w:val="001D784A"/>
    <w:rsid w:val="001D7D80"/>
    <w:rsid w:val="001E1034"/>
    <w:rsid w:val="001E3399"/>
    <w:rsid w:val="001E3C11"/>
    <w:rsid w:val="001E3D17"/>
    <w:rsid w:val="001E50E4"/>
    <w:rsid w:val="001E682B"/>
    <w:rsid w:val="001F4DBD"/>
    <w:rsid w:val="001F4F1E"/>
    <w:rsid w:val="001F52D5"/>
    <w:rsid w:val="001F5536"/>
    <w:rsid w:val="001F60F4"/>
    <w:rsid w:val="001F636E"/>
    <w:rsid w:val="001F79C5"/>
    <w:rsid w:val="002009B1"/>
    <w:rsid w:val="00203225"/>
    <w:rsid w:val="0020523C"/>
    <w:rsid w:val="002067D5"/>
    <w:rsid w:val="00207653"/>
    <w:rsid w:val="0021089D"/>
    <w:rsid w:val="00211B74"/>
    <w:rsid w:val="00213CF6"/>
    <w:rsid w:val="00214403"/>
    <w:rsid w:val="00214B34"/>
    <w:rsid w:val="0021505B"/>
    <w:rsid w:val="00216B61"/>
    <w:rsid w:val="0022026F"/>
    <w:rsid w:val="00220AD5"/>
    <w:rsid w:val="0022103B"/>
    <w:rsid w:val="002219DC"/>
    <w:rsid w:val="00221F14"/>
    <w:rsid w:val="00221F7D"/>
    <w:rsid w:val="00225928"/>
    <w:rsid w:val="002313AD"/>
    <w:rsid w:val="00231F56"/>
    <w:rsid w:val="00232B10"/>
    <w:rsid w:val="00234020"/>
    <w:rsid w:val="002355B8"/>
    <w:rsid w:val="00235D34"/>
    <w:rsid w:val="00237EB0"/>
    <w:rsid w:val="0024066E"/>
    <w:rsid w:val="0024068F"/>
    <w:rsid w:val="00243986"/>
    <w:rsid w:val="00243C82"/>
    <w:rsid w:val="0024618D"/>
    <w:rsid w:val="002476D8"/>
    <w:rsid w:val="00255BE1"/>
    <w:rsid w:val="00260868"/>
    <w:rsid w:val="002613AA"/>
    <w:rsid w:val="002727E2"/>
    <w:rsid w:val="00274A88"/>
    <w:rsid w:val="00275597"/>
    <w:rsid w:val="00275760"/>
    <w:rsid w:val="002818DD"/>
    <w:rsid w:val="00281F28"/>
    <w:rsid w:val="00282007"/>
    <w:rsid w:val="002832A8"/>
    <w:rsid w:val="00286921"/>
    <w:rsid w:val="0028704B"/>
    <w:rsid w:val="002905EB"/>
    <w:rsid w:val="0029070D"/>
    <w:rsid w:val="002912E9"/>
    <w:rsid w:val="0029170B"/>
    <w:rsid w:val="00291D17"/>
    <w:rsid w:val="002936CA"/>
    <w:rsid w:val="002977D4"/>
    <w:rsid w:val="00297DDD"/>
    <w:rsid w:val="002A19CE"/>
    <w:rsid w:val="002A25FA"/>
    <w:rsid w:val="002A5685"/>
    <w:rsid w:val="002A6EF5"/>
    <w:rsid w:val="002B0A49"/>
    <w:rsid w:val="002B151E"/>
    <w:rsid w:val="002B1A70"/>
    <w:rsid w:val="002B1F8A"/>
    <w:rsid w:val="002B21DB"/>
    <w:rsid w:val="002B2A18"/>
    <w:rsid w:val="002B2FF2"/>
    <w:rsid w:val="002B39C1"/>
    <w:rsid w:val="002B4688"/>
    <w:rsid w:val="002B59AF"/>
    <w:rsid w:val="002B6028"/>
    <w:rsid w:val="002B6EEC"/>
    <w:rsid w:val="002C318F"/>
    <w:rsid w:val="002C39FA"/>
    <w:rsid w:val="002C524D"/>
    <w:rsid w:val="002C59F0"/>
    <w:rsid w:val="002D1344"/>
    <w:rsid w:val="002D2704"/>
    <w:rsid w:val="002D28E7"/>
    <w:rsid w:val="002D38D8"/>
    <w:rsid w:val="002D429F"/>
    <w:rsid w:val="002D485D"/>
    <w:rsid w:val="002D5AB8"/>
    <w:rsid w:val="002D694B"/>
    <w:rsid w:val="002D700F"/>
    <w:rsid w:val="002D7301"/>
    <w:rsid w:val="002D76D9"/>
    <w:rsid w:val="002D7928"/>
    <w:rsid w:val="002E0BB5"/>
    <w:rsid w:val="002E132A"/>
    <w:rsid w:val="002E1ECA"/>
    <w:rsid w:val="002E1ED0"/>
    <w:rsid w:val="002E62DB"/>
    <w:rsid w:val="002F0B3C"/>
    <w:rsid w:val="002F0CC5"/>
    <w:rsid w:val="002F2EA3"/>
    <w:rsid w:val="002F3912"/>
    <w:rsid w:val="002F4484"/>
    <w:rsid w:val="002F4F94"/>
    <w:rsid w:val="002F52A8"/>
    <w:rsid w:val="002F74DF"/>
    <w:rsid w:val="0030109F"/>
    <w:rsid w:val="003011E2"/>
    <w:rsid w:val="00302165"/>
    <w:rsid w:val="00302195"/>
    <w:rsid w:val="00302A40"/>
    <w:rsid w:val="00302D67"/>
    <w:rsid w:val="00304980"/>
    <w:rsid w:val="003053B5"/>
    <w:rsid w:val="00305925"/>
    <w:rsid w:val="003103AD"/>
    <w:rsid w:val="00311B9A"/>
    <w:rsid w:val="003130CF"/>
    <w:rsid w:val="003146CA"/>
    <w:rsid w:val="00321BAA"/>
    <w:rsid w:val="003229B6"/>
    <w:rsid w:val="003251B4"/>
    <w:rsid w:val="0032794F"/>
    <w:rsid w:val="003337C7"/>
    <w:rsid w:val="00333A21"/>
    <w:rsid w:val="00333A29"/>
    <w:rsid w:val="0033503C"/>
    <w:rsid w:val="003362C5"/>
    <w:rsid w:val="00336964"/>
    <w:rsid w:val="003401DD"/>
    <w:rsid w:val="003404CE"/>
    <w:rsid w:val="0034106D"/>
    <w:rsid w:val="00344D4E"/>
    <w:rsid w:val="00347C22"/>
    <w:rsid w:val="003506C4"/>
    <w:rsid w:val="003534C9"/>
    <w:rsid w:val="00353F83"/>
    <w:rsid w:val="0035484D"/>
    <w:rsid w:val="003559F8"/>
    <w:rsid w:val="00356B57"/>
    <w:rsid w:val="00360373"/>
    <w:rsid w:val="003634AB"/>
    <w:rsid w:val="00365120"/>
    <w:rsid w:val="00365C49"/>
    <w:rsid w:val="00365DBF"/>
    <w:rsid w:val="00367A12"/>
    <w:rsid w:val="00367C34"/>
    <w:rsid w:val="00371352"/>
    <w:rsid w:val="003714B6"/>
    <w:rsid w:val="00372444"/>
    <w:rsid w:val="00373382"/>
    <w:rsid w:val="00373CD1"/>
    <w:rsid w:val="0037426D"/>
    <w:rsid w:val="00374559"/>
    <w:rsid w:val="0037549E"/>
    <w:rsid w:val="00375CA4"/>
    <w:rsid w:val="0037721E"/>
    <w:rsid w:val="00377591"/>
    <w:rsid w:val="00380986"/>
    <w:rsid w:val="003812C3"/>
    <w:rsid w:val="00382A6A"/>
    <w:rsid w:val="00382D18"/>
    <w:rsid w:val="00382F26"/>
    <w:rsid w:val="00383107"/>
    <w:rsid w:val="0038356F"/>
    <w:rsid w:val="00383C51"/>
    <w:rsid w:val="003849B3"/>
    <w:rsid w:val="0038547B"/>
    <w:rsid w:val="00386F28"/>
    <w:rsid w:val="00387799"/>
    <w:rsid w:val="00390347"/>
    <w:rsid w:val="0039067A"/>
    <w:rsid w:val="0039106F"/>
    <w:rsid w:val="00391146"/>
    <w:rsid w:val="00391737"/>
    <w:rsid w:val="00392964"/>
    <w:rsid w:val="0039368B"/>
    <w:rsid w:val="0039495F"/>
    <w:rsid w:val="00394D38"/>
    <w:rsid w:val="003962AF"/>
    <w:rsid w:val="00396D48"/>
    <w:rsid w:val="003A03F9"/>
    <w:rsid w:val="003A3A14"/>
    <w:rsid w:val="003A56C5"/>
    <w:rsid w:val="003A73B3"/>
    <w:rsid w:val="003B004D"/>
    <w:rsid w:val="003B0180"/>
    <w:rsid w:val="003B06C0"/>
    <w:rsid w:val="003B06EB"/>
    <w:rsid w:val="003B12F8"/>
    <w:rsid w:val="003B16B4"/>
    <w:rsid w:val="003B21E0"/>
    <w:rsid w:val="003B2FDA"/>
    <w:rsid w:val="003B419B"/>
    <w:rsid w:val="003B5DD4"/>
    <w:rsid w:val="003B61DA"/>
    <w:rsid w:val="003C09CC"/>
    <w:rsid w:val="003C2BD8"/>
    <w:rsid w:val="003C3687"/>
    <w:rsid w:val="003C36EF"/>
    <w:rsid w:val="003C3EB1"/>
    <w:rsid w:val="003C5883"/>
    <w:rsid w:val="003C6839"/>
    <w:rsid w:val="003C7404"/>
    <w:rsid w:val="003D1F44"/>
    <w:rsid w:val="003D2173"/>
    <w:rsid w:val="003D31F6"/>
    <w:rsid w:val="003D3D59"/>
    <w:rsid w:val="003D3EAB"/>
    <w:rsid w:val="003D4648"/>
    <w:rsid w:val="003D48A8"/>
    <w:rsid w:val="003D5DB0"/>
    <w:rsid w:val="003E1179"/>
    <w:rsid w:val="003E1FE2"/>
    <w:rsid w:val="003E2410"/>
    <w:rsid w:val="003E35BE"/>
    <w:rsid w:val="003E7078"/>
    <w:rsid w:val="003F23A1"/>
    <w:rsid w:val="003F35EF"/>
    <w:rsid w:val="003F3AED"/>
    <w:rsid w:val="003F4368"/>
    <w:rsid w:val="003F4BE5"/>
    <w:rsid w:val="003F5E68"/>
    <w:rsid w:val="003F63CA"/>
    <w:rsid w:val="003F6C54"/>
    <w:rsid w:val="004027D6"/>
    <w:rsid w:val="00405888"/>
    <w:rsid w:val="0040755F"/>
    <w:rsid w:val="00407F61"/>
    <w:rsid w:val="00410C32"/>
    <w:rsid w:val="00411E91"/>
    <w:rsid w:val="00415A9F"/>
    <w:rsid w:val="00416BEF"/>
    <w:rsid w:val="00420790"/>
    <w:rsid w:val="004212E9"/>
    <w:rsid w:val="004217D4"/>
    <w:rsid w:val="00421D27"/>
    <w:rsid w:val="00425B8B"/>
    <w:rsid w:val="004261E2"/>
    <w:rsid w:val="004266B1"/>
    <w:rsid w:val="00427060"/>
    <w:rsid w:val="0043058E"/>
    <w:rsid w:val="0043216D"/>
    <w:rsid w:val="00433FD1"/>
    <w:rsid w:val="00434748"/>
    <w:rsid w:val="00435566"/>
    <w:rsid w:val="0043672E"/>
    <w:rsid w:val="00437299"/>
    <w:rsid w:val="00437B50"/>
    <w:rsid w:val="00443D6D"/>
    <w:rsid w:val="00444877"/>
    <w:rsid w:val="00444A2F"/>
    <w:rsid w:val="00445196"/>
    <w:rsid w:val="00446D88"/>
    <w:rsid w:val="0044728E"/>
    <w:rsid w:val="00450723"/>
    <w:rsid w:val="0045184C"/>
    <w:rsid w:val="00454DD9"/>
    <w:rsid w:val="00455B43"/>
    <w:rsid w:val="004564BA"/>
    <w:rsid w:val="00457E4B"/>
    <w:rsid w:val="00457F9B"/>
    <w:rsid w:val="00460C29"/>
    <w:rsid w:val="00460C96"/>
    <w:rsid w:val="0046208D"/>
    <w:rsid w:val="00462411"/>
    <w:rsid w:val="0046307F"/>
    <w:rsid w:val="004634EB"/>
    <w:rsid w:val="004637BF"/>
    <w:rsid w:val="004638C7"/>
    <w:rsid w:val="00464EC0"/>
    <w:rsid w:val="0046606F"/>
    <w:rsid w:val="00467458"/>
    <w:rsid w:val="004674EE"/>
    <w:rsid w:val="00467CD8"/>
    <w:rsid w:val="00467DBB"/>
    <w:rsid w:val="00471877"/>
    <w:rsid w:val="00474C5C"/>
    <w:rsid w:val="0047545B"/>
    <w:rsid w:val="00476D4F"/>
    <w:rsid w:val="00477033"/>
    <w:rsid w:val="00477339"/>
    <w:rsid w:val="004807EA"/>
    <w:rsid w:val="00481BE4"/>
    <w:rsid w:val="00481D95"/>
    <w:rsid w:val="00482A00"/>
    <w:rsid w:val="00483DEE"/>
    <w:rsid w:val="00483F46"/>
    <w:rsid w:val="004840F2"/>
    <w:rsid w:val="00484433"/>
    <w:rsid w:val="004860CE"/>
    <w:rsid w:val="00486CE9"/>
    <w:rsid w:val="0048719B"/>
    <w:rsid w:val="00487965"/>
    <w:rsid w:val="00490823"/>
    <w:rsid w:val="0049159F"/>
    <w:rsid w:val="00491CFF"/>
    <w:rsid w:val="004921A7"/>
    <w:rsid w:val="00494A79"/>
    <w:rsid w:val="00494AE3"/>
    <w:rsid w:val="004950AA"/>
    <w:rsid w:val="004950E6"/>
    <w:rsid w:val="004967B9"/>
    <w:rsid w:val="004A2DC2"/>
    <w:rsid w:val="004A3ED1"/>
    <w:rsid w:val="004A43CD"/>
    <w:rsid w:val="004A56AA"/>
    <w:rsid w:val="004A596D"/>
    <w:rsid w:val="004B0865"/>
    <w:rsid w:val="004B0DC2"/>
    <w:rsid w:val="004B1068"/>
    <w:rsid w:val="004B3872"/>
    <w:rsid w:val="004B479D"/>
    <w:rsid w:val="004B6CE6"/>
    <w:rsid w:val="004C38CC"/>
    <w:rsid w:val="004C595C"/>
    <w:rsid w:val="004C598F"/>
    <w:rsid w:val="004C5CED"/>
    <w:rsid w:val="004C6D19"/>
    <w:rsid w:val="004D09EE"/>
    <w:rsid w:val="004D16DB"/>
    <w:rsid w:val="004D5FCF"/>
    <w:rsid w:val="004D751C"/>
    <w:rsid w:val="004D7B42"/>
    <w:rsid w:val="004E0502"/>
    <w:rsid w:val="004E37F2"/>
    <w:rsid w:val="004E63E9"/>
    <w:rsid w:val="004E7F23"/>
    <w:rsid w:val="004F0462"/>
    <w:rsid w:val="004F0829"/>
    <w:rsid w:val="004F10AB"/>
    <w:rsid w:val="004F26C4"/>
    <w:rsid w:val="004F345F"/>
    <w:rsid w:val="004F367E"/>
    <w:rsid w:val="004F38AE"/>
    <w:rsid w:val="004F4334"/>
    <w:rsid w:val="004F4D12"/>
    <w:rsid w:val="0050229C"/>
    <w:rsid w:val="00503E97"/>
    <w:rsid w:val="005068C0"/>
    <w:rsid w:val="00507911"/>
    <w:rsid w:val="005104D9"/>
    <w:rsid w:val="00512A1F"/>
    <w:rsid w:val="00513806"/>
    <w:rsid w:val="00517971"/>
    <w:rsid w:val="00521606"/>
    <w:rsid w:val="005226EE"/>
    <w:rsid w:val="00524147"/>
    <w:rsid w:val="00524AC7"/>
    <w:rsid w:val="00525D5A"/>
    <w:rsid w:val="0052705E"/>
    <w:rsid w:val="00527303"/>
    <w:rsid w:val="00527323"/>
    <w:rsid w:val="005303BE"/>
    <w:rsid w:val="00530CA6"/>
    <w:rsid w:val="00531A15"/>
    <w:rsid w:val="005346C6"/>
    <w:rsid w:val="00534FA4"/>
    <w:rsid w:val="00536761"/>
    <w:rsid w:val="00541266"/>
    <w:rsid w:val="00543694"/>
    <w:rsid w:val="00543DB8"/>
    <w:rsid w:val="00544D76"/>
    <w:rsid w:val="00545EBC"/>
    <w:rsid w:val="00552CFD"/>
    <w:rsid w:val="005537EC"/>
    <w:rsid w:val="00560012"/>
    <w:rsid w:val="0056071D"/>
    <w:rsid w:val="00561DC8"/>
    <w:rsid w:val="00563D1E"/>
    <w:rsid w:val="00563FCD"/>
    <w:rsid w:val="00567B6D"/>
    <w:rsid w:val="00570BC1"/>
    <w:rsid w:val="00570BE1"/>
    <w:rsid w:val="005713EB"/>
    <w:rsid w:val="005714DD"/>
    <w:rsid w:val="0057221A"/>
    <w:rsid w:val="00574F1C"/>
    <w:rsid w:val="00575874"/>
    <w:rsid w:val="00576E4E"/>
    <w:rsid w:val="00577008"/>
    <w:rsid w:val="005770C8"/>
    <w:rsid w:val="0058387C"/>
    <w:rsid w:val="00583F9C"/>
    <w:rsid w:val="005860F6"/>
    <w:rsid w:val="00586111"/>
    <w:rsid w:val="005867C0"/>
    <w:rsid w:val="00586B69"/>
    <w:rsid w:val="00587007"/>
    <w:rsid w:val="005871CC"/>
    <w:rsid w:val="005916D7"/>
    <w:rsid w:val="005920D4"/>
    <w:rsid w:val="00592A6D"/>
    <w:rsid w:val="005946C4"/>
    <w:rsid w:val="00595847"/>
    <w:rsid w:val="005967AC"/>
    <w:rsid w:val="00596F66"/>
    <w:rsid w:val="005A0722"/>
    <w:rsid w:val="005A15B6"/>
    <w:rsid w:val="005A466D"/>
    <w:rsid w:val="005A7B7D"/>
    <w:rsid w:val="005B1953"/>
    <w:rsid w:val="005B1D93"/>
    <w:rsid w:val="005B3737"/>
    <w:rsid w:val="005B38FA"/>
    <w:rsid w:val="005B61DC"/>
    <w:rsid w:val="005B6847"/>
    <w:rsid w:val="005B6CFA"/>
    <w:rsid w:val="005B79B6"/>
    <w:rsid w:val="005C11E9"/>
    <w:rsid w:val="005C3148"/>
    <w:rsid w:val="005C332C"/>
    <w:rsid w:val="005C4E2D"/>
    <w:rsid w:val="005C511F"/>
    <w:rsid w:val="005C6B44"/>
    <w:rsid w:val="005C7F75"/>
    <w:rsid w:val="005D0E36"/>
    <w:rsid w:val="005D1C21"/>
    <w:rsid w:val="005D3447"/>
    <w:rsid w:val="005D368B"/>
    <w:rsid w:val="005D3B26"/>
    <w:rsid w:val="005D5624"/>
    <w:rsid w:val="005D5C32"/>
    <w:rsid w:val="005D6997"/>
    <w:rsid w:val="005D788B"/>
    <w:rsid w:val="005D7A7D"/>
    <w:rsid w:val="005D7CD8"/>
    <w:rsid w:val="005E1A51"/>
    <w:rsid w:val="005E1D47"/>
    <w:rsid w:val="005E2D6C"/>
    <w:rsid w:val="005E531D"/>
    <w:rsid w:val="005F0F8A"/>
    <w:rsid w:val="005F182B"/>
    <w:rsid w:val="005F1896"/>
    <w:rsid w:val="005F73CD"/>
    <w:rsid w:val="00600486"/>
    <w:rsid w:val="006026D1"/>
    <w:rsid w:val="006026DE"/>
    <w:rsid w:val="00602F12"/>
    <w:rsid w:val="00603856"/>
    <w:rsid w:val="00605665"/>
    <w:rsid w:val="00606A63"/>
    <w:rsid w:val="00606FB3"/>
    <w:rsid w:val="006101F4"/>
    <w:rsid w:val="00611848"/>
    <w:rsid w:val="00612DAD"/>
    <w:rsid w:val="006134B6"/>
    <w:rsid w:val="00615547"/>
    <w:rsid w:val="0061568B"/>
    <w:rsid w:val="006172B1"/>
    <w:rsid w:val="0062103C"/>
    <w:rsid w:val="00621F9D"/>
    <w:rsid w:val="00622261"/>
    <w:rsid w:val="0062301A"/>
    <w:rsid w:val="00623B19"/>
    <w:rsid w:val="00623E63"/>
    <w:rsid w:val="006246AF"/>
    <w:rsid w:val="00627850"/>
    <w:rsid w:val="00627DC7"/>
    <w:rsid w:val="00630BAF"/>
    <w:rsid w:val="00632751"/>
    <w:rsid w:val="00633657"/>
    <w:rsid w:val="00633CAE"/>
    <w:rsid w:val="00635EE7"/>
    <w:rsid w:val="00640403"/>
    <w:rsid w:val="0064065D"/>
    <w:rsid w:val="00641EC7"/>
    <w:rsid w:val="00643CF6"/>
    <w:rsid w:val="006449C9"/>
    <w:rsid w:val="0064622C"/>
    <w:rsid w:val="0064748F"/>
    <w:rsid w:val="0064772A"/>
    <w:rsid w:val="006506F3"/>
    <w:rsid w:val="006527BA"/>
    <w:rsid w:val="00654D3A"/>
    <w:rsid w:val="00657186"/>
    <w:rsid w:val="00657B85"/>
    <w:rsid w:val="00661C98"/>
    <w:rsid w:val="00662038"/>
    <w:rsid w:val="00662944"/>
    <w:rsid w:val="00662F1B"/>
    <w:rsid w:val="006635F6"/>
    <w:rsid w:val="00663912"/>
    <w:rsid w:val="00665B74"/>
    <w:rsid w:val="006661AC"/>
    <w:rsid w:val="00666E46"/>
    <w:rsid w:val="00666F5D"/>
    <w:rsid w:val="00671982"/>
    <w:rsid w:val="006733F1"/>
    <w:rsid w:val="0067406D"/>
    <w:rsid w:val="00674B7B"/>
    <w:rsid w:val="006774B7"/>
    <w:rsid w:val="00681340"/>
    <w:rsid w:val="00681E00"/>
    <w:rsid w:val="00681EFA"/>
    <w:rsid w:val="00683BD4"/>
    <w:rsid w:val="00684504"/>
    <w:rsid w:val="006901E3"/>
    <w:rsid w:val="006925B8"/>
    <w:rsid w:val="00693D1E"/>
    <w:rsid w:val="00694E40"/>
    <w:rsid w:val="00695469"/>
    <w:rsid w:val="006973BE"/>
    <w:rsid w:val="006978E1"/>
    <w:rsid w:val="006A0E79"/>
    <w:rsid w:val="006A3FAF"/>
    <w:rsid w:val="006A4AD0"/>
    <w:rsid w:val="006A53C0"/>
    <w:rsid w:val="006A5EC9"/>
    <w:rsid w:val="006A6BE3"/>
    <w:rsid w:val="006A6C58"/>
    <w:rsid w:val="006A6CA0"/>
    <w:rsid w:val="006B0BA3"/>
    <w:rsid w:val="006B3507"/>
    <w:rsid w:val="006B4389"/>
    <w:rsid w:val="006B4580"/>
    <w:rsid w:val="006B6276"/>
    <w:rsid w:val="006C1808"/>
    <w:rsid w:val="006C1AC3"/>
    <w:rsid w:val="006C1D0F"/>
    <w:rsid w:val="006C32E3"/>
    <w:rsid w:val="006C3381"/>
    <w:rsid w:val="006C3F8D"/>
    <w:rsid w:val="006C5145"/>
    <w:rsid w:val="006C5741"/>
    <w:rsid w:val="006C5895"/>
    <w:rsid w:val="006C63F2"/>
    <w:rsid w:val="006C7A22"/>
    <w:rsid w:val="006D078E"/>
    <w:rsid w:val="006D1DE8"/>
    <w:rsid w:val="006D23F4"/>
    <w:rsid w:val="006D2422"/>
    <w:rsid w:val="006D2754"/>
    <w:rsid w:val="006D5953"/>
    <w:rsid w:val="006D6F88"/>
    <w:rsid w:val="006E01C7"/>
    <w:rsid w:val="006E0E89"/>
    <w:rsid w:val="006E17FA"/>
    <w:rsid w:val="006E211C"/>
    <w:rsid w:val="006E29B1"/>
    <w:rsid w:val="006E3D12"/>
    <w:rsid w:val="006E3F7B"/>
    <w:rsid w:val="006E54C7"/>
    <w:rsid w:val="006E596B"/>
    <w:rsid w:val="006E7834"/>
    <w:rsid w:val="006F04DA"/>
    <w:rsid w:val="006F1887"/>
    <w:rsid w:val="006F2533"/>
    <w:rsid w:val="006F3630"/>
    <w:rsid w:val="006F36C9"/>
    <w:rsid w:val="006F3FF8"/>
    <w:rsid w:val="006F5EBB"/>
    <w:rsid w:val="006F625F"/>
    <w:rsid w:val="006F6D76"/>
    <w:rsid w:val="00700968"/>
    <w:rsid w:val="007014F4"/>
    <w:rsid w:val="00704336"/>
    <w:rsid w:val="00705377"/>
    <w:rsid w:val="00706265"/>
    <w:rsid w:val="007076EB"/>
    <w:rsid w:val="0071025D"/>
    <w:rsid w:val="00713999"/>
    <w:rsid w:val="00715079"/>
    <w:rsid w:val="00715942"/>
    <w:rsid w:val="007169FB"/>
    <w:rsid w:val="00717B75"/>
    <w:rsid w:val="00717D28"/>
    <w:rsid w:val="00720430"/>
    <w:rsid w:val="007213BD"/>
    <w:rsid w:val="0072294E"/>
    <w:rsid w:val="00724894"/>
    <w:rsid w:val="0073362A"/>
    <w:rsid w:val="00733B3C"/>
    <w:rsid w:val="0073416C"/>
    <w:rsid w:val="007346EB"/>
    <w:rsid w:val="007349DB"/>
    <w:rsid w:val="00734BB4"/>
    <w:rsid w:val="00734E23"/>
    <w:rsid w:val="0073566B"/>
    <w:rsid w:val="007361D9"/>
    <w:rsid w:val="00736BAB"/>
    <w:rsid w:val="00736FE6"/>
    <w:rsid w:val="00742A39"/>
    <w:rsid w:val="00743A29"/>
    <w:rsid w:val="007442BF"/>
    <w:rsid w:val="007451B7"/>
    <w:rsid w:val="007454DB"/>
    <w:rsid w:val="007477B9"/>
    <w:rsid w:val="00752D80"/>
    <w:rsid w:val="007539E6"/>
    <w:rsid w:val="00753B1A"/>
    <w:rsid w:val="007549C9"/>
    <w:rsid w:val="0075506B"/>
    <w:rsid w:val="00755297"/>
    <w:rsid w:val="0075538E"/>
    <w:rsid w:val="00756A8B"/>
    <w:rsid w:val="00756D59"/>
    <w:rsid w:val="0076055A"/>
    <w:rsid w:val="00760F7C"/>
    <w:rsid w:val="00761380"/>
    <w:rsid w:val="00761984"/>
    <w:rsid w:val="007635C6"/>
    <w:rsid w:val="0076388D"/>
    <w:rsid w:val="00766067"/>
    <w:rsid w:val="00766B59"/>
    <w:rsid w:val="0076783A"/>
    <w:rsid w:val="00767EFA"/>
    <w:rsid w:val="00770296"/>
    <w:rsid w:val="0077380E"/>
    <w:rsid w:val="00776A44"/>
    <w:rsid w:val="00780946"/>
    <w:rsid w:val="00780B59"/>
    <w:rsid w:val="007819D5"/>
    <w:rsid w:val="00781F49"/>
    <w:rsid w:val="00782ABA"/>
    <w:rsid w:val="00784D17"/>
    <w:rsid w:val="007855DC"/>
    <w:rsid w:val="007860D6"/>
    <w:rsid w:val="00786DC8"/>
    <w:rsid w:val="00790D20"/>
    <w:rsid w:val="0079163E"/>
    <w:rsid w:val="00791A8C"/>
    <w:rsid w:val="00791C0A"/>
    <w:rsid w:val="00792549"/>
    <w:rsid w:val="00793671"/>
    <w:rsid w:val="00797DE8"/>
    <w:rsid w:val="007A0321"/>
    <w:rsid w:val="007A0A02"/>
    <w:rsid w:val="007A1ABC"/>
    <w:rsid w:val="007A1BDB"/>
    <w:rsid w:val="007A1E32"/>
    <w:rsid w:val="007A2048"/>
    <w:rsid w:val="007A393C"/>
    <w:rsid w:val="007A4505"/>
    <w:rsid w:val="007A54CA"/>
    <w:rsid w:val="007A7CCF"/>
    <w:rsid w:val="007B2EDA"/>
    <w:rsid w:val="007B5BF3"/>
    <w:rsid w:val="007B6B89"/>
    <w:rsid w:val="007C13DE"/>
    <w:rsid w:val="007C1D12"/>
    <w:rsid w:val="007C242C"/>
    <w:rsid w:val="007C27CB"/>
    <w:rsid w:val="007C353C"/>
    <w:rsid w:val="007C3EA2"/>
    <w:rsid w:val="007C69AD"/>
    <w:rsid w:val="007C72A0"/>
    <w:rsid w:val="007D12EA"/>
    <w:rsid w:val="007D1504"/>
    <w:rsid w:val="007D6590"/>
    <w:rsid w:val="007D7FE5"/>
    <w:rsid w:val="007E07D0"/>
    <w:rsid w:val="007E0DAC"/>
    <w:rsid w:val="007E14EB"/>
    <w:rsid w:val="007E17A3"/>
    <w:rsid w:val="007E2E98"/>
    <w:rsid w:val="007E52EB"/>
    <w:rsid w:val="007E5618"/>
    <w:rsid w:val="007E5F56"/>
    <w:rsid w:val="007E6644"/>
    <w:rsid w:val="007E69C5"/>
    <w:rsid w:val="007F0E44"/>
    <w:rsid w:val="007F0EC6"/>
    <w:rsid w:val="007F12B5"/>
    <w:rsid w:val="007F1A27"/>
    <w:rsid w:val="007F1ABB"/>
    <w:rsid w:val="007F1D3D"/>
    <w:rsid w:val="007F352E"/>
    <w:rsid w:val="007F370E"/>
    <w:rsid w:val="007F50E5"/>
    <w:rsid w:val="008018E2"/>
    <w:rsid w:val="00803A8F"/>
    <w:rsid w:val="00805C27"/>
    <w:rsid w:val="00805D18"/>
    <w:rsid w:val="00806F13"/>
    <w:rsid w:val="00807B83"/>
    <w:rsid w:val="0081025F"/>
    <w:rsid w:val="008104D7"/>
    <w:rsid w:val="0081331D"/>
    <w:rsid w:val="008140E1"/>
    <w:rsid w:val="008146D5"/>
    <w:rsid w:val="008147DA"/>
    <w:rsid w:val="00815884"/>
    <w:rsid w:val="0082101E"/>
    <w:rsid w:val="00821BBB"/>
    <w:rsid w:val="00821EAA"/>
    <w:rsid w:val="00822315"/>
    <w:rsid w:val="00823BC7"/>
    <w:rsid w:val="00826C87"/>
    <w:rsid w:val="00827FF5"/>
    <w:rsid w:val="008306BE"/>
    <w:rsid w:val="008307A1"/>
    <w:rsid w:val="00831534"/>
    <w:rsid w:val="00831ACF"/>
    <w:rsid w:val="00833E18"/>
    <w:rsid w:val="00834B99"/>
    <w:rsid w:val="00835896"/>
    <w:rsid w:val="00835D1B"/>
    <w:rsid w:val="008365BA"/>
    <w:rsid w:val="00836F89"/>
    <w:rsid w:val="0083708D"/>
    <w:rsid w:val="00837C0D"/>
    <w:rsid w:val="00842911"/>
    <w:rsid w:val="00844E75"/>
    <w:rsid w:val="00844FCA"/>
    <w:rsid w:val="0084536A"/>
    <w:rsid w:val="00846002"/>
    <w:rsid w:val="0084772E"/>
    <w:rsid w:val="008500F7"/>
    <w:rsid w:val="008509F0"/>
    <w:rsid w:val="00853390"/>
    <w:rsid w:val="00853408"/>
    <w:rsid w:val="008553A0"/>
    <w:rsid w:val="00857EC9"/>
    <w:rsid w:val="008603BD"/>
    <w:rsid w:val="00860E45"/>
    <w:rsid w:val="00862B84"/>
    <w:rsid w:val="008639A5"/>
    <w:rsid w:val="00864B24"/>
    <w:rsid w:val="00864B7C"/>
    <w:rsid w:val="00864F88"/>
    <w:rsid w:val="0086557E"/>
    <w:rsid w:val="008676F4"/>
    <w:rsid w:val="008717DC"/>
    <w:rsid w:val="008750C8"/>
    <w:rsid w:val="008757D7"/>
    <w:rsid w:val="00880AFB"/>
    <w:rsid w:val="0088168B"/>
    <w:rsid w:val="00881F4C"/>
    <w:rsid w:val="00882F21"/>
    <w:rsid w:val="008831D5"/>
    <w:rsid w:val="00883BDF"/>
    <w:rsid w:val="0088445C"/>
    <w:rsid w:val="008855FF"/>
    <w:rsid w:val="00885D72"/>
    <w:rsid w:val="008864FA"/>
    <w:rsid w:val="00890267"/>
    <w:rsid w:val="0089078E"/>
    <w:rsid w:val="00890958"/>
    <w:rsid w:val="00891D96"/>
    <w:rsid w:val="00892117"/>
    <w:rsid w:val="0089391E"/>
    <w:rsid w:val="008939FC"/>
    <w:rsid w:val="00893E5D"/>
    <w:rsid w:val="00896D40"/>
    <w:rsid w:val="008A10E8"/>
    <w:rsid w:val="008A115E"/>
    <w:rsid w:val="008A380B"/>
    <w:rsid w:val="008A4B1D"/>
    <w:rsid w:val="008A69F8"/>
    <w:rsid w:val="008A7033"/>
    <w:rsid w:val="008B0660"/>
    <w:rsid w:val="008B51F5"/>
    <w:rsid w:val="008B5432"/>
    <w:rsid w:val="008B5D0F"/>
    <w:rsid w:val="008B7B10"/>
    <w:rsid w:val="008B7FB1"/>
    <w:rsid w:val="008C2BC7"/>
    <w:rsid w:val="008C31FD"/>
    <w:rsid w:val="008C47EB"/>
    <w:rsid w:val="008C4BE6"/>
    <w:rsid w:val="008C53A8"/>
    <w:rsid w:val="008C698C"/>
    <w:rsid w:val="008C7324"/>
    <w:rsid w:val="008D2BEE"/>
    <w:rsid w:val="008D3384"/>
    <w:rsid w:val="008D3693"/>
    <w:rsid w:val="008D3956"/>
    <w:rsid w:val="008D64BC"/>
    <w:rsid w:val="008D70CD"/>
    <w:rsid w:val="008E0145"/>
    <w:rsid w:val="008E4585"/>
    <w:rsid w:val="008E5901"/>
    <w:rsid w:val="008F07E3"/>
    <w:rsid w:val="008F15BA"/>
    <w:rsid w:val="008F2CDA"/>
    <w:rsid w:val="008F5C57"/>
    <w:rsid w:val="008F5CF0"/>
    <w:rsid w:val="008F606B"/>
    <w:rsid w:val="009003BA"/>
    <w:rsid w:val="00900739"/>
    <w:rsid w:val="0090405D"/>
    <w:rsid w:val="00904FE1"/>
    <w:rsid w:val="009072BE"/>
    <w:rsid w:val="00912E3B"/>
    <w:rsid w:val="00912FF6"/>
    <w:rsid w:val="00914296"/>
    <w:rsid w:val="00914EED"/>
    <w:rsid w:val="00916FD0"/>
    <w:rsid w:val="009175CA"/>
    <w:rsid w:val="009224E0"/>
    <w:rsid w:val="00923589"/>
    <w:rsid w:val="00923C18"/>
    <w:rsid w:val="00924816"/>
    <w:rsid w:val="00925126"/>
    <w:rsid w:val="0092517F"/>
    <w:rsid w:val="0092688C"/>
    <w:rsid w:val="00927240"/>
    <w:rsid w:val="00930E42"/>
    <w:rsid w:val="009317EA"/>
    <w:rsid w:val="00931BD1"/>
    <w:rsid w:val="00934F7A"/>
    <w:rsid w:val="00937351"/>
    <w:rsid w:val="009404CE"/>
    <w:rsid w:val="00940EC0"/>
    <w:rsid w:val="00940F91"/>
    <w:rsid w:val="0094252B"/>
    <w:rsid w:val="00943475"/>
    <w:rsid w:val="0094548A"/>
    <w:rsid w:val="00947054"/>
    <w:rsid w:val="00947CF0"/>
    <w:rsid w:val="009503FF"/>
    <w:rsid w:val="00951B72"/>
    <w:rsid w:val="0095275E"/>
    <w:rsid w:val="00952958"/>
    <w:rsid w:val="009535DB"/>
    <w:rsid w:val="00955F1D"/>
    <w:rsid w:val="00960D8F"/>
    <w:rsid w:val="00961552"/>
    <w:rsid w:val="0096169A"/>
    <w:rsid w:val="009616B6"/>
    <w:rsid w:val="00961710"/>
    <w:rsid w:val="00961C05"/>
    <w:rsid w:val="00963049"/>
    <w:rsid w:val="009659CB"/>
    <w:rsid w:val="00966ECA"/>
    <w:rsid w:val="009677D1"/>
    <w:rsid w:val="00967B87"/>
    <w:rsid w:val="00970BD7"/>
    <w:rsid w:val="009717CE"/>
    <w:rsid w:val="00971EE8"/>
    <w:rsid w:val="009724B2"/>
    <w:rsid w:val="009729DE"/>
    <w:rsid w:val="00973278"/>
    <w:rsid w:val="009741D8"/>
    <w:rsid w:val="00975858"/>
    <w:rsid w:val="009768B9"/>
    <w:rsid w:val="0097722F"/>
    <w:rsid w:val="009808B9"/>
    <w:rsid w:val="00980E18"/>
    <w:rsid w:val="009814D9"/>
    <w:rsid w:val="00982151"/>
    <w:rsid w:val="00983771"/>
    <w:rsid w:val="0098410D"/>
    <w:rsid w:val="009859B9"/>
    <w:rsid w:val="00990484"/>
    <w:rsid w:val="00991ADF"/>
    <w:rsid w:val="009920DE"/>
    <w:rsid w:val="009923FC"/>
    <w:rsid w:val="00992F09"/>
    <w:rsid w:val="00994F97"/>
    <w:rsid w:val="00997337"/>
    <w:rsid w:val="00997918"/>
    <w:rsid w:val="009A0964"/>
    <w:rsid w:val="009A0F72"/>
    <w:rsid w:val="009A1744"/>
    <w:rsid w:val="009A1E3D"/>
    <w:rsid w:val="009A25B4"/>
    <w:rsid w:val="009A2A8E"/>
    <w:rsid w:val="009A541B"/>
    <w:rsid w:val="009A5F7D"/>
    <w:rsid w:val="009A6C70"/>
    <w:rsid w:val="009A7CF8"/>
    <w:rsid w:val="009A7E9D"/>
    <w:rsid w:val="009B2766"/>
    <w:rsid w:val="009B41D3"/>
    <w:rsid w:val="009B46DB"/>
    <w:rsid w:val="009B47DF"/>
    <w:rsid w:val="009C113C"/>
    <w:rsid w:val="009C263F"/>
    <w:rsid w:val="009C2AC3"/>
    <w:rsid w:val="009C3284"/>
    <w:rsid w:val="009C475B"/>
    <w:rsid w:val="009C491F"/>
    <w:rsid w:val="009C4A96"/>
    <w:rsid w:val="009C5323"/>
    <w:rsid w:val="009C55B8"/>
    <w:rsid w:val="009C78C9"/>
    <w:rsid w:val="009C7E8F"/>
    <w:rsid w:val="009D017B"/>
    <w:rsid w:val="009D01D7"/>
    <w:rsid w:val="009D0F10"/>
    <w:rsid w:val="009D2408"/>
    <w:rsid w:val="009D63E5"/>
    <w:rsid w:val="009D7201"/>
    <w:rsid w:val="009D7F59"/>
    <w:rsid w:val="009D7FA9"/>
    <w:rsid w:val="009E051C"/>
    <w:rsid w:val="009E0962"/>
    <w:rsid w:val="009E0C76"/>
    <w:rsid w:val="009E0FBD"/>
    <w:rsid w:val="009E1A71"/>
    <w:rsid w:val="009E620F"/>
    <w:rsid w:val="009E79A7"/>
    <w:rsid w:val="009E7CC4"/>
    <w:rsid w:val="009F07C2"/>
    <w:rsid w:val="009F2826"/>
    <w:rsid w:val="009F38E9"/>
    <w:rsid w:val="009F3BFA"/>
    <w:rsid w:val="009F484C"/>
    <w:rsid w:val="009F4B6A"/>
    <w:rsid w:val="009F4C0F"/>
    <w:rsid w:val="009F712F"/>
    <w:rsid w:val="009F754C"/>
    <w:rsid w:val="009F7DA4"/>
    <w:rsid w:val="00A00776"/>
    <w:rsid w:val="00A01800"/>
    <w:rsid w:val="00A02455"/>
    <w:rsid w:val="00A024E5"/>
    <w:rsid w:val="00A0403C"/>
    <w:rsid w:val="00A050BB"/>
    <w:rsid w:val="00A06B57"/>
    <w:rsid w:val="00A100AE"/>
    <w:rsid w:val="00A10EBC"/>
    <w:rsid w:val="00A14E61"/>
    <w:rsid w:val="00A15CEC"/>
    <w:rsid w:val="00A1620E"/>
    <w:rsid w:val="00A16ECE"/>
    <w:rsid w:val="00A17C7A"/>
    <w:rsid w:val="00A17F13"/>
    <w:rsid w:val="00A210ED"/>
    <w:rsid w:val="00A21E49"/>
    <w:rsid w:val="00A231F0"/>
    <w:rsid w:val="00A24F12"/>
    <w:rsid w:val="00A2511D"/>
    <w:rsid w:val="00A2615F"/>
    <w:rsid w:val="00A26755"/>
    <w:rsid w:val="00A279C9"/>
    <w:rsid w:val="00A32088"/>
    <w:rsid w:val="00A32F86"/>
    <w:rsid w:val="00A3420A"/>
    <w:rsid w:val="00A34848"/>
    <w:rsid w:val="00A34CF7"/>
    <w:rsid w:val="00A368DE"/>
    <w:rsid w:val="00A37A89"/>
    <w:rsid w:val="00A37F82"/>
    <w:rsid w:val="00A40B5F"/>
    <w:rsid w:val="00A40D02"/>
    <w:rsid w:val="00A41E21"/>
    <w:rsid w:val="00A41ECD"/>
    <w:rsid w:val="00A4599A"/>
    <w:rsid w:val="00A45C7A"/>
    <w:rsid w:val="00A47335"/>
    <w:rsid w:val="00A50607"/>
    <w:rsid w:val="00A50B75"/>
    <w:rsid w:val="00A514B4"/>
    <w:rsid w:val="00A52955"/>
    <w:rsid w:val="00A54D5F"/>
    <w:rsid w:val="00A55C8E"/>
    <w:rsid w:val="00A55D2D"/>
    <w:rsid w:val="00A56CCC"/>
    <w:rsid w:val="00A5712A"/>
    <w:rsid w:val="00A61F1C"/>
    <w:rsid w:val="00A62166"/>
    <w:rsid w:val="00A65A67"/>
    <w:rsid w:val="00A662D0"/>
    <w:rsid w:val="00A6650A"/>
    <w:rsid w:val="00A7048A"/>
    <w:rsid w:val="00A7065F"/>
    <w:rsid w:val="00A70F9F"/>
    <w:rsid w:val="00A713F9"/>
    <w:rsid w:val="00A7378F"/>
    <w:rsid w:val="00A7567E"/>
    <w:rsid w:val="00A771FC"/>
    <w:rsid w:val="00A77547"/>
    <w:rsid w:val="00A776A7"/>
    <w:rsid w:val="00A80D95"/>
    <w:rsid w:val="00A82282"/>
    <w:rsid w:val="00A83F4E"/>
    <w:rsid w:val="00A840B0"/>
    <w:rsid w:val="00A87518"/>
    <w:rsid w:val="00A87569"/>
    <w:rsid w:val="00A87F54"/>
    <w:rsid w:val="00A9022C"/>
    <w:rsid w:val="00A906A4"/>
    <w:rsid w:val="00A90A32"/>
    <w:rsid w:val="00A90A50"/>
    <w:rsid w:val="00A92654"/>
    <w:rsid w:val="00A9622A"/>
    <w:rsid w:val="00A965DA"/>
    <w:rsid w:val="00A96B75"/>
    <w:rsid w:val="00A9755F"/>
    <w:rsid w:val="00AA1D33"/>
    <w:rsid w:val="00AA2C6F"/>
    <w:rsid w:val="00AA53A8"/>
    <w:rsid w:val="00AA65F9"/>
    <w:rsid w:val="00AA6A35"/>
    <w:rsid w:val="00AA6C76"/>
    <w:rsid w:val="00AA721E"/>
    <w:rsid w:val="00AA7436"/>
    <w:rsid w:val="00AB0080"/>
    <w:rsid w:val="00AB0CF3"/>
    <w:rsid w:val="00AB1F09"/>
    <w:rsid w:val="00AB4031"/>
    <w:rsid w:val="00AB4C61"/>
    <w:rsid w:val="00AB55EA"/>
    <w:rsid w:val="00AB79C4"/>
    <w:rsid w:val="00AC0269"/>
    <w:rsid w:val="00AC0B8C"/>
    <w:rsid w:val="00AC201A"/>
    <w:rsid w:val="00AC3299"/>
    <w:rsid w:val="00AC33E8"/>
    <w:rsid w:val="00AC65BD"/>
    <w:rsid w:val="00AC6684"/>
    <w:rsid w:val="00AC6DB7"/>
    <w:rsid w:val="00AC7267"/>
    <w:rsid w:val="00AD1762"/>
    <w:rsid w:val="00AD1DC6"/>
    <w:rsid w:val="00AD39A1"/>
    <w:rsid w:val="00AD3F62"/>
    <w:rsid w:val="00AD46D4"/>
    <w:rsid w:val="00AD46D9"/>
    <w:rsid w:val="00AD4859"/>
    <w:rsid w:val="00AD52A0"/>
    <w:rsid w:val="00AD6B1E"/>
    <w:rsid w:val="00AD7D34"/>
    <w:rsid w:val="00AE1276"/>
    <w:rsid w:val="00AE2B82"/>
    <w:rsid w:val="00AE2BC8"/>
    <w:rsid w:val="00AE3879"/>
    <w:rsid w:val="00AE4E63"/>
    <w:rsid w:val="00AE5FE2"/>
    <w:rsid w:val="00AE679B"/>
    <w:rsid w:val="00AE72E5"/>
    <w:rsid w:val="00AE7C59"/>
    <w:rsid w:val="00AF08ED"/>
    <w:rsid w:val="00AF1F03"/>
    <w:rsid w:val="00AF2487"/>
    <w:rsid w:val="00AF3539"/>
    <w:rsid w:val="00AF3EF7"/>
    <w:rsid w:val="00AF6523"/>
    <w:rsid w:val="00AF7004"/>
    <w:rsid w:val="00B0113C"/>
    <w:rsid w:val="00B02F21"/>
    <w:rsid w:val="00B04F0A"/>
    <w:rsid w:val="00B0631D"/>
    <w:rsid w:val="00B070F9"/>
    <w:rsid w:val="00B07402"/>
    <w:rsid w:val="00B1061D"/>
    <w:rsid w:val="00B1080F"/>
    <w:rsid w:val="00B112C5"/>
    <w:rsid w:val="00B13637"/>
    <w:rsid w:val="00B139FD"/>
    <w:rsid w:val="00B13B10"/>
    <w:rsid w:val="00B17674"/>
    <w:rsid w:val="00B1799B"/>
    <w:rsid w:val="00B205EC"/>
    <w:rsid w:val="00B20ABD"/>
    <w:rsid w:val="00B211B8"/>
    <w:rsid w:val="00B2464D"/>
    <w:rsid w:val="00B2500C"/>
    <w:rsid w:val="00B2561A"/>
    <w:rsid w:val="00B26CC4"/>
    <w:rsid w:val="00B26FA2"/>
    <w:rsid w:val="00B309AE"/>
    <w:rsid w:val="00B32192"/>
    <w:rsid w:val="00B323D8"/>
    <w:rsid w:val="00B326BB"/>
    <w:rsid w:val="00B32876"/>
    <w:rsid w:val="00B32B64"/>
    <w:rsid w:val="00B346FD"/>
    <w:rsid w:val="00B349BF"/>
    <w:rsid w:val="00B35982"/>
    <w:rsid w:val="00B3724C"/>
    <w:rsid w:val="00B408FD"/>
    <w:rsid w:val="00B40A62"/>
    <w:rsid w:val="00B41F0D"/>
    <w:rsid w:val="00B42996"/>
    <w:rsid w:val="00B46979"/>
    <w:rsid w:val="00B47762"/>
    <w:rsid w:val="00B5135A"/>
    <w:rsid w:val="00B51A05"/>
    <w:rsid w:val="00B524CE"/>
    <w:rsid w:val="00B60FFC"/>
    <w:rsid w:val="00B611E8"/>
    <w:rsid w:val="00B6129C"/>
    <w:rsid w:val="00B616D8"/>
    <w:rsid w:val="00B619A1"/>
    <w:rsid w:val="00B64507"/>
    <w:rsid w:val="00B66C4B"/>
    <w:rsid w:val="00B67562"/>
    <w:rsid w:val="00B70DF3"/>
    <w:rsid w:val="00B71370"/>
    <w:rsid w:val="00B71613"/>
    <w:rsid w:val="00B72167"/>
    <w:rsid w:val="00B73C1F"/>
    <w:rsid w:val="00B744BB"/>
    <w:rsid w:val="00B761C4"/>
    <w:rsid w:val="00B763DF"/>
    <w:rsid w:val="00B765B2"/>
    <w:rsid w:val="00B77EF1"/>
    <w:rsid w:val="00B8080C"/>
    <w:rsid w:val="00B80E3D"/>
    <w:rsid w:val="00B822BE"/>
    <w:rsid w:val="00B8290E"/>
    <w:rsid w:val="00B84F51"/>
    <w:rsid w:val="00B85445"/>
    <w:rsid w:val="00B86801"/>
    <w:rsid w:val="00B92331"/>
    <w:rsid w:val="00B92A8B"/>
    <w:rsid w:val="00B93759"/>
    <w:rsid w:val="00B94A5D"/>
    <w:rsid w:val="00BA1348"/>
    <w:rsid w:val="00BA2782"/>
    <w:rsid w:val="00BA4A4B"/>
    <w:rsid w:val="00BA5CF4"/>
    <w:rsid w:val="00BA6B20"/>
    <w:rsid w:val="00BA758E"/>
    <w:rsid w:val="00BB1934"/>
    <w:rsid w:val="00BB1FD1"/>
    <w:rsid w:val="00BB2381"/>
    <w:rsid w:val="00BB3578"/>
    <w:rsid w:val="00BB615C"/>
    <w:rsid w:val="00BB6CC5"/>
    <w:rsid w:val="00BB759B"/>
    <w:rsid w:val="00BC04F4"/>
    <w:rsid w:val="00BC0CD9"/>
    <w:rsid w:val="00BC3DA7"/>
    <w:rsid w:val="00BC5EB6"/>
    <w:rsid w:val="00BC7315"/>
    <w:rsid w:val="00BC74CE"/>
    <w:rsid w:val="00BC7EEF"/>
    <w:rsid w:val="00BD0074"/>
    <w:rsid w:val="00BD20B6"/>
    <w:rsid w:val="00BD21AF"/>
    <w:rsid w:val="00BD2EA2"/>
    <w:rsid w:val="00BD3F91"/>
    <w:rsid w:val="00BD4BE3"/>
    <w:rsid w:val="00BD5A01"/>
    <w:rsid w:val="00BD6D27"/>
    <w:rsid w:val="00BD7E55"/>
    <w:rsid w:val="00BE1072"/>
    <w:rsid w:val="00BE208F"/>
    <w:rsid w:val="00BE2C0E"/>
    <w:rsid w:val="00BE313E"/>
    <w:rsid w:val="00BE31D1"/>
    <w:rsid w:val="00BE37DA"/>
    <w:rsid w:val="00BE45C7"/>
    <w:rsid w:val="00BE615C"/>
    <w:rsid w:val="00BE76F7"/>
    <w:rsid w:val="00BE7760"/>
    <w:rsid w:val="00BE77A0"/>
    <w:rsid w:val="00BE793B"/>
    <w:rsid w:val="00BE7C3C"/>
    <w:rsid w:val="00BF0012"/>
    <w:rsid w:val="00BF1CE8"/>
    <w:rsid w:val="00BF4CDF"/>
    <w:rsid w:val="00BF5112"/>
    <w:rsid w:val="00BF5DEA"/>
    <w:rsid w:val="00BF7286"/>
    <w:rsid w:val="00C00348"/>
    <w:rsid w:val="00C00B37"/>
    <w:rsid w:val="00C02164"/>
    <w:rsid w:val="00C027A1"/>
    <w:rsid w:val="00C02F7A"/>
    <w:rsid w:val="00C02F80"/>
    <w:rsid w:val="00C0335C"/>
    <w:rsid w:val="00C0350B"/>
    <w:rsid w:val="00C03D6A"/>
    <w:rsid w:val="00C03E11"/>
    <w:rsid w:val="00C0779D"/>
    <w:rsid w:val="00C11486"/>
    <w:rsid w:val="00C12173"/>
    <w:rsid w:val="00C14730"/>
    <w:rsid w:val="00C1533C"/>
    <w:rsid w:val="00C15373"/>
    <w:rsid w:val="00C1599C"/>
    <w:rsid w:val="00C15F06"/>
    <w:rsid w:val="00C15F84"/>
    <w:rsid w:val="00C16A2A"/>
    <w:rsid w:val="00C16E31"/>
    <w:rsid w:val="00C176C5"/>
    <w:rsid w:val="00C17D4E"/>
    <w:rsid w:val="00C20584"/>
    <w:rsid w:val="00C20AF8"/>
    <w:rsid w:val="00C212BA"/>
    <w:rsid w:val="00C21829"/>
    <w:rsid w:val="00C2194D"/>
    <w:rsid w:val="00C225F2"/>
    <w:rsid w:val="00C22907"/>
    <w:rsid w:val="00C2417F"/>
    <w:rsid w:val="00C25322"/>
    <w:rsid w:val="00C26FB3"/>
    <w:rsid w:val="00C3109B"/>
    <w:rsid w:val="00C3247D"/>
    <w:rsid w:val="00C32EF1"/>
    <w:rsid w:val="00C347F0"/>
    <w:rsid w:val="00C34CD9"/>
    <w:rsid w:val="00C34F32"/>
    <w:rsid w:val="00C35645"/>
    <w:rsid w:val="00C35849"/>
    <w:rsid w:val="00C35F68"/>
    <w:rsid w:val="00C369DC"/>
    <w:rsid w:val="00C36A9F"/>
    <w:rsid w:val="00C36E4C"/>
    <w:rsid w:val="00C40C02"/>
    <w:rsid w:val="00C40F57"/>
    <w:rsid w:val="00C41A5B"/>
    <w:rsid w:val="00C41FC9"/>
    <w:rsid w:val="00C42341"/>
    <w:rsid w:val="00C46744"/>
    <w:rsid w:val="00C46F70"/>
    <w:rsid w:val="00C4729B"/>
    <w:rsid w:val="00C47533"/>
    <w:rsid w:val="00C506BD"/>
    <w:rsid w:val="00C50AEF"/>
    <w:rsid w:val="00C50B42"/>
    <w:rsid w:val="00C519A2"/>
    <w:rsid w:val="00C52452"/>
    <w:rsid w:val="00C52F9F"/>
    <w:rsid w:val="00C53A19"/>
    <w:rsid w:val="00C53A2B"/>
    <w:rsid w:val="00C551BC"/>
    <w:rsid w:val="00C6207E"/>
    <w:rsid w:val="00C623F0"/>
    <w:rsid w:val="00C6248B"/>
    <w:rsid w:val="00C640AF"/>
    <w:rsid w:val="00C64491"/>
    <w:rsid w:val="00C64CC7"/>
    <w:rsid w:val="00C65D18"/>
    <w:rsid w:val="00C66135"/>
    <w:rsid w:val="00C66264"/>
    <w:rsid w:val="00C66857"/>
    <w:rsid w:val="00C71532"/>
    <w:rsid w:val="00C75123"/>
    <w:rsid w:val="00C753BD"/>
    <w:rsid w:val="00C75CFC"/>
    <w:rsid w:val="00C75E3A"/>
    <w:rsid w:val="00C760FD"/>
    <w:rsid w:val="00C765EC"/>
    <w:rsid w:val="00C76B98"/>
    <w:rsid w:val="00C77F08"/>
    <w:rsid w:val="00C819BD"/>
    <w:rsid w:val="00C826D7"/>
    <w:rsid w:val="00C82A8C"/>
    <w:rsid w:val="00C86101"/>
    <w:rsid w:val="00C87916"/>
    <w:rsid w:val="00C90C23"/>
    <w:rsid w:val="00C91556"/>
    <w:rsid w:val="00C915EB"/>
    <w:rsid w:val="00C943E0"/>
    <w:rsid w:val="00C961D1"/>
    <w:rsid w:val="00C9714D"/>
    <w:rsid w:val="00CA08D0"/>
    <w:rsid w:val="00CA1518"/>
    <w:rsid w:val="00CA270A"/>
    <w:rsid w:val="00CA2EDD"/>
    <w:rsid w:val="00CA4EFF"/>
    <w:rsid w:val="00CA61E0"/>
    <w:rsid w:val="00CB023A"/>
    <w:rsid w:val="00CB1F93"/>
    <w:rsid w:val="00CB4F8F"/>
    <w:rsid w:val="00CB54F0"/>
    <w:rsid w:val="00CB5D15"/>
    <w:rsid w:val="00CB6766"/>
    <w:rsid w:val="00CB6847"/>
    <w:rsid w:val="00CC0E3E"/>
    <w:rsid w:val="00CC2184"/>
    <w:rsid w:val="00CC2EE4"/>
    <w:rsid w:val="00CC3179"/>
    <w:rsid w:val="00CC673F"/>
    <w:rsid w:val="00CC7428"/>
    <w:rsid w:val="00CD000D"/>
    <w:rsid w:val="00CD0D03"/>
    <w:rsid w:val="00CD0D99"/>
    <w:rsid w:val="00CD0DA3"/>
    <w:rsid w:val="00CD1D69"/>
    <w:rsid w:val="00CD2017"/>
    <w:rsid w:val="00CD25AE"/>
    <w:rsid w:val="00CD2661"/>
    <w:rsid w:val="00CD2AD8"/>
    <w:rsid w:val="00CD341A"/>
    <w:rsid w:val="00CD3D11"/>
    <w:rsid w:val="00CD4F14"/>
    <w:rsid w:val="00CD5197"/>
    <w:rsid w:val="00CD5D67"/>
    <w:rsid w:val="00CD684B"/>
    <w:rsid w:val="00CE0622"/>
    <w:rsid w:val="00CE154B"/>
    <w:rsid w:val="00CE4073"/>
    <w:rsid w:val="00CE5FBA"/>
    <w:rsid w:val="00CE6129"/>
    <w:rsid w:val="00CE6798"/>
    <w:rsid w:val="00CE685F"/>
    <w:rsid w:val="00CE71F5"/>
    <w:rsid w:val="00CF0D1A"/>
    <w:rsid w:val="00CF0D24"/>
    <w:rsid w:val="00CF296D"/>
    <w:rsid w:val="00CF3C45"/>
    <w:rsid w:val="00CF4DB5"/>
    <w:rsid w:val="00CF5500"/>
    <w:rsid w:val="00CF7778"/>
    <w:rsid w:val="00CF79EC"/>
    <w:rsid w:val="00D01020"/>
    <w:rsid w:val="00D01522"/>
    <w:rsid w:val="00D01BCA"/>
    <w:rsid w:val="00D021C1"/>
    <w:rsid w:val="00D040F6"/>
    <w:rsid w:val="00D04407"/>
    <w:rsid w:val="00D05AE8"/>
    <w:rsid w:val="00D07915"/>
    <w:rsid w:val="00D1048E"/>
    <w:rsid w:val="00D10DB0"/>
    <w:rsid w:val="00D10ED4"/>
    <w:rsid w:val="00D11776"/>
    <w:rsid w:val="00D123B7"/>
    <w:rsid w:val="00D13697"/>
    <w:rsid w:val="00D159CE"/>
    <w:rsid w:val="00D15F67"/>
    <w:rsid w:val="00D161BD"/>
    <w:rsid w:val="00D1688D"/>
    <w:rsid w:val="00D201E2"/>
    <w:rsid w:val="00D2020F"/>
    <w:rsid w:val="00D20926"/>
    <w:rsid w:val="00D21BAB"/>
    <w:rsid w:val="00D26944"/>
    <w:rsid w:val="00D30660"/>
    <w:rsid w:val="00D32A2E"/>
    <w:rsid w:val="00D32CA4"/>
    <w:rsid w:val="00D32D1C"/>
    <w:rsid w:val="00D3481E"/>
    <w:rsid w:val="00D353D1"/>
    <w:rsid w:val="00D37E65"/>
    <w:rsid w:val="00D40F53"/>
    <w:rsid w:val="00D4134E"/>
    <w:rsid w:val="00D41431"/>
    <w:rsid w:val="00D42720"/>
    <w:rsid w:val="00D42864"/>
    <w:rsid w:val="00D446F3"/>
    <w:rsid w:val="00D4509F"/>
    <w:rsid w:val="00D465A6"/>
    <w:rsid w:val="00D47101"/>
    <w:rsid w:val="00D4783C"/>
    <w:rsid w:val="00D47DD9"/>
    <w:rsid w:val="00D47E9C"/>
    <w:rsid w:val="00D515FF"/>
    <w:rsid w:val="00D53966"/>
    <w:rsid w:val="00D543BA"/>
    <w:rsid w:val="00D57EC9"/>
    <w:rsid w:val="00D60640"/>
    <w:rsid w:val="00D60D20"/>
    <w:rsid w:val="00D6189F"/>
    <w:rsid w:val="00D6263E"/>
    <w:rsid w:val="00D644FD"/>
    <w:rsid w:val="00D64597"/>
    <w:rsid w:val="00D661C6"/>
    <w:rsid w:val="00D67F4A"/>
    <w:rsid w:val="00D70631"/>
    <w:rsid w:val="00D70DEF"/>
    <w:rsid w:val="00D71E54"/>
    <w:rsid w:val="00D7389C"/>
    <w:rsid w:val="00D73DB3"/>
    <w:rsid w:val="00D73FDB"/>
    <w:rsid w:val="00D7434F"/>
    <w:rsid w:val="00D7474E"/>
    <w:rsid w:val="00D74FBF"/>
    <w:rsid w:val="00D75153"/>
    <w:rsid w:val="00D77456"/>
    <w:rsid w:val="00D77EE6"/>
    <w:rsid w:val="00D836FD"/>
    <w:rsid w:val="00D85830"/>
    <w:rsid w:val="00D866B1"/>
    <w:rsid w:val="00D908DF"/>
    <w:rsid w:val="00D91BFF"/>
    <w:rsid w:val="00D92E03"/>
    <w:rsid w:val="00D94D9A"/>
    <w:rsid w:val="00D955C8"/>
    <w:rsid w:val="00D95A7C"/>
    <w:rsid w:val="00D97115"/>
    <w:rsid w:val="00DA2374"/>
    <w:rsid w:val="00DA2ABC"/>
    <w:rsid w:val="00DA47D9"/>
    <w:rsid w:val="00DA61DA"/>
    <w:rsid w:val="00DA759D"/>
    <w:rsid w:val="00DB18EA"/>
    <w:rsid w:val="00DB3E61"/>
    <w:rsid w:val="00DB49B6"/>
    <w:rsid w:val="00DB5E58"/>
    <w:rsid w:val="00DB64AC"/>
    <w:rsid w:val="00DB6F70"/>
    <w:rsid w:val="00DB7A53"/>
    <w:rsid w:val="00DC3769"/>
    <w:rsid w:val="00DC45F1"/>
    <w:rsid w:val="00DC6063"/>
    <w:rsid w:val="00DC6EAC"/>
    <w:rsid w:val="00DC78A8"/>
    <w:rsid w:val="00DD0A71"/>
    <w:rsid w:val="00DD2C92"/>
    <w:rsid w:val="00DD439A"/>
    <w:rsid w:val="00DD48FC"/>
    <w:rsid w:val="00DD5E95"/>
    <w:rsid w:val="00DD78E2"/>
    <w:rsid w:val="00DE0848"/>
    <w:rsid w:val="00DE109F"/>
    <w:rsid w:val="00DE393A"/>
    <w:rsid w:val="00DE540A"/>
    <w:rsid w:val="00DE5432"/>
    <w:rsid w:val="00DE59DD"/>
    <w:rsid w:val="00DE70B4"/>
    <w:rsid w:val="00DF6984"/>
    <w:rsid w:val="00DF7185"/>
    <w:rsid w:val="00E00CB8"/>
    <w:rsid w:val="00E022A9"/>
    <w:rsid w:val="00E038EA"/>
    <w:rsid w:val="00E049F1"/>
    <w:rsid w:val="00E06419"/>
    <w:rsid w:val="00E074D3"/>
    <w:rsid w:val="00E07FFC"/>
    <w:rsid w:val="00E10387"/>
    <w:rsid w:val="00E10C77"/>
    <w:rsid w:val="00E13130"/>
    <w:rsid w:val="00E13275"/>
    <w:rsid w:val="00E142D8"/>
    <w:rsid w:val="00E145F8"/>
    <w:rsid w:val="00E148A6"/>
    <w:rsid w:val="00E17268"/>
    <w:rsid w:val="00E17A67"/>
    <w:rsid w:val="00E2001C"/>
    <w:rsid w:val="00E20AD6"/>
    <w:rsid w:val="00E20D9F"/>
    <w:rsid w:val="00E2192B"/>
    <w:rsid w:val="00E2229C"/>
    <w:rsid w:val="00E22310"/>
    <w:rsid w:val="00E22876"/>
    <w:rsid w:val="00E23F74"/>
    <w:rsid w:val="00E24123"/>
    <w:rsid w:val="00E26E41"/>
    <w:rsid w:val="00E277D6"/>
    <w:rsid w:val="00E30462"/>
    <w:rsid w:val="00E31C6F"/>
    <w:rsid w:val="00E330FE"/>
    <w:rsid w:val="00E3353A"/>
    <w:rsid w:val="00E3421C"/>
    <w:rsid w:val="00E347B0"/>
    <w:rsid w:val="00E351C1"/>
    <w:rsid w:val="00E35A69"/>
    <w:rsid w:val="00E36B64"/>
    <w:rsid w:val="00E37734"/>
    <w:rsid w:val="00E414E5"/>
    <w:rsid w:val="00E42302"/>
    <w:rsid w:val="00E42D36"/>
    <w:rsid w:val="00E433AC"/>
    <w:rsid w:val="00E43425"/>
    <w:rsid w:val="00E537C1"/>
    <w:rsid w:val="00E53F4F"/>
    <w:rsid w:val="00E552BC"/>
    <w:rsid w:val="00E60EF2"/>
    <w:rsid w:val="00E61943"/>
    <w:rsid w:val="00E61CC7"/>
    <w:rsid w:val="00E64FA8"/>
    <w:rsid w:val="00E653A3"/>
    <w:rsid w:val="00E656CD"/>
    <w:rsid w:val="00E65E14"/>
    <w:rsid w:val="00E661C5"/>
    <w:rsid w:val="00E66350"/>
    <w:rsid w:val="00E66369"/>
    <w:rsid w:val="00E6759D"/>
    <w:rsid w:val="00E7017B"/>
    <w:rsid w:val="00E718C2"/>
    <w:rsid w:val="00E718E5"/>
    <w:rsid w:val="00E72E48"/>
    <w:rsid w:val="00E77ABA"/>
    <w:rsid w:val="00E8276C"/>
    <w:rsid w:val="00E82A03"/>
    <w:rsid w:val="00E831CA"/>
    <w:rsid w:val="00E847C5"/>
    <w:rsid w:val="00E856CD"/>
    <w:rsid w:val="00E90C8B"/>
    <w:rsid w:val="00E91DA8"/>
    <w:rsid w:val="00E91F80"/>
    <w:rsid w:val="00E92683"/>
    <w:rsid w:val="00E92F27"/>
    <w:rsid w:val="00E935E3"/>
    <w:rsid w:val="00E943E6"/>
    <w:rsid w:val="00E94B0A"/>
    <w:rsid w:val="00E95A32"/>
    <w:rsid w:val="00E96099"/>
    <w:rsid w:val="00E979A7"/>
    <w:rsid w:val="00E97EF7"/>
    <w:rsid w:val="00EA0507"/>
    <w:rsid w:val="00EA0EC3"/>
    <w:rsid w:val="00EA136A"/>
    <w:rsid w:val="00EA1EB3"/>
    <w:rsid w:val="00EA28F5"/>
    <w:rsid w:val="00EA2C73"/>
    <w:rsid w:val="00EA4E35"/>
    <w:rsid w:val="00EA5103"/>
    <w:rsid w:val="00EA511B"/>
    <w:rsid w:val="00EA5D99"/>
    <w:rsid w:val="00EA5E23"/>
    <w:rsid w:val="00EA64C9"/>
    <w:rsid w:val="00EA6FE2"/>
    <w:rsid w:val="00EB0467"/>
    <w:rsid w:val="00EB0EEF"/>
    <w:rsid w:val="00EB1535"/>
    <w:rsid w:val="00EB20BE"/>
    <w:rsid w:val="00EB3330"/>
    <w:rsid w:val="00EB3D68"/>
    <w:rsid w:val="00EB63D2"/>
    <w:rsid w:val="00EC258B"/>
    <w:rsid w:val="00EC2669"/>
    <w:rsid w:val="00EC3568"/>
    <w:rsid w:val="00EC3A10"/>
    <w:rsid w:val="00EC425E"/>
    <w:rsid w:val="00EC517A"/>
    <w:rsid w:val="00EC5308"/>
    <w:rsid w:val="00EC7303"/>
    <w:rsid w:val="00EC7A5B"/>
    <w:rsid w:val="00ED0785"/>
    <w:rsid w:val="00ED0B91"/>
    <w:rsid w:val="00ED29EE"/>
    <w:rsid w:val="00ED32C8"/>
    <w:rsid w:val="00ED3AD1"/>
    <w:rsid w:val="00ED4C1C"/>
    <w:rsid w:val="00ED53C6"/>
    <w:rsid w:val="00ED6DDC"/>
    <w:rsid w:val="00EE524C"/>
    <w:rsid w:val="00EE587A"/>
    <w:rsid w:val="00EE5C3B"/>
    <w:rsid w:val="00EE76CE"/>
    <w:rsid w:val="00EE7F59"/>
    <w:rsid w:val="00EF1189"/>
    <w:rsid w:val="00EF217F"/>
    <w:rsid w:val="00EF490C"/>
    <w:rsid w:val="00F00845"/>
    <w:rsid w:val="00F0135C"/>
    <w:rsid w:val="00F0243E"/>
    <w:rsid w:val="00F040F3"/>
    <w:rsid w:val="00F0418E"/>
    <w:rsid w:val="00F04C15"/>
    <w:rsid w:val="00F0683E"/>
    <w:rsid w:val="00F10A0C"/>
    <w:rsid w:val="00F12C86"/>
    <w:rsid w:val="00F13026"/>
    <w:rsid w:val="00F14419"/>
    <w:rsid w:val="00F1663E"/>
    <w:rsid w:val="00F202C7"/>
    <w:rsid w:val="00F207F5"/>
    <w:rsid w:val="00F21575"/>
    <w:rsid w:val="00F21CDF"/>
    <w:rsid w:val="00F246C5"/>
    <w:rsid w:val="00F24A82"/>
    <w:rsid w:val="00F25520"/>
    <w:rsid w:val="00F25755"/>
    <w:rsid w:val="00F26370"/>
    <w:rsid w:val="00F278E5"/>
    <w:rsid w:val="00F27F84"/>
    <w:rsid w:val="00F303A6"/>
    <w:rsid w:val="00F307E9"/>
    <w:rsid w:val="00F31895"/>
    <w:rsid w:val="00F3285E"/>
    <w:rsid w:val="00F32E5B"/>
    <w:rsid w:val="00F348AD"/>
    <w:rsid w:val="00F34CF8"/>
    <w:rsid w:val="00F3568E"/>
    <w:rsid w:val="00F368A7"/>
    <w:rsid w:val="00F40555"/>
    <w:rsid w:val="00F4060B"/>
    <w:rsid w:val="00F407A8"/>
    <w:rsid w:val="00F4153B"/>
    <w:rsid w:val="00F41E77"/>
    <w:rsid w:val="00F42180"/>
    <w:rsid w:val="00F44B8D"/>
    <w:rsid w:val="00F44D67"/>
    <w:rsid w:val="00F45664"/>
    <w:rsid w:val="00F45EB1"/>
    <w:rsid w:val="00F461A7"/>
    <w:rsid w:val="00F46403"/>
    <w:rsid w:val="00F46680"/>
    <w:rsid w:val="00F4783E"/>
    <w:rsid w:val="00F51957"/>
    <w:rsid w:val="00F522F2"/>
    <w:rsid w:val="00F52918"/>
    <w:rsid w:val="00F52F8B"/>
    <w:rsid w:val="00F5412D"/>
    <w:rsid w:val="00F54562"/>
    <w:rsid w:val="00F62358"/>
    <w:rsid w:val="00F626DB"/>
    <w:rsid w:val="00F63312"/>
    <w:rsid w:val="00F63AC8"/>
    <w:rsid w:val="00F65557"/>
    <w:rsid w:val="00F6555B"/>
    <w:rsid w:val="00F6624E"/>
    <w:rsid w:val="00F66FAE"/>
    <w:rsid w:val="00F67593"/>
    <w:rsid w:val="00F705B3"/>
    <w:rsid w:val="00F70B6C"/>
    <w:rsid w:val="00F713C7"/>
    <w:rsid w:val="00F72F00"/>
    <w:rsid w:val="00F74381"/>
    <w:rsid w:val="00F75896"/>
    <w:rsid w:val="00F77431"/>
    <w:rsid w:val="00F77C03"/>
    <w:rsid w:val="00F80F67"/>
    <w:rsid w:val="00F812AE"/>
    <w:rsid w:val="00F81D6E"/>
    <w:rsid w:val="00F82064"/>
    <w:rsid w:val="00F820FB"/>
    <w:rsid w:val="00F87D1D"/>
    <w:rsid w:val="00F87FCD"/>
    <w:rsid w:val="00F905EC"/>
    <w:rsid w:val="00F90A90"/>
    <w:rsid w:val="00F91DCB"/>
    <w:rsid w:val="00F924D8"/>
    <w:rsid w:val="00F9442E"/>
    <w:rsid w:val="00F94816"/>
    <w:rsid w:val="00F96980"/>
    <w:rsid w:val="00F97DAF"/>
    <w:rsid w:val="00FA161E"/>
    <w:rsid w:val="00FA2055"/>
    <w:rsid w:val="00FA208E"/>
    <w:rsid w:val="00FA382B"/>
    <w:rsid w:val="00FA4C7E"/>
    <w:rsid w:val="00FA4D80"/>
    <w:rsid w:val="00FA4F03"/>
    <w:rsid w:val="00FA50E8"/>
    <w:rsid w:val="00FA6A9D"/>
    <w:rsid w:val="00FA7236"/>
    <w:rsid w:val="00FA77C8"/>
    <w:rsid w:val="00FA7E01"/>
    <w:rsid w:val="00FB0116"/>
    <w:rsid w:val="00FB03A1"/>
    <w:rsid w:val="00FB2333"/>
    <w:rsid w:val="00FB7C15"/>
    <w:rsid w:val="00FC1C7B"/>
    <w:rsid w:val="00FC20EB"/>
    <w:rsid w:val="00FC3F1B"/>
    <w:rsid w:val="00FC530A"/>
    <w:rsid w:val="00FC5DC4"/>
    <w:rsid w:val="00FC6C54"/>
    <w:rsid w:val="00FD0800"/>
    <w:rsid w:val="00FD0ACD"/>
    <w:rsid w:val="00FD2302"/>
    <w:rsid w:val="00FD31CA"/>
    <w:rsid w:val="00FD364A"/>
    <w:rsid w:val="00FD5205"/>
    <w:rsid w:val="00FD5661"/>
    <w:rsid w:val="00FD58CB"/>
    <w:rsid w:val="00FD5DDC"/>
    <w:rsid w:val="00FD7CCA"/>
    <w:rsid w:val="00FE291A"/>
    <w:rsid w:val="00FE2A9D"/>
    <w:rsid w:val="00FE4FB9"/>
    <w:rsid w:val="00FE5361"/>
    <w:rsid w:val="00FE673C"/>
    <w:rsid w:val="00FF07E3"/>
    <w:rsid w:val="00FF1AC1"/>
    <w:rsid w:val="00FF2450"/>
    <w:rsid w:val="00FF260F"/>
    <w:rsid w:val="00FF2866"/>
    <w:rsid w:val="00FF328E"/>
    <w:rsid w:val="00FF3BCD"/>
    <w:rsid w:val="00FF5B28"/>
    <w:rsid w:val="00FF5EC0"/>
    <w:rsid w:val="00FF7C18"/>
    <w:rsid w:val="01076050"/>
    <w:rsid w:val="010C3DC8"/>
    <w:rsid w:val="011E110B"/>
    <w:rsid w:val="01525212"/>
    <w:rsid w:val="01564054"/>
    <w:rsid w:val="015C0A67"/>
    <w:rsid w:val="01745FBF"/>
    <w:rsid w:val="017E6D95"/>
    <w:rsid w:val="018D0058"/>
    <w:rsid w:val="01976717"/>
    <w:rsid w:val="01A81D9E"/>
    <w:rsid w:val="01D715BE"/>
    <w:rsid w:val="01D95F0B"/>
    <w:rsid w:val="01EB45BC"/>
    <w:rsid w:val="01F04981"/>
    <w:rsid w:val="01F9035B"/>
    <w:rsid w:val="01FA63A5"/>
    <w:rsid w:val="02011C7D"/>
    <w:rsid w:val="02035523"/>
    <w:rsid w:val="021C6E40"/>
    <w:rsid w:val="02222FF2"/>
    <w:rsid w:val="02233DE8"/>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8D6B87"/>
    <w:rsid w:val="03A011E9"/>
    <w:rsid w:val="03AE7F27"/>
    <w:rsid w:val="03BD2BCD"/>
    <w:rsid w:val="03CC058D"/>
    <w:rsid w:val="03E017D2"/>
    <w:rsid w:val="03F447E2"/>
    <w:rsid w:val="03F77068"/>
    <w:rsid w:val="03FB660C"/>
    <w:rsid w:val="042E37DB"/>
    <w:rsid w:val="043D750E"/>
    <w:rsid w:val="04416C20"/>
    <w:rsid w:val="04732647"/>
    <w:rsid w:val="047968B1"/>
    <w:rsid w:val="047A0F78"/>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273A"/>
    <w:rsid w:val="05CA4074"/>
    <w:rsid w:val="05D53002"/>
    <w:rsid w:val="05D75738"/>
    <w:rsid w:val="05EB110D"/>
    <w:rsid w:val="05EB4481"/>
    <w:rsid w:val="05F17CC7"/>
    <w:rsid w:val="061E7D14"/>
    <w:rsid w:val="06316315"/>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C3715"/>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46B4D"/>
    <w:rsid w:val="08672793"/>
    <w:rsid w:val="08695E80"/>
    <w:rsid w:val="087C4541"/>
    <w:rsid w:val="087E5595"/>
    <w:rsid w:val="088F5D81"/>
    <w:rsid w:val="08BC0A60"/>
    <w:rsid w:val="08C52D6F"/>
    <w:rsid w:val="08CC5DF3"/>
    <w:rsid w:val="08E42BE4"/>
    <w:rsid w:val="08EF0201"/>
    <w:rsid w:val="08F41DE8"/>
    <w:rsid w:val="09171238"/>
    <w:rsid w:val="093B5D94"/>
    <w:rsid w:val="093D1475"/>
    <w:rsid w:val="094840A2"/>
    <w:rsid w:val="09644C54"/>
    <w:rsid w:val="096F5AD2"/>
    <w:rsid w:val="09737462"/>
    <w:rsid w:val="099156C3"/>
    <w:rsid w:val="09A33F5B"/>
    <w:rsid w:val="09A53F39"/>
    <w:rsid w:val="09A60E13"/>
    <w:rsid w:val="09A82D92"/>
    <w:rsid w:val="09AB2883"/>
    <w:rsid w:val="09AE5463"/>
    <w:rsid w:val="09BE25B6"/>
    <w:rsid w:val="09C5316B"/>
    <w:rsid w:val="09CD0A4B"/>
    <w:rsid w:val="09D206F0"/>
    <w:rsid w:val="0A321AC2"/>
    <w:rsid w:val="0A343D4E"/>
    <w:rsid w:val="0A344626"/>
    <w:rsid w:val="0A3E6D2E"/>
    <w:rsid w:val="0A4232E4"/>
    <w:rsid w:val="0A4F145F"/>
    <w:rsid w:val="0A8455AD"/>
    <w:rsid w:val="0A8729A8"/>
    <w:rsid w:val="0AD13A85"/>
    <w:rsid w:val="0AE0655C"/>
    <w:rsid w:val="0B091954"/>
    <w:rsid w:val="0B0C55A3"/>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508F8"/>
    <w:rsid w:val="0D4861FD"/>
    <w:rsid w:val="0D735465"/>
    <w:rsid w:val="0DA47D15"/>
    <w:rsid w:val="0DC577E0"/>
    <w:rsid w:val="0DDC6319"/>
    <w:rsid w:val="0DE1181F"/>
    <w:rsid w:val="0DFA5B87"/>
    <w:rsid w:val="0DFE4F67"/>
    <w:rsid w:val="0E0C0D4C"/>
    <w:rsid w:val="0E115DA1"/>
    <w:rsid w:val="0E1409F6"/>
    <w:rsid w:val="0E162D6D"/>
    <w:rsid w:val="0E460DCC"/>
    <w:rsid w:val="0E541CA2"/>
    <w:rsid w:val="0E594756"/>
    <w:rsid w:val="0E8745BA"/>
    <w:rsid w:val="0E95596D"/>
    <w:rsid w:val="0EAA293A"/>
    <w:rsid w:val="0EAE6205"/>
    <w:rsid w:val="0EAE6579"/>
    <w:rsid w:val="0EAF71BF"/>
    <w:rsid w:val="0ECE6257"/>
    <w:rsid w:val="0EE4129D"/>
    <w:rsid w:val="0F171032"/>
    <w:rsid w:val="0F335E69"/>
    <w:rsid w:val="0F372614"/>
    <w:rsid w:val="0F3D59C9"/>
    <w:rsid w:val="0F516D5A"/>
    <w:rsid w:val="0F565B36"/>
    <w:rsid w:val="0F684933"/>
    <w:rsid w:val="0F6A666F"/>
    <w:rsid w:val="0F6E2388"/>
    <w:rsid w:val="0F821E7D"/>
    <w:rsid w:val="0FC91CB4"/>
    <w:rsid w:val="0FCA42ED"/>
    <w:rsid w:val="0FDB5F4F"/>
    <w:rsid w:val="0FE7592C"/>
    <w:rsid w:val="0FEE34C9"/>
    <w:rsid w:val="0FF07749"/>
    <w:rsid w:val="0FFC17A5"/>
    <w:rsid w:val="0FFD20F0"/>
    <w:rsid w:val="10142F30"/>
    <w:rsid w:val="10352857"/>
    <w:rsid w:val="103E6E57"/>
    <w:rsid w:val="1041497B"/>
    <w:rsid w:val="10425FF6"/>
    <w:rsid w:val="106612B1"/>
    <w:rsid w:val="107C6D27"/>
    <w:rsid w:val="109010E6"/>
    <w:rsid w:val="10B271F4"/>
    <w:rsid w:val="10B537CC"/>
    <w:rsid w:val="10C61D50"/>
    <w:rsid w:val="10C8275C"/>
    <w:rsid w:val="10C86D3B"/>
    <w:rsid w:val="10E03539"/>
    <w:rsid w:val="10E82D1F"/>
    <w:rsid w:val="10EE5C94"/>
    <w:rsid w:val="10F5757C"/>
    <w:rsid w:val="10F93ED3"/>
    <w:rsid w:val="11022330"/>
    <w:rsid w:val="110E3695"/>
    <w:rsid w:val="111D7BC2"/>
    <w:rsid w:val="11250F40"/>
    <w:rsid w:val="113329E7"/>
    <w:rsid w:val="11376EDB"/>
    <w:rsid w:val="113F294C"/>
    <w:rsid w:val="11437C85"/>
    <w:rsid w:val="11575085"/>
    <w:rsid w:val="1166372C"/>
    <w:rsid w:val="11700D10"/>
    <w:rsid w:val="1178125A"/>
    <w:rsid w:val="118441E0"/>
    <w:rsid w:val="1196056D"/>
    <w:rsid w:val="11B85B3D"/>
    <w:rsid w:val="11CD20A0"/>
    <w:rsid w:val="11D34654"/>
    <w:rsid w:val="11E55560"/>
    <w:rsid w:val="12010480"/>
    <w:rsid w:val="120E707F"/>
    <w:rsid w:val="121D0051"/>
    <w:rsid w:val="12413D84"/>
    <w:rsid w:val="12415B32"/>
    <w:rsid w:val="127A7D1C"/>
    <w:rsid w:val="12836D8B"/>
    <w:rsid w:val="12993BC0"/>
    <w:rsid w:val="12AB0349"/>
    <w:rsid w:val="12B66520"/>
    <w:rsid w:val="12C30DA3"/>
    <w:rsid w:val="12CD57F1"/>
    <w:rsid w:val="12CE5941"/>
    <w:rsid w:val="12CE7AFA"/>
    <w:rsid w:val="12D67466"/>
    <w:rsid w:val="12D76496"/>
    <w:rsid w:val="12F2507E"/>
    <w:rsid w:val="13036052"/>
    <w:rsid w:val="130B7EEE"/>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011746"/>
    <w:rsid w:val="15127C5A"/>
    <w:rsid w:val="151E3A0F"/>
    <w:rsid w:val="15204125"/>
    <w:rsid w:val="152534E9"/>
    <w:rsid w:val="153A36AA"/>
    <w:rsid w:val="15477903"/>
    <w:rsid w:val="1557566D"/>
    <w:rsid w:val="156E0971"/>
    <w:rsid w:val="15785B3E"/>
    <w:rsid w:val="15811F1B"/>
    <w:rsid w:val="159C41BD"/>
    <w:rsid w:val="15A30135"/>
    <w:rsid w:val="15A34015"/>
    <w:rsid w:val="15BB487B"/>
    <w:rsid w:val="15CE086D"/>
    <w:rsid w:val="15E2236F"/>
    <w:rsid w:val="16005D04"/>
    <w:rsid w:val="161D09ED"/>
    <w:rsid w:val="162323A3"/>
    <w:rsid w:val="162F30B1"/>
    <w:rsid w:val="16481B85"/>
    <w:rsid w:val="1650762F"/>
    <w:rsid w:val="16510F12"/>
    <w:rsid w:val="166448F9"/>
    <w:rsid w:val="1677211D"/>
    <w:rsid w:val="16774218"/>
    <w:rsid w:val="167954F9"/>
    <w:rsid w:val="169311EC"/>
    <w:rsid w:val="169C5A2D"/>
    <w:rsid w:val="169F7296"/>
    <w:rsid w:val="16A060BA"/>
    <w:rsid w:val="16A57EAF"/>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3ACD"/>
    <w:rsid w:val="18136133"/>
    <w:rsid w:val="182A0E16"/>
    <w:rsid w:val="184055B9"/>
    <w:rsid w:val="184A2082"/>
    <w:rsid w:val="185D3C42"/>
    <w:rsid w:val="185F38AF"/>
    <w:rsid w:val="188F0211"/>
    <w:rsid w:val="18AD1BEB"/>
    <w:rsid w:val="18B3004A"/>
    <w:rsid w:val="18B31B6D"/>
    <w:rsid w:val="18B96080"/>
    <w:rsid w:val="18C80D5B"/>
    <w:rsid w:val="18CE20EA"/>
    <w:rsid w:val="18DB2CD8"/>
    <w:rsid w:val="18F67868"/>
    <w:rsid w:val="190B2D88"/>
    <w:rsid w:val="190B5C5B"/>
    <w:rsid w:val="190E6B63"/>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15D02"/>
    <w:rsid w:val="1A725422"/>
    <w:rsid w:val="1A7840BB"/>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70CA1"/>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4032FE"/>
    <w:rsid w:val="1C555978"/>
    <w:rsid w:val="1C6554A1"/>
    <w:rsid w:val="1C7971B7"/>
    <w:rsid w:val="1C8036FB"/>
    <w:rsid w:val="1C917D91"/>
    <w:rsid w:val="1CAB2820"/>
    <w:rsid w:val="1CC45CDD"/>
    <w:rsid w:val="1CD402EC"/>
    <w:rsid w:val="1CED16EF"/>
    <w:rsid w:val="1CF02333"/>
    <w:rsid w:val="1CF80317"/>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41786"/>
    <w:rsid w:val="1DD8524D"/>
    <w:rsid w:val="1DDD2BCB"/>
    <w:rsid w:val="1E0345E3"/>
    <w:rsid w:val="1E1B7B7F"/>
    <w:rsid w:val="1E2F53D8"/>
    <w:rsid w:val="1E443370"/>
    <w:rsid w:val="1E5F5CBE"/>
    <w:rsid w:val="1E6257AE"/>
    <w:rsid w:val="1E656063"/>
    <w:rsid w:val="1E6B06A5"/>
    <w:rsid w:val="1E7554E1"/>
    <w:rsid w:val="1E7F7D9E"/>
    <w:rsid w:val="1E840DA4"/>
    <w:rsid w:val="1EA5444C"/>
    <w:rsid w:val="1EA5569B"/>
    <w:rsid w:val="1EB350EF"/>
    <w:rsid w:val="1EC21749"/>
    <w:rsid w:val="1ECD4970"/>
    <w:rsid w:val="1EEB7C4E"/>
    <w:rsid w:val="1F072441"/>
    <w:rsid w:val="1F171B83"/>
    <w:rsid w:val="1F2D4691"/>
    <w:rsid w:val="1F2D491A"/>
    <w:rsid w:val="1F3F789D"/>
    <w:rsid w:val="1F4570D0"/>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50673"/>
    <w:rsid w:val="210F579E"/>
    <w:rsid w:val="21163FF0"/>
    <w:rsid w:val="21184117"/>
    <w:rsid w:val="211A4903"/>
    <w:rsid w:val="211B39F2"/>
    <w:rsid w:val="212550B5"/>
    <w:rsid w:val="21592B62"/>
    <w:rsid w:val="2172049B"/>
    <w:rsid w:val="21747CD2"/>
    <w:rsid w:val="219263AA"/>
    <w:rsid w:val="219E5782"/>
    <w:rsid w:val="21A8797C"/>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2F54EA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9A1BA6"/>
    <w:rsid w:val="23B57016"/>
    <w:rsid w:val="23C4797E"/>
    <w:rsid w:val="23CD5478"/>
    <w:rsid w:val="23D4764B"/>
    <w:rsid w:val="23EC3718"/>
    <w:rsid w:val="23EE304F"/>
    <w:rsid w:val="23FD7010"/>
    <w:rsid w:val="240243FC"/>
    <w:rsid w:val="24044EF2"/>
    <w:rsid w:val="2407139D"/>
    <w:rsid w:val="240B04F4"/>
    <w:rsid w:val="240D4A99"/>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51032A"/>
    <w:rsid w:val="257572C3"/>
    <w:rsid w:val="25790E85"/>
    <w:rsid w:val="258D6E68"/>
    <w:rsid w:val="258E70E1"/>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703A9"/>
    <w:rsid w:val="26EF24ED"/>
    <w:rsid w:val="26F1408A"/>
    <w:rsid w:val="26F86CAF"/>
    <w:rsid w:val="26F96584"/>
    <w:rsid w:val="26FC4FA5"/>
    <w:rsid w:val="27015370"/>
    <w:rsid w:val="270B421F"/>
    <w:rsid w:val="271F6B87"/>
    <w:rsid w:val="274E2228"/>
    <w:rsid w:val="274F2647"/>
    <w:rsid w:val="27517A93"/>
    <w:rsid w:val="27565784"/>
    <w:rsid w:val="275E53AF"/>
    <w:rsid w:val="27606603"/>
    <w:rsid w:val="276658E8"/>
    <w:rsid w:val="276F6846"/>
    <w:rsid w:val="277D71B5"/>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6A598B"/>
    <w:rsid w:val="288C2D07"/>
    <w:rsid w:val="289E7E22"/>
    <w:rsid w:val="28C2534B"/>
    <w:rsid w:val="28C5525A"/>
    <w:rsid w:val="28D14B96"/>
    <w:rsid w:val="29020C46"/>
    <w:rsid w:val="290240C7"/>
    <w:rsid w:val="291713AF"/>
    <w:rsid w:val="29176C82"/>
    <w:rsid w:val="291A2B97"/>
    <w:rsid w:val="29274EE0"/>
    <w:rsid w:val="29361D11"/>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457300"/>
    <w:rsid w:val="2A4A7E78"/>
    <w:rsid w:val="2A5372C6"/>
    <w:rsid w:val="2A5A558B"/>
    <w:rsid w:val="2A5B03D8"/>
    <w:rsid w:val="2A6F6D07"/>
    <w:rsid w:val="2A852253"/>
    <w:rsid w:val="2A882500"/>
    <w:rsid w:val="2A9A007E"/>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8E1990"/>
    <w:rsid w:val="2B9E4F56"/>
    <w:rsid w:val="2BD96984"/>
    <w:rsid w:val="2BDB5A88"/>
    <w:rsid w:val="2BDB6BA0"/>
    <w:rsid w:val="2BE91C37"/>
    <w:rsid w:val="2BEC3F72"/>
    <w:rsid w:val="2C083572"/>
    <w:rsid w:val="2C185F94"/>
    <w:rsid w:val="2C1F1AC4"/>
    <w:rsid w:val="2C2945BA"/>
    <w:rsid w:val="2C2E71FC"/>
    <w:rsid w:val="2C3047F6"/>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517119"/>
    <w:rsid w:val="2D6F134E"/>
    <w:rsid w:val="2D835174"/>
    <w:rsid w:val="2D9331F9"/>
    <w:rsid w:val="2DB573A3"/>
    <w:rsid w:val="2DD90B7B"/>
    <w:rsid w:val="2DD92C6B"/>
    <w:rsid w:val="2DDD3FC1"/>
    <w:rsid w:val="2DE107CF"/>
    <w:rsid w:val="2DE531B8"/>
    <w:rsid w:val="2DEA131C"/>
    <w:rsid w:val="2DF701D8"/>
    <w:rsid w:val="2DF970A1"/>
    <w:rsid w:val="2E0665A9"/>
    <w:rsid w:val="2E085834"/>
    <w:rsid w:val="2E1034F8"/>
    <w:rsid w:val="2E112405"/>
    <w:rsid w:val="2E120D8E"/>
    <w:rsid w:val="2E310CF9"/>
    <w:rsid w:val="2E443652"/>
    <w:rsid w:val="2E505773"/>
    <w:rsid w:val="2E5C0A3D"/>
    <w:rsid w:val="2E6C2DE0"/>
    <w:rsid w:val="2E742F70"/>
    <w:rsid w:val="2E9077CD"/>
    <w:rsid w:val="2E9574DA"/>
    <w:rsid w:val="2E9A689E"/>
    <w:rsid w:val="2ED61D9E"/>
    <w:rsid w:val="2EDC2A13"/>
    <w:rsid w:val="2EFD7DB9"/>
    <w:rsid w:val="2F1A081D"/>
    <w:rsid w:val="2F1C72B3"/>
    <w:rsid w:val="2F1E3DC0"/>
    <w:rsid w:val="2F212704"/>
    <w:rsid w:val="2F2D326E"/>
    <w:rsid w:val="2F3112DE"/>
    <w:rsid w:val="2F3B6922"/>
    <w:rsid w:val="2F3D7B25"/>
    <w:rsid w:val="2F480119"/>
    <w:rsid w:val="2F506C6D"/>
    <w:rsid w:val="2F512253"/>
    <w:rsid w:val="2F51291F"/>
    <w:rsid w:val="2F55758A"/>
    <w:rsid w:val="2F68074A"/>
    <w:rsid w:val="2F6A6270"/>
    <w:rsid w:val="2F7F15AE"/>
    <w:rsid w:val="2F912594"/>
    <w:rsid w:val="2FA54796"/>
    <w:rsid w:val="2FA674E2"/>
    <w:rsid w:val="2FE15D9D"/>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310F4"/>
    <w:rsid w:val="30B8125D"/>
    <w:rsid w:val="30B87D63"/>
    <w:rsid w:val="30BF439A"/>
    <w:rsid w:val="30CF6A37"/>
    <w:rsid w:val="30D250CF"/>
    <w:rsid w:val="30E7260A"/>
    <w:rsid w:val="31002970"/>
    <w:rsid w:val="311016AD"/>
    <w:rsid w:val="31220DA0"/>
    <w:rsid w:val="31253A1B"/>
    <w:rsid w:val="3136622A"/>
    <w:rsid w:val="31393501"/>
    <w:rsid w:val="3139422E"/>
    <w:rsid w:val="31496359"/>
    <w:rsid w:val="314D19A6"/>
    <w:rsid w:val="31580A38"/>
    <w:rsid w:val="316177A4"/>
    <w:rsid w:val="316A69FC"/>
    <w:rsid w:val="31700E4B"/>
    <w:rsid w:val="3172683C"/>
    <w:rsid w:val="31771119"/>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364B30"/>
    <w:rsid w:val="32367636"/>
    <w:rsid w:val="32422E70"/>
    <w:rsid w:val="325E56C6"/>
    <w:rsid w:val="32696CB3"/>
    <w:rsid w:val="3275698A"/>
    <w:rsid w:val="327C0679"/>
    <w:rsid w:val="32870EE7"/>
    <w:rsid w:val="32943B86"/>
    <w:rsid w:val="32A93829"/>
    <w:rsid w:val="32B943EC"/>
    <w:rsid w:val="32B9519B"/>
    <w:rsid w:val="32DC63A0"/>
    <w:rsid w:val="32E429C1"/>
    <w:rsid w:val="330503EE"/>
    <w:rsid w:val="33274478"/>
    <w:rsid w:val="334045BE"/>
    <w:rsid w:val="33490893"/>
    <w:rsid w:val="334A3B2A"/>
    <w:rsid w:val="334F1945"/>
    <w:rsid w:val="3365592E"/>
    <w:rsid w:val="336A31F3"/>
    <w:rsid w:val="336F6533"/>
    <w:rsid w:val="337E5E2F"/>
    <w:rsid w:val="3384610D"/>
    <w:rsid w:val="33AA5979"/>
    <w:rsid w:val="33C03E90"/>
    <w:rsid w:val="33C96649"/>
    <w:rsid w:val="33CB0B6D"/>
    <w:rsid w:val="33CC3D88"/>
    <w:rsid w:val="33D939C5"/>
    <w:rsid w:val="33DD0306"/>
    <w:rsid w:val="33FD722F"/>
    <w:rsid w:val="3400362D"/>
    <w:rsid w:val="340B09C5"/>
    <w:rsid w:val="341E4CAB"/>
    <w:rsid w:val="342B07DA"/>
    <w:rsid w:val="34584EE2"/>
    <w:rsid w:val="347A1C51"/>
    <w:rsid w:val="347D373F"/>
    <w:rsid w:val="34922A93"/>
    <w:rsid w:val="34956481"/>
    <w:rsid w:val="34A35871"/>
    <w:rsid w:val="34C06C9D"/>
    <w:rsid w:val="34C46423"/>
    <w:rsid w:val="34DF24AE"/>
    <w:rsid w:val="351C4931"/>
    <w:rsid w:val="351C4EAC"/>
    <w:rsid w:val="351D4C26"/>
    <w:rsid w:val="352B46F4"/>
    <w:rsid w:val="352E7D40"/>
    <w:rsid w:val="35361A77"/>
    <w:rsid w:val="35461A22"/>
    <w:rsid w:val="35483CC9"/>
    <w:rsid w:val="354B08F2"/>
    <w:rsid w:val="35571045"/>
    <w:rsid w:val="35675000"/>
    <w:rsid w:val="356E46AA"/>
    <w:rsid w:val="357235B0"/>
    <w:rsid w:val="3578502D"/>
    <w:rsid w:val="3586192A"/>
    <w:rsid w:val="358625C7"/>
    <w:rsid w:val="35A815CB"/>
    <w:rsid w:val="35A85BD0"/>
    <w:rsid w:val="35AA1B9C"/>
    <w:rsid w:val="35D119BA"/>
    <w:rsid w:val="35D501BC"/>
    <w:rsid w:val="35DB09A6"/>
    <w:rsid w:val="36080591"/>
    <w:rsid w:val="3609472F"/>
    <w:rsid w:val="36203B2D"/>
    <w:rsid w:val="363E0457"/>
    <w:rsid w:val="365B4B65"/>
    <w:rsid w:val="36730100"/>
    <w:rsid w:val="369B4CF0"/>
    <w:rsid w:val="36D62629"/>
    <w:rsid w:val="36D76172"/>
    <w:rsid w:val="36D84407"/>
    <w:rsid w:val="36E833BB"/>
    <w:rsid w:val="36EB1E1B"/>
    <w:rsid w:val="36F17F0D"/>
    <w:rsid w:val="36FB00F6"/>
    <w:rsid w:val="370F6B05"/>
    <w:rsid w:val="37103BA1"/>
    <w:rsid w:val="37224581"/>
    <w:rsid w:val="3735197D"/>
    <w:rsid w:val="373756A2"/>
    <w:rsid w:val="374A416C"/>
    <w:rsid w:val="375E0DA6"/>
    <w:rsid w:val="377639AE"/>
    <w:rsid w:val="378142CB"/>
    <w:rsid w:val="378B61A6"/>
    <w:rsid w:val="37B90F0B"/>
    <w:rsid w:val="37CD3F98"/>
    <w:rsid w:val="37DF75BA"/>
    <w:rsid w:val="37E148E2"/>
    <w:rsid w:val="37F848EE"/>
    <w:rsid w:val="37F912FC"/>
    <w:rsid w:val="380D59EE"/>
    <w:rsid w:val="38304889"/>
    <w:rsid w:val="3836588A"/>
    <w:rsid w:val="38382675"/>
    <w:rsid w:val="383B7B0D"/>
    <w:rsid w:val="3848553B"/>
    <w:rsid w:val="3851700B"/>
    <w:rsid w:val="385246B6"/>
    <w:rsid w:val="385B0E4C"/>
    <w:rsid w:val="385E6B8E"/>
    <w:rsid w:val="38613F89"/>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BC5ED6"/>
    <w:rsid w:val="39D27231"/>
    <w:rsid w:val="39E82BB3"/>
    <w:rsid w:val="39EB39E0"/>
    <w:rsid w:val="39EF02D4"/>
    <w:rsid w:val="3A11342A"/>
    <w:rsid w:val="3A153110"/>
    <w:rsid w:val="3A2149EA"/>
    <w:rsid w:val="3A231E3E"/>
    <w:rsid w:val="3A2507C0"/>
    <w:rsid w:val="3A285AD8"/>
    <w:rsid w:val="3A393FA7"/>
    <w:rsid w:val="3A3A5A22"/>
    <w:rsid w:val="3A3E63E3"/>
    <w:rsid w:val="3A524858"/>
    <w:rsid w:val="3A64203E"/>
    <w:rsid w:val="3A663D00"/>
    <w:rsid w:val="3A7428D0"/>
    <w:rsid w:val="3A747EDD"/>
    <w:rsid w:val="3A923AE4"/>
    <w:rsid w:val="3AA50E25"/>
    <w:rsid w:val="3AC566E3"/>
    <w:rsid w:val="3AD6747A"/>
    <w:rsid w:val="3AD95C48"/>
    <w:rsid w:val="3ADF5D0A"/>
    <w:rsid w:val="3AE16E59"/>
    <w:rsid w:val="3B312338"/>
    <w:rsid w:val="3B3C5B77"/>
    <w:rsid w:val="3B3D0FF2"/>
    <w:rsid w:val="3B4F0A10"/>
    <w:rsid w:val="3B501351"/>
    <w:rsid w:val="3B521A18"/>
    <w:rsid w:val="3B813A52"/>
    <w:rsid w:val="3B8D2B96"/>
    <w:rsid w:val="3B923660"/>
    <w:rsid w:val="3BA26D92"/>
    <w:rsid w:val="3BCA44BE"/>
    <w:rsid w:val="3C061F3A"/>
    <w:rsid w:val="3C0A04F9"/>
    <w:rsid w:val="3C392385"/>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8289D"/>
    <w:rsid w:val="3DB900C1"/>
    <w:rsid w:val="3DC3040A"/>
    <w:rsid w:val="3DE51866"/>
    <w:rsid w:val="3DE91725"/>
    <w:rsid w:val="3DEA2D86"/>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C41290"/>
    <w:rsid w:val="3FF46B18"/>
    <w:rsid w:val="3FF74A2E"/>
    <w:rsid w:val="3FFC36E2"/>
    <w:rsid w:val="4005572D"/>
    <w:rsid w:val="402833BA"/>
    <w:rsid w:val="40283C2B"/>
    <w:rsid w:val="40394FD1"/>
    <w:rsid w:val="40425879"/>
    <w:rsid w:val="405C1C05"/>
    <w:rsid w:val="40765D15"/>
    <w:rsid w:val="407B4FC1"/>
    <w:rsid w:val="407F2DE9"/>
    <w:rsid w:val="40866C82"/>
    <w:rsid w:val="40920B61"/>
    <w:rsid w:val="40953369"/>
    <w:rsid w:val="40991379"/>
    <w:rsid w:val="409B3C3D"/>
    <w:rsid w:val="409F1D81"/>
    <w:rsid w:val="40F701DF"/>
    <w:rsid w:val="40FD480A"/>
    <w:rsid w:val="41076015"/>
    <w:rsid w:val="411B59C4"/>
    <w:rsid w:val="41270E47"/>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113F6"/>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32C7D"/>
    <w:rsid w:val="44366C11"/>
    <w:rsid w:val="444946CA"/>
    <w:rsid w:val="444B3F54"/>
    <w:rsid w:val="4476661F"/>
    <w:rsid w:val="447E3AC5"/>
    <w:rsid w:val="44805ED4"/>
    <w:rsid w:val="448E5DEE"/>
    <w:rsid w:val="449E4142"/>
    <w:rsid w:val="44A00C9C"/>
    <w:rsid w:val="44A90BAA"/>
    <w:rsid w:val="44B24A20"/>
    <w:rsid w:val="44BC0BEE"/>
    <w:rsid w:val="44BC0EC5"/>
    <w:rsid w:val="44BE3C36"/>
    <w:rsid w:val="44BF6C07"/>
    <w:rsid w:val="44C24001"/>
    <w:rsid w:val="44C55A88"/>
    <w:rsid w:val="44FB1C9C"/>
    <w:rsid w:val="45392A13"/>
    <w:rsid w:val="453B098B"/>
    <w:rsid w:val="453E3FCF"/>
    <w:rsid w:val="454F1836"/>
    <w:rsid w:val="45887B45"/>
    <w:rsid w:val="458B66DF"/>
    <w:rsid w:val="45940F0E"/>
    <w:rsid w:val="459E29AE"/>
    <w:rsid w:val="45AC5DBA"/>
    <w:rsid w:val="45C647AF"/>
    <w:rsid w:val="45DD529D"/>
    <w:rsid w:val="45E429BB"/>
    <w:rsid w:val="45E57886"/>
    <w:rsid w:val="45E945CC"/>
    <w:rsid w:val="45EF0E26"/>
    <w:rsid w:val="46003076"/>
    <w:rsid w:val="46026F63"/>
    <w:rsid w:val="460A5C60"/>
    <w:rsid w:val="46113492"/>
    <w:rsid w:val="46177E29"/>
    <w:rsid w:val="46205B7F"/>
    <w:rsid w:val="462A6010"/>
    <w:rsid w:val="465D501C"/>
    <w:rsid w:val="466367DB"/>
    <w:rsid w:val="46686D18"/>
    <w:rsid w:val="466D15DA"/>
    <w:rsid w:val="4673185A"/>
    <w:rsid w:val="46BF7E28"/>
    <w:rsid w:val="46C3037C"/>
    <w:rsid w:val="46EF26BD"/>
    <w:rsid w:val="46FF15E0"/>
    <w:rsid w:val="4700581C"/>
    <w:rsid w:val="4702516A"/>
    <w:rsid w:val="47094169"/>
    <w:rsid w:val="4724600B"/>
    <w:rsid w:val="472E597E"/>
    <w:rsid w:val="474A4B33"/>
    <w:rsid w:val="47665A15"/>
    <w:rsid w:val="47677941"/>
    <w:rsid w:val="47690EAD"/>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35370"/>
    <w:rsid w:val="48566773"/>
    <w:rsid w:val="485A23C2"/>
    <w:rsid w:val="48623B31"/>
    <w:rsid w:val="48691107"/>
    <w:rsid w:val="48895289"/>
    <w:rsid w:val="48A16B62"/>
    <w:rsid w:val="48AE0D54"/>
    <w:rsid w:val="48BC6222"/>
    <w:rsid w:val="48C245E9"/>
    <w:rsid w:val="48DB312A"/>
    <w:rsid w:val="48DF49D9"/>
    <w:rsid w:val="48FB0953"/>
    <w:rsid w:val="48FC21D7"/>
    <w:rsid w:val="49042E3A"/>
    <w:rsid w:val="492108CC"/>
    <w:rsid w:val="49413F52"/>
    <w:rsid w:val="494F6304"/>
    <w:rsid w:val="49792B95"/>
    <w:rsid w:val="497C0C22"/>
    <w:rsid w:val="49F11610"/>
    <w:rsid w:val="4A05334F"/>
    <w:rsid w:val="4A060864"/>
    <w:rsid w:val="4A1403AA"/>
    <w:rsid w:val="4A244932"/>
    <w:rsid w:val="4A2922C8"/>
    <w:rsid w:val="4A4117B2"/>
    <w:rsid w:val="4A4A6F73"/>
    <w:rsid w:val="4A7A4350"/>
    <w:rsid w:val="4A7B1703"/>
    <w:rsid w:val="4A7E2497"/>
    <w:rsid w:val="4A896826"/>
    <w:rsid w:val="4A954692"/>
    <w:rsid w:val="4A9C318A"/>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BF74ED8"/>
    <w:rsid w:val="4C1C2A09"/>
    <w:rsid w:val="4C284AD9"/>
    <w:rsid w:val="4C423098"/>
    <w:rsid w:val="4C694192"/>
    <w:rsid w:val="4C7964D9"/>
    <w:rsid w:val="4C8C5620"/>
    <w:rsid w:val="4C9269F6"/>
    <w:rsid w:val="4CB15E0E"/>
    <w:rsid w:val="4CB75F07"/>
    <w:rsid w:val="4CC84335"/>
    <w:rsid w:val="4CD22B0F"/>
    <w:rsid w:val="4CD73C36"/>
    <w:rsid w:val="4CDA3E72"/>
    <w:rsid w:val="4CE4545C"/>
    <w:rsid w:val="4CE9350A"/>
    <w:rsid w:val="4D014937"/>
    <w:rsid w:val="4D0B0C3B"/>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E0709"/>
    <w:rsid w:val="4DF26A56"/>
    <w:rsid w:val="4DF47921"/>
    <w:rsid w:val="4DFC14EA"/>
    <w:rsid w:val="4DFF6815"/>
    <w:rsid w:val="4E0A3427"/>
    <w:rsid w:val="4E0F6509"/>
    <w:rsid w:val="4E2423AC"/>
    <w:rsid w:val="4E261AA5"/>
    <w:rsid w:val="4E287F63"/>
    <w:rsid w:val="4E304B5D"/>
    <w:rsid w:val="4E3F66C2"/>
    <w:rsid w:val="4E485577"/>
    <w:rsid w:val="4E611B8B"/>
    <w:rsid w:val="4E6279D7"/>
    <w:rsid w:val="4E682F8C"/>
    <w:rsid w:val="4E6A7BB7"/>
    <w:rsid w:val="4E6C5D89"/>
    <w:rsid w:val="4E8B1908"/>
    <w:rsid w:val="4E9133C2"/>
    <w:rsid w:val="4EB23220"/>
    <w:rsid w:val="4EE661F8"/>
    <w:rsid w:val="4EF27A04"/>
    <w:rsid w:val="4F0773B4"/>
    <w:rsid w:val="4F241019"/>
    <w:rsid w:val="4F307BB1"/>
    <w:rsid w:val="4F336227"/>
    <w:rsid w:val="4F3C3EF2"/>
    <w:rsid w:val="4F3D562D"/>
    <w:rsid w:val="4F4C1097"/>
    <w:rsid w:val="4F5C4EE0"/>
    <w:rsid w:val="4F681AF1"/>
    <w:rsid w:val="4F6E1972"/>
    <w:rsid w:val="4F943166"/>
    <w:rsid w:val="4F9C19A5"/>
    <w:rsid w:val="4FBA02A1"/>
    <w:rsid w:val="4FE7106E"/>
    <w:rsid w:val="4FF82FCD"/>
    <w:rsid w:val="50053943"/>
    <w:rsid w:val="501C0736"/>
    <w:rsid w:val="50260569"/>
    <w:rsid w:val="503415A0"/>
    <w:rsid w:val="50374A3C"/>
    <w:rsid w:val="50487AB0"/>
    <w:rsid w:val="50550E55"/>
    <w:rsid w:val="50615016"/>
    <w:rsid w:val="50901457"/>
    <w:rsid w:val="509F43E4"/>
    <w:rsid w:val="50A54D3E"/>
    <w:rsid w:val="50B82E88"/>
    <w:rsid w:val="50BB32A7"/>
    <w:rsid w:val="50CC5CB2"/>
    <w:rsid w:val="50F1402B"/>
    <w:rsid w:val="50FD2AD9"/>
    <w:rsid w:val="51081E85"/>
    <w:rsid w:val="51097D9A"/>
    <w:rsid w:val="51237D2E"/>
    <w:rsid w:val="51361778"/>
    <w:rsid w:val="515B06D0"/>
    <w:rsid w:val="515F3C13"/>
    <w:rsid w:val="51764AF1"/>
    <w:rsid w:val="51996737"/>
    <w:rsid w:val="51B408B8"/>
    <w:rsid w:val="51B7353F"/>
    <w:rsid w:val="51B80848"/>
    <w:rsid w:val="51CC0868"/>
    <w:rsid w:val="51D5340F"/>
    <w:rsid w:val="5228116F"/>
    <w:rsid w:val="52287B99"/>
    <w:rsid w:val="52382F2A"/>
    <w:rsid w:val="52386E3D"/>
    <w:rsid w:val="523A7DD1"/>
    <w:rsid w:val="523B7711"/>
    <w:rsid w:val="5271774C"/>
    <w:rsid w:val="527A416D"/>
    <w:rsid w:val="528D7B65"/>
    <w:rsid w:val="52992845"/>
    <w:rsid w:val="52AA11D3"/>
    <w:rsid w:val="52B256B5"/>
    <w:rsid w:val="52C84ED8"/>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6E3CD2"/>
    <w:rsid w:val="537155BE"/>
    <w:rsid w:val="53757C6B"/>
    <w:rsid w:val="537E1075"/>
    <w:rsid w:val="539A4AC7"/>
    <w:rsid w:val="53A44D07"/>
    <w:rsid w:val="53A46AC8"/>
    <w:rsid w:val="53AB7F1F"/>
    <w:rsid w:val="53AC6F7B"/>
    <w:rsid w:val="53C01F4F"/>
    <w:rsid w:val="53EB297B"/>
    <w:rsid w:val="53EC4BF7"/>
    <w:rsid w:val="53F046E7"/>
    <w:rsid w:val="53F671DE"/>
    <w:rsid w:val="53F758A1"/>
    <w:rsid w:val="540D5A7F"/>
    <w:rsid w:val="542E2BC2"/>
    <w:rsid w:val="54352A96"/>
    <w:rsid w:val="54447390"/>
    <w:rsid w:val="544B514D"/>
    <w:rsid w:val="545C2F28"/>
    <w:rsid w:val="545E1D01"/>
    <w:rsid w:val="54674051"/>
    <w:rsid w:val="54935B8F"/>
    <w:rsid w:val="549635BC"/>
    <w:rsid w:val="549D3677"/>
    <w:rsid w:val="54B03E76"/>
    <w:rsid w:val="54BF230B"/>
    <w:rsid w:val="54CC6227"/>
    <w:rsid w:val="54D10F9B"/>
    <w:rsid w:val="54D97871"/>
    <w:rsid w:val="550B5550"/>
    <w:rsid w:val="551760C5"/>
    <w:rsid w:val="551D586C"/>
    <w:rsid w:val="55200298"/>
    <w:rsid w:val="55335E1B"/>
    <w:rsid w:val="5536079B"/>
    <w:rsid w:val="554B7EF0"/>
    <w:rsid w:val="556F3D99"/>
    <w:rsid w:val="55720837"/>
    <w:rsid w:val="55860894"/>
    <w:rsid w:val="558F6181"/>
    <w:rsid w:val="55B02DF1"/>
    <w:rsid w:val="55B8083D"/>
    <w:rsid w:val="55D47A00"/>
    <w:rsid w:val="55D5456D"/>
    <w:rsid w:val="55DC290C"/>
    <w:rsid w:val="55E71B19"/>
    <w:rsid w:val="55EA5D64"/>
    <w:rsid w:val="55F01FA1"/>
    <w:rsid w:val="55FC19B9"/>
    <w:rsid w:val="56130B60"/>
    <w:rsid w:val="56234F28"/>
    <w:rsid w:val="562C1C22"/>
    <w:rsid w:val="565F400E"/>
    <w:rsid w:val="56717635"/>
    <w:rsid w:val="56990B7C"/>
    <w:rsid w:val="569E1126"/>
    <w:rsid w:val="56A8690E"/>
    <w:rsid w:val="56B679AB"/>
    <w:rsid w:val="56B80DEB"/>
    <w:rsid w:val="56E0560F"/>
    <w:rsid w:val="56E06E61"/>
    <w:rsid w:val="56EF3C74"/>
    <w:rsid w:val="56F653FE"/>
    <w:rsid w:val="56FE33B8"/>
    <w:rsid w:val="57007337"/>
    <w:rsid w:val="574448FC"/>
    <w:rsid w:val="57561D39"/>
    <w:rsid w:val="575B7AFD"/>
    <w:rsid w:val="57655DBD"/>
    <w:rsid w:val="57660D3F"/>
    <w:rsid w:val="5785783C"/>
    <w:rsid w:val="578F06BB"/>
    <w:rsid w:val="57CC4BC2"/>
    <w:rsid w:val="57D10760"/>
    <w:rsid w:val="57D1153D"/>
    <w:rsid w:val="57D77297"/>
    <w:rsid w:val="57FA3774"/>
    <w:rsid w:val="58084A3C"/>
    <w:rsid w:val="581E27FC"/>
    <w:rsid w:val="582772A7"/>
    <w:rsid w:val="5847689F"/>
    <w:rsid w:val="58490869"/>
    <w:rsid w:val="58531B77"/>
    <w:rsid w:val="585D2975"/>
    <w:rsid w:val="585E3492"/>
    <w:rsid w:val="585F64F9"/>
    <w:rsid w:val="587E3341"/>
    <w:rsid w:val="587F428B"/>
    <w:rsid w:val="58843A9C"/>
    <w:rsid w:val="5893668E"/>
    <w:rsid w:val="589917F1"/>
    <w:rsid w:val="58A55CE6"/>
    <w:rsid w:val="58B31855"/>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6437F"/>
    <w:rsid w:val="59DA4E01"/>
    <w:rsid w:val="59F64E82"/>
    <w:rsid w:val="5A0A5DD6"/>
    <w:rsid w:val="5A10435C"/>
    <w:rsid w:val="5A2654CC"/>
    <w:rsid w:val="5A323A44"/>
    <w:rsid w:val="5A395E66"/>
    <w:rsid w:val="5A44753A"/>
    <w:rsid w:val="5A476FBE"/>
    <w:rsid w:val="5A484352"/>
    <w:rsid w:val="5A4A429E"/>
    <w:rsid w:val="5A5321A5"/>
    <w:rsid w:val="5A783688"/>
    <w:rsid w:val="5A8734AF"/>
    <w:rsid w:val="5A981634"/>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8B4EDF"/>
    <w:rsid w:val="5B94004E"/>
    <w:rsid w:val="5B9A2B59"/>
    <w:rsid w:val="5BA652E6"/>
    <w:rsid w:val="5BC0085A"/>
    <w:rsid w:val="5BD668B8"/>
    <w:rsid w:val="5BE03293"/>
    <w:rsid w:val="5BF03D58"/>
    <w:rsid w:val="5BF20AFB"/>
    <w:rsid w:val="5C036F81"/>
    <w:rsid w:val="5C1A6BB2"/>
    <w:rsid w:val="5C20728C"/>
    <w:rsid w:val="5C306D31"/>
    <w:rsid w:val="5C37233A"/>
    <w:rsid w:val="5C3D6937"/>
    <w:rsid w:val="5C5355FE"/>
    <w:rsid w:val="5C5A49A5"/>
    <w:rsid w:val="5C6519EA"/>
    <w:rsid w:val="5C6715FE"/>
    <w:rsid w:val="5C6F4105"/>
    <w:rsid w:val="5CBB7F6F"/>
    <w:rsid w:val="5CC248CE"/>
    <w:rsid w:val="5D042FB1"/>
    <w:rsid w:val="5D442CB4"/>
    <w:rsid w:val="5D7C3F11"/>
    <w:rsid w:val="5D971C5A"/>
    <w:rsid w:val="5D9D49E0"/>
    <w:rsid w:val="5DA01E9E"/>
    <w:rsid w:val="5DA86032"/>
    <w:rsid w:val="5DAD3649"/>
    <w:rsid w:val="5DC310BE"/>
    <w:rsid w:val="5DDF1821"/>
    <w:rsid w:val="5DE2656A"/>
    <w:rsid w:val="5DEA2F91"/>
    <w:rsid w:val="5DF94AE0"/>
    <w:rsid w:val="5DFA3515"/>
    <w:rsid w:val="5DFA5883"/>
    <w:rsid w:val="5E224037"/>
    <w:rsid w:val="5E3146A3"/>
    <w:rsid w:val="5E442F62"/>
    <w:rsid w:val="5E6C2C5B"/>
    <w:rsid w:val="5E6E2DD8"/>
    <w:rsid w:val="5E7251A2"/>
    <w:rsid w:val="5E7C3591"/>
    <w:rsid w:val="5E9842F9"/>
    <w:rsid w:val="5E9A14A5"/>
    <w:rsid w:val="5E9D0E18"/>
    <w:rsid w:val="5EA26F25"/>
    <w:rsid w:val="5EA341D7"/>
    <w:rsid w:val="5EA755DE"/>
    <w:rsid w:val="5EAE7678"/>
    <w:rsid w:val="5ED35F0E"/>
    <w:rsid w:val="5EDF7832"/>
    <w:rsid w:val="5EFC1390"/>
    <w:rsid w:val="5EFC3EB6"/>
    <w:rsid w:val="5F03335D"/>
    <w:rsid w:val="5F0368C7"/>
    <w:rsid w:val="5F092B01"/>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65292"/>
    <w:rsid w:val="602610FD"/>
    <w:rsid w:val="602808B2"/>
    <w:rsid w:val="602C2F4B"/>
    <w:rsid w:val="602D0A71"/>
    <w:rsid w:val="60307A2A"/>
    <w:rsid w:val="603814FF"/>
    <w:rsid w:val="604109A8"/>
    <w:rsid w:val="605D2617"/>
    <w:rsid w:val="60616CDC"/>
    <w:rsid w:val="60624E53"/>
    <w:rsid w:val="606319E5"/>
    <w:rsid w:val="606B7888"/>
    <w:rsid w:val="607A77D8"/>
    <w:rsid w:val="607B3C50"/>
    <w:rsid w:val="608B6567"/>
    <w:rsid w:val="60902A4E"/>
    <w:rsid w:val="60AA3E6F"/>
    <w:rsid w:val="60DB04CD"/>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9697B"/>
    <w:rsid w:val="622F7552"/>
    <w:rsid w:val="6250406E"/>
    <w:rsid w:val="6267666C"/>
    <w:rsid w:val="627D6831"/>
    <w:rsid w:val="62811B1C"/>
    <w:rsid w:val="62A20409"/>
    <w:rsid w:val="62AE11A6"/>
    <w:rsid w:val="62AF34DE"/>
    <w:rsid w:val="62B54B44"/>
    <w:rsid w:val="62E045DA"/>
    <w:rsid w:val="62E454A1"/>
    <w:rsid w:val="62E95123"/>
    <w:rsid w:val="62EF025F"/>
    <w:rsid w:val="62F36E4C"/>
    <w:rsid w:val="62F47F8F"/>
    <w:rsid w:val="62F7233F"/>
    <w:rsid w:val="63193A22"/>
    <w:rsid w:val="631F3FB4"/>
    <w:rsid w:val="63273E9D"/>
    <w:rsid w:val="63364F75"/>
    <w:rsid w:val="6340438B"/>
    <w:rsid w:val="6353238E"/>
    <w:rsid w:val="63612AB8"/>
    <w:rsid w:val="636D7690"/>
    <w:rsid w:val="6379289B"/>
    <w:rsid w:val="637C7D45"/>
    <w:rsid w:val="637D0978"/>
    <w:rsid w:val="638906B4"/>
    <w:rsid w:val="638968B0"/>
    <w:rsid w:val="638A282C"/>
    <w:rsid w:val="6393508F"/>
    <w:rsid w:val="639A3568"/>
    <w:rsid w:val="63A75341"/>
    <w:rsid w:val="63A85E90"/>
    <w:rsid w:val="63A962DB"/>
    <w:rsid w:val="63AB1A91"/>
    <w:rsid w:val="63AD40A5"/>
    <w:rsid w:val="63B75221"/>
    <w:rsid w:val="63B82D47"/>
    <w:rsid w:val="63C74D38"/>
    <w:rsid w:val="63EA73A4"/>
    <w:rsid w:val="63EE4692"/>
    <w:rsid w:val="63FD622D"/>
    <w:rsid w:val="64177A6E"/>
    <w:rsid w:val="643F32F9"/>
    <w:rsid w:val="6445580E"/>
    <w:rsid w:val="64582686"/>
    <w:rsid w:val="64673C87"/>
    <w:rsid w:val="64877733"/>
    <w:rsid w:val="64925346"/>
    <w:rsid w:val="64A170D2"/>
    <w:rsid w:val="64A251DD"/>
    <w:rsid w:val="64BC182A"/>
    <w:rsid w:val="650242F0"/>
    <w:rsid w:val="65365B2B"/>
    <w:rsid w:val="653F447E"/>
    <w:rsid w:val="65542778"/>
    <w:rsid w:val="655829AF"/>
    <w:rsid w:val="656B70C3"/>
    <w:rsid w:val="658F4798"/>
    <w:rsid w:val="659B1EBA"/>
    <w:rsid w:val="65A11CE5"/>
    <w:rsid w:val="65A83379"/>
    <w:rsid w:val="65B461E9"/>
    <w:rsid w:val="65BE39A8"/>
    <w:rsid w:val="65C23A09"/>
    <w:rsid w:val="65D73958"/>
    <w:rsid w:val="65FB3FBE"/>
    <w:rsid w:val="660F30F2"/>
    <w:rsid w:val="66101A71"/>
    <w:rsid w:val="66171FA7"/>
    <w:rsid w:val="66247D11"/>
    <w:rsid w:val="663B3EC9"/>
    <w:rsid w:val="663F32AC"/>
    <w:rsid w:val="665A1E94"/>
    <w:rsid w:val="66682803"/>
    <w:rsid w:val="66736112"/>
    <w:rsid w:val="667F5B5B"/>
    <w:rsid w:val="66900AB1"/>
    <w:rsid w:val="66901AD8"/>
    <w:rsid w:val="6694262A"/>
    <w:rsid w:val="66990381"/>
    <w:rsid w:val="66B31B01"/>
    <w:rsid w:val="66CE1E80"/>
    <w:rsid w:val="66DF5748"/>
    <w:rsid w:val="66E362F9"/>
    <w:rsid w:val="66E47FD9"/>
    <w:rsid w:val="66E520A5"/>
    <w:rsid w:val="66F04175"/>
    <w:rsid w:val="66F127F8"/>
    <w:rsid w:val="66F44096"/>
    <w:rsid w:val="67071922"/>
    <w:rsid w:val="673A1F7F"/>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1E4749"/>
    <w:rsid w:val="68362BFB"/>
    <w:rsid w:val="683D085A"/>
    <w:rsid w:val="683F1130"/>
    <w:rsid w:val="684456A1"/>
    <w:rsid w:val="685E1363"/>
    <w:rsid w:val="687731D1"/>
    <w:rsid w:val="6878475E"/>
    <w:rsid w:val="688E1089"/>
    <w:rsid w:val="68993219"/>
    <w:rsid w:val="689E42BA"/>
    <w:rsid w:val="68A026F3"/>
    <w:rsid w:val="68AF6C13"/>
    <w:rsid w:val="68E02B24"/>
    <w:rsid w:val="68F25680"/>
    <w:rsid w:val="69074555"/>
    <w:rsid w:val="690E07C7"/>
    <w:rsid w:val="69140A20"/>
    <w:rsid w:val="69236A65"/>
    <w:rsid w:val="692E469B"/>
    <w:rsid w:val="69315C48"/>
    <w:rsid w:val="694019EC"/>
    <w:rsid w:val="694122ED"/>
    <w:rsid w:val="694841AF"/>
    <w:rsid w:val="69584DB4"/>
    <w:rsid w:val="695B5B89"/>
    <w:rsid w:val="696C3D80"/>
    <w:rsid w:val="696D7E94"/>
    <w:rsid w:val="698A5EE4"/>
    <w:rsid w:val="69922882"/>
    <w:rsid w:val="69943CA5"/>
    <w:rsid w:val="69C811ED"/>
    <w:rsid w:val="69D33070"/>
    <w:rsid w:val="69E97E75"/>
    <w:rsid w:val="69FB5D9E"/>
    <w:rsid w:val="69FF6FDA"/>
    <w:rsid w:val="6A1A3007"/>
    <w:rsid w:val="6A1E645E"/>
    <w:rsid w:val="6A3C6480"/>
    <w:rsid w:val="6A417049"/>
    <w:rsid w:val="6A576E16"/>
    <w:rsid w:val="6A7903E5"/>
    <w:rsid w:val="6A8219B9"/>
    <w:rsid w:val="6A8641F2"/>
    <w:rsid w:val="6A9701A5"/>
    <w:rsid w:val="6AA03032"/>
    <w:rsid w:val="6AA86FEC"/>
    <w:rsid w:val="6AC5732D"/>
    <w:rsid w:val="6ACB20F7"/>
    <w:rsid w:val="6ADA6AC4"/>
    <w:rsid w:val="6ADB11D6"/>
    <w:rsid w:val="6B1A2C3C"/>
    <w:rsid w:val="6B221F4E"/>
    <w:rsid w:val="6B31644D"/>
    <w:rsid w:val="6B486C86"/>
    <w:rsid w:val="6B554C72"/>
    <w:rsid w:val="6B6712DB"/>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D5C"/>
    <w:rsid w:val="6C4800AA"/>
    <w:rsid w:val="6C4D28F8"/>
    <w:rsid w:val="6C573E9C"/>
    <w:rsid w:val="6C5C23DC"/>
    <w:rsid w:val="6C6D1126"/>
    <w:rsid w:val="6C77379F"/>
    <w:rsid w:val="6C986334"/>
    <w:rsid w:val="6CA35B3A"/>
    <w:rsid w:val="6CA41A5D"/>
    <w:rsid w:val="6CA479DF"/>
    <w:rsid w:val="6CAF588C"/>
    <w:rsid w:val="6CB4638E"/>
    <w:rsid w:val="6CBF3C6A"/>
    <w:rsid w:val="6CBF5306"/>
    <w:rsid w:val="6CD930DF"/>
    <w:rsid w:val="6CDC1854"/>
    <w:rsid w:val="6CE70FA1"/>
    <w:rsid w:val="6CEB74F1"/>
    <w:rsid w:val="6CF05300"/>
    <w:rsid w:val="6CF62137"/>
    <w:rsid w:val="6CFA6351"/>
    <w:rsid w:val="6CFC3C40"/>
    <w:rsid w:val="6D2F6F7D"/>
    <w:rsid w:val="6D480984"/>
    <w:rsid w:val="6D5A33D5"/>
    <w:rsid w:val="6D8079F9"/>
    <w:rsid w:val="6DB13E57"/>
    <w:rsid w:val="6DC245A2"/>
    <w:rsid w:val="6DC71662"/>
    <w:rsid w:val="6DCD5126"/>
    <w:rsid w:val="6DDB6CB0"/>
    <w:rsid w:val="6DE21877"/>
    <w:rsid w:val="6DE52ACD"/>
    <w:rsid w:val="6DF36E56"/>
    <w:rsid w:val="6DFC0B44"/>
    <w:rsid w:val="6E041063"/>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773A4"/>
    <w:rsid w:val="6F1E2E65"/>
    <w:rsid w:val="6F2F2D9E"/>
    <w:rsid w:val="6F4147D9"/>
    <w:rsid w:val="6F581F47"/>
    <w:rsid w:val="6F5B0D5A"/>
    <w:rsid w:val="6F5C35EA"/>
    <w:rsid w:val="6F6B6A15"/>
    <w:rsid w:val="6F865AA7"/>
    <w:rsid w:val="6F947E4B"/>
    <w:rsid w:val="6FA30BDA"/>
    <w:rsid w:val="6FA75B64"/>
    <w:rsid w:val="6FB21D4C"/>
    <w:rsid w:val="6FB602B0"/>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10C1C"/>
    <w:rsid w:val="71881188"/>
    <w:rsid w:val="71946576"/>
    <w:rsid w:val="71967E84"/>
    <w:rsid w:val="7197629F"/>
    <w:rsid w:val="71A61873"/>
    <w:rsid w:val="71AF4936"/>
    <w:rsid w:val="71B12351"/>
    <w:rsid w:val="71BB4E1E"/>
    <w:rsid w:val="71D07496"/>
    <w:rsid w:val="71D75D0F"/>
    <w:rsid w:val="71F437A4"/>
    <w:rsid w:val="720D24B0"/>
    <w:rsid w:val="721919B3"/>
    <w:rsid w:val="721A6098"/>
    <w:rsid w:val="721B5CE3"/>
    <w:rsid w:val="721D18D3"/>
    <w:rsid w:val="72310D1A"/>
    <w:rsid w:val="72452668"/>
    <w:rsid w:val="72514A93"/>
    <w:rsid w:val="725D6B54"/>
    <w:rsid w:val="72986FA0"/>
    <w:rsid w:val="72A17C99"/>
    <w:rsid w:val="72A2709C"/>
    <w:rsid w:val="72A5093A"/>
    <w:rsid w:val="72AD7197"/>
    <w:rsid w:val="72AF6F7E"/>
    <w:rsid w:val="72BD2C86"/>
    <w:rsid w:val="72CD226C"/>
    <w:rsid w:val="72D27981"/>
    <w:rsid w:val="73047407"/>
    <w:rsid w:val="73047904"/>
    <w:rsid w:val="731A4E85"/>
    <w:rsid w:val="73253EFA"/>
    <w:rsid w:val="732E26DE"/>
    <w:rsid w:val="73353A6C"/>
    <w:rsid w:val="733777E5"/>
    <w:rsid w:val="734C1A6A"/>
    <w:rsid w:val="735663B7"/>
    <w:rsid w:val="735C5949"/>
    <w:rsid w:val="73671287"/>
    <w:rsid w:val="736D487B"/>
    <w:rsid w:val="73737DA5"/>
    <w:rsid w:val="73740A39"/>
    <w:rsid w:val="73783823"/>
    <w:rsid w:val="73887B3E"/>
    <w:rsid w:val="73892412"/>
    <w:rsid w:val="73927111"/>
    <w:rsid w:val="73AF2114"/>
    <w:rsid w:val="73AF381F"/>
    <w:rsid w:val="73E96BCA"/>
    <w:rsid w:val="73EE4A6E"/>
    <w:rsid w:val="740645F0"/>
    <w:rsid w:val="741048BC"/>
    <w:rsid w:val="742E78D4"/>
    <w:rsid w:val="74317498"/>
    <w:rsid w:val="74335A84"/>
    <w:rsid w:val="743A6A13"/>
    <w:rsid w:val="74582738"/>
    <w:rsid w:val="74676A28"/>
    <w:rsid w:val="747E40B6"/>
    <w:rsid w:val="74AA2238"/>
    <w:rsid w:val="74AC3224"/>
    <w:rsid w:val="74B21065"/>
    <w:rsid w:val="74B40E76"/>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B206A"/>
    <w:rsid w:val="758F1B5A"/>
    <w:rsid w:val="75907680"/>
    <w:rsid w:val="75916599"/>
    <w:rsid w:val="759926FC"/>
    <w:rsid w:val="759C29B9"/>
    <w:rsid w:val="75A24276"/>
    <w:rsid w:val="75AA231D"/>
    <w:rsid w:val="75AD6340"/>
    <w:rsid w:val="75D05B45"/>
    <w:rsid w:val="75DF5F11"/>
    <w:rsid w:val="75E8633A"/>
    <w:rsid w:val="761C0100"/>
    <w:rsid w:val="761C7166"/>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7637A"/>
    <w:rsid w:val="76FA74A7"/>
    <w:rsid w:val="77063A83"/>
    <w:rsid w:val="77076007"/>
    <w:rsid w:val="771A36A5"/>
    <w:rsid w:val="77413F7E"/>
    <w:rsid w:val="77464076"/>
    <w:rsid w:val="7758241F"/>
    <w:rsid w:val="777A7D22"/>
    <w:rsid w:val="777E28EC"/>
    <w:rsid w:val="77835654"/>
    <w:rsid w:val="778D031B"/>
    <w:rsid w:val="7797109C"/>
    <w:rsid w:val="779A2A38"/>
    <w:rsid w:val="77B4450A"/>
    <w:rsid w:val="77B46E73"/>
    <w:rsid w:val="77E37A12"/>
    <w:rsid w:val="77F42148"/>
    <w:rsid w:val="77FE3468"/>
    <w:rsid w:val="78250553"/>
    <w:rsid w:val="783B17B1"/>
    <w:rsid w:val="784A08E0"/>
    <w:rsid w:val="784E2046"/>
    <w:rsid w:val="78546F0C"/>
    <w:rsid w:val="786778FE"/>
    <w:rsid w:val="789D588A"/>
    <w:rsid w:val="78B65E3A"/>
    <w:rsid w:val="78D930EC"/>
    <w:rsid w:val="78E0091E"/>
    <w:rsid w:val="78EE1C79"/>
    <w:rsid w:val="78EE303B"/>
    <w:rsid w:val="78F85605"/>
    <w:rsid w:val="78FA66FA"/>
    <w:rsid w:val="7924080B"/>
    <w:rsid w:val="79345B6A"/>
    <w:rsid w:val="79424F6E"/>
    <w:rsid w:val="79545FF2"/>
    <w:rsid w:val="7956298E"/>
    <w:rsid w:val="795F3706"/>
    <w:rsid w:val="797239CC"/>
    <w:rsid w:val="797F54AB"/>
    <w:rsid w:val="79831473"/>
    <w:rsid w:val="79983E9C"/>
    <w:rsid w:val="7999527A"/>
    <w:rsid w:val="79A96F62"/>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345AA9"/>
    <w:rsid w:val="7B4048C1"/>
    <w:rsid w:val="7B4C5DF7"/>
    <w:rsid w:val="7B73082F"/>
    <w:rsid w:val="7B7955F9"/>
    <w:rsid w:val="7B7B492E"/>
    <w:rsid w:val="7B827A6B"/>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4A4A2C"/>
    <w:rsid w:val="7C691974"/>
    <w:rsid w:val="7C8A6570"/>
    <w:rsid w:val="7C8B7390"/>
    <w:rsid w:val="7C9B0D0E"/>
    <w:rsid w:val="7CA42B03"/>
    <w:rsid w:val="7CC55E61"/>
    <w:rsid w:val="7CC77961"/>
    <w:rsid w:val="7CCC5441"/>
    <w:rsid w:val="7CD2318A"/>
    <w:rsid w:val="7CD2702A"/>
    <w:rsid w:val="7CD34C42"/>
    <w:rsid w:val="7CD46B29"/>
    <w:rsid w:val="7CDE3FF9"/>
    <w:rsid w:val="7CE26EBF"/>
    <w:rsid w:val="7CEE3130"/>
    <w:rsid w:val="7CFC08E8"/>
    <w:rsid w:val="7CFE1373"/>
    <w:rsid w:val="7D1E1A15"/>
    <w:rsid w:val="7D1F6674"/>
    <w:rsid w:val="7D407BDD"/>
    <w:rsid w:val="7D475E29"/>
    <w:rsid w:val="7D480B34"/>
    <w:rsid w:val="7D777A3E"/>
    <w:rsid w:val="7D9005BC"/>
    <w:rsid w:val="7D9F0AD0"/>
    <w:rsid w:val="7DB22BDF"/>
    <w:rsid w:val="7DD12BB7"/>
    <w:rsid w:val="7DF223A2"/>
    <w:rsid w:val="7DFF0955"/>
    <w:rsid w:val="7E0B750E"/>
    <w:rsid w:val="7E1939E8"/>
    <w:rsid w:val="7E1A5FBC"/>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1D7072"/>
    <w:rsid w:val="7F265C58"/>
    <w:rsid w:val="7F3A3964"/>
    <w:rsid w:val="7F3B240A"/>
    <w:rsid w:val="7F4C4618"/>
    <w:rsid w:val="7F4D13A6"/>
    <w:rsid w:val="7F582CF2"/>
    <w:rsid w:val="7F951B40"/>
    <w:rsid w:val="7F9D0D00"/>
    <w:rsid w:val="7FA501CC"/>
    <w:rsid w:val="7FA820A8"/>
    <w:rsid w:val="7FA91A6A"/>
    <w:rsid w:val="7FAF2DF8"/>
    <w:rsid w:val="7FB90D50"/>
    <w:rsid w:val="7FBE053E"/>
    <w:rsid w:val="7FBF10B0"/>
    <w:rsid w:val="7FD840FD"/>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159" w:after="260" w:line="416" w:lineRule="auto"/>
      <w:ind w:firstLine="482"/>
      <w:jc w:val="left"/>
      <w:outlineLvl w:val="1"/>
    </w:pPr>
    <w:rPr>
      <w:rFonts w:ascii="Arial" w:hAnsi="Arial" w:eastAsia="黑体"/>
      <w:b/>
      <w:bCs/>
      <w:sz w:val="24"/>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line="372" w:lineRule="auto"/>
      <w:outlineLvl w:val="4"/>
    </w:pPr>
    <w:rPr>
      <w:b/>
      <w:sz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cs="宋体"/>
      <w:sz w:val="45"/>
      <w:szCs w:val="45"/>
      <w:lang w:eastAsia="en-US"/>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Info spid="_x0000_s2053"/>
    <customShpInfo spid="_x0000_s205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CD5DB9-11FD-4111-8C98-22DB7C3975A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10834</Words>
  <Characters>11354</Characters>
  <Lines>91</Lines>
  <Paragraphs>25</Paragraphs>
  <TotalTime>0</TotalTime>
  <ScaleCrop>false</ScaleCrop>
  <LinksUpToDate>false</LinksUpToDate>
  <CharactersWithSpaces>12558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2025-12-15T02:25:00Z</dcterms:created>
  <dc:creator>微软用户</dc:creator>
  <cp:lastModifiedBy>潘艳红</cp:lastModifiedBy>
  <cp:lastPrinted>2021-09-30T00:46:00Z</cp:lastPrinted>
  <dcterms:modified xsi:type="dcterms:W3CDTF">2026-03-23T00:40:04Z</dcterms:modified>
  <dc:title>驻马店市政府采购货物项目</dc:title>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7D455F866AA64FDAA877474EE83DA220_13</vt:lpwstr>
  </property>
  <property fmtid="{D5CDD505-2E9C-101B-9397-08002B2CF9AE}" pid="4" name="KSOTemplateDocerSaveRecord">
    <vt:lpwstr>eyJoZGlkIjoiMzU0MTZjMjFkMjFjOGMwYTIzNWEzZDljNjYxZWI0MmYiLCJ1c2VySWQiOiIxNjg0NTc5MjM2In0=</vt:lpwstr>
  </property>
</Properties>
</file>