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儿童心理测验综合评估系统采购项目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3A87D288">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 xml:space="preserve">6 </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04</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儿童心理测验综合评估系统采购项目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驻马店市中心医院现对儿童心理测验综合评估系统</w:t>
      </w:r>
      <w:r>
        <w:rPr>
          <w:rFonts w:hint="eastAsia" w:ascii="宋体" w:hAnsi="宋体" w:cs="宋体"/>
          <w:color w:val="auto"/>
          <w:sz w:val="21"/>
          <w:szCs w:val="21"/>
          <w:highlight w:val="none"/>
          <w:u w:val="none"/>
          <w:lang w:val="en-US" w:eastAsia="zh-CN"/>
        </w:rPr>
        <w:t>采购项目</w:t>
      </w:r>
      <w:r>
        <w:rPr>
          <w:rFonts w:hint="eastAsia" w:ascii="宋体" w:hAnsi="宋体" w:eastAsia="宋体" w:cs="宋体"/>
          <w:color w:val="auto"/>
          <w:sz w:val="21"/>
          <w:szCs w:val="21"/>
          <w:highlight w:val="none"/>
        </w:rPr>
        <w:t>进行院内</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采购，欢迎符合资格条件的供应商前来</w:t>
      </w:r>
      <w:r>
        <w:rPr>
          <w:rFonts w:hint="eastAsia" w:ascii="宋体" w:hAnsi="宋体" w:eastAsia="宋体" w:cs="宋体"/>
          <w:color w:val="auto"/>
          <w:sz w:val="21"/>
          <w:szCs w:val="21"/>
          <w:highlight w:val="none"/>
          <w:lang w:val="en-US" w:eastAsia="zh-CN"/>
        </w:rPr>
        <w:t>报名并</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eastAsia="宋体" w:cs="宋体"/>
          <w:color w:val="auto"/>
          <w:sz w:val="21"/>
          <w:szCs w:val="21"/>
          <w:highlight w:val="none"/>
          <w:shd w:val="clear" w:color="auto" w:fill="FFFFFF"/>
          <w:lang w:val="en-US" w:eastAsia="zh-CN"/>
        </w:rPr>
        <w:t>驻马店市中心医院</w:t>
      </w:r>
      <w:r>
        <w:rPr>
          <w:rFonts w:hint="eastAsia" w:ascii="宋体" w:hAnsi="宋体" w:cs="宋体"/>
          <w:color w:val="auto"/>
          <w:sz w:val="21"/>
          <w:szCs w:val="21"/>
          <w:highlight w:val="none"/>
          <w:shd w:val="clear" w:color="auto" w:fill="FFFFFF"/>
          <w:lang w:val="en-US" w:eastAsia="zh-CN"/>
        </w:rPr>
        <w:t>儿童心理测验综合评估系统采购项目</w:t>
      </w:r>
      <w:r>
        <w:rPr>
          <w:rFonts w:hint="eastAsia" w:ascii="宋体" w:hAnsi="宋体" w:eastAsia="宋体" w:cs="宋体"/>
          <w:color w:val="auto"/>
          <w:sz w:val="21"/>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color w:val="auto"/>
          <w:sz w:val="21"/>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3</w:t>
      </w:r>
      <w:bookmarkStart w:id="3" w:name="_Toc26725"/>
      <w:r>
        <w:rPr>
          <w:rFonts w:hint="eastAsia" w:ascii="宋体" w:hAnsi="宋体" w:eastAsia="宋体" w:cs="宋体"/>
          <w:color w:val="auto"/>
          <w:sz w:val="21"/>
          <w:szCs w:val="21"/>
          <w:highlight w:val="none"/>
          <w:shd w:val="clear" w:color="auto" w:fill="FFFFFF"/>
        </w:rPr>
        <w:t>、预算金额：</w:t>
      </w:r>
      <w:r>
        <w:rPr>
          <w:rFonts w:hint="eastAsia" w:ascii="宋体" w:hAnsi="宋体" w:cs="宋体"/>
          <w:color w:val="auto"/>
          <w:sz w:val="21"/>
          <w:szCs w:val="21"/>
          <w:highlight w:val="none"/>
          <w:shd w:val="clear" w:color="auto" w:fill="FFFFFF"/>
          <w:lang w:val="en-US" w:eastAsia="zh-CN"/>
        </w:rPr>
        <w:t>15万元；</w:t>
      </w:r>
    </w:p>
    <w:p w14:paraId="20C4296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交货期：合同签订后15日历天内，完成软件交付、安装调试及验收</w:t>
      </w:r>
      <w:r>
        <w:rPr>
          <w:rFonts w:hint="eastAsia" w:ascii="宋体" w:hAnsi="宋体" w:cs="宋体"/>
          <w:color w:val="auto"/>
          <w:sz w:val="21"/>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F8BB17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bookmarkStart w:id="8" w:name="_Toc30971"/>
      <w:bookmarkStart w:id="9" w:name="_Toc9562"/>
      <w:bookmarkStart w:id="10" w:name="_Toc7823"/>
      <w:bookmarkStart w:id="11" w:name="_Toc30643"/>
      <w:bookmarkStart w:id="12" w:name="_Toc23395"/>
      <w:r>
        <w:rPr>
          <w:rFonts w:hint="eastAsia" w:ascii="宋体" w:hAnsi="宋体" w:eastAsia="宋体" w:cs="宋体"/>
          <w:color w:val="auto"/>
          <w:sz w:val="21"/>
          <w:szCs w:val="21"/>
          <w:highlight w:val="none"/>
          <w:shd w:val="clear" w:color="auto" w:fill="FFFFFF"/>
          <w:lang w:val="en-US" w:eastAsia="zh-CN"/>
        </w:rPr>
        <w:t>1、具有独立承担民事责任的能力（提供营业执照或其他证明材料）；</w:t>
      </w:r>
    </w:p>
    <w:p w14:paraId="6C78894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2、具有良好的商业信誉和健全的财务会计制度（提供经审计的2024年或2025年度财务报告或者其基本开户银行出具的资信证明）；</w:t>
      </w:r>
    </w:p>
    <w:p w14:paraId="40988295">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0A21D21">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4、具有履行合同所必需的设备和专业技术能力（提供书面承诺函）；</w:t>
      </w:r>
    </w:p>
    <w:p w14:paraId="4BDC538D">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5、参加本采购活动前三年内，在经营活动中没有重大违法记录（提供书面承诺函）；</w:t>
      </w:r>
    </w:p>
    <w:p w14:paraId="7170C76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AAE4494">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7、单位负责人为同一人或者存在直接控股、管理关系的不同供应商，不得参加同一合同项下的磋商（提供承诺函）；</w:t>
      </w:r>
    </w:p>
    <w:p w14:paraId="229DA431">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8、本项目特定资格要求：</w:t>
      </w:r>
    </w:p>
    <w:p w14:paraId="3C7E5A29">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022B2130">
      <w:pPr>
        <w:keepNext w:val="0"/>
        <w:keepLines w:val="0"/>
        <w:pageBreakBefore w:val="0"/>
        <w:widowControl/>
        <w:numPr>
          <w:ilvl w:val="0"/>
          <w:numId w:val="0"/>
        </w:numPr>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报名</w:t>
      </w:r>
      <w:r>
        <w:rPr>
          <w:rFonts w:hint="eastAsia" w:ascii="宋体" w:hAnsi="宋体" w:eastAsia="宋体" w:cs="宋体"/>
          <w:color w:val="auto"/>
          <w:sz w:val="21"/>
          <w:szCs w:val="21"/>
          <w:highlight w:val="none"/>
          <w:shd w:val="clear" w:color="auto" w:fill="FFFFFF"/>
        </w:rPr>
        <w:t>时间：202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04 </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 xml:space="preserve">  </w:t>
      </w:r>
      <w:r>
        <w:rPr>
          <w:rFonts w:hint="eastAsia" w:ascii="宋体" w:hAnsi="宋体" w:eastAsia="宋体" w:cs="宋体"/>
          <w:color w:val="auto"/>
          <w:sz w:val="21"/>
          <w:szCs w:val="21"/>
          <w:highlight w:val="yellow"/>
          <w:shd w:val="clear" w:color="auto" w:fill="FFFFFF"/>
        </w:rPr>
        <w:t>日-202</w:t>
      </w:r>
      <w:r>
        <w:rPr>
          <w:rFonts w:hint="eastAsia" w:ascii="宋体" w:hAnsi="宋体" w:cs="宋体"/>
          <w:color w:val="auto"/>
          <w:sz w:val="21"/>
          <w:szCs w:val="21"/>
          <w:highlight w:val="yellow"/>
          <w:shd w:val="clear" w:color="auto" w:fill="FFFFFF"/>
          <w:lang w:val="en-US" w:eastAsia="zh-CN"/>
        </w:rPr>
        <w:t>6</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 xml:space="preserve"> 04 </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日，上午</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8：</w:t>
      </w:r>
      <w:r>
        <w:rPr>
          <w:rFonts w:hint="eastAsia" w:ascii="宋体" w:hAnsi="宋体" w:cs="宋体"/>
          <w:color w:val="auto"/>
          <w:sz w:val="21"/>
          <w:szCs w:val="21"/>
          <w:highlight w:val="none"/>
          <w:shd w:val="clear" w:color="auto" w:fill="FFFFFF"/>
          <w:lang w:val="en-US" w:eastAsia="zh-CN"/>
        </w:rPr>
        <w:t>00</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下午</w:t>
      </w:r>
      <w:r>
        <w:rPr>
          <w:rFonts w:hint="eastAsia" w:ascii="宋体" w:hAnsi="宋体" w:eastAsia="宋体" w:cs="宋体"/>
          <w:color w:val="auto"/>
          <w:sz w:val="21"/>
          <w:szCs w:val="21"/>
          <w:highlight w:val="none"/>
          <w:shd w:val="clear" w:color="auto" w:fill="FFFFFF"/>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0（北京时间，法定节假日除外）</w:t>
      </w:r>
      <w:r>
        <w:rPr>
          <w:rFonts w:hint="eastAsia" w:ascii="宋体" w:hAnsi="宋体" w:eastAsia="宋体" w:cs="宋体"/>
          <w:color w:val="auto"/>
          <w:sz w:val="21"/>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371793315@qq.com,并标明</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w:t>
      </w:r>
      <w:r>
        <w:rPr>
          <w:rFonts w:hint="eastAsia" w:ascii="宋体" w:hAnsi="宋体" w:cs="宋体"/>
          <w:color w:val="auto"/>
          <w:kern w:val="0"/>
          <w:sz w:val="21"/>
          <w:szCs w:val="21"/>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15111"/>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3604"/>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08988C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2.采购代理机构：恒信咨询管理有限公司</w:t>
      </w:r>
    </w:p>
    <w:p w14:paraId="4A3B006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地址：郑州市电厂路河南省国家大学科技园（东区）16号楼B座6楼</w:t>
      </w:r>
    </w:p>
    <w:p w14:paraId="6D71C69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联系人：杨先生</w:t>
      </w:r>
    </w:p>
    <w:p w14:paraId="6AB4CE6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yellow"/>
          <w:shd w:val="clear" w:color="auto" w:fill="FFFFFF"/>
          <w:lang w:val="en-US" w:eastAsia="zh-CN"/>
        </w:rPr>
        <w:t xml:space="preserve"> 04 </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 xml:space="preserve">  </w:t>
      </w:r>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儿童心理测验综合评估系统采购项目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4"/>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2310"/>
        <w:gridCol w:w="1455"/>
        <w:gridCol w:w="1054"/>
        <w:gridCol w:w="1683"/>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8" w:type="dxa"/>
            <w:vAlign w:val="center"/>
          </w:tcPr>
          <w:p w14:paraId="7BB0310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10" w:type="dxa"/>
            <w:vAlign w:val="center"/>
          </w:tcPr>
          <w:p w14:paraId="1C81871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设备</w:t>
            </w:r>
            <w:r>
              <w:rPr>
                <w:rFonts w:hint="eastAsia" w:ascii="宋体" w:hAnsi="宋体" w:eastAsia="宋体" w:cs="宋体"/>
                <w:b/>
                <w:bCs/>
                <w:color w:val="auto"/>
                <w:sz w:val="21"/>
                <w:szCs w:val="21"/>
                <w:highlight w:val="none"/>
              </w:rPr>
              <w:t>名称</w:t>
            </w:r>
          </w:p>
        </w:tc>
        <w:tc>
          <w:tcPr>
            <w:tcW w:w="1455" w:type="dxa"/>
            <w:vAlign w:val="center"/>
          </w:tcPr>
          <w:p w14:paraId="2AF52A7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54" w:type="dxa"/>
            <w:vAlign w:val="center"/>
          </w:tcPr>
          <w:p w14:paraId="78A9F1D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683" w:type="dxa"/>
            <w:vAlign w:val="center"/>
          </w:tcPr>
          <w:p w14:paraId="665A7C5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1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儿童心理测验综合评估系统</w:t>
            </w:r>
          </w:p>
        </w:tc>
        <w:tc>
          <w:tcPr>
            <w:tcW w:w="1455"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rPr>
              <w:t>套</w:t>
            </w:r>
          </w:p>
        </w:tc>
        <w:tc>
          <w:tcPr>
            <w:tcW w:w="1054"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lang w:val="en-US" w:eastAsia="zh-CN"/>
              </w:rPr>
              <w:t>1</w:t>
            </w:r>
          </w:p>
        </w:tc>
        <w:tc>
          <w:tcPr>
            <w:tcW w:w="1683"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 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6502"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6502"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1D93ACB5">
      <w:pPr>
        <w:bidi w:val="0"/>
        <w:rPr>
          <w:rFonts w:hint="eastAsia"/>
          <w:lang w:val="en-US" w:eastAsia="zh-CN"/>
        </w:rPr>
      </w:pPr>
    </w:p>
    <w:p w14:paraId="10E84755">
      <w:pPr>
        <w:numPr>
          <w:ilvl w:val="0"/>
          <w:numId w:val="0"/>
        </w:num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w:t>
      </w:r>
      <w:r>
        <w:rPr>
          <w:rFonts w:hint="eastAsia" w:ascii="宋体" w:hAnsi="宋体" w:cs="宋体"/>
          <w:b/>
          <w:bCs/>
          <w:color w:val="auto"/>
          <w:kern w:val="2"/>
          <w:sz w:val="24"/>
          <w:szCs w:val="24"/>
          <w:highlight w:val="none"/>
          <w:lang w:val="en-US" w:eastAsia="zh-CN" w:bidi="ar-SA"/>
        </w:rPr>
        <w:t>及配置</w:t>
      </w:r>
      <w:r>
        <w:rPr>
          <w:rFonts w:hint="eastAsia" w:ascii="宋体" w:hAnsi="宋体" w:eastAsia="宋体" w:cs="宋体"/>
          <w:b/>
          <w:bCs/>
          <w:color w:val="auto"/>
          <w:kern w:val="2"/>
          <w:sz w:val="24"/>
          <w:szCs w:val="24"/>
          <w:highlight w:val="none"/>
          <w:lang w:val="en-US" w:eastAsia="zh-CN" w:bidi="ar-SA"/>
        </w:rPr>
        <w:t>要求：</w:t>
      </w:r>
    </w:p>
    <w:p w14:paraId="482F8E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（一）技术要求</w:t>
      </w:r>
    </w:p>
    <w:p w14:paraId="05B40B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 系统适用于 0-18 岁儿童青少年，为儿童青少年提供专业心理综合评估，可全面监测儿童青少年心理与学习发展状态。</w:t>
      </w:r>
    </w:p>
    <w:p w14:paraId="63C856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 系统学习能力模块须包含评估注意力、记忆力、认知灵活性等核心指标，心理行为模块须涵盖情绪稳定性、社交适应、行为偏差等维度，筛查焦虑、多动等问题。</w:t>
      </w:r>
    </w:p>
    <w:p w14:paraId="7291AC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 系统临床用途包括辅助诊断心理障碍，为抑郁、注意力缺陷多动障碍等诊疗提供数据支撑，同时跟踪干预效果。此外可用于学校心理普查、建立成长档案，助力家庭-学校 -医疗机构协同支持青少年心理健康。</w:t>
      </w:r>
    </w:p>
    <w:p w14:paraId="2416AE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 系统所有量表均严格按照中华医学会所推出的标准化数据模型进行编写，量表的信度和效度都经过专家的严格校正，充分保证测评结果的高度准确性。</w:t>
      </w:r>
    </w:p>
    <w:p w14:paraId="1FDCE3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 系统量表类别要求：须包括但不限于心理行为综合评定、认知功能筛查、精神病学临床评定、健康状况与生存质量评定、个性与气质评定、自我能力评定、智力评定、职业能力评定、社会功能与适应能力评定、自杀心理相关评定、生活事件应激与应付方式评定、情绪综合评定、睡眠评定等≥13 种测评分类。</w:t>
      </w:r>
    </w:p>
    <w:p w14:paraId="17ED13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1.6 系统量表组成要求：不少于200个专业权威量表，包括但不限于霍兰德职业倾向问卷、中学生职业探索问卷、中学生职业成熟度量表、儿童气质问卷（4个月-1岁）、儿童气质问卷（3-7岁）、托马斯婴儿气质问卷、儿童孤独症家长评定量表(ABC)、儿童孤独症评定量表(CARS)、儿童孤独量表(CLS)、婴幼儿孤独症早期筛选量表、抑郁自评量表(SDS)、焦虑自评量表(SAS)、青少年孤独感问卷、儿童行为量表 CBCL2～3 岁、Rutter 儿童行为父母问卷、Rutter 儿童行为教师问卷、Conners 父母用问卷(PSQ)、Conners 教师用问卷(TRS)、Conners简明行为量表(ASQ)、多动症诊断标准、YALE-BROWN 强迫量表、上海市儿童多动症诊断行为量表、学龄前儿童活动调查表(PSAI)、儿童饮食行为问题筛查(IMFeD)、儿童多动症行为量表、学龄前儿童饮食行为量表(PEBS)、儿童睡眠障碍量表(SDSC)、儿童睡眠习惯问卷(CSHQ)等。</w:t>
      </w:r>
    </w:p>
    <w:p w14:paraId="3E6786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1.7 量表智能化管理：系统所有量表均须满足模块化智能管理，管理员可根据需要自行安装并可自主设置量表的属性和分类，每个部门可独立设定量表测评权限。</w:t>
      </w:r>
    </w:p>
    <w:p w14:paraId="77D364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1.8 分段测评功能：对于题数较多的测评，或因被测者的原因不能一次性完成测评的，被测者可随时根据自身情况选择暂停或终止测评，在第二次进行测评时系统将自动询问并返回至上次的测评节点继续完成测评。</w:t>
      </w:r>
    </w:p>
    <w:p w14:paraId="14E4F4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1.9 断电续评功能：对于因断电等原因导致的系统或测评终端意外终止的，系统能够自动保存来访者的最后测评状态。待供电恢复后系统将自动返回至断电时的测评节点继续完成测评。</w:t>
      </w:r>
    </w:p>
    <w:p w14:paraId="42C877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1.10 语音导读功能：系统量表(部分)配有语音导读开关，对于有阅读障碍或阅读有困难的来访者，可开启语音导读功能。系统将自动把当前的答题说明、答题内容及答题选项等通过语音（中文）朗读出来，既深化了被试者对题意的理解，又最大程度的方便了阅读困难的来访者。</w:t>
      </w:r>
    </w:p>
    <w:p w14:paraId="3A1FF8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1.11 数据备份还原功能：系统数据支持一键备份和还原。</w:t>
      </w:r>
    </w:p>
    <w:p w14:paraId="3A4F0E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1.12 测评系统与档案系统二合一：系统自动对来访者进行同步建档，以便即时保存来访者的心理测评数据，方便管理员对来访者的心理健康状态做横纵向的比较和观察。</w:t>
      </w:r>
    </w:p>
    <w:p w14:paraId="666B91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1.13 即时测评统计功能：系统采用动态数据加载技术，可即时动态统计各科室部门的测试情况，并进即时的进行汇总统计，方便管理员快速查看测评进度等。</w:t>
      </w:r>
    </w:p>
    <w:p w14:paraId="722019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1.14 心理曲线：系统可对来访者测评数据进行实时统计并生成心理曲线图，可直接反映来访者的心理素质水平和心理健康状况，便于管理人员实时了解和查看被测人员的心理变化情况以及个性、情绪、气质取向。同时，系统能够根据心理曲线图自动得出相应的分析报告，便于管理人员进行打印存档。</w:t>
      </w:r>
    </w:p>
    <w:p w14:paraId="1B6924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1.15 自定义添加量表：系统允许管理员自行添加定义所需量表，并可自主设置量表的属性和分类，不同的部门班级等可独立设定量表测评权限。管理员可实现对量表的完全管理、添加、定义；实现量表类别、名称、题目、选项、计分、因子公式、维度解释、指导建议、预警范围等条件控制等。</w:t>
      </w:r>
    </w:p>
    <w:p w14:paraId="246552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1.16 测评报告自定义：系统所有测试结果均可自动给出，并支持管理员对测评报告自定义，即管理人员可将系统给出的来访者心理健康分析报告进行自定义修改，并可将修改后的结果保存在来访者的测评报告中。当然，在需要的时候管理员还可将测评报告还原回系统原始报告。</w:t>
      </w:r>
    </w:p>
    <w:p w14:paraId="548FD8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1.17 系统支持生成来访者个体测试报告。</w:t>
      </w:r>
    </w:p>
    <w:p w14:paraId="3166BD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1.18 系统支持对个体、团体历次数据做横向汇总，生成综合的个体和团体报告。</w:t>
      </w:r>
    </w:p>
    <w:p w14:paraId="649F5B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1.19 多样化测试数据支持：系统支持机测（笔记本电脑、台式电脑、触摸一体机等）和纸测和卡测等不少于 3 种测试模式。</w:t>
      </w:r>
    </w:p>
    <w:p w14:paraId="129D31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1.20 电子签名功能：系统支持管理员及施测人员自动电子签名/签章，该功能可选择显示或隐藏。</w:t>
      </w:r>
    </w:p>
    <w:p w14:paraId="56CA1E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1.21 自助修改量表名称功能：因量表版本不同、来源渠道不同、翻译原因、医保及有关收费标准量表名称不一致问题，系统提供自助修改量表名称功能。</w:t>
      </w:r>
    </w:p>
    <w:p w14:paraId="235568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1.22、测验耗时显示与隐藏功能：系统支持管理员自助设置测验耗时是否在报告中显示。</w:t>
      </w:r>
    </w:p>
    <w:p w14:paraId="5C0A62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1.23 打印时间自由修改功能：系统支持管理员及施测人员根据需要自主修改打印报告时间。</w:t>
      </w:r>
    </w:p>
    <w:p w14:paraId="2173B5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1.24 测验时间（测查日期）自由修改功能：系统支持管理员及施测人员根据需要自主修改测验时间（测查日期）。</w:t>
      </w:r>
    </w:p>
    <w:p w14:paraId="07F6D0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1.25 动态密码保护功能：为了增加网络测验的安全性，避免木马程序及病毒攻击，系统增加登录时动态密码验证功能，并可根据需要选择是否启用该功能。</w:t>
      </w:r>
    </w:p>
    <w:p w14:paraId="6F1D68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1.26 测试年龄限制与提醒功能：部分特殊量表支持管理员自助设置量表测评的年龄范围，实现“当测试者的年龄低于或高于测评问卷的年龄范围，自动跳出提示框“该测试者年龄不符合测评要求”。</w:t>
      </w:r>
    </w:p>
    <w:p w14:paraId="155884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1.27 月度报告模块：经典常用量表，可出具月度报告（如10 天/20 天/30 天测试内容打印 1 张报告），大大避免纸张浪费，节约病例报告空间。</w:t>
      </w:r>
    </w:p>
    <w:p w14:paraId="5DB151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1.28 测评平台多样化：系统可适用于 PC 电脑、平板电脑（需要 WIFI 支持）、触摸互动一体机等多种应用平台。</w:t>
      </w:r>
    </w:p>
    <w:p w14:paraId="2A0546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1.29 分级管理功能：系统实现不少于 3 级管理功能，即实现单位、部门、患者的至少 3 级联动管理。</w:t>
      </w:r>
    </w:p>
    <w:p w14:paraId="7406DE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1.30 测评过程自动化：系统测试过程自动化，无需人工计分，系统自动保存和实时处理分析测试结果，形成被测人员的测评报告和心理档案。</w:t>
      </w:r>
    </w:p>
    <w:p w14:paraId="17F87E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1.31 统计分析功能：系统既可对整体数据进行统计，也可分科室和量表进行单独统计；或以男女性别、年龄等进行数据统计。结果使用表格和图形描述分析，直观生动。所有测试的原始答案、原始分数和标准分数均可导出到 Excel 或Word，既便于进一步的专业统计分析，也可进行数据归档。</w:t>
      </w:r>
    </w:p>
    <w:p w14:paraId="345EFD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1.32 数据查询功能：高效的数据查询功能，心理咨询师根据实际工作需要，通过任何查询条件都可方便的查询到自己需要的个体档案。</w:t>
      </w:r>
    </w:p>
    <w:p w14:paraId="02001F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1.33 测评报告生成多样化：查看个人测评报告、查看团体测评报告以及查看任意组合数据的报告，并可将测评报告导出为 Word 或 PDF 等多种格式。</w:t>
      </w:r>
    </w:p>
    <w:p w14:paraId="637D1F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1.34 智能心理预警系统：通过预警系统可筛查出有严重心理问题的人员，辅导人员可根据指导意见做相应的指导和干预，做到尽早发现尽早治疗。</w:t>
      </w:r>
    </w:p>
    <w:p w14:paraId="09A23F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1.35 高效的档案管理功能：可批量导入测评来访者信息，也可手工添加详细测评来访者信息，建立测评来访者的基本档案；当来访者测评结束以后，系统里面每个测评来访者的信息都包括了个人资料、测评结果等。</w:t>
      </w:r>
    </w:p>
    <w:p w14:paraId="1FA435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1.36 心理辅导功能：心理咨询师可根据来访者测评的结果中的说明及指导意见，对其心理问题进行进一步的辅导治疗。</w:t>
      </w:r>
    </w:p>
    <w:p w14:paraId="60716C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1.37 系统提供“诊断模式”和“指导模式”等不少于 2种报告模式可供选择。</w:t>
      </w:r>
    </w:p>
    <w:p w14:paraId="331854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1.38 多版面打印报告内容输出:系统具备 A1-A9 等≥9种版面的打印格式，并且可自由指定报告打印内容（包括数据得分、数据图表、重点提示、测评结果等），即保证报告打印的完整性、美观性，也避免敏感数据反馈给来访者。</w:t>
      </w:r>
    </w:p>
    <w:p w14:paraId="45D544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1.39 完善的数据管理：系统真实记录受测者测评的所有数据原始记录。除对测验数据进行查询、打印等基本操作外，管理者可根据不同的性别、年龄、因素对数据进行分类检索、整体状况查询及部分统计计算，测试数据还可以导入 Excel格式导出。</w:t>
      </w:r>
    </w:p>
    <w:p w14:paraId="301E9F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1.40 最高管理员对系统的服务电话、单位名称、测评模式、报告样式、报告字体、打印宽度等进行设置管理。</w:t>
      </w:r>
    </w:p>
    <w:p w14:paraId="509EE6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1.41 测评数据导出功能:根据量表名称，编号，测验日期作为查询条件，导出各量表的测评数据为 EXCEL 格式，数据内容包括测平者姓名、年龄、性别、因子分、每个答案选项等。</w:t>
      </w:r>
    </w:p>
    <w:p w14:paraId="111615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1.42 知情同意书功能。</w:t>
      </w:r>
    </w:p>
    <w:p w14:paraId="147594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1.43 登录切换功能：支持管理员与测验者一键切换功能，可避免频繁输入不同权限的人的账号密码，大大节约测试时间，提高工作效率。</w:t>
      </w:r>
    </w:p>
    <w:p w14:paraId="2724F4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1.44 测评数据录入功能：针对不适合电脑/手机直接测验的情况下采集的测试数据，支持数据直接录入并自动生成专业化的报告和档案。</w:t>
      </w:r>
    </w:p>
    <w:p w14:paraId="6FFA27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1.45 打印范围设置: 可针对来访者基本信息、图形、因子表、分数级别、因子说明、指导建议、用户答案等有选择的打印。</w:t>
      </w:r>
    </w:p>
    <w:p w14:paraId="1C6386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1.46 人性化的操作方式：系统满足人机对话，弹出式键盘（触控一体机文本框答题状态下）、鼠标双向可变性操作，简单便捷，测试时避免跳题、漏题。</w:t>
      </w:r>
    </w:p>
    <w:p w14:paraId="65CA25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1.47 系统根据当前医保政策，可以显示条目数、按照甲乙丙丁分类，并允许超级管理员自由编辑。</w:t>
      </w:r>
    </w:p>
    <w:p w14:paraId="4C824F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1.48 安装快速多模式可自由切换：系统服务器端支持一键快速安装，无需其他任何数据库和服务器配置，装完即可使用。</w:t>
      </w:r>
    </w:p>
    <w:p w14:paraId="705110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1.49 支持多种软件平台环境：系统可安装应用于Windows系列版本上，包括WindowsXP/Vista/Win7/Win8/Win10/Win Server2008/WinServer2012 等，同时支持 32 位和 64 位系统，另外，须适配国产电脑操作系统。</w:t>
      </w:r>
    </w:p>
    <w:p w14:paraId="20B331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1.50 支持多种硬件平台环境：系统可运行于普通台式机、笔记本电脑、触摸互动一体机等硬件平台。</w:t>
      </w:r>
    </w:p>
    <w:p w14:paraId="50EB98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1.51 韦氏智力测验模块：须满足 3-6岁，6-16.5岁人群智力测验与诊断要求</w:t>
      </w:r>
      <w:r>
        <w:rPr>
          <w:rFonts w:hint="eastAsia" w:ascii="宋体" w:hAnsi="宋体" w:cs="宋体"/>
          <w:b w:val="0"/>
          <w:bCs w:val="0"/>
          <w:color w:val="auto"/>
          <w:kern w:val="2"/>
          <w:sz w:val="21"/>
          <w:szCs w:val="21"/>
          <w:highlight w:val="none"/>
          <w:lang w:val="en-US" w:eastAsia="zh-CN" w:bidi="ar-SA"/>
        </w:rPr>
        <w:t>。</w:t>
      </w:r>
    </w:p>
    <w:p w14:paraId="16E7EE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1.52 人格障碍筛查及辅助诊疗功能：该模块集初筛、诊断、辅助治疗为一体。测查部分主要包括 PDQC 和 SCICP 两个测试块。PDQC 由被测者以自评的形式独立完成，用于人格障碍的初步筛查。通过该部分的测试，能初步鉴别出疑似的八种人格障碍类型（反社会型、冲动型、依赖型、偏执型、焦虑回避型等）。SCICP 是由专业人员以晤谈的形式，通过半定式提问方式，结合被测者具体描述和列举详细的实例，</w:t>
      </w:r>
    </w:p>
    <w:p w14:paraId="1F1FFA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诊断出被测者的人格障碍情况（包括多重人格障碍）。另外，在辅助诊疗部分，该模块还提供相应的干预措施及典型案例的诊疗方案供使用者学习和参考。</w:t>
      </w:r>
    </w:p>
    <w:p w14:paraId="21BA97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（二）配置要求：</w:t>
      </w:r>
    </w:p>
    <w:p w14:paraId="63820F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安装光盘1张（或安装包1份）、加密狗1只、说明书1份、专业心理测量书籍1套、保修卡+合格证1张、韦氏智力测验工具箱1套（须覆盖儿童+幼儿年龄段）、工作站1台（触摸屏，windows10 系统，8G/512G 内存）、打印机1台、头戴式高保真耳机1幅。</w:t>
      </w:r>
    </w:p>
    <w:p w14:paraId="22B3C3C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053407DD">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714ACF4F">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7F0A9B43">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13C78F8C">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合同签订后 15 日历天内，完成软件交付、安装调试及验收。</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质保期 1 年（自验收合格之日起）。</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sz w:val="21"/>
                <w:szCs w:val="21"/>
                <w:highlight w:val="none"/>
                <w:lang w:val="en-US" w:eastAsia="zh-CN"/>
              </w:rPr>
              <w:t>验收合格且收到合规增值税发票后30个工作日内，支付合同总金额90%，验收合格一年后付合同总金额 10%，付款方式为银行转账。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40B0FAA">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提供7×24小时技术支持，1小时内响应故障咨询，48小时内解决问题；另外提供终身免费升级服务（定制服务及内容除外）。</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auto"/>
                <w:sz w:val="21"/>
                <w:szCs w:val="21"/>
                <w:highlight w:val="none"/>
                <w:lang w:val="en-US" w:eastAsia="zh-CN"/>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供应商需提供完整的安装手册、操作指南等相关资料，配合采购方完成验收，验收不合格需在7个工作日内完成整改。</w:t>
            </w:r>
          </w:p>
          <w:p w14:paraId="60BBEFCD">
            <w:pPr>
              <w:pStyle w:val="16"/>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textAlignment w:val="auto"/>
              <w:rPr>
                <w:rFonts w:hint="eastAsia"/>
                <w:lang w:val="en-US" w:eastAsia="zh-CN"/>
              </w:rPr>
            </w:pPr>
            <w:r>
              <w:rPr>
                <w:rFonts w:hint="eastAsia"/>
                <w:sz w:val="21"/>
                <w:szCs w:val="21"/>
                <w:lang w:val="en-US" w:eastAsia="zh-CN"/>
              </w:rPr>
              <w:t>2、包装与运输：软件及相关资料采用规范包装，防止损坏丢失，运输费用由供应商承担，确保按时安全送达指定地点。</w:t>
            </w:r>
          </w:p>
        </w:tc>
      </w:tr>
    </w:tbl>
    <w:p w14:paraId="3B8FE738">
      <w:pPr>
        <w:pStyle w:val="24"/>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692"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15.00万元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15.00</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143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94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1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8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3E32475">
      <w:pPr>
        <w:bidi w:val="0"/>
        <w:rPr>
          <w:rFonts w:hint="eastAsia"/>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04A406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3.1具有独立承担民事责任的能力（提供营业执照或其他证明材料）；</w:t>
      </w:r>
    </w:p>
    <w:p w14:paraId="2132AF7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3.2具有良好的商业信誉和健全的财务会计制度具有良好的商业信誉和健全的财务会计制度（提供经审计的2024年或2025年度财务报告或者其基本开户银行出具的资信证明）；</w:t>
      </w:r>
    </w:p>
    <w:p w14:paraId="0CDFB4A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2C25DCE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3.4具有履行合同所必需的设备和专业技术能力（提供书面承诺函）；</w:t>
      </w:r>
    </w:p>
    <w:p w14:paraId="1DBF239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3.5参加本采购活动前三年内，在经营活动中没有重大违法记录（提供书面承诺函）；</w:t>
      </w:r>
    </w:p>
    <w:p w14:paraId="303D892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7B830A3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4C46911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5639460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不高于</w:t>
            </w:r>
            <w:r>
              <w:rPr>
                <w:rFonts w:hint="eastAsia" w:ascii="宋体" w:hAnsi="宋体" w:eastAsia="宋体" w:cs="宋体"/>
                <w:b w:val="0"/>
                <w:bCs w:val="0"/>
                <w:color w:val="auto"/>
                <w:sz w:val="24"/>
                <w:szCs w:val="24"/>
                <w:highlight w:val="none"/>
                <w:u w:val="none"/>
              </w:rPr>
              <w:t>采购预算价的为有效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p>
          <w:p w14:paraId="77ED5A8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评标基准值的确定：满足</w:t>
            </w:r>
            <w:r>
              <w:rPr>
                <w:rFonts w:hint="eastAsia" w:ascii="宋体" w:hAnsi="宋体" w:eastAsia="宋体" w:cs="宋体"/>
                <w:b w:val="0"/>
                <w:bCs w:val="0"/>
                <w:color w:val="auto"/>
                <w:sz w:val="24"/>
                <w:szCs w:val="24"/>
                <w:highlight w:val="none"/>
                <w:u w:val="none"/>
                <w:lang w:val="en-US" w:eastAsia="zh-CN"/>
              </w:rPr>
              <w:t>采购</w:t>
            </w:r>
            <w:r>
              <w:rPr>
                <w:rFonts w:hint="eastAsia" w:ascii="宋体" w:hAnsi="宋体" w:eastAsia="宋体" w:cs="宋体"/>
                <w:b w:val="0"/>
                <w:bCs w:val="0"/>
                <w:color w:val="auto"/>
                <w:sz w:val="24"/>
                <w:szCs w:val="24"/>
                <w:highlight w:val="none"/>
                <w:u w:val="none"/>
              </w:rPr>
              <w:t>文件要求且</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价格最低的有效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报价为评标基准价。</w:t>
            </w:r>
          </w:p>
          <w:p w14:paraId="6502C476">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报价得分=（评标基准价/有效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w:t>
            </w:r>
            <w:r>
              <w:rPr>
                <w:rFonts w:hint="eastAsia" w:ascii="宋体" w:hAnsi="宋体" w:eastAsia="宋体" w:cs="宋体"/>
                <w:b w:val="0"/>
                <w:bCs w:val="0"/>
                <w:color w:val="auto"/>
                <w:sz w:val="24"/>
                <w:szCs w:val="24"/>
                <w:highlight w:val="none"/>
                <w:u w:val="none"/>
                <w:lang w:val="en-US" w:eastAsia="zh-CN"/>
              </w:rPr>
              <w:t>30分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技术部分（50分）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44</w:t>
            </w:r>
            <w:r>
              <w:rPr>
                <w:rFonts w:hint="eastAsia" w:ascii="宋体" w:hAnsi="宋体" w:eastAsia="宋体" w:cs="宋体"/>
                <w:b w:val="0"/>
                <w:bCs w:val="0"/>
                <w:color w:val="auto"/>
                <w:sz w:val="24"/>
                <w:szCs w:val="24"/>
                <w:highlight w:val="none"/>
                <w:lang w:val="en-US" w:eastAsia="zh-CN"/>
              </w:rPr>
              <w:t>分</w:t>
            </w:r>
            <w:r>
              <w:rPr>
                <w:rFonts w:hint="eastAsia" w:ascii="宋体" w:hAnsi="宋体" w:cs="宋体"/>
                <w:b w:val="0"/>
                <w:bCs w:val="0"/>
                <w:color w:val="auto"/>
                <w:sz w:val="24"/>
                <w:szCs w:val="24"/>
                <w:highlight w:val="none"/>
                <w:lang w:val="en-US" w:eastAsia="zh-CN"/>
              </w:rPr>
              <w:t>）</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、技术及配置要求”的响应，所投产品全部满足磋商文件要求得</w:t>
            </w: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lang w:val="en-US" w:eastAsia="zh-CN"/>
              </w:rPr>
              <w:t>分，有一项不满足的扣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分，扣完为止；如得分为0，则磋商无效。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auto"/>
                <w:sz w:val="24"/>
                <w:szCs w:val="24"/>
                <w:highlight w:val="none"/>
                <w:lang w:val="en-US" w:eastAsia="zh-CN"/>
              </w:rPr>
              <w:t>注：</w:t>
            </w:r>
            <w:r>
              <w:rPr>
                <w:rFonts w:hint="eastAsia" w:ascii="宋体" w:hAnsi="宋体" w:cs="宋体"/>
                <w:color w:val="000000" w:themeColor="text1"/>
                <w:sz w:val="24"/>
                <w:szCs w:val="24"/>
                <w:highlight w:val="none"/>
                <w14:textFill>
                  <w14:solidFill>
                    <w14:schemeClr w14:val="tx1"/>
                  </w14:solidFill>
                </w14:textFill>
              </w:rPr>
              <w:t>1）供应商需如实填写技术偏离表</w:t>
            </w:r>
            <w:bookmarkStart w:id="79" w:name="_GoBack"/>
            <w:bookmarkEnd w:id="79"/>
            <w:r>
              <w:rPr>
                <w:rFonts w:hint="eastAsia" w:ascii="宋体" w:hAnsi="宋体" w:cs="宋体"/>
                <w:color w:val="000000" w:themeColor="text1"/>
                <w:sz w:val="24"/>
                <w:szCs w:val="24"/>
                <w:highlight w:val="none"/>
                <w14:textFill>
                  <w14:solidFill>
                    <w14:schemeClr w14:val="tx1"/>
                  </w14:solidFill>
                </w14:textFill>
              </w:rPr>
              <w:t>，并标注偏离情况。</w:t>
            </w:r>
          </w:p>
          <w:p w14:paraId="4369E3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b/>
                <w:bCs/>
                <w:sz w:val="24"/>
                <w:szCs w:val="24"/>
                <w:highlight w:val="none"/>
              </w:rPr>
              <w:t>2）供应商需提供所投</w:t>
            </w:r>
            <w:r>
              <w:rPr>
                <w:rFonts w:hint="eastAsia" w:ascii="宋体" w:hAnsi="宋体" w:cs="宋体"/>
                <w:b/>
                <w:bCs/>
                <w:sz w:val="24"/>
                <w:szCs w:val="24"/>
                <w:highlight w:val="none"/>
                <w:lang w:val="en-US" w:eastAsia="zh-CN"/>
              </w:rPr>
              <w:t>产品的</w:t>
            </w:r>
            <w:r>
              <w:rPr>
                <w:rFonts w:hint="eastAsia" w:ascii="宋体" w:hAnsi="宋体" w:cs="宋体"/>
                <w:b/>
                <w:bCs/>
                <w:sz w:val="24"/>
                <w:szCs w:val="24"/>
                <w:highlight w:val="none"/>
              </w:rPr>
              <w:t>医疗器械注册证</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，如未按要求提供，则投标无效。（非医疗器械可不提供）</w:t>
            </w:r>
          </w:p>
        </w:tc>
      </w:tr>
      <w:tr w14:paraId="5FD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continue"/>
            <w:noWrap w:val="0"/>
            <w:vAlign w:val="center"/>
          </w:tcPr>
          <w:p w14:paraId="1703AC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7F287E09">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tc>
        <w:tc>
          <w:tcPr>
            <w:tcW w:w="6770" w:type="dxa"/>
            <w:noWrap w:val="0"/>
            <w:vAlign w:val="center"/>
          </w:tcPr>
          <w:p w14:paraId="05368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根据供应商所投产品整体性能量化指标进行评价，产品技术指标能够最大程度满足采购需求，且</w:t>
            </w:r>
            <w:r>
              <w:rPr>
                <w:rFonts w:hint="eastAsia" w:ascii="宋体" w:hAnsi="宋体" w:cs="宋体"/>
                <w:color w:val="000000" w:themeColor="text1"/>
                <w:sz w:val="24"/>
                <w:szCs w:val="24"/>
                <w:highlight w:val="none"/>
                <w:lang w:val="en-US" w:eastAsia="zh-CN"/>
                <w14:textFill>
                  <w14:solidFill>
                    <w14:schemeClr w14:val="tx1"/>
                  </w14:solidFill>
                </w14:textFill>
              </w:rPr>
              <w:t>功能齐全、操作便捷</w:t>
            </w:r>
            <w:r>
              <w:rPr>
                <w:rFonts w:hint="eastAsia" w:ascii="宋体" w:hAnsi="宋体" w:cs="宋体"/>
                <w:color w:val="000000" w:themeColor="text1"/>
                <w:sz w:val="24"/>
                <w:szCs w:val="24"/>
                <w:highlight w:val="none"/>
                <w14:textFill>
                  <w14:solidFill>
                    <w14:schemeClr w14:val="tx1"/>
                  </w14:solidFill>
                </w14:textFill>
              </w:rPr>
              <w:t>安全</w:t>
            </w:r>
            <w:r>
              <w:rPr>
                <w:rFonts w:hint="eastAsia" w:ascii="宋体" w:hAnsi="宋体" w:cs="宋体"/>
                <w:color w:val="000000" w:themeColor="text1"/>
                <w:sz w:val="24"/>
                <w:szCs w:val="24"/>
                <w:highlight w:val="none"/>
                <w:lang w:val="en-US" w:eastAsia="zh-CN"/>
                <w14:textFill>
                  <w14:solidFill>
                    <w14:schemeClr w14:val="tx1"/>
                  </w14:solidFill>
                </w14:textFill>
              </w:rPr>
              <w:t>、兼容性强、智能化高</w:t>
            </w:r>
            <w:r>
              <w:rPr>
                <w:rFonts w:hint="eastAsia" w:ascii="宋体" w:hAnsi="宋体" w:cs="宋体"/>
                <w:color w:val="000000" w:themeColor="text1"/>
                <w:sz w:val="24"/>
                <w:szCs w:val="24"/>
                <w:highlight w:val="none"/>
                <w14:textFill>
                  <w14:solidFill>
                    <w14:schemeClr w14:val="tx1"/>
                  </w14:solidFill>
                </w14:textFill>
              </w:rPr>
              <w:t>等产品整体性能优异的得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分；整体性能一般的得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分；整体性能较差的得1分。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shd w:val="clear" w:color="auto" w:fill="auto"/>
            <w:noWrap w:val="0"/>
            <w:vAlign w:val="center"/>
          </w:tcPr>
          <w:p w14:paraId="79B62DF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72C318E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shd w:val="clear" w:color="auto" w:fill="auto"/>
            <w:noWrap w:val="0"/>
            <w:vAlign w:val="top"/>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tc>
      </w:tr>
      <w:tr w14:paraId="5B99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continue"/>
            <w:noWrap w:val="0"/>
            <w:vAlign w:val="center"/>
          </w:tcPr>
          <w:p w14:paraId="1E0B1D9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shd w:val="clear" w:color="auto" w:fill="auto"/>
            <w:noWrap w:val="0"/>
            <w:vAlign w:val="center"/>
          </w:tcPr>
          <w:p w14:paraId="13032DC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shd w:val="clear" w:color="auto" w:fill="auto"/>
            <w:noWrap w:val="0"/>
            <w:vAlign w:val="center"/>
          </w:tcPr>
          <w:p w14:paraId="543F0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自202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年01月01日以来具有的类似项目(以合同文件为准），每提供一份得2分，最多得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080EA7E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磋商小组根据供应商提供的售后服务体系进行打分，包括：①售后服务体系；②服务网点设立情况；③服务及时率；④售后服务人员专业性</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⑤系统升级</w:t>
            </w:r>
            <w:r>
              <w:rPr>
                <w:rFonts w:hint="eastAsia" w:ascii="宋体" w:hAnsi="宋体" w:cs="宋体"/>
                <w:b w:val="0"/>
                <w:bCs w:val="0"/>
                <w:color w:val="auto"/>
                <w:sz w:val="24"/>
                <w:szCs w:val="24"/>
                <w:highlight w:val="none"/>
                <w:lang w:val="en-US" w:eastAsia="zh-CN"/>
              </w:rPr>
              <w:t>服务方案。</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售后服务体系符合本项目特点，售后服务体系详尽、服务及时率高，售后服务人员专业性强经验丰富的，得10分。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售后服务体系符合本项目特点，售后服务体系比较详尽、服务及时率较高，售后服务人员专业能力较强的，得7分。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2"/>
              <w:pageBreakBefore w:val="0"/>
              <w:widowControl w:val="0"/>
              <w:kinsoku/>
              <w:wordWrap/>
              <w:overflowPunct/>
              <w:topLinePunct w:val="0"/>
              <w:autoSpaceDE/>
              <w:autoSpaceDN/>
              <w:bidi w:val="0"/>
              <w:adjustRightInd/>
              <w:spacing w:before="0" w:after="0"/>
              <w:textAlignment w:val="auto"/>
              <w:rPr>
                <w:rFonts w:hint="default"/>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4279D3F9">
      <w:pPr>
        <w:rPr>
          <w:rFonts w:hint="eastAsia" w:ascii="宋体" w:hAnsi="宋体" w:eastAsia="宋体" w:cs="宋体"/>
          <w:b/>
          <w:color w:val="auto"/>
          <w:highlight w:val="none"/>
        </w:rPr>
      </w:pPr>
    </w:p>
    <w:p w14:paraId="6FAD3FD6">
      <w:pPr>
        <w:bidi w:val="0"/>
        <w:rPr>
          <w:rFonts w:hint="eastAsia"/>
        </w:rPr>
      </w:pPr>
    </w:p>
    <w:p w14:paraId="3FEC0717">
      <w:pPr>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621C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5087760C">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16BB4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2"/>
        <w:ind w:firstLine="3990" w:firstLineChars="1900"/>
        <w:rPr>
          <w:rFonts w:hint="eastAsia" w:ascii="宋体" w:hAnsi="宋体" w:eastAsia="宋体" w:cs="宋体"/>
          <w:color w:val="auto"/>
          <w:sz w:val="21"/>
          <w:szCs w:val="21"/>
          <w:highlight w:val="none"/>
          <w:lang w:eastAsia="zh-CN"/>
        </w:rPr>
      </w:pPr>
    </w:p>
    <w:p w14:paraId="6111CC48">
      <w:pPr>
        <w:pStyle w:val="1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15804"/>
      <w:bookmarkStart w:id="65" w:name="_Toc226"/>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533"/>
        <w:gridCol w:w="2295"/>
        <w:gridCol w:w="2374"/>
        <w:gridCol w:w="956"/>
        <w:gridCol w:w="1399"/>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33"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29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374"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956"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99" w:type="dxa"/>
            <w:noWrap w:val="0"/>
            <w:vAlign w:val="center"/>
          </w:tcPr>
          <w:p w14:paraId="7C07C5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3"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3"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33"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95"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4"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99"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cyan"/>
              </w:rPr>
            </w:pPr>
          </w:p>
        </w:tc>
      </w:tr>
    </w:tbl>
    <w:p w14:paraId="3705E16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84E86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bCs/>
          <w:sz w:val="24"/>
          <w:szCs w:val="32"/>
          <w:highlight w:val="none"/>
          <w:lang w:val="en-US" w:eastAsia="zh-CN"/>
        </w:rPr>
        <w:t>注：</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15"/>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15"/>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15"/>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15"/>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15"/>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301" w:type="dxa"/>
            <w:noWrap w:val="0"/>
            <w:vAlign w:val="center"/>
          </w:tcPr>
          <w:p w14:paraId="56FFBDC6">
            <w:pPr>
              <w:pStyle w:val="15"/>
              <w:spacing w:line="360"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E401CFE">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asciiTheme="minorEastAsia" w:hAnsiTheme="minorEastAsia"/>
          <w:b/>
          <w:bCs/>
          <w:sz w:val="24"/>
          <w:szCs w:val="32"/>
          <w:highlight w:val="none"/>
          <w:lang w:val="en-US" w:eastAsia="zh-CN"/>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r>
        <w:rPr>
          <w:rFonts w:hint="eastAsia" w:asciiTheme="minorEastAsia" w:hAnsiTheme="minorEastAsia"/>
          <w:b/>
          <w:bCs/>
          <w:sz w:val="24"/>
          <w:szCs w:val="32"/>
          <w:highlight w:val="none"/>
          <w:lang w:eastAsia="zh-CN"/>
        </w:rPr>
        <w:t>，</w:t>
      </w:r>
      <w:r>
        <w:rPr>
          <w:rFonts w:hint="eastAsia" w:asciiTheme="minorEastAsia" w:hAnsiTheme="minorEastAsia"/>
          <w:b/>
          <w:bCs/>
          <w:sz w:val="24"/>
          <w:szCs w:val="32"/>
          <w:highlight w:val="none"/>
          <w:lang w:val="en-US" w:eastAsia="zh-CN"/>
        </w:rPr>
        <w:t>表格内容可自行添加。</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20B0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30519"/>
      <w:bookmarkStart w:id="74" w:name="_Toc13976"/>
      <w:bookmarkStart w:id="75" w:name="_Toc24693"/>
      <w:bookmarkStart w:id="76" w:name="_Toc3342"/>
      <w:bookmarkStart w:id="77" w:name="_Toc18105"/>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73D2D9CE">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07966F36">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52085B4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7978745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582C36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BAA2F4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65C27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488AF6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55CBEC8E">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197A3D6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513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4F7518A2">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0176657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C35C890">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005337">
      <w:pPr>
        <w:widowControl/>
        <w:wordWrap w:val="0"/>
        <w:spacing w:line="360" w:lineRule="auto"/>
        <w:jc w:val="center"/>
        <w:rPr>
          <w:rFonts w:hint="eastAsia" w:ascii="宋体" w:hAnsi="宋体" w:eastAsia="宋体" w:cs="宋体"/>
          <w:color w:val="auto"/>
          <w:kern w:val="0"/>
          <w:sz w:val="24"/>
          <w:highlight w:val="none"/>
        </w:rPr>
      </w:pPr>
    </w:p>
    <w:p w14:paraId="201F32AB">
      <w:pPr>
        <w:widowControl/>
        <w:wordWrap w:val="0"/>
        <w:spacing w:line="360" w:lineRule="auto"/>
        <w:jc w:val="right"/>
        <w:rPr>
          <w:rFonts w:hint="eastAsia" w:ascii="宋体" w:hAnsi="宋体" w:eastAsia="宋体" w:cs="宋体"/>
          <w:color w:val="auto"/>
          <w:kern w:val="0"/>
          <w:sz w:val="24"/>
          <w:highlight w:val="none"/>
        </w:rPr>
      </w:pPr>
    </w:p>
    <w:p w14:paraId="2647BDDF">
      <w:pPr>
        <w:widowControl/>
        <w:wordWrap w:val="0"/>
        <w:spacing w:line="360" w:lineRule="auto"/>
        <w:jc w:val="right"/>
        <w:rPr>
          <w:rFonts w:hint="eastAsia" w:ascii="宋体" w:hAnsi="宋体" w:eastAsia="宋体" w:cs="宋体"/>
          <w:color w:val="auto"/>
          <w:kern w:val="0"/>
          <w:sz w:val="24"/>
          <w:highlight w:val="none"/>
        </w:rPr>
      </w:pPr>
    </w:p>
    <w:p w14:paraId="04FBB3A7">
      <w:pPr>
        <w:widowControl/>
        <w:wordWrap w:val="0"/>
        <w:spacing w:line="360" w:lineRule="auto"/>
        <w:jc w:val="right"/>
        <w:rPr>
          <w:rFonts w:hint="eastAsia" w:ascii="宋体" w:hAnsi="宋体" w:eastAsia="宋体" w:cs="宋体"/>
          <w:color w:val="auto"/>
          <w:kern w:val="0"/>
          <w:sz w:val="24"/>
          <w:highlight w:val="none"/>
        </w:rPr>
      </w:pPr>
    </w:p>
    <w:p w14:paraId="501CD44D">
      <w:pPr>
        <w:widowControl/>
        <w:wordWrap w:val="0"/>
        <w:spacing w:line="360" w:lineRule="auto"/>
        <w:jc w:val="right"/>
        <w:rPr>
          <w:rFonts w:hint="eastAsia" w:ascii="宋体" w:hAnsi="宋体" w:eastAsia="宋体" w:cs="宋体"/>
          <w:color w:val="auto"/>
          <w:kern w:val="0"/>
          <w:sz w:val="24"/>
          <w:highlight w:val="none"/>
        </w:rPr>
      </w:pPr>
    </w:p>
    <w:p w14:paraId="54622278">
      <w:pPr>
        <w:widowControl/>
        <w:wordWrap w:val="0"/>
        <w:spacing w:line="360" w:lineRule="auto"/>
        <w:jc w:val="right"/>
        <w:rPr>
          <w:rFonts w:hint="eastAsia" w:ascii="宋体" w:hAnsi="宋体" w:eastAsia="宋体" w:cs="宋体"/>
          <w:color w:val="auto"/>
          <w:kern w:val="0"/>
          <w:sz w:val="24"/>
          <w:highlight w:val="none"/>
        </w:rPr>
      </w:pPr>
    </w:p>
    <w:p w14:paraId="425C943B">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AF0ACA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268AFF2">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512F5392">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2734080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3FF18A5C">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301A9DC1">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194F248A">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18F2A2E5">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DD8B36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0039651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2593AC46">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7A60290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8B3C637-1EC3-4589-AB1F-A2C75639094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F4283077-8EF9-42EB-BEFC-3B0A60ED3590}"/>
  </w:font>
  <w:font w:name="仿宋">
    <w:panose1 w:val="02010609060101010101"/>
    <w:charset w:val="86"/>
    <w:family w:val="modern"/>
    <w:pitch w:val="default"/>
    <w:sig w:usb0="800002BF" w:usb1="38CF7CFA" w:usb2="00000016" w:usb3="00000000" w:csb0="00040001" w:csb1="00000000"/>
    <w:embedRegular r:id="rId3" w:fontKey="{9B165857-F245-4A99-9047-B08A5A8C6377}"/>
  </w:font>
  <w:font w:name="仿宋_GB2312">
    <w:panose1 w:val="02010609030101010101"/>
    <w:charset w:val="86"/>
    <w:family w:val="auto"/>
    <w:pitch w:val="default"/>
    <w:sig w:usb0="00000001" w:usb1="080E0000" w:usb2="00000000" w:usb3="00000000" w:csb0="00040000" w:csb1="00000000"/>
    <w:embedRegular r:id="rId4" w:fontKey="{87000D84-FF69-46ED-A40E-D7AE515046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驻马店市中心医院儿童心理测验综合评估系统采购项目采购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C2CDB"/>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21DF6"/>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9D77BC7"/>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4BC3"/>
    <w:rsid w:val="0EAF71BF"/>
    <w:rsid w:val="0EBF4135"/>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B83603"/>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414706"/>
    <w:rsid w:val="127A7D1C"/>
    <w:rsid w:val="12836D8B"/>
    <w:rsid w:val="12993BC0"/>
    <w:rsid w:val="12AB0349"/>
    <w:rsid w:val="12B66520"/>
    <w:rsid w:val="12CD57F1"/>
    <w:rsid w:val="12CE5941"/>
    <w:rsid w:val="12CE7AFA"/>
    <w:rsid w:val="12D67466"/>
    <w:rsid w:val="13036052"/>
    <w:rsid w:val="13272A5D"/>
    <w:rsid w:val="132A2A6A"/>
    <w:rsid w:val="133B6A25"/>
    <w:rsid w:val="133C40E3"/>
    <w:rsid w:val="133F4BFF"/>
    <w:rsid w:val="13410069"/>
    <w:rsid w:val="13477178"/>
    <w:rsid w:val="13493108"/>
    <w:rsid w:val="134A4EBA"/>
    <w:rsid w:val="134C0495"/>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11864"/>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B1D11"/>
    <w:rsid w:val="1CAB2820"/>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1B7B7F"/>
    <w:rsid w:val="1E443370"/>
    <w:rsid w:val="1E656063"/>
    <w:rsid w:val="1E6B06A5"/>
    <w:rsid w:val="1E7554E1"/>
    <w:rsid w:val="1E7F7D9E"/>
    <w:rsid w:val="1E840DA4"/>
    <w:rsid w:val="1EA00084"/>
    <w:rsid w:val="1EA5444C"/>
    <w:rsid w:val="1EA5569B"/>
    <w:rsid w:val="1EB350EF"/>
    <w:rsid w:val="1EC21749"/>
    <w:rsid w:val="1EEB7C4E"/>
    <w:rsid w:val="1EED151B"/>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979DB"/>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3A06CC"/>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7F1496"/>
    <w:rsid w:val="2A852253"/>
    <w:rsid w:val="2A882500"/>
    <w:rsid w:val="2AA35184"/>
    <w:rsid w:val="2AAB228B"/>
    <w:rsid w:val="2AAB4E76"/>
    <w:rsid w:val="2AB63ABC"/>
    <w:rsid w:val="2AB63D0A"/>
    <w:rsid w:val="2ABC6246"/>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3D2096"/>
    <w:rsid w:val="35461A22"/>
    <w:rsid w:val="35483CC9"/>
    <w:rsid w:val="354B08F2"/>
    <w:rsid w:val="355048AF"/>
    <w:rsid w:val="35571045"/>
    <w:rsid w:val="356E46AA"/>
    <w:rsid w:val="357235B0"/>
    <w:rsid w:val="3578502D"/>
    <w:rsid w:val="3586192A"/>
    <w:rsid w:val="358625C7"/>
    <w:rsid w:val="35A815CB"/>
    <w:rsid w:val="35A85BD0"/>
    <w:rsid w:val="35AA1B9C"/>
    <w:rsid w:val="35B72868"/>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90069DD"/>
    <w:rsid w:val="3902603A"/>
    <w:rsid w:val="39030CF9"/>
    <w:rsid w:val="39091F35"/>
    <w:rsid w:val="392536E2"/>
    <w:rsid w:val="39465F15"/>
    <w:rsid w:val="39505209"/>
    <w:rsid w:val="396453C5"/>
    <w:rsid w:val="396B03BF"/>
    <w:rsid w:val="39922CCF"/>
    <w:rsid w:val="39A24859"/>
    <w:rsid w:val="39A65327"/>
    <w:rsid w:val="39A65C9B"/>
    <w:rsid w:val="39BC5ED6"/>
    <w:rsid w:val="39BD78E5"/>
    <w:rsid w:val="39D0586A"/>
    <w:rsid w:val="39D27231"/>
    <w:rsid w:val="39E82BB3"/>
    <w:rsid w:val="39EB39E0"/>
    <w:rsid w:val="39EE7A9E"/>
    <w:rsid w:val="39EF02D4"/>
    <w:rsid w:val="39F257E0"/>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700B5"/>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764E5"/>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9660E2"/>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230F1"/>
    <w:rsid w:val="433805EC"/>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45658"/>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8D4534"/>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24AEE"/>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35FD8"/>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D3E25"/>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DF6DE5"/>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5A5C92"/>
    <w:rsid w:val="595D0679"/>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26F6"/>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1B4A56"/>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04484"/>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BF28F6"/>
    <w:rsid w:val="67C4383B"/>
    <w:rsid w:val="67D0240D"/>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35A3"/>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ED1E0E"/>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976A85"/>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04DD0"/>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64A0A"/>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15220</Words>
  <Characters>16128</Characters>
  <Lines>50</Lines>
  <Paragraphs>68</Paragraphs>
  <TotalTime>0</TotalTime>
  <ScaleCrop>false</ScaleCrop>
  <LinksUpToDate>false</LinksUpToDate>
  <CharactersWithSpaces>17133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2026-04-21T02:43:17Z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