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52"/>
          <w:szCs w:val="52"/>
          <w:highlight w:val="none"/>
          <w:lang w:val="en-US" w:eastAsia="zh-CN"/>
        </w:rPr>
      </w:pPr>
      <w:bookmarkStart w:id="0" w:name="_Toc22804073"/>
      <w:bookmarkEnd w:id="0"/>
      <w:bookmarkStart w:id="1" w:name="_Toc22953395"/>
      <w:bookmarkEnd w:id="1"/>
    </w:p>
    <w:p w14:paraId="6DA753D3">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52"/>
          <w:szCs w:val="52"/>
          <w:highlight w:val="none"/>
          <w:lang w:val="en-US" w:eastAsia="zh-CN"/>
        </w:rPr>
      </w:pPr>
      <w:r>
        <w:rPr>
          <w:rFonts w:hint="eastAsia" w:ascii="宋体" w:hAnsi="宋体" w:eastAsia="宋体" w:cs="宋体"/>
          <w:b/>
          <w:bCs/>
          <w:color w:val="auto"/>
          <w:sz w:val="52"/>
          <w:szCs w:val="52"/>
          <w:highlight w:val="none"/>
          <w:lang w:val="en-US" w:eastAsia="zh-CN"/>
        </w:rPr>
        <w:t>驻马店市中心医院</w:t>
      </w:r>
    </w:p>
    <w:p w14:paraId="43B7407E">
      <w:pPr>
        <w:pStyle w:val="20"/>
        <w:bidi w:val="0"/>
        <w:jc w:val="center"/>
        <w:rPr>
          <w:rStyle w:val="45"/>
          <w:rFonts w:hint="eastAsia" w:cs="宋体"/>
          <w:b/>
          <w:bCs/>
          <w:color w:val="auto"/>
          <w:sz w:val="48"/>
          <w:szCs w:val="48"/>
          <w:highlight w:val="none"/>
          <w:lang w:val="en-US" w:eastAsia="zh-CN"/>
        </w:rPr>
      </w:pPr>
      <w:r>
        <w:rPr>
          <w:rFonts w:hint="eastAsia" w:cs="宋体"/>
          <w:b/>
          <w:bCs/>
          <w:color w:val="auto"/>
          <w:sz w:val="52"/>
          <w:szCs w:val="52"/>
          <w:highlight w:val="none"/>
          <w:lang w:val="en-US" w:eastAsia="zh-CN"/>
        </w:rPr>
        <w:t>一氧化氮治疗仪采购项目</w:t>
      </w:r>
    </w:p>
    <w:p w14:paraId="3041D311">
      <w:pPr>
        <w:pStyle w:val="20"/>
        <w:bidi w:val="0"/>
        <w:jc w:val="center"/>
        <w:rPr>
          <w:rStyle w:val="45"/>
          <w:rFonts w:hint="eastAsia" w:cs="宋体"/>
          <w:b/>
          <w:bCs/>
          <w:color w:val="auto"/>
          <w:sz w:val="44"/>
          <w:szCs w:val="44"/>
          <w:highlight w:val="none"/>
          <w:lang w:val="en-US" w:eastAsia="zh-CN"/>
        </w:rPr>
      </w:pPr>
    </w:p>
    <w:p w14:paraId="72164425">
      <w:pPr>
        <w:pStyle w:val="20"/>
        <w:bidi w:val="0"/>
        <w:jc w:val="center"/>
        <w:rPr>
          <w:rStyle w:val="45"/>
          <w:rFonts w:hint="eastAsia" w:ascii="方正公文小标宋" w:hAnsi="方正公文小标宋" w:eastAsia="方正公文小标宋" w:cs="方正公文小标宋"/>
          <w:b w:val="0"/>
          <w:bCs w:val="0"/>
          <w:color w:val="auto"/>
          <w:sz w:val="56"/>
          <w:szCs w:val="56"/>
          <w:highlight w:val="none"/>
        </w:rPr>
      </w:pPr>
      <w:r>
        <w:rPr>
          <w:rStyle w:val="45"/>
          <w:rFonts w:hint="eastAsia" w:ascii="方正公文小标宋" w:hAnsi="方正公文小标宋" w:eastAsia="方正公文小标宋" w:cs="方正公文小标宋"/>
          <w:b w:val="0"/>
          <w:bCs w:val="0"/>
          <w:color w:val="auto"/>
          <w:sz w:val="56"/>
          <w:szCs w:val="56"/>
          <w:highlight w:val="none"/>
          <w:lang w:val="en-US" w:eastAsia="zh-CN"/>
        </w:rPr>
        <w:t>竞争性磋商</w:t>
      </w:r>
      <w:r>
        <w:rPr>
          <w:rStyle w:val="45"/>
          <w:rFonts w:hint="eastAsia" w:ascii="方正公文小标宋" w:hAnsi="方正公文小标宋" w:eastAsia="方正公文小标宋" w:cs="方正公文小标宋"/>
          <w:b w:val="0"/>
          <w:bCs w:val="0"/>
          <w:color w:val="auto"/>
          <w:sz w:val="56"/>
          <w:szCs w:val="56"/>
          <w:highlight w:val="none"/>
        </w:rPr>
        <w:t>文件</w:t>
      </w:r>
    </w:p>
    <w:p w14:paraId="44E388B3">
      <w:pPr>
        <w:pStyle w:val="20"/>
        <w:bidi w:val="0"/>
        <w:jc w:val="center"/>
        <w:rPr>
          <w:rStyle w:val="45"/>
          <w:rFonts w:hint="eastAsia" w:ascii="宋体" w:hAnsi="宋体" w:eastAsia="宋体" w:cs="宋体"/>
          <w:b/>
          <w:bCs/>
          <w:color w:val="auto"/>
          <w:sz w:val="48"/>
          <w:szCs w:val="48"/>
          <w:highlight w:val="none"/>
        </w:rPr>
      </w:pPr>
    </w:p>
    <w:p w14:paraId="158E927F">
      <w:pPr>
        <w:pStyle w:val="20"/>
        <w:bidi w:val="0"/>
        <w:jc w:val="center"/>
        <w:rPr>
          <w:rStyle w:val="45"/>
          <w:rFonts w:hint="eastAsia" w:ascii="宋体" w:hAnsi="宋体" w:eastAsia="宋体" w:cs="宋体"/>
          <w:b/>
          <w:bCs/>
          <w:color w:val="auto"/>
          <w:sz w:val="48"/>
          <w:szCs w:val="48"/>
          <w:highlight w:val="none"/>
        </w:rPr>
      </w:pPr>
    </w:p>
    <w:p w14:paraId="5ABC8E99">
      <w:pPr>
        <w:pStyle w:val="20"/>
        <w:bidi w:val="0"/>
        <w:jc w:val="center"/>
        <w:rPr>
          <w:rStyle w:val="45"/>
          <w:rFonts w:hint="eastAsia" w:ascii="宋体" w:hAnsi="宋体" w:eastAsia="宋体" w:cs="宋体"/>
          <w:b/>
          <w:bCs/>
          <w:color w:val="auto"/>
          <w:sz w:val="48"/>
          <w:szCs w:val="48"/>
          <w:highlight w:val="none"/>
        </w:rPr>
      </w:pPr>
    </w:p>
    <w:p w14:paraId="7B1AF9DD">
      <w:pPr>
        <w:tabs>
          <w:tab w:val="left" w:pos="2700"/>
          <w:tab w:val="left" w:pos="2880"/>
          <w:tab w:val="left" w:pos="3060"/>
          <w:tab w:val="left" w:pos="7560"/>
        </w:tabs>
        <w:snapToGrid w:val="0"/>
        <w:spacing w:line="480" w:lineRule="auto"/>
        <w:rPr>
          <w:rFonts w:hint="eastAsia" w:ascii="宋体" w:hAnsi="宋体" w:eastAsia="宋体" w:cs="宋体"/>
          <w:b/>
          <w:bCs/>
          <w:color w:val="auto"/>
          <w:spacing w:val="-10"/>
          <w:sz w:val="34"/>
          <w:szCs w:val="34"/>
          <w:highlight w:val="none"/>
          <w:lang w:val="en-US" w:eastAsia="zh-CN"/>
        </w:rPr>
      </w:pPr>
    </w:p>
    <w:p w14:paraId="658E6190">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w:t>
      </w:r>
      <w:r>
        <w:rPr>
          <w:rFonts w:hint="eastAsia" w:ascii="宋体" w:hAnsi="宋体" w:cs="宋体"/>
          <w:b/>
          <w:bCs/>
          <w:color w:val="auto"/>
          <w:spacing w:val="-10"/>
          <w:sz w:val="34"/>
          <w:szCs w:val="34"/>
          <w:highlight w:val="none"/>
          <w:lang w:val="en-US" w:eastAsia="zh-CN"/>
        </w:rPr>
        <w:t>河南博库工程咨询有限公司</w:t>
      </w:r>
    </w:p>
    <w:p w14:paraId="4FCBE59C">
      <w:pPr>
        <w:tabs>
          <w:tab w:val="left" w:pos="2700"/>
          <w:tab w:val="left" w:pos="2880"/>
          <w:tab w:val="left" w:pos="3060"/>
          <w:tab w:val="left" w:pos="7560"/>
        </w:tabs>
        <w:snapToGrid w:val="0"/>
        <w:spacing w:line="480" w:lineRule="auto"/>
        <w:ind w:firstLine="1928" w:firstLineChars="6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日        期：202</w:t>
      </w:r>
      <w:r>
        <w:rPr>
          <w:rFonts w:hint="eastAsia" w:ascii="宋体" w:hAnsi="宋体" w:cs="宋体"/>
          <w:b/>
          <w:bCs/>
          <w:color w:val="auto"/>
          <w:spacing w:val="-10"/>
          <w:sz w:val="34"/>
          <w:szCs w:val="34"/>
          <w:highlight w:val="none"/>
          <w:lang w:val="en-US" w:eastAsia="zh-CN"/>
        </w:rPr>
        <w:t>6</w:t>
      </w:r>
      <w:r>
        <w:rPr>
          <w:rFonts w:hint="eastAsia" w:ascii="宋体" w:hAnsi="宋体" w:eastAsia="宋体" w:cs="宋体"/>
          <w:b/>
          <w:bCs/>
          <w:color w:val="auto"/>
          <w:spacing w:val="-10"/>
          <w:sz w:val="34"/>
          <w:szCs w:val="34"/>
          <w:highlight w:val="none"/>
          <w:lang w:val="en-US" w:eastAsia="zh-CN"/>
        </w:rPr>
        <w:t>年</w:t>
      </w:r>
      <w:r>
        <w:rPr>
          <w:rFonts w:hint="eastAsia" w:ascii="宋体" w:hAnsi="宋体" w:cs="宋体"/>
          <w:b/>
          <w:bCs/>
          <w:color w:val="auto"/>
          <w:spacing w:val="-10"/>
          <w:sz w:val="34"/>
          <w:szCs w:val="34"/>
          <w:highlight w:val="none"/>
          <w:lang w:val="en-US" w:eastAsia="zh-CN"/>
        </w:rPr>
        <w:t>6</w:t>
      </w:r>
      <w:r>
        <w:rPr>
          <w:rFonts w:hint="eastAsia" w:ascii="宋体" w:hAnsi="宋体" w:eastAsia="宋体" w:cs="宋体"/>
          <w:b/>
          <w:bCs/>
          <w:color w:val="auto"/>
          <w:spacing w:val="-10"/>
          <w:sz w:val="34"/>
          <w:szCs w:val="34"/>
          <w:highlight w:val="none"/>
          <w:lang w:val="en-US" w:eastAsia="zh-CN"/>
        </w:rPr>
        <w:t>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4"/>
        <w:rPr>
          <w:rFonts w:hint="eastAsia" w:ascii="宋体" w:hAnsi="宋体" w:eastAsia="宋体" w:cs="宋体"/>
          <w:color w:val="auto"/>
          <w:highlight w:val="none"/>
        </w:rPr>
      </w:pPr>
    </w:p>
    <w:p w14:paraId="5621469A">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_Toc26528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40"/>
          <w:highlight w:val="none"/>
        </w:rPr>
        <w:t xml:space="preserve">第一章  </w:t>
      </w:r>
      <w:r>
        <w:rPr>
          <w:rFonts w:hint="eastAsia" w:ascii="宋体" w:hAnsi="宋体" w:eastAsia="宋体" w:cs="宋体"/>
          <w:color w:val="auto"/>
          <w:sz w:val="24"/>
          <w:szCs w:val="40"/>
          <w:highlight w:val="none"/>
          <w:lang w:val="en-US" w:eastAsia="zh-CN"/>
        </w:rPr>
        <w:t>竞争性磋商</w:t>
      </w:r>
      <w:r>
        <w:rPr>
          <w:rFonts w:hint="eastAsia" w:ascii="宋体" w:hAnsi="宋体" w:eastAsia="宋体" w:cs="宋体"/>
          <w:color w:val="auto"/>
          <w:sz w:val="24"/>
          <w:szCs w:val="40"/>
          <w:highlight w:val="none"/>
        </w:rPr>
        <w:t>公告</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_Toc26528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2</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78C5A8E5">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_Toc19124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40"/>
          <w:highlight w:val="none"/>
        </w:rPr>
        <w:t xml:space="preserve">第二章  </w:t>
      </w:r>
      <w:r>
        <w:rPr>
          <w:rFonts w:hint="eastAsia" w:ascii="宋体" w:hAnsi="宋体" w:eastAsia="宋体" w:cs="宋体"/>
          <w:color w:val="auto"/>
          <w:sz w:val="24"/>
          <w:szCs w:val="40"/>
          <w:highlight w:val="none"/>
          <w:lang w:eastAsia="zh-CN"/>
        </w:rPr>
        <w:t>采购</w:t>
      </w:r>
      <w:r>
        <w:rPr>
          <w:rFonts w:hint="eastAsia" w:ascii="宋体" w:hAnsi="宋体" w:eastAsia="宋体" w:cs="宋体"/>
          <w:color w:val="auto"/>
          <w:sz w:val="24"/>
          <w:szCs w:val="40"/>
          <w:highlight w:val="none"/>
        </w:rPr>
        <w:t>需求</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_Toc19124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4</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2B55758C">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_Toc8501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bCs/>
          <w:color w:val="auto"/>
          <w:sz w:val="24"/>
          <w:szCs w:val="40"/>
          <w:highlight w:val="none"/>
        </w:rPr>
        <w:t xml:space="preserve">第三章  </w:t>
      </w:r>
      <w:r>
        <w:rPr>
          <w:rFonts w:hint="eastAsia" w:ascii="宋体" w:hAnsi="宋体" w:eastAsia="宋体" w:cs="宋体"/>
          <w:bCs/>
          <w:color w:val="auto"/>
          <w:sz w:val="24"/>
          <w:szCs w:val="40"/>
          <w:highlight w:val="none"/>
          <w:lang w:eastAsia="zh-CN"/>
        </w:rPr>
        <w:t>供应商</w:t>
      </w:r>
      <w:r>
        <w:rPr>
          <w:rFonts w:hint="eastAsia" w:ascii="宋体" w:hAnsi="宋体" w:eastAsia="宋体" w:cs="宋体"/>
          <w:bCs/>
          <w:color w:val="auto"/>
          <w:sz w:val="24"/>
          <w:szCs w:val="40"/>
          <w:highlight w:val="none"/>
        </w:rPr>
        <w:t>须知</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_Toc8501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8</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31D52CE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_Toc31399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bCs/>
          <w:color w:val="auto"/>
          <w:kern w:val="0"/>
          <w:sz w:val="24"/>
          <w:szCs w:val="40"/>
          <w:highlight w:val="none"/>
        </w:rPr>
        <w:t>第四章  评标办法及评分标准</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_Toc31399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17</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5C59EEF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_Toc11904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36"/>
          <w:highlight w:val="none"/>
        </w:rPr>
        <w:t>第五章  采购合同</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_Toc11904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19</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399D6560">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_Toc18702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40"/>
          <w:highlight w:val="none"/>
        </w:rPr>
        <w:t xml:space="preserve">第六章  </w:t>
      </w:r>
      <w:r>
        <w:rPr>
          <w:rFonts w:hint="eastAsia" w:ascii="宋体" w:hAnsi="宋体" w:eastAsia="宋体" w:cs="宋体"/>
          <w:color w:val="auto"/>
          <w:sz w:val="24"/>
          <w:szCs w:val="40"/>
          <w:highlight w:val="none"/>
          <w:lang w:val="en-US" w:eastAsia="zh-CN"/>
        </w:rPr>
        <w:t>响应</w:t>
      </w:r>
      <w:r>
        <w:rPr>
          <w:rFonts w:hint="eastAsia" w:ascii="宋体" w:hAnsi="宋体" w:eastAsia="宋体" w:cs="宋体"/>
          <w:color w:val="auto"/>
          <w:sz w:val="24"/>
          <w:szCs w:val="40"/>
          <w:highlight w:val="none"/>
        </w:rPr>
        <w:t>文件格式</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_Toc18702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26</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001E219C">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u w:val="none"/>
          <w:lang w:val="en-US" w:eastAsia="zh-CN"/>
        </w:rPr>
      </w:pPr>
      <w:r>
        <w:rPr>
          <w:rFonts w:hint="eastAsia" w:ascii="宋体" w:hAnsi="宋体" w:eastAsia="宋体" w:cs="宋体"/>
          <w:b/>
          <w:bCs w:val="0"/>
          <w:color w:val="auto"/>
          <w:kern w:val="0"/>
          <w:sz w:val="28"/>
          <w:szCs w:val="28"/>
          <w:highlight w:val="none"/>
          <w:u w:val="none"/>
          <w:lang w:val="en-US" w:eastAsia="zh-CN"/>
        </w:rPr>
        <w:t>驻马店市中心医院</w:t>
      </w:r>
      <w:r>
        <w:rPr>
          <w:rFonts w:hint="eastAsia" w:ascii="宋体" w:hAnsi="宋体" w:cs="宋体"/>
          <w:b/>
          <w:bCs w:val="0"/>
          <w:color w:val="auto"/>
          <w:kern w:val="0"/>
          <w:sz w:val="28"/>
          <w:szCs w:val="28"/>
          <w:highlight w:val="none"/>
          <w:u w:val="none"/>
          <w:lang w:val="en-US" w:eastAsia="zh-CN"/>
        </w:rPr>
        <w:t>一氧化氮治疗仪采购项目</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32"/>
          <w:highlight w:val="none"/>
        </w:rPr>
        <w:t>驻马店市中心医院现对</w:t>
      </w:r>
      <w:r>
        <w:rPr>
          <w:rFonts w:hint="eastAsia" w:ascii="宋体" w:hAnsi="宋体" w:cs="宋体"/>
          <w:color w:val="auto"/>
          <w:sz w:val="24"/>
          <w:szCs w:val="32"/>
          <w:highlight w:val="none"/>
          <w:u w:val="single"/>
          <w:lang w:val="en-US" w:eastAsia="zh-CN"/>
        </w:rPr>
        <w:t>一氧化氮治疗仪采购项目</w:t>
      </w:r>
      <w:r>
        <w:rPr>
          <w:rFonts w:hint="eastAsia" w:ascii="宋体" w:hAnsi="宋体" w:eastAsia="宋体" w:cs="宋体"/>
          <w:color w:val="auto"/>
          <w:sz w:val="24"/>
          <w:szCs w:val="32"/>
          <w:highlight w:val="none"/>
        </w:rPr>
        <w:t>进行院内</w:t>
      </w:r>
      <w:r>
        <w:rPr>
          <w:rFonts w:hint="eastAsia" w:ascii="宋体" w:hAnsi="宋体" w:eastAsia="宋体" w:cs="宋体"/>
          <w:color w:val="auto"/>
          <w:sz w:val="24"/>
          <w:szCs w:val="32"/>
          <w:highlight w:val="none"/>
          <w:lang w:val="en-US" w:eastAsia="zh-CN"/>
        </w:rPr>
        <w:t>竞争性磋商</w:t>
      </w:r>
      <w:r>
        <w:rPr>
          <w:rFonts w:hint="eastAsia" w:ascii="宋体" w:hAnsi="宋体" w:eastAsia="宋体" w:cs="宋体"/>
          <w:color w:val="auto"/>
          <w:sz w:val="24"/>
          <w:szCs w:val="32"/>
          <w:highlight w:val="none"/>
        </w:rPr>
        <w:t>采购，欢迎符合资格条件的供应商前来</w:t>
      </w:r>
      <w:r>
        <w:rPr>
          <w:rFonts w:hint="eastAsia" w:ascii="宋体" w:hAnsi="宋体" w:eastAsia="宋体" w:cs="宋体"/>
          <w:color w:val="auto"/>
          <w:sz w:val="24"/>
          <w:szCs w:val="32"/>
          <w:highlight w:val="none"/>
          <w:lang w:val="en-US" w:eastAsia="zh-CN"/>
        </w:rPr>
        <w:t>报名并</w:t>
      </w:r>
      <w:r>
        <w:rPr>
          <w:rFonts w:hint="eastAsia" w:ascii="宋体" w:hAnsi="宋体" w:eastAsia="宋体" w:cs="宋体"/>
          <w:color w:val="auto"/>
          <w:sz w:val="24"/>
          <w:szCs w:val="24"/>
          <w:highlight w:val="none"/>
        </w:rPr>
        <w:t>获取</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采购</w:t>
      </w:r>
      <w:r>
        <w:rPr>
          <w:rFonts w:hint="eastAsia" w:ascii="宋体" w:hAnsi="宋体" w:eastAsia="宋体" w:cs="宋体"/>
          <w:color w:val="auto"/>
          <w:sz w:val="24"/>
          <w:szCs w:val="24"/>
          <w:highlight w:val="none"/>
          <w:shd w:val="clear" w:color="auto" w:fill="FFFFFF"/>
        </w:rPr>
        <w:t>项目名称：</w:t>
      </w:r>
      <w:r>
        <w:rPr>
          <w:rFonts w:hint="eastAsia" w:ascii="宋体" w:hAnsi="宋体" w:eastAsia="宋体" w:cs="宋体"/>
          <w:color w:val="auto"/>
          <w:sz w:val="24"/>
          <w:szCs w:val="24"/>
          <w:highlight w:val="none"/>
          <w:shd w:val="clear" w:color="auto" w:fill="FFFFFF"/>
          <w:lang w:val="en-US" w:eastAsia="zh-CN"/>
        </w:rPr>
        <w:t>驻马店市中心医院</w:t>
      </w:r>
      <w:r>
        <w:rPr>
          <w:rFonts w:hint="eastAsia" w:ascii="宋体" w:hAnsi="宋体" w:cs="宋体"/>
          <w:color w:val="auto"/>
          <w:sz w:val="24"/>
          <w:szCs w:val="24"/>
          <w:highlight w:val="none"/>
          <w:shd w:val="clear" w:color="auto" w:fill="FFFFFF"/>
          <w:lang w:val="en-US" w:eastAsia="zh-CN"/>
        </w:rPr>
        <w:t>一氧化氮治疗仪采购项目</w:t>
      </w:r>
      <w:r>
        <w:rPr>
          <w:rFonts w:hint="eastAsia" w:ascii="宋体" w:hAnsi="宋体" w:eastAsia="宋体" w:cs="宋体"/>
          <w:color w:val="auto"/>
          <w:sz w:val="24"/>
          <w:szCs w:val="24"/>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2、采购需求</w:t>
      </w:r>
      <w:r>
        <w:rPr>
          <w:rFonts w:hint="eastAsia" w:ascii="宋体" w:hAnsi="宋体" w:eastAsia="宋体" w:cs="宋体"/>
          <w:color w:val="auto"/>
          <w:sz w:val="24"/>
          <w:szCs w:val="24"/>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3</w:t>
      </w:r>
      <w:bookmarkStart w:id="3" w:name="_Toc26725"/>
      <w:r>
        <w:rPr>
          <w:rFonts w:hint="eastAsia" w:ascii="宋体" w:hAnsi="宋体" w:eastAsia="宋体" w:cs="宋体"/>
          <w:color w:val="auto"/>
          <w:sz w:val="24"/>
          <w:szCs w:val="24"/>
          <w:highlight w:val="none"/>
          <w:shd w:val="clear" w:color="auto" w:fill="FFFFFF"/>
        </w:rPr>
        <w:t>、预算金额：38万元</w:t>
      </w:r>
    </w:p>
    <w:p w14:paraId="20C42964">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4</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交货期：合同签订后30日内交货</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bookmarkStart w:id="4" w:name="_Toc23626"/>
      <w:bookmarkStart w:id="5" w:name="_Toc27704"/>
      <w:bookmarkStart w:id="6" w:name="_Toc16639"/>
      <w:bookmarkStart w:id="7" w:name="_Toc18607"/>
      <w:r>
        <w:rPr>
          <w:rFonts w:hint="eastAsia" w:ascii="宋体" w:hAnsi="宋体" w:eastAsia="宋体" w:cs="宋体"/>
          <w:b/>
          <w:bCs/>
          <w:color w:val="auto"/>
          <w:kern w:val="2"/>
          <w:sz w:val="24"/>
          <w:szCs w:val="24"/>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4"/>
          <w:szCs w:val="24"/>
          <w:highlight w:val="none"/>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bookmarkStart w:id="8" w:name="_Toc30643"/>
      <w:bookmarkStart w:id="9" w:name="_Toc30971"/>
      <w:bookmarkStart w:id="10" w:name="_Toc23395"/>
      <w:bookmarkStart w:id="11" w:name="_Toc7823"/>
      <w:bookmarkStart w:id="12" w:name="_Toc9562"/>
      <w:r>
        <w:rPr>
          <w:rFonts w:hint="eastAsia" w:ascii="宋体" w:hAnsi="宋体" w:eastAsia="宋体" w:cs="宋体"/>
          <w:color w:val="auto"/>
          <w:sz w:val="24"/>
          <w:szCs w:val="24"/>
          <w:highlight w:val="none"/>
          <w:shd w:val="clear" w:color="auto" w:fill="FFFFFF"/>
          <w:lang w:val="en-US" w:eastAsia="zh-CN"/>
        </w:rPr>
        <w:t>1、具有独立承担民事责任</w:t>
      </w:r>
      <w:r>
        <w:rPr>
          <w:rFonts w:hint="eastAsia" w:ascii="宋体" w:hAnsi="宋体" w:cs="宋体"/>
          <w:color w:val="auto"/>
          <w:sz w:val="24"/>
          <w:szCs w:val="24"/>
          <w:highlight w:val="none"/>
          <w:shd w:val="clear" w:color="auto" w:fill="FFFFFF"/>
          <w:lang w:val="en-US" w:eastAsia="zh-CN"/>
        </w:rPr>
        <w:t>的</w:t>
      </w:r>
      <w:r>
        <w:rPr>
          <w:rFonts w:hint="eastAsia" w:ascii="宋体" w:hAnsi="宋体" w:eastAsia="宋体" w:cs="宋体"/>
          <w:color w:val="auto"/>
          <w:sz w:val="24"/>
          <w:szCs w:val="24"/>
          <w:highlight w:val="none"/>
          <w:shd w:val="clear" w:color="auto" w:fill="FFFFFF"/>
          <w:lang w:val="en-US" w:eastAsia="zh-CN"/>
        </w:rPr>
        <w:t>能力</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提供营业执照或其他证明材料</w:t>
      </w:r>
      <w:r>
        <w:rPr>
          <w:rFonts w:hint="eastAsia" w:ascii="宋体" w:hAnsi="宋体" w:cs="宋体"/>
          <w:color w:val="auto"/>
          <w:sz w:val="24"/>
          <w:szCs w:val="24"/>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2、具有良好的商业信誉和健全的财务会计制度</w:t>
      </w:r>
      <w:r>
        <w:rPr>
          <w:rFonts w:hint="eastAsia" w:ascii="宋体" w:hAnsi="宋体" w:cs="宋体"/>
          <w:color w:val="auto"/>
          <w:sz w:val="24"/>
          <w:szCs w:val="24"/>
          <w:highlight w:val="none"/>
          <w:shd w:val="clear" w:color="auto" w:fill="FFFFFF"/>
          <w:lang w:val="en-US" w:eastAsia="zh-CN"/>
        </w:rPr>
        <w:t>（提供经审计的2024年或2025年</w:t>
      </w:r>
      <w:r>
        <w:rPr>
          <w:rFonts w:hint="eastAsia" w:ascii="宋体" w:hAnsi="宋体" w:eastAsia="宋体" w:cs="宋体"/>
          <w:color w:val="auto"/>
          <w:sz w:val="24"/>
          <w:szCs w:val="24"/>
          <w:highlight w:val="none"/>
          <w:shd w:val="clear" w:color="auto" w:fill="FFFFFF"/>
          <w:lang w:val="en-US" w:eastAsia="zh-CN"/>
        </w:rPr>
        <w:t>度财务报告或者其基本开户银行出具的资信证明</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65E6AB11">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3、具有依法缴纳税收和社会保障资金的良好记录（提供</w:t>
      </w:r>
      <w:r>
        <w:rPr>
          <w:rFonts w:hint="eastAsia" w:ascii="宋体" w:hAnsi="宋体" w:eastAsia="宋体" w:cs="宋体"/>
          <w:color w:val="auto"/>
          <w:sz w:val="24"/>
          <w:szCs w:val="24"/>
          <w:highlight w:val="none"/>
          <w:shd w:val="clear" w:color="auto" w:fill="FFFFFF"/>
          <w:lang w:val="en-US" w:eastAsia="zh-CN"/>
        </w:rPr>
        <w:t>采购活动近六个月任意一个月的依法缴纳税收和缴纳</w:t>
      </w:r>
      <w:r>
        <w:rPr>
          <w:rFonts w:hint="eastAsia" w:ascii="宋体" w:hAnsi="宋体" w:cs="宋体"/>
          <w:color w:val="auto"/>
          <w:sz w:val="24"/>
          <w:szCs w:val="24"/>
          <w:highlight w:val="none"/>
          <w:shd w:val="clear" w:color="auto" w:fill="FFFFFF"/>
          <w:lang w:val="en-US" w:eastAsia="zh-CN"/>
        </w:rPr>
        <w:t>社保</w:t>
      </w:r>
      <w:r>
        <w:rPr>
          <w:rFonts w:hint="eastAsia" w:ascii="宋体" w:hAnsi="宋体" w:eastAsia="宋体" w:cs="宋体"/>
          <w:color w:val="auto"/>
          <w:sz w:val="24"/>
          <w:szCs w:val="24"/>
          <w:highlight w:val="none"/>
          <w:shd w:val="clear" w:color="auto" w:fill="FFFFFF"/>
          <w:lang w:val="en-US" w:eastAsia="zh-CN"/>
        </w:rPr>
        <w:t>的</w:t>
      </w:r>
      <w:r>
        <w:rPr>
          <w:rFonts w:hint="eastAsia" w:ascii="宋体" w:hAnsi="宋体" w:cs="宋体"/>
          <w:color w:val="auto"/>
          <w:sz w:val="24"/>
          <w:szCs w:val="24"/>
          <w:highlight w:val="none"/>
          <w:shd w:val="clear" w:color="auto" w:fill="FFFFFF"/>
          <w:lang w:val="en-US" w:eastAsia="zh-CN"/>
        </w:rPr>
        <w:t>证明</w:t>
      </w:r>
      <w:r>
        <w:rPr>
          <w:rFonts w:hint="eastAsia" w:ascii="宋体" w:hAnsi="宋体" w:eastAsia="宋体" w:cs="宋体"/>
          <w:color w:val="auto"/>
          <w:sz w:val="24"/>
          <w:szCs w:val="24"/>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011E7EC9">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4</w:t>
      </w:r>
      <w:r>
        <w:rPr>
          <w:rFonts w:hint="eastAsia" w:ascii="宋体" w:hAnsi="宋体" w:eastAsia="宋体" w:cs="宋体"/>
          <w:color w:val="auto"/>
          <w:sz w:val="24"/>
          <w:szCs w:val="24"/>
          <w:highlight w:val="none"/>
          <w:shd w:val="clear" w:color="auto" w:fill="FFFFFF"/>
          <w:lang w:val="en-US" w:eastAsia="zh-CN"/>
        </w:rPr>
        <w:t>、具有履行合同所必需的设备和专业技术能力（提供书面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218C98F6">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color w:val="auto"/>
          <w:sz w:val="24"/>
          <w:szCs w:val="32"/>
          <w:highlight w:val="none"/>
          <w:lang w:val="en-US" w:eastAsia="zh-CN"/>
        </w:rPr>
      </w:pPr>
      <w:r>
        <w:rPr>
          <w:rFonts w:hint="eastAsia" w:ascii="宋体" w:hAnsi="宋体" w:cs="宋体"/>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lang w:val="en-US" w:eastAsia="zh-CN"/>
        </w:rPr>
        <w:t>、参加本采购活动前三年内，在经营活动中没有重大违法记录（提供书面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3F8D40C9">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磋商活动）；供应商提供的仅做为信用参考，以采购人或采购代理机构查询结果为准</w:t>
      </w:r>
      <w:r>
        <w:rPr>
          <w:rFonts w:hint="eastAsia" w:ascii="宋体" w:hAnsi="宋体" w:cs="宋体"/>
          <w:color w:val="auto"/>
          <w:sz w:val="24"/>
          <w:szCs w:val="24"/>
          <w:highlight w:val="none"/>
          <w:shd w:val="clear" w:color="auto" w:fill="FFFFFF"/>
          <w:lang w:val="en-US" w:eastAsia="zh-CN"/>
        </w:rPr>
        <w:t>。</w:t>
      </w:r>
    </w:p>
    <w:p w14:paraId="18218AED">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 w:val="24"/>
          <w:szCs w:val="24"/>
          <w:highlight w:val="none"/>
          <w:lang w:val="en-US" w:eastAsia="zh-CN"/>
        </w:rPr>
        <w:t>提供承诺</w:t>
      </w:r>
      <w:r>
        <w:rPr>
          <w:rFonts w:hint="eastAsia" w:ascii="宋体" w:hAnsi="宋体" w:cs="宋体"/>
          <w:color w:val="auto"/>
          <w:kern w:val="0"/>
          <w:sz w:val="24"/>
          <w:szCs w:val="24"/>
          <w:highlight w:val="none"/>
          <w:lang w:val="en-US" w:eastAsia="zh-CN"/>
        </w:rPr>
        <w:t>函</w:t>
      </w:r>
      <w:r>
        <w:rPr>
          <w:rFonts w:hint="eastAsia" w:ascii="宋体" w:hAnsi="宋体" w:eastAsia="宋体" w:cs="宋体"/>
          <w:color w:val="auto"/>
          <w:sz w:val="24"/>
          <w:szCs w:val="24"/>
          <w:highlight w:val="none"/>
          <w:shd w:val="clear" w:color="auto" w:fill="FFFFFF"/>
          <w:lang w:val="en-US" w:eastAsia="zh-CN"/>
        </w:rPr>
        <w:t>）。</w:t>
      </w:r>
    </w:p>
    <w:p w14:paraId="3A22D49D">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8</w:t>
      </w:r>
      <w:r>
        <w:rPr>
          <w:rFonts w:hint="eastAsia" w:ascii="宋体" w:hAnsi="宋体" w:eastAsia="宋体" w:cs="宋体"/>
          <w:color w:val="auto"/>
          <w:sz w:val="24"/>
          <w:szCs w:val="24"/>
          <w:highlight w:val="none"/>
          <w:shd w:val="clear" w:color="auto" w:fill="FFFFFF"/>
          <w:lang w:val="en-US" w:eastAsia="zh-CN"/>
        </w:rPr>
        <w:t>、</w:t>
      </w:r>
      <w:r>
        <w:rPr>
          <w:rFonts w:hint="eastAsia" w:ascii="宋体" w:hAnsi="宋体" w:cs="宋体"/>
          <w:color w:val="auto"/>
          <w:sz w:val="24"/>
          <w:szCs w:val="24"/>
          <w:highlight w:val="none"/>
          <w:shd w:val="clear" w:color="auto" w:fill="FFFFFF"/>
          <w:lang w:val="en-US" w:eastAsia="zh-CN"/>
        </w:rPr>
        <w:t>本项目</w:t>
      </w:r>
      <w:r>
        <w:rPr>
          <w:rFonts w:hint="eastAsia" w:ascii="宋体" w:hAnsi="宋体" w:eastAsia="宋体" w:cs="宋体"/>
          <w:color w:val="auto"/>
          <w:sz w:val="24"/>
          <w:szCs w:val="24"/>
          <w:highlight w:val="none"/>
          <w:shd w:val="clear" w:color="auto" w:fill="FFFFFF"/>
          <w:lang w:val="en-US" w:eastAsia="zh-CN"/>
        </w:rPr>
        <w:t>特定资格要求：投标人为代理商（经销商）时，须具有医疗器械经营许可证或医疗器械经营备案凭证（从事第一类医疗器械经营活动的除外）；投标人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p>
    <w:p w14:paraId="523822FE">
      <w:pPr>
        <w:keepNext w:val="0"/>
        <w:keepLines w:val="0"/>
        <w:pageBreakBefore w:val="0"/>
        <w:widowControl/>
        <w:numPr>
          <w:ilvl w:val="0"/>
          <w:numId w:val="0"/>
        </w:numPr>
        <w:kinsoku/>
        <w:overflowPunct/>
        <w:topLinePunct w:val="0"/>
        <w:autoSpaceDE/>
        <w:autoSpaceDN/>
        <w:bidi w:val="0"/>
        <w:snapToGrid w:val="0"/>
        <w:spacing w:before="0" w:after="0" w:line="324" w:lineRule="auto"/>
        <w:ind w:firstLine="480" w:firstLineChars="200"/>
        <w:jc w:val="left"/>
        <w:textAlignment w:val="auto"/>
        <w:outlineLvl w:val="1"/>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9、</w:t>
      </w:r>
      <w:r>
        <w:rPr>
          <w:rFonts w:hint="eastAsia" w:ascii="宋体" w:hAnsi="宋体" w:eastAsia="宋体" w:cs="宋体"/>
          <w:color w:val="auto"/>
          <w:sz w:val="24"/>
          <w:szCs w:val="24"/>
          <w:highlight w:val="none"/>
          <w:shd w:val="clear" w:color="auto" w:fill="FFFFFF"/>
          <w:lang w:val="en-US" w:eastAsia="zh-CN"/>
        </w:rPr>
        <w:t>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 报名</w:t>
      </w:r>
      <w:r>
        <w:rPr>
          <w:rFonts w:hint="eastAsia" w:ascii="宋体" w:hAnsi="宋体" w:eastAsia="宋体" w:cs="宋体"/>
          <w:color w:val="auto"/>
          <w:sz w:val="24"/>
          <w:szCs w:val="24"/>
          <w:highlight w:val="none"/>
          <w:shd w:val="clear" w:color="auto" w:fill="FFFFFF"/>
        </w:rPr>
        <w:t>时间：202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23</w:t>
      </w:r>
      <w:r>
        <w:rPr>
          <w:rFonts w:hint="eastAsia" w:ascii="宋体" w:hAnsi="宋体" w:eastAsia="宋体" w:cs="宋体"/>
          <w:color w:val="auto"/>
          <w:sz w:val="24"/>
          <w:szCs w:val="24"/>
          <w:highlight w:val="none"/>
          <w:shd w:val="clear" w:color="auto" w:fill="FFFFFF"/>
        </w:rPr>
        <w:t>日-202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25</w:t>
      </w:r>
      <w:r>
        <w:rPr>
          <w:rFonts w:hint="eastAsia" w:ascii="宋体" w:hAnsi="宋体" w:eastAsia="宋体" w:cs="宋体"/>
          <w:color w:val="auto"/>
          <w:sz w:val="24"/>
          <w:szCs w:val="24"/>
          <w:highlight w:val="none"/>
          <w:shd w:val="clear" w:color="auto" w:fill="FFFFFF"/>
        </w:rPr>
        <w:t>日，上午</w:t>
      </w:r>
      <w:r>
        <w:rPr>
          <w:rFonts w:hint="eastAsia" w:ascii="宋体" w:hAnsi="宋体" w:eastAsia="宋体" w:cs="宋体"/>
          <w:color w:val="auto"/>
          <w:sz w:val="24"/>
          <w:szCs w:val="24"/>
          <w:highlight w:val="none"/>
          <w:shd w:val="clear" w:color="auto" w:fill="FFFFFF"/>
          <w:lang w:val="en-US" w:eastAsia="zh-CN"/>
        </w:rPr>
        <w:t>0</w:t>
      </w:r>
      <w:r>
        <w:rPr>
          <w:rFonts w:hint="eastAsia" w:ascii="宋体" w:hAnsi="宋体" w:eastAsia="宋体" w:cs="宋体"/>
          <w:color w:val="auto"/>
          <w:sz w:val="24"/>
          <w:szCs w:val="24"/>
          <w:highlight w:val="none"/>
          <w:shd w:val="clear" w:color="auto" w:fill="FFFFFF"/>
        </w:rPr>
        <w:t>8：</w:t>
      </w:r>
      <w:r>
        <w:rPr>
          <w:rFonts w:hint="eastAsia" w:ascii="宋体" w:hAnsi="宋体" w:cs="宋体"/>
          <w:color w:val="auto"/>
          <w:sz w:val="24"/>
          <w:szCs w:val="24"/>
          <w:highlight w:val="none"/>
          <w:shd w:val="clear" w:color="auto" w:fill="FFFFFF"/>
          <w:lang w:val="en-US" w:eastAsia="zh-CN"/>
        </w:rPr>
        <w:t>00</w:t>
      </w:r>
      <w:r>
        <w:rPr>
          <w:rFonts w:hint="eastAsia" w:ascii="宋体" w:hAnsi="宋体" w:eastAsia="宋体" w:cs="宋体"/>
          <w:color w:val="auto"/>
          <w:sz w:val="24"/>
          <w:szCs w:val="24"/>
          <w:highlight w:val="none"/>
          <w:shd w:val="clear" w:color="auto" w:fill="FFFFFF"/>
        </w:rPr>
        <w:t>-</w:t>
      </w:r>
      <w:r>
        <w:rPr>
          <w:rFonts w:hint="eastAsia" w:ascii="宋体" w:hAnsi="宋体" w:cs="宋体"/>
          <w:color w:val="auto"/>
          <w:sz w:val="24"/>
          <w:szCs w:val="24"/>
          <w:highlight w:val="none"/>
          <w:shd w:val="clear" w:color="auto" w:fill="FFFFFF"/>
          <w:lang w:val="en-US" w:eastAsia="zh-CN"/>
        </w:rPr>
        <w:t>下午</w:t>
      </w:r>
      <w:r>
        <w:rPr>
          <w:rFonts w:hint="eastAsia" w:ascii="宋体" w:hAnsi="宋体" w:eastAsia="宋体" w:cs="宋体"/>
          <w:color w:val="auto"/>
          <w:sz w:val="24"/>
          <w:szCs w:val="24"/>
          <w:highlight w:val="none"/>
          <w:shd w:val="clear" w:color="auto" w:fill="FFFFFF"/>
        </w:rPr>
        <w:t>1</w:t>
      </w: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rPr>
        <w:t>:</w:t>
      </w:r>
      <w:r>
        <w:rPr>
          <w:rFonts w:hint="eastAsia" w:ascii="宋体" w:hAnsi="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rPr>
        <w:t>0（北京时间，法定节假日除外）</w:t>
      </w:r>
      <w:r>
        <w:rPr>
          <w:rFonts w:hint="eastAsia" w:ascii="宋体" w:hAnsi="宋体" w:eastAsia="宋体" w:cs="宋体"/>
          <w:color w:val="auto"/>
          <w:sz w:val="24"/>
          <w:szCs w:val="24"/>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凡报名成功的供应商无故不来参与投标的，列入我院黑名单，一年内不得参与我院任何采购活动。</w:t>
      </w:r>
      <w:bookmarkStart w:id="79" w:name="_GoBack"/>
      <w:bookmarkEnd w:id="79"/>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80" w:firstLineChars="200"/>
        <w:jc w:val="left"/>
        <w:textAlignment w:val="auto"/>
        <w:rPr>
          <w:rFonts w:hint="eastAsia" w:ascii="宋体" w:hAnsi="宋体" w:eastAsia="宋体" w:cs="宋体"/>
          <w:color w:val="auto"/>
          <w:kern w:val="0"/>
          <w:sz w:val="24"/>
          <w:szCs w:val="24"/>
          <w:highlight w:val="none"/>
          <w:u w:val="singl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4"/>
          <w:szCs w:val="24"/>
          <w:highlight w:val="none"/>
          <w:shd w:val="clear" w:color="auto" w:fill="FFFFFF"/>
          <w:lang w:val="en-US" w:eastAsia="zh-CN" w:bidi="ar-SA"/>
        </w:rPr>
        <w:fldChar w:fldCharType="begin"/>
      </w:r>
      <w:r>
        <w:rPr>
          <w:rFonts w:hint="eastAsia" w:ascii="宋体" w:hAnsi="宋体" w:eastAsia="宋体" w:cs="宋体"/>
          <w:color w:val="auto"/>
          <w:kern w:val="0"/>
          <w:sz w:val="24"/>
          <w:szCs w:val="24"/>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4"/>
          <w:szCs w:val="24"/>
          <w:highlight w:val="none"/>
          <w:shd w:val="clear" w:color="auto" w:fill="FFFFFF"/>
          <w:lang w:val="en-US" w:eastAsia="zh-CN" w:bidi="ar-SA"/>
        </w:rPr>
        <w:fldChar w:fldCharType="separate"/>
      </w:r>
      <w:r>
        <w:rPr>
          <w:rFonts w:hint="eastAsia" w:ascii="宋体" w:hAnsi="宋体" w:cs="宋体"/>
          <w:color w:val="auto"/>
          <w:kern w:val="0"/>
          <w:sz w:val="24"/>
          <w:szCs w:val="24"/>
          <w:highlight w:val="none"/>
          <w:shd w:val="clear" w:color="auto" w:fill="FFFFFF"/>
          <w:lang w:val="en-US" w:eastAsia="zh-CN" w:bidi="ar-SA"/>
        </w:rPr>
        <w:t>752667438</w:t>
      </w:r>
      <w:r>
        <w:rPr>
          <w:rFonts w:hint="eastAsia" w:ascii="宋体" w:hAnsi="宋体" w:eastAsia="宋体" w:cs="宋体"/>
          <w:color w:val="auto"/>
          <w:kern w:val="0"/>
          <w:sz w:val="24"/>
          <w:szCs w:val="24"/>
          <w:highlight w:val="none"/>
          <w:shd w:val="clear" w:color="auto" w:fill="FFFFFF"/>
          <w:lang w:val="en-US" w:eastAsia="zh-CN" w:bidi="ar-SA"/>
        </w:rPr>
        <w:t>@qq.com,并标明</w:t>
      </w:r>
      <w:r>
        <w:rPr>
          <w:rFonts w:hint="eastAsia" w:ascii="宋体" w:hAnsi="宋体" w:cs="宋体"/>
          <w:color w:val="auto"/>
          <w:kern w:val="0"/>
          <w:sz w:val="24"/>
          <w:szCs w:val="24"/>
          <w:highlight w:val="none"/>
          <w:shd w:val="clear" w:color="auto" w:fill="FFFFFF"/>
          <w:lang w:val="en-US" w:eastAsia="zh-CN" w:bidi="ar-SA"/>
        </w:rPr>
        <w:t>“</w:t>
      </w:r>
      <w:r>
        <w:rPr>
          <w:rFonts w:hint="eastAsia" w:ascii="宋体" w:hAnsi="宋体" w:eastAsia="宋体" w:cs="宋体"/>
          <w:color w:val="auto"/>
          <w:kern w:val="0"/>
          <w:sz w:val="24"/>
          <w:szCs w:val="24"/>
          <w:highlight w:val="none"/>
          <w:shd w:val="clear" w:color="auto" w:fill="FFFFFF"/>
          <w:lang w:val="en-US" w:eastAsia="zh-CN" w:bidi="ar-SA"/>
        </w:rPr>
        <w:t>XX公司XX</w:t>
      </w:r>
      <w:r>
        <w:rPr>
          <w:rFonts w:hint="eastAsia" w:ascii="宋体" w:hAnsi="宋体" w:eastAsia="宋体" w:cs="宋体"/>
          <w:color w:val="auto"/>
          <w:kern w:val="0"/>
          <w:sz w:val="24"/>
          <w:szCs w:val="24"/>
          <w:highlight w:val="none"/>
          <w:shd w:val="clear" w:color="auto" w:fill="FFFFFF"/>
          <w:lang w:val="en-US" w:eastAsia="zh-CN" w:bidi="ar-SA"/>
        </w:rPr>
        <w:fldChar w:fldCharType="end"/>
      </w:r>
      <w:r>
        <w:rPr>
          <w:rFonts w:hint="eastAsia" w:ascii="宋体" w:hAnsi="宋体" w:eastAsia="宋体" w:cs="宋体"/>
          <w:color w:val="auto"/>
          <w:kern w:val="0"/>
          <w:sz w:val="24"/>
          <w:szCs w:val="24"/>
          <w:highlight w:val="none"/>
          <w:shd w:val="clear" w:color="auto" w:fill="FFFFFF"/>
          <w:lang w:val="en-US" w:eastAsia="zh-CN" w:bidi="ar-SA"/>
        </w:rPr>
        <w:t>项目</w:t>
      </w:r>
      <w:r>
        <w:rPr>
          <w:rFonts w:hint="eastAsia" w:ascii="宋体" w:hAnsi="宋体" w:cs="宋体"/>
          <w:color w:val="auto"/>
          <w:kern w:val="0"/>
          <w:sz w:val="24"/>
          <w:szCs w:val="24"/>
          <w:highlight w:val="none"/>
          <w:shd w:val="clear" w:color="auto" w:fill="FFFFFF"/>
          <w:lang w:val="en-US" w:eastAsia="zh-CN" w:bidi="ar-SA"/>
        </w:rPr>
        <w:t>+联系人及电话”</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4. 报名表：请从附件中下载。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13" w:name="_Toc15135"/>
      <w:bookmarkStart w:id="14" w:name="_Toc25869"/>
      <w:bookmarkStart w:id="15" w:name="_Toc15111"/>
      <w:bookmarkStart w:id="16" w:name="_Toc27480"/>
      <w:bookmarkStart w:id="17" w:name="_Toc10738"/>
      <w:r>
        <w:rPr>
          <w:rFonts w:hint="eastAsia" w:ascii="宋体" w:hAnsi="宋体" w:eastAsia="宋体" w:cs="宋体"/>
          <w:b/>
          <w:bCs/>
          <w:color w:val="auto"/>
          <w:kern w:val="2"/>
          <w:sz w:val="24"/>
          <w:szCs w:val="24"/>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 时间：</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地点：</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 时间：</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地点：</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18" w:name="_Toc29784"/>
      <w:bookmarkStart w:id="19" w:name="_Toc6523"/>
      <w:bookmarkStart w:id="20" w:name="_Toc20287"/>
      <w:bookmarkStart w:id="21" w:name="_Toc30918"/>
      <w:r>
        <w:rPr>
          <w:rFonts w:hint="eastAsia" w:ascii="宋体" w:hAnsi="宋体" w:eastAsia="宋体" w:cs="宋体"/>
          <w:b/>
          <w:bCs/>
          <w:color w:val="auto"/>
          <w:kern w:val="2"/>
          <w:sz w:val="24"/>
          <w:szCs w:val="24"/>
          <w:highlight w:val="none"/>
          <w:shd w:val="clear" w:color="auto" w:fill="FFFFFF"/>
          <w:lang w:val="en-US" w:eastAsia="zh-CN" w:bidi="ar-SA"/>
        </w:rPr>
        <w:t>六、发布公告的媒介及</w:t>
      </w:r>
      <w:r>
        <w:rPr>
          <w:rFonts w:hint="eastAsia" w:ascii="宋体" w:hAnsi="宋体" w:eastAsia="宋体" w:cs="宋体"/>
          <w:b/>
          <w:bCs/>
          <w:color w:val="auto"/>
          <w:sz w:val="24"/>
          <w:szCs w:val="24"/>
          <w:highlight w:val="none"/>
          <w:shd w:val="clear" w:color="auto" w:fill="auto"/>
          <w:lang w:val="en-US" w:eastAsia="zh-CN"/>
        </w:rPr>
        <w:t>采购</w:t>
      </w:r>
      <w:r>
        <w:rPr>
          <w:rFonts w:hint="eastAsia" w:ascii="宋体" w:hAnsi="宋体" w:eastAsia="宋体" w:cs="宋体"/>
          <w:b/>
          <w:bCs/>
          <w:color w:val="auto"/>
          <w:kern w:val="2"/>
          <w:sz w:val="24"/>
          <w:szCs w:val="24"/>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本次</w:t>
      </w:r>
      <w:r>
        <w:rPr>
          <w:rFonts w:hint="eastAsia" w:ascii="宋体" w:hAnsi="宋体" w:eastAsia="宋体" w:cs="宋体"/>
          <w:color w:val="auto"/>
          <w:sz w:val="24"/>
          <w:szCs w:val="24"/>
          <w:highlight w:val="none"/>
          <w:shd w:val="clear" w:color="auto" w:fill="auto"/>
          <w:lang w:val="en-US" w:eastAsia="zh-CN"/>
        </w:rPr>
        <w:t>采购</w:t>
      </w:r>
      <w:r>
        <w:rPr>
          <w:rFonts w:hint="eastAsia" w:ascii="宋体" w:hAnsi="宋体" w:eastAsia="宋体" w:cs="宋体"/>
          <w:color w:val="auto"/>
          <w:kern w:val="0"/>
          <w:sz w:val="24"/>
          <w:szCs w:val="24"/>
          <w:highlight w:val="none"/>
          <w:shd w:val="clear" w:color="auto" w:fill="FFFFFF"/>
          <w:lang w:val="en-US" w:eastAsia="zh-CN" w:bidi="ar-SA"/>
        </w:rPr>
        <w:t>公告在《驻马店市中心医院》院内网</w:t>
      </w:r>
      <w:r>
        <w:rPr>
          <w:rFonts w:hint="eastAsia" w:ascii="宋体" w:hAnsi="宋体" w:eastAsia="宋体" w:cs="宋体"/>
          <w:color w:val="auto"/>
          <w:sz w:val="24"/>
          <w:szCs w:val="24"/>
          <w:highlight w:val="none"/>
          <w:shd w:val="clear" w:color="auto" w:fill="auto"/>
        </w:rPr>
        <w:t>上发布</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采购</w:t>
      </w:r>
      <w:r>
        <w:rPr>
          <w:rFonts w:hint="eastAsia" w:ascii="宋体" w:hAnsi="宋体" w:eastAsia="宋体" w:cs="宋体"/>
          <w:color w:val="auto"/>
          <w:sz w:val="24"/>
          <w:szCs w:val="24"/>
          <w:highlight w:val="none"/>
          <w:shd w:val="clear" w:color="auto" w:fill="auto"/>
          <w:lang w:eastAsia="zh-CN"/>
        </w:rPr>
        <w:t>公告期限为</w:t>
      </w:r>
      <w:r>
        <w:rPr>
          <w:rFonts w:hint="eastAsia" w:ascii="宋体" w:hAnsi="宋体" w:eastAsia="宋体" w:cs="宋体"/>
          <w:color w:val="auto"/>
          <w:sz w:val="24"/>
          <w:szCs w:val="24"/>
          <w:highlight w:val="none"/>
          <w:shd w:val="clear" w:color="auto" w:fill="auto"/>
          <w:lang w:val="en-US" w:eastAsia="zh-CN"/>
        </w:rPr>
        <w:t>三</w:t>
      </w:r>
      <w:r>
        <w:rPr>
          <w:rFonts w:hint="eastAsia" w:ascii="宋体" w:hAnsi="宋体" w:eastAsia="宋体" w:cs="宋体"/>
          <w:color w:val="auto"/>
          <w:sz w:val="24"/>
          <w:szCs w:val="24"/>
          <w:highlight w:val="none"/>
          <w:shd w:val="clear" w:color="auto" w:fill="auto"/>
          <w:lang w:eastAsia="zh-CN"/>
        </w:rPr>
        <w:t>个工作日</w:t>
      </w:r>
      <w:r>
        <w:rPr>
          <w:rFonts w:hint="eastAsia" w:ascii="宋体" w:hAnsi="宋体" w:eastAsia="宋体" w:cs="宋体"/>
          <w:color w:val="auto"/>
          <w:kern w:val="0"/>
          <w:sz w:val="24"/>
          <w:szCs w:val="24"/>
          <w:highlight w:val="none"/>
          <w:shd w:val="clear" w:color="auto" w:fill="FFFFFF"/>
          <w:lang w:val="en-US" w:eastAsia="zh-CN" w:bidi="ar-SA"/>
        </w:rPr>
        <w:t>。</w:t>
      </w:r>
      <w:bookmarkStart w:id="22" w:name="_Toc35393795"/>
      <w:bookmarkStart w:id="23" w:name="_Toc35393626"/>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24" w:name="_Toc24274"/>
      <w:bookmarkStart w:id="25" w:name="_Toc27370"/>
      <w:bookmarkStart w:id="26" w:name="_Toc16291"/>
      <w:bookmarkStart w:id="27" w:name="_Toc3604"/>
      <w:bookmarkStart w:id="28" w:name="_Toc31928"/>
      <w:r>
        <w:rPr>
          <w:rFonts w:hint="eastAsia" w:ascii="宋体" w:hAnsi="宋体" w:eastAsia="宋体" w:cs="宋体"/>
          <w:b/>
          <w:bCs/>
          <w:color w:val="auto"/>
          <w:kern w:val="2"/>
          <w:sz w:val="24"/>
          <w:szCs w:val="24"/>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4"/>
          <w:szCs w:val="24"/>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电话：0396-2726379</w:t>
      </w:r>
    </w:p>
    <w:p w14:paraId="6BDC1A83">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cs="宋体"/>
          <w:color w:val="auto"/>
          <w:kern w:val="0"/>
          <w:sz w:val="24"/>
          <w:szCs w:val="24"/>
          <w:highlight w:val="none"/>
          <w:shd w:val="clear" w:color="auto" w:fill="FFFFFF"/>
          <w:lang w:val="en-US" w:eastAsia="zh-CN" w:bidi="ar-SA"/>
        </w:rPr>
        <w:t>2.</w:t>
      </w:r>
      <w:r>
        <w:rPr>
          <w:rFonts w:hint="eastAsia" w:ascii="宋体" w:hAnsi="宋体" w:eastAsia="宋体" w:cs="宋体"/>
          <w:color w:val="auto"/>
          <w:kern w:val="0"/>
          <w:sz w:val="24"/>
          <w:szCs w:val="24"/>
          <w:highlight w:val="none"/>
          <w:shd w:val="clear" w:color="auto" w:fill="FFFFFF"/>
          <w:lang w:val="en-US" w:eastAsia="zh-CN" w:bidi="ar-SA"/>
        </w:rPr>
        <w:t>采购代理机构：</w:t>
      </w:r>
      <w:r>
        <w:rPr>
          <w:rFonts w:hint="eastAsia" w:ascii="宋体" w:hAnsi="宋体" w:eastAsia="宋体" w:cs="宋体"/>
          <w:sz w:val="24"/>
        </w:rPr>
        <w:t>河南博库工程咨询有限公司</w:t>
      </w:r>
    </w:p>
    <w:p w14:paraId="68A77DA9">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地址：驻马店市文明路东高国际花园小区7号楼1单元903室</w:t>
      </w:r>
    </w:p>
    <w:p w14:paraId="4E37C8EA">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联系人：徐经理</w:t>
      </w:r>
    </w:p>
    <w:p w14:paraId="50BC1146">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联系方式：18538186058</w:t>
      </w:r>
    </w:p>
    <w:p w14:paraId="2BB1501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righ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驻马店市中心医院采购科</w:t>
      </w:r>
    </w:p>
    <w:p w14:paraId="2B5979AB">
      <w:pPr>
        <w:pStyle w:val="31"/>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center"/>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lang w:val="en-US" w:eastAsia="zh-CN" w:bidi="ar-SA"/>
        </w:rPr>
        <w:t xml:space="preserve">                                                  </w:t>
      </w:r>
      <w:r>
        <w:rPr>
          <w:rFonts w:hint="eastAsia" w:ascii="宋体" w:hAnsi="宋体" w:eastAsia="宋体" w:cs="宋体"/>
          <w:color w:val="auto"/>
          <w:sz w:val="24"/>
          <w:szCs w:val="24"/>
          <w:highlight w:val="none"/>
          <w:shd w:val="clear" w:color="auto" w:fill="FFFFFF"/>
        </w:rPr>
        <w:t>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22</w:t>
      </w:r>
      <w:r>
        <w:rPr>
          <w:rFonts w:hint="eastAsia" w:ascii="宋体" w:hAnsi="宋体" w:eastAsia="宋体" w:cs="宋体"/>
          <w:color w:val="auto"/>
          <w:sz w:val="24"/>
          <w:szCs w:val="24"/>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9890"/>
      <w:bookmarkStart w:id="30" w:name="_Toc23793"/>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9989"/>
      <w:bookmarkStart w:id="33" w:name="_Toc31536"/>
      <w:bookmarkStart w:id="34" w:name="_Toc23610"/>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4"/>
          <w:szCs w:val="24"/>
          <w:highlight w:val="none"/>
          <w:u w:val="none"/>
          <w:lang w:val="en-US" w:eastAsia="zh-CN"/>
        </w:rPr>
      </w:pPr>
      <w:r>
        <w:rPr>
          <w:rFonts w:hint="eastAsia" w:ascii="宋体" w:hAnsi="宋体" w:eastAsia="宋体" w:cs="宋体"/>
          <w:b/>
          <w:bCs/>
          <w:i w:val="0"/>
          <w:iCs/>
          <w:color w:val="auto"/>
          <w:sz w:val="24"/>
          <w:szCs w:val="24"/>
          <w:highlight w:val="none"/>
          <w:u w:val="none"/>
          <w:lang w:val="en-US" w:eastAsia="zh-CN"/>
        </w:rPr>
        <w:t>项目名称：</w:t>
      </w:r>
      <w:r>
        <w:rPr>
          <w:rFonts w:hint="eastAsia" w:ascii="宋体" w:hAnsi="宋体" w:eastAsia="宋体" w:cs="宋体"/>
          <w:b w:val="0"/>
          <w:bCs w:val="0"/>
          <w:i w:val="0"/>
          <w:iCs/>
          <w:color w:val="auto"/>
          <w:sz w:val="24"/>
          <w:szCs w:val="24"/>
          <w:highlight w:val="none"/>
          <w:u w:val="none"/>
          <w:lang w:val="en-US" w:eastAsia="zh-CN"/>
        </w:rPr>
        <w:t>驻马店市中心医院一氧化氮治疗仪采购项目</w:t>
      </w:r>
    </w:p>
    <w:p w14:paraId="774013EF">
      <w:pPr>
        <w:pStyle w:val="7"/>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4"/>
          <w:szCs w:val="24"/>
          <w:highlight w:val="none"/>
          <w:lang w:val="en-US" w:eastAsia="zh-CN" w:bidi="ar-SA"/>
        </w:rPr>
      </w:pPr>
      <w:r>
        <w:rPr>
          <w:rFonts w:hint="eastAsia" w:cs="宋体"/>
          <w:b/>
          <w:bCs/>
          <w:color w:val="auto"/>
          <w:kern w:val="2"/>
          <w:sz w:val="24"/>
          <w:szCs w:val="24"/>
          <w:highlight w:val="none"/>
          <w:lang w:val="en-US" w:eastAsia="zh-CN" w:bidi="ar-SA"/>
        </w:rPr>
        <w:t>一、</w:t>
      </w:r>
      <w:r>
        <w:rPr>
          <w:rFonts w:hint="eastAsia" w:ascii="宋体" w:hAnsi="宋体" w:eastAsia="宋体" w:cs="宋体"/>
          <w:b/>
          <w:bCs/>
          <w:color w:val="auto"/>
          <w:kern w:val="2"/>
          <w:sz w:val="24"/>
          <w:szCs w:val="24"/>
          <w:highlight w:val="none"/>
          <w:lang w:val="en-US" w:eastAsia="zh-CN" w:bidi="ar-SA"/>
        </w:rPr>
        <w:t>采购标的清单：</w:t>
      </w:r>
    </w:p>
    <w:tbl>
      <w:tblPr>
        <w:tblStyle w:val="35"/>
        <w:tblW w:w="86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
        <w:gridCol w:w="5"/>
        <w:gridCol w:w="2336"/>
        <w:gridCol w:w="875"/>
        <w:gridCol w:w="1162"/>
        <w:gridCol w:w="1313"/>
        <w:gridCol w:w="1075"/>
        <w:gridCol w:w="929"/>
        <w:gridCol w:w="5"/>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990" w:type="dxa"/>
            <w:gridSpan w:val="2"/>
            <w:vAlign w:val="center"/>
          </w:tcPr>
          <w:p w14:paraId="7BB03108">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rPr>
              <w:t>序号</w:t>
            </w:r>
          </w:p>
        </w:tc>
        <w:tc>
          <w:tcPr>
            <w:tcW w:w="2336" w:type="dxa"/>
            <w:vAlign w:val="center"/>
          </w:tcPr>
          <w:p w14:paraId="1C818719">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cs="宋体"/>
                <w:b/>
                <w:bCs/>
                <w:color w:val="auto"/>
                <w:sz w:val="24"/>
                <w:szCs w:val="24"/>
                <w:highlight w:val="none"/>
                <w:lang w:val="en-US" w:eastAsia="zh-CN"/>
              </w:rPr>
              <w:t>设备</w:t>
            </w:r>
            <w:r>
              <w:rPr>
                <w:rFonts w:hint="eastAsia" w:ascii="宋体" w:hAnsi="宋体" w:eastAsia="宋体" w:cs="宋体"/>
                <w:b/>
                <w:bCs/>
                <w:color w:val="auto"/>
                <w:sz w:val="24"/>
                <w:szCs w:val="24"/>
                <w:highlight w:val="none"/>
              </w:rPr>
              <w:t>名称</w:t>
            </w:r>
          </w:p>
        </w:tc>
        <w:tc>
          <w:tcPr>
            <w:tcW w:w="875" w:type="dxa"/>
            <w:vAlign w:val="center"/>
          </w:tcPr>
          <w:p w14:paraId="2AF52A7A">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lang w:val="en-US" w:eastAsia="zh-CN"/>
              </w:rPr>
              <w:t>单位</w:t>
            </w:r>
          </w:p>
        </w:tc>
        <w:tc>
          <w:tcPr>
            <w:tcW w:w="1162" w:type="dxa"/>
            <w:vAlign w:val="center"/>
          </w:tcPr>
          <w:p w14:paraId="78A9F1D6">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rPr>
              <w:t>数量</w:t>
            </w:r>
          </w:p>
        </w:tc>
        <w:tc>
          <w:tcPr>
            <w:tcW w:w="1313" w:type="dxa"/>
            <w:vAlign w:val="center"/>
          </w:tcPr>
          <w:p w14:paraId="665A7C5C">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资金</w:t>
            </w:r>
          </w:p>
          <w:p w14:paraId="2259F43F">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rPr>
              <w:t>预算</w:t>
            </w:r>
          </w:p>
        </w:tc>
        <w:tc>
          <w:tcPr>
            <w:tcW w:w="1075" w:type="dxa"/>
            <w:vAlign w:val="center"/>
          </w:tcPr>
          <w:p w14:paraId="0C32BA6B">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资金</w:t>
            </w:r>
          </w:p>
          <w:p w14:paraId="0F2FBFFE">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lang w:val="en-US" w:eastAsia="zh-CN"/>
              </w:rPr>
              <w:t>性质</w:t>
            </w:r>
          </w:p>
        </w:tc>
        <w:tc>
          <w:tcPr>
            <w:tcW w:w="934" w:type="dxa"/>
            <w:gridSpan w:val="2"/>
            <w:vAlign w:val="center"/>
          </w:tcPr>
          <w:p w14:paraId="0D5173FD">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国产/</w:t>
            </w:r>
          </w:p>
          <w:p w14:paraId="5E8880A2">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lang w:val="en-US" w:eastAsia="zh-CN"/>
              </w:rPr>
              <w:t>进口</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 w:type="dxa"/>
            <w:gridSpan w:val="2"/>
            <w:shd w:val="clear" w:color="auto" w:fill="auto"/>
            <w:vAlign w:val="center"/>
          </w:tcPr>
          <w:p w14:paraId="7E2267B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1</w:t>
            </w:r>
          </w:p>
        </w:tc>
        <w:tc>
          <w:tcPr>
            <w:tcW w:w="2336" w:type="dxa"/>
            <w:shd w:val="clear" w:color="auto" w:fill="auto"/>
            <w:vAlign w:val="center"/>
          </w:tcPr>
          <w:p w14:paraId="3275158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both"/>
              <w:textAlignment w:val="auto"/>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sz w:val="24"/>
                <w:szCs w:val="24"/>
                <w:vertAlign w:val="baseline"/>
                <w:lang w:val="en-US" w:eastAsia="zh-CN"/>
              </w:rPr>
              <w:t>一氧化氮治疗仪</w:t>
            </w:r>
          </w:p>
        </w:tc>
        <w:tc>
          <w:tcPr>
            <w:tcW w:w="875" w:type="dxa"/>
            <w:shd w:val="clear" w:color="auto" w:fill="auto"/>
            <w:vAlign w:val="center"/>
          </w:tcPr>
          <w:p w14:paraId="2D610A1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sz w:val="24"/>
                <w:szCs w:val="24"/>
                <w:vertAlign w:val="baseline"/>
                <w:lang w:val="en-US" w:eastAsia="zh-CN"/>
              </w:rPr>
              <w:t>台</w:t>
            </w:r>
          </w:p>
        </w:tc>
        <w:tc>
          <w:tcPr>
            <w:tcW w:w="1162" w:type="dxa"/>
            <w:shd w:val="clear" w:color="auto" w:fill="auto"/>
            <w:vAlign w:val="center"/>
          </w:tcPr>
          <w:p w14:paraId="6E5A7B3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sz w:val="24"/>
                <w:szCs w:val="24"/>
                <w:vertAlign w:val="baseline"/>
                <w:lang w:val="en-US" w:eastAsia="zh-CN"/>
              </w:rPr>
              <w:t>2</w:t>
            </w:r>
          </w:p>
        </w:tc>
        <w:tc>
          <w:tcPr>
            <w:tcW w:w="1313" w:type="dxa"/>
            <w:shd w:val="clear" w:color="auto" w:fill="auto"/>
            <w:vAlign w:val="center"/>
          </w:tcPr>
          <w:p w14:paraId="3326862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sz w:val="24"/>
                <w:szCs w:val="24"/>
                <w:vertAlign w:val="baseline"/>
                <w:lang w:val="en-US" w:eastAsia="zh-CN"/>
              </w:rPr>
              <w:t>38万元</w:t>
            </w:r>
          </w:p>
        </w:tc>
        <w:tc>
          <w:tcPr>
            <w:tcW w:w="1075" w:type="dxa"/>
            <w:shd w:val="clear" w:color="auto" w:fill="auto"/>
            <w:vAlign w:val="center"/>
          </w:tcPr>
          <w:p w14:paraId="18BFE3E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sz w:val="24"/>
                <w:szCs w:val="24"/>
                <w:vertAlign w:val="baseline"/>
                <w:lang w:val="en-US" w:eastAsia="zh-CN"/>
              </w:rPr>
              <w:t>自筹</w:t>
            </w:r>
          </w:p>
        </w:tc>
        <w:tc>
          <w:tcPr>
            <w:tcW w:w="934" w:type="dxa"/>
            <w:gridSpan w:val="2"/>
            <w:shd w:val="clear" w:color="auto" w:fill="auto"/>
            <w:vAlign w:val="center"/>
          </w:tcPr>
          <w:p w14:paraId="1F5FAC6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sz w:val="24"/>
                <w:szCs w:val="24"/>
                <w:vertAlign w:val="baseline"/>
                <w:lang w:val="en-US" w:eastAsia="zh-CN"/>
              </w:rPr>
              <w:t>国产</w:t>
            </w:r>
          </w:p>
        </w:tc>
      </w:tr>
      <w:tr w14:paraId="2665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jc w:val="center"/>
        </w:trPr>
        <w:tc>
          <w:tcPr>
            <w:tcW w:w="990" w:type="dxa"/>
            <w:gridSpan w:val="2"/>
            <w:vAlign w:val="center"/>
          </w:tcPr>
          <w:p w14:paraId="14EDC71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Theme="minorEastAsia" w:hAnsiTheme="minorEastAsia" w:eastAsiaTheme="minorEastAsia" w:cstheme="minorEastAsia"/>
                <w:b/>
                <w:bCs/>
                <w:color w:val="auto"/>
                <w:sz w:val="24"/>
                <w:szCs w:val="24"/>
                <w:highlight w:val="none"/>
                <w:vertAlign w:val="baseline"/>
                <w:lang w:val="en-US" w:eastAsia="zh-CN"/>
              </w:rPr>
            </w:pPr>
            <w:r>
              <w:rPr>
                <w:rFonts w:hint="eastAsia" w:asciiTheme="minorEastAsia" w:hAnsiTheme="minorEastAsia" w:eastAsiaTheme="minorEastAsia" w:cstheme="minorEastAsia"/>
                <w:b/>
                <w:bCs/>
                <w:color w:val="auto"/>
                <w:sz w:val="24"/>
                <w:szCs w:val="24"/>
                <w:highlight w:val="none"/>
                <w:vertAlign w:val="baseline"/>
                <w:lang w:val="en-US" w:eastAsia="zh-CN"/>
              </w:rPr>
              <w:t>合计</w:t>
            </w:r>
          </w:p>
        </w:tc>
        <w:tc>
          <w:tcPr>
            <w:tcW w:w="7690" w:type="dxa"/>
            <w:gridSpan w:val="6"/>
            <w:vAlign w:val="center"/>
          </w:tcPr>
          <w:p w14:paraId="777C43F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Theme="minorEastAsia" w:hAnsiTheme="minorEastAsia" w:eastAsiaTheme="minorEastAsia" w:cstheme="minorEastAsia"/>
                <w:b/>
                <w:bCs/>
                <w:color w:val="auto"/>
                <w:sz w:val="24"/>
                <w:szCs w:val="24"/>
                <w:highlight w:val="none"/>
                <w:vertAlign w:val="baseline"/>
                <w:lang w:val="en-US" w:eastAsia="zh-CN"/>
              </w:rPr>
            </w:pPr>
            <w:r>
              <w:rPr>
                <w:rFonts w:hint="eastAsia" w:asciiTheme="minorEastAsia" w:hAnsiTheme="minorEastAsia" w:eastAsiaTheme="minorEastAsia" w:cstheme="minorEastAsia"/>
                <w:sz w:val="24"/>
                <w:szCs w:val="24"/>
                <w:vertAlign w:val="baseline"/>
                <w:lang w:val="en-US" w:eastAsia="zh-CN"/>
              </w:rPr>
              <w:t>38万元</w:t>
            </w: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jc w:val="center"/>
        </w:trPr>
        <w:tc>
          <w:tcPr>
            <w:tcW w:w="985" w:type="dxa"/>
            <w:vAlign w:val="center"/>
          </w:tcPr>
          <w:p w14:paraId="217B087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Theme="minorEastAsia" w:hAnsiTheme="minorEastAsia" w:eastAsiaTheme="minorEastAsia" w:cstheme="minorEastAsia"/>
                <w:b/>
                <w:bCs/>
                <w:color w:val="auto"/>
                <w:sz w:val="24"/>
                <w:szCs w:val="24"/>
                <w:highlight w:val="none"/>
                <w:vertAlign w:val="baseline"/>
                <w:lang w:val="en-US" w:eastAsia="zh-CN"/>
              </w:rPr>
            </w:pPr>
            <w:r>
              <w:rPr>
                <w:rFonts w:hint="eastAsia" w:asciiTheme="minorEastAsia" w:hAnsiTheme="minorEastAsia" w:eastAsiaTheme="minorEastAsia" w:cstheme="minorEastAsia"/>
                <w:b/>
                <w:bCs/>
                <w:color w:val="auto"/>
                <w:sz w:val="24"/>
                <w:szCs w:val="24"/>
                <w:highlight w:val="none"/>
                <w:vertAlign w:val="baseline"/>
                <w:lang w:val="en-US" w:eastAsia="zh-CN"/>
              </w:rPr>
              <w:t>备注</w:t>
            </w:r>
          </w:p>
        </w:tc>
        <w:tc>
          <w:tcPr>
            <w:tcW w:w="7695" w:type="dxa"/>
            <w:gridSpan w:val="7"/>
            <w:vAlign w:val="center"/>
          </w:tcPr>
          <w:p w14:paraId="7E67570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Theme="minorEastAsia" w:hAnsiTheme="minorEastAsia" w:eastAsiaTheme="minorEastAsia" w:cstheme="minorEastAsia"/>
                <w:b/>
                <w:bCs/>
                <w:color w:val="auto"/>
                <w:sz w:val="24"/>
                <w:szCs w:val="24"/>
                <w:highlight w:val="none"/>
                <w:vertAlign w:val="baseline"/>
                <w:lang w:val="en-US" w:eastAsia="zh-CN"/>
              </w:rPr>
            </w:pPr>
            <w:r>
              <w:rPr>
                <w:rFonts w:hint="eastAsia" w:asciiTheme="minorEastAsia" w:hAnsiTheme="minorEastAsia" w:eastAsiaTheme="minorEastAsia" w:cstheme="minorEastAsia"/>
                <w:b/>
                <w:bCs/>
                <w:color w:val="auto"/>
                <w:sz w:val="24"/>
                <w:szCs w:val="24"/>
                <w:highlight w:val="none"/>
                <w:vertAlign w:val="baseline"/>
                <w:lang w:val="en-US" w:eastAsia="zh-CN"/>
              </w:rPr>
              <w:t>/</w:t>
            </w:r>
          </w:p>
        </w:tc>
      </w:tr>
    </w:tbl>
    <w:p w14:paraId="305965FC">
      <w:pPr>
        <w:numPr>
          <w:ilvl w:val="0"/>
          <w:numId w:val="0"/>
        </w:numPr>
        <w:spacing w:line="192" w:lineRule="auto"/>
        <w:rPr>
          <w:rFonts w:hint="eastAsia" w:ascii="宋体" w:hAnsi="宋体" w:eastAsia="宋体" w:cs="宋体"/>
          <w:b/>
          <w:bCs/>
          <w:color w:val="auto"/>
          <w:kern w:val="2"/>
          <w:sz w:val="24"/>
          <w:szCs w:val="24"/>
          <w:highlight w:val="none"/>
          <w:lang w:val="en-US" w:eastAsia="zh-CN" w:bidi="ar-SA"/>
        </w:rPr>
      </w:pPr>
    </w:p>
    <w:p w14:paraId="10E84755">
      <w:pPr>
        <w:numPr>
          <w:ilvl w:val="0"/>
          <w:numId w:val="0"/>
        </w:numPr>
        <w:spacing w:line="192" w:lineRule="auto"/>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二、</w:t>
      </w:r>
      <w:r>
        <w:rPr>
          <w:rFonts w:hint="eastAsia" w:ascii="宋体" w:hAnsi="宋体" w:eastAsia="宋体" w:cs="宋体"/>
          <w:b/>
          <w:bCs/>
          <w:color w:val="auto"/>
          <w:kern w:val="2"/>
          <w:sz w:val="24"/>
          <w:szCs w:val="24"/>
          <w:highlight w:val="none"/>
          <w:lang w:val="en-US" w:eastAsia="zh-CN" w:bidi="ar-SA"/>
        </w:rPr>
        <w:t>技术要求：</w:t>
      </w:r>
    </w:p>
    <w:p w14:paraId="63820FF6">
      <w:pPr>
        <w:widowControl w:val="0"/>
        <w:numPr>
          <w:ilvl w:val="0"/>
          <w:numId w:val="0"/>
        </w:numPr>
        <w:spacing w:line="192" w:lineRule="auto"/>
        <w:jc w:val="both"/>
        <w:rPr>
          <w:rFonts w:hint="eastAsia" w:ascii="宋体" w:hAnsi="宋体" w:eastAsia="宋体" w:cs="宋体"/>
          <w:b/>
          <w:bCs/>
          <w:color w:val="auto"/>
          <w:kern w:val="2"/>
          <w:sz w:val="24"/>
          <w:szCs w:val="24"/>
          <w:highlight w:val="none"/>
          <w:lang w:val="en-US" w:eastAsia="zh-CN" w:bidi="ar-SA"/>
        </w:rPr>
      </w:pPr>
    </w:p>
    <w:p w14:paraId="3EB092B1">
      <w:pPr>
        <w:pStyle w:val="24"/>
        <w:spacing w:line="360" w:lineRule="auto"/>
        <w:jc w:val="center"/>
        <w:rPr>
          <w:rFonts w:hint="eastAsia" w:eastAsiaTheme="minorEastAsia"/>
          <w:b/>
          <w:bCs/>
          <w:color w:val="auto"/>
          <w:sz w:val="28"/>
          <w:szCs w:val="28"/>
          <w:lang w:val="en-US" w:eastAsia="zh-CN"/>
        </w:rPr>
      </w:pPr>
      <w:r>
        <w:rPr>
          <w:rFonts w:hint="eastAsia" w:eastAsiaTheme="minorEastAsia"/>
          <w:b/>
          <w:bCs/>
          <w:color w:val="auto"/>
          <w:sz w:val="28"/>
          <w:szCs w:val="28"/>
          <w:lang w:val="en-US" w:eastAsia="zh-CN"/>
        </w:rPr>
        <w:t>一氧化氮治疗仪</w:t>
      </w:r>
      <w:r>
        <w:rPr>
          <w:rFonts w:hint="eastAsia"/>
          <w:b/>
          <w:bCs/>
          <w:color w:val="auto"/>
          <w:sz w:val="28"/>
          <w:szCs w:val="28"/>
          <w:lang w:val="en-US" w:eastAsia="zh-CN"/>
        </w:rPr>
        <w:t>技术参数</w:t>
      </w:r>
    </w:p>
    <w:p w14:paraId="6F4EAE9A">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整机重量（含电池、NO/NO2浓度传感器、过滤器）</w:t>
      </w:r>
      <w:r>
        <w:rPr>
          <w:rFonts w:hint="default" w:ascii="宋体" w:hAnsi="宋体" w:cs="宋体"/>
          <w:color w:val="auto"/>
          <w:sz w:val="24"/>
          <w:szCs w:val="24"/>
          <w:lang w:val="en-US" w:eastAsia="zh-CN"/>
        </w:rPr>
        <w:t>≤</w:t>
      </w:r>
      <w:r>
        <w:rPr>
          <w:rFonts w:hint="eastAsia" w:ascii="宋体" w:hAnsi="宋体" w:cs="宋体"/>
          <w:color w:val="auto"/>
          <w:sz w:val="24"/>
          <w:szCs w:val="24"/>
          <w:lang w:val="en-US" w:eastAsia="zh-CN"/>
        </w:rPr>
        <w:t>10kg；</w:t>
      </w:r>
    </w:p>
    <w:p w14:paraId="21DE3097">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屏幕显示：≥12.1英寸彩色</w:t>
      </w:r>
      <w:r>
        <w:rPr>
          <w:rFonts w:hint="eastAsia" w:ascii="宋体" w:hAnsi="宋体" w:cs="宋体"/>
          <w:color w:val="auto"/>
          <w:sz w:val="24"/>
          <w:szCs w:val="24"/>
          <w:lang w:eastAsia="zh-CN"/>
        </w:rPr>
        <w:t>触摸显示屏</w:t>
      </w:r>
      <w:r>
        <w:rPr>
          <w:rFonts w:hint="eastAsia" w:ascii="宋体" w:hAnsi="宋体" w:cs="宋体"/>
          <w:color w:val="auto"/>
          <w:sz w:val="24"/>
          <w:szCs w:val="24"/>
          <w:lang w:val="en-US" w:eastAsia="zh-CN"/>
        </w:rPr>
        <w:t>，分辨率：≥1024 X 768像素；</w:t>
      </w:r>
    </w:p>
    <w:p w14:paraId="74085FF7">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lang w:val="en-US" w:eastAsia="zh-CN"/>
        </w:rPr>
      </w:pPr>
      <w:r>
        <w:rPr>
          <w:sz w:val="24"/>
          <w:szCs w:val="24"/>
        </w:rPr>
        <w:t>★</w:t>
      </w:r>
      <w:r>
        <w:rPr>
          <w:rFonts w:hint="eastAsia" w:ascii="宋体" w:hAnsi="宋体" w:eastAsia="宋体" w:cs="宋体"/>
          <w:color w:val="auto"/>
          <w:sz w:val="24"/>
          <w:szCs w:val="24"/>
          <w:lang w:val="en-US" w:eastAsia="zh-CN"/>
        </w:rPr>
        <w:t>显示界面：NO/NO2实时监测浓度、NO监测浓度波形、治疗浓度设置，有创呼吸机、无创呼吸机连接方式，已治疗时间；</w:t>
      </w:r>
    </w:p>
    <w:p w14:paraId="79B89B4B">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内置电池，在标准工作状态下，电池续航时间≥90分钟，使用寿命≥3年；</w:t>
      </w:r>
    </w:p>
    <w:p w14:paraId="7610BEDE">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lang w:val="en-US" w:eastAsia="zh-CN"/>
        </w:rPr>
      </w:pPr>
      <w:r>
        <w:rPr>
          <w:sz w:val="24"/>
          <w:szCs w:val="24"/>
        </w:rPr>
        <w:t>★</w:t>
      </w:r>
      <w:r>
        <w:rPr>
          <w:rFonts w:hint="eastAsia" w:ascii="宋体" w:hAnsi="宋体" w:eastAsia="宋体" w:cs="宋体"/>
          <w:color w:val="auto"/>
          <w:sz w:val="24"/>
          <w:szCs w:val="24"/>
          <w:lang w:val="en-US" w:eastAsia="zh-CN"/>
        </w:rPr>
        <w:t>治疗用一氧化氮(NO）气体来源：由仪器中的一氧化氮发生装置实时生成一氧化氮气体，无需额外使用钢瓶供气，并且一氧化氮发生装置无需定期检查；</w:t>
      </w:r>
    </w:p>
    <w:p w14:paraId="3DB00091">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lang w:val="en-US" w:eastAsia="zh-CN"/>
        </w:rPr>
      </w:pPr>
      <w:r>
        <w:rPr>
          <w:sz w:val="24"/>
          <w:szCs w:val="24"/>
        </w:rPr>
        <w:t>★</w:t>
      </w:r>
      <w:r>
        <w:rPr>
          <w:rFonts w:hint="eastAsia" w:ascii="宋体" w:hAnsi="宋体" w:eastAsia="宋体" w:cs="宋体"/>
          <w:color w:val="auto"/>
          <w:sz w:val="24"/>
          <w:szCs w:val="24"/>
          <w:lang w:val="en-US" w:eastAsia="zh-CN"/>
        </w:rPr>
        <w:t>配备传感器：同步流量传感器、电化学NO/NO2浓度传感器</w:t>
      </w:r>
      <w:r>
        <w:rPr>
          <w:rFonts w:hint="eastAsia" w:ascii="宋体" w:hAnsi="宋体" w:cs="宋体"/>
          <w:color w:val="auto"/>
          <w:sz w:val="24"/>
          <w:szCs w:val="24"/>
          <w:lang w:val="en-US" w:eastAsia="zh-CN"/>
        </w:rPr>
        <w:t>；</w:t>
      </w:r>
    </w:p>
    <w:p w14:paraId="4FC4DECE">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lang w:val="en-US" w:eastAsia="zh-CN"/>
        </w:rPr>
      </w:pPr>
      <w:r>
        <w:rPr>
          <w:sz w:val="24"/>
          <w:szCs w:val="24"/>
        </w:rPr>
        <w:t>★</w:t>
      </w:r>
      <w:r>
        <w:rPr>
          <w:rFonts w:hint="eastAsia" w:ascii="宋体" w:hAnsi="宋体" w:eastAsia="宋体" w:cs="宋体"/>
          <w:color w:val="auto"/>
          <w:sz w:val="24"/>
          <w:szCs w:val="24"/>
          <w:lang w:val="en-US" w:eastAsia="zh-CN"/>
        </w:rPr>
        <w:t>内置气体过滤器过滤除NO外的废气、杂质颗粒，保证NO的纯度与病人安全。气体过滤器使用时长≥900小时；</w:t>
      </w:r>
    </w:p>
    <w:p w14:paraId="320384F0">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lang w:val="en-US" w:eastAsia="zh-CN"/>
        </w:rPr>
        <w:t>具有有创呼吸机、无创呼吸机呼吸回路连接示意图在</w:t>
      </w:r>
      <w:r>
        <w:rPr>
          <w:rFonts w:hint="eastAsia" w:ascii="宋体" w:hAnsi="宋体" w:cs="宋体"/>
          <w:color w:val="auto"/>
          <w:sz w:val="24"/>
          <w:szCs w:val="24"/>
          <w:lang w:val="en-US" w:eastAsia="zh-CN"/>
        </w:rPr>
        <w:t>主界面实时显示，无需另外点开，避免连接错误；</w:t>
      </w:r>
    </w:p>
    <w:p w14:paraId="56C02F8F">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具有NO浓度波形、一氧化氮流量--时间曲线、呼吸机流量--时间曲线显示；</w:t>
      </w:r>
    </w:p>
    <w:p w14:paraId="298C200A">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数据传输：可通过USB接口导出与导入数据；</w:t>
      </w:r>
    </w:p>
    <w:p w14:paraId="5C86DC64">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无创模式：不使用同步流量传感器下，治疗仪仍可连接呼吸回路持续送气治疗病人，且保证监测NO/NO2准确性；</w:t>
      </w:r>
    </w:p>
    <w:p w14:paraId="69A78E7C">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lang w:val="en-US" w:eastAsia="zh-CN"/>
        </w:rPr>
        <w:t>两种呼吸回路连接方式：具备重复用一体式混合器≥2套，一次性分体式混合器≥2套；</w:t>
      </w:r>
    </w:p>
    <w:p w14:paraId="3DC019B7">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宋体"/>
          <w:color w:val="auto"/>
          <w:sz w:val="24"/>
          <w:szCs w:val="24"/>
          <w:lang w:val="en-US" w:eastAsia="zh-CN"/>
        </w:rPr>
      </w:pPr>
      <w:r>
        <w:rPr>
          <w:rFonts w:hint="eastAsia" w:ascii="宋体" w:hAnsi="宋体" w:cs="宋体"/>
          <w:color w:val="auto"/>
          <w:sz w:val="24"/>
          <w:szCs w:val="24"/>
          <w:highlight w:val="none"/>
          <w:lang w:val="en-US" w:eastAsia="zh-CN"/>
        </w:rPr>
        <w:t>同步流量传感器，可消毒重复使用；</w:t>
      </w:r>
    </w:p>
    <w:p w14:paraId="366DA249">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NO/NO2传感器和过滤器使用寿命在主界面同屏显示；</w:t>
      </w:r>
    </w:p>
    <w:p w14:paraId="08252648">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宋体"/>
          <w:color w:val="auto"/>
          <w:sz w:val="24"/>
          <w:szCs w:val="24"/>
          <w:lang w:val="en-US" w:eastAsia="zh-CN"/>
        </w:rPr>
      </w:pPr>
      <w:r>
        <w:rPr>
          <w:rFonts w:hint="eastAsia" w:ascii="宋体" w:hAnsi="宋体" w:cs="宋体"/>
          <w:color w:val="auto"/>
          <w:sz w:val="24"/>
          <w:szCs w:val="24"/>
          <w:highlight w:val="none"/>
          <w:lang w:val="en-US" w:eastAsia="zh-CN"/>
        </w:rPr>
        <w:t>治疗过程中支持锁屏、亮度调节、静音；</w:t>
      </w:r>
    </w:p>
    <w:p w14:paraId="19A87FAC">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一氧化氮气体浓度输出范围：0ppm～80ppm，步长1ppm；</w:t>
      </w:r>
    </w:p>
    <w:p w14:paraId="7667F419">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一氧化氮控制精度：</w:t>
      </w:r>
    </w:p>
    <w:p w14:paraId="1160FFD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 xml:space="preserve">当 1ppm≤一氧化氮设置值≤4ppm，±0.8ppm； </w:t>
      </w:r>
    </w:p>
    <w:p w14:paraId="48C93E4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当 5ppm≤一氧化氮设置值≤80ppm，±2ppm；</w:t>
      </w:r>
    </w:p>
    <w:p w14:paraId="38EB6A16">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Chars="0" w:firstLine="480" w:firstLineChars="200"/>
        <w:jc w:val="left"/>
        <w:textAlignment w:val="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一氧化氮监测范围：0ppm～100ppm，</w:t>
      </w:r>
      <w:r>
        <w:rPr>
          <w:rFonts w:hint="eastAsia" w:ascii="宋体" w:hAnsi="宋体" w:cs="宋体"/>
          <w:color w:val="auto"/>
          <w:sz w:val="24"/>
          <w:szCs w:val="24"/>
          <w:highlight w:val="none"/>
          <w:lang w:val="en-US" w:eastAsia="zh-CN"/>
        </w:rPr>
        <w:t>分辨率0.1ppm。监测精度：小于等于20ppm时，精度为± (0.5ppm+读数20%)；大于20ppm时，精度为±(0.5ppm+读数10%)；</w:t>
      </w:r>
    </w:p>
    <w:p w14:paraId="3EAA0D35">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Chars="0" w:firstLine="480" w:firstLineChars="200"/>
        <w:jc w:val="left"/>
        <w:textAlignment w:val="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二氧化氮监测范围：0ppm～50ppm，</w:t>
      </w:r>
      <w:r>
        <w:rPr>
          <w:rFonts w:hint="eastAsia" w:ascii="宋体" w:hAnsi="宋体" w:cs="宋体"/>
          <w:color w:val="auto"/>
          <w:sz w:val="24"/>
          <w:szCs w:val="24"/>
          <w:highlight w:val="none"/>
          <w:lang w:val="en-US" w:eastAsia="zh-CN"/>
        </w:rPr>
        <w:t>分辨率0.1ppm，精度：±0.5ppm 或二氧化氮实际读数的±4%；</w:t>
      </w:r>
    </w:p>
    <w:p w14:paraId="1152F65C">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一氧化氮报警：上限设定范围：64ppm～96ppm，下限设定范围：0ppm～64ppm；</w:t>
      </w:r>
    </w:p>
    <w:p w14:paraId="384F0CF4">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二氧化氮报警上限设定范围：2ppm；</w:t>
      </w:r>
    </w:p>
    <w:p w14:paraId="63D6BA26">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报警方式：灯光报警、声音报警、报警信息、参数闪烁；</w:t>
      </w:r>
    </w:p>
    <w:p w14:paraId="5E2F0FBB">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主机使用年限≥7年；</w:t>
      </w:r>
    </w:p>
    <w:p w14:paraId="55B6665F">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配置清单（包含但不限于）：一氧化氮治疗仪主机 1台、台车1台、混合器</w:t>
      </w:r>
      <w:r>
        <w:rPr>
          <w:rFonts w:hint="default" w:ascii="Arial" w:hAnsi="Arial" w:cs="Arial"/>
          <w:color w:val="auto"/>
          <w:sz w:val="24"/>
          <w:szCs w:val="24"/>
          <w:lang w:val="en-US" w:eastAsia="zh-CN"/>
        </w:rPr>
        <w:t>≥</w:t>
      </w:r>
      <w:r>
        <w:rPr>
          <w:rFonts w:hint="eastAsia" w:ascii="宋体" w:hAnsi="宋体" w:cs="宋体"/>
          <w:color w:val="auto"/>
          <w:sz w:val="24"/>
          <w:szCs w:val="24"/>
          <w:lang w:val="en-US" w:eastAsia="zh-CN"/>
        </w:rPr>
        <w:t>4套、流量传感器</w:t>
      </w:r>
      <w:r>
        <w:rPr>
          <w:rFonts w:hint="default" w:ascii="Arial" w:hAnsi="Arial" w:cs="Arial"/>
          <w:color w:val="auto"/>
          <w:sz w:val="24"/>
          <w:szCs w:val="24"/>
          <w:lang w:val="en-US" w:eastAsia="zh-CN"/>
        </w:rPr>
        <w:t>≥</w:t>
      </w:r>
      <w:r>
        <w:rPr>
          <w:rFonts w:hint="eastAsia" w:ascii="宋体" w:hAnsi="宋体" w:cs="宋体"/>
          <w:color w:val="auto"/>
          <w:sz w:val="24"/>
          <w:szCs w:val="24"/>
          <w:lang w:val="en-US" w:eastAsia="zh-CN"/>
        </w:rPr>
        <w:t>1套、电源线1根。</w:t>
      </w:r>
    </w:p>
    <w:p w14:paraId="05E1E02B">
      <w:pPr>
        <w:pStyle w:val="24"/>
        <w:rPr>
          <w:rFonts w:hint="eastAsia" w:eastAsiaTheme="minorEastAsia"/>
          <w:color w:val="FF0000"/>
          <w:lang w:val="en-US" w:eastAsia="zh-CN"/>
        </w:rPr>
      </w:pPr>
    </w:p>
    <w:p w14:paraId="38006838">
      <w:pPr>
        <w:pStyle w:val="50"/>
        <w:rPr>
          <w:rFonts w:hint="eastAsia" w:ascii="宋体" w:hAnsi="宋体" w:eastAsia="宋体" w:cs="宋体"/>
          <w:b/>
          <w:bCs/>
          <w:color w:val="auto"/>
          <w:kern w:val="2"/>
          <w:sz w:val="21"/>
          <w:szCs w:val="24"/>
          <w:highlight w:val="none"/>
          <w:lang w:val="en-US" w:eastAsia="zh-CN" w:bidi="ar-SA"/>
        </w:rPr>
      </w:pPr>
    </w:p>
    <w:p w14:paraId="41737D04">
      <w:pPr>
        <w:pStyle w:val="50"/>
        <w:rPr>
          <w:rFonts w:hint="eastAsia" w:ascii="宋体" w:hAnsi="宋体" w:eastAsia="宋体" w:cs="宋体"/>
          <w:b/>
          <w:bCs/>
          <w:color w:val="auto"/>
          <w:kern w:val="2"/>
          <w:sz w:val="21"/>
          <w:szCs w:val="24"/>
          <w:highlight w:val="none"/>
          <w:lang w:val="en-US" w:eastAsia="zh-CN" w:bidi="ar-SA"/>
        </w:rPr>
      </w:pPr>
    </w:p>
    <w:p w14:paraId="4235F853">
      <w:pPr>
        <w:pStyle w:val="50"/>
        <w:rPr>
          <w:rFonts w:hint="eastAsia" w:ascii="宋体" w:hAnsi="宋体" w:eastAsia="宋体" w:cs="宋体"/>
          <w:b/>
          <w:bCs/>
          <w:color w:val="auto"/>
          <w:kern w:val="2"/>
          <w:sz w:val="21"/>
          <w:szCs w:val="24"/>
          <w:highlight w:val="none"/>
          <w:lang w:val="en-US" w:eastAsia="zh-CN" w:bidi="ar-SA"/>
        </w:rPr>
      </w:pPr>
    </w:p>
    <w:p w14:paraId="04EA2D64">
      <w:pPr>
        <w:pStyle w:val="50"/>
        <w:rPr>
          <w:rFonts w:hint="eastAsia" w:ascii="宋体" w:hAnsi="宋体" w:eastAsia="宋体" w:cs="宋体"/>
          <w:b/>
          <w:bCs/>
          <w:color w:val="auto"/>
          <w:kern w:val="2"/>
          <w:sz w:val="21"/>
          <w:szCs w:val="24"/>
          <w:highlight w:val="none"/>
          <w:lang w:val="en-US" w:eastAsia="zh-CN" w:bidi="ar-SA"/>
        </w:rPr>
      </w:pPr>
    </w:p>
    <w:p w14:paraId="0CC0210B">
      <w:pPr>
        <w:pStyle w:val="50"/>
        <w:rPr>
          <w:rFonts w:hint="eastAsia" w:ascii="宋体" w:hAnsi="宋体" w:eastAsia="宋体" w:cs="宋体"/>
          <w:b/>
          <w:bCs/>
          <w:color w:val="auto"/>
          <w:kern w:val="2"/>
          <w:sz w:val="21"/>
          <w:szCs w:val="24"/>
          <w:highlight w:val="none"/>
          <w:lang w:val="en-US" w:eastAsia="zh-CN" w:bidi="ar-SA"/>
        </w:rPr>
      </w:pPr>
    </w:p>
    <w:p w14:paraId="27A37746">
      <w:pPr>
        <w:pStyle w:val="50"/>
        <w:rPr>
          <w:rFonts w:hint="eastAsia" w:ascii="宋体" w:hAnsi="宋体" w:eastAsia="宋体" w:cs="宋体"/>
          <w:b/>
          <w:bCs/>
          <w:color w:val="auto"/>
          <w:kern w:val="2"/>
          <w:sz w:val="21"/>
          <w:szCs w:val="24"/>
          <w:highlight w:val="none"/>
          <w:lang w:val="en-US" w:eastAsia="zh-CN" w:bidi="ar-SA"/>
        </w:rPr>
      </w:pPr>
    </w:p>
    <w:p w14:paraId="5702F2F3">
      <w:pPr>
        <w:pStyle w:val="50"/>
        <w:rPr>
          <w:rFonts w:hint="eastAsia" w:ascii="宋体" w:hAnsi="宋体" w:eastAsia="宋体" w:cs="宋体"/>
          <w:b/>
          <w:bCs/>
          <w:color w:val="auto"/>
          <w:kern w:val="2"/>
          <w:sz w:val="21"/>
          <w:szCs w:val="24"/>
          <w:highlight w:val="none"/>
          <w:lang w:val="en-US" w:eastAsia="zh-CN" w:bidi="ar-SA"/>
        </w:rPr>
      </w:pPr>
    </w:p>
    <w:p w14:paraId="160A0B67">
      <w:pPr>
        <w:pStyle w:val="50"/>
        <w:ind w:left="0" w:leftChars="0" w:firstLine="0" w:firstLineChars="0"/>
        <w:rPr>
          <w:rFonts w:hint="eastAsia" w:ascii="宋体" w:hAnsi="宋体" w:eastAsia="宋体" w:cs="宋体"/>
          <w:b/>
          <w:bCs/>
          <w:color w:val="auto"/>
          <w:kern w:val="2"/>
          <w:sz w:val="21"/>
          <w:szCs w:val="24"/>
          <w:highlight w:val="none"/>
          <w:lang w:val="en-US" w:eastAsia="zh-CN" w:bidi="ar-SA"/>
        </w:rPr>
      </w:pPr>
    </w:p>
    <w:p w14:paraId="22B3C3CB">
      <w:pPr>
        <w:pStyle w:val="50"/>
        <w:ind w:left="0" w:leftChars="0" w:firstLine="0" w:firstLineChars="0"/>
        <w:rPr>
          <w:rFonts w:hint="eastAsia" w:ascii="宋体" w:hAnsi="宋体" w:eastAsia="宋体" w:cs="宋体"/>
          <w:b/>
          <w:bCs/>
          <w:color w:val="auto"/>
          <w:kern w:val="2"/>
          <w:sz w:val="21"/>
          <w:szCs w:val="24"/>
          <w:highlight w:val="none"/>
          <w:lang w:val="en-US" w:eastAsia="zh-CN" w:bidi="ar-SA"/>
        </w:rPr>
      </w:pPr>
    </w:p>
    <w:p w14:paraId="0B2E64F1">
      <w:pPr>
        <w:pStyle w:val="50"/>
        <w:ind w:left="0" w:leftChars="0" w:firstLine="0" w:firstLineChars="0"/>
        <w:rPr>
          <w:rFonts w:hint="eastAsia" w:ascii="宋体" w:hAnsi="宋体" w:eastAsia="宋体" w:cs="宋体"/>
          <w:b/>
          <w:bCs/>
          <w:color w:val="auto"/>
          <w:kern w:val="2"/>
          <w:sz w:val="21"/>
          <w:szCs w:val="24"/>
          <w:highlight w:val="none"/>
          <w:lang w:val="en-US" w:eastAsia="zh-CN" w:bidi="ar-SA"/>
        </w:rPr>
        <w:sectPr>
          <w:footerReference r:id="rId5" w:type="default"/>
          <w:pgSz w:w="11906" w:h="16838"/>
          <w:pgMar w:top="1417" w:right="1417" w:bottom="1417" w:left="1417" w:header="851" w:footer="624" w:gutter="0"/>
          <w:pgNumType w:fmt="decimal"/>
          <w:cols w:space="720" w:num="1"/>
          <w:docGrid w:type="lines" w:linePitch="319" w:charSpace="0"/>
        </w:sectPr>
      </w:pPr>
    </w:p>
    <w:p w14:paraId="106ADFC5">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4"/>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474338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D057670">
            <w:pPr>
              <w:pStyle w:val="7"/>
              <w:spacing w:line="360" w:lineRule="auto"/>
              <w:jc w:val="center"/>
              <w:rPr>
                <w:rFonts w:hint="eastAsia" w:ascii="宋体" w:hAnsi="宋体" w:eastAsia="宋体" w:cs="宋体"/>
                <w:sz w:val="24"/>
                <w:szCs w:val="24"/>
                <w:highlight w:val="none"/>
              </w:rPr>
            </w:pPr>
            <w:r>
              <w:rPr>
                <w:rFonts w:hint="eastAsia" w:ascii="宋体" w:hAnsi="宋体" w:eastAsia="宋体" w:cs="宋体"/>
                <w:kern w:val="2"/>
                <w:sz w:val="24"/>
                <w:szCs w:val="24"/>
                <w:highlight w:val="none"/>
              </w:rPr>
              <w:t>交货期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71190EF1">
            <w:pPr>
              <w:pStyle w:val="7"/>
              <w:spacing w:line="360" w:lineRule="auto"/>
              <w:rPr>
                <w:rFonts w:hint="eastAsia" w:ascii="宋体" w:hAnsi="宋体" w:eastAsia="宋体" w:cs="宋体"/>
                <w:sz w:val="24"/>
                <w:szCs w:val="24"/>
                <w:highlight w:val="none"/>
              </w:rPr>
            </w:pPr>
            <w:r>
              <w:rPr>
                <w:rFonts w:hint="eastAsia" w:ascii="宋体" w:hAnsi="宋体" w:eastAsia="宋体" w:cs="宋体"/>
                <w:kern w:val="2"/>
                <w:sz w:val="24"/>
                <w:szCs w:val="24"/>
                <w:highlight w:val="none"/>
              </w:rPr>
              <w:t xml:space="preserve">合同签订后30日内交货。        </w:t>
            </w:r>
          </w:p>
        </w:tc>
      </w:tr>
      <w:tr w14:paraId="410C02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F223FAB">
            <w:pPr>
              <w:pStyle w:val="7"/>
              <w:spacing w:line="360" w:lineRule="auto"/>
              <w:jc w:val="center"/>
              <w:rPr>
                <w:rFonts w:hint="eastAsia" w:ascii="宋体" w:hAnsi="宋体" w:eastAsia="宋体" w:cs="宋体"/>
                <w:sz w:val="24"/>
                <w:szCs w:val="24"/>
                <w:highlight w:val="none"/>
              </w:rPr>
            </w:pPr>
            <w:r>
              <w:rPr>
                <w:rFonts w:hint="eastAsia" w:ascii="宋体" w:hAnsi="宋体" w:eastAsia="宋体" w:cs="宋体"/>
                <w:kern w:val="2"/>
                <w:sz w:val="24"/>
                <w:szCs w:val="24"/>
                <w:highlight w:val="none"/>
              </w:rPr>
              <w:t>交货地点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71BBBE27">
            <w:pPr>
              <w:pStyle w:val="7"/>
              <w:spacing w:line="360" w:lineRule="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采购人指定地点。</w:t>
            </w:r>
          </w:p>
        </w:tc>
      </w:tr>
      <w:tr w14:paraId="0F9652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5E428EB6">
            <w:pPr>
              <w:pStyle w:val="7"/>
              <w:spacing w:line="360" w:lineRule="auto"/>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4267CF3B">
            <w:pPr>
              <w:pStyle w:val="7"/>
              <w:spacing w:line="360" w:lineRule="auto"/>
              <w:rPr>
                <w:rFonts w:hint="eastAsia" w:ascii="宋体" w:hAnsi="宋体" w:eastAsia="宋体" w:cs="宋体"/>
                <w:b/>
                <w:bCs/>
                <w:kern w:val="2"/>
                <w:sz w:val="24"/>
                <w:szCs w:val="24"/>
                <w:highlight w:val="none"/>
                <w:lang w:eastAsia="zh-CN"/>
              </w:rPr>
            </w:pPr>
            <w:r>
              <w:rPr>
                <w:rFonts w:hint="eastAsia" w:ascii="宋体" w:hAnsi="宋体" w:eastAsia="宋体" w:cs="宋体"/>
                <w:b w:val="0"/>
                <w:bCs w:val="0"/>
                <w:kern w:val="2"/>
                <w:sz w:val="24"/>
                <w:szCs w:val="24"/>
                <w:highlight w:val="none"/>
              </w:rPr>
              <w:t>从产品入库之日起，整机保修三年，出具相关服务承诺书</w:t>
            </w:r>
            <w:r>
              <w:rPr>
                <w:rFonts w:hint="eastAsia" w:ascii="宋体" w:hAnsi="宋体" w:eastAsia="宋体" w:cs="宋体"/>
                <w:b w:val="0"/>
                <w:bCs w:val="0"/>
                <w:kern w:val="2"/>
                <w:sz w:val="24"/>
                <w:szCs w:val="24"/>
                <w:highlight w:val="none"/>
                <w:lang w:eastAsia="zh-CN"/>
              </w:rPr>
              <w:t>。</w:t>
            </w:r>
          </w:p>
        </w:tc>
      </w:tr>
      <w:tr w14:paraId="4C611D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B3D774F">
            <w:pPr>
              <w:pStyle w:val="7"/>
              <w:spacing w:line="360" w:lineRule="auto"/>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1369D106">
            <w:pPr>
              <w:pStyle w:val="7"/>
              <w:spacing w:line="360" w:lineRule="auto"/>
              <w:rPr>
                <w:rFonts w:hint="eastAsia" w:ascii="宋体" w:hAnsi="宋体" w:eastAsia="宋体" w:cs="宋体"/>
                <w:kern w:val="2"/>
                <w:sz w:val="24"/>
                <w:szCs w:val="24"/>
                <w:highlight w:val="none"/>
              </w:rPr>
            </w:pPr>
            <w:r>
              <w:rPr>
                <w:rFonts w:hint="eastAsia" w:ascii="宋体" w:hAnsi="宋体" w:eastAsia="宋体" w:cs="宋体"/>
                <w:sz w:val="24"/>
                <w:szCs w:val="24"/>
                <w:highlight w:val="none"/>
                <w:shd w:val="clear" w:color="auto" w:fill="FFFFFF"/>
              </w:rPr>
              <w:t>符合国家质量标准、部颁标准、行业标准，满足磋商文件规定标准</w:t>
            </w:r>
            <w:r>
              <w:rPr>
                <w:rFonts w:hint="eastAsia" w:ascii="宋体" w:hAnsi="宋体" w:eastAsia="宋体" w:cs="宋体"/>
                <w:sz w:val="24"/>
                <w:szCs w:val="24"/>
                <w:highlight w:val="none"/>
              </w:rPr>
              <w:t>。</w:t>
            </w:r>
          </w:p>
        </w:tc>
      </w:tr>
      <w:tr w14:paraId="1F85C9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D378D22">
            <w:pPr>
              <w:pStyle w:val="7"/>
              <w:spacing w:line="360" w:lineRule="auto"/>
              <w:jc w:val="center"/>
              <w:rPr>
                <w:rFonts w:hint="eastAsia" w:ascii="宋体" w:hAnsi="宋体" w:eastAsia="宋体" w:cs="宋体"/>
                <w:b w:val="0"/>
                <w:bCs w:val="0"/>
                <w:kern w:val="2"/>
                <w:sz w:val="24"/>
                <w:szCs w:val="24"/>
                <w:highlight w:val="none"/>
              </w:rPr>
            </w:pPr>
            <w:r>
              <w:rPr>
                <w:rFonts w:hint="eastAsia" w:ascii="宋体" w:hAnsi="宋体" w:eastAsia="宋体" w:cs="宋体"/>
                <w:kern w:val="2"/>
                <w:sz w:val="24"/>
                <w:szCs w:val="24"/>
                <w:highlight w:val="none"/>
              </w:rPr>
              <w:t>售后服务</w:t>
            </w:r>
          </w:p>
        </w:tc>
        <w:tc>
          <w:tcPr>
            <w:tcW w:w="7354" w:type="dxa"/>
            <w:tcBorders>
              <w:top w:val="single" w:color="auto" w:sz="4" w:space="0"/>
              <w:left w:val="single" w:color="auto" w:sz="4" w:space="0"/>
              <w:bottom w:val="single" w:color="auto" w:sz="4" w:space="0"/>
              <w:right w:val="single" w:color="auto" w:sz="4" w:space="0"/>
            </w:tcBorders>
            <w:noWrap/>
            <w:vAlign w:val="center"/>
          </w:tcPr>
          <w:p w14:paraId="2BAD0740">
            <w:pPr>
              <w:pStyle w:val="7"/>
              <w:spacing w:beforeAutospacing="0" w:afterAutospacing="0" w:line="360" w:lineRule="auto"/>
              <w:rPr>
                <w:rFonts w:hint="eastAsia" w:ascii="宋体" w:hAnsi="宋体" w:eastAsia="宋体" w:cs="宋体"/>
                <w:kern w:val="2"/>
                <w:sz w:val="24"/>
                <w:szCs w:val="24"/>
                <w:highlight w:val="none"/>
                <w:lang w:val="en-US" w:eastAsia="zh-CN"/>
              </w:rPr>
            </w:pPr>
            <w:r>
              <w:rPr>
                <w:rFonts w:hint="eastAsia" w:cs="宋体"/>
                <w:kern w:val="2"/>
                <w:sz w:val="24"/>
                <w:szCs w:val="24"/>
                <w:highlight w:val="none"/>
                <w:lang w:val="en-US" w:eastAsia="zh-CN"/>
              </w:rPr>
              <w:t>1.</w:t>
            </w:r>
            <w:r>
              <w:rPr>
                <w:rFonts w:hint="eastAsia" w:ascii="宋体" w:hAnsi="宋体" w:eastAsia="宋体" w:cs="宋体"/>
                <w:kern w:val="2"/>
                <w:sz w:val="24"/>
                <w:szCs w:val="24"/>
                <w:highlight w:val="none"/>
                <w:lang w:val="en-US" w:eastAsia="zh-CN"/>
              </w:rPr>
              <w:t>质保期内应当为采购人提供以下技术支持和服务：</w:t>
            </w:r>
          </w:p>
          <w:p w14:paraId="4001C0D4">
            <w:pPr>
              <w:pStyle w:val="7"/>
              <w:spacing w:beforeAutospacing="0" w:afterAutospacing="0" w:line="360" w:lineRule="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a、现场响应：供应商应保证在12小时内对用户提出的问题或故障予以响应及处理。可提供备用设备或核心部件应急使用。</w:t>
            </w:r>
          </w:p>
          <w:p w14:paraId="5521C4FD">
            <w:pPr>
              <w:pStyle w:val="7"/>
              <w:spacing w:beforeAutospacing="0" w:afterAutospacing="0" w:line="360" w:lineRule="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b、中标人应当应每季度对该设备进行保养不少于一次,并出具保养报告，具体保养内容见合同。</w:t>
            </w:r>
          </w:p>
          <w:p w14:paraId="215B4C24">
            <w:pPr>
              <w:pStyle w:val="7"/>
              <w:spacing w:beforeAutospacing="0" w:afterAutospacing="0" w:line="360" w:lineRule="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c、质保期内该设备应保证大于95%（含）的开机率，如达不到要求，每少于一天质保期顺延7天，如造成严重损失需赔偿用户经济损失或换货或退货。</w:t>
            </w:r>
          </w:p>
          <w:p w14:paraId="714AC783">
            <w:pPr>
              <w:pStyle w:val="7"/>
              <w:spacing w:beforeAutospacing="0" w:afterAutospacing="0" w:line="360" w:lineRule="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d、技术升级，如果制造商的产品技术升级，中标人应及时通知采购人，如采购人有相应要求，中标人和制造商应对采购人购买的产品进行免费升级服务。</w:t>
            </w:r>
          </w:p>
          <w:p w14:paraId="27BEAC39">
            <w:pPr>
              <w:pStyle w:val="7"/>
              <w:spacing w:beforeAutospacing="0" w:afterAutospacing="0" w:line="360" w:lineRule="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e、投标人交付设备时，应按照《国家食品药品监督管理总局》第18号令第17条的要求提供相应的维护手册、维修手册、软件备份、故障代码表、备件清单、零部件、维修密码等维护维修必需的材料和信息。</w:t>
            </w:r>
          </w:p>
          <w:p w14:paraId="7DE702A2">
            <w:pPr>
              <w:pStyle w:val="7"/>
              <w:spacing w:beforeAutospacing="0" w:afterAutospacing="0" w:line="360" w:lineRule="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f、除火灾、洪水、地震等天灾外，在保修期内，由于货物故障所产生的所有费用均由供应商负责。</w:t>
            </w:r>
          </w:p>
          <w:p w14:paraId="5FAC3ED7">
            <w:pPr>
              <w:pStyle w:val="7"/>
              <w:spacing w:beforeAutospacing="0" w:afterAutospacing="0" w:line="360" w:lineRule="auto"/>
              <w:rPr>
                <w:rFonts w:hint="eastAsia" w:ascii="宋体" w:hAnsi="宋体" w:eastAsia="宋体" w:cs="宋体"/>
                <w:b w:val="0"/>
                <w:bCs w:val="0"/>
                <w:kern w:val="2"/>
                <w:sz w:val="24"/>
                <w:szCs w:val="24"/>
                <w:highlight w:val="none"/>
              </w:rPr>
            </w:pPr>
            <w:r>
              <w:rPr>
                <w:rFonts w:hint="eastAsia" w:cs="宋体"/>
                <w:kern w:val="2"/>
                <w:sz w:val="24"/>
                <w:szCs w:val="24"/>
                <w:highlight w:val="none"/>
                <w:lang w:val="en-US" w:eastAsia="zh-CN"/>
              </w:rPr>
              <w:t>2.</w:t>
            </w:r>
            <w:r>
              <w:rPr>
                <w:rFonts w:hint="eastAsia" w:ascii="宋体" w:hAnsi="宋体" w:eastAsia="宋体" w:cs="宋体"/>
                <w:kern w:val="2"/>
                <w:sz w:val="24"/>
                <w:szCs w:val="24"/>
                <w:highlight w:val="none"/>
                <w:lang w:val="en-US" w:eastAsia="zh-CN"/>
              </w:rPr>
              <w:t>所有设备按照医院实际要求免费开放端口，免费为医院对接院内信息系统。质保期内免费进行软件升级。</w:t>
            </w:r>
          </w:p>
        </w:tc>
      </w:tr>
      <w:tr w14:paraId="3FB619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78AC186">
            <w:pPr>
              <w:pStyle w:val="7"/>
              <w:spacing w:line="360" w:lineRule="auto"/>
              <w:jc w:val="center"/>
              <w:rPr>
                <w:rFonts w:hint="eastAsia" w:ascii="宋体" w:hAnsi="宋体" w:eastAsia="宋体" w:cs="宋体"/>
                <w:sz w:val="24"/>
                <w:szCs w:val="24"/>
                <w:highlight w:val="none"/>
              </w:rPr>
            </w:pPr>
            <w:r>
              <w:rPr>
                <w:rFonts w:hint="eastAsia" w:ascii="宋体" w:hAnsi="宋体" w:eastAsia="宋体" w:cs="宋体"/>
                <w:kern w:val="2"/>
                <w:sz w:val="24"/>
                <w:szCs w:val="24"/>
                <w:highlight w:val="none"/>
              </w:rPr>
              <w:t>培训</w:t>
            </w:r>
          </w:p>
        </w:tc>
        <w:tc>
          <w:tcPr>
            <w:tcW w:w="7354" w:type="dxa"/>
            <w:tcBorders>
              <w:top w:val="single" w:color="auto" w:sz="4" w:space="0"/>
              <w:left w:val="single" w:color="auto" w:sz="4" w:space="0"/>
              <w:bottom w:val="single" w:color="auto" w:sz="4" w:space="0"/>
              <w:right w:val="single" w:color="auto" w:sz="4" w:space="0"/>
            </w:tcBorders>
            <w:noWrap/>
            <w:vAlign w:val="center"/>
          </w:tcPr>
          <w:p w14:paraId="4FCF0ACF">
            <w:pPr>
              <w:pStyle w:val="7"/>
              <w:spacing w:line="360" w:lineRule="auto"/>
              <w:rPr>
                <w:rFonts w:hint="eastAsia" w:ascii="宋体" w:hAnsi="宋体" w:eastAsia="宋体" w:cs="宋体"/>
                <w:sz w:val="24"/>
                <w:szCs w:val="24"/>
                <w:highlight w:val="none"/>
              </w:rPr>
            </w:pPr>
            <w:r>
              <w:rPr>
                <w:rFonts w:hint="eastAsia" w:ascii="宋体" w:hAnsi="宋体" w:eastAsia="宋体" w:cs="宋体"/>
                <w:kern w:val="2"/>
                <w:sz w:val="24"/>
                <w:szCs w:val="24"/>
                <w:highlight w:val="none"/>
              </w:rPr>
              <w:t>免费提供操作培训和维修培训。</w:t>
            </w:r>
          </w:p>
        </w:tc>
      </w:tr>
      <w:tr w14:paraId="2C7EBB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30259254">
            <w:pPr>
              <w:pStyle w:val="7"/>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其他要求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327C4D83">
            <w:pPr>
              <w:pStyle w:val="7"/>
              <w:spacing w:line="360" w:lineRule="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 xml:space="preserve">要求设备为最新出厂设备，出厂日期不得早于招标日期6个月 </w:t>
            </w:r>
          </w:p>
        </w:tc>
      </w:tr>
    </w:tbl>
    <w:p w14:paraId="331DB15E">
      <w:pPr>
        <w:pStyle w:val="24"/>
        <w:rPr>
          <w:rFonts w:hint="eastAsia" w:ascii="宋体" w:hAnsi="宋体" w:eastAsia="宋体" w:cs="宋体"/>
          <w:color w:val="auto"/>
          <w:highlight w:val="none"/>
        </w:rPr>
      </w:pPr>
    </w:p>
    <w:p w14:paraId="7EF932AE">
      <w:pPr>
        <w:pStyle w:val="24"/>
        <w:rPr>
          <w:rFonts w:hint="eastAsia" w:ascii="宋体" w:hAnsi="宋体" w:eastAsia="宋体" w:cs="宋体"/>
          <w:color w:val="auto"/>
          <w:highlight w:val="none"/>
        </w:r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numPr>
                <w:ilvl w:val="0"/>
                <w:numId w:val="0"/>
              </w:numPr>
              <w:snapToGrid w:val="0"/>
              <w:spacing w:line="360" w:lineRule="auto"/>
              <w:jc w:val="left"/>
              <w:rPr>
                <w:rFonts w:hint="eastAsia" w:ascii="Times New Roman" w:hAnsi="Times New Roman" w:eastAsia="宋体" w:cs="Times New Roman"/>
                <w:color w:val="auto"/>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204B6284">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所投产品均应提供配置明细表并且配置明细表中的所有配件必须是唯一的，不得有选择性配置，所提供配件需是正规厂家生产的原装正品。如果对投标产品的标准配置或配件有更换或调整的，需提供原生产厂家的变更和调整确认材料,提供的产品配件应单独列出其技术性能、标准、产地、生产厂家及享受何种保修服务。</w:t>
            </w:r>
          </w:p>
          <w:p w14:paraId="7E6169D9">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投标人须提供符合国家质量标准、部颁标准、行业标准或本招标文件规定标准的、供货渠道合法的全新原装合格正品（包括零部件），如安装或配置软件的，须为正版软件。所提供的货物应当同时符合国家有关安全、卫生、环保规定。本项目中所投产品涉及纳入国家认证认可监督管理委员会现行《强制性产品认证目录描述与界定表》管理的强制性认证产品（简称 3C 认证产品）的，该产品应具有有认证机构颁发给制造商的该产品强制性认证证书。</w:t>
            </w:r>
          </w:p>
          <w:p w14:paraId="56290533">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采购人使用成交供应商成交的货物、技术、资料、服务或其他任何一部分时，享有无偿使用权。免受第三方提出的侵犯其专利权、著作权、商标权或其它知识产权的起诉。如果第三方提出侵权指控，成交供应商应承担由此而引起的一切法律责任和费用。</w:t>
            </w:r>
          </w:p>
          <w:p w14:paraId="77224DAC">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Chars="0" w:firstLine="480" w:firstLineChars="200"/>
              <w:textAlignment w:val="auto"/>
              <w:rPr>
                <w:rFonts w:hint="eastAsia" w:ascii="Times New Roman" w:hAnsi="Times New Roman" w:eastAsia="宋体" w:cs="Times New Roman"/>
                <w:color w:val="auto"/>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4.商品包装和快递包装应符合《商品包装政府采购需求标准（试行）》和《快递包装政府采购需求标准（试行）》规定。</w:t>
            </w:r>
          </w:p>
        </w:tc>
      </w:tr>
    </w:tbl>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165CED55">
        <w:tblPrEx>
          <w:tblCellMar>
            <w:top w:w="0" w:type="dxa"/>
            <w:left w:w="0" w:type="dxa"/>
            <w:bottom w:w="0" w:type="dxa"/>
            <w:right w:w="0" w:type="dxa"/>
          </w:tblCellMar>
        </w:tblPrEx>
        <w:trPr>
          <w:trHeight w:val="434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采购预算：38万元</w:t>
            </w:r>
            <w:r>
              <w:rPr>
                <w:rFonts w:hint="eastAsia" w:ascii="宋体" w:hAnsi="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最高投标限价</w:t>
            </w:r>
            <w:r>
              <w:rPr>
                <w:rFonts w:hint="eastAsia" w:ascii="宋体" w:hAnsi="宋体" w:cs="宋体"/>
                <w:color w:val="auto"/>
                <w:kern w:val="0"/>
                <w:sz w:val="24"/>
                <w:szCs w:val="24"/>
                <w:highlight w:val="none"/>
                <w:lang w:val="en-US" w:eastAsia="zh-CN"/>
              </w:rPr>
              <w:t>：38</w:t>
            </w:r>
            <w:r>
              <w:rPr>
                <w:rFonts w:hint="eastAsia" w:ascii="宋体" w:hAnsi="宋体" w:cs="宋体"/>
                <w:color w:val="auto"/>
                <w:sz w:val="24"/>
                <w:szCs w:val="32"/>
                <w:highlight w:val="none"/>
                <w:lang w:val="en-US" w:eastAsia="zh-CN"/>
              </w:rPr>
              <w:t>万元。</w:t>
            </w:r>
          </w:p>
          <w:p w14:paraId="7AFDFAB9">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1.1</w:t>
            </w:r>
            <w:r>
              <w:rPr>
                <w:rFonts w:hint="eastAsia" w:ascii="宋体" w:hAnsi="宋体" w:eastAsia="宋体" w:cs="宋体"/>
                <w:color w:val="auto"/>
                <w:kern w:val="0"/>
                <w:sz w:val="24"/>
                <w:szCs w:val="24"/>
                <w:highlight w:val="none"/>
              </w:rPr>
              <w:t>本项目</w:t>
            </w:r>
            <w:r>
              <w:rPr>
                <w:rFonts w:hint="eastAsia" w:ascii="宋体" w:hAnsi="宋体" w:eastAsia="宋体" w:cs="宋体"/>
                <w:color w:val="auto"/>
                <w:kern w:val="0"/>
                <w:sz w:val="24"/>
                <w:szCs w:val="24"/>
                <w:highlight w:val="none"/>
                <w:lang w:val="en-US" w:eastAsia="zh-CN"/>
              </w:rPr>
              <w:t>磋商</w:t>
            </w:r>
            <w:r>
              <w:rPr>
                <w:rFonts w:hint="eastAsia" w:ascii="宋体" w:hAnsi="宋体" w:cs="宋体"/>
                <w:color w:val="auto"/>
                <w:kern w:val="0"/>
                <w:sz w:val="24"/>
                <w:szCs w:val="24"/>
                <w:highlight w:val="none"/>
              </w:rPr>
              <w:t>以人民币报价</w:t>
            </w:r>
            <w:r>
              <w:rPr>
                <w:rFonts w:hint="eastAsia" w:ascii="宋体" w:hAnsi="宋体" w:eastAsia="宋体" w:cs="宋体"/>
                <w:color w:val="auto"/>
                <w:kern w:val="0"/>
                <w:sz w:val="24"/>
                <w:szCs w:val="24"/>
                <w:highlight w:val="none"/>
              </w:rPr>
              <w:t>。</w:t>
            </w:r>
          </w:p>
          <w:p w14:paraId="25F0BC31">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1.2</w:t>
            </w:r>
            <w:r>
              <w:rPr>
                <w:rFonts w:hint="eastAsia" w:ascii="宋体" w:hAnsi="宋体" w:eastAsia="宋体" w:cs="宋体"/>
                <w:color w:val="auto"/>
                <w:kern w:val="0"/>
                <w:sz w:val="24"/>
                <w:szCs w:val="24"/>
                <w:highlight w:val="none"/>
              </w:rPr>
              <w:t>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cs="宋体"/>
                <w:color w:val="auto"/>
                <w:kern w:val="0"/>
                <w:sz w:val="24"/>
                <w:szCs w:val="24"/>
                <w:highlight w:val="none"/>
                <w:lang w:val="en-US" w:eastAsia="zh-CN"/>
              </w:rPr>
              <w:t>1.3</w:t>
            </w:r>
            <w:r>
              <w:rPr>
                <w:rFonts w:hint="eastAsia" w:ascii="宋体" w:hAnsi="宋体" w:eastAsia="宋体" w:cs="宋体"/>
                <w:color w:val="auto"/>
                <w:kern w:val="0"/>
                <w:sz w:val="24"/>
                <w:szCs w:val="24"/>
                <w:highlight w:val="none"/>
              </w:rPr>
              <w:t>本项目</w:t>
            </w:r>
            <w:r>
              <w:rPr>
                <w:rFonts w:hint="eastAsia" w:ascii="宋体" w:hAnsi="宋体" w:eastAsia="宋体" w:cs="宋体"/>
                <w:color w:val="auto"/>
                <w:kern w:val="0"/>
                <w:sz w:val="24"/>
                <w:szCs w:val="24"/>
                <w:highlight w:val="none"/>
                <w:lang w:val="en-US" w:eastAsia="zh-CN"/>
              </w:rPr>
              <w:t>由成交供应商缴纳</w:t>
            </w:r>
            <w:r>
              <w:rPr>
                <w:rFonts w:hint="eastAsia" w:ascii="宋体" w:hAnsi="宋体" w:eastAsia="宋体" w:cs="宋体"/>
                <w:color w:val="auto"/>
                <w:kern w:val="0"/>
                <w:sz w:val="24"/>
                <w:szCs w:val="24"/>
                <w:highlight w:val="none"/>
              </w:rPr>
              <w:t>招标代理服务费。</w:t>
            </w:r>
            <w:r>
              <w:rPr>
                <w:rFonts w:hint="eastAsia" w:ascii="宋体" w:hAnsi="宋体" w:cs="宋体"/>
                <w:color w:val="auto"/>
                <w:kern w:val="0"/>
                <w:sz w:val="24"/>
                <w:szCs w:val="24"/>
                <w:highlight w:val="none"/>
                <w:lang w:val="en-US" w:eastAsia="zh-CN"/>
              </w:rPr>
              <w:t>代理服务费不得高于《招代理机构服务管理暂行办法》（计价格[2002]1980号）相应标准：</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59690</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59264;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NantXdIAAAAH&#10;AQAADwAAAAAAAAABACAAAAAiAAAAZHJzL2Rvd25yZXYueG1sUEsBAhQAFAAAAAgAh07iQF8vVZxb&#10;AgAAmgQAAA4AAAAAAAAAAQAgAAAAIQEAAGRycy9lMm9Eb2MueG1sUEsFBgAAAAAGAAYAWQEAAO4F&#10;A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560"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380"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559"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605"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60"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380"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1B44AAE4">
            <w:pPr>
              <w:widowControl/>
              <w:snapToGrid w:val="0"/>
              <w:spacing w:line="440" w:lineRule="exact"/>
              <w:jc w:val="left"/>
              <w:rPr>
                <w:rFonts w:hint="default" w:ascii="宋体" w:hAnsi="宋体" w:cs="宋体"/>
                <w:color w:val="auto"/>
                <w:kern w:val="0"/>
                <w:szCs w:val="21"/>
                <w:highlight w:val="none"/>
                <w:lang w:val="en-US" w:eastAsia="zh-CN"/>
              </w:rPr>
            </w:pPr>
          </w:p>
        </w:tc>
      </w:tr>
      <w:tr w14:paraId="7A2AFB1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52A4231">
            <w:pPr>
              <w:widowControl/>
              <w:snapToGrid w:val="0"/>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848C77D">
            <w:pPr>
              <w:widowControl/>
              <w:snapToGrid w:val="0"/>
              <w:spacing w:line="440" w:lineRule="exact"/>
              <w:jc w:val="left"/>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rPr>
              <w:t>在原公告发布媒体上发布澄清或修改公告，供应商在提交响应文件截止时间前须自行查看在原公告发布媒体上发布的澄清或修改公告，因供应商未及时查看而造成的后果自负</w:t>
            </w:r>
            <w:r>
              <w:rPr>
                <w:rFonts w:hint="eastAsia" w:ascii="宋体" w:hAnsi="宋体" w:eastAsia="宋体" w:cs="宋体"/>
                <w:color w:val="auto"/>
                <w:sz w:val="24"/>
                <w:szCs w:val="32"/>
                <w:highlight w:val="none"/>
                <w:lang w:eastAsia="zh-CN"/>
              </w:rPr>
              <w:t>。</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val="en-US" w:eastAsia="zh-CN"/>
              </w:rPr>
              <w:t>响应</w:t>
            </w:r>
            <w:r>
              <w:rPr>
                <w:rFonts w:hint="eastAsia" w:ascii="宋体" w:hAnsi="宋体" w:eastAsia="宋体" w:cs="宋体"/>
                <w:color w:val="auto"/>
                <w:sz w:val="24"/>
                <w:szCs w:val="32"/>
                <w:highlight w:val="none"/>
              </w:rPr>
              <w:t>文件组成：纸质</w:t>
            </w:r>
            <w:r>
              <w:rPr>
                <w:rFonts w:hint="eastAsia" w:ascii="宋体" w:hAnsi="宋体" w:eastAsia="宋体" w:cs="宋体"/>
                <w:color w:val="auto"/>
                <w:sz w:val="24"/>
                <w:szCs w:val="32"/>
                <w:highlight w:val="none"/>
                <w:lang w:val="en-US" w:eastAsia="zh-CN"/>
              </w:rPr>
              <w:t>响应</w:t>
            </w:r>
            <w:r>
              <w:rPr>
                <w:rFonts w:hint="eastAsia" w:ascii="宋体" w:hAnsi="宋体" w:eastAsia="宋体" w:cs="宋体"/>
                <w:color w:val="auto"/>
                <w:sz w:val="24"/>
                <w:szCs w:val="32"/>
                <w:highlight w:val="none"/>
              </w:rPr>
              <w:t>文件正本1份</w:t>
            </w:r>
            <w:r>
              <w:rPr>
                <w:rFonts w:hint="eastAsia" w:ascii="宋体" w:hAnsi="宋体" w:eastAsia="宋体" w:cs="宋体"/>
                <w:color w:val="auto"/>
                <w:sz w:val="24"/>
                <w:szCs w:val="32"/>
                <w:highlight w:val="none"/>
                <w:lang w:eastAsia="zh-CN"/>
              </w:rPr>
              <w:t>、</w:t>
            </w:r>
            <w:r>
              <w:rPr>
                <w:rFonts w:hint="eastAsia" w:ascii="宋体" w:hAnsi="宋体" w:eastAsia="宋体" w:cs="宋体"/>
                <w:color w:val="auto"/>
                <w:sz w:val="24"/>
                <w:szCs w:val="32"/>
                <w:highlight w:val="none"/>
                <w:lang w:val="en-US" w:eastAsia="zh-CN"/>
              </w:rPr>
              <w:t>副本2份</w:t>
            </w:r>
            <w:r>
              <w:rPr>
                <w:rFonts w:hint="eastAsia" w:ascii="宋体" w:hAnsi="宋体" w:eastAsia="宋体" w:cs="宋体"/>
                <w:color w:val="auto"/>
                <w:sz w:val="24"/>
                <w:szCs w:val="32"/>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w:t>
            </w:r>
            <w:r>
              <w:rPr>
                <w:rFonts w:hint="eastAsia" w:ascii="宋体" w:hAnsi="宋体" w:eastAsia="宋体" w:cs="宋体"/>
                <w:color w:val="auto"/>
                <w:kern w:val="0"/>
                <w:sz w:val="24"/>
                <w:szCs w:val="24"/>
                <w:highlight w:val="none"/>
              </w:rPr>
              <w:t>员：</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32"/>
                <w:highlight w:val="none"/>
              </w:rPr>
              <w:t>人</w:t>
            </w:r>
            <w:r>
              <w:rPr>
                <w:rFonts w:hint="eastAsia" w:ascii="宋体" w:hAnsi="宋体" w:eastAsia="宋体" w:cs="宋体"/>
                <w:color w:val="auto"/>
                <w:sz w:val="24"/>
                <w:szCs w:val="32"/>
                <w:highlight w:val="none"/>
                <w:lang w:val="en-US" w:eastAsia="zh-CN"/>
              </w:rPr>
              <w:t>及以上单数</w:t>
            </w:r>
            <w:r>
              <w:rPr>
                <w:rFonts w:hint="eastAsia" w:ascii="宋体" w:hAnsi="宋体" w:eastAsia="宋体" w:cs="宋体"/>
                <w:color w:val="auto"/>
                <w:kern w:val="0"/>
                <w:sz w:val="24"/>
                <w:szCs w:val="24"/>
                <w:highlight w:val="none"/>
              </w:rPr>
              <w:t>。</w:t>
            </w:r>
          </w:p>
          <w:p w14:paraId="05D582FC">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专家确定方式：</w:t>
            </w:r>
            <w:r>
              <w:rPr>
                <w:rFonts w:hint="eastAsia" w:ascii="宋体" w:hAnsi="宋体" w:eastAsia="宋体" w:cs="宋体"/>
                <w:color w:val="auto"/>
                <w:kern w:val="0"/>
                <w:sz w:val="24"/>
                <w:szCs w:val="24"/>
                <w:highlight w:val="none"/>
              </w:rPr>
              <w:t>由评审专家、采购人代表</w:t>
            </w:r>
            <w:r>
              <w:rPr>
                <w:rFonts w:hint="eastAsia" w:ascii="宋体" w:hAnsi="宋体" w:eastAsia="宋体" w:cs="宋体"/>
                <w:color w:val="auto"/>
                <w:kern w:val="0"/>
                <w:sz w:val="24"/>
                <w:szCs w:val="24"/>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评标办法：</w:t>
            </w:r>
            <w:r>
              <w:rPr>
                <w:rFonts w:hint="eastAsia" w:ascii="宋体" w:hAnsi="宋体" w:eastAsia="宋体" w:cs="宋体"/>
                <w:color w:val="auto"/>
                <w:kern w:val="0"/>
                <w:sz w:val="24"/>
                <w:szCs w:val="24"/>
                <w:highlight w:val="none"/>
              </w:rPr>
              <w:t>本项目采用</w:t>
            </w:r>
            <w:r>
              <w:rPr>
                <w:rFonts w:hint="eastAsia" w:ascii="宋体" w:hAnsi="宋体" w:eastAsia="宋体" w:cs="宋体"/>
                <w:color w:val="auto"/>
                <w:sz w:val="24"/>
                <w:szCs w:val="24"/>
                <w:highlight w:val="none"/>
              </w:rPr>
              <w:t>综合评分法</w:t>
            </w:r>
            <w:r>
              <w:rPr>
                <w:rFonts w:hint="eastAsia" w:ascii="宋体" w:hAnsi="宋体" w:eastAsia="宋体" w:cs="宋体"/>
                <w:color w:val="auto"/>
                <w:kern w:val="0"/>
                <w:sz w:val="24"/>
                <w:szCs w:val="24"/>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公告及</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通知书：由采购人授权磋商小组确定一名</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并推荐</w:t>
            </w:r>
            <w:r>
              <w:rPr>
                <w:rFonts w:hint="eastAsia" w:ascii="宋体" w:hAnsi="宋体" w:cs="宋体"/>
                <w:color w:val="auto"/>
                <w:kern w:val="0"/>
                <w:sz w:val="24"/>
                <w:szCs w:val="24"/>
                <w:highlight w:val="none"/>
                <w:lang w:val="en-US" w:eastAsia="zh-CN"/>
              </w:rPr>
              <w:t>一</w:t>
            </w:r>
            <w:r>
              <w:rPr>
                <w:rFonts w:hint="eastAsia" w:ascii="宋体" w:hAnsi="宋体" w:eastAsia="宋体" w:cs="宋体"/>
                <w:color w:val="auto"/>
                <w:kern w:val="0"/>
                <w:sz w:val="24"/>
                <w:szCs w:val="24"/>
                <w:highlight w:val="none"/>
              </w:rPr>
              <w:t>名</w:t>
            </w:r>
            <w:r>
              <w:rPr>
                <w:rFonts w:hint="eastAsia" w:ascii="宋体" w:hAnsi="宋体" w:eastAsia="宋体" w:cs="宋体"/>
                <w:color w:val="auto"/>
                <w:kern w:val="0"/>
                <w:sz w:val="24"/>
                <w:szCs w:val="24"/>
                <w:highlight w:val="none"/>
                <w:lang w:eastAsia="zh-CN"/>
              </w:rPr>
              <w:t>成交候选供应商</w:t>
            </w:r>
            <w:r>
              <w:rPr>
                <w:rFonts w:hint="eastAsia" w:ascii="宋体" w:hAnsi="宋体" w:eastAsia="宋体" w:cs="宋体"/>
                <w:color w:val="auto"/>
                <w:kern w:val="0"/>
                <w:sz w:val="24"/>
                <w:szCs w:val="24"/>
                <w:highlight w:val="none"/>
              </w:rPr>
              <w:t>。评审结束后在《驻马店市中心医院》官网上发布成交公告，公示期结束后向</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发出成交通知书。</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采购资金来源：自筹资金。</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8</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有效期：</w:t>
            </w:r>
            <w:r>
              <w:rPr>
                <w:rFonts w:hint="eastAsia" w:ascii="宋体" w:hAnsi="宋体" w:eastAsia="宋体" w:cs="宋体"/>
                <w:color w:val="auto"/>
                <w:kern w:val="0"/>
                <w:sz w:val="24"/>
                <w:szCs w:val="24"/>
                <w:highlight w:val="none"/>
                <w:lang w:val="en-US" w:eastAsia="zh-CN"/>
              </w:rPr>
              <w:t>响应文件递交</w:t>
            </w:r>
            <w:r>
              <w:rPr>
                <w:rFonts w:hint="eastAsia" w:ascii="宋体" w:hAnsi="宋体" w:eastAsia="宋体" w:cs="宋体"/>
                <w:color w:val="auto"/>
                <w:kern w:val="0"/>
                <w:sz w:val="24"/>
                <w:szCs w:val="24"/>
                <w:highlight w:val="none"/>
              </w:rPr>
              <w:t>截止期结束后</w:t>
            </w:r>
            <w:r>
              <w:rPr>
                <w:rFonts w:hint="eastAsia" w:ascii="宋体" w:hAnsi="宋体" w:cs="宋体"/>
                <w:color w:val="auto"/>
                <w:kern w:val="0"/>
                <w:sz w:val="24"/>
                <w:szCs w:val="24"/>
                <w:highlight w:val="none"/>
                <w:lang w:val="en-US" w:eastAsia="zh-CN"/>
              </w:rPr>
              <w:t>90</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文件是合同的组成部分,有效期至合同完全履行止。</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szCs w:val="24"/>
          <w:highlight w:val="none"/>
        </w:rPr>
      </w:pPr>
      <w:bookmarkStart w:id="36" w:name="_Toc4700"/>
      <w:bookmarkStart w:id="37" w:name="_Toc16669"/>
      <w:r>
        <w:rPr>
          <w:rFonts w:hint="eastAsia" w:ascii="宋体" w:hAnsi="宋体" w:eastAsia="宋体" w:cs="宋体"/>
          <w:b/>
          <w:bCs/>
          <w:color w:val="auto"/>
          <w:kern w:val="0"/>
          <w:sz w:val="24"/>
          <w:szCs w:val="24"/>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文件仅适用于</w:t>
      </w:r>
      <w:r>
        <w:rPr>
          <w:rFonts w:hint="eastAsia" w:ascii="宋体" w:hAnsi="宋体" w:cs="宋体"/>
          <w:color w:val="auto"/>
          <w:kern w:val="0"/>
          <w:sz w:val="24"/>
          <w:szCs w:val="24"/>
          <w:highlight w:val="none"/>
          <w:lang w:val="en-US" w:eastAsia="zh-CN"/>
        </w:rPr>
        <w:t>驻马店市中心医院采购的</w:t>
      </w:r>
      <w:r>
        <w:rPr>
          <w:rFonts w:hint="eastAsia" w:ascii="宋体" w:hAnsi="宋体" w:eastAsia="宋体" w:cs="宋体"/>
          <w:color w:val="auto"/>
          <w:kern w:val="0"/>
          <w:sz w:val="24"/>
          <w:szCs w:val="24"/>
          <w:highlight w:val="none"/>
          <w:lang w:eastAsia="zh-CN"/>
        </w:rPr>
        <w:t>货物</w:t>
      </w:r>
      <w:r>
        <w:rPr>
          <w:rFonts w:hint="eastAsia" w:ascii="宋体" w:hAnsi="宋体" w:cs="宋体"/>
          <w:color w:val="auto"/>
          <w:kern w:val="0"/>
          <w:sz w:val="24"/>
          <w:szCs w:val="24"/>
          <w:highlight w:val="none"/>
          <w:lang w:val="en-US" w:eastAsia="zh-CN"/>
        </w:rPr>
        <w:t>项目</w:t>
      </w:r>
      <w:r>
        <w:rPr>
          <w:rFonts w:hint="eastAsia" w:ascii="宋体" w:hAnsi="宋体" w:eastAsia="宋体" w:cs="宋体"/>
          <w:color w:val="auto"/>
          <w:kern w:val="0"/>
          <w:sz w:val="24"/>
          <w:szCs w:val="24"/>
          <w:highlight w:val="none"/>
        </w:rPr>
        <w:t>。</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2.定义</w:t>
      </w:r>
    </w:p>
    <w:p w14:paraId="4EB832A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领取</w:t>
      </w:r>
      <w:r>
        <w:rPr>
          <w:rFonts w:hint="eastAsia" w:ascii="宋体" w:hAnsi="宋体" w:eastAsia="宋体" w:cs="宋体"/>
          <w:color w:val="auto"/>
          <w:kern w:val="0"/>
          <w:sz w:val="24"/>
          <w:szCs w:val="24"/>
          <w:highlight w:val="none"/>
        </w:rPr>
        <w:t>了本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文件，且已经提交本次</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p>
    <w:p w14:paraId="77F757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代表</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参加本次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活动的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 xml:space="preserve"> 货物</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rPr>
        <w:t>供应商按采购文件规定向采购人提供的一切设备、机械、仪器仪表、备品备件、工具、手册及其它有关技术资料和材料。</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 w:val="24"/>
          <w:szCs w:val="24"/>
          <w:highlight w:val="none"/>
        </w:rPr>
      </w:pP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应提交的证明文件</w:t>
      </w:r>
    </w:p>
    <w:p w14:paraId="6AB0B637">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3.1具有独立承担民事责任</w:t>
      </w:r>
      <w:r>
        <w:rPr>
          <w:rFonts w:hint="eastAsia" w:ascii="宋体" w:hAnsi="宋体" w:cs="宋体"/>
          <w:color w:val="auto"/>
          <w:sz w:val="24"/>
          <w:szCs w:val="24"/>
          <w:highlight w:val="none"/>
          <w:shd w:val="clear" w:color="auto" w:fill="FFFFFF"/>
          <w:lang w:val="en-US" w:eastAsia="zh-CN"/>
        </w:rPr>
        <w:t>的</w:t>
      </w:r>
      <w:r>
        <w:rPr>
          <w:rFonts w:hint="eastAsia" w:ascii="宋体" w:hAnsi="宋体" w:eastAsia="宋体" w:cs="宋体"/>
          <w:color w:val="auto"/>
          <w:sz w:val="24"/>
          <w:szCs w:val="24"/>
          <w:highlight w:val="none"/>
          <w:shd w:val="clear" w:color="auto" w:fill="FFFFFF"/>
          <w:lang w:val="en-US" w:eastAsia="zh-CN"/>
        </w:rPr>
        <w:t>能力</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提供营业执照或其他证明材料</w:t>
      </w:r>
      <w:r>
        <w:rPr>
          <w:rFonts w:hint="eastAsia" w:ascii="宋体" w:hAnsi="宋体" w:cs="宋体"/>
          <w:color w:val="auto"/>
          <w:sz w:val="24"/>
          <w:szCs w:val="24"/>
          <w:highlight w:val="none"/>
          <w:shd w:val="clear" w:color="auto" w:fill="FFFFFF"/>
          <w:lang w:val="en-US" w:eastAsia="zh-CN"/>
        </w:rPr>
        <w:t>）；</w:t>
      </w:r>
    </w:p>
    <w:p w14:paraId="393A8139">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3.2具有良好的商业信誉和健全的财务会计制度</w:t>
      </w:r>
      <w:r>
        <w:rPr>
          <w:rFonts w:hint="eastAsia" w:ascii="宋体" w:hAnsi="宋体" w:cs="宋体"/>
          <w:color w:val="auto"/>
          <w:sz w:val="24"/>
          <w:szCs w:val="24"/>
          <w:highlight w:val="none"/>
          <w:shd w:val="clear" w:color="auto" w:fill="FFFFFF"/>
          <w:lang w:val="en-US" w:eastAsia="zh-CN"/>
        </w:rPr>
        <w:t>（提供经审计的2024年或2025年</w:t>
      </w:r>
      <w:r>
        <w:rPr>
          <w:rFonts w:hint="eastAsia" w:ascii="宋体" w:hAnsi="宋体" w:eastAsia="宋体" w:cs="宋体"/>
          <w:color w:val="auto"/>
          <w:sz w:val="24"/>
          <w:szCs w:val="24"/>
          <w:highlight w:val="none"/>
          <w:shd w:val="clear" w:color="auto" w:fill="FFFFFF"/>
          <w:lang w:val="en-US" w:eastAsia="zh-CN"/>
        </w:rPr>
        <w:t>度财务报告或者其基本开户银行出具的资信证明</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309AAFFB">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3.3具有依法缴纳税收和社会保障资金的良好记录（提供</w:t>
      </w:r>
      <w:r>
        <w:rPr>
          <w:rFonts w:hint="eastAsia" w:ascii="宋体" w:hAnsi="宋体" w:eastAsia="宋体" w:cs="宋体"/>
          <w:color w:val="auto"/>
          <w:sz w:val="24"/>
          <w:szCs w:val="24"/>
          <w:highlight w:val="none"/>
          <w:shd w:val="clear" w:color="auto" w:fill="FFFFFF"/>
          <w:lang w:val="en-US" w:eastAsia="zh-CN"/>
        </w:rPr>
        <w:t>采购活动近六个月任意一个月的依法缴纳税收和缴纳</w:t>
      </w:r>
      <w:r>
        <w:rPr>
          <w:rFonts w:hint="eastAsia" w:ascii="宋体" w:hAnsi="宋体" w:cs="宋体"/>
          <w:color w:val="auto"/>
          <w:sz w:val="24"/>
          <w:szCs w:val="24"/>
          <w:highlight w:val="none"/>
          <w:shd w:val="clear" w:color="auto" w:fill="FFFFFF"/>
          <w:lang w:val="en-US" w:eastAsia="zh-CN"/>
        </w:rPr>
        <w:t>社保</w:t>
      </w:r>
      <w:r>
        <w:rPr>
          <w:rFonts w:hint="eastAsia" w:ascii="宋体" w:hAnsi="宋体" w:eastAsia="宋体" w:cs="宋体"/>
          <w:color w:val="auto"/>
          <w:sz w:val="24"/>
          <w:szCs w:val="24"/>
          <w:highlight w:val="none"/>
          <w:shd w:val="clear" w:color="auto" w:fill="FFFFFF"/>
          <w:lang w:val="en-US" w:eastAsia="zh-CN"/>
        </w:rPr>
        <w:t>的</w:t>
      </w:r>
      <w:r>
        <w:rPr>
          <w:rFonts w:hint="eastAsia" w:ascii="宋体" w:hAnsi="宋体" w:cs="宋体"/>
          <w:color w:val="auto"/>
          <w:sz w:val="24"/>
          <w:szCs w:val="24"/>
          <w:highlight w:val="none"/>
          <w:shd w:val="clear" w:color="auto" w:fill="FFFFFF"/>
          <w:lang w:val="en-US" w:eastAsia="zh-CN"/>
        </w:rPr>
        <w:t>证明</w:t>
      </w:r>
      <w:r>
        <w:rPr>
          <w:rFonts w:hint="eastAsia" w:ascii="宋体" w:hAnsi="宋体" w:eastAsia="宋体" w:cs="宋体"/>
          <w:color w:val="auto"/>
          <w:sz w:val="24"/>
          <w:szCs w:val="24"/>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6815B0D3">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3.4</w:t>
      </w:r>
      <w:r>
        <w:rPr>
          <w:rFonts w:hint="eastAsia" w:ascii="宋体" w:hAnsi="宋体" w:eastAsia="宋体" w:cs="宋体"/>
          <w:color w:val="auto"/>
          <w:sz w:val="24"/>
          <w:szCs w:val="24"/>
          <w:highlight w:val="none"/>
          <w:shd w:val="clear" w:color="auto" w:fill="FFFFFF"/>
          <w:lang w:val="en-US" w:eastAsia="zh-CN"/>
        </w:rPr>
        <w:t>具有履行合同所必需的设备和专业技术能力（提供书面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63A78A75">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color w:val="auto"/>
          <w:sz w:val="24"/>
          <w:szCs w:val="24"/>
          <w:highlight w:val="none"/>
          <w:lang w:val="en-US" w:eastAsia="zh-CN"/>
        </w:rPr>
      </w:pPr>
      <w:r>
        <w:rPr>
          <w:rFonts w:hint="eastAsia" w:ascii="宋体" w:hAnsi="宋体" w:cs="宋体"/>
          <w:color w:val="auto"/>
          <w:sz w:val="24"/>
          <w:szCs w:val="24"/>
          <w:highlight w:val="none"/>
          <w:shd w:val="clear" w:color="auto" w:fill="FFFFFF"/>
          <w:lang w:val="en-US" w:eastAsia="zh-CN"/>
        </w:rPr>
        <w:t>3.5</w:t>
      </w:r>
      <w:r>
        <w:rPr>
          <w:rFonts w:hint="eastAsia" w:ascii="宋体" w:hAnsi="宋体" w:eastAsia="宋体" w:cs="宋体"/>
          <w:color w:val="auto"/>
          <w:sz w:val="24"/>
          <w:szCs w:val="24"/>
          <w:highlight w:val="none"/>
          <w:shd w:val="clear" w:color="auto" w:fill="FFFFFF"/>
          <w:lang w:val="en-US" w:eastAsia="zh-CN"/>
        </w:rPr>
        <w:t>参加本采购活动前三年内，在经营活动中没有重大违法记录（提供书面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18593BC4">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3.6</w:t>
      </w:r>
      <w:r>
        <w:rPr>
          <w:rFonts w:hint="eastAsia" w:ascii="宋体" w:hAnsi="宋体" w:eastAsia="宋体" w:cs="宋体"/>
          <w:color w:val="auto"/>
          <w:sz w:val="24"/>
          <w:szCs w:val="24"/>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磋商活动）；供应商提供的仅做为信用参考，以采购人或采购代理机构查询结果为准</w:t>
      </w:r>
      <w:r>
        <w:rPr>
          <w:rFonts w:hint="eastAsia" w:ascii="宋体" w:hAnsi="宋体" w:cs="宋体"/>
          <w:color w:val="auto"/>
          <w:sz w:val="24"/>
          <w:szCs w:val="24"/>
          <w:highlight w:val="none"/>
          <w:shd w:val="clear" w:color="auto" w:fill="FFFFFF"/>
          <w:lang w:val="en-US" w:eastAsia="zh-CN"/>
        </w:rPr>
        <w:t>。</w:t>
      </w:r>
    </w:p>
    <w:p w14:paraId="1720C555">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3.7</w:t>
      </w:r>
      <w:r>
        <w:rPr>
          <w:rFonts w:hint="eastAsia" w:ascii="宋体" w:hAnsi="宋体" w:eastAsia="宋体" w:cs="宋体"/>
          <w:color w:val="auto"/>
          <w:sz w:val="24"/>
          <w:szCs w:val="24"/>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 w:val="24"/>
          <w:szCs w:val="24"/>
          <w:highlight w:val="none"/>
          <w:lang w:val="en-US" w:eastAsia="zh-CN"/>
        </w:rPr>
        <w:t>提供承诺</w:t>
      </w:r>
      <w:r>
        <w:rPr>
          <w:rFonts w:hint="eastAsia" w:ascii="宋体" w:hAnsi="宋体" w:cs="宋体"/>
          <w:color w:val="auto"/>
          <w:kern w:val="0"/>
          <w:sz w:val="24"/>
          <w:szCs w:val="24"/>
          <w:highlight w:val="none"/>
          <w:lang w:val="en-US" w:eastAsia="zh-CN"/>
        </w:rPr>
        <w:t>函</w:t>
      </w:r>
      <w:r>
        <w:rPr>
          <w:rFonts w:hint="eastAsia" w:ascii="宋体" w:hAnsi="宋体" w:eastAsia="宋体" w:cs="宋体"/>
          <w:color w:val="auto"/>
          <w:sz w:val="24"/>
          <w:szCs w:val="24"/>
          <w:highlight w:val="none"/>
          <w:shd w:val="clear" w:color="auto" w:fill="FFFFFF"/>
          <w:lang w:val="en-US" w:eastAsia="zh-CN"/>
        </w:rPr>
        <w:t>）。</w:t>
      </w:r>
    </w:p>
    <w:p w14:paraId="4470B8CF">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3.8本项目</w:t>
      </w:r>
      <w:r>
        <w:rPr>
          <w:rFonts w:hint="eastAsia" w:ascii="宋体" w:hAnsi="宋体" w:eastAsia="宋体" w:cs="宋体"/>
          <w:color w:val="auto"/>
          <w:sz w:val="24"/>
          <w:szCs w:val="24"/>
          <w:highlight w:val="none"/>
          <w:shd w:val="clear" w:color="auto" w:fill="FFFFFF"/>
          <w:lang w:val="en-US" w:eastAsia="zh-CN"/>
        </w:rPr>
        <w:t>特定资格要求：</w:t>
      </w:r>
    </w:p>
    <w:p w14:paraId="563D8230">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投标人为代理商（经销商）时，须具有医疗器械经营许可证或医疗器械经营备案凭证（从事第一类医疗器械经营活动的除外）；投标人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4</w:t>
      </w:r>
      <w:r>
        <w:rPr>
          <w:rFonts w:hint="eastAsia" w:ascii="宋体" w:hAnsi="宋体" w:eastAsia="宋体" w:cs="宋体"/>
          <w:b/>
          <w:bCs/>
          <w:color w:val="auto"/>
          <w:kern w:val="0"/>
          <w:sz w:val="24"/>
          <w:szCs w:val="24"/>
          <w:highlight w:val="none"/>
        </w:rPr>
        <w:t>.投标费用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不论投标结果如何，</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均应自行承担所有与投标有关的全部费用。</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5.1</w:t>
      </w:r>
      <w:r>
        <w:rPr>
          <w:rFonts w:hint="eastAsia" w:ascii="宋体" w:hAnsi="宋体" w:eastAsia="宋体" w:cs="宋体"/>
          <w:color w:val="auto"/>
          <w:kern w:val="0"/>
          <w:sz w:val="24"/>
          <w:szCs w:val="24"/>
          <w:highlight w:val="none"/>
        </w:rPr>
        <w:t xml:space="preserve"> 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5.2</w:t>
      </w:r>
      <w:r>
        <w:rPr>
          <w:rFonts w:hint="eastAsia" w:ascii="宋体" w:hAnsi="宋体" w:eastAsia="宋体" w:cs="宋体"/>
          <w:color w:val="auto"/>
          <w:kern w:val="0"/>
          <w:sz w:val="24"/>
          <w:szCs w:val="24"/>
          <w:highlight w:val="none"/>
        </w:rPr>
        <w:t xml:space="preserve">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 w:val="24"/>
          <w:szCs w:val="24"/>
          <w:highlight w:val="none"/>
          <w:lang w:eastAsia="zh-CN"/>
        </w:rPr>
        <w:t>。</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6.</w:t>
      </w:r>
      <w:r>
        <w:rPr>
          <w:rFonts w:hint="eastAsia" w:ascii="宋体" w:hAnsi="宋体" w:eastAsia="宋体" w:cs="宋体"/>
          <w:b/>
          <w:bCs/>
          <w:color w:val="auto"/>
          <w:kern w:val="0"/>
          <w:sz w:val="24"/>
          <w:szCs w:val="24"/>
          <w:highlight w:val="none"/>
        </w:rPr>
        <w:t>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6.1</w:t>
      </w:r>
      <w:r>
        <w:rPr>
          <w:rFonts w:hint="eastAsia" w:ascii="宋体" w:hAnsi="宋体" w:eastAsia="宋体" w:cs="宋体"/>
          <w:color w:val="auto"/>
          <w:kern w:val="0"/>
          <w:sz w:val="24"/>
          <w:szCs w:val="24"/>
          <w:highlight w:val="none"/>
        </w:rPr>
        <w:t>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6.2</w:t>
      </w:r>
      <w:r>
        <w:rPr>
          <w:rFonts w:hint="eastAsia" w:ascii="宋体" w:hAnsi="宋体" w:eastAsia="宋体" w:cs="宋体"/>
          <w:color w:val="auto"/>
          <w:kern w:val="0"/>
          <w:sz w:val="24"/>
          <w:szCs w:val="24"/>
          <w:highlight w:val="none"/>
        </w:rPr>
        <w:t>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7.</w:t>
      </w:r>
      <w:r>
        <w:rPr>
          <w:rFonts w:hint="eastAsia" w:ascii="宋体" w:hAnsi="宋体" w:eastAsia="宋体" w:cs="宋体"/>
          <w:b/>
          <w:bCs/>
          <w:color w:val="auto"/>
          <w:kern w:val="0"/>
          <w:sz w:val="24"/>
          <w:szCs w:val="24"/>
          <w:highlight w:val="none"/>
        </w:rPr>
        <w:t>特别说明：</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7.1</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代表只能接受一个</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的委托参加投标。</w:t>
      </w:r>
    </w:p>
    <w:p w14:paraId="4AA06270">
      <w:pPr>
        <w:snapToGrid w:val="0"/>
        <w:spacing w:line="360" w:lineRule="auto"/>
        <w:ind w:firstLine="480"/>
        <w:jc w:val="left"/>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7.2</w:t>
      </w:r>
      <w:r>
        <w:rPr>
          <w:rFonts w:hint="eastAsia" w:ascii="宋体" w:hAnsi="宋体" w:cs="宋体"/>
          <w:kern w:val="0"/>
          <w:sz w:val="24"/>
          <w:szCs w:val="24"/>
          <w:highlight w:val="none"/>
        </w:rPr>
        <w:t xml:space="preserve">《政府采购法》第二十二条第五款“参加政府采购活动前三年内，在经营活动中没有重大违法记录”，《政府采购法》实施条例第十九条 </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重大违法记录是指供应商因违法经营受到刑事处罚或者责令停产停业、吊销许可证或者执照、较大数额罚款等行政处罚。</w:t>
      </w:r>
      <w:r>
        <w:rPr>
          <w:rFonts w:hint="eastAsia" w:ascii="宋体" w:hAnsi="宋体" w:cs="宋体"/>
          <w:kern w:val="0"/>
          <w:sz w:val="24"/>
          <w:szCs w:val="24"/>
          <w:highlight w:val="none"/>
          <w:lang w:eastAsia="zh-CN"/>
        </w:rPr>
        <w:t>”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w:t>
      </w:r>
      <w:r>
        <w:rPr>
          <w:rFonts w:hint="eastAsia" w:ascii="宋体" w:hAnsi="宋体" w:cs="宋体"/>
          <w:kern w:val="0"/>
          <w:sz w:val="24"/>
          <w:szCs w:val="24"/>
          <w:highlight w:val="none"/>
        </w:rPr>
        <w:t>“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7.3</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8.</w:t>
      </w:r>
      <w:r>
        <w:rPr>
          <w:rFonts w:hint="eastAsia" w:ascii="宋体" w:hAnsi="宋体" w:eastAsia="宋体" w:cs="宋体"/>
          <w:b/>
          <w:bCs/>
          <w:color w:val="auto"/>
          <w:kern w:val="0"/>
          <w:sz w:val="24"/>
          <w:szCs w:val="24"/>
          <w:highlight w:val="none"/>
        </w:rPr>
        <w:t>质疑和投诉</w:t>
      </w:r>
    </w:p>
    <w:p w14:paraId="0C544B71">
      <w:pPr>
        <w:keepNext w:val="0"/>
        <w:keepLines w:val="0"/>
        <w:pageBreakBefore w:val="0"/>
        <w:widowControl w:val="0"/>
        <w:kinsoku/>
        <w:wordWrap/>
        <w:overflowPunct/>
        <w:topLinePunct w:val="0"/>
        <w:bidi w:val="0"/>
        <w:snapToGrid w:val="0"/>
        <w:spacing w:line="360" w:lineRule="auto"/>
        <w:ind w:firstLine="470" w:firstLineChars="196"/>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供应商认为</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文件使自己的合法权益受到损害的，</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公告期限届满之日(或收到</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个工作日之内向</w:t>
      </w:r>
      <w:r>
        <w:rPr>
          <w:rFonts w:hint="eastAsia" w:ascii="宋体" w:hAnsi="宋体" w:eastAsia="宋体" w:cs="宋体"/>
          <w:bCs/>
          <w:color w:val="auto"/>
          <w:kern w:val="0"/>
          <w:sz w:val="24"/>
          <w:szCs w:val="24"/>
          <w:highlight w:val="none"/>
        </w:rPr>
        <w:t>采购人提出质疑；供应商认为</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w:t>
      </w:r>
      <w:r>
        <w:rPr>
          <w:rFonts w:hint="eastAsia" w:ascii="宋体" w:hAnsi="宋体" w:cs="宋体"/>
          <w:bCs/>
          <w:color w:val="auto"/>
          <w:kern w:val="0"/>
          <w:sz w:val="24"/>
          <w:szCs w:val="24"/>
          <w:highlight w:val="none"/>
          <w:lang w:eastAsia="zh-CN"/>
        </w:rPr>
        <w:t>成交</w:t>
      </w:r>
      <w:r>
        <w:rPr>
          <w:rFonts w:hint="eastAsia" w:ascii="宋体" w:hAnsi="宋体" w:eastAsia="宋体" w:cs="宋体"/>
          <w:bCs/>
          <w:color w:val="auto"/>
          <w:kern w:val="0"/>
          <w:sz w:val="24"/>
          <w:szCs w:val="24"/>
          <w:highlight w:val="none"/>
        </w:rPr>
        <w:t>结果使自己的合法权益受到损害的，应当在知道或者应知其权益受到损害之日起</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个工作日内提出质疑。</w:t>
      </w:r>
      <w:r>
        <w:rPr>
          <w:rFonts w:hint="eastAsia" w:ascii="宋体" w:hAnsi="宋体" w:eastAsia="宋体" w:cs="宋体"/>
          <w:color w:val="auto"/>
          <w:kern w:val="0"/>
          <w:sz w:val="24"/>
          <w:szCs w:val="24"/>
          <w:highlight w:val="none"/>
        </w:rPr>
        <w:t>逾期不再受理,</w:t>
      </w:r>
      <w:r>
        <w:rPr>
          <w:rFonts w:hint="eastAsia" w:ascii="宋体" w:hAnsi="宋体" w:eastAsia="宋体" w:cs="宋体"/>
          <w:bCs/>
          <w:color w:val="auto"/>
          <w:kern w:val="0"/>
          <w:sz w:val="24"/>
          <w:szCs w:val="24"/>
          <w:highlight w:val="none"/>
        </w:rPr>
        <w:t>供应商在法定质疑期内应一次性提出针对同一采购环节的质疑。</w:t>
      </w:r>
      <w:r>
        <w:rPr>
          <w:rFonts w:hint="eastAsia" w:ascii="宋体" w:hAnsi="宋体" w:eastAsia="宋体" w:cs="宋体"/>
          <w:color w:val="auto"/>
          <w:kern w:val="0"/>
          <w:sz w:val="24"/>
          <w:szCs w:val="24"/>
          <w:highlight w:val="none"/>
        </w:rPr>
        <w:t>供应商对</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的质疑答复不满意,或</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未在规定时间内作出答复的，可以在答复期满后15个工作日内向</w:t>
      </w:r>
      <w:r>
        <w:rPr>
          <w:rFonts w:hint="eastAsia" w:ascii="宋体" w:hAnsi="宋体" w:eastAsia="宋体" w:cs="宋体"/>
          <w:color w:val="auto"/>
          <w:kern w:val="0"/>
          <w:sz w:val="24"/>
          <w:szCs w:val="24"/>
          <w:highlight w:val="none"/>
          <w:lang w:val="en-US" w:eastAsia="zh-CN"/>
        </w:rPr>
        <w:t>医院纪检</w:t>
      </w:r>
      <w:r>
        <w:rPr>
          <w:rFonts w:hint="eastAsia" w:ascii="宋体" w:hAnsi="宋体" w:eastAsia="宋体" w:cs="宋体"/>
          <w:color w:val="auto"/>
          <w:kern w:val="0"/>
          <w:sz w:val="24"/>
          <w:szCs w:val="24"/>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质疑、投诉应当采用书面形式，质疑书、投诉书均应明确阐述</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w:t>
      </w:r>
      <w:r>
        <w:rPr>
          <w:rFonts w:hint="eastAsia" w:ascii="宋体" w:hAnsi="宋体" w:cs="宋体"/>
          <w:bCs/>
          <w:color w:val="auto"/>
          <w:kern w:val="0"/>
          <w:sz w:val="24"/>
          <w:szCs w:val="24"/>
          <w:highlight w:val="none"/>
          <w:lang w:eastAsia="zh-CN"/>
        </w:rPr>
        <w:t>成交</w:t>
      </w:r>
      <w:r>
        <w:rPr>
          <w:rFonts w:hint="eastAsia" w:ascii="宋体" w:hAnsi="宋体" w:eastAsia="宋体" w:cs="宋体"/>
          <w:bCs/>
          <w:color w:val="auto"/>
          <w:kern w:val="0"/>
          <w:sz w:val="24"/>
          <w:szCs w:val="24"/>
          <w:highlight w:val="none"/>
        </w:rPr>
        <w:t>结果中使自己合法权益受到损害的实质性内容，提供相关事实、依据和证据及其来源或线索，便于有关单位调查、答复和处理。</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w:t>
      </w:r>
    </w:p>
    <w:p w14:paraId="1B68A14C">
      <w:pPr>
        <w:tabs>
          <w:tab w:val="left" w:pos="720"/>
        </w:tabs>
        <w:spacing w:line="360" w:lineRule="auto"/>
        <w:ind w:firstLine="482" w:firstLineChars="200"/>
        <w:rPr>
          <w:rFonts w:hint="eastAsia" w:ascii="宋体" w:hAnsi="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9.采购文件构成</w:t>
      </w:r>
    </w:p>
    <w:p w14:paraId="00C9D0C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文件中供应商须知、条款、格式等所有事项，按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文件的要求制作并提交响应文件，并保证所提供的全部资料的真实性，以使其投标对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文件做出实质性响应，否则，将承担其投标被拒绝的风险。</w:t>
      </w:r>
    </w:p>
    <w:p w14:paraId="073B3FE2">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.1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对已发出的</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文件进行必要澄清、修改或补充的，应当在</w:t>
      </w:r>
      <w:r>
        <w:rPr>
          <w:rFonts w:hint="eastAsia" w:ascii="宋体" w:hAnsi="宋体" w:eastAsia="宋体" w:cs="宋体"/>
          <w:color w:val="auto"/>
          <w:kern w:val="0"/>
          <w:sz w:val="24"/>
          <w:szCs w:val="24"/>
          <w:highlight w:val="none"/>
          <w:lang w:val="en-US" w:eastAsia="zh-CN"/>
        </w:rPr>
        <w:t>原采购公告发布</w:t>
      </w:r>
      <w:r>
        <w:rPr>
          <w:rFonts w:hint="eastAsia" w:ascii="宋体" w:hAnsi="宋体" w:eastAsia="宋体" w:cs="宋体"/>
          <w:color w:val="auto"/>
          <w:kern w:val="0"/>
          <w:sz w:val="24"/>
          <w:szCs w:val="24"/>
          <w:highlight w:val="none"/>
        </w:rPr>
        <w:t>媒体上发布更正公告或变更公告。</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.2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文件澄清、修改或补充的内容为</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文件的组成部分。</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三、</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.要求</w:t>
      </w:r>
    </w:p>
    <w:p w14:paraId="7F4EF235">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文件的所有内容，按照</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文件提供的格式编写</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文件，不得缺少或留空任何</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文件要求填写的表格或提交的资料。</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文件提供格式的按格式填列，未提供格式的可自行拟定。</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文件的要求作出实质性响应（包括</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资格要求、技术要求、商务要求和</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文件格式中对</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的要求），</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对所提供的全部资料的合法性、真实性负责。</w:t>
      </w:r>
    </w:p>
    <w:p w14:paraId="417073B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文件的语言和计量单位</w:t>
      </w:r>
    </w:p>
    <w:p w14:paraId="609BDD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响应</w:t>
      </w:r>
      <w:r>
        <w:rPr>
          <w:rFonts w:hint="eastAsia" w:ascii="宋体" w:hAnsi="宋体" w:eastAsia="宋体" w:cs="宋体"/>
          <w:color w:val="auto"/>
          <w:kern w:val="0"/>
          <w:sz w:val="24"/>
          <w:szCs w:val="24"/>
          <w:highlight w:val="none"/>
        </w:rPr>
        <w:t>文件以及</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与采购人就有关</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事宜的所有来往函电均应使用简体中文书写。供应商提供的外文资料应附有相应的中文译本，并以中文译本为准。</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关于</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文件已有明确规定的，使用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文件规定的计量单位；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文件没有规定的，应采用中华人民共和国法定计量单位。</w:t>
      </w:r>
    </w:p>
    <w:p w14:paraId="27843369">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文件的组成</w:t>
      </w:r>
      <w:r>
        <w:rPr>
          <w:rFonts w:hint="eastAsia" w:ascii="宋体" w:hAnsi="宋体" w:eastAsia="宋体" w:cs="宋体"/>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文件应包括下列部分：</w:t>
      </w:r>
    </w:p>
    <w:p w14:paraId="170FE95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竞争性磋商响应书</w:t>
      </w:r>
    </w:p>
    <w:p w14:paraId="400CB9C6">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13.2初次报价</w:t>
      </w:r>
      <w:r>
        <w:rPr>
          <w:rFonts w:hint="eastAsia" w:ascii="宋体" w:hAnsi="宋体" w:eastAsia="宋体" w:cs="宋体"/>
          <w:color w:val="auto"/>
          <w:kern w:val="0"/>
          <w:sz w:val="24"/>
          <w:szCs w:val="24"/>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证明文件</w:t>
      </w:r>
    </w:p>
    <w:p w14:paraId="3B3C118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w:t>
      </w:r>
      <w:r>
        <w:rPr>
          <w:rFonts w:hint="eastAsia" w:ascii="宋体" w:hAnsi="宋体" w:cs="宋体"/>
          <w:b/>
          <w:color w:val="auto"/>
          <w:kern w:val="0"/>
          <w:sz w:val="24"/>
          <w:szCs w:val="24"/>
          <w:highlight w:val="none"/>
          <w:lang w:val="en-US" w:eastAsia="zh-CN"/>
        </w:rPr>
        <w:t>4</w:t>
      </w:r>
      <w:r>
        <w:rPr>
          <w:rFonts w:hint="eastAsia" w:ascii="宋体" w:hAnsi="宋体" w:eastAsia="宋体" w:cs="宋体"/>
          <w:b/>
          <w:color w:val="auto"/>
          <w:kern w:val="0"/>
          <w:sz w:val="24"/>
          <w:szCs w:val="24"/>
          <w:highlight w:val="none"/>
        </w:rPr>
        <w:t>.</w:t>
      </w:r>
      <w:r>
        <w:rPr>
          <w:rFonts w:hint="eastAsia" w:ascii="宋体" w:hAnsi="宋体" w:eastAsia="宋体" w:cs="宋体"/>
          <w:b/>
          <w:color w:val="auto"/>
          <w:kern w:val="0"/>
          <w:sz w:val="24"/>
          <w:szCs w:val="24"/>
          <w:highlight w:val="none"/>
          <w:lang w:val="en-US" w:eastAsia="zh-CN"/>
        </w:rPr>
        <w:t>响应文件</w:t>
      </w:r>
      <w:r>
        <w:rPr>
          <w:rFonts w:hint="eastAsia" w:ascii="宋体" w:hAnsi="宋体" w:eastAsia="宋体" w:cs="宋体"/>
          <w:b/>
          <w:color w:val="auto"/>
          <w:kern w:val="0"/>
          <w:sz w:val="24"/>
          <w:szCs w:val="24"/>
          <w:highlight w:val="none"/>
        </w:rPr>
        <w:t>有效期</w:t>
      </w:r>
    </w:p>
    <w:p w14:paraId="0BE5B1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响应文件应自规定的磋商之日起，在“供应商须知”规定的时间内保持有效。磋商有效期不足的投标将被视为非实质性响应，并予以拒绝。</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77"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.1 所有</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要按</w:t>
      </w:r>
      <w:r>
        <w:rPr>
          <w:rFonts w:hint="eastAsia" w:ascii="宋体" w:hAnsi="宋体" w:cs="宋体"/>
          <w:color w:val="auto"/>
          <w:kern w:val="0"/>
          <w:sz w:val="24"/>
          <w:szCs w:val="24"/>
          <w:highlight w:val="none"/>
          <w:lang w:val="en-US" w:eastAsia="zh-CN"/>
        </w:rPr>
        <w:t>初次报价</w:t>
      </w:r>
      <w:r>
        <w:rPr>
          <w:rFonts w:hint="eastAsia" w:ascii="宋体" w:hAnsi="宋体" w:eastAsia="宋体" w:cs="宋体"/>
          <w:color w:val="auto"/>
          <w:kern w:val="0"/>
          <w:sz w:val="24"/>
          <w:szCs w:val="24"/>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.3 </w:t>
      </w:r>
      <w:r>
        <w:rPr>
          <w:rFonts w:hint="eastAsia" w:ascii="宋体" w:hAnsi="宋体" w:eastAsia="宋体" w:cs="宋体"/>
          <w:color w:val="auto"/>
          <w:spacing w:val="10"/>
          <w:kern w:val="0"/>
          <w:sz w:val="24"/>
          <w:szCs w:val="24"/>
          <w:highlight w:val="none"/>
          <w:lang w:eastAsia="zh-CN"/>
        </w:rPr>
        <w:t>供应商</w:t>
      </w:r>
      <w:r>
        <w:rPr>
          <w:rFonts w:hint="eastAsia" w:ascii="宋体" w:hAnsi="宋体" w:eastAsia="宋体" w:cs="宋体"/>
          <w:color w:val="auto"/>
          <w:spacing w:val="10"/>
          <w:kern w:val="0"/>
          <w:sz w:val="24"/>
          <w:szCs w:val="24"/>
          <w:highlight w:val="none"/>
        </w:rPr>
        <w:t>投报多标包的，应对每标包分别报价并分别填报</w:t>
      </w:r>
      <w:r>
        <w:rPr>
          <w:rFonts w:hint="eastAsia" w:ascii="宋体" w:hAnsi="宋体" w:cs="宋体"/>
          <w:color w:val="auto"/>
          <w:kern w:val="0"/>
          <w:sz w:val="24"/>
          <w:szCs w:val="24"/>
          <w:highlight w:val="none"/>
          <w:lang w:val="en-US" w:eastAsia="zh-CN"/>
        </w:rPr>
        <w:t>初次报价</w:t>
      </w:r>
      <w:r>
        <w:rPr>
          <w:rFonts w:hint="eastAsia" w:ascii="宋体" w:hAnsi="宋体" w:eastAsia="宋体" w:cs="宋体"/>
          <w:color w:val="auto"/>
          <w:kern w:val="0"/>
          <w:sz w:val="24"/>
          <w:szCs w:val="24"/>
          <w:highlight w:val="none"/>
        </w:rPr>
        <w:t>一览表</w:t>
      </w:r>
      <w:r>
        <w:rPr>
          <w:rFonts w:hint="eastAsia" w:ascii="宋体" w:hAnsi="宋体" w:eastAsia="宋体" w:cs="宋体"/>
          <w:color w:val="auto"/>
          <w:spacing w:val="10"/>
          <w:kern w:val="0"/>
          <w:sz w:val="24"/>
          <w:szCs w:val="24"/>
          <w:highlight w:val="none"/>
        </w:rPr>
        <w:t>。</w:t>
      </w:r>
    </w:p>
    <w:p w14:paraId="4CE9644D">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.4 </w:t>
      </w:r>
      <w:r>
        <w:rPr>
          <w:rFonts w:hint="eastAsia" w:ascii="宋体" w:hAnsi="宋体" w:cs="宋体"/>
          <w:color w:val="auto"/>
          <w:kern w:val="0"/>
          <w:sz w:val="24"/>
          <w:szCs w:val="24"/>
          <w:highlight w:val="none"/>
          <w:lang w:eastAsia="zh-CN"/>
        </w:rPr>
        <w:t>初次报价一览表</w:t>
      </w:r>
      <w:r>
        <w:rPr>
          <w:rFonts w:hint="eastAsia" w:ascii="宋体" w:hAnsi="宋体" w:eastAsia="宋体" w:cs="宋体"/>
          <w:color w:val="auto"/>
          <w:kern w:val="0"/>
          <w:sz w:val="24"/>
          <w:szCs w:val="24"/>
          <w:highlight w:val="none"/>
        </w:rPr>
        <w:t>中标明的价格在政府采购合同执行过程中是固定不变的，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.5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.6 对于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w:t>
      </w:r>
      <w:r>
        <w:rPr>
          <w:rFonts w:hint="eastAsia" w:ascii="宋体" w:hAnsi="宋体" w:cs="宋体"/>
          <w:color w:val="auto"/>
          <w:kern w:val="0"/>
          <w:sz w:val="24"/>
          <w:szCs w:val="24"/>
          <w:highlight w:val="none"/>
          <w:lang w:eastAsia="zh-CN"/>
        </w:rPr>
        <w:t>初次报价一览表</w:t>
      </w:r>
      <w:r>
        <w:rPr>
          <w:rFonts w:hint="eastAsia" w:ascii="宋体" w:hAnsi="宋体" w:eastAsia="宋体" w:cs="宋体"/>
          <w:color w:val="auto"/>
          <w:kern w:val="0"/>
          <w:sz w:val="24"/>
          <w:szCs w:val="24"/>
          <w:highlight w:val="none"/>
        </w:rPr>
        <w:t>和</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文件中列出的赠送条款，在评审时不得作为价格评分因素或者调整评标价格的依据。</w:t>
      </w:r>
    </w:p>
    <w:p w14:paraId="5BDEFEBB">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16</w:t>
      </w:r>
      <w:r>
        <w:rPr>
          <w:rFonts w:hint="eastAsia" w:ascii="宋体" w:hAnsi="宋体" w:eastAsia="宋体" w:cs="宋体"/>
          <w:b/>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文件的签署</w:t>
      </w:r>
      <w:r>
        <w:rPr>
          <w:rFonts w:hint="eastAsia" w:ascii="宋体" w:hAnsi="宋体" w:eastAsia="宋体" w:cs="宋体"/>
          <w:b/>
          <w:color w:val="auto"/>
          <w:kern w:val="0"/>
          <w:sz w:val="24"/>
          <w:szCs w:val="24"/>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文件应按第六章“</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文件格式”进行编写，如有必要，可以增加附页，作为</w:t>
      </w: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的组成部分。其中，</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报价一览表在满足</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文件实质性要求的基础上，可以提出比</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文件要求更有利于采购人的承诺。</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文件应用不褪色的材料书写或打印，并由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的法定代表人盖章或盖单位公章；</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文件应尽量避免涂改、行间插字或删除，如果出现上述情况，改动之处应加盖单位公章或由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的法定代表人盖章确认。</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文件份数见</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须知前附表。</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文件正本和副本的封面上应清楚地标记“正本”或“副本”的字样。</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四、</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77" w:firstLineChars="198"/>
        <w:textAlignment w:val="auto"/>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17.</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84" w:firstLineChars="202"/>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17</w:t>
      </w: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17.</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 xml:space="preserve"> 未按本章第</w:t>
      </w:r>
      <w:r>
        <w:rPr>
          <w:rFonts w:hint="eastAsia" w:ascii="宋体" w:hAnsi="宋体" w:cs="宋体"/>
          <w:color w:val="auto"/>
          <w:sz w:val="24"/>
          <w:szCs w:val="24"/>
          <w:highlight w:val="none"/>
          <w:lang w:val="en-US" w:eastAsia="zh-CN"/>
        </w:rPr>
        <w:t>17.1</w:t>
      </w:r>
      <w:r>
        <w:rPr>
          <w:rFonts w:hint="eastAsia" w:ascii="宋体" w:hAnsi="宋体" w:eastAsia="宋体" w:cs="宋体"/>
          <w:color w:val="auto"/>
          <w:sz w:val="24"/>
          <w:szCs w:val="24"/>
          <w:highlight w:val="none"/>
          <w:lang w:eastAsia="zh-CN"/>
        </w:rPr>
        <w:t>项要求密封的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sz w:val="24"/>
          <w:szCs w:val="24"/>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bCs w:val="0"/>
          <w:color w:val="auto"/>
          <w:kern w:val="0"/>
          <w:sz w:val="24"/>
          <w:szCs w:val="24"/>
          <w:highlight w:val="none"/>
        </w:rPr>
      </w:pPr>
      <w:r>
        <w:rPr>
          <w:rFonts w:hint="eastAsia" w:ascii="宋体" w:hAnsi="宋体" w:cs="宋体"/>
          <w:b/>
          <w:bCs w:val="0"/>
          <w:color w:val="auto"/>
          <w:kern w:val="0"/>
          <w:sz w:val="24"/>
          <w:szCs w:val="24"/>
          <w:highlight w:val="none"/>
          <w:lang w:val="en-US" w:eastAsia="zh-CN"/>
        </w:rPr>
        <w:t>18</w:t>
      </w:r>
      <w:r>
        <w:rPr>
          <w:rFonts w:hint="eastAsia" w:ascii="宋体" w:hAnsi="宋体" w:eastAsia="宋体" w:cs="宋体"/>
          <w:b/>
          <w:bCs w:val="0"/>
          <w:color w:val="auto"/>
          <w:kern w:val="0"/>
          <w:sz w:val="24"/>
          <w:szCs w:val="24"/>
          <w:highlight w:val="none"/>
        </w:rPr>
        <w:t xml:space="preserve">. </w:t>
      </w:r>
      <w:r>
        <w:rPr>
          <w:rFonts w:hint="eastAsia" w:ascii="宋体" w:hAnsi="宋体" w:eastAsia="宋体" w:cs="宋体"/>
          <w:b/>
          <w:bCs w:val="0"/>
          <w:color w:val="auto"/>
          <w:kern w:val="0"/>
          <w:sz w:val="24"/>
          <w:szCs w:val="24"/>
          <w:highlight w:val="none"/>
          <w:lang w:val="en-US" w:eastAsia="zh-CN"/>
        </w:rPr>
        <w:t>响应</w:t>
      </w:r>
      <w:r>
        <w:rPr>
          <w:rFonts w:hint="eastAsia" w:ascii="宋体" w:hAnsi="宋体" w:eastAsia="宋体" w:cs="宋体"/>
          <w:b/>
          <w:bCs w:val="0"/>
          <w:color w:val="auto"/>
          <w:kern w:val="0"/>
          <w:sz w:val="24"/>
          <w:szCs w:val="24"/>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18</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应在规定的</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截止时间前</w:t>
      </w:r>
      <w:r>
        <w:rPr>
          <w:rFonts w:hint="eastAsia" w:ascii="宋体" w:hAnsi="宋体" w:eastAsia="宋体" w:cs="宋体"/>
          <w:color w:val="auto"/>
          <w:kern w:val="0"/>
          <w:sz w:val="24"/>
          <w:szCs w:val="24"/>
          <w:highlight w:val="none"/>
          <w:lang w:eastAsia="zh-CN"/>
        </w:rPr>
        <w:t>递交</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18.2</w:t>
      </w:r>
      <w:r>
        <w:rPr>
          <w:rFonts w:hint="eastAsia" w:ascii="宋体" w:hAnsi="宋体" w:eastAsia="宋体" w:cs="宋体"/>
          <w:color w:val="auto"/>
          <w:kern w:val="0"/>
          <w:sz w:val="24"/>
          <w:szCs w:val="24"/>
          <w:highlight w:val="none"/>
        </w:rPr>
        <w:t xml:space="preserve"> 逾期送达的或者未送达指定地点的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19</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在投标截止时间前，可以对所提交的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文件进行补充、修改或者撤回，并书面通知</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。补充、修改的内容和撤回通知应当按本须知要求签署、盖章、密封，并作为</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截止期后不得修改、撤回</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在投标截止期后修改</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五</w:t>
      </w:r>
      <w:r>
        <w:rPr>
          <w:rFonts w:hint="eastAsia" w:ascii="宋体" w:hAnsi="宋体" w:eastAsia="宋体" w:cs="宋体"/>
          <w:b/>
          <w:bCs/>
          <w:color w:val="auto"/>
          <w:kern w:val="0"/>
          <w:sz w:val="24"/>
          <w:szCs w:val="24"/>
          <w:highlight w:val="none"/>
        </w:rPr>
        <w:t>、评标</w:t>
      </w:r>
    </w:p>
    <w:p w14:paraId="520C506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 组建</w:t>
      </w:r>
      <w:r>
        <w:rPr>
          <w:rFonts w:hint="eastAsia" w:ascii="宋体" w:hAnsi="宋体" w:eastAsia="宋体" w:cs="宋体"/>
          <w:b/>
          <w:bCs/>
          <w:color w:val="auto"/>
          <w:kern w:val="0"/>
          <w:sz w:val="24"/>
          <w:szCs w:val="24"/>
          <w:highlight w:val="none"/>
          <w:lang w:eastAsia="zh-CN"/>
        </w:rPr>
        <w:t>磋商小组</w:t>
      </w:r>
    </w:p>
    <w:p w14:paraId="78EE007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.1 磋商由评审小组负责。评审小组由采购人的代表和有关技术、经济等方面的专家组成，成员人数应当为3人及以上单数。其中，技术、经济等方面的专家不得少于成员总数的三分之二。评审小组应当推选组长，但采购人代表不得担任组长。</w:t>
      </w:r>
    </w:p>
    <w:p w14:paraId="784A123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成员要依法独立评审，并对评审意见承担个人责任。</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成员对需要共同认定的事项存在争议的，按照少数服从多数的原则</w:t>
      </w:r>
      <w:r>
        <w:rPr>
          <w:rFonts w:hint="eastAsia" w:ascii="宋体" w:hAnsi="宋体" w:eastAsia="宋体" w:cs="宋体"/>
          <w:color w:val="auto"/>
          <w:kern w:val="0"/>
          <w:sz w:val="24"/>
          <w:szCs w:val="24"/>
          <w:highlight w:val="none"/>
        </w:rPr>
        <w:t>做</w:t>
      </w:r>
      <w:r>
        <w:rPr>
          <w:rFonts w:hint="eastAsia" w:ascii="宋体" w:hAnsi="宋体" w:eastAsia="宋体" w:cs="宋体"/>
          <w:color w:val="auto"/>
          <w:sz w:val="24"/>
          <w:szCs w:val="24"/>
          <w:highlight w:val="none"/>
        </w:rPr>
        <w:t>出结论。持不同意见的</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成员应当在评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报告上签署不同意见</w:t>
      </w:r>
      <w:r>
        <w:rPr>
          <w:rFonts w:hint="eastAsia" w:ascii="宋体" w:hAnsi="宋体" w:eastAsia="宋体" w:cs="宋体"/>
          <w:color w:val="auto"/>
          <w:kern w:val="0"/>
          <w:sz w:val="24"/>
          <w:szCs w:val="24"/>
          <w:highlight w:val="none"/>
        </w:rPr>
        <w:t>并说明</w:t>
      </w:r>
      <w:r>
        <w:rPr>
          <w:rFonts w:hint="eastAsia" w:ascii="宋体" w:hAnsi="宋体" w:eastAsia="宋体" w:cs="宋体"/>
          <w:color w:val="auto"/>
          <w:sz w:val="24"/>
          <w:szCs w:val="24"/>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sz w:val="24"/>
          <w:szCs w:val="24"/>
          <w:highlight w:val="none"/>
        </w:rPr>
        <w:t>文件的初审</w:t>
      </w:r>
    </w:p>
    <w:p w14:paraId="0EA49C9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w:t>
      </w: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报价出现前后不一致的，除</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文件另有规定外，修正错误的原则如下：</w:t>
      </w:r>
    </w:p>
    <w:p w14:paraId="4DF8A71E">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21.1.1</w:t>
      </w:r>
      <w:r>
        <w:rPr>
          <w:rFonts w:hint="eastAsia" w:ascii="宋体" w:hAnsi="宋体" w:eastAsia="宋体" w:cs="宋体"/>
          <w:color w:val="auto"/>
          <w:sz w:val="24"/>
          <w:szCs w:val="24"/>
          <w:highlight w:val="none"/>
          <w:lang w:val="en-US" w:eastAsia="zh-CN"/>
        </w:rPr>
        <w:t>响应文件</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（报价表）内容与</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shd w:val="clear" w:color="auto" w:fill="FFFFFF"/>
        </w:rPr>
        <w:t>中相应内容不一致的，以</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（报价表）为准；</w:t>
      </w:r>
    </w:p>
    <w:p w14:paraId="0AF4EB7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shd w:val="clear" w:color="auto" w:fill="FFFFFF"/>
        </w:rPr>
        <w:t>大写金额</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shd w:val="clear" w:color="auto" w:fill="FFFFFF"/>
        </w:rPr>
        <w:t>小写金额不一致的，以大写金额为准；</w:t>
      </w:r>
    </w:p>
    <w:p w14:paraId="7AFACED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shd w:val="clear" w:color="auto" w:fill="FFFFFF"/>
        </w:rPr>
        <w:t>单价金额小数点或者百分比有明显错位的，以</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的总价为准，并修改单价；</w:t>
      </w:r>
    </w:p>
    <w:p w14:paraId="4657271C">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.5对不同文字文本</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.6同时出现两种以上不一致的，按照前款规定的顺序修正。修正后的报价按照财政部87号令第五十一条第二款的规定经</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确认后产生约束力，</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资格性检查和符合性检查。</w:t>
      </w:r>
    </w:p>
    <w:p w14:paraId="16DDBDD7">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资格性检查。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r>
        <w:rPr>
          <w:rFonts w:hint="eastAsia" w:ascii="宋体" w:hAnsi="宋体" w:cs="宋体"/>
          <w:color w:val="auto"/>
          <w:sz w:val="24"/>
          <w:szCs w:val="24"/>
          <w:highlight w:val="none"/>
          <w:lang w:val="en-US" w:eastAsia="zh-CN"/>
        </w:rPr>
        <w:t>委托代购代理机构</w:t>
      </w:r>
      <w:r>
        <w:rPr>
          <w:rFonts w:hint="eastAsia" w:ascii="宋体" w:hAnsi="宋体" w:eastAsia="宋体" w:cs="宋体"/>
          <w:color w:val="auto"/>
          <w:sz w:val="24"/>
          <w:szCs w:val="24"/>
          <w:highlight w:val="none"/>
        </w:rPr>
        <w:t>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公告第二项和</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文件第三章</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应提交的证明文件所述的资格标准对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进行资格审查,以确定其是否具备</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资格。如果</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不具备</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资格、不满足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文件所规定的资格标准或提供资格证明文件不全,其投标将被作为无效</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w:t>
      </w:r>
    </w:p>
    <w:p w14:paraId="6A6B5FC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.2 资格审查后合格的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.3 符合性检查。依据</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文件的规定，</w:t>
      </w:r>
      <w:r>
        <w:rPr>
          <w:rFonts w:hint="eastAsia" w:ascii="宋体" w:hAnsi="宋体" w:eastAsia="宋体" w:cs="宋体"/>
          <w:b/>
          <w:bCs/>
          <w:color w:val="auto"/>
          <w:kern w:val="0"/>
          <w:sz w:val="24"/>
          <w:szCs w:val="24"/>
          <w:highlight w:val="none"/>
          <w:lang w:eastAsia="zh-CN"/>
        </w:rPr>
        <w:t>磋商小组</w:t>
      </w:r>
      <w:r>
        <w:rPr>
          <w:rFonts w:hint="eastAsia" w:ascii="宋体" w:hAnsi="宋体" w:eastAsia="宋体" w:cs="宋体"/>
          <w:b/>
          <w:bCs/>
          <w:color w:val="auto"/>
          <w:kern w:val="0"/>
          <w:sz w:val="24"/>
          <w:szCs w:val="24"/>
          <w:highlight w:val="none"/>
        </w:rPr>
        <w:t>将从</w:t>
      </w:r>
      <w:r>
        <w:rPr>
          <w:rFonts w:hint="eastAsia" w:ascii="宋体" w:hAnsi="宋体" w:eastAsia="宋体" w:cs="宋体"/>
          <w:b/>
          <w:bCs/>
          <w:color w:val="auto"/>
          <w:sz w:val="24"/>
          <w:szCs w:val="24"/>
          <w:highlight w:val="none"/>
          <w:shd w:val="clear" w:color="auto" w:fill="FFFFFF"/>
          <w:lang w:val="en-US" w:eastAsia="zh-CN"/>
        </w:rPr>
        <w:t>响应文件</w:t>
      </w:r>
      <w:r>
        <w:rPr>
          <w:rFonts w:hint="eastAsia" w:ascii="宋体" w:hAnsi="宋体" w:eastAsia="宋体" w:cs="宋体"/>
          <w:b/>
          <w:bCs/>
          <w:color w:val="auto"/>
          <w:kern w:val="0"/>
          <w:sz w:val="24"/>
          <w:szCs w:val="24"/>
          <w:highlight w:val="none"/>
        </w:rPr>
        <w:t>的有效性、完整性和对</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文件的响应程度进行审查，以确定是否符合对</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文件的实质性要求作出响应。对没有实质性响应的</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文件将不进行评估，其投标被作为无效</w:t>
      </w:r>
      <w:r>
        <w:rPr>
          <w:rFonts w:hint="eastAsia" w:ascii="宋体" w:hAnsi="宋体" w:eastAsia="宋体" w:cs="宋体"/>
          <w:b/>
          <w:bCs/>
          <w:color w:val="auto"/>
          <w:kern w:val="0"/>
          <w:sz w:val="24"/>
          <w:szCs w:val="24"/>
          <w:highlight w:val="none"/>
          <w:lang w:val="en-US" w:eastAsia="zh-CN"/>
        </w:rPr>
        <w:t>磋商</w:t>
      </w:r>
      <w:r>
        <w:rPr>
          <w:rFonts w:hint="eastAsia" w:ascii="宋体" w:hAnsi="宋体" w:eastAsia="宋体" w:cs="宋体"/>
          <w:b/>
          <w:bCs/>
          <w:color w:val="auto"/>
          <w:kern w:val="0"/>
          <w:sz w:val="24"/>
          <w:szCs w:val="24"/>
          <w:highlight w:val="none"/>
        </w:rPr>
        <w:t>。凡有下列情况之一者，</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文件也将被视为未实质性响应</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文件要求：</w:t>
      </w:r>
    </w:p>
    <w:p w14:paraId="1C23A94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eastAsia="宋体" w:cs="宋体"/>
          <w:b/>
          <w:bCs/>
          <w:color w:val="auto"/>
          <w:kern w:val="0"/>
          <w:sz w:val="24"/>
          <w:szCs w:val="24"/>
          <w:highlight w:val="none"/>
          <w:lang w:val="en-US" w:eastAsia="zh-CN"/>
        </w:rPr>
        <w:t>响应文件</w:t>
      </w:r>
      <w:r>
        <w:rPr>
          <w:rFonts w:hint="eastAsia" w:ascii="宋体" w:hAnsi="宋体" w:eastAsia="宋体" w:cs="宋体"/>
          <w:b/>
          <w:bCs/>
          <w:color w:val="auto"/>
          <w:kern w:val="0"/>
          <w:sz w:val="24"/>
          <w:szCs w:val="24"/>
          <w:highlight w:val="none"/>
        </w:rPr>
        <w:t>未按规定签字、盖章的。</w:t>
      </w:r>
    </w:p>
    <w:p w14:paraId="05C53A1D">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rPr>
        <w:t>未按</w:t>
      </w:r>
      <w:r>
        <w:rPr>
          <w:rFonts w:hint="eastAsia" w:ascii="宋体" w:hAnsi="宋体" w:eastAsia="宋体" w:cs="宋体"/>
          <w:b/>
          <w:bCs/>
          <w:color w:val="auto"/>
          <w:kern w:val="0"/>
          <w:sz w:val="24"/>
          <w:szCs w:val="24"/>
          <w:highlight w:val="none"/>
          <w:lang w:val="en-US" w:eastAsia="zh-CN"/>
        </w:rPr>
        <w:t>磋商</w:t>
      </w:r>
      <w:r>
        <w:rPr>
          <w:rFonts w:hint="eastAsia" w:ascii="宋体" w:hAnsi="宋体" w:eastAsia="宋体" w:cs="宋体"/>
          <w:b/>
          <w:bCs/>
          <w:color w:val="auto"/>
          <w:kern w:val="0"/>
          <w:sz w:val="24"/>
          <w:szCs w:val="24"/>
          <w:highlight w:val="none"/>
        </w:rPr>
        <w:t>文件规定报价，报价均超过采购预算或最高限价的。</w:t>
      </w:r>
    </w:p>
    <w:p w14:paraId="01BAF513">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）不符合</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决定投标的响应性只根据</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.4 对资格性检查和符合性检查不合格的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应当面</w:t>
      </w:r>
      <w:r>
        <w:rPr>
          <w:rFonts w:hint="eastAsia" w:ascii="宋体" w:hAnsi="宋体" w:eastAsia="宋体" w:cs="宋体"/>
          <w:color w:val="auto"/>
          <w:kern w:val="0"/>
          <w:sz w:val="24"/>
          <w:szCs w:val="24"/>
          <w:highlight w:val="none"/>
        </w:rPr>
        <w:t>告知其理由。</w:t>
      </w:r>
    </w:p>
    <w:p w14:paraId="74B995EB">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 在评审过程中，</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发现</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有下列情形之一的，视为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串通投标，其</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.1不同</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.2不同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.3不同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.4不同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.5不同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相互混装；</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456" w:firstLineChars="19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 xml:space="preserve"> 有证据证明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串通投标的其他情形的；</w:t>
      </w:r>
    </w:p>
    <w:p w14:paraId="265D305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61" w:firstLineChars="150"/>
        <w:contextualSpacing/>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w:t>
      </w:r>
      <w:r>
        <w:rPr>
          <w:rFonts w:hint="eastAsia" w:ascii="宋体" w:hAnsi="宋体" w:cs="宋体"/>
          <w:b/>
          <w:bCs/>
          <w:color w:val="auto"/>
          <w:sz w:val="24"/>
          <w:szCs w:val="24"/>
          <w:highlight w:val="none"/>
          <w:lang w:val="en-US" w:eastAsia="zh-CN"/>
        </w:rPr>
        <w:t>1.4</w:t>
      </w:r>
      <w:r>
        <w:rPr>
          <w:rFonts w:hint="eastAsia" w:ascii="宋体" w:hAnsi="宋体" w:eastAsia="宋体" w:cs="宋体"/>
          <w:b/>
          <w:bCs/>
          <w:color w:val="auto"/>
          <w:sz w:val="24"/>
          <w:szCs w:val="24"/>
          <w:highlight w:val="none"/>
          <w:lang w:val="en-US" w:eastAsia="zh-CN"/>
        </w:rPr>
        <w:t>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 xml:space="preserve">.1 </w:t>
      </w:r>
      <w:r>
        <w:rPr>
          <w:rFonts w:hint="eastAsia" w:ascii="宋体" w:hAnsi="宋体" w:eastAsia="宋体" w:cs="宋体"/>
          <w:b w:val="0"/>
          <w:bCs w:val="0"/>
          <w:color w:val="auto"/>
          <w:sz w:val="24"/>
          <w:szCs w:val="24"/>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79AB5E2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.2 本次竞争性磋商进行</w:t>
      </w:r>
      <w:r>
        <w:rPr>
          <w:rFonts w:hint="eastAsia" w:ascii="宋体" w:hAnsi="宋体" w:eastAsia="宋体" w:cs="宋体"/>
          <w:b w:val="0"/>
          <w:bCs w:val="0"/>
          <w:color w:val="auto"/>
          <w:sz w:val="24"/>
          <w:szCs w:val="24"/>
          <w:highlight w:val="none"/>
          <w:u w:val="single"/>
          <w:lang w:val="en-US" w:eastAsia="zh-CN"/>
        </w:rPr>
        <w:t xml:space="preserve"> 多 </w:t>
      </w:r>
      <w:r>
        <w:rPr>
          <w:rFonts w:hint="eastAsia" w:ascii="宋体" w:hAnsi="宋体" w:eastAsia="宋体" w:cs="宋体"/>
          <w:b w:val="0"/>
          <w:bCs w:val="0"/>
          <w:color w:val="auto"/>
          <w:sz w:val="24"/>
          <w:szCs w:val="24"/>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文件的澄清</w:t>
      </w:r>
    </w:p>
    <w:p w14:paraId="29924CB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1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A3C27E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.2评审小组要求供应商澄清、说明或者更正响应文件应当以书面形式作出。供应商的澄清、说明或者更正应当由法定代表人或其授权代表签字或者加盖公章。</w:t>
      </w:r>
    </w:p>
    <w:p w14:paraId="3A86F42C">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 xml:space="preserve"> 评标过程及保密原则</w:t>
      </w:r>
    </w:p>
    <w:p w14:paraId="26B5CC76">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 凡与本次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有关人员对属于审查、澄清、评价和比较</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的有关资料以及定标意向等，均不得向</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.2 在评标期间，</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试图影响或干预评审的任何行为，将导致其</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被作为无效</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，并承担相应的法律责任。</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六</w:t>
      </w:r>
      <w:r>
        <w:rPr>
          <w:rFonts w:hint="eastAsia" w:ascii="宋体" w:hAnsi="宋体" w:eastAsia="宋体" w:cs="宋体"/>
          <w:b/>
          <w:bCs/>
          <w:color w:val="auto"/>
          <w:kern w:val="0"/>
          <w:sz w:val="24"/>
          <w:szCs w:val="24"/>
          <w:highlight w:val="none"/>
        </w:rPr>
        <w:t>、</w:t>
      </w:r>
      <w:r>
        <w:rPr>
          <w:rFonts w:hint="eastAsia" w:ascii="宋体" w:hAnsi="宋体" w:cs="宋体"/>
          <w:b/>
          <w:bCs/>
          <w:color w:val="auto"/>
          <w:kern w:val="0"/>
          <w:sz w:val="24"/>
          <w:szCs w:val="24"/>
          <w:highlight w:val="none"/>
          <w:lang w:val="en-US" w:eastAsia="zh-CN"/>
        </w:rPr>
        <w:t>成交结果</w:t>
      </w:r>
    </w:p>
    <w:p w14:paraId="470BA4A0">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24</w:t>
      </w:r>
      <w:r>
        <w:rPr>
          <w:rFonts w:hint="eastAsia" w:ascii="宋体" w:hAnsi="宋体" w:eastAsia="宋体" w:cs="宋体"/>
          <w:b/>
          <w:bCs/>
          <w:color w:val="auto"/>
          <w:kern w:val="0"/>
          <w:sz w:val="24"/>
          <w:szCs w:val="24"/>
          <w:highlight w:val="none"/>
        </w:rPr>
        <w:t xml:space="preserve">. </w:t>
      </w:r>
      <w:r>
        <w:rPr>
          <w:rFonts w:hint="eastAsia" w:ascii="宋体" w:hAnsi="宋体" w:cs="宋体"/>
          <w:b/>
          <w:bCs/>
          <w:color w:val="auto"/>
          <w:kern w:val="0"/>
          <w:sz w:val="24"/>
          <w:szCs w:val="24"/>
          <w:highlight w:val="none"/>
          <w:lang w:val="en-US" w:eastAsia="zh-CN"/>
        </w:rPr>
        <w:t>成交</w:t>
      </w:r>
      <w:r>
        <w:rPr>
          <w:rFonts w:hint="eastAsia" w:ascii="宋体" w:hAnsi="宋体" w:eastAsia="宋体" w:cs="宋体"/>
          <w:b/>
          <w:bCs/>
          <w:color w:val="auto"/>
          <w:kern w:val="0"/>
          <w:sz w:val="24"/>
          <w:szCs w:val="24"/>
          <w:highlight w:val="none"/>
        </w:rPr>
        <w:t>原则</w:t>
      </w:r>
    </w:p>
    <w:p w14:paraId="7B136907">
      <w:pPr>
        <w:keepNext w:val="0"/>
        <w:keepLines w:val="0"/>
        <w:pageBreakBefore w:val="0"/>
        <w:widowControl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采用综合评分法的，评标结果按评审后得分由高到低顺序排列。</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文件全部实质性要求，且按照评审因素的量化指标评审得分最高的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为排名第一的</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，以此类推。得分相同的，按</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报价由低到高顺序排列。得分且</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color w:val="auto"/>
          <w:kern w:val="0"/>
          <w:sz w:val="24"/>
          <w:szCs w:val="24"/>
          <w:highlight w:val="none"/>
          <w:lang w:eastAsia="zh-CN"/>
        </w:rPr>
      </w:pPr>
      <w:r>
        <w:rPr>
          <w:rFonts w:hint="eastAsia" w:ascii="宋体" w:hAnsi="宋体" w:cs="宋体"/>
          <w:b/>
          <w:bCs/>
          <w:color w:val="auto"/>
          <w:kern w:val="0"/>
          <w:sz w:val="24"/>
          <w:szCs w:val="24"/>
          <w:highlight w:val="none"/>
          <w:lang w:val="en-US" w:eastAsia="zh-CN"/>
        </w:rPr>
        <w:t>25</w:t>
      </w:r>
      <w:r>
        <w:rPr>
          <w:rFonts w:hint="eastAsia" w:ascii="宋体" w:hAnsi="宋体" w:eastAsia="宋体" w:cs="宋体"/>
          <w:b/>
          <w:bCs/>
          <w:color w:val="auto"/>
          <w:kern w:val="0"/>
          <w:sz w:val="24"/>
          <w:szCs w:val="24"/>
          <w:highlight w:val="none"/>
        </w:rPr>
        <w:t>. 确定</w:t>
      </w:r>
      <w:r>
        <w:rPr>
          <w:rFonts w:hint="eastAsia" w:ascii="宋体" w:hAnsi="宋体" w:eastAsia="宋体" w:cs="宋体"/>
          <w:b/>
          <w:bCs/>
          <w:color w:val="auto"/>
          <w:kern w:val="0"/>
          <w:sz w:val="24"/>
          <w:szCs w:val="24"/>
          <w:highlight w:val="none"/>
          <w:lang w:eastAsia="zh-CN"/>
        </w:rPr>
        <w:t>成交供应商</w:t>
      </w:r>
      <w:r>
        <w:rPr>
          <w:rFonts w:hint="eastAsia" w:ascii="宋体" w:hAnsi="宋体" w:eastAsia="宋体" w:cs="宋体"/>
          <w:b/>
          <w:bCs/>
          <w:color w:val="auto"/>
          <w:kern w:val="0"/>
          <w:sz w:val="24"/>
          <w:szCs w:val="24"/>
          <w:highlight w:val="none"/>
        </w:rPr>
        <w:t>和</w:t>
      </w:r>
      <w:r>
        <w:rPr>
          <w:rFonts w:hint="eastAsia" w:ascii="宋体" w:hAnsi="宋体" w:eastAsia="宋体" w:cs="宋体"/>
          <w:b/>
          <w:bCs/>
          <w:color w:val="auto"/>
          <w:kern w:val="0"/>
          <w:sz w:val="24"/>
          <w:szCs w:val="24"/>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本项目由采购人授权</w:t>
      </w:r>
      <w:r>
        <w:rPr>
          <w:rFonts w:hint="eastAsia" w:ascii="宋体" w:hAnsi="宋体" w:eastAsia="宋体" w:cs="宋体"/>
          <w:bCs/>
          <w:color w:val="auto"/>
          <w:kern w:val="0"/>
          <w:sz w:val="24"/>
          <w:szCs w:val="24"/>
          <w:highlight w:val="none"/>
          <w:lang w:eastAsia="zh-CN"/>
        </w:rPr>
        <w:t>磋商小组</w:t>
      </w:r>
      <w:r>
        <w:rPr>
          <w:rFonts w:hint="eastAsia" w:ascii="宋体" w:hAnsi="宋体" w:eastAsia="宋体" w:cs="宋体"/>
          <w:bCs/>
          <w:color w:val="auto"/>
          <w:kern w:val="0"/>
          <w:sz w:val="24"/>
          <w:szCs w:val="24"/>
          <w:highlight w:val="none"/>
        </w:rPr>
        <w:t>确定一名</w:t>
      </w:r>
      <w:r>
        <w:rPr>
          <w:rFonts w:hint="eastAsia" w:ascii="宋体" w:hAnsi="宋体" w:eastAsia="宋体" w:cs="宋体"/>
          <w:bCs/>
          <w:color w:val="auto"/>
          <w:kern w:val="0"/>
          <w:sz w:val="24"/>
          <w:szCs w:val="24"/>
          <w:highlight w:val="none"/>
          <w:lang w:eastAsia="zh-CN"/>
        </w:rPr>
        <w:t>成交供应商</w:t>
      </w:r>
      <w:r>
        <w:rPr>
          <w:rFonts w:hint="eastAsia" w:ascii="宋体" w:hAnsi="宋体" w:eastAsia="宋体" w:cs="宋体"/>
          <w:bCs/>
          <w:color w:val="auto"/>
          <w:kern w:val="0"/>
          <w:sz w:val="24"/>
          <w:szCs w:val="24"/>
          <w:highlight w:val="none"/>
        </w:rPr>
        <w:t>并推荐</w:t>
      </w:r>
      <w:r>
        <w:rPr>
          <w:rFonts w:hint="eastAsia" w:ascii="宋体" w:hAnsi="宋体" w:cs="宋体"/>
          <w:bCs/>
          <w:color w:val="auto"/>
          <w:kern w:val="0"/>
          <w:sz w:val="24"/>
          <w:szCs w:val="24"/>
          <w:highlight w:val="none"/>
          <w:lang w:val="en-US" w:eastAsia="zh-CN"/>
        </w:rPr>
        <w:t>一</w:t>
      </w:r>
      <w:r>
        <w:rPr>
          <w:rFonts w:hint="eastAsia" w:ascii="宋体" w:hAnsi="宋体" w:eastAsia="宋体" w:cs="宋体"/>
          <w:bCs/>
          <w:color w:val="auto"/>
          <w:kern w:val="0"/>
          <w:sz w:val="24"/>
          <w:szCs w:val="24"/>
          <w:highlight w:val="none"/>
        </w:rPr>
        <w:t>名</w:t>
      </w:r>
      <w:r>
        <w:rPr>
          <w:rFonts w:hint="eastAsia" w:ascii="宋体" w:hAnsi="宋体" w:eastAsia="宋体" w:cs="宋体"/>
          <w:bCs/>
          <w:color w:val="auto"/>
          <w:kern w:val="0"/>
          <w:sz w:val="24"/>
          <w:szCs w:val="24"/>
          <w:highlight w:val="none"/>
          <w:lang w:eastAsia="zh-CN"/>
        </w:rPr>
        <w:t>成交候选供应商</w:t>
      </w:r>
      <w:r>
        <w:rPr>
          <w:rFonts w:hint="eastAsia" w:ascii="宋体" w:hAnsi="宋体" w:eastAsia="宋体" w:cs="宋体"/>
          <w:color w:val="auto"/>
          <w:kern w:val="0"/>
          <w:sz w:val="24"/>
          <w:szCs w:val="24"/>
          <w:highlight w:val="none"/>
        </w:rPr>
        <w:t>。</w:t>
      </w:r>
    </w:p>
    <w:p w14:paraId="68B24569">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26</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eastAsia="zh-CN"/>
        </w:rPr>
        <w:t>成交通知书</w:t>
      </w:r>
      <w:r>
        <w:rPr>
          <w:rFonts w:hint="eastAsia" w:ascii="宋体" w:hAnsi="宋体" w:eastAsia="宋体" w:cs="宋体"/>
          <w:b/>
          <w:bCs/>
          <w:color w:val="auto"/>
          <w:kern w:val="0"/>
          <w:sz w:val="24"/>
          <w:szCs w:val="24"/>
          <w:highlight w:val="none"/>
        </w:rPr>
        <w:t>及</w:t>
      </w:r>
      <w:r>
        <w:rPr>
          <w:rFonts w:hint="eastAsia" w:ascii="宋体" w:hAnsi="宋体" w:cs="宋体"/>
          <w:b/>
          <w:bCs/>
          <w:color w:val="auto"/>
          <w:kern w:val="0"/>
          <w:sz w:val="24"/>
          <w:szCs w:val="24"/>
          <w:highlight w:val="none"/>
          <w:lang w:eastAsia="zh-CN"/>
        </w:rPr>
        <w:t>成交</w:t>
      </w:r>
      <w:r>
        <w:rPr>
          <w:rFonts w:hint="eastAsia" w:ascii="宋体" w:hAnsi="宋体" w:cs="宋体"/>
          <w:b/>
          <w:bCs/>
          <w:color w:val="auto"/>
          <w:kern w:val="0"/>
          <w:sz w:val="24"/>
          <w:szCs w:val="24"/>
          <w:highlight w:val="none"/>
          <w:lang w:val="en-US" w:eastAsia="zh-CN"/>
        </w:rPr>
        <w:t>结果</w:t>
      </w:r>
      <w:r>
        <w:rPr>
          <w:rFonts w:hint="eastAsia" w:ascii="宋体" w:hAnsi="宋体" w:eastAsia="宋体" w:cs="宋体"/>
          <w:b/>
          <w:bCs/>
          <w:color w:val="auto"/>
          <w:kern w:val="0"/>
          <w:sz w:val="24"/>
          <w:szCs w:val="24"/>
          <w:highlight w:val="none"/>
        </w:rPr>
        <w:t>公告</w:t>
      </w:r>
    </w:p>
    <w:p w14:paraId="74627CA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.1评审结束后，</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人将</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rPr>
        <w:t>的情况在本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项目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公告发布的同一媒介予以公示，公示</w:t>
      </w:r>
      <w:r>
        <w:rPr>
          <w:rFonts w:hint="eastAsia" w:ascii="宋体" w:hAnsi="宋体" w:eastAsia="宋体" w:cs="宋体"/>
          <w:color w:val="auto"/>
          <w:kern w:val="0"/>
          <w:sz w:val="24"/>
          <w:szCs w:val="24"/>
          <w:highlight w:val="none"/>
          <w:lang w:eastAsia="zh-CN"/>
        </w:rPr>
        <w:t>期限</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个工作日</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公示期结束后</w:t>
      </w:r>
      <w:r>
        <w:rPr>
          <w:rFonts w:hint="eastAsia" w:ascii="宋体" w:hAnsi="宋体" w:eastAsia="宋体" w:cs="宋体"/>
          <w:color w:val="auto"/>
          <w:kern w:val="0"/>
          <w:sz w:val="24"/>
          <w:szCs w:val="24"/>
          <w:highlight w:val="none"/>
        </w:rPr>
        <w:t>向</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发出</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w:t>
      </w:r>
    </w:p>
    <w:p w14:paraId="7AE15A0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lang w:eastAsia="zh-CN"/>
        </w:rPr>
        <w:t>.2采购人与成交供应商应当在成交通知书发出之日起 30 日内，按照磋商文件确定的合同文本以及磋商标的、规格型号、磋商金额、磋商数量、技术和服务要求等事项签订采购合同。</w:t>
      </w:r>
    </w:p>
    <w:p w14:paraId="247B0E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对采购人和</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具有同等法律效力。</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发出后，采购人改变</w:t>
      </w:r>
      <w:r>
        <w:rPr>
          <w:rFonts w:hint="eastAsia" w:ascii="宋体" w:hAnsi="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结果，或者</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放弃</w:t>
      </w:r>
      <w:r>
        <w:rPr>
          <w:rFonts w:hint="eastAsia" w:ascii="宋体" w:hAnsi="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bCs/>
          <w:color w:val="auto"/>
          <w:kern w:val="0"/>
          <w:sz w:val="24"/>
          <w:szCs w:val="24"/>
          <w:highlight w:val="none"/>
        </w:rPr>
        <w:t>.4</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将作为签订合同的依据。合同签订后，</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成为合同的一部分。</w:t>
      </w:r>
    </w:p>
    <w:p w14:paraId="61008C98">
      <w:pPr>
        <w:keepNext w:val="0"/>
        <w:keepLines w:val="0"/>
        <w:pageBreakBefore w:val="0"/>
        <w:widowControl w:val="0"/>
        <w:kinsoku/>
        <w:wordWrap/>
        <w:overflowPunct/>
        <w:topLinePunct w:val="0"/>
        <w:bidi w:val="0"/>
        <w:snapToGrid w:val="0"/>
        <w:spacing w:line="360" w:lineRule="auto"/>
        <w:ind w:firstLine="480" w:firstLineChars="200"/>
        <w:jc w:val="left"/>
        <w:rPr>
          <w:rFonts w:hint="eastAsia"/>
          <w:sz w:val="24"/>
          <w:szCs w:val="24"/>
          <w:highlight w:val="none"/>
        </w:rPr>
      </w:pPr>
      <w:r>
        <w:rPr>
          <w:rFonts w:hint="eastAsia" w:ascii="宋体" w:hAnsi="宋体" w:cs="宋体"/>
          <w:color w:val="auto"/>
          <w:kern w:val="0"/>
          <w:sz w:val="24"/>
          <w:szCs w:val="24"/>
          <w:highlight w:val="none"/>
          <w:lang w:val="en-US" w:eastAsia="zh-CN"/>
        </w:rPr>
        <w:t>26.5</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文件的修改文件、</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、补充或修改的文件及澄清或承诺文件等，均为双方签订合同的组成部分，并与合同一并作为本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文件所列采购项目的互补性法律文件，与合同具有同等法律效力。</w:t>
      </w:r>
    </w:p>
    <w:p w14:paraId="3650A538">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27</w:t>
      </w:r>
      <w:r>
        <w:rPr>
          <w:rFonts w:hint="eastAsia" w:ascii="宋体" w:hAnsi="宋体" w:eastAsia="宋体" w:cs="宋体"/>
          <w:b/>
          <w:bCs/>
          <w:color w:val="auto"/>
          <w:kern w:val="0"/>
          <w:sz w:val="24"/>
          <w:szCs w:val="24"/>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出现下列情况之一时，采购人有权宣布废标，并将理由通知所有</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w:t>
      </w:r>
    </w:p>
    <w:p w14:paraId="60B7851C">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（1）</w:t>
      </w:r>
      <w:r>
        <w:rPr>
          <w:rFonts w:hint="eastAsia" w:ascii="宋体" w:hAnsi="宋体" w:eastAsia="宋体" w:cs="宋体"/>
          <w:bCs/>
          <w:color w:val="auto"/>
          <w:kern w:val="0"/>
          <w:sz w:val="24"/>
          <w:szCs w:val="24"/>
          <w:highlight w:val="none"/>
        </w:rPr>
        <w:t>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（2）</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的报价均超过了</w:t>
      </w:r>
      <w:r>
        <w:rPr>
          <w:rFonts w:hint="eastAsia" w:ascii="宋体" w:hAnsi="宋体" w:eastAsia="宋体" w:cs="宋体"/>
          <w:bCs/>
          <w:color w:val="auto"/>
          <w:kern w:val="0"/>
          <w:sz w:val="24"/>
          <w:szCs w:val="24"/>
          <w:highlight w:val="none"/>
          <w:lang w:val="en-US" w:eastAsia="zh-CN"/>
        </w:rPr>
        <w:t>采购预算金额</w:t>
      </w:r>
      <w:r>
        <w:rPr>
          <w:rFonts w:hint="eastAsia" w:ascii="宋体" w:hAnsi="宋体" w:eastAsia="宋体" w:cs="宋体"/>
          <w:bCs/>
          <w:color w:val="auto"/>
          <w:kern w:val="0"/>
          <w:sz w:val="24"/>
          <w:szCs w:val="24"/>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因重大变故，采购任务取消的。</w:t>
      </w:r>
    </w:p>
    <w:p w14:paraId="569FAD42">
      <w:pPr>
        <w:keepNext w:val="0"/>
        <w:keepLines w:val="0"/>
        <w:pageBreakBefore w:val="0"/>
        <w:widowControl w:val="0"/>
        <w:kinsoku/>
        <w:wordWrap/>
        <w:overflowPunct/>
        <w:topLinePunct w:val="0"/>
        <w:bidi w:val="0"/>
        <w:snapToGrid w:val="0"/>
        <w:spacing w:line="360" w:lineRule="auto"/>
        <w:ind w:firstLine="480" w:firstLineChars="200"/>
        <w:rPr>
          <w:rFonts w:hint="eastAsia" w:ascii="宋体" w:hAnsi="宋体" w:eastAsia="宋体" w:cs="宋体"/>
          <w:b/>
          <w:color w:val="auto"/>
          <w:kern w:val="0"/>
          <w:sz w:val="24"/>
          <w:szCs w:val="24"/>
          <w:highlight w:val="none"/>
        </w:rPr>
      </w:pPr>
      <w:r>
        <w:rPr>
          <w:rFonts w:hint="eastAsia" w:ascii="宋体" w:hAnsi="宋体" w:cs="宋体"/>
          <w:bCs/>
          <w:color w:val="auto"/>
          <w:kern w:val="0"/>
          <w:sz w:val="24"/>
          <w:szCs w:val="24"/>
          <w:highlight w:val="none"/>
          <w:lang w:val="en-US" w:eastAsia="zh-CN"/>
        </w:rPr>
        <w:t>（4）</w:t>
      </w:r>
      <w:r>
        <w:rPr>
          <w:rFonts w:hint="eastAsia" w:ascii="宋体" w:hAnsi="宋体" w:eastAsia="宋体" w:cs="宋体"/>
          <w:color w:val="auto"/>
          <w:sz w:val="24"/>
          <w:szCs w:val="24"/>
          <w:highlight w:val="none"/>
        </w:rPr>
        <w:t>投标截止后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不足3家或通过资格性检查或符合性检查的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w:t>
      </w:r>
    </w:p>
    <w:p w14:paraId="5EC13C8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38" w:name="_Toc31399"/>
      <w:r>
        <w:rPr>
          <w:rFonts w:hint="eastAsia" w:ascii="宋体" w:hAnsi="宋体" w:eastAsia="宋体" w:cs="宋体"/>
          <w:b/>
          <w:bCs/>
          <w:color w:val="auto"/>
          <w:kern w:val="0"/>
          <w:sz w:val="32"/>
          <w:szCs w:val="32"/>
          <w:highlight w:val="none"/>
        </w:rPr>
        <w:t>第四章  评标办法及评分标准</w:t>
      </w:r>
      <w:bookmarkEnd w:id="36"/>
      <w:bookmarkEnd w:id="38"/>
    </w:p>
    <w:p w14:paraId="5FA8D29B">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（一）评标原则</w:t>
      </w:r>
    </w:p>
    <w:p w14:paraId="5A6B0AB5">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按照“公平、公正”的原则对待所有</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文件的相关规定进行评标、定标。</w:t>
      </w:r>
    </w:p>
    <w:p w14:paraId="2CA30BDB">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）评标办法</w:t>
      </w:r>
    </w:p>
    <w:p w14:paraId="5807D4BC">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1．本项目采用综合评分法，总分为100分。</w:t>
      </w:r>
    </w:p>
    <w:p w14:paraId="3CDF010F">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文件中规定的评标方法和标准，对</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文件进行综合比较与评价。</w:t>
      </w:r>
    </w:p>
    <w:p w14:paraId="4CECA875">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文件满足</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文件全部实质性要求，且评审得分最高的</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为</w:t>
      </w:r>
      <w:r>
        <w:rPr>
          <w:rFonts w:hint="eastAsia" w:ascii="宋体" w:hAnsi="宋体" w:eastAsia="宋体" w:cs="宋体"/>
          <w:b w:val="0"/>
          <w:bCs w:val="0"/>
          <w:color w:val="auto"/>
          <w:sz w:val="24"/>
          <w:szCs w:val="24"/>
          <w:highlight w:val="none"/>
          <w:lang w:eastAsia="zh-CN"/>
        </w:rPr>
        <w:t>成交供应商</w:t>
      </w:r>
      <w:r>
        <w:rPr>
          <w:rFonts w:hint="eastAsia" w:ascii="宋体" w:hAnsi="宋体" w:eastAsia="宋体" w:cs="宋体"/>
          <w:b w:val="0"/>
          <w:bCs w:val="0"/>
          <w:color w:val="auto"/>
          <w:sz w:val="24"/>
          <w:szCs w:val="24"/>
          <w:highlight w:val="none"/>
        </w:rPr>
        <w:t>。</w:t>
      </w:r>
    </w:p>
    <w:p w14:paraId="328CEB9D">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三</w:t>
      </w:r>
      <w:r>
        <w:rPr>
          <w:rFonts w:hint="eastAsia" w:ascii="宋体" w:hAnsi="宋体" w:eastAsia="宋体" w:cs="宋体"/>
          <w:b w:val="0"/>
          <w:bCs w:val="0"/>
          <w:color w:val="auto"/>
          <w:sz w:val="24"/>
          <w:szCs w:val="24"/>
          <w:highlight w:val="none"/>
        </w:rPr>
        <w:t>）评标程序</w:t>
      </w:r>
    </w:p>
    <w:tbl>
      <w:tblPr>
        <w:tblStyle w:val="34"/>
        <w:tblpPr w:leftFromText="180" w:rightFromText="180" w:vertAnchor="text" w:horzAnchor="page" w:tblpX="1301" w:tblpY="445"/>
        <w:tblOverlap w:val="never"/>
        <w:tblW w:w="94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5AFB2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9482" w:type="dxa"/>
            <w:gridSpan w:val="3"/>
            <w:noWrap w:val="0"/>
            <w:vAlign w:val="center"/>
          </w:tcPr>
          <w:p w14:paraId="134DF53D">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评审内容</w:t>
            </w:r>
          </w:p>
        </w:tc>
      </w:tr>
      <w:tr w14:paraId="59950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trPr>
        <w:tc>
          <w:tcPr>
            <w:tcW w:w="1239" w:type="dxa"/>
            <w:noWrap w:val="0"/>
            <w:vAlign w:val="center"/>
          </w:tcPr>
          <w:p w14:paraId="10D8338E">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价格标部分 (3</w:t>
            </w:r>
            <w:r>
              <w:rPr>
                <w:rFonts w:hint="eastAsia" w:ascii="宋体" w:hAnsi="宋体" w:cs="宋体"/>
                <w:b w:val="0"/>
                <w:bCs w:val="0"/>
                <w:color w:val="auto"/>
                <w:sz w:val="24"/>
                <w:szCs w:val="24"/>
                <w:highlight w:val="none"/>
                <w:lang w:val="en-US" w:eastAsia="zh-CN"/>
              </w:rPr>
              <w:t>0</w:t>
            </w:r>
            <w:r>
              <w:rPr>
                <w:rFonts w:hint="eastAsia" w:ascii="宋体" w:hAnsi="宋体" w:eastAsia="宋体" w:cs="宋体"/>
                <w:b w:val="0"/>
                <w:bCs w:val="0"/>
                <w:color w:val="auto"/>
                <w:sz w:val="24"/>
                <w:szCs w:val="24"/>
                <w:highlight w:val="none"/>
              </w:rPr>
              <w:t>分)</w:t>
            </w:r>
          </w:p>
        </w:tc>
        <w:tc>
          <w:tcPr>
            <w:tcW w:w="8243" w:type="dxa"/>
            <w:gridSpan w:val="2"/>
            <w:noWrap w:val="0"/>
            <w:vAlign w:val="center"/>
          </w:tcPr>
          <w:p w14:paraId="609B7222">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说明：当</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发现</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的</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报价明显低于其他</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报价，使其</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报价可能低于其个别成本的，</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可对其质询，并要求该</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做出书面说明和提供相关的证明材料；该</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不能合理说明或提供证明材料的，</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应按无效</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处理。</w:t>
            </w:r>
          </w:p>
          <w:p w14:paraId="205629E0">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w:t>
            </w:r>
            <w:r>
              <w:rPr>
                <w:rFonts w:hint="eastAsia" w:ascii="宋体" w:hAnsi="宋体" w:eastAsia="宋体" w:cs="宋体"/>
                <w:b w:val="0"/>
                <w:bCs w:val="0"/>
                <w:color w:val="auto"/>
                <w:sz w:val="24"/>
                <w:szCs w:val="24"/>
                <w:highlight w:val="none"/>
                <w:lang w:val="en-US" w:eastAsia="zh-CN"/>
              </w:rPr>
              <w:t>不高于</w:t>
            </w:r>
            <w:r>
              <w:rPr>
                <w:rFonts w:hint="eastAsia" w:ascii="宋体" w:hAnsi="宋体" w:eastAsia="宋体" w:cs="宋体"/>
                <w:b w:val="0"/>
                <w:bCs w:val="0"/>
                <w:color w:val="auto"/>
                <w:sz w:val="24"/>
                <w:szCs w:val="24"/>
                <w:highlight w:val="none"/>
              </w:rPr>
              <w:t>采购预算价的为有效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w:t>
            </w:r>
          </w:p>
          <w:p w14:paraId="3406E84E">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评标基准值的确定：满足</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文件要求且</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价格最低的有效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报价为评标基准价。</w:t>
            </w:r>
          </w:p>
          <w:p w14:paraId="4B0365D5">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报价得分=（评标基准价/有效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报价）×3</w:t>
            </w:r>
            <w:r>
              <w:rPr>
                <w:rFonts w:hint="eastAsia" w:ascii="宋体" w:hAnsi="宋体" w:cs="宋体"/>
                <w:b w:val="0"/>
                <w:bCs w:val="0"/>
                <w:color w:val="auto"/>
                <w:sz w:val="24"/>
                <w:szCs w:val="24"/>
                <w:highlight w:val="none"/>
                <w:lang w:val="en-US" w:eastAsia="zh-CN"/>
              </w:rPr>
              <w:t>0</w:t>
            </w:r>
            <w:r>
              <w:rPr>
                <w:rFonts w:hint="eastAsia" w:ascii="宋体" w:hAnsi="宋体" w:eastAsia="宋体" w:cs="宋体"/>
                <w:b w:val="0"/>
                <w:bCs w:val="0"/>
                <w:color w:val="auto"/>
                <w:sz w:val="24"/>
                <w:szCs w:val="24"/>
                <w:highlight w:val="none"/>
              </w:rPr>
              <w:t>分</w:t>
            </w:r>
          </w:p>
        </w:tc>
      </w:tr>
      <w:tr w14:paraId="1A6AD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1239" w:type="dxa"/>
            <w:vMerge w:val="restart"/>
            <w:noWrap w:val="0"/>
            <w:vAlign w:val="center"/>
          </w:tcPr>
          <w:p w14:paraId="1252EC8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技术部分</w:t>
            </w: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46</w:t>
            </w:r>
            <w:r>
              <w:rPr>
                <w:rFonts w:hint="eastAsia" w:ascii="宋体" w:hAnsi="宋体" w:eastAsia="宋体" w:cs="宋体"/>
                <w:b w:val="0"/>
                <w:bCs w:val="0"/>
                <w:color w:val="auto"/>
                <w:sz w:val="24"/>
                <w:szCs w:val="24"/>
                <w:highlight w:val="none"/>
                <w:lang w:eastAsia="zh-CN"/>
              </w:rPr>
              <w:t>分）</w:t>
            </w:r>
          </w:p>
        </w:tc>
        <w:tc>
          <w:tcPr>
            <w:tcW w:w="1473" w:type="dxa"/>
            <w:noWrap w:val="0"/>
            <w:vAlign w:val="center"/>
          </w:tcPr>
          <w:p w14:paraId="236DE65A">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1.产品技术参数（</w:t>
            </w:r>
            <w:r>
              <w:rPr>
                <w:rFonts w:hint="eastAsia" w:ascii="宋体" w:hAnsi="宋体" w:cs="宋体"/>
                <w:b w:val="0"/>
                <w:bCs w:val="0"/>
                <w:color w:val="auto"/>
                <w:sz w:val="24"/>
                <w:szCs w:val="24"/>
                <w:highlight w:val="none"/>
                <w:lang w:val="en-US" w:eastAsia="zh-CN"/>
              </w:rPr>
              <w:t>40</w:t>
            </w:r>
            <w:r>
              <w:rPr>
                <w:rFonts w:hint="eastAsia" w:ascii="宋体" w:hAnsi="宋体" w:eastAsia="宋体" w:cs="宋体"/>
                <w:b w:val="0"/>
                <w:bCs w:val="0"/>
                <w:color w:val="auto"/>
                <w:sz w:val="24"/>
                <w:szCs w:val="24"/>
                <w:highlight w:val="none"/>
                <w:lang w:val="en-US" w:eastAsia="zh-CN"/>
              </w:rPr>
              <w:t>分）</w:t>
            </w:r>
          </w:p>
        </w:tc>
        <w:tc>
          <w:tcPr>
            <w:tcW w:w="6770" w:type="dxa"/>
            <w:noWrap w:val="0"/>
            <w:vAlign w:val="center"/>
          </w:tcPr>
          <w:p w14:paraId="78965451">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供应商对“第二章 采购需求 二、技术要求”技术参数、性能及产品功能等的响应，所投产品全部满足磋商文件要求得</w:t>
            </w:r>
            <w:r>
              <w:rPr>
                <w:rFonts w:hint="eastAsia" w:ascii="宋体" w:hAnsi="宋体" w:cs="宋体"/>
                <w:color w:val="auto"/>
                <w:sz w:val="24"/>
                <w:szCs w:val="24"/>
                <w:highlight w:val="none"/>
                <w:lang w:val="en-US" w:eastAsia="zh-CN"/>
              </w:rPr>
              <w:t>40</w:t>
            </w:r>
            <w:r>
              <w:rPr>
                <w:rFonts w:hint="eastAsia" w:ascii="宋体" w:hAnsi="宋体" w:eastAsia="宋体" w:cs="宋体"/>
                <w:color w:val="auto"/>
                <w:sz w:val="24"/>
                <w:szCs w:val="24"/>
                <w:highlight w:val="none"/>
                <w:lang w:val="en-US" w:eastAsia="zh-CN"/>
              </w:rPr>
              <w:t>分，带“</w:t>
            </w:r>
            <w:r>
              <w:rPr>
                <w:sz w:val="24"/>
                <w:szCs w:val="24"/>
                <w:highlight w:val="none"/>
              </w:rPr>
              <w:t>★</w:t>
            </w:r>
            <w:r>
              <w:rPr>
                <w:rFonts w:hint="eastAsia" w:ascii="宋体" w:hAnsi="宋体" w:eastAsia="宋体" w:cs="宋体"/>
                <w:color w:val="auto"/>
                <w:sz w:val="24"/>
                <w:szCs w:val="24"/>
                <w:highlight w:val="none"/>
                <w:lang w:val="en-US" w:eastAsia="zh-CN"/>
              </w:rPr>
              <w:t>”号的技术参数为</w:t>
            </w:r>
            <w:r>
              <w:rPr>
                <w:rFonts w:hint="eastAsia" w:ascii="宋体" w:hAnsi="宋体" w:cs="宋体"/>
                <w:color w:val="auto"/>
                <w:sz w:val="24"/>
                <w:szCs w:val="24"/>
                <w:highlight w:val="none"/>
                <w:lang w:val="en-US" w:eastAsia="zh-CN"/>
              </w:rPr>
              <w:t>重要</w:t>
            </w:r>
            <w:r>
              <w:rPr>
                <w:rFonts w:hint="eastAsia" w:ascii="宋体" w:hAnsi="宋体" w:eastAsia="宋体" w:cs="宋体"/>
                <w:color w:val="auto"/>
                <w:sz w:val="24"/>
                <w:szCs w:val="24"/>
                <w:highlight w:val="none"/>
                <w:lang w:val="en-US" w:eastAsia="zh-CN"/>
              </w:rPr>
              <w:t>技术参数，有一项不满足的扣</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分；不带“</w:t>
            </w:r>
            <w:r>
              <w:rPr>
                <w:sz w:val="24"/>
                <w:szCs w:val="24"/>
                <w:highlight w:val="none"/>
              </w:rPr>
              <w:t>★</w:t>
            </w:r>
            <w:r>
              <w:rPr>
                <w:rFonts w:hint="eastAsia" w:ascii="宋体" w:hAnsi="宋体" w:eastAsia="宋体" w:cs="宋体"/>
                <w:color w:val="auto"/>
                <w:sz w:val="24"/>
                <w:szCs w:val="24"/>
                <w:highlight w:val="none"/>
                <w:lang w:val="en-US" w:eastAsia="zh-CN"/>
              </w:rPr>
              <w:t>”号的技术参数为一般性技术参数，有一项不满足的扣</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 xml:space="preserve">分；如得分为0，则磋商无效。 </w:t>
            </w:r>
          </w:p>
          <w:p w14:paraId="0E88A7C4">
            <w:pPr>
              <w:widowControl/>
              <w:snapToGrid w:val="0"/>
              <w:spacing w:line="36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1）供应商需如实填写技术偏离表，并标注偏离情况。</w:t>
            </w:r>
          </w:p>
          <w:p w14:paraId="35979319">
            <w:pPr>
              <w:widowControl/>
              <w:snapToGrid w:val="0"/>
              <w:spacing w:line="360" w:lineRule="exact"/>
              <w:rPr>
                <w:rFonts w:ascii="宋体" w:hAnsi="宋体" w:cs="宋体"/>
                <w:b/>
                <w:bCs/>
                <w:sz w:val="24"/>
                <w:szCs w:val="24"/>
                <w:highlight w:val="none"/>
              </w:rPr>
            </w:pPr>
            <w:r>
              <w:rPr>
                <w:rFonts w:hint="eastAsia" w:ascii="宋体" w:hAnsi="宋体" w:cs="宋体"/>
                <w:b/>
                <w:bCs/>
                <w:sz w:val="24"/>
                <w:szCs w:val="24"/>
                <w:highlight w:val="none"/>
              </w:rPr>
              <w:t>2）供应商需提供所投设备</w:t>
            </w:r>
            <w:r>
              <w:rPr>
                <w:rFonts w:hint="eastAsia" w:ascii="宋体" w:hAnsi="宋体" w:cs="宋体"/>
                <w:b/>
                <w:bCs/>
                <w:sz w:val="24"/>
                <w:szCs w:val="24"/>
                <w:highlight w:val="none"/>
                <w:lang w:val="en-US" w:eastAsia="zh-CN"/>
              </w:rPr>
              <w:t>的</w:t>
            </w:r>
            <w:r>
              <w:rPr>
                <w:rFonts w:hint="eastAsia" w:ascii="宋体" w:hAnsi="宋体" w:cs="宋体"/>
                <w:b/>
                <w:bCs/>
                <w:sz w:val="24"/>
                <w:szCs w:val="24"/>
                <w:highlight w:val="none"/>
              </w:rPr>
              <w:t>医疗器械注册证【含附件：产品技术要求（如有）】</w:t>
            </w:r>
            <w:r>
              <w:rPr>
                <w:rFonts w:hint="eastAsia" w:ascii="宋体" w:hAnsi="宋体" w:cs="宋体"/>
                <w:b/>
                <w:bCs/>
                <w:sz w:val="24"/>
                <w:szCs w:val="24"/>
                <w:highlight w:val="none"/>
                <w:lang w:val="en-US" w:eastAsia="zh-CN"/>
              </w:rPr>
              <w:t>或备案凭证</w:t>
            </w:r>
            <w:r>
              <w:rPr>
                <w:rFonts w:hint="eastAsia" w:ascii="宋体" w:hAnsi="宋体" w:cs="宋体"/>
                <w:b/>
                <w:bCs/>
                <w:sz w:val="24"/>
                <w:szCs w:val="24"/>
                <w:highlight w:val="none"/>
              </w:rPr>
              <w:t>，如未按要求提供，则投标无效。</w:t>
            </w:r>
          </w:p>
          <w:p w14:paraId="3123FE0B">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cs="宋体"/>
                <w:sz w:val="24"/>
                <w:szCs w:val="24"/>
                <w:highlight w:val="none"/>
              </w:rPr>
              <w:t>3）需提供产品注册检验报告</w:t>
            </w:r>
            <w:r>
              <w:rPr>
                <w:rFonts w:hint="eastAsia" w:ascii="宋体" w:hAnsi="宋体" w:cs="宋体"/>
                <w:b/>
                <w:bCs/>
                <w:sz w:val="24"/>
                <w:szCs w:val="24"/>
                <w:highlight w:val="none"/>
              </w:rPr>
              <w:t>（其中检验报告照片页必须提供）</w:t>
            </w:r>
            <w:r>
              <w:rPr>
                <w:rFonts w:hint="eastAsia" w:ascii="宋体" w:hAnsi="宋体" w:cs="宋体"/>
                <w:sz w:val="24"/>
                <w:szCs w:val="24"/>
                <w:highlight w:val="none"/>
              </w:rPr>
              <w:t>及响应技术参数条款的技术白皮书和彩页等相关文件，并对响应技术参数部分做出明显标注</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b/>
                <w:bCs/>
                <w:color w:val="000000" w:themeColor="text1"/>
                <w:sz w:val="24"/>
                <w:szCs w:val="24"/>
                <w:highlight w:val="none"/>
                <w14:textFill>
                  <w14:solidFill>
                    <w14:schemeClr w14:val="tx1"/>
                  </w14:solidFill>
                </w14:textFill>
              </w:rPr>
              <w:t>未提供对应证明材料的，视为不满足该项参数要求，做扣分处理。</w:t>
            </w:r>
          </w:p>
        </w:tc>
      </w:tr>
      <w:tr w14:paraId="02A3C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trPr>
        <w:tc>
          <w:tcPr>
            <w:tcW w:w="1239" w:type="dxa"/>
            <w:vMerge w:val="continue"/>
            <w:noWrap w:val="0"/>
            <w:vAlign w:val="center"/>
          </w:tcPr>
          <w:p w14:paraId="48595AA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noWrap w:val="0"/>
            <w:vAlign w:val="center"/>
          </w:tcPr>
          <w:p w14:paraId="32840560">
            <w:pPr>
              <w:keepNext w:val="0"/>
              <w:keepLines w:val="0"/>
              <w:pageBreakBefore w:val="0"/>
              <w:widowControl/>
              <w:kinsoku/>
              <w:wordWrap/>
              <w:overflowPunct/>
              <w:topLinePunct w:val="0"/>
              <w:autoSpaceDE/>
              <w:autoSpaceDN/>
              <w:bidi w:val="0"/>
              <w:adjustRightInd/>
              <w:snapToGrid w:val="0"/>
              <w:spacing w:line="360" w:lineRule="exact"/>
              <w:textAlignment w:val="auto"/>
              <w:rPr>
                <w:rFonts w:hint="default" w:ascii="宋体" w:hAnsi="宋体" w:eastAsia="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2.产品综合评议（6分）</w:t>
            </w:r>
          </w:p>
        </w:tc>
        <w:tc>
          <w:tcPr>
            <w:tcW w:w="6770" w:type="dxa"/>
            <w:noWrap w:val="0"/>
            <w:vAlign w:val="center"/>
          </w:tcPr>
          <w:p w14:paraId="36CB374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default" w:ascii="宋体" w:hAnsi="宋体" w:cs="宋体"/>
                <w:b w:val="0"/>
                <w:color w:val="auto"/>
                <w:spacing w:val="0"/>
                <w:kern w:val="0"/>
                <w:sz w:val="21"/>
                <w:szCs w:val="21"/>
                <w:highlight w:val="none"/>
                <w:shd w:val="clear" w:color="auto" w:fill="auto"/>
                <w:lang w:val="en-US" w:eastAsia="zh-CN"/>
              </w:rPr>
            </w:pPr>
            <w:r>
              <w:rPr>
                <w:rFonts w:hint="eastAsia" w:ascii="宋体" w:hAnsi="宋体" w:eastAsia="宋体" w:cs="宋体"/>
                <w:b w:val="0"/>
                <w:bCs w:val="0"/>
                <w:color w:val="auto"/>
                <w:kern w:val="2"/>
                <w:sz w:val="24"/>
                <w:szCs w:val="24"/>
                <w:highlight w:val="none"/>
                <w:lang w:val="en-US" w:eastAsia="zh-CN" w:bidi="ar-SA"/>
              </w:rPr>
              <w:t>根据供应商所投产品整体性能量化指标进行评价，产品技术指标能够最大程度满足采购需求，使用的材料耐用可靠、配套设备齐全且适配性强、稳定性强、生产技术先进、耐用性强，能有效保障治疗效果的得6分；产品综合性能一般的得3分；产品综合性能较差的得1分。</w:t>
            </w:r>
          </w:p>
        </w:tc>
      </w:tr>
      <w:tr w14:paraId="2F64C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239" w:type="dxa"/>
            <w:vMerge w:val="restart"/>
            <w:noWrap w:val="0"/>
            <w:vAlign w:val="center"/>
          </w:tcPr>
          <w:p w14:paraId="40AF6F81">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商务评价</w:t>
            </w:r>
          </w:p>
          <w:p w14:paraId="68D3D9E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24</w:t>
            </w:r>
            <w:r>
              <w:rPr>
                <w:rFonts w:hint="eastAsia" w:ascii="宋体" w:hAnsi="宋体" w:eastAsia="宋体" w:cs="宋体"/>
                <w:b w:val="0"/>
                <w:bCs w:val="0"/>
                <w:color w:val="auto"/>
                <w:sz w:val="24"/>
                <w:szCs w:val="24"/>
                <w:highlight w:val="none"/>
                <w:lang w:eastAsia="zh-CN"/>
              </w:rPr>
              <w:t>分)</w:t>
            </w:r>
          </w:p>
        </w:tc>
        <w:tc>
          <w:tcPr>
            <w:tcW w:w="1473" w:type="dxa"/>
            <w:tcBorders>
              <w:top w:val="single" w:color="auto" w:sz="4" w:space="0"/>
            </w:tcBorders>
            <w:noWrap w:val="0"/>
            <w:vAlign w:val="center"/>
          </w:tcPr>
          <w:p w14:paraId="6D4B96A7">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质保期</w:t>
            </w:r>
          </w:p>
          <w:p w14:paraId="4A559F4F">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分）</w:t>
            </w:r>
          </w:p>
        </w:tc>
        <w:tc>
          <w:tcPr>
            <w:tcW w:w="6770" w:type="dxa"/>
            <w:noWrap w:val="0"/>
            <w:vAlign w:val="top"/>
          </w:tcPr>
          <w:p w14:paraId="5FC21447">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质</w:t>
            </w:r>
            <w:r>
              <w:rPr>
                <w:rFonts w:hint="eastAsia" w:ascii="宋体" w:hAnsi="宋体" w:eastAsia="宋体" w:cs="宋体"/>
                <w:color w:val="auto"/>
                <w:kern w:val="2"/>
                <w:sz w:val="24"/>
                <w:szCs w:val="24"/>
                <w:highlight w:val="none"/>
                <w:lang w:val="en-US" w:eastAsia="zh-CN" w:bidi="ar-SA"/>
              </w:rPr>
              <w:t>保</w:t>
            </w:r>
            <w:r>
              <w:rPr>
                <w:rFonts w:hint="eastAsia" w:ascii="宋体" w:hAnsi="宋体" w:eastAsia="宋体" w:cs="宋体"/>
                <w:b w:val="0"/>
                <w:bCs w:val="0"/>
                <w:color w:val="auto"/>
                <w:kern w:val="2"/>
                <w:sz w:val="24"/>
                <w:szCs w:val="24"/>
                <w:highlight w:val="none"/>
                <w:lang w:val="en-US" w:eastAsia="zh-CN" w:bidi="ar-SA"/>
              </w:rPr>
              <w:t>期在满足采购文件的基础上，每增加一年加2分,最多加</w:t>
            </w:r>
            <w:r>
              <w:rPr>
                <w:rFonts w:hint="eastAsia" w:ascii="宋体" w:hAnsi="宋体" w:cs="宋体"/>
                <w:b w:val="0"/>
                <w:bCs w:val="0"/>
                <w:color w:val="auto"/>
                <w:kern w:val="2"/>
                <w:sz w:val="24"/>
                <w:szCs w:val="24"/>
                <w:highlight w:val="none"/>
                <w:lang w:val="en-US" w:eastAsia="zh-CN" w:bidi="ar-SA"/>
              </w:rPr>
              <w:t>4</w:t>
            </w:r>
            <w:r>
              <w:rPr>
                <w:rFonts w:hint="eastAsia" w:ascii="宋体" w:hAnsi="宋体" w:eastAsia="宋体" w:cs="宋体"/>
                <w:b w:val="0"/>
                <w:bCs w:val="0"/>
                <w:color w:val="auto"/>
                <w:kern w:val="2"/>
                <w:sz w:val="24"/>
                <w:szCs w:val="24"/>
                <w:highlight w:val="none"/>
                <w:lang w:val="en-US" w:eastAsia="zh-CN" w:bidi="ar-SA"/>
              </w:rPr>
              <w:t>分。</w:t>
            </w:r>
          </w:p>
          <w:p w14:paraId="0FAE2FC2">
            <w:pPr>
              <w:pStyle w:val="8"/>
              <w:pageBreakBefore w:val="0"/>
              <w:kinsoku/>
              <w:wordWrap/>
              <w:overflowPunct/>
              <w:topLinePunct w:val="0"/>
              <w:autoSpaceDE/>
              <w:autoSpaceDN/>
              <w:bidi w:val="0"/>
              <w:adjustRightInd/>
              <w:spacing w:before="0" w:after="0"/>
              <w:textAlignment w:val="auto"/>
              <w:rPr>
                <w:rFonts w:hint="eastAsia"/>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bidi="ar-SA"/>
              </w:rPr>
              <w:t>注：延长不足一年不加分。</w:t>
            </w:r>
          </w:p>
        </w:tc>
      </w:tr>
      <w:tr w14:paraId="47E8A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239" w:type="dxa"/>
            <w:vMerge w:val="continue"/>
            <w:noWrap w:val="0"/>
            <w:vAlign w:val="center"/>
          </w:tcPr>
          <w:p w14:paraId="108C28B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tcBorders>
              <w:top w:val="single" w:color="auto" w:sz="4" w:space="0"/>
            </w:tcBorders>
            <w:noWrap w:val="0"/>
            <w:vAlign w:val="center"/>
          </w:tcPr>
          <w:p w14:paraId="6BB25150">
            <w:pPr>
              <w:keepNext w:val="0"/>
              <w:keepLines w:val="0"/>
              <w:pageBreakBefore w:val="0"/>
              <w:kinsoku/>
              <w:wordWrap/>
              <w:overflowPunct/>
              <w:topLinePunct w:val="0"/>
              <w:bidi w:val="0"/>
              <w:snapToGrid w:val="0"/>
              <w:spacing w:line="360" w:lineRule="exact"/>
              <w:jc w:val="center"/>
              <w:textAlignment w:val="auto"/>
              <w:rPr>
                <w:rFonts w:hint="eastAsia" w:ascii="宋体" w:hAnsi="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2.设备使用年限</w:t>
            </w:r>
            <w:r>
              <w:rPr>
                <w:rFonts w:hint="eastAsia" w:ascii="宋体" w:hAnsi="宋体" w:cs="宋体"/>
                <w:b w:val="0"/>
                <w:bCs w:val="0"/>
                <w:color w:val="auto"/>
                <w:sz w:val="24"/>
                <w:szCs w:val="24"/>
                <w:highlight w:val="none"/>
                <w:lang w:val="en-US" w:eastAsia="zh-CN"/>
              </w:rPr>
              <w:t>（4分）</w:t>
            </w:r>
          </w:p>
        </w:tc>
        <w:tc>
          <w:tcPr>
            <w:tcW w:w="6770" w:type="dxa"/>
            <w:noWrap w:val="0"/>
            <w:vAlign w:val="center"/>
          </w:tcPr>
          <w:p w14:paraId="7AD001AD">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设备使用年限在</w:t>
            </w:r>
            <w:r>
              <w:rPr>
                <w:rFonts w:hint="eastAsia" w:ascii="宋体" w:hAnsi="宋体" w:cs="宋体"/>
                <w:color w:val="auto"/>
                <w:kern w:val="2"/>
                <w:sz w:val="24"/>
                <w:szCs w:val="24"/>
                <w:highlight w:val="none"/>
                <w:lang w:val="en-US" w:eastAsia="zh-CN" w:bidi="ar-SA"/>
              </w:rPr>
              <w:t>7年</w:t>
            </w:r>
            <w:r>
              <w:rPr>
                <w:rFonts w:hint="eastAsia" w:ascii="宋体" w:hAnsi="宋体" w:eastAsia="宋体" w:cs="宋体"/>
                <w:color w:val="auto"/>
                <w:kern w:val="2"/>
                <w:sz w:val="24"/>
                <w:szCs w:val="24"/>
                <w:highlight w:val="none"/>
                <w:lang w:val="en-US" w:eastAsia="zh-CN" w:bidi="ar-SA"/>
              </w:rPr>
              <w:t>的基础上，每增加一年加2分，最多加4分。</w:t>
            </w:r>
          </w:p>
          <w:p w14:paraId="13157269">
            <w:pPr>
              <w:pStyle w:val="8"/>
              <w:pageBreakBefore w:val="0"/>
              <w:kinsoku/>
              <w:wordWrap/>
              <w:overflowPunct/>
              <w:topLinePunct w:val="0"/>
              <w:autoSpaceDE/>
              <w:autoSpaceDN/>
              <w:bidi w:val="0"/>
              <w:adjustRightInd/>
              <w:spacing w:before="0" w:after="0"/>
              <w:textAlignment w:val="auto"/>
              <w:rPr>
                <w:rFonts w:hint="eastAsia"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注：提供相关证明材料</w:t>
            </w:r>
          </w:p>
        </w:tc>
      </w:tr>
      <w:tr w14:paraId="75202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239" w:type="dxa"/>
            <w:vMerge w:val="continue"/>
            <w:noWrap w:val="0"/>
            <w:vAlign w:val="center"/>
          </w:tcPr>
          <w:p w14:paraId="576F15C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tcBorders>
              <w:top w:val="single" w:color="auto" w:sz="4" w:space="0"/>
            </w:tcBorders>
            <w:noWrap w:val="0"/>
            <w:vAlign w:val="center"/>
          </w:tcPr>
          <w:p w14:paraId="398D32E8">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类似业绩（</w:t>
            </w: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en-US" w:eastAsia="zh-CN"/>
              </w:rPr>
              <w:t>分）</w:t>
            </w:r>
          </w:p>
        </w:tc>
        <w:tc>
          <w:tcPr>
            <w:tcW w:w="6770" w:type="dxa"/>
            <w:noWrap w:val="0"/>
            <w:vAlign w:val="center"/>
          </w:tcPr>
          <w:p w14:paraId="307AC1DF">
            <w:pPr>
              <w:pStyle w:val="92"/>
              <w:keepNext w:val="0"/>
              <w:keepLines w:val="0"/>
              <w:pageBreakBefore w:val="0"/>
              <w:widowControl w:val="0"/>
              <w:kinsoku/>
              <w:wordWrap/>
              <w:overflowPunct/>
              <w:topLinePunct w:val="0"/>
              <w:autoSpaceDE/>
              <w:autoSpaceDN/>
              <w:bidi w:val="0"/>
              <w:adjustRightInd/>
              <w:snapToGrid/>
              <w:spacing w:before="70" w:line="288" w:lineRule="auto"/>
              <w:ind w:left="113" w:right="255"/>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提供自202</w:t>
            </w:r>
            <w:r>
              <w:rPr>
                <w:rFonts w:hint="eastAsia"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年1月1日（以合同签订时间为准）以来所投产品</w:t>
            </w:r>
            <w:r>
              <w:rPr>
                <w:rFonts w:hint="eastAsia" w:cs="宋体"/>
                <w:color w:val="auto"/>
                <w:kern w:val="2"/>
                <w:sz w:val="24"/>
                <w:szCs w:val="24"/>
                <w:highlight w:val="none"/>
                <w:lang w:val="en-US" w:eastAsia="zh-CN" w:bidi="ar-SA"/>
              </w:rPr>
              <w:t>（同品牌同型号）</w:t>
            </w:r>
            <w:r>
              <w:rPr>
                <w:rFonts w:hint="eastAsia" w:ascii="宋体" w:hAnsi="宋体" w:eastAsia="宋体" w:cs="宋体"/>
                <w:color w:val="auto"/>
                <w:kern w:val="2"/>
                <w:sz w:val="24"/>
                <w:szCs w:val="24"/>
                <w:highlight w:val="none"/>
                <w:lang w:val="en-US" w:eastAsia="zh-CN" w:bidi="ar-SA"/>
              </w:rPr>
              <w:t>销售业绩(合同甲方须为货物使用单位，业绩为生产企业或各经销商均可)，每提供1份</w:t>
            </w:r>
            <w:r>
              <w:rPr>
                <w:rFonts w:hint="eastAsia" w:cs="宋体"/>
                <w:color w:val="auto"/>
                <w:kern w:val="2"/>
                <w:sz w:val="24"/>
                <w:szCs w:val="24"/>
                <w:highlight w:val="none"/>
                <w:lang w:val="en-US" w:eastAsia="zh-CN" w:bidi="ar-SA"/>
              </w:rPr>
              <w:t>业绩证明材料</w:t>
            </w:r>
            <w:r>
              <w:rPr>
                <w:rFonts w:hint="eastAsia" w:ascii="宋体" w:hAnsi="宋体" w:eastAsia="宋体" w:cs="宋体"/>
                <w:color w:val="auto"/>
                <w:kern w:val="2"/>
                <w:sz w:val="24"/>
                <w:szCs w:val="24"/>
                <w:highlight w:val="none"/>
                <w:lang w:val="en-US" w:eastAsia="zh-CN" w:bidi="ar-SA"/>
              </w:rPr>
              <w:t>得2分，最多得6分。</w:t>
            </w:r>
          </w:p>
          <w:p w14:paraId="79754E1A">
            <w:pPr>
              <w:pStyle w:val="92"/>
              <w:keepNext w:val="0"/>
              <w:keepLines w:val="0"/>
              <w:pageBreakBefore w:val="0"/>
              <w:widowControl w:val="0"/>
              <w:kinsoku/>
              <w:wordWrap/>
              <w:overflowPunct/>
              <w:topLinePunct w:val="0"/>
              <w:autoSpaceDE/>
              <w:autoSpaceDN/>
              <w:bidi w:val="0"/>
              <w:adjustRightInd/>
              <w:snapToGrid/>
              <w:spacing w:before="70" w:line="288" w:lineRule="auto"/>
              <w:ind w:left="113" w:right="255"/>
              <w:jc w:val="both"/>
              <w:textAlignment w:val="auto"/>
              <w:rPr>
                <w:rFonts w:hint="default"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注：需提供合同，未按要求提供不得分。</w:t>
            </w:r>
          </w:p>
        </w:tc>
      </w:tr>
      <w:tr w14:paraId="2011E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239" w:type="dxa"/>
            <w:vMerge w:val="continue"/>
            <w:noWrap w:val="0"/>
            <w:vAlign w:val="center"/>
          </w:tcPr>
          <w:p w14:paraId="4DE5B97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p>
        </w:tc>
        <w:tc>
          <w:tcPr>
            <w:tcW w:w="1473" w:type="dxa"/>
            <w:noWrap w:val="0"/>
            <w:vAlign w:val="center"/>
          </w:tcPr>
          <w:p w14:paraId="055C689D">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kern w:val="2"/>
                <w:sz w:val="24"/>
                <w:szCs w:val="24"/>
                <w:highlight w:val="none"/>
                <w:lang w:val="en-US" w:eastAsia="zh-CN"/>
              </w:rPr>
              <w:t>4.</w:t>
            </w:r>
            <w:r>
              <w:rPr>
                <w:rFonts w:hint="eastAsia" w:ascii="宋体" w:hAnsi="宋体" w:eastAsia="宋体" w:cs="宋体"/>
                <w:b w:val="0"/>
                <w:bCs w:val="0"/>
                <w:color w:val="auto"/>
                <w:kern w:val="2"/>
                <w:sz w:val="24"/>
                <w:szCs w:val="24"/>
                <w:highlight w:val="none"/>
                <w:lang w:val="en-US" w:eastAsia="zh-CN"/>
              </w:rPr>
              <w:t>售后服务（</w:t>
            </w:r>
            <w:r>
              <w:rPr>
                <w:rFonts w:hint="eastAsia" w:ascii="宋体" w:hAnsi="宋体" w:cs="宋体"/>
                <w:b w:val="0"/>
                <w:bCs w:val="0"/>
                <w:color w:val="auto"/>
                <w:kern w:val="2"/>
                <w:sz w:val="24"/>
                <w:szCs w:val="24"/>
                <w:highlight w:val="none"/>
                <w:lang w:val="en-US" w:eastAsia="zh-CN"/>
              </w:rPr>
              <w:t>10</w:t>
            </w:r>
            <w:r>
              <w:rPr>
                <w:rFonts w:hint="eastAsia" w:ascii="宋体" w:hAnsi="宋体" w:eastAsia="宋体" w:cs="宋体"/>
                <w:b w:val="0"/>
                <w:bCs w:val="0"/>
                <w:color w:val="auto"/>
                <w:kern w:val="2"/>
                <w:sz w:val="24"/>
                <w:szCs w:val="24"/>
                <w:highlight w:val="none"/>
                <w:lang w:val="en-US" w:eastAsia="zh-CN"/>
              </w:rPr>
              <w:t>分）</w:t>
            </w:r>
          </w:p>
        </w:tc>
        <w:tc>
          <w:tcPr>
            <w:tcW w:w="6770" w:type="dxa"/>
            <w:noWrap w:val="0"/>
            <w:vAlign w:val="center"/>
          </w:tcPr>
          <w:p w14:paraId="07DDEB1E">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根据供应商提供的</w:t>
            </w:r>
            <w:r>
              <w:rPr>
                <w:rFonts w:hint="eastAsia" w:ascii="宋体" w:hAnsi="宋体" w:cs="宋体"/>
                <w:b w:val="0"/>
                <w:bCs w:val="0"/>
                <w:color w:val="auto"/>
                <w:sz w:val="24"/>
                <w:szCs w:val="24"/>
                <w:highlight w:val="none"/>
                <w:lang w:val="en-US" w:eastAsia="zh-CN"/>
              </w:rPr>
              <w:t>售后服务网点、</w:t>
            </w:r>
            <w:r>
              <w:rPr>
                <w:rFonts w:hint="eastAsia" w:ascii="宋体" w:hAnsi="宋体" w:eastAsia="宋体" w:cs="宋体"/>
                <w:b w:val="0"/>
                <w:bCs w:val="0"/>
                <w:color w:val="auto"/>
                <w:sz w:val="24"/>
                <w:szCs w:val="24"/>
                <w:highlight w:val="none"/>
                <w:lang w:val="en-US" w:eastAsia="zh-CN"/>
              </w:rPr>
              <w:t>售后服务人员</w:t>
            </w:r>
            <w:r>
              <w:rPr>
                <w:rFonts w:hint="eastAsia" w:ascii="宋体" w:hAnsi="宋体" w:cs="宋体"/>
                <w:b w:val="0"/>
                <w:bCs w:val="0"/>
                <w:color w:val="auto"/>
                <w:sz w:val="24"/>
                <w:szCs w:val="24"/>
                <w:highlight w:val="none"/>
                <w:lang w:val="en-US" w:eastAsia="zh-CN"/>
              </w:rPr>
              <w:t>配备及专业技术能力说明、设备日常维保方案、</w:t>
            </w:r>
            <w:r>
              <w:rPr>
                <w:rFonts w:hint="eastAsia" w:ascii="宋体" w:hAnsi="宋体" w:eastAsia="宋体" w:cs="宋体"/>
                <w:b w:val="0"/>
                <w:bCs w:val="0"/>
                <w:color w:val="auto"/>
                <w:sz w:val="24"/>
                <w:szCs w:val="24"/>
                <w:highlight w:val="none"/>
                <w:lang w:val="en-US" w:eastAsia="zh-CN"/>
              </w:rPr>
              <w:t>故障响应时间、应急维修措施、培训方案等</w:t>
            </w:r>
            <w:r>
              <w:rPr>
                <w:rFonts w:hint="eastAsia" w:ascii="宋体" w:hAnsi="宋体" w:cs="宋体"/>
                <w:b w:val="0"/>
                <w:bCs w:val="0"/>
                <w:color w:val="auto"/>
                <w:sz w:val="24"/>
                <w:szCs w:val="24"/>
                <w:highlight w:val="none"/>
                <w:lang w:val="en-US" w:eastAsia="zh-CN"/>
              </w:rPr>
              <w:t>进行打分</w:t>
            </w:r>
            <w:r>
              <w:rPr>
                <w:rFonts w:hint="eastAsia" w:ascii="宋体" w:hAnsi="宋体" w:eastAsia="宋体" w:cs="宋体"/>
                <w:b w:val="0"/>
                <w:bCs w:val="0"/>
                <w:color w:val="auto"/>
                <w:sz w:val="24"/>
                <w:szCs w:val="24"/>
                <w:highlight w:val="none"/>
                <w:lang w:val="en-US" w:eastAsia="zh-CN"/>
              </w:rPr>
              <w:t>。</w:t>
            </w:r>
          </w:p>
          <w:p w14:paraId="630FFF6E">
            <w:pPr>
              <w:keepNext w:val="0"/>
              <w:keepLines w:val="0"/>
              <w:pageBreakBefore w:val="0"/>
              <w:kinsoku/>
              <w:wordWrap/>
              <w:overflowPunct/>
              <w:topLinePunct w:val="0"/>
              <w:bidi w:val="0"/>
              <w:snapToGrid w:val="0"/>
              <w:spacing w:line="360" w:lineRule="exact"/>
              <w:jc w:val="both"/>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售后服务</w:t>
            </w:r>
            <w:r>
              <w:rPr>
                <w:rFonts w:hint="eastAsia" w:ascii="宋体" w:hAnsi="宋体" w:eastAsia="宋体" w:cs="宋体"/>
                <w:b w:val="0"/>
                <w:bCs w:val="0"/>
                <w:color w:val="auto"/>
                <w:sz w:val="24"/>
                <w:szCs w:val="24"/>
                <w:highlight w:val="none"/>
                <w:lang w:val="en-US" w:eastAsia="zh-CN"/>
              </w:rPr>
              <w:t>符合本项目特点，</w:t>
            </w:r>
            <w:r>
              <w:rPr>
                <w:rFonts w:hint="eastAsia" w:ascii="宋体" w:hAnsi="宋体" w:cs="宋体"/>
                <w:b w:val="0"/>
                <w:bCs w:val="0"/>
                <w:color w:val="auto"/>
                <w:sz w:val="24"/>
                <w:szCs w:val="24"/>
                <w:highlight w:val="none"/>
                <w:lang w:val="en-US" w:eastAsia="zh-CN"/>
              </w:rPr>
              <w:t>措施详尽、日常维保措施、</w:t>
            </w:r>
            <w:r>
              <w:rPr>
                <w:rFonts w:hint="eastAsia" w:ascii="宋体" w:hAnsi="宋体" w:eastAsia="宋体" w:cs="宋体"/>
                <w:b w:val="0"/>
                <w:bCs w:val="0"/>
                <w:color w:val="auto"/>
                <w:sz w:val="24"/>
                <w:szCs w:val="24"/>
                <w:highlight w:val="none"/>
                <w:lang w:val="en-US" w:eastAsia="zh-CN"/>
              </w:rPr>
              <w:t>故障响应时间极快、应急维修措施合理且可行，有具体的培训方案，得</w:t>
            </w:r>
            <w:r>
              <w:rPr>
                <w:rFonts w:hint="eastAsia" w:ascii="宋体" w:hAnsi="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lang w:val="en-US" w:eastAsia="zh-CN"/>
              </w:rPr>
              <w:t>分。</w:t>
            </w:r>
          </w:p>
          <w:p w14:paraId="49657CBC">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售后服务</w:t>
            </w:r>
            <w:r>
              <w:rPr>
                <w:rFonts w:hint="eastAsia" w:ascii="宋体" w:hAnsi="宋体" w:eastAsia="宋体" w:cs="宋体"/>
                <w:b w:val="0"/>
                <w:bCs w:val="0"/>
                <w:color w:val="auto"/>
                <w:sz w:val="24"/>
                <w:szCs w:val="24"/>
                <w:highlight w:val="none"/>
                <w:lang w:val="en-US" w:eastAsia="zh-CN"/>
              </w:rPr>
              <w:t>符合本项目特点，故障响应时间快、应急维修措施预案较合理，有较具体的培训方案的得</w:t>
            </w:r>
            <w:r>
              <w:rPr>
                <w:rFonts w:hint="eastAsia" w:ascii="宋体" w:hAnsi="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lang w:val="en-US" w:eastAsia="zh-CN"/>
              </w:rPr>
              <w:t>分；</w:t>
            </w:r>
          </w:p>
          <w:p w14:paraId="77644BEA">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售后服务</w:t>
            </w:r>
            <w:r>
              <w:rPr>
                <w:rFonts w:hint="eastAsia" w:ascii="宋体" w:hAnsi="宋体" w:eastAsia="宋体" w:cs="宋体"/>
                <w:b w:val="0"/>
                <w:bCs w:val="0"/>
                <w:color w:val="auto"/>
                <w:sz w:val="24"/>
                <w:szCs w:val="24"/>
                <w:highlight w:val="none"/>
                <w:lang w:val="en-US" w:eastAsia="zh-CN"/>
              </w:rPr>
              <w:t>符合本项目特点，故障响应时间较长、应急维修措施预案不完备，培训方案不完备的得</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分；</w:t>
            </w:r>
          </w:p>
          <w:p w14:paraId="4AA88918">
            <w:pPr>
              <w:keepNext w:val="0"/>
              <w:keepLines w:val="0"/>
              <w:pageBreakBefore w:val="0"/>
              <w:kinsoku/>
              <w:wordWrap/>
              <w:overflowPunct/>
              <w:topLinePunct w:val="0"/>
              <w:bidi w:val="0"/>
              <w:snapToGrid w:val="0"/>
              <w:spacing w:line="360" w:lineRule="exact"/>
              <w:jc w:val="both"/>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售后服务不符合本项目特点，不能满足项目需求的得1分。</w:t>
            </w:r>
          </w:p>
          <w:p w14:paraId="5EBEFBBF">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缺项得0分</w:t>
            </w:r>
            <w:r>
              <w:rPr>
                <w:rFonts w:hint="eastAsia" w:ascii="宋体" w:hAnsi="宋体" w:eastAsia="宋体" w:cs="宋体"/>
                <w:b w:val="0"/>
                <w:bCs w:val="0"/>
                <w:color w:val="auto"/>
                <w:sz w:val="24"/>
                <w:szCs w:val="24"/>
                <w:highlight w:val="none"/>
                <w:lang w:val="en-US" w:eastAsia="zh-CN"/>
              </w:rPr>
              <w:t>。</w:t>
            </w:r>
          </w:p>
        </w:tc>
      </w:tr>
      <w:tr w14:paraId="0D874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239" w:type="dxa"/>
            <w:noWrap w:val="0"/>
            <w:vAlign w:val="top"/>
          </w:tcPr>
          <w:p w14:paraId="36C1BBD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得分的计算</w:t>
            </w:r>
          </w:p>
        </w:tc>
        <w:tc>
          <w:tcPr>
            <w:tcW w:w="8243" w:type="dxa"/>
            <w:gridSpan w:val="2"/>
            <w:noWrap w:val="0"/>
            <w:vAlign w:val="center"/>
          </w:tcPr>
          <w:p w14:paraId="7DD60990">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成员评分=各项评分因素的汇总得分。</w:t>
            </w:r>
          </w:p>
          <w:p w14:paraId="78F55D42">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评标总得分=</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所有成员合计评分/</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组成人员数。</w:t>
            </w:r>
          </w:p>
        </w:tc>
      </w:tr>
    </w:tbl>
    <w:p w14:paraId="2812B810">
      <w:pPr>
        <w:rPr>
          <w:rFonts w:hint="eastAsia" w:ascii="宋体" w:hAnsi="宋体" w:eastAsia="宋体" w:cs="宋体"/>
          <w:b/>
          <w:color w:val="auto"/>
          <w:highlight w:val="none"/>
        </w:rPr>
      </w:pPr>
    </w:p>
    <w:bookmarkEnd w:id="37"/>
    <w:p w14:paraId="2CCD7513">
      <w:pPr>
        <w:rPr>
          <w:rFonts w:hint="eastAsia" w:ascii="宋体" w:hAnsi="宋体" w:eastAsia="宋体" w:cs="宋体"/>
          <w:color w:val="auto"/>
          <w:highlight w:val="none"/>
        </w:rPr>
        <w:sectPr>
          <w:pgSz w:w="11906" w:h="16838"/>
          <w:pgMar w:top="1417" w:right="1474" w:bottom="1417" w:left="1474" w:header="851" w:footer="624" w:gutter="0"/>
          <w:pgNumType w:fmt="decimal"/>
          <w:cols w:space="720" w:num="1"/>
          <w:docGrid w:type="lines" w:linePitch="319" w:charSpace="0"/>
        </w:sectPr>
      </w:pPr>
      <w:bookmarkStart w:id="39" w:name="_Toc1947"/>
      <w:bookmarkStart w:id="40" w:name="_Toc1482"/>
      <w:bookmarkStart w:id="41" w:name="_Toc256519703"/>
      <w:bookmarkStart w:id="42" w:name="_Toc326786897"/>
    </w:p>
    <w:p w14:paraId="5A0BE0D1">
      <w:pPr>
        <w:pStyle w:val="2"/>
        <w:snapToGrid w:val="0"/>
        <w:spacing w:before="0" w:after="0" w:line="480" w:lineRule="auto"/>
        <w:jc w:val="center"/>
        <w:rPr>
          <w:rFonts w:hint="eastAsia" w:ascii="宋体" w:hAnsi="宋体" w:eastAsia="宋体" w:cs="宋体"/>
          <w:color w:val="auto"/>
          <w:sz w:val="28"/>
          <w:szCs w:val="28"/>
          <w:highlight w:val="none"/>
        </w:rPr>
      </w:pPr>
      <w:bookmarkStart w:id="43" w:name="_Toc11904"/>
      <w:r>
        <w:rPr>
          <w:rFonts w:hint="eastAsia" w:ascii="宋体" w:hAnsi="宋体" w:eastAsia="宋体" w:cs="宋体"/>
          <w:color w:val="auto"/>
          <w:sz w:val="28"/>
          <w:szCs w:val="28"/>
          <w:highlight w:val="none"/>
        </w:rPr>
        <w:t>第五章  采购合同</w:t>
      </w:r>
      <w:bookmarkEnd w:id="43"/>
    </w:p>
    <w:p w14:paraId="1EF982A0">
      <w:pPr>
        <w:jc w:val="center"/>
        <w:rPr>
          <w:rFonts w:hint="eastAsia" w:ascii="宋体" w:hAnsi="宋体" w:eastAsia="宋体"/>
          <w:b/>
        </w:rPr>
      </w:pPr>
      <w:r>
        <w:rPr>
          <w:rFonts w:hint="eastAsia" w:ascii="宋体" w:hAnsi="宋体" w:eastAsia="宋体"/>
          <w:b/>
        </w:rPr>
        <w:t>医疗器械买卖合同</w:t>
      </w:r>
    </w:p>
    <w:p w14:paraId="7AA469D5">
      <w:pPr>
        <w:ind w:firstLine="480" w:firstLineChars="200"/>
        <w:rPr>
          <w:rFonts w:hint="eastAsia" w:ascii="宋体" w:hAnsi="宋体" w:eastAsia="宋体"/>
          <w:sz w:val="24"/>
          <w:szCs w:val="24"/>
        </w:rPr>
      </w:pPr>
    </w:p>
    <w:p w14:paraId="1011507A">
      <w:pPr>
        <w:ind w:firstLine="420" w:firstLineChars="200"/>
        <w:rPr>
          <w:rFonts w:hint="eastAsia" w:ascii="宋体" w:hAnsi="宋体" w:eastAsia="宋体"/>
          <w:sz w:val="21"/>
          <w:szCs w:val="21"/>
        </w:rPr>
      </w:pPr>
      <w:r>
        <w:rPr>
          <w:rFonts w:hint="eastAsia" w:ascii="宋体" w:hAnsi="宋体" w:eastAsia="宋体"/>
          <w:sz w:val="21"/>
          <w:szCs w:val="21"/>
        </w:rPr>
        <w:t xml:space="preserve">合同编号： </w:t>
      </w:r>
    </w:p>
    <w:p w14:paraId="04EC3B9E">
      <w:pPr>
        <w:ind w:firstLine="420" w:firstLineChars="200"/>
        <w:rPr>
          <w:rFonts w:hint="eastAsia" w:ascii="宋体" w:hAnsi="宋体" w:eastAsia="宋体"/>
          <w:sz w:val="21"/>
          <w:szCs w:val="21"/>
        </w:rPr>
      </w:pPr>
      <w:r>
        <w:rPr>
          <w:rFonts w:hint="eastAsia" w:ascii="宋体" w:hAnsi="宋体" w:eastAsia="宋体"/>
          <w:sz w:val="21"/>
          <w:szCs w:val="21"/>
        </w:rPr>
        <w:t>签订地点： 河南省驻马店市中华路西段747号</w:t>
      </w:r>
    </w:p>
    <w:p w14:paraId="6BB86F3E">
      <w:pPr>
        <w:ind w:firstLine="420" w:firstLineChars="200"/>
        <w:rPr>
          <w:rFonts w:hint="eastAsia" w:ascii="宋体" w:hAnsi="宋体" w:eastAsia="宋体"/>
          <w:sz w:val="21"/>
          <w:szCs w:val="21"/>
        </w:rPr>
      </w:pPr>
      <w:r>
        <w:rPr>
          <w:rFonts w:hint="eastAsia" w:ascii="宋体" w:hAnsi="宋体" w:eastAsia="宋体"/>
          <w:sz w:val="21"/>
          <w:szCs w:val="21"/>
        </w:rPr>
        <w:t>买受人（甲方）： 驻马店市中心医院</w:t>
      </w:r>
    </w:p>
    <w:p w14:paraId="2BB9DFC1">
      <w:pPr>
        <w:ind w:firstLine="420" w:firstLineChars="200"/>
        <w:rPr>
          <w:rFonts w:hint="eastAsia" w:ascii="宋体" w:hAnsi="宋体" w:eastAsia="宋体"/>
          <w:sz w:val="21"/>
          <w:szCs w:val="21"/>
        </w:rPr>
      </w:pPr>
      <w:r>
        <w:rPr>
          <w:rFonts w:hint="eastAsia" w:ascii="宋体" w:hAnsi="宋体" w:eastAsia="宋体"/>
          <w:sz w:val="21"/>
          <w:szCs w:val="21"/>
        </w:rPr>
        <w:t xml:space="preserve">出卖人（乙方）： </w:t>
      </w:r>
    </w:p>
    <w:p w14:paraId="27845DD2">
      <w:pPr>
        <w:ind w:firstLine="420" w:firstLineChars="200"/>
        <w:rPr>
          <w:rFonts w:hint="eastAsia" w:ascii="宋体" w:hAnsi="宋体" w:eastAsia="宋体"/>
          <w:sz w:val="21"/>
          <w:szCs w:val="21"/>
        </w:rPr>
      </w:pPr>
      <w:r>
        <w:rPr>
          <w:rFonts w:hint="eastAsia" w:ascii="宋体" w:hAnsi="宋体" w:eastAsia="宋体"/>
          <w:sz w:val="21"/>
          <w:szCs w:val="21"/>
        </w:rPr>
        <w:t>根据《中华人民共和国政府采购法》、《中华人民共和国</w:t>
      </w:r>
      <w:r>
        <w:rPr>
          <w:rFonts w:hint="eastAsia" w:ascii="宋体" w:hAnsi="宋体" w:eastAsia="宋体"/>
          <w:sz w:val="21"/>
          <w:szCs w:val="21"/>
          <w:lang w:eastAsia="zh-CN"/>
        </w:rPr>
        <w:t>民法典</w:t>
      </w:r>
      <w:r>
        <w:rPr>
          <w:rFonts w:hint="eastAsia" w:ascii="宋体" w:hAnsi="宋体" w:eastAsia="宋体"/>
          <w:sz w:val="21"/>
          <w:szCs w:val="21"/>
        </w:rPr>
        <w:t>》及</w:t>
      </w:r>
      <w:r>
        <w:rPr>
          <w:rFonts w:hint="eastAsia" w:ascii="宋体" w:hAnsi="宋体" w:eastAsia="宋体"/>
          <w:b/>
          <w:sz w:val="21"/>
          <w:szCs w:val="21"/>
          <w:u w:val="single"/>
        </w:rPr>
        <w:t xml:space="preserve">                      </w:t>
      </w:r>
      <w:r>
        <w:rPr>
          <w:rFonts w:hint="eastAsia" w:ascii="宋体" w:hAnsi="宋体" w:eastAsia="宋体"/>
          <w:sz w:val="21"/>
          <w:szCs w:val="21"/>
        </w:rPr>
        <w:t>项目</w:t>
      </w:r>
      <w:r>
        <w:rPr>
          <w:rFonts w:hint="eastAsia" w:ascii="宋体" w:hAnsi="宋体" w:eastAsia="宋体"/>
          <w:sz w:val="21"/>
          <w:szCs w:val="21"/>
          <w:u w:val="single"/>
        </w:rPr>
        <w:t xml:space="preserve">                               </w:t>
      </w:r>
      <w:r>
        <w:rPr>
          <w:rFonts w:hint="eastAsia" w:ascii="宋体" w:hAnsi="宋体" w:eastAsia="宋体"/>
          <w:sz w:val="21"/>
          <w:szCs w:val="21"/>
        </w:rPr>
        <w:t>（项目编号：            的《招标文件》、乙方的《投标文件》及《中标通知书》），甲、乙双方同意签订本合同。详细技术说明及其它有关合同的特定信息由合同附件予以载明，合同附件及乙方投标文件等均为本合同不可分割的部分。双方签署并共同遵守如下条款：</w:t>
      </w:r>
    </w:p>
    <w:p w14:paraId="4873F3BB">
      <w:pPr>
        <w:ind w:firstLine="422" w:firstLineChars="200"/>
        <w:rPr>
          <w:rFonts w:hint="eastAsia" w:ascii="宋体" w:hAnsi="宋体" w:eastAsia="宋体"/>
          <w:b/>
          <w:sz w:val="21"/>
          <w:szCs w:val="21"/>
        </w:rPr>
      </w:pPr>
      <w:r>
        <w:rPr>
          <w:rFonts w:hint="eastAsia" w:ascii="宋体" w:hAnsi="宋体" w:eastAsia="宋体"/>
          <w:b/>
          <w:sz w:val="21"/>
          <w:szCs w:val="21"/>
        </w:rPr>
        <w:t>一、买卖标的物</w:t>
      </w:r>
    </w:p>
    <w:tbl>
      <w:tblPr>
        <w:tblStyle w:val="34"/>
        <w:tblW w:w="87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636"/>
        <w:gridCol w:w="1211"/>
        <w:gridCol w:w="1236"/>
        <w:gridCol w:w="734"/>
        <w:gridCol w:w="756"/>
        <w:gridCol w:w="1071"/>
        <w:gridCol w:w="1105"/>
      </w:tblGrid>
      <w:tr w14:paraId="0A76C0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8" w:hRule="atLeast"/>
          <w:jc w:val="center"/>
        </w:trPr>
        <w:tc>
          <w:tcPr>
            <w:tcW w:w="2636" w:type="dxa"/>
            <w:noWrap w:val="0"/>
            <w:vAlign w:val="center"/>
          </w:tcPr>
          <w:p w14:paraId="740E5E37">
            <w:pPr>
              <w:jc w:val="center"/>
              <w:rPr>
                <w:rFonts w:hint="eastAsia" w:ascii="宋体" w:hAnsi="宋体" w:eastAsia="宋体"/>
                <w:sz w:val="21"/>
                <w:szCs w:val="21"/>
              </w:rPr>
            </w:pPr>
            <w:r>
              <w:rPr>
                <w:rFonts w:hint="eastAsia" w:ascii="宋体" w:hAnsi="宋体" w:eastAsia="宋体"/>
                <w:sz w:val="21"/>
                <w:szCs w:val="21"/>
              </w:rPr>
              <w:t>品    名</w:t>
            </w:r>
          </w:p>
        </w:tc>
        <w:tc>
          <w:tcPr>
            <w:tcW w:w="1211" w:type="dxa"/>
            <w:noWrap w:val="0"/>
            <w:vAlign w:val="center"/>
          </w:tcPr>
          <w:p w14:paraId="59148749">
            <w:pPr>
              <w:jc w:val="center"/>
              <w:rPr>
                <w:rFonts w:hint="eastAsia" w:ascii="宋体" w:hAnsi="宋体" w:eastAsia="宋体"/>
                <w:sz w:val="21"/>
                <w:szCs w:val="21"/>
              </w:rPr>
            </w:pPr>
            <w:r>
              <w:rPr>
                <w:rFonts w:hint="eastAsia" w:ascii="宋体" w:hAnsi="宋体" w:eastAsia="宋体"/>
                <w:sz w:val="21"/>
                <w:szCs w:val="21"/>
              </w:rPr>
              <w:t>品牌</w:t>
            </w:r>
          </w:p>
        </w:tc>
        <w:tc>
          <w:tcPr>
            <w:tcW w:w="1236" w:type="dxa"/>
            <w:noWrap w:val="0"/>
            <w:vAlign w:val="center"/>
          </w:tcPr>
          <w:p w14:paraId="2EF5DD3B">
            <w:pPr>
              <w:jc w:val="center"/>
              <w:rPr>
                <w:rFonts w:hint="eastAsia" w:ascii="宋体" w:hAnsi="宋体" w:eastAsia="宋体"/>
                <w:sz w:val="21"/>
                <w:szCs w:val="21"/>
              </w:rPr>
            </w:pPr>
            <w:r>
              <w:rPr>
                <w:rFonts w:hint="eastAsia" w:ascii="宋体" w:hAnsi="宋体" w:eastAsia="宋体"/>
                <w:sz w:val="21"/>
                <w:szCs w:val="21"/>
              </w:rPr>
              <w:t>规格型号</w:t>
            </w:r>
          </w:p>
        </w:tc>
        <w:tc>
          <w:tcPr>
            <w:tcW w:w="734" w:type="dxa"/>
            <w:noWrap w:val="0"/>
            <w:vAlign w:val="center"/>
          </w:tcPr>
          <w:p w14:paraId="07BA1B85">
            <w:pPr>
              <w:jc w:val="center"/>
              <w:rPr>
                <w:rFonts w:hint="eastAsia" w:ascii="宋体" w:hAnsi="宋体" w:eastAsia="宋体"/>
                <w:sz w:val="21"/>
                <w:szCs w:val="21"/>
              </w:rPr>
            </w:pPr>
            <w:r>
              <w:rPr>
                <w:rFonts w:hint="eastAsia" w:ascii="宋体" w:hAnsi="宋体" w:eastAsia="宋体"/>
                <w:sz w:val="21"/>
                <w:szCs w:val="21"/>
              </w:rPr>
              <w:t>单位</w:t>
            </w:r>
          </w:p>
        </w:tc>
        <w:tc>
          <w:tcPr>
            <w:tcW w:w="756" w:type="dxa"/>
            <w:noWrap w:val="0"/>
            <w:vAlign w:val="center"/>
          </w:tcPr>
          <w:p w14:paraId="4EC88EE8">
            <w:pPr>
              <w:jc w:val="center"/>
              <w:rPr>
                <w:rFonts w:hint="eastAsia" w:ascii="宋体" w:hAnsi="宋体" w:eastAsia="宋体"/>
                <w:sz w:val="21"/>
                <w:szCs w:val="21"/>
              </w:rPr>
            </w:pPr>
            <w:r>
              <w:rPr>
                <w:rFonts w:hint="eastAsia" w:ascii="宋体" w:hAnsi="宋体" w:eastAsia="宋体"/>
                <w:sz w:val="21"/>
                <w:szCs w:val="21"/>
              </w:rPr>
              <w:t>数量</w:t>
            </w:r>
          </w:p>
        </w:tc>
        <w:tc>
          <w:tcPr>
            <w:tcW w:w="1071" w:type="dxa"/>
            <w:noWrap w:val="0"/>
            <w:vAlign w:val="center"/>
          </w:tcPr>
          <w:p w14:paraId="730C01D2">
            <w:pPr>
              <w:jc w:val="center"/>
              <w:rPr>
                <w:rFonts w:hint="eastAsia" w:ascii="宋体" w:hAnsi="宋体" w:eastAsia="宋体"/>
                <w:sz w:val="21"/>
                <w:szCs w:val="21"/>
              </w:rPr>
            </w:pPr>
            <w:r>
              <w:rPr>
                <w:rFonts w:hint="eastAsia" w:ascii="宋体" w:hAnsi="宋体" w:eastAsia="宋体"/>
                <w:sz w:val="21"/>
                <w:szCs w:val="21"/>
              </w:rPr>
              <w:t>单价</w:t>
            </w:r>
          </w:p>
          <w:p w14:paraId="6DF0150A">
            <w:pPr>
              <w:jc w:val="center"/>
              <w:rPr>
                <w:rFonts w:hint="eastAsia" w:ascii="宋体" w:hAnsi="宋体" w:eastAsia="宋体"/>
                <w:sz w:val="21"/>
                <w:szCs w:val="21"/>
              </w:rPr>
            </w:pPr>
            <w:r>
              <w:rPr>
                <w:rFonts w:hint="eastAsia" w:ascii="宋体" w:hAnsi="宋体" w:eastAsia="宋体"/>
                <w:sz w:val="21"/>
                <w:szCs w:val="21"/>
              </w:rPr>
              <w:t>（万元）</w:t>
            </w:r>
          </w:p>
        </w:tc>
        <w:tc>
          <w:tcPr>
            <w:tcW w:w="1105" w:type="dxa"/>
            <w:noWrap w:val="0"/>
            <w:vAlign w:val="center"/>
          </w:tcPr>
          <w:p w14:paraId="13215A4C">
            <w:pPr>
              <w:jc w:val="center"/>
              <w:rPr>
                <w:rFonts w:hint="eastAsia" w:ascii="宋体" w:hAnsi="宋体" w:eastAsia="宋体"/>
                <w:sz w:val="21"/>
                <w:szCs w:val="21"/>
              </w:rPr>
            </w:pPr>
            <w:r>
              <w:rPr>
                <w:rFonts w:hint="eastAsia" w:ascii="宋体" w:hAnsi="宋体" w:eastAsia="宋体"/>
                <w:sz w:val="21"/>
                <w:szCs w:val="21"/>
              </w:rPr>
              <w:t>总价</w:t>
            </w:r>
          </w:p>
          <w:p w14:paraId="6E600D32">
            <w:pPr>
              <w:jc w:val="center"/>
              <w:rPr>
                <w:rFonts w:hint="eastAsia" w:ascii="宋体" w:hAnsi="宋体" w:eastAsia="宋体"/>
                <w:sz w:val="21"/>
                <w:szCs w:val="21"/>
              </w:rPr>
            </w:pPr>
            <w:r>
              <w:rPr>
                <w:rFonts w:hint="eastAsia" w:ascii="宋体" w:hAnsi="宋体" w:eastAsia="宋体"/>
                <w:sz w:val="21"/>
                <w:szCs w:val="21"/>
              </w:rPr>
              <w:t>（万元）</w:t>
            </w:r>
          </w:p>
        </w:tc>
      </w:tr>
      <w:tr w14:paraId="662F3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7" w:hRule="atLeast"/>
          <w:jc w:val="center"/>
        </w:trPr>
        <w:tc>
          <w:tcPr>
            <w:tcW w:w="2636" w:type="dxa"/>
            <w:noWrap w:val="0"/>
            <w:vAlign w:val="center"/>
          </w:tcPr>
          <w:p w14:paraId="6D679288">
            <w:pPr>
              <w:keepNext w:val="0"/>
              <w:keepLines w:val="0"/>
              <w:widowControl/>
              <w:suppressLineNumbers w:val="0"/>
              <w:jc w:val="center"/>
              <w:rPr>
                <w:sz w:val="21"/>
                <w:szCs w:val="21"/>
              </w:rPr>
            </w:pPr>
            <w:r>
              <w:rPr>
                <w:rFonts w:hint="eastAsia" w:ascii="宋体" w:hAnsi="宋体" w:eastAsia="宋体" w:cs="宋体"/>
                <w:color w:val="000000"/>
                <w:kern w:val="0"/>
                <w:sz w:val="21"/>
                <w:szCs w:val="21"/>
                <w:lang w:val="en-US" w:eastAsia="zh-CN" w:bidi="ar"/>
              </w:rPr>
              <w:t>注册证名称（发布公告</w:t>
            </w:r>
          </w:p>
          <w:p w14:paraId="1EAEAEE5">
            <w:pPr>
              <w:keepNext w:val="0"/>
              <w:keepLines w:val="0"/>
              <w:widowControl/>
              <w:suppressLineNumbers w:val="0"/>
              <w:jc w:val="center"/>
              <w:rPr>
                <w:rFonts w:hint="eastAsia" w:ascii="宋体" w:hAnsi="宋体" w:eastAsia="宋体"/>
                <w:sz w:val="21"/>
                <w:szCs w:val="21"/>
              </w:rPr>
            </w:pPr>
            <w:r>
              <w:rPr>
                <w:rFonts w:hint="eastAsia" w:ascii="宋体" w:hAnsi="宋体" w:eastAsia="宋体" w:cs="宋体"/>
                <w:color w:val="000000"/>
                <w:kern w:val="0"/>
                <w:sz w:val="21"/>
                <w:szCs w:val="21"/>
                <w:lang w:val="en-US" w:eastAsia="zh-CN" w:bidi="ar"/>
              </w:rPr>
              <w:t>产品名称）</w:t>
            </w:r>
          </w:p>
        </w:tc>
        <w:tc>
          <w:tcPr>
            <w:tcW w:w="1211" w:type="dxa"/>
            <w:noWrap w:val="0"/>
            <w:vAlign w:val="top"/>
          </w:tcPr>
          <w:p w14:paraId="202F391F">
            <w:pPr>
              <w:jc w:val="center"/>
              <w:rPr>
                <w:rFonts w:hint="eastAsia" w:ascii="宋体" w:hAnsi="宋体" w:eastAsia="宋体"/>
                <w:sz w:val="21"/>
                <w:szCs w:val="21"/>
              </w:rPr>
            </w:pPr>
          </w:p>
        </w:tc>
        <w:tc>
          <w:tcPr>
            <w:tcW w:w="1236" w:type="dxa"/>
            <w:noWrap w:val="0"/>
            <w:vAlign w:val="center"/>
          </w:tcPr>
          <w:p w14:paraId="68AD0227">
            <w:pPr>
              <w:jc w:val="center"/>
              <w:rPr>
                <w:rFonts w:hint="eastAsia" w:ascii="宋体" w:hAnsi="宋体" w:eastAsia="宋体"/>
                <w:sz w:val="21"/>
                <w:szCs w:val="21"/>
              </w:rPr>
            </w:pPr>
          </w:p>
        </w:tc>
        <w:tc>
          <w:tcPr>
            <w:tcW w:w="734" w:type="dxa"/>
            <w:noWrap w:val="0"/>
            <w:vAlign w:val="center"/>
          </w:tcPr>
          <w:p w14:paraId="4B11C686">
            <w:pPr>
              <w:jc w:val="center"/>
              <w:rPr>
                <w:rFonts w:hint="eastAsia" w:ascii="宋体" w:hAnsi="宋体" w:eastAsia="宋体"/>
                <w:sz w:val="21"/>
                <w:szCs w:val="21"/>
              </w:rPr>
            </w:pPr>
          </w:p>
        </w:tc>
        <w:tc>
          <w:tcPr>
            <w:tcW w:w="756" w:type="dxa"/>
            <w:noWrap w:val="0"/>
            <w:vAlign w:val="center"/>
          </w:tcPr>
          <w:p w14:paraId="2B21C580">
            <w:pPr>
              <w:jc w:val="center"/>
              <w:rPr>
                <w:rFonts w:hint="eastAsia" w:ascii="宋体" w:hAnsi="宋体" w:eastAsia="宋体"/>
                <w:sz w:val="21"/>
                <w:szCs w:val="21"/>
              </w:rPr>
            </w:pPr>
          </w:p>
        </w:tc>
        <w:tc>
          <w:tcPr>
            <w:tcW w:w="1071" w:type="dxa"/>
            <w:noWrap w:val="0"/>
            <w:vAlign w:val="center"/>
          </w:tcPr>
          <w:p w14:paraId="2A320359">
            <w:pPr>
              <w:jc w:val="center"/>
              <w:rPr>
                <w:rFonts w:hint="eastAsia" w:ascii="宋体" w:hAnsi="宋体" w:eastAsia="宋体"/>
                <w:sz w:val="21"/>
                <w:szCs w:val="21"/>
              </w:rPr>
            </w:pPr>
          </w:p>
        </w:tc>
        <w:tc>
          <w:tcPr>
            <w:tcW w:w="1105" w:type="dxa"/>
            <w:noWrap w:val="0"/>
            <w:vAlign w:val="center"/>
          </w:tcPr>
          <w:p w14:paraId="5AE2449A">
            <w:pPr>
              <w:jc w:val="center"/>
              <w:rPr>
                <w:rFonts w:hint="eastAsia" w:ascii="宋体" w:hAnsi="宋体" w:eastAsia="宋体"/>
                <w:sz w:val="21"/>
                <w:szCs w:val="21"/>
              </w:rPr>
            </w:pPr>
          </w:p>
        </w:tc>
      </w:tr>
    </w:tbl>
    <w:p w14:paraId="0DF977FB">
      <w:pPr>
        <w:ind w:firstLine="422" w:firstLineChars="200"/>
        <w:rPr>
          <w:rFonts w:hint="eastAsia" w:ascii="宋体" w:hAnsi="宋体" w:eastAsia="宋体"/>
          <w:b/>
          <w:sz w:val="21"/>
          <w:szCs w:val="21"/>
        </w:rPr>
      </w:pPr>
      <w:r>
        <w:rPr>
          <w:rFonts w:hint="eastAsia" w:ascii="宋体" w:hAnsi="宋体" w:eastAsia="宋体"/>
          <w:b/>
          <w:sz w:val="21"/>
          <w:szCs w:val="21"/>
        </w:rPr>
        <w:t>二、合同价款</w:t>
      </w:r>
    </w:p>
    <w:p w14:paraId="081EF2BA">
      <w:pPr>
        <w:ind w:firstLine="420" w:firstLineChars="200"/>
        <w:rPr>
          <w:rFonts w:hint="eastAsia" w:ascii="宋体" w:hAnsi="宋体" w:eastAsia="宋体"/>
          <w:sz w:val="21"/>
          <w:szCs w:val="21"/>
        </w:rPr>
      </w:pPr>
      <w:r>
        <w:rPr>
          <w:rFonts w:hint="eastAsia" w:ascii="宋体" w:hAnsi="宋体" w:eastAsia="宋体"/>
          <w:sz w:val="21"/>
          <w:szCs w:val="21"/>
        </w:rPr>
        <w:t>本合同标的物总价款为人民币大写：</w:t>
      </w:r>
      <w:r>
        <w:rPr>
          <w:rFonts w:hint="eastAsia" w:ascii="宋体" w:hAnsi="宋体" w:eastAsia="宋体"/>
          <w:sz w:val="21"/>
          <w:szCs w:val="21"/>
          <w:u w:val="single"/>
        </w:rPr>
        <w:t xml:space="preserve">                                  </w:t>
      </w:r>
      <w:r>
        <w:rPr>
          <w:rFonts w:hint="eastAsia" w:ascii="宋体" w:hAnsi="宋体" w:eastAsia="宋体"/>
          <w:sz w:val="21"/>
          <w:szCs w:val="21"/>
        </w:rPr>
        <w:t>，即RMB</w:t>
      </w:r>
      <w:r>
        <w:rPr>
          <w:rFonts w:hint="eastAsia" w:ascii="宋体" w:hAnsi="宋体" w:eastAsia="宋体"/>
          <w:sz w:val="21"/>
          <w:szCs w:val="21"/>
          <w:u w:val="single"/>
        </w:rPr>
        <w:t xml:space="preserve">￥        </w:t>
      </w:r>
      <w:r>
        <w:rPr>
          <w:rFonts w:hint="eastAsia" w:ascii="宋体" w:hAnsi="宋体" w:eastAsia="宋体"/>
          <w:sz w:val="21"/>
          <w:szCs w:val="21"/>
        </w:rPr>
        <w:t>万元；该价款已包括标的物设计、材料、制造、运输、安装、调试、培训、验收合格交付使用之前及保修期内保修服务与备用物件等所有其他有关各项的含税费用。本合同履行期间该合同总价款不变，甲方无须向乙方支付本合同约定之外的任何其他费用。</w:t>
      </w:r>
    </w:p>
    <w:p w14:paraId="5C12033A">
      <w:pPr>
        <w:ind w:firstLine="422" w:firstLineChars="200"/>
        <w:rPr>
          <w:rFonts w:hint="eastAsia" w:ascii="宋体" w:hAnsi="宋体" w:eastAsia="宋体"/>
          <w:b/>
          <w:sz w:val="21"/>
          <w:szCs w:val="21"/>
        </w:rPr>
      </w:pPr>
      <w:r>
        <w:rPr>
          <w:rFonts w:hint="eastAsia" w:ascii="宋体" w:hAnsi="宋体" w:eastAsia="宋体"/>
          <w:b/>
          <w:sz w:val="21"/>
          <w:szCs w:val="21"/>
        </w:rPr>
        <w:t>三、质量标准及相关质量问题的处理</w:t>
      </w:r>
    </w:p>
    <w:p w14:paraId="33381398">
      <w:pPr>
        <w:ind w:firstLine="420" w:firstLineChars="200"/>
        <w:rPr>
          <w:rFonts w:hint="eastAsia" w:ascii="宋体" w:hAnsi="宋体" w:eastAsia="宋体"/>
          <w:sz w:val="21"/>
          <w:szCs w:val="21"/>
        </w:rPr>
      </w:pPr>
      <w:r>
        <w:rPr>
          <w:rFonts w:hint="eastAsia" w:ascii="宋体" w:hAnsi="宋体" w:eastAsia="宋体"/>
          <w:sz w:val="21"/>
          <w:szCs w:val="21"/>
        </w:rPr>
        <w:t>1、乙方提供的标的物必须是合格出厂的全新（含零部件、配件等）产品，全部外观表面无划伤、无碰撞痕迹，产品所有权及自身涉及的各项知识产权权属清楚，不得存在侵害他人知识产权和其他权益的情形。</w:t>
      </w:r>
    </w:p>
    <w:p w14:paraId="3ACB097F">
      <w:pPr>
        <w:ind w:firstLine="420" w:firstLineChars="200"/>
        <w:rPr>
          <w:rFonts w:hint="eastAsia" w:ascii="宋体" w:hAnsi="宋体" w:eastAsia="宋体"/>
          <w:sz w:val="21"/>
          <w:szCs w:val="21"/>
        </w:rPr>
      </w:pPr>
      <w:r>
        <w:rPr>
          <w:rFonts w:hint="eastAsia" w:ascii="宋体" w:hAnsi="宋体" w:eastAsia="宋体"/>
          <w:sz w:val="21"/>
          <w:szCs w:val="21"/>
        </w:rPr>
        <w:t>2、标的物出厂时必须符合或优于国家（没有国标时，以行标）新标准，同时符合本项目招标文件确定的各项质量要求和技术指标及出厂标准。</w:t>
      </w:r>
    </w:p>
    <w:p w14:paraId="67A65ABA">
      <w:pPr>
        <w:ind w:firstLine="420" w:firstLineChars="200"/>
        <w:rPr>
          <w:rFonts w:hint="eastAsia" w:ascii="宋体" w:hAnsi="宋体" w:eastAsia="宋体"/>
          <w:sz w:val="21"/>
          <w:szCs w:val="21"/>
        </w:rPr>
      </w:pPr>
      <w:r>
        <w:rPr>
          <w:rFonts w:hint="eastAsia" w:ascii="宋体" w:hAnsi="宋体" w:eastAsia="宋体"/>
          <w:sz w:val="21"/>
          <w:szCs w:val="21"/>
        </w:rPr>
        <w:t>3、标的物的制造质量存在或出现问题时，乙方必须负责三包（包修、包换、包退），费用由乙方负担，甲方有权亲自派员或委托第三方到乙方生产或仓储现场查验标的物质量或生产进度。</w:t>
      </w:r>
    </w:p>
    <w:p w14:paraId="0AC5D7C5">
      <w:pPr>
        <w:ind w:firstLine="420" w:firstLineChars="200"/>
        <w:rPr>
          <w:rFonts w:hint="eastAsia" w:ascii="宋体" w:hAnsi="宋体" w:eastAsia="宋体"/>
          <w:sz w:val="21"/>
          <w:szCs w:val="21"/>
        </w:rPr>
      </w:pPr>
      <w:r>
        <w:rPr>
          <w:rFonts w:hint="eastAsia" w:ascii="宋体" w:hAnsi="宋体" w:eastAsia="宋体"/>
          <w:sz w:val="21"/>
          <w:szCs w:val="21"/>
        </w:rPr>
        <w:t>4、标的物交付后由于甲方保管不当造成的质量问题，乙方应负责修理，费用由甲方负担。</w:t>
      </w:r>
    </w:p>
    <w:p w14:paraId="476D5348">
      <w:pPr>
        <w:ind w:firstLine="422" w:firstLineChars="200"/>
        <w:rPr>
          <w:rFonts w:hint="eastAsia" w:ascii="宋体" w:hAnsi="宋体" w:eastAsia="宋体"/>
          <w:b/>
          <w:sz w:val="21"/>
          <w:szCs w:val="21"/>
        </w:rPr>
      </w:pPr>
      <w:r>
        <w:rPr>
          <w:rFonts w:hint="eastAsia" w:ascii="宋体" w:hAnsi="宋体" w:eastAsia="宋体"/>
          <w:b/>
          <w:sz w:val="21"/>
          <w:szCs w:val="21"/>
        </w:rPr>
        <w:t>四、交货及验收</w:t>
      </w:r>
    </w:p>
    <w:p w14:paraId="222FB33F">
      <w:pPr>
        <w:ind w:firstLine="420" w:firstLineChars="200"/>
        <w:rPr>
          <w:rFonts w:hint="eastAsia" w:ascii="宋体" w:hAnsi="宋体" w:eastAsia="宋体"/>
          <w:sz w:val="21"/>
          <w:szCs w:val="21"/>
        </w:rPr>
      </w:pPr>
      <w:r>
        <w:rPr>
          <w:rFonts w:hint="eastAsia" w:ascii="宋体" w:hAnsi="宋体" w:eastAsia="宋体"/>
          <w:sz w:val="21"/>
          <w:szCs w:val="21"/>
        </w:rPr>
        <w:t>1、乙方交货期限为合同签订生效后的</w:t>
      </w:r>
      <w:r>
        <w:rPr>
          <w:rFonts w:hint="eastAsia" w:ascii="宋体" w:hAnsi="宋体" w:eastAsia="宋体"/>
          <w:sz w:val="21"/>
          <w:szCs w:val="21"/>
          <w:u w:val="single"/>
        </w:rPr>
        <w:t xml:space="preserve">      </w:t>
      </w:r>
      <w:r>
        <w:rPr>
          <w:rFonts w:hint="eastAsia" w:ascii="宋体" w:hAnsi="宋体" w:eastAsia="宋体"/>
          <w:sz w:val="21"/>
          <w:szCs w:val="21"/>
        </w:rPr>
        <w:t>日内，交货到甲方指定地点，并由乙方随即在</w:t>
      </w:r>
      <w:r>
        <w:rPr>
          <w:rFonts w:hint="eastAsia" w:ascii="宋体" w:hAnsi="宋体" w:eastAsia="宋体"/>
          <w:sz w:val="21"/>
          <w:szCs w:val="21"/>
          <w:u w:val="single"/>
        </w:rPr>
        <w:t xml:space="preserve">      </w:t>
      </w:r>
      <w:r>
        <w:rPr>
          <w:rFonts w:hint="eastAsia" w:ascii="宋体" w:hAnsi="宋体" w:eastAsia="宋体"/>
          <w:sz w:val="21"/>
          <w:szCs w:val="21"/>
        </w:rPr>
        <w:t>日内全部完成安装调试验收合格，并交付使用（如由于甲方的原因造成合同延迟签订或验收的，交付使用时间顺延）。乙方交货验收时必须要提供该产品的法定质检部门从同类产品中检查合</w:t>
      </w:r>
      <w:r>
        <w:rPr>
          <w:rFonts w:hint="eastAsia" w:ascii="宋体" w:hAnsi="宋体" w:eastAsia="宋体"/>
          <w:sz w:val="21"/>
          <w:szCs w:val="21"/>
          <w:lang w:eastAsia="zh-CN"/>
        </w:rPr>
        <w:t>格</w:t>
      </w:r>
      <w:r>
        <w:rPr>
          <w:rFonts w:hint="eastAsia" w:ascii="宋体" w:hAnsi="宋体" w:eastAsia="宋体"/>
          <w:sz w:val="21"/>
          <w:szCs w:val="21"/>
        </w:rPr>
        <w:t>的检测报告。</w:t>
      </w:r>
    </w:p>
    <w:p w14:paraId="2F555B21">
      <w:pPr>
        <w:ind w:firstLine="420" w:firstLineChars="200"/>
        <w:rPr>
          <w:rFonts w:hint="eastAsia" w:ascii="宋体" w:hAnsi="宋体" w:eastAsia="宋体"/>
          <w:sz w:val="21"/>
          <w:szCs w:val="21"/>
        </w:rPr>
      </w:pPr>
      <w:r>
        <w:rPr>
          <w:rFonts w:hint="eastAsia" w:ascii="宋体" w:hAnsi="宋体" w:eastAsia="宋体"/>
          <w:sz w:val="21"/>
          <w:szCs w:val="21"/>
        </w:rPr>
        <w:t>2、验收由甲方组织，乙方配合进行：</w:t>
      </w:r>
    </w:p>
    <w:p w14:paraId="21391F3B">
      <w:pPr>
        <w:ind w:firstLine="420" w:firstLineChars="200"/>
        <w:rPr>
          <w:rFonts w:hint="eastAsia" w:ascii="宋体" w:hAnsi="宋体" w:eastAsia="宋体"/>
          <w:sz w:val="21"/>
          <w:szCs w:val="21"/>
        </w:rPr>
      </w:pPr>
      <w:r>
        <w:rPr>
          <w:rFonts w:hint="eastAsia" w:ascii="宋体" w:hAnsi="宋体" w:eastAsia="宋体"/>
          <w:sz w:val="21"/>
          <w:szCs w:val="21"/>
        </w:rPr>
        <w:t>（1）标的物在乙方通知安装调试完毕后</w:t>
      </w:r>
      <w:r>
        <w:rPr>
          <w:rFonts w:hint="eastAsia" w:ascii="宋体" w:hAnsi="宋体" w:eastAsia="宋体"/>
          <w:sz w:val="21"/>
          <w:szCs w:val="21"/>
          <w:u w:val="single"/>
        </w:rPr>
        <w:t xml:space="preserve"> </w:t>
      </w:r>
      <w:r>
        <w:rPr>
          <w:rFonts w:hint="eastAsia" w:ascii="宋体" w:hAnsi="宋体" w:eastAsia="宋体"/>
          <w:sz w:val="21"/>
          <w:szCs w:val="21"/>
          <w:u w:val="single"/>
          <w:lang w:val="en-US" w:eastAsia="zh-CN"/>
        </w:rPr>
        <w:t xml:space="preserve">  </w:t>
      </w:r>
      <w:r>
        <w:rPr>
          <w:rFonts w:hint="eastAsia" w:ascii="宋体" w:hAnsi="宋体" w:eastAsia="宋体"/>
          <w:sz w:val="21"/>
          <w:szCs w:val="21"/>
          <w:u w:val="single"/>
          <w:lang w:eastAsia="zh-CN"/>
        </w:rPr>
        <w:t>三</w:t>
      </w:r>
      <w:r>
        <w:rPr>
          <w:rFonts w:hint="eastAsia" w:ascii="宋体" w:hAnsi="宋体" w:eastAsia="宋体"/>
          <w:sz w:val="21"/>
          <w:szCs w:val="21"/>
          <w:u w:val="single"/>
          <w:lang w:val="en-US" w:eastAsia="zh-CN"/>
        </w:rPr>
        <w:t xml:space="preserve">  </w:t>
      </w:r>
      <w:r>
        <w:rPr>
          <w:rFonts w:hint="eastAsia" w:ascii="宋体" w:hAnsi="宋体" w:eastAsia="宋体"/>
          <w:sz w:val="21"/>
          <w:szCs w:val="21"/>
        </w:rPr>
        <w:t xml:space="preserve"> 日内进行初步验收。初步验收合格后，开始进入</w:t>
      </w:r>
      <w:r>
        <w:rPr>
          <w:rFonts w:hint="eastAsia" w:ascii="宋体" w:hAnsi="宋体" w:eastAsia="宋体"/>
          <w:sz w:val="21"/>
          <w:szCs w:val="21"/>
          <w:u w:val="single"/>
          <w:lang w:val="en-US" w:eastAsia="zh-CN"/>
        </w:rPr>
        <w:t xml:space="preserve">  七  </w:t>
      </w:r>
      <w:r>
        <w:rPr>
          <w:rFonts w:hint="eastAsia" w:ascii="宋体" w:hAnsi="宋体" w:eastAsia="宋体"/>
          <w:sz w:val="21"/>
          <w:szCs w:val="21"/>
        </w:rPr>
        <w:t xml:space="preserve"> 天试用期；试用期间发生重大质量问题，乙方应</w:t>
      </w:r>
      <w:r>
        <w:rPr>
          <w:rFonts w:hint="eastAsia" w:ascii="宋体" w:hAnsi="宋体" w:eastAsia="宋体"/>
          <w:sz w:val="21"/>
          <w:szCs w:val="21"/>
          <w:lang w:eastAsia="zh-CN"/>
        </w:rPr>
        <w:t>重新</w:t>
      </w:r>
      <w:r>
        <w:rPr>
          <w:rFonts w:hint="eastAsia" w:ascii="宋体" w:hAnsi="宋体" w:eastAsia="宋体"/>
          <w:sz w:val="21"/>
          <w:szCs w:val="21"/>
        </w:rPr>
        <w:t>提供符合标准的新设备</w:t>
      </w:r>
      <w:r>
        <w:rPr>
          <w:rFonts w:hint="eastAsia" w:ascii="宋体" w:hAnsi="宋体" w:eastAsia="宋体"/>
          <w:sz w:val="21"/>
          <w:szCs w:val="21"/>
          <w:lang w:eastAsia="zh-CN"/>
        </w:rPr>
        <w:t>，</w:t>
      </w:r>
      <w:r>
        <w:rPr>
          <w:rFonts w:hint="eastAsia" w:ascii="宋体" w:hAnsi="宋体" w:eastAsia="宋体"/>
          <w:sz w:val="21"/>
          <w:szCs w:val="21"/>
          <w:lang w:val="en-US" w:eastAsia="zh-CN"/>
        </w:rPr>
        <w:t>由甲方组织重新进行初步验收，开始进入</w:t>
      </w:r>
      <w:r>
        <w:rPr>
          <w:rFonts w:hint="eastAsia" w:ascii="宋体" w:hAnsi="宋体" w:eastAsia="宋体"/>
          <w:sz w:val="21"/>
          <w:szCs w:val="21"/>
          <w:u w:val="single"/>
          <w:lang w:val="en-US" w:eastAsia="zh-CN"/>
        </w:rPr>
        <w:t xml:space="preserve"> 七 </w:t>
      </w:r>
      <w:r>
        <w:rPr>
          <w:rFonts w:hint="eastAsia" w:ascii="宋体" w:hAnsi="宋体" w:eastAsia="宋体"/>
          <w:sz w:val="21"/>
          <w:szCs w:val="21"/>
          <w:lang w:val="en-US" w:eastAsia="zh-CN"/>
        </w:rPr>
        <w:t>天试用期</w:t>
      </w:r>
      <w:r>
        <w:rPr>
          <w:rFonts w:hint="eastAsia" w:ascii="宋体" w:hAnsi="宋体" w:eastAsia="宋体"/>
          <w:sz w:val="21"/>
          <w:szCs w:val="21"/>
        </w:rPr>
        <w:t>；试用期结束后</w:t>
      </w:r>
      <w:r>
        <w:rPr>
          <w:rFonts w:hint="eastAsia" w:ascii="宋体" w:hAnsi="宋体" w:eastAsia="宋体"/>
          <w:sz w:val="21"/>
          <w:szCs w:val="21"/>
          <w:u w:val="single"/>
          <w:lang w:val="en-US" w:eastAsia="zh-CN"/>
        </w:rPr>
        <w:t xml:space="preserve">  三  </w:t>
      </w:r>
      <w:r>
        <w:rPr>
          <w:rFonts w:hint="eastAsia" w:ascii="宋体" w:hAnsi="宋体" w:eastAsia="宋体"/>
          <w:sz w:val="21"/>
          <w:szCs w:val="21"/>
        </w:rPr>
        <w:t>日内完成最终验收。</w:t>
      </w:r>
    </w:p>
    <w:p w14:paraId="24A4DC91">
      <w:pPr>
        <w:ind w:firstLine="420" w:firstLineChars="200"/>
        <w:rPr>
          <w:rFonts w:hint="eastAsia" w:ascii="宋体" w:hAnsi="宋体" w:eastAsia="宋体"/>
          <w:sz w:val="21"/>
          <w:szCs w:val="21"/>
        </w:rPr>
      </w:pPr>
      <w:r>
        <w:rPr>
          <w:rFonts w:hint="eastAsia" w:ascii="宋体" w:hAnsi="宋体" w:eastAsia="宋体"/>
          <w:sz w:val="21"/>
          <w:szCs w:val="21"/>
        </w:rPr>
        <w:t>（2）验收标准：按国家有关规定以及甲方招标文件的质量要求和技术指标、乙方的投标文件及承诺及合同约定标准进行验收；甲乙双方如对质量要求和技术指标的约定标准有相互抵触或异议的事项，由甲方在招标文件中按质量要求和技术指标比较优胜的原则确定标准进行验收。</w:t>
      </w:r>
    </w:p>
    <w:p w14:paraId="1E3D576F">
      <w:pPr>
        <w:ind w:firstLine="420" w:firstLineChars="200"/>
        <w:rPr>
          <w:rFonts w:hint="eastAsia" w:ascii="宋体" w:hAnsi="宋体" w:eastAsia="宋体"/>
          <w:sz w:val="21"/>
          <w:szCs w:val="21"/>
        </w:rPr>
      </w:pPr>
      <w:r>
        <w:rPr>
          <w:rFonts w:hint="eastAsia" w:ascii="宋体" w:hAnsi="宋体" w:eastAsia="宋体"/>
          <w:sz w:val="21"/>
          <w:szCs w:val="21"/>
        </w:rPr>
        <w:t>（3）验收时如发现所交付的标的物有短装、次品、损坏或其它不符合标准及本合同规定之情形者，验收方应做出详尽的现场记录，或由双方签署备忘录，因此产生时间延误和有关费用由乙方承担，验收期限相应顺延。</w:t>
      </w:r>
    </w:p>
    <w:p w14:paraId="4B0D305D">
      <w:pPr>
        <w:ind w:firstLine="420" w:firstLineChars="200"/>
        <w:rPr>
          <w:rFonts w:hint="eastAsia" w:ascii="宋体" w:hAnsi="宋体" w:eastAsia="宋体"/>
          <w:sz w:val="21"/>
          <w:szCs w:val="21"/>
        </w:rPr>
      </w:pPr>
      <w:r>
        <w:rPr>
          <w:rFonts w:hint="eastAsia" w:ascii="宋体" w:hAnsi="宋体" w:eastAsia="宋体"/>
          <w:sz w:val="21"/>
          <w:szCs w:val="21"/>
        </w:rPr>
        <w:t>（</w:t>
      </w:r>
      <w:r>
        <w:rPr>
          <w:rFonts w:hint="eastAsia" w:ascii="宋体" w:hAnsi="宋体" w:eastAsia="宋体"/>
          <w:sz w:val="21"/>
          <w:szCs w:val="21"/>
          <w:lang w:val="en-US" w:eastAsia="zh-CN"/>
        </w:rPr>
        <w:t>4</w:t>
      </w:r>
      <w:r>
        <w:rPr>
          <w:rFonts w:hint="eastAsia" w:ascii="宋体" w:hAnsi="宋体" w:eastAsia="宋体"/>
          <w:sz w:val="21"/>
          <w:szCs w:val="21"/>
        </w:rPr>
        <w:t>）甲方组织联合验收</w:t>
      </w:r>
      <w:r>
        <w:rPr>
          <w:rFonts w:hint="eastAsia" w:ascii="宋体" w:hAnsi="宋体" w:eastAsia="宋体"/>
          <w:sz w:val="21"/>
          <w:szCs w:val="21"/>
          <w:lang w:eastAsia="zh-CN"/>
        </w:rPr>
        <w:t>，</w:t>
      </w:r>
      <w:r>
        <w:rPr>
          <w:rFonts w:hint="eastAsia" w:ascii="宋体" w:hAnsi="宋体" w:eastAsia="宋体"/>
          <w:sz w:val="21"/>
          <w:szCs w:val="21"/>
        </w:rPr>
        <w:t>验收严格按照招标文件中的配置、质量、技术要求进行，验收通过的，双方签署书面验收报告</w:t>
      </w:r>
      <w:r>
        <w:rPr>
          <w:rFonts w:hint="eastAsia" w:ascii="宋体" w:hAnsi="宋体" w:eastAsia="宋体"/>
          <w:sz w:val="21"/>
          <w:szCs w:val="21"/>
          <w:lang w:eastAsia="zh-CN"/>
        </w:rPr>
        <w:t>；</w:t>
      </w:r>
      <w:r>
        <w:rPr>
          <w:rFonts w:hint="eastAsia" w:ascii="宋体" w:hAnsi="宋体" w:eastAsia="宋体"/>
          <w:sz w:val="21"/>
          <w:szCs w:val="21"/>
        </w:rPr>
        <w:t>如乙方提供的产品不能通过验收，按退货处理，乙方负责无条件退货。</w:t>
      </w:r>
    </w:p>
    <w:p w14:paraId="2A181BDE">
      <w:pPr>
        <w:ind w:firstLine="420" w:firstLineChars="200"/>
        <w:rPr>
          <w:rFonts w:hint="eastAsia" w:ascii="宋体" w:hAnsi="宋体" w:eastAsia="宋体"/>
          <w:sz w:val="21"/>
          <w:szCs w:val="21"/>
        </w:rPr>
      </w:pPr>
      <w:r>
        <w:rPr>
          <w:rFonts w:hint="eastAsia" w:ascii="宋体" w:hAnsi="宋体" w:eastAsia="宋体"/>
          <w:sz w:val="21"/>
          <w:szCs w:val="21"/>
        </w:rPr>
        <w:t>3、标的物安装完成后，甲方无故不进行验收工作并已使用标的物的，视同已安装调试完成并验收合格。</w:t>
      </w:r>
    </w:p>
    <w:p w14:paraId="79BEA18E">
      <w:pPr>
        <w:ind w:firstLine="420" w:firstLineChars="200"/>
        <w:rPr>
          <w:rFonts w:hint="eastAsia" w:ascii="宋体" w:hAnsi="宋体" w:eastAsia="宋体"/>
          <w:sz w:val="21"/>
          <w:szCs w:val="21"/>
        </w:rPr>
      </w:pPr>
      <w:r>
        <w:rPr>
          <w:rFonts w:hint="eastAsia" w:ascii="宋体" w:hAnsi="宋体" w:eastAsia="宋体"/>
          <w:sz w:val="21"/>
          <w:szCs w:val="21"/>
        </w:rPr>
        <w:t>4、乙方应将所提供标的物的装箱清单、配件、随机工具、用户使用手册、原厂保修卡等资料交付给甲方；乙方不能完整交付标的物及本款规定的单证和工具的，必须负责补齐，否则视为未按合同约定交货。</w:t>
      </w:r>
    </w:p>
    <w:p w14:paraId="6DEA8070">
      <w:pPr>
        <w:ind w:firstLine="420" w:firstLineChars="200"/>
        <w:rPr>
          <w:rFonts w:hint="eastAsia" w:ascii="宋体" w:hAnsi="宋体" w:eastAsia="宋体"/>
          <w:sz w:val="21"/>
          <w:szCs w:val="21"/>
        </w:rPr>
      </w:pPr>
      <w:r>
        <w:rPr>
          <w:rFonts w:hint="eastAsia" w:ascii="宋体" w:hAnsi="宋体" w:eastAsia="宋体"/>
          <w:sz w:val="21"/>
          <w:szCs w:val="21"/>
        </w:rPr>
        <w:t>5、如标的物经乙方</w:t>
      </w:r>
      <w:r>
        <w:rPr>
          <w:rFonts w:hint="eastAsia" w:ascii="宋体" w:hAnsi="宋体" w:eastAsia="宋体"/>
          <w:sz w:val="21"/>
          <w:szCs w:val="21"/>
          <w:u w:val="single"/>
        </w:rPr>
        <w:t xml:space="preserve"> 二 </w:t>
      </w:r>
      <w:r>
        <w:rPr>
          <w:rFonts w:hint="eastAsia" w:ascii="宋体" w:hAnsi="宋体" w:eastAsia="宋体"/>
          <w:sz w:val="21"/>
          <w:szCs w:val="21"/>
        </w:rPr>
        <w:t>次维修仍不能达到合同约定的质量标准，甲方有权退货，并视作乙方不能交付标的物</w:t>
      </w:r>
      <w:r>
        <w:rPr>
          <w:rFonts w:hint="eastAsia" w:ascii="宋体" w:hAnsi="宋体" w:eastAsia="宋体"/>
          <w:sz w:val="21"/>
          <w:szCs w:val="21"/>
          <w:lang w:val="en-US" w:eastAsia="zh-CN"/>
        </w:rPr>
        <w:t>,乙方应支付货款总额30%的违约赔偿金给甲方</w:t>
      </w:r>
      <w:r>
        <w:rPr>
          <w:rFonts w:hint="eastAsia" w:ascii="宋体" w:hAnsi="宋体" w:eastAsia="宋体"/>
          <w:sz w:val="21"/>
          <w:szCs w:val="21"/>
        </w:rPr>
        <w:t>，甲方还可以依法追究乙方的相关法律责任。</w:t>
      </w:r>
    </w:p>
    <w:p w14:paraId="39A9B4C1">
      <w:pPr>
        <w:ind w:firstLine="420" w:firstLineChars="200"/>
        <w:rPr>
          <w:rFonts w:hint="eastAsia" w:ascii="宋体" w:hAnsi="宋体" w:eastAsia="宋体"/>
          <w:sz w:val="21"/>
          <w:szCs w:val="21"/>
        </w:rPr>
      </w:pPr>
      <w:r>
        <w:rPr>
          <w:rFonts w:hint="eastAsia" w:ascii="宋体" w:hAnsi="宋体" w:eastAsia="宋体"/>
          <w:sz w:val="21"/>
          <w:szCs w:val="21"/>
        </w:rPr>
        <w:t>6、其他未尽事宜应严格按照《中华人民共和国政府采购法》及相关法律法规规定的要求进行。</w:t>
      </w:r>
    </w:p>
    <w:p w14:paraId="3BBB9FCC">
      <w:pPr>
        <w:ind w:firstLine="422" w:firstLineChars="200"/>
        <w:rPr>
          <w:rFonts w:hint="eastAsia" w:ascii="宋体" w:hAnsi="宋体" w:eastAsia="宋体"/>
          <w:b/>
          <w:sz w:val="21"/>
          <w:szCs w:val="21"/>
        </w:rPr>
      </w:pPr>
      <w:r>
        <w:rPr>
          <w:rFonts w:hint="eastAsia" w:ascii="宋体" w:hAnsi="宋体" w:eastAsia="宋体"/>
          <w:b/>
          <w:sz w:val="21"/>
          <w:szCs w:val="21"/>
        </w:rPr>
        <w:t>五、付款方式</w:t>
      </w:r>
    </w:p>
    <w:p w14:paraId="31D6B381">
      <w:pPr>
        <w:ind w:firstLine="420" w:firstLineChars="200"/>
        <w:rPr>
          <w:rFonts w:hint="default" w:ascii="宋体" w:hAnsi="宋体" w:eastAsia="宋体"/>
          <w:color w:val="auto"/>
          <w:sz w:val="21"/>
          <w:szCs w:val="21"/>
          <w:lang w:val="en-US"/>
        </w:rPr>
      </w:pPr>
      <w:r>
        <w:rPr>
          <w:rFonts w:hint="eastAsia" w:ascii="宋体" w:hAnsi="宋体" w:eastAsia="宋体"/>
          <w:sz w:val="21"/>
          <w:szCs w:val="21"/>
        </w:rPr>
        <w:t>全部标的物经安装调试完毕并</w:t>
      </w:r>
      <w:r>
        <w:rPr>
          <w:rFonts w:hint="eastAsia" w:ascii="宋体" w:hAnsi="宋体" w:eastAsia="宋体"/>
          <w:sz w:val="21"/>
          <w:szCs w:val="21"/>
          <w:lang w:eastAsia="zh-CN"/>
        </w:rPr>
        <w:t>验收入库</w:t>
      </w:r>
      <w:r>
        <w:rPr>
          <w:rFonts w:hint="eastAsia" w:ascii="宋体" w:hAnsi="宋体" w:eastAsia="宋体"/>
          <w:sz w:val="21"/>
          <w:szCs w:val="21"/>
        </w:rPr>
        <w:t>之日起，甲方接到乙方付款通知和有关票据凭证资料以后，由甲方核付合同总价的百分之</w:t>
      </w:r>
      <w:r>
        <w:rPr>
          <w:rFonts w:hint="eastAsia" w:ascii="宋体" w:hAnsi="宋体" w:eastAsia="宋体"/>
          <w:sz w:val="21"/>
          <w:szCs w:val="21"/>
          <w:u w:val="single"/>
          <w:lang w:val="en-US" w:eastAsia="zh-CN"/>
        </w:rPr>
        <w:t xml:space="preserve"> 八十五 </w:t>
      </w:r>
      <w:r>
        <w:rPr>
          <w:rFonts w:hint="eastAsia" w:ascii="宋体" w:hAnsi="宋体" w:eastAsia="宋体"/>
          <w:sz w:val="21"/>
          <w:szCs w:val="21"/>
        </w:rPr>
        <w:t>款项：￥</w:t>
      </w:r>
      <w:r>
        <w:rPr>
          <w:rFonts w:hint="eastAsia" w:ascii="宋体" w:hAnsi="宋体" w:eastAsia="宋体"/>
          <w:sz w:val="21"/>
          <w:szCs w:val="21"/>
          <w:u w:val="single"/>
        </w:rPr>
        <w:t xml:space="preserve">     </w:t>
      </w:r>
      <w:r>
        <w:rPr>
          <w:rFonts w:hint="eastAsia" w:ascii="宋体" w:hAnsi="宋体" w:eastAsia="宋体"/>
          <w:sz w:val="21"/>
          <w:szCs w:val="21"/>
          <w:u w:val="single"/>
          <w:lang w:eastAsia="zh-CN"/>
        </w:rPr>
        <w:t>万</w:t>
      </w:r>
      <w:r>
        <w:rPr>
          <w:rFonts w:hint="eastAsia" w:ascii="宋体" w:hAnsi="宋体" w:eastAsia="宋体"/>
          <w:sz w:val="21"/>
          <w:szCs w:val="21"/>
        </w:rPr>
        <w:t>元，人民币大写</w:t>
      </w:r>
      <w:r>
        <w:rPr>
          <w:rFonts w:hint="eastAsia" w:ascii="宋体" w:hAnsi="宋体" w:eastAsia="宋体"/>
          <w:sz w:val="21"/>
          <w:szCs w:val="21"/>
          <w:u w:val="single"/>
        </w:rPr>
        <w:t xml:space="preserve">                     </w:t>
      </w:r>
      <w:r>
        <w:rPr>
          <w:rFonts w:hint="eastAsia" w:ascii="宋体" w:hAnsi="宋体" w:eastAsia="宋体"/>
          <w:sz w:val="21"/>
          <w:szCs w:val="21"/>
          <w:lang w:eastAsia="zh-CN"/>
        </w:rPr>
        <w:t>。一年后</w:t>
      </w:r>
      <w:r>
        <w:rPr>
          <w:rFonts w:hint="eastAsia" w:ascii="宋体" w:hAnsi="宋体" w:eastAsia="宋体"/>
          <w:sz w:val="21"/>
          <w:szCs w:val="21"/>
        </w:rPr>
        <w:t>由甲方核付合同总价的百分之</w:t>
      </w:r>
      <w:r>
        <w:rPr>
          <w:rFonts w:hint="eastAsia" w:ascii="宋体" w:hAnsi="宋体" w:eastAsia="宋体"/>
          <w:sz w:val="21"/>
          <w:szCs w:val="21"/>
          <w:u w:val="single"/>
          <w:lang w:val="en-US" w:eastAsia="zh-CN"/>
        </w:rPr>
        <w:t xml:space="preserve"> 十 </w:t>
      </w:r>
      <w:r>
        <w:rPr>
          <w:rFonts w:hint="eastAsia" w:ascii="宋体" w:hAnsi="宋体" w:eastAsia="宋体"/>
          <w:sz w:val="21"/>
          <w:szCs w:val="21"/>
        </w:rPr>
        <w:t>款项：￥</w:t>
      </w:r>
      <w:r>
        <w:rPr>
          <w:rFonts w:hint="eastAsia" w:ascii="宋体" w:hAnsi="宋体" w:eastAsia="宋体"/>
          <w:sz w:val="21"/>
          <w:szCs w:val="21"/>
          <w:u w:val="single"/>
        </w:rPr>
        <w:t xml:space="preserve">     </w:t>
      </w:r>
      <w:r>
        <w:rPr>
          <w:rFonts w:hint="eastAsia" w:ascii="宋体" w:hAnsi="宋体" w:eastAsia="宋体"/>
          <w:sz w:val="21"/>
          <w:szCs w:val="21"/>
          <w:u w:val="single"/>
          <w:lang w:eastAsia="zh-CN"/>
        </w:rPr>
        <w:t>万</w:t>
      </w:r>
      <w:r>
        <w:rPr>
          <w:rFonts w:hint="eastAsia" w:ascii="宋体" w:hAnsi="宋体" w:eastAsia="宋体"/>
          <w:sz w:val="21"/>
          <w:szCs w:val="21"/>
        </w:rPr>
        <w:t>元，人民币大写</w:t>
      </w:r>
      <w:r>
        <w:rPr>
          <w:rFonts w:hint="eastAsia" w:ascii="宋体" w:hAnsi="宋体" w:eastAsia="宋体"/>
          <w:sz w:val="21"/>
          <w:szCs w:val="21"/>
          <w:u w:val="single"/>
        </w:rPr>
        <w:t xml:space="preserve">                     </w:t>
      </w:r>
      <w:r>
        <w:rPr>
          <w:rFonts w:hint="eastAsia" w:ascii="宋体" w:hAnsi="宋体" w:eastAsia="宋体"/>
          <w:sz w:val="21"/>
          <w:szCs w:val="21"/>
          <w:lang w:eastAsia="zh-CN"/>
        </w:rPr>
        <w:t>。</w:t>
      </w:r>
      <w:r>
        <w:rPr>
          <w:rFonts w:hint="eastAsia" w:ascii="宋体" w:hAnsi="宋体" w:eastAsia="宋体"/>
          <w:color w:val="auto"/>
          <w:sz w:val="21"/>
          <w:szCs w:val="21"/>
          <w:lang w:val="en-US" w:eastAsia="zh-CN"/>
        </w:rPr>
        <w:t>三年后</w:t>
      </w:r>
      <w:r>
        <w:rPr>
          <w:rFonts w:hint="eastAsia" w:ascii="宋体" w:hAnsi="宋体" w:eastAsia="宋体"/>
          <w:color w:val="auto"/>
          <w:sz w:val="21"/>
          <w:szCs w:val="21"/>
        </w:rPr>
        <w:t>，由甲方核付合同总价的百分之</w:t>
      </w:r>
      <w:r>
        <w:rPr>
          <w:rFonts w:hint="eastAsia" w:ascii="宋体" w:hAnsi="宋体" w:eastAsia="宋体"/>
          <w:color w:val="auto"/>
          <w:sz w:val="21"/>
          <w:szCs w:val="21"/>
          <w:u w:val="single"/>
          <w:lang w:val="en-US" w:eastAsia="zh-CN"/>
        </w:rPr>
        <w:t xml:space="preserve">  五 </w:t>
      </w:r>
      <w:r>
        <w:rPr>
          <w:rFonts w:hint="eastAsia" w:ascii="宋体" w:hAnsi="宋体" w:eastAsia="宋体"/>
          <w:color w:val="auto"/>
          <w:sz w:val="21"/>
          <w:szCs w:val="21"/>
        </w:rPr>
        <w:t>款项：￥</w:t>
      </w:r>
      <w:r>
        <w:rPr>
          <w:rFonts w:hint="eastAsia" w:ascii="宋体" w:hAnsi="宋体" w:eastAsia="宋体"/>
          <w:color w:val="auto"/>
          <w:sz w:val="21"/>
          <w:szCs w:val="21"/>
          <w:u w:val="single"/>
        </w:rPr>
        <w:t xml:space="preserve">     </w:t>
      </w:r>
      <w:r>
        <w:rPr>
          <w:rFonts w:hint="eastAsia" w:ascii="宋体" w:hAnsi="宋体" w:eastAsia="宋体"/>
          <w:color w:val="auto"/>
          <w:sz w:val="21"/>
          <w:szCs w:val="21"/>
          <w:u w:val="single"/>
          <w:lang w:eastAsia="zh-CN"/>
        </w:rPr>
        <w:t>万</w:t>
      </w:r>
      <w:r>
        <w:rPr>
          <w:rFonts w:hint="eastAsia" w:ascii="宋体" w:hAnsi="宋体" w:eastAsia="宋体"/>
          <w:color w:val="auto"/>
          <w:sz w:val="21"/>
          <w:szCs w:val="21"/>
        </w:rPr>
        <w:t>元，人民币大写</w:t>
      </w:r>
      <w:r>
        <w:rPr>
          <w:rFonts w:hint="eastAsia" w:ascii="宋体" w:hAnsi="宋体" w:eastAsia="宋体"/>
          <w:color w:val="auto"/>
          <w:sz w:val="21"/>
          <w:szCs w:val="21"/>
          <w:u w:val="single"/>
        </w:rPr>
        <w:t xml:space="preserve">                     </w:t>
      </w:r>
      <w:r>
        <w:rPr>
          <w:rFonts w:hint="eastAsia" w:ascii="宋体" w:hAnsi="宋体" w:eastAsia="宋体"/>
          <w:color w:val="auto"/>
          <w:sz w:val="21"/>
          <w:szCs w:val="21"/>
          <w:lang w:eastAsia="zh-CN"/>
        </w:rPr>
        <w:t>。每次付款前均需由乙方提供符合甲方要求的相关资料后，甲方再予以核付；如果乙方不按要求提供相关资料，甲方有权拒付款项。</w:t>
      </w:r>
    </w:p>
    <w:p w14:paraId="25CE8DE3">
      <w:pPr>
        <w:ind w:firstLine="422" w:firstLineChars="200"/>
        <w:rPr>
          <w:rFonts w:hint="eastAsia" w:ascii="宋体" w:hAnsi="宋体" w:eastAsia="宋体"/>
          <w:b/>
          <w:color w:val="auto"/>
          <w:sz w:val="21"/>
          <w:szCs w:val="21"/>
        </w:rPr>
      </w:pPr>
      <w:r>
        <w:rPr>
          <w:rFonts w:hint="eastAsia" w:ascii="宋体" w:hAnsi="宋体" w:eastAsia="宋体"/>
          <w:b/>
          <w:color w:val="auto"/>
          <w:sz w:val="21"/>
          <w:szCs w:val="21"/>
        </w:rPr>
        <w:t>六、售后服务</w:t>
      </w:r>
    </w:p>
    <w:p w14:paraId="00BF6AE7">
      <w:pPr>
        <w:ind w:firstLine="420" w:firstLineChars="200"/>
        <w:rPr>
          <w:rFonts w:hint="eastAsia" w:ascii="宋体" w:hAnsi="宋体" w:eastAsia="宋体"/>
          <w:color w:val="auto"/>
          <w:sz w:val="21"/>
          <w:szCs w:val="21"/>
        </w:rPr>
      </w:pPr>
      <w:r>
        <w:rPr>
          <w:rFonts w:hint="eastAsia" w:ascii="宋体" w:hAnsi="宋体" w:eastAsia="宋体"/>
          <w:color w:val="auto"/>
          <w:sz w:val="21"/>
          <w:szCs w:val="21"/>
        </w:rPr>
        <w:t>1、质保期为</w:t>
      </w:r>
      <w:r>
        <w:rPr>
          <w:rFonts w:hint="eastAsia" w:ascii="宋体" w:hAnsi="宋体" w:eastAsia="宋体"/>
          <w:color w:val="auto"/>
          <w:sz w:val="21"/>
          <w:szCs w:val="21"/>
          <w:lang w:eastAsia="zh-CN"/>
        </w:rPr>
        <w:t>甲方入库之日起</w:t>
      </w:r>
      <w:r>
        <w:rPr>
          <w:rFonts w:hint="eastAsia" w:ascii="宋体" w:hAnsi="宋体" w:eastAsia="宋体"/>
          <w:color w:val="auto"/>
          <w:sz w:val="21"/>
          <w:szCs w:val="21"/>
          <w:u w:val="single"/>
        </w:rPr>
        <w:t xml:space="preserve">        </w:t>
      </w:r>
      <w:r>
        <w:rPr>
          <w:rFonts w:hint="eastAsia" w:ascii="宋体" w:hAnsi="宋体" w:eastAsia="宋体"/>
          <w:color w:val="auto"/>
          <w:sz w:val="21"/>
          <w:szCs w:val="21"/>
        </w:rPr>
        <w:t>年，质保期内出现质量问题，乙方在接到甲方通知后 两小时内响应，十二小时内到达现场完成维修或更换，并承担修理更换的费用,维修期间提供备用机；如标的物经乙方</w:t>
      </w:r>
      <w:r>
        <w:rPr>
          <w:rFonts w:hint="eastAsia" w:ascii="宋体" w:hAnsi="宋体" w:eastAsia="宋体"/>
          <w:color w:val="auto"/>
          <w:sz w:val="21"/>
          <w:szCs w:val="21"/>
          <w:u w:val="single"/>
        </w:rPr>
        <w:t xml:space="preserve"> 两 </w:t>
      </w:r>
      <w:r>
        <w:rPr>
          <w:rFonts w:hint="eastAsia" w:ascii="宋体" w:hAnsi="宋体" w:eastAsia="宋体"/>
          <w:color w:val="auto"/>
          <w:sz w:val="21"/>
          <w:szCs w:val="21"/>
        </w:rPr>
        <w:t>次维修仍不能达到本合同约定的质量标准，甲方有权退货并追究乙方的违约责任。标的物到达甲方指定现场后因甲方保管不当造成的数量短缺或质量损害，乙方负责补齐或修复，费用由甲方负担。</w:t>
      </w:r>
    </w:p>
    <w:p w14:paraId="1FB152CC">
      <w:pPr>
        <w:ind w:firstLine="420" w:firstLineChars="200"/>
        <w:rPr>
          <w:rFonts w:hint="eastAsia" w:ascii="宋体" w:hAnsi="宋体" w:eastAsia="宋体"/>
          <w:color w:val="auto"/>
          <w:sz w:val="21"/>
          <w:szCs w:val="21"/>
        </w:rPr>
      </w:pPr>
      <w:r>
        <w:rPr>
          <w:rFonts w:hint="eastAsia" w:ascii="宋体" w:hAnsi="宋体" w:eastAsia="宋体"/>
          <w:color w:val="auto"/>
          <w:sz w:val="21"/>
          <w:szCs w:val="21"/>
        </w:rPr>
        <w:t>2、乙方须指派专人负责与甲方联系售后服务事宜。</w:t>
      </w:r>
    </w:p>
    <w:p w14:paraId="3A111393">
      <w:pPr>
        <w:ind w:firstLine="420" w:firstLineChars="200"/>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3、本合同履行过程中因乙方无法完成设备的维修与更换，导致甲方产生的额外支出由甲方从未向乙方支付的款项中扣除，甲方的额外支出超过未向乙方支付的款项时，乙方应承担额外的维修与更换费用。</w:t>
      </w:r>
    </w:p>
    <w:p w14:paraId="43458801">
      <w:pPr>
        <w:ind w:firstLine="422" w:firstLineChars="200"/>
        <w:rPr>
          <w:rFonts w:hint="eastAsia" w:ascii="宋体" w:hAnsi="宋体" w:eastAsia="宋体"/>
          <w:b/>
          <w:sz w:val="21"/>
          <w:szCs w:val="21"/>
        </w:rPr>
      </w:pPr>
      <w:r>
        <w:rPr>
          <w:rFonts w:hint="eastAsia" w:ascii="宋体" w:hAnsi="宋体" w:eastAsia="宋体"/>
          <w:b/>
          <w:sz w:val="21"/>
          <w:szCs w:val="21"/>
        </w:rPr>
        <w:t>七、违约责任</w:t>
      </w:r>
    </w:p>
    <w:p w14:paraId="6EF03825">
      <w:pPr>
        <w:ind w:firstLine="420" w:firstLineChars="200"/>
        <w:rPr>
          <w:rFonts w:hint="eastAsia" w:ascii="宋体" w:hAnsi="宋体" w:eastAsia="宋体"/>
          <w:sz w:val="21"/>
          <w:szCs w:val="21"/>
        </w:rPr>
      </w:pPr>
      <w:r>
        <w:rPr>
          <w:rFonts w:hint="eastAsia" w:ascii="宋体" w:hAnsi="宋体" w:eastAsia="宋体"/>
          <w:sz w:val="21"/>
          <w:szCs w:val="21"/>
        </w:rPr>
        <w:t>1、甲方的违约责任</w:t>
      </w:r>
    </w:p>
    <w:p w14:paraId="582AE4E6">
      <w:pPr>
        <w:ind w:firstLine="420" w:firstLineChars="200"/>
        <w:rPr>
          <w:rFonts w:hint="eastAsia" w:ascii="宋体" w:hAnsi="宋体" w:eastAsia="宋体"/>
          <w:sz w:val="21"/>
          <w:szCs w:val="21"/>
        </w:rPr>
      </w:pPr>
      <w:r>
        <w:rPr>
          <w:rFonts w:hint="eastAsia" w:ascii="宋体" w:hAnsi="宋体" w:eastAsia="宋体"/>
          <w:sz w:val="21"/>
          <w:szCs w:val="21"/>
        </w:rPr>
        <w:t>甲方无正当理由拒收标的物的，甲方应偿付合同总价的</w:t>
      </w:r>
      <w:r>
        <w:rPr>
          <w:rFonts w:hint="eastAsia" w:ascii="宋体" w:hAnsi="宋体" w:eastAsia="宋体"/>
          <w:sz w:val="21"/>
          <w:szCs w:val="21"/>
          <w:u w:val="single"/>
        </w:rPr>
        <w:t xml:space="preserve"> 百分之三 </w:t>
      </w:r>
      <w:r>
        <w:rPr>
          <w:rFonts w:hint="eastAsia" w:ascii="宋体" w:hAnsi="宋体" w:eastAsia="宋体"/>
          <w:sz w:val="21"/>
          <w:szCs w:val="21"/>
        </w:rPr>
        <w:t>的违约金；</w:t>
      </w:r>
    </w:p>
    <w:p w14:paraId="1C86877D">
      <w:pPr>
        <w:ind w:firstLine="420" w:firstLineChars="200"/>
        <w:rPr>
          <w:rFonts w:hint="eastAsia" w:ascii="宋体" w:hAnsi="宋体" w:eastAsia="宋体"/>
          <w:sz w:val="21"/>
          <w:szCs w:val="21"/>
        </w:rPr>
      </w:pPr>
      <w:r>
        <w:rPr>
          <w:rFonts w:hint="eastAsia" w:ascii="宋体" w:hAnsi="宋体" w:eastAsia="宋体"/>
          <w:sz w:val="21"/>
          <w:szCs w:val="21"/>
        </w:rPr>
        <w:t>2、乙方违约责任</w:t>
      </w:r>
    </w:p>
    <w:p w14:paraId="0F6E3216">
      <w:pPr>
        <w:ind w:firstLine="420" w:firstLineChars="200"/>
        <w:rPr>
          <w:rFonts w:hint="eastAsia" w:ascii="宋体" w:hAnsi="宋体" w:eastAsia="宋体"/>
          <w:sz w:val="21"/>
          <w:szCs w:val="21"/>
        </w:rPr>
      </w:pPr>
      <w:r>
        <w:rPr>
          <w:rFonts w:hint="eastAsia" w:ascii="宋体" w:hAnsi="宋体" w:eastAsia="宋体"/>
          <w:sz w:val="21"/>
          <w:szCs w:val="21"/>
        </w:rPr>
        <w:t>（1）乙方交付的标的物质量不符合合同约定的，乙方应向甲方支付合同总价的百分之</w:t>
      </w:r>
      <w:r>
        <w:rPr>
          <w:rFonts w:hint="eastAsia" w:ascii="宋体" w:hAnsi="宋体" w:eastAsia="宋体"/>
          <w:sz w:val="21"/>
          <w:szCs w:val="21"/>
          <w:u w:val="single"/>
        </w:rPr>
        <w:t xml:space="preserve"> 三 </w:t>
      </w:r>
      <w:r>
        <w:rPr>
          <w:rFonts w:hint="eastAsia" w:ascii="宋体" w:hAnsi="宋体" w:eastAsia="宋体"/>
          <w:sz w:val="21"/>
          <w:szCs w:val="21"/>
        </w:rPr>
        <w:t>的违约金，并须在合同约定的交货时间内更换合格的标的物给甲方，否则，视作乙方不能交付标的物而违约，按本条本款下述第“（2）”项规定由乙方支付违约赔偿金给甲方。</w:t>
      </w:r>
    </w:p>
    <w:p w14:paraId="35E013FF">
      <w:pPr>
        <w:ind w:firstLine="420" w:firstLineChars="200"/>
        <w:rPr>
          <w:rFonts w:hint="eastAsia" w:ascii="宋体" w:hAnsi="宋体" w:eastAsia="宋体"/>
          <w:sz w:val="21"/>
          <w:szCs w:val="21"/>
        </w:rPr>
      </w:pPr>
      <w:r>
        <w:rPr>
          <w:rFonts w:hint="eastAsia" w:ascii="宋体" w:hAnsi="宋体" w:eastAsia="宋体"/>
          <w:sz w:val="21"/>
          <w:szCs w:val="21"/>
        </w:rPr>
        <w:t>（2）乙方不能交付标的物或逾期交付标的物而违约的，除应及时交足标的物外，应向甲方支付逾期交货部分货款总额的万分之</w:t>
      </w:r>
      <w:r>
        <w:rPr>
          <w:rFonts w:hint="eastAsia" w:ascii="宋体" w:hAnsi="宋体" w:eastAsia="宋体"/>
          <w:sz w:val="21"/>
          <w:szCs w:val="21"/>
          <w:u w:val="single"/>
        </w:rPr>
        <w:t xml:space="preserve">五 </w:t>
      </w:r>
      <w:r>
        <w:rPr>
          <w:rFonts w:hint="eastAsia" w:ascii="宋体" w:hAnsi="宋体" w:eastAsia="宋体"/>
          <w:sz w:val="21"/>
          <w:szCs w:val="21"/>
        </w:rPr>
        <w:t>/日的违约金；逾期交货超过</w:t>
      </w:r>
      <w:r>
        <w:rPr>
          <w:rFonts w:hint="eastAsia" w:ascii="宋体" w:hAnsi="宋体" w:eastAsia="宋体"/>
          <w:sz w:val="21"/>
          <w:szCs w:val="21"/>
          <w:u w:val="single"/>
        </w:rPr>
        <w:t xml:space="preserve"> 七 </w:t>
      </w:r>
      <w:r>
        <w:rPr>
          <w:rFonts w:hint="eastAsia" w:ascii="宋体" w:hAnsi="宋体" w:eastAsia="宋体"/>
          <w:sz w:val="21"/>
          <w:szCs w:val="21"/>
        </w:rPr>
        <w:t>天，甲方有权解除合同，乙方则应按合同总价的百分之</w:t>
      </w:r>
      <w:r>
        <w:rPr>
          <w:rFonts w:hint="eastAsia" w:ascii="宋体" w:hAnsi="宋体" w:eastAsia="宋体"/>
          <w:sz w:val="21"/>
          <w:szCs w:val="21"/>
          <w:u w:val="single"/>
        </w:rPr>
        <w:t xml:space="preserve"> 三 </w:t>
      </w:r>
      <w:r>
        <w:rPr>
          <w:rFonts w:hint="eastAsia" w:ascii="宋体" w:hAnsi="宋体" w:eastAsia="宋体"/>
          <w:sz w:val="21"/>
          <w:szCs w:val="21"/>
        </w:rPr>
        <w:t>的款额向甲方支付赔偿金，并须全额退还甲方已经付给乙方的货款及自甲方付款至退款期间的利息（按同期银行贷款利率）。</w:t>
      </w:r>
    </w:p>
    <w:p w14:paraId="405258F7">
      <w:pPr>
        <w:ind w:firstLine="420" w:firstLineChars="200"/>
        <w:rPr>
          <w:rFonts w:hint="eastAsia" w:ascii="宋体" w:hAnsi="宋体" w:eastAsia="宋体"/>
          <w:sz w:val="21"/>
          <w:szCs w:val="21"/>
        </w:rPr>
      </w:pPr>
      <w:r>
        <w:rPr>
          <w:rFonts w:hint="eastAsia" w:ascii="宋体" w:hAnsi="宋体" w:eastAsia="宋体"/>
          <w:sz w:val="21"/>
          <w:szCs w:val="21"/>
        </w:rPr>
        <w:t>（3）乙方标的物经甲方送交具有法定资格条件的质量技术监督机构检测后，如检测结果认定标的物质量不符合本合同规定标准的，则视为乙方没有按时交货而违约，乙方须在</w:t>
      </w:r>
      <w:r>
        <w:rPr>
          <w:rFonts w:hint="eastAsia" w:ascii="宋体" w:hAnsi="宋体" w:eastAsia="宋体"/>
          <w:sz w:val="21"/>
          <w:szCs w:val="21"/>
          <w:u w:val="single"/>
        </w:rPr>
        <w:t xml:space="preserve"> </w:t>
      </w:r>
      <w:r>
        <w:rPr>
          <w:rFonts w:hint="eastAsia" w:ascii="宋体" w:hAnsi="宋体" w:eastAsia="宋体"/>
          <w:sz w:val="21"/>
          <w:szCs w:val="21"/>
          <w:u w:val="single"/>
          <w:lang w:eastAsia="zh-CN"/>
        </w:rPr>
        <w:t>三</w:t>
      </w:r>
      <w:r>
        <w:rPr>
          <w:rFonts w:hint="eastAsia" w:ascii="宋体" w:hAnsi="宋体" w:eastAsia="宋体"/>
          <w:sz w:val="21"/>
          <w:szCs w:val="21"/>
          <w:u w:val="single"/>
          <w:lang w:val="en-US" w:eastAsia="zh-CN"/>
        </w:rPr>
        <w:t xml:space="preserve"> </w:t>
      </w:r>
      <w:r>
        <w:rPr>
          <w:rFonts w:hint="eastAsia" w:ascii="宋体" w:hAnsi="宋体" w:eastAsia="宋体"/>
          <w:sz w:val="21"/>
          <w:szCs w:val="21"/>
          <w:u w:val="single"/>
        </w:rPr>
        <w:t xml:space="preserve"> </w:t>
      </w:r>
      <w:r>
        <w:rPr>
          <w:rFonts w:hint="eastAsia" w:ascii="宋体" w:hAnsi="宋体" w:eastAsia="宋体"/>
          <w:sz w:val="21"/>
          <w:szCs w:val="21"/>
        </w:rPr>
        <w:t>天内无条件更换合格标的物，如逾期不能更换合格的标的物，甲方有权终止本合同，乙方应另付合同总价的百分之</w:t>
      </w:r>
      <w:r>
        <w:rPr>
          <w:rFonts w:hint="eastAsia" w:ascii="宋体" w:hAnsi="宋体" w:eastAsia="宋体"/>
          <w:sz w:val="21"/>
          <w:szCs w:val="21"/>
          <w:u w:val="single"/>
        </w:rPr>
        <w:t xml:space="preserve"> 三 </w:t>
      </w:r>
      <w:r>
        <w:rPr>
          <w:rFonts w:hint="eastAsia" w:ascii="宋体" w:hAnsi="宋体" w:eastAsia="宋体"/>
          <w:sz w:val="21"/>
          <w:szCs w:val="21"/>
        </w:rPr>
        <w:t>的赔偿金给甲方。</w:t>
      </w:r>
    </w:p>
    <w:p w14:paraId="0BF78B47">
      <w:pPr>
        <w:ind w:firstLine="420" w:firstLineChars="200"/>
        <w:rPr>
          <w:rFonts w:hint="eastAsia" w:ascii="宋体" w:hAnsi="宋体" w:eastAsia="宋体"/>
          <w:sz w:val="21"/>
          <w:szCs w:val="21"/>
        </w:rPr>
      </w:pPr>
      <w:r>
        <w:rPr>
          <w:rFonts w:hint="eastAsia" w:ascii="宋体" w:hAnsi="宋体" w:eastAsia="宋体"/>
          <w:sz w:val="21"/>
          <w:szCs w:val="21"/>
        </w:rPr>
        <w:t>（4）乙方保证本合同标的物的权利无瑕疵，包括标的物所有权及知识产权等权利无瑕疵。如任何第三方经法院（或仲裁机构）裁决有权对上述标的物主张权利或国家机关依法对标的物进行没收查处的，乙方除应向甲方返还已收款项外，还应另按合同总价的百分之</w:t>
      </w:r>
      <w:r>
        <w:rPr>
          <w:rFonts w:hint="eastAsia" w:ascii="宋体" w:hAnsi="宋体" w:eastAsia="宋体"/>
          <w:sz w:val="21"/>
          <w:szCs w:val="21"/>
          <w:u w:val="single"/>
        </w:rPr>
        <w:t>五</w:t>
      </w:r>
      <w:r>
        <w:rPr>
          <w:rFonts w:hint="eastAsia" w:ascii="宋体" w:hAnsi="宋体" w:eastAsia="宋体"/>
          <w:sz w:val="21"/>
          <w:szCs w:val="21"/>
        </w:rPr>
        <w:t>向甲方支付违约金并赔偿因此给甲方造成的一切损失。</w:t>
      </w:r>
    </w:p>
    <w:p w14:paraId="3C3C4CA4">
      <w:pPr>
        <w:ind w:firstLine="420" w:firstLineChars="200"/>
        <w:rPr>
          <w:rFonts w:hint="eastAsia" w:ascii="宋体" w:hAnsi="宋体" w:eastAsia="宋体"/>
          <w:sz w:val="21"/>
          <w:szCs w:val="21"/>
        </w:rPr>
      </w:pPr>
      <w:r>
        <w:rPr>
          <w:rFonts w:hint="eastAsia" w:ascii="宋体" w:hAnsi="宋体" w:eastAsia="宋体"/>
          <w:sz w:val="21"/>
          <w:szCs w:val="21"/>
        </w:rPr>
        <w:t>（5）乙方偿付的违约金不足以弥补甲方损失的，还应按甲方损失尚未弥补的部分，支付赔偿金给甲方。</w:t>
      </w:r>
    </w:p>
    <w:p w14:paraId="78D25BC2">
      <w:pPr>
        <w:ind w:firstLine="422" w:firstLineChars="200"/>
        <w:rPr>
          <w:rFonts w:hint="eastAsia" w:ascii="宋体" w:hAnsi="宋体" w:eastAsia="宋体"/>
          <w:b/>
          <w:sz w:val="21"/>
          <w:szCs w:val="21"/>
        </w:rPr>
      </w:pPr>
      <w:r>
        <w:rPr>
          <w:rFonts w:hint="eastAsia" w:ascii="宋体" w:hAnsi="宋体" w:eastAsia="宋体"/>
          <w:b/>
          <w:sz w:val="21"/>
          <w:szCs w:val="21"/>
        </w:rPr>
        <w:t>八、争议解决方法</w:t>
      </w:r>
    </w:p>
    <w:p w14:paraId="70DE7D94">
      <w:pPr>
        <w:ind w:firstLine="420" w:firstLineChars="200"/>
        <w:rPr>
          <w:rFonts w:hint="eastAsia" w:ascii="宋体" w:hAnsi="宋体" w:eastAsia="宋体"/>
          <w:sz w:val="21"/>
          <w:szCs w:val="21"/>
        </w:rPr>
      </w:pPr>
      <w:r>
        <w:rPr>
          <w:rFonts w:hint="eastAsia" w:ascii="宋体" w:hAnsi="宋体" w:eastAsia="宋体"/>
          <w:sz w:val="21"/>
          <w:szCs w:val="21"/>
        </w:rPr>
        <w:t>1、因标的物的质量发生争议，由甲方委托法定的质量技术监督部门或监督部门指定的质量鉴定机构进行质量鉴定或检测，鉴定费由乙方承担。</w:t>
      </w:r>
    </w:p>
    <w:p w14:paraId="6FE73926">
      <w:pPr>
        <w:ind w:firstLine="420" w:firstLineChars="200"/>
        <w:rPr>
          <w:rFonts w:hint="eastAsia" w:ascii="宋体" w:hAnsi="宋体" w:eastAsia="宋体"/>
          <w:sz w:val="21"/>
          <w:szCs w:val="21"/>
        </w:rPr>
      </w:pPr>
      <w:r>
        <w:rPr>
          <w:rFonts w:hint="eastAsia" w:ascii="宋体" w:hAnsi="宋体" w:eastAsia="宋体"/>
          <w:sz w:val="21"/>
          <w:szCs w:val="21"/>
        </w:rPr>
        <w:t>2、因本合同发生争议，双方可协商或由有关部门调解解决；协商或调解不成的，应向甲方住所地有管辖权的人民法院提起诉讼。</w:t>
      </w:r>
    </w:p>
    <w:p w14:paraId="2315F47B">
      <w:pPr>
        <w:ind w:firstLine="422" w:firstLineChars="200"/>
        <w:rPr>
          <w:rFonts w:hint="eastAsia" w:ascii="宋体" w:hAnsi="宋体" w:eastAsia="宋体"/>
          <w:b/>
          <w:sz w:val="21"/>
          <w:szCs w:val="21"/>
        </w:rPr>
      </w:pPr>
      <w:r>
        <w:rPr>
          <w:rFonts w:hint="eastAsia" w:ascii="宋体" w:hAnsi="宋体" w:eastAsia="宋体"/>
          <w:b/>
          <w:sz w:val="21"/>
          <w:szCs w:val="21"/>
        </w:rPr>
        <w:t>九、其他</w:t>
      </w:r>
    </w:p>
    <w:p w14:paraId="7D99794B">
      <w:pPr>
        <w:ind w:firstLine="420" w:firstLineChars="200"/>
        <w:rPr>
          <w:rFonts w:hint="eastAsia" w:ascii="宋体" w:hAnsi="宋体" w:eastAsia="宋体"/>
          <w:sz w:val="21"/>
          <w:szCs w:val="21"/>
        </w:rPr>
      </w:pPr>
      <w:r>
        <w:rPr>
          <w:rFonts w:hint="eastAsia" w:ascii="宋体" w:hAnsi="宋体" w:eastAsia="宋体"/>
          <w:sz w:val="21"/>
          <w:szCs w:val="21"/>
        </w:rPr>
        <w:t>1、合同未尽事宜，由双方另行协商订立补充合同。</w:t>
      </w:r>
    </w:p>
    <w:p w14:paraId="3A30DD16">
      <w:pPr>
        <w:ind w:firstLine="420" w:firstLineChars="200"/>
        <w:rPr>
          <w:rFonts w:hint="eastAsia" w:ascii="宋体" w:hAnsi="宋体" w:eastAsia="宋体"/>
          <w:sz w:val="21"/>
          <w:szCs w:val="21"/>
        </w:rPr>
      </w:pPr>
      <w:r>
        <w:rPr>
          <w:rFonts w:hint="eastAsia" w:ascii="宋体" w:hAnsi="宋体" w:eastAsia="宋体"/>
          <w:sz w:val="21"/>
          <w:szCs w:val="21"/>
        </w:rPr>
        <w:t>2、本合同一式</w:t>
      </w:r>
      <w:r>
        <w:rPr>
          <w:rFonts w:hint="eastAsia" w:ascii="宋体" w:hAnsi="宋体" w:eastAsia="宋体"/>
          <w:sz w:val="21"/>
          <w:szCs w:val="21"/>
          <w:lang w:eastAsia="zh-CN"/>
        </w:rPr>
        <w:t>四</w:t>
      </w:r>
      <w:r>
        <w:rPr>
          <w:rFonts w:hint="eastAsia" w:ascii="宋体" w:hAnsi="宋体" w:eastAsia="宋体"/>
          <w:sz w:val="21"/>
          <w:szCs w:val="21"/>
        </w:rPr>
        <w:t>份，自双方签章之日起生效。甲方</w:t>
      </w:r>
      <w:r>
        <w:rPr>
          <w:rFonts w:hint="eastAsia" w:ascii="宋体" w:hAnsi="宋体" w:eastAsia="宋体"/>
          <w:sz w:val="21"/>
          <w:szCs w:val="21"/>
          <w:lang w:eastAsia="zh-CN"/>
        </w:rPr>
        <w:t>三</w:t>
      </w:r>
      <w:r>
        <w:rPr>
          <w:rFonts w:hint="eastAsia" w:ascii="宋体" w:hAnsi="宋体" w:eastAsia="宋体"/>
          <w:sz w:val="21"/>
          <w:szCs w:val="21"/>
        </w:rPr>
        <w:t>份，乙方一份。</w:t>
      </w:r>
    </w:p>
    <w:p w14:paraId="1F37D73C">
      <w:pPr>
        <w:ind w:firstLine="420" w:firstLineChars="200"/>
        <w:rPr>
          <w:rFonts w:hint="eastAsia" w:ascii="宋体" w:hAnsi="宋体" w:eastAsia="宋体"/>
          <w:b/>
          <w:bCs/>
          <w:sz w:val="21"/>
          <w:szCs w:val="21"/>
        </w:rPr>
      </w:pPr>
      <w:r>
        <w:rPr>
          <w:rFonts w:hint="eastAsia" w:ascii="宋体" w:hAnsi="宋体" w:eastAsia="宋体"/>
          <w:sz w:val="21"/>
          <w:szCs w:val="21"/>
        </w:rPr>
        <w:t>3、</w:t>
      </w:r>
      <w:r>
        <w:rPr>
          <w:rFonts w:hint="eastAsia" w:ascii="宋体" w:hAnsi="宋体" w:eastAsia="宋体"/>
          <w:b/>
          <w:bCs/>
          <w:sz w:val="21"/>
          <w:szCs w:val="21"/>
        </w:rPr>
        <w:t>附件</w:t>
      </w:r>
      <w:r>
        <w:rPr>
          <w:rFonts w:hint="eastAsia" w:ascii="宋体" w:hAnsi="宋体" w:eastAsia="宋体"/>
          <w:b/>
          <w:bCs/>
          <w:sz w:val="21"/>
          <w:szCs w:val="21"/>
          <w:lang w:val="en-US" w:eastAsia="zh-CN"/>
        </w:rPr>
        <w:t>1：</w:t>
      </w:r>
      <w:r>
        <w:rPr>
          <w:rFonts w:hint="eastAsia" w:ascii="宋体" w:hAnsi="宋体" w:eastAsia="宋体"/>
          <w:b/>
          <w:bCs/>
          <w:sz w:val="21"/>
          <w:szCs w:val="21"/>
        </w:rPr>
        <w:t>中标通知书</w:t>
      </w:r>
    </w:p>
    <w:p w14:paraId="7A0D927E">
      <w:pPr>
        <w:ind w:firstLine="422" w:firstLineChars="200"/>
        <w:rPr>
          <w:rFonts w:hint="eastAsia" w:ascii="宋体" w:hAnsi="宋体" w:eastAsia="宋体"/>
          <w:b/>
          <w:bCs/>
          <w:sz w:val="21"/>
          <w:szCs w:val="21"/>
        </w:rPr>
      </w:pPr>
      <w:r>
        <w:rPr>
          <w:rFonts w:hint="eastAsia" w:ascii="宋体" w:hAnsi="宋体" w:eastAsia="宋体"/>
          <w:b/>
          <w:bCs/>
          <w:sz w:val="21"/>
          <w:szCs w:val="21"/>
          <w:lang w:val="en-US" w:eastAsia="zh-CN"/>
        </w:rPr>
        <w:t xml:space="preserve">   附件2：</w:t>
      </w:r>
      <w:r>
        <w:rPr>
          <w:rFonts w:hint="eastAsia" w:ascii="宋体" w:hAnsi="宋体" w:eastAsia="宋体"/>
          <w:b/>
          <w:bCs/>
          <w:sz w:val="21"/>
          <w:szCs w:val="21"/>
        </w:rPr>
        <w:t>配置清单</w:t>
      </w:r>
    </w:p>
    <w:p w14:paraId="0EF95AAE">
      <w:pPr>
        <w:ind w:firstLine="422" w:firstLineChars="200"/>
        <w:rPr>
          <w:rFonts w:hint="eastAsia" w:ascii="宋体" w:hAnsi="宋体" w:eastAsia="宋体"/>
          <w:b/>
          <w:bCs/>
          <w:sz w:val="21"/>
          <w:szCs w:val="21"/>
          <w:lang w:eastAsia="zh-CN"/>
        </w:rPr>
      </w:pPr>
      <w:r>
        <w:rPr>
          <w:rFonts w:hint="eastAsia" w:ascii="宋体" w:hAnsi="宋体" w:eastAsia="宋体"/>
          <w:b/>
          <w:bCs/>
          <w:sz w:val="21"/>
          <w:szCs w:val="21"/>
          <w:lang w:val="en-US" w:eastAsia="zh-CN"/>
        </w:rPr>
        <w:t xml:space="preserve">   附件3：</w:t>
      </w:r>
      <w:r>
        <w:rPr>
          <w:rFonts w:hint="eastAsia" w:ascii="宋体" w:hAnsi="宋体" w:eastAsia="宋体"/>
          <w:b/>
          <w:bCs/>
          <w:sz w:val="21"/>
          <w:szCs w:val="21"/>
          <w:lang w:eastAsia="zh-CN"/>
        </w:rPr>
        <w:t>售后服务承诺书</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83EE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261" w:type="dxa"/>
            <w:tcBorders>
              <w:top w:val="nil"/>
              <w:left w:val="nil"/>
              <w:bottom w:val="nil"/>
              <w:right w:val="nil"/>
            </w:tcBorders>
            <w:noWrap w:val="0"/>
            <w:vAlign w:val="top"/>
          </w:tcPr>
          <w:p w14:paraId="018A32C1">
            <w:pPr>
              <w:jc w:val="left"/>
              <w:rPr>
                <w:rFonts w:hint="eastAsia" w:ascii="宋体" w:hAnsi="宋体" w:eastAsia="宋体"/>
                <w:b/>
                <w:bCs/>
                <w:sz w:val="21"/>
                <w:szCs w:val="21"/>
                <w:vertAlign w:val="baseline"/>
                <w:lang w:eastAsia="zh-CN"/>
              </w:rPr>
            </w:pPr>
            <w:r>
              <w:rPr>
                <w:rFonts w:hint="eastAsia" w:ascii="宋体" w:hAnsi="宋体" w:eastAsia="宋体"/>
                <w:sz w:val="21"/>
                <w:szCs w:val="21"/>
              </w:rPr>
              <w:t>甲    方：（盖章）</w:t>
            </w:r>
          </w:p>
        </w:tc>
        <w:tc>
          <w:tcPr>
            <w:tcW w:w="4261" w:type="dxa"/>
            <w:tcBorders>
              <w:top w:val="nil"/>
              <w:left w:val="nil"/>
              <w:bottom w:val="nil"/>
              <w:right w:val="nil"/>
            </w:tcBorders>
            <w:noWrap w:val="0"/>
            <w:vAlign w:val="top"/>
          </w:tcPr>
          <w:p w14:paraId="532A4B5D">
            <w:pPr>
              <w:jc w:val="left"/>
              <w:rPr>
                <w:rFonts w:hint="eastAsia" w:ascii="宋体" w:hAnsi="宋体" w:eastAsia="宋体"/>
                <w:sz w:val="21"/>
                <w:szCs w:val="21"/>
              </w:rPr>
            </w:pPr>
            <w:r>
              <w:rPr>
                <w:rFonts w:hint="eastAsia" w:ascii="宋体" w:hAnsi="宋体" w:eastAsia="宋体"/>
                <w:sz w:val="21"/>
                <w:szCs w:val="21"/>
              </w:rPr>
              <w:t>乙    方：（盖章）</w:t>
            </w:r>
          </w:p>
          <w:p w14:paraId="0BBF5617">
            <w:pPr>
              <w:jc w:val="left"/>
              <w:rPr>
                <w:rFonts w:hint="eastAsia" w:ascii="宋体" w:hAnsi="宋体" w:eastAsia="宋体"/>
                <w:b/>
                <w:bCs/>
                <w:sz w:val="21"/>
                <w:szCs w:val="21"/>
                <w:vertAlign w:val="baseline"/>
                <w:lang w:eastAsia="zh-CN"/>
              </w:rPr>
            </w:pPr>
          </w:p>
        </w:tc>
      </w:tr>
      <w:tr w14:paraId="6501C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exact"/>
          <w:jc w:val="center"/>
        </w:trPr>
        <w:tc>
          <w:tcPr>
            <w:tcW w:w="4261" w:type="dxa"/>
            <w:tcBorders>
              <w:top w:val="nil"/>
              <w:left w:val="nil"/>
              <w:bottom w:val="nil"/>
              <w:right w:val="nil"/>
            </w:tcBorders>
            <w:noWrap w:val="0"/>
            <w:vAlign w:val="center"/>
          </w:tcPr>
          <w:p w14:paraId="646FC1D3">
            <w:pPr>
              <w:jc w:val="both"/>
              <w:rPr>
                <w:rFonts w:hint="default" w:ascii="宋体" w:hAnsi="宋体" w:eastAsia="宋体"/>
                <w:b/>
                <w:bCs/>
                <w:sz w:val="21"/>
                <w:szCs w:val="21"/>
                <w:vertAlign w:val="baseline"/>
                <w:lang w:val="en-US" w:eastAsia="zh-CN"/>
              </w:rPr>
            </w:pPr>
            <w:r>
              <w:rPr>
                <w:rFonts w:hint="eastAsia" w:ascii="宋体" w:hAnsi="宋体" w:eastAsia="宋体"/>
                <w:sz w:val="21"/>
                <w:szCs w:val="21"/>
              </w:rPr>
              <w:t>授权代表：</w:t>
            </w:r>
            <w:r>
              <w:rPr>
                <w:rFonts w:hint="eastAsia" w:ascii="宋体" w:hAnsi="宋体" w:eastAsia="宋体"/>
                <w:sz w:val="21"/>
                <w:szCs w:val="21"/>
                <w:lang w:val="en-US" w:eastAsia="zh-CN"/>
              </w:rPr>
              <w:t xml:space="preserve">         </w:t>
            </w:r>
          </w:p>
        </w:tc>
        <w:tc>
          <w:tcPr>
            <w:tcW w:w="4261" w:type="dxa"/>
            <w:tcBorders>
              <w:top w:val="nil"/>
              <w:left w:val="nil"/>
              <w:bottom w:val="nil"/>
              <w:right w:val="nil"/>
            </w:tcBorders>
            <w:noWrap w:val="0"/>
            <w:vAlign w:val="top"/>
          </w:tcPr>
          <w:p w14:paraId="6CB3B8E8">
            <w:pPr>
              <w:jc w:val="left"/>
              <w:rPr>
                <w:rFonts w:hint="eastAsia" w:ascii="宋体" w:hAnsi="宋体" w:eastAsia="宋体"/>
                <w:b/>
                <w:bCs/>
                <w:sz w:val="21"/>
                <w:szCs w:val="21"/>
                <w:vertAlign w:val="baseline"/>
                <w:lang w:eastAsia="zh-CN"/>
              </w:rPr>
            </w:pPr>
            <w:r>
              <w:rPr>
                <w:rFonts w:hint="eastAsia" w:ascii="宋体" w:hAnsi="宋体" w:eastAsia="宋体"/>
                <w:sz w:val="21"/>
                <w:szCs w:val="21"/>
              </w:rPr>
              <w:t>法定代表人：</w:t>
            </w:r>
          </w:p>
        </w:tc>
      </w:tr>
      <w:tr w14:paraId="52B8D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exact"/>
          <w:jc w:val="center"/>
        </w:trPr>
        <w:tc>
          <w:tcPr>
            <w:tcW w:w="4261" w:type="dxa"/>
            <w:tcBorders>
              <w:top w:val="nil"/>
              <w:left w:val="nil"/>
              <w:bottom w:val="nil"/>
              <w:right w:val="nil"/>
            </w:tcBorders>
            <w:noWrap w:val="0"/>
            <w:vAlign w:val="top"/>
          </w:tcPr>
          <w:p w14:paraId="09781775">
            <w:pPr>
              <w:jc w:val="left"/>
              <w:rPr>
                <w:rFonts w:hint="eastAsia" w:ascii="宋体" w:hAnsi="宋体" w:eastAsia="宋体"/>
                <w:b/>
                <w:bCs/>
                <w:sz w:val="21"/>
                <w:szCs w:val="21"/>
                <w:vertAlign w:val="baseline"/>
                <w:lang w:eastAsia="zh-CN"/>
              </w:rPr>
            </w:pPr>
          </w:p>
        </w:tc>
        <w:tc>
          <w:tcPr>
            <w:tcW w:w="4261" w:type="dxa"/>
            <w:tcBorders>
              <w:top w:val="nil"/>
              <w:left w:val="nil"/>
              <w:bottom w:val="nil"/>
              <w:right w:val="nil"/>
            </w:tcBorders>
            <w:noWrap w:val="0"/>
            <w:vAlign w:val="top"/>
          </w:tcPr>
          <w:p w14:paraId="68F20CF1">
            <w:pPr>
              <w:jc w:val="left"/>
              <w:rPr>
                <w:rFonts w:hint="eastAsia" w:ascii="宋体" w:hAnsi="宋体" w:eastAsia="宋体"/>
                <w:b/>
                <w:bCs/>
                <w:sz w:val="21"/>
                <w:szCs w:val="21"/>
                <w:vertAlign w:val="baseline"/>
                <w:lang w:eastAsia="zh-CN"/>
              </w:rPr>
            </w:pPr>
            <w:r>
              <w:rPr>
                <w:rFonts w:hint="eastAsia" w:ascii="宋体" w:hAnsi="宋体" w:eastAsia="宋体"/>
                <w:sz w:val="21"/>
                <w:szCs w:val="21"/>
              </w:rPr>
              <w:t>授权代表</w:t>
            </w:r>
            <w:r>
              <w:rPr>
                <w:rFonts w:hint="eastAsia" w:ascii="宋体" w:hAnsi="宋体" w:eastAsia="宋体"/>
                <w:sz w:val="21"/>
                <w:szCs w:val="21"/>
                <w:lang w:eastAsia="zh-CN"/>
              </w:rPr>
              <w:t>人：</w:t>
            </w:r>
          </w:p>
        </w:tc>
      </w:tr>
      <w:tr w14:paraId="6A265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261" w:type="dxa"/>
            <w:tcBorders>
              <w:top w:val="nil"/>
              <w:left w:val="nil"/>
              <w:bottom w:val="nil"/>
              <w:right w:val="nil"/>
            </w:tcBorders>
            <w:noWrap w:val="0"/>
            <w:vAlign w:val="top"/>
          </w:tcPr>
          <w:p w14:paraId="1D9D9A59">
            <w:pPr>
              <w:jc w:val="left"/>
              <w:rPr>
                <w:rFonts w:hint="eastAsia" w:ascii="宋体" w:hAnsi="宋体" w:eastAsia="宋体"/>
                <w:b/>
                <w:bCs/>
                <w:sz w:val="21"/>
                <w:szCs w:val="21"/>
                <w:vertAlign w:val="baseline"/>
                <w:lang w:eastAsia="zh-CN"/>
              </w:rPr>
            </w:pPr>
          </w:p>
        </w:tc>
        <w:tc>
          <w:tcPr>
            <w:tcW w:w="4261" w:type="dxa"/>
            <w:tcBorders>
              <w:top w:val="nil"/>
              <w:left w:val="nil"/>
              <w:bottom w:val="nil"/>
              <w:right w:val="nil"/>
            </w:tcBorders>
            <w:noWrap w:val="0"/>
            <w:vAlign w:val="top"/>
          </w:tcPr>
          <w:p w14:paraId="4EA2B6FF">
            <w:pPr>
              <w:jc w:val="left"/>
              <w:rPr>
                <w:rFonts w:hint="eastAsia" w:ascii="宋体" w:hAnsi="宋体" w:eastAsia="宋体"/>
                <w:b/>
                <w:bCs/>
                <w:color w:val="auto"/>
                <w:sz w:val="21"/>
                <w:szCs w:val="21"/>
                <w:vertAlign w:val="baseline"/>
                <w:lang w:eastAsia="zh-CN"/>
              </w:rPr>
            </w:pPr>
            <w:r>
              <w:rPr>
                <w:rFonts w:hint="eastAsia" w:ascii="宋体" w:hAnsi="宋体" w:eastAsia="宋体"/>
                <w:color w:val="auto"/>
                <w:sz w:val="21"/>
                <w:szCs w:val="21"/>
                <w:lang w:val="en-US" w:eastAsia="zh-CN"/>
              </w:rPr>
              <w:t>纳税人识别号：此项必填</w:t>
            </w:r>
          </w:p>
        </w:tc>
      </w:tr>
      <w:tr w14:paraId="7F14F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261" w:type="dxa"/>
            <w:tcBorders>
              <w:top w:val="nil"/>
              <w:left w:val="nil"/>
              <w:bottom w:val="nil"/>
              <w:right w:val="nil"/>
            </w:tcBorders>
            <w:noWrap w:val="0"/>
            <w:vAlign w:val="top"/>
          </w:tcPr>
          <w:p w14:paraId="0910F7A2">
            <w:pPr>
              <w:jc w:val="left"/>
              <w:rPr>
                <w:rFonts w:hint="eastAsia" w:ascii="宋体" w:hAnsi="宋体" w:eastAsia="宋体"/>
                <w:b/>
                <w:bCs/>
                <w:sz w:val="21"/>
                <w:szCs w:val="21"/>
                <w:vertAlign w:val="baseline"/>
                <w:lang w:eastAsia="zh-CN"/>
              </w:rPr>
            </w:pPr>
            <w:r>
              <w:rPr>
                <w:rFonts w:hint="eastAsia" w:ascii="宋体" w:hAnsi="宋体" w:eastAsia="宋体"/>
                <w:sz w:val="21"/>
                <w:szCs w:val="21"/>
              </w:rPr>
              <w:t>地    址：</w:t>
            </w:r>
          </w:p>
        </w:tc>
        <w:tc>
          <w:tcPr>
            <w:tcW w:w="4261" w:type="dxa"/>
            <w:tcBorders>
              <w:top w:val="nil"/>
              <w:left w:val="nil"/>
              <w:bottom w:val="nil"/>
              <w:right w:val="nil"/>
            </w:tcBorders>
            <w:noWrap w:val="0"/>
            <w:vAlign w:val="top"/>
          </w:tcPr>
          <w:p w14:paraId="6339CAAC">
            <w:pPr>
              <w:jc w:val="left"/>
              <w:rPr>
                <w:rFonts w:hint="eastAsia" w:ascii="宋体" w:hAnsi="宋体" w:eastAsia="宋体"/>
                <w:b/>
                <w:bCs/>
                <w:color w:val="auto"/>
                <w:sz w:val="21"/>
                <w:szCs w:val="21"/>
                <w:vertAlign w:val="baseline"/>
                <w:lang w:eastAsia="zh-CN"/>
              </w:rPr>
            </w:pPr>
            <w:r>
              <w:rPr>
                <w:rFonts w:hint="eastAsia" w:ascii="宋体" w:hAnsi="宋体" w:eastAsia="宋体"/>
                <w:color w:val="auto"/>
                <w:sz w:val="21"/>
                <w:szCs w:val="21"/>
              </w:rPr>
              <w:t>地    址：</w:t>
            </w:r>
          </w:p>
        </w:tc>
      </w:tr>
      <w:tr w14:paraId="699F9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261" w:type="dxa"/>
            <w:tcBorders>
              <w:top w:val="nil"/>
              <w:left w:val="nil"/>
              <w:bottom w:val="nil"/>
              <w:right w:val="nil"/>
            </w:tcBorders>
            <w:noWrap w:val="0"/>
            <w:vAlign w:val="top"/>
          </w:tcPr>
          <w:p w14:paraId="14DBA29D">
            <w:pPr>
              <w:jc w:val="left"/>
              <w:rPr>
                <w:rFonts w:hint="eastAsia" w:ascii="宋体" w:hAnsi="宋体" w:eastAsia="宋体"/>
                <w:b/>
                <w:bCs/>
                <w:sz w:val="21"/>
                <w:szCs w:val="21"/>
                <w:vertAlign w:val="baseline"/>
                <w:lang w:eastAsia="zh-CN"/>
              </w:rPr>
            </w:pPr>
            <w:r>
              <w:rPr>
                <w:rFonts w:hint="eastAsia" w:ascii="宋体" w:hAnsi="宋体" w:eastAsia="宋体"/>
                <w:sz w:val="21"/>
                <w:szCs w:val="21"/>
              </w:rPr>
              <w:t>开户银行：</w:t>
            </w:r>
          </w:p>
        </w:tc>
        <w:tc>
          <w:tcPr>
            <w:tcW w:w="4261" w:type="dxa"/>
            <w:tcBorders>
              <w:top w:val="nil"/>
              <w:left w:val="nil"/>
              <w:bottom w:val="nil"/>
              <w:right w:val="nil"/>
            </w:tcBorders>
            <w:noWrap w:val="0"/>
            <w:vAlign w:val="top"/>
          </w:tcPr>
          <w:p w14:paraId="5F2C9B7D">
            <w:pPr>
              <w:jc w:val="left"/>
              <w:rPr>
                <w:rFonts w:hint="eastAsia" w:ascii="宋体" w:hAnsi="宋体" w:eastAsia="宋体"/>
                <w:b/>
                <w:bCs/>
                <w:color w:val="auto"/>
                <w:sz w:val="21"/>
                <w:szCs w:val="21"/>
                <w:vertAlign w:val="baseline"/>
                <w:lang w:eastAsia="zh-CN"/>
              </w:rPr>
            </w:pPr>
            <w:r>
              <w:rPr>
                <w:rFonts w:hint="eastAsia" w:ascii="宋体" w:hAnsi="宋体" w:eastAsia="宋体"/>
                <w:color w:val="auto"/>
                <w:sz w:val="21"/>
                <w:szCs w:val="21"/>
              </w:rPr>
              <w:t xml:space="preserve">开户银行： </w:t>
            </w:r>
          </w:p>
        </w:tc>
      </w:tr>
      <w:tr w14:paraId="18AC1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261" w:type="dxa"/>
            <w:tcBorders>
              <w:top w:val="nil"/>
              <w:left w:val="nil"/>
              <w:bottom w:val="nil"/>
              <w:right w:val="nil"/>
            </w:tcBorders>
            <w:noWrap w:val="0"/>
            <w:vAlign w:val="top"/>
          </w:tcPr>
          <w:p w14:paraId="1AEABF46">
            <w:pPr>
              <w:jc w:val="left"/>
              <w:rPr>
                <w:rFonts w:hint="eastAsia" w:ascii="宋体" w:hAnsi="宋体" w:eastAsia="宋体"/>
                <w:b/>
                <w:bCs/>
                <w:sz w:val="21"/>
                <w:szCs w:val="21"/>
                <w:vertAlign w:val="baseline"/>
                <w:lang w:eastAsia="zh-CN"/>
              </w:rPr>
            </w:pPr>
            <w:r>
              <w:rPr>
                <w:rFonts w:hint="eastAsia" w:ascii="宋体" w:hAnsi="宋体" w:eastAsia="宋体"/>
                <w:sz w:val="21"/>
                <w:szCs w:val="21"/>
              </w:rPr>
              <w:t>账    号：</w:t>
            </w:r>
          </w:p>
        </w:tc>
        <w:tc>
          <w:tcPr>
            <w:tcW w:w="4261" w:type="dxa"/>
            <w:tcBorders>
              <w:top w:val="nil"/>
              <w:left w:val="nil"/>
              <w:bottom w:val="nil"/>
              <w:right w:val="nil"/>
            </w:tcBorders>
            <w:noWrap w:val="0"/>
            <w:vAlign w:val="top"/>
          </w:tcPr>
          <w:p w14:paraId="15F5D108">
            <w:pPr>
              <w:jc w:val="left"/>
              <w:rPr>
                <w:rFonts w:hint="eastAsia" w:ascii="宋体" w:hAnsi="宋体" w:eastAsia="宋体"/>
                <w:b/>
                <w:bCs/>
                <w:color w:val="auto"/>
                <w:sz w:val="21"/>
                <w:szCs w:val="21"/>
                <w:vertAlign w:val="baseline"/>
                <w:lang w:eastAsia="zh-CN"/>
              </w:rPr>
            </w:pPr>
            <w:r>
              <w:rPr>
                <w:rFonts w:hint="eastAsia" w:ascii="宋体" w:hAnsi="宋体" w:eastAsia="宋体"/>
                <w:color w:val="auto"/>
                <w:sz w:val="21"/>
                <w:szCs w:val="21"/>
              </w:rPr>
              <w:t>账    号：</w:t>
            </w:r>
          </w:p>
        </w:tc>
      </w:tr>
      <w:tr w14:paraId="568AF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261" w:type="dxa"/>
            <w:tcBorders>
              <w:top w:val="nil"/>
              <w:left w:val="nil"/>
              <w:bottom w:val="nil"/>
              <w:right w:val="nil"/>
            </w:tcBorders>
            <w:noWrap w:val="0"/>
            <w:vAlign w:val="top"/>
          </w:tcPr>
          <w:p w14:paraId="6928C820">
            <w:pPr>
              <w:jc w:val="left"/>
              <w:rPr>
                <w:rFonts w:hint="eastAsia" w:ascii="宋体" w:hAnsi="宋体" w:eastAsia="宋体"/>
                <w:b/>
                <w:bCs/>
                <w:sz w:val="21"/>
                <w:szCs w:val="21"/>
                <w:vertAlign w:val="baseline"/>
                <w:lang w:eastAsia="zh-CN"/>
              </w:rPr>
            </w:pPr>
            <w:r>
              <w:rPr>
                <w:rFonts w:hint="eastAsia" w:ascii="宋体" w:hAnsi="宋体" w:eastAsia="宋体"/>
                <w:sz w:val="21"/>
                <w:szCs w:val="21"/>
              </w:rPr>
              <w:t>电    话：</w:t>
            </w:r>
          </w:p>
        </w:tc>
        <w:tc>
          <w:tcPr>
            <w:tcW w:w="4261" w:type="dxa"/>
            <w:tcBorders>
              <w:top w:val="nil"/>
              <w:left w:val="nil"/>
              <w:bottom w:val="nil"/>
              <w:right w:val="nil"/>
            </w:tcBorders>
            <w:noWrap w:val="0"/>
            <w:vAlign w:val="top"/>
          </w:tcPr>
          <w:p w14:paraId="1A32DAB4">
            <w:pPr>
              <w:jc w:val="left"/>
              <w:rPr>
                <w:rFonts w:hint="eastAsia" w:ascii="宋体" w:hAnsi="宋体" w:eastAsia="宋体"/>
                <w:b/>
                <w:bCs/>
                <w:color w:val="auto"/>
                <w:sz w:val="21"/>
                <w:szCs w:val="21"/>
                <w:vertAlign w:val="baseline"/>
                <w:lang w:eastAsia="zh-CN"/>
              </w:rPr>
            </w:pPr>
            <w:r>
              <w:rPr>
                <w:rFonts w:hint="eastAsia" w:ascii="宋体" w:hAnsi="宋体" w:eastAsia="宋体"/>
                <w:color w:val="auto"/>
                <w:sz w:val="21"/>
                <w:szCs w:val="21"/>
              </w:rPr>
              <w:t>电    话：</w:t>
            </w:r>
            <w:r>
              <w:rPr>
                <w:rFonts w:hint="eastAsia" w:ascii="宋体" w:hAnsi="宋体" w:eastAsia="宋体"/>
                <w:color w:val="auto"/>
                <w:sz w:val="21"/>
                <w:szCs w:val="21"/>
                <w:lang w:val="en-US" w:eastAsia="zh-CN"/>
              </w:rPr>
              <w:t>此项必填</w:t>
            </w:r>
          </w:p>
        </w:tc>
      </w:tr>
    </w:tbl>
    <w:p w14:paraId="5593FB62">
      <w:pPr>
        <w:rPr>
          <w:rFonts w:hint="default" w:ascii="宋体" w:hAnsi="宋体" w:eastAsia="宋体"/>
          <w:b/>
          <w:bCs/>
          <w:sz w:val="21"/>
          <w:szCs w:val="21"/>
          <w:lang w:val="en-US" w:eastAsia="zh-CN"/>
        </w:rPr>
      </w:pPr>
    </w:p>
    <w:p w14:paraId="0D28759A">
      <w:pPr>
        <w:jc w:val="left"/>
        <w:rPr>
          <w:rFonts w:hint="eastAsia" w:ascii="宋体" w:hAnsi="宋体" w:eastAsia="宋体"/>
          <w:sz w:val="21"/>
          <w:szCs w:val="21"/>
        </w:rPr>
      </w:pPr>
      <w:r>
        <w:rPr>
          <w:rFonts w:hint="eastAsia" w:ascii="宋体" w:hAnsi="宋体" w:eastAsia="宋体"/>
          <w:sz w:val="21"/>
          <w:szCs w:val="21"/>
        </w:rPr>
        <w:t xml:space="preserve">签约日期：      年     月     日          </w:t>
      </w:r>
    </w:p>
    <w:p w14:paraId="0CF2816E">
      <w:pPr>
        <w:jc w:val="left"/>
        <w:rPr>
          <w:rFonts w:ascii="宋体" w:hAnsi="宋体" w:eastAsia="宋体"/>
          <w:sz w:val="21"/>
          <w:szCs w:val="21"/>
        </w:rPr>
      </w:pPr>
    </w:p>
    <w:p w14:paraId="1F18C571">
      <w:pPr>
        <w:jc w:val="left"/>
        <w:rPr>
          <w:rFonts w:hint="eastAsia" w:ascii="仿宋" w:hAnsi="仿宋" w:eastAsia="仿宋" w:cs="仿宋"/>
          <w:spacing w:val="-4"/>
          <w:kern w:val="0"/>
        </w:rPr>
      </w:pPr>
      <w:r>
        <w:rPr>
          <w:rFonts w:hint="eastAsia" w:ascii="宋体" w:hAnsi="宋体" w:eastAsia="宋体" w:cs="Times New Roman"/>
          <w:sz w:val="21"/>
          <w:szCs w:val="21"/>
          <w:lang w:val="en-US" w:eastAsia="zh-CN"/>
        </w:rPr>
        <w:t>医学装备部合同审核人：</w:t>
      </w:r>
      <w:r>
        <w:rPr>
          <w:rFonts w:hint="eastAsia" w:ascii="仿宋" w:hAnsi="仿宋" w:eastAsia="仿宋" w:cs="仿宋"/>
          <w:spacing w:val="-4"/>
          <w:kern w:val="0"/>
        </w:rPr>
        <w:t xml:space="preserve"> </w:t>
      </w:r>
      <w:r>
        <w:rPr>
          <w:rFonts w:hint="eastAsia" w:ascii="宋体" w:hAnsi="宋体" w:eastAsia="宋体"/>
          <w:sz w:val="21"/>
          <w:szCs w:val="21"/>
        </w:rPr>
        <w:t xml:space="preserve">             </w:t>
      </w:r>
      <w:r>
        <w:rPr>
          <w:rFonts w:hint="eastAsia" w:ascii="宋体" w:hAnsi="宋体" w:eastAsia="宋体"/>
          <w:sz w:val="21"/>
          <w:szCs w:val="21"/>
          <w:lang w:val="en-US" w:eastAsia="zh-CN"/>
        </w:rPr>
        <w:t xml:space="preserve">    </w:t>
      </w:r>
    </w:p>
    <w:p w14:paraId="16246FDB">
      <w:pPr>
        <w:spacing w:line="600" w:lineRule="exact"/>
        <w:jc w:val="center"/>
        <w:rPr>
          <w:rFonts w:hint="eastAsia" w:ascii="方正小标宋简体" w:eastAsia="方正小标宋简体"/>
          <w:bCs/>
          <w:sz w:val="44"/>
          <w:szCs w:val="44"/>
        </w:rPr>
        <w:sectPr>
          <w:pgSz w:w="11906" w:h="16838"/>
          <w:pgMar w:top="1417" w:right="1474" w:bottom="1417" w:left="1474" w:header="851" w:footer="624" w:gutter="0"/>
          <w:pgNumType w:fmt="decimal"/>
          <w:cols w:space="720" w:num="1"/>
          <w:docGrid w:type="lines" w:linePitch="319" w:charSpace="0"/>
        </w:sectPr>
      </w:pPr>
    </w:p>
    <w:p w14:paraId="353281FE">
      <w:pPr>
        <w:spacing w:line="600" w:lineRule="exact"/>
        <w:jc w:val="center"/>
        <w:rPr>
          <w:rFonts w:ascii="方正小标宋简体" w:eastAsia="方正小标宋简体"/>
          <w:bCs/>
          <w:sz w:val="44"/>
          <w:szCs w:val="44"/>
        </w:rPr>
      </w:pPr>
      <w:r>
        <w:rPr>
          <w:rFonts w:hint="eastAsia" w:ascii="方正小标宋简体" w:eastAsia="方正小标宋简体"/>
          <w:bCs/>
          <w:sz w:val="44"/>
          <w:szCs w:val="44"/>
        </w:rPr>
        <w:t>安全生产承诺书</w:t>
      </w:r>
    </w:p>
    <w:p w14:paraId="0F25144E">
      <w:pPr>
        <w:spacing w:line="240" w:lineRule="auto"/>
        <w:rPr>
          <w:rFonts w:hint="eastAsia" w:ascii="宋体" w:hAnsi="宋体" w:eastAsia="宋体" w:cs="宋体"/>
          <w:sz w:val="21"/>
          <w:szCs w:val="21"/>
        </w:rPr>
      </w:pPr>
      <w:r>
        <w:rPr>
          <w:rFonts w:hint="eastAsia" w:ascii="宋体" w:hAnsi="宋体" w:eastAsia="宋体" w:cs="宋体"/>
          <w:sz w:val="21"/>
          <w:szCs w:val="21"/>
        </w:rPr>
        <w:t>致驻马店市中心医院：</w:t>
      </w:r>
    </w:p>
    <w:p w14:paraId="3E8D8D84">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为切实做好安全生产和消防工作，防止和减少各类安全事故发生，维护良好的劳动关系，依据《中华人民共和国安全生产法》等相关法律法规，在与贵院签订原生产、施工、外包、外租、经营合同的基础上，我单位郑重作出如下安全生产承诺：</w:t>
      </w:r>
    </w:p>
    <w:p w14:paraId="01E6BA43">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一、遵守法规制度</w:t>
      </w:r>
    </w:p>
    <w:p w14:paraId="0EAA1E80">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严格遵守国家有关安全生产的法律、法规、安全标准以及贵院的安全管理制度和操作规范，杜绝违规指挥、操作和违反劳动纪律的行为。</w:t>
      </w:r>
    </w:p>
    <w:p w14:paraId="62410892">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结合自身实际，制定并切实实施各项安全管理制度和操作规程，同时将相关制度和规程报贵院备案。积极接受贵院的监督检查，对检查中发现的安全隐患，立即举一反三，主动整改到位。</w:t>
      </w:r>
    </w:p>
    <w:p w14:paraId="31488AA6">
      <w:pPr>
        <w:numPr>
          <w:ilvl w:val="0"/>
          <w:numId w:val="2"/>
        </w:num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人员安全管理</w:t>
      </w:r>
    </w:p>
    <w:p w14:paraId="2A1750FF">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向现场作业人员如实告知作业场所和工作岗位存在的危险危害因素、防范措施以及事故应急措施。</w:t>
      </w:r>
    </w:p>
    <w:p w14:paraId="23AD885C">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确保作业人员正确使用贵院提供的设施、设备、工具等，并定期进行检查，坚决杜绝使用存在安全隐患的设施、设备、工具。</w:t>
      </w:r>
    </w:p>
    <w:p w14:paraId="2F87CF35">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做好预防职业危害的防范措施，为现场作业人员配备符合国家标准的劳动保护用品，并监督、教育作业人员正确使用和佩戴。</w:t>
      </w:r>
    </w:p>
    <w:p w14:paraId="6693DEE5">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配备具有资质的安全生产管理人员，强化现场安全管理。严禁强令人员冒险作业和疲劳作业，杜绝违章指挥行为。每周至少进行一次安全隐患排查整治，在施工作业前、节假日、重大活动等关键节点，也开展相应排查，并及时告知贵院联合整改。</w:t>
      </w:r>
    </w:p>
    <w:p w14:paraId="6053155A">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对作业人员进行全面的安全生产教育和培训，保证未经安全生产教育和培训合格的作业人员不安排上岗作业。特种作业人员必须持证上岗，并将相关证件报贵院备案。</w:t>
      </w:r>
    </w:p>
    <w:p w14:paraId="688C6969">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向贵院报备公司营业执照、所有作业人员花名册、特种作业人员资格证。若中途人员有变动，及时向贵院报告备案。</w:t>
      </w:r>
    </w:p>
    <w:p w14:paraId="2EF49326">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派遣人员入场前安排进行体检，体检合格后将结果报贵院备案。同时，确保派遣人员全部参加工伤保险，并向贵院提供相应证明文件。</w:t>
      </w:r>
    </w:p>
    <w:p w14:paraId="0B4BBEE4">
      <w:pPr>
        <w:spacing w:line="240" w:lineRule="auto"/>
        <w:rPr>
          <w:rFonts w:hint="eastAsia" w:ascii="宋体" w:hAnsi="宋体" w:eastAsia="宋体" w:cs="宋体"/>
          <w:sz w:val="21"/>
          <w:szCs w:val="21"/>
        </w:rPr>
      </w:pPr>
      <w:r>
        <w:rPr>
          <w:rFonts w:hint="eastAsia" w:ascii="宋体" w:hAnsi="宋体" w:eastAsia="宋体" w:cs="宋体"/>
          <w:sz w:val="21"/>
          <w:szCs w:val="21"/>
        </w:rPr>
        <w:t xml:space="preserve">   三、设施设备管理</w:t>
      </w:r>
    </w:p>
    <w:p w14:paraId="716E0DA8">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自行配备的设施、设备、工具等严格符合国家安全标准。</w:t>
      </w:r>
    </w:p>
    <w:p w14:paraId="1AE4AAC4">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在有危险危害因素的作业区域和有关设施、设备上，设置明显的安全警示标志。</w:t>
      </w:r>
    </w:p>
    <w:p w14:paraId="0510B52C">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对设施设备进行定期维护保养和检测，确保其始终处于良好运行状态，杜绝设备带病作业。</w:t>
      </w:r>
    </w:p>
    <w:p w14:paraId="51C128C3">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四、环境与作业管理</w:t>
      </w:r>
    </w:p>
    <w:p w14:paraId="02337F0B">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按照贵院要求保持作业区域的环境卫生，做到现场环境整洁，符合安全、文明生产要求，及时设置明显的警示标识，防止人员绊倒、滑倒、砸伤等事故的发生。</w:t>
      </w:r>
    </w:p>
    <w:p w14:paraId="27ADEECC">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涉及动火、高处、有限空间等危险作业时，严格遵循危险作业审批流程，落实各项安全防护措施，在确保安全的前提下进行作业。</w:t>
      </w:r>
    </w:p>
    <w:p w14:paraId="7BF041A0">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在生产作业过程中若存在交叉作业的情况，无条件服从贵院的统一协调、指挥。</w:t>
      </w:r>
    </w:p>
    <w:p w14:paraId="409604D1">
      <w:pPr>
        <w:numPr>
          <w:ilvl w:val="0"/>
          <w:numId w:val="3"/>
        </w:num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应急处置与报告</w:t>
      </w:r>
    </w:p>
    <w:p w14:paraId="274EA1AF">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建立安全生产台账，对安全生产工作进行详细记录。在协议履行过程中，一旦发现任何安全生产问题，立即处理，并及时告知贵院，同时做好书面记录。</w:t>
      </w:r>
    </w:p>
    <w:p w14:paraId="225C5882">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一旦在项目实施过程中发现存在危险因素或者发生安全事故，立即停止与该项工程相关的所有施工活动，防止事故扩大。同时，迅速采取紧急救援措施，配合贵院对伤员进行及时救治，避免二次伤害。</w:t>
      </w:r>
    </w:p>
    <w:p w14:paraId="5653C287">
      <w:pPr>
        <w:spacing w:line="240" w:lineRule="auto"/>
        <w:rPr>
          <w:rFonts w:hint="eastAsia" w:ascii="宋体" w:hAnsi="宋体" w:eastAsia="宋体" w:cs="宋体"/>
          <w:sz w:val="21"/>
          <w:szCs w:val="21"/>
        </w:rPr>
      </w:pPr>
      <w:r>
        <w:rPr>
          <w:rFonts w:hint="eastAsia" w:ascii="宋体" w:hAnsi="宋体" w:eastAsia="宋体" w:cs="宋体"/>
          <w:sz w:val="21"/>
          <w:szCs w:val="21"/>
        </w:rPr>
        <w:t>主动向本地有关部门报备事故情况，并积极配合有关部门的调查和处理工作。</w:t>
      </w:r>
    </w:p>
    <w:p w14:paraId="0DBC1D20">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对于发生的事故，接受贵院派员参与或督促事故调查。主动承担相应的赔偿责任，全力做好善后处理工作，确保事故现场尽快清理，消除安全隐患，尽快恢复正常生产秩序。</w:t>
      </w:r>
    </w:p>
    <w:p w14:paraId="30E052C4">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六、其他承诺</w:t>
      </w:r>
    </w:p>
    <w:p w14:paraId="37FF2A6F">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因我单位过失等造成人员伤害和财产损失的，我司承担全部责任。涉及治安事件的，按照治安管理相关法规处理。</w:t>
      </w:r>
    </w:p>
    <w:p w14:paraId="3E48B82A">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若因我司原因导致安全事故的发生或对贵院造成严重影响，贵院有权终止合作合同，因此所产生的全部损失，由我司承担。</w:t>
      </w:r>
    </w:p>
    <w:p w14:paraId="06C42F60">
      <w:pPr>
        <w:spacing w:line="240" w:lineRule="auto"/>
        <w:ind w:left="420" w:leftChars="200"/>
        <w:rPr>
          <w:rFonts w:hint="eastAsia" w:ascii="宋体" w:hAnsi="宋体" w:eastAsia="宋体" w:cs="宋体"/>
          <w:sz w:val="21"/>
          <w:szCs w:val="21"/>
        </w:rPr>
      </w:pPr>
      <w:r>
        <w:rPr>
          <w:rFonts w:hint="eastAsia" w:ascii="宋体" w:hAnsi="宋体" w:eastAsia="宋体" w:cs="宋体"/>
          <w:sz w:val="21"/>
          <w:szCs w:val="21"/>
        </w:rPr>
        <w:t>其他未尽事项：</w:t>
      </w:r>
    </w:p>
    <w:p w14:paraId="62AFE4F8">
      <w:pPr>
        <w:spacing w:line="240" w:lineRule="auto"/>
        <w:ind w:left="420" w:leftChars="200"/>
        <w:rPr>
          <w:rFonts w:hint="eastAsia" w:ascii="宋体" w:hAnsi="宋体" w:eastAsia="宋体" w:cs="宋体"/>
          <w:sz w:val="21"/>
          <w:szCs w:val="21"/>
          <w:u w:val="single"/>
        </w:rPr>
      </w:pPr>
      <w:r>
        <w:rPr>
          <w:rFonts w:hint="eastAsia" w:ascii="宋体" w:hAnsi="宋体" w:eastAsia="宋体" w:cs="宋体"/>
          <w:sz w:val="21"/>
          <w:szCs w:val="21"/>
          <w:u w:val="single"/>
        </w:rPr>
        <w:t xml:space="preserve">                                                          </w:t>
      </w:r>
    </w:p>
    <w:p w14:paraId="48BFF19B">
      <w:pPr>
        <w:spacing w:line="240" w:lineRule="auto"/>
        <w:ind w:left="420" w:leftChars="200"/>
        <w:rPr>
          <w:rFonts w:hint="eastAsia" w:ascii="宋体" w:hAnsi="宋体" w:eastAsia="宋体" w:cs="宋体"/>
          <w:sz w:val="21"/>
          <w:szCs w:val="21"/>
          <w:u w:val="single"/>
        </w:rPr>
      </w:pPr>
      <w:r>
        <w:rPr>
          <w:rFonts w:hint="eastAsia" w:ascii="宋体" w:hAnsi="宋体" w:eastAsia="宋体" w:cs="宋体"/>
          <w:sz w:val="21"/>
          <w:szCs w:val="21"/>
          <w:u w:val="single"/>
        </w:rPr>
        <w:t xml:space="preserve">                                                        </w:t>
      </w:r>
    </w:p>
    <w:p w14:paraId="5B3E0BF4">
      <w:pPr>
        <w:spacing w:line="240" w:lineRule="auto"/>
        <w:ind w:left="420" w:leftChars="200"/>
        <w:rPr>
          <w:rFonts w:hint="eastAsia" w:ascii="宋体" w:hAnsi="宋体" w:eastAsia="宋体" w:cs="宋体"/>
          <w:sz w:val="21"/>
          <w:szCs w:val="21"/>
        </w:rPr>
      </w:pPr>
      <w:r>
        <w:rPr>
          <w:rFonts w:hint="eastAsia" w:ascii="宋体" w:hAnsi="宋体" w:eastAsia="宋体" w:cs="宋体"/>
          <w:sz w:val="21"/>
          <w:szCs w:val="21"/>
          <w:u w:val="single"/>
        </w:rPr>
        <w:t xml:space="preserve">                                                        </w:t>
      </w:r>
    </w:p>
    <w:p w14:paraId="54D2D730">
      <w:pPr>
        <w:spacing w:line="240" w:lineRule="auto"/>
        <w:jc w:val="right"/>
        <w:rPr>
          <w:rFonts w:hint="eastAsia" w:ascii="宋体" w:hAnsi="宋体" w:eastAsia="宋体" w:cs="宋体"/>
          <w:sz w:val="21"/>
          <w:szCs w:val="21"/>
        </w:rPr>
      </w:pPr>
      <w:r>
        <w:rPr>
          <w:rFonts w:hint="eastAsia" w:ascii="宋体" w:hAnsi="宋体" w:eastAsia="宋体" w:cs="宋体"/>
          <w:sz w:val="21"/>
          <w:szCs w:val="21"/>
        </w:rPr>
        <w:t>承诺单位(盖章):__________________</w:t>
      </w:r>
    </w:p>
    <w:p w14:paraId="4C900395">
      <w:pPr>
        <w:spacing w:line="240" w:lineRule="auto"/>
        <w:jc w:val="right"/>
        <w:rPr>
          <w:rFonts w:hint="eastAsia" w:ascii="宋体" w:hAnsi="宋体" w:eastAsia="宋体" w:cs="宋体"/>
          <w:sz w:val="21"/>
          <w:szCs w:val="21"/>
        </w:rPr>
      </w:pPr>
      <w:r>
        <w:rPr>
          <w:rFonts w:hint="eastAsia" w:ascii="宋体" w:hAnsi="宋体" w:eastAsia="宋体" w:cs="宋体"/>
          <w:sz w:val="21"/>
          <w:szCs w:val="21"/>
        </w:rPr>
        <w:t>代表(签名):____________________</w:t>
      </w:r>
    </w:p>
    <w:p w14:paraId="6CBFFE97">
      <w:pPr>
        <w:spacing w:line="240" w:lineRule="auto"/>
        <w:jc w:val="right"/>
        <w:rPr>
          <w:rFonts w:hint="eastAsia" w:ascii="宋体" w:hAnsi="宋体" w:eastAsia="宋体" w:cs="宋体"/>
          <w:sz w:val="21"/>
          <w:szCs w:val="21"/>
        </w:rPr>
      </w:pPr>
      <w:r>
        <w:rPr>
          <w:rFonts w:hint="eastAsia" w:ascii="宋体" w:hAnsi="宋体" w:eastAsia="宋体" w:cs="宋体"/>
          <w:sz w:val="21"/>
          <w:szCs w:val="21"/>
        </w:rPr>
        <w:t>时间：____年____月____日</w:t>
      </w:r>
    </w:p>
    <w:p w14:paraId="6DA59F06">
      <w:pPr>
        <w:rPr>
          <w:rFonts w:hint="eastAsia" w:ascii="仿宋" w:hAnsi="仿宋" w:eastAsia="仿宋" w:cs="仿宋"/>
          <w:spacing w:val="-4"/>
          <w:kern w:val="0"/>
        </w:rPr>
      </w:pPr>
    </w:p>
    <w:p w14:paraId="7985AE8B">
      <w:pPr>
        <w:rPr>
          <w:rFonts w:hint="eastAsia" w:ascii="仿宋" w:hAnsi="仿宋" w:eastAsia="仿宋" w:cs="仿宋"/>
          <w:spacing w:val="-4"/>
          <w:kern w:val="0"/>
        </w:rPr>
      </w:pPr>
    </w:p>
    <w:p w14:paraId="583328BC">
      <w:pPr>
        <w:rPr>
          <w:rFonts w:hint="eastAsia" w:ascii="仿宋" w:hAnsi="仿宋" w:eastAsia="仿宋" w:cs="仿宋"/>
          <w:spacing w:val="-4"/>
          <w:kern w:val="0"/>
        </w:rPr>
      </w:pPr>
    </w:p>
    <w:p w14:paraId="775223C7">
      <w:pPr>
        <w:rPr>
          <w:rFonts w:hint="eastAsia" w:ascii="仿宋" w:hAnsi="仿宋" w:eastAsia="仿宋" w:cs="仿宋"/>
          <w:spacing w:val="-4"/>
          <w:kern w:val="0"/>
        </w:rPr>
        <w:sectPr>
          <w:pgSz w:w="11906" w:h="16838"/>
          <w:pgMar w:top="1417" w:right="1474" w:bottom="1417" w:left="1474" w:header="851" w:footer="624" w:gutter="0"/>
          <w:pgNumType w:fmt="decimal"/>
          <w:cols w:space="720" w:num="1"/>
          <w:docGrid w:type="lines" w:linePitch="319" w:charSpace="0"/>
        </w:sectPr>
      </w:pPr>
    </w:p>
    <w:p w14:paraId="7F0D9770">
      <w:pPr>
        <w:rPr>
          <w:rFonts w:hint="eastAsia" w:asciiTheme="minorEastAsia" w:hAnsiTheme="minorEastAsia" w:eastAsiaTheme="minorEastAsia" w:cstheme="minorEastAsia"/>
          <w:b/>
          <w:bCs/>
          <w:spacing w:val="-4"/>
          <w:kern w:val="0"/>
          <w:sz w:val="24"/>
          <w:szCs w:val="24"/>
          <w:lang w:val="en-US" w:eastAsia="zh-CN"/>
        </w:rPr>
      </w:pPr>
      <w:r>
        <w:rPr>
          <w:rFonts w:hint="eastAsia" w:asciiTheme="minorEastAsia" w:hAnsiTheme="minorEastAsia" w:eastAsiaTheme="minorEastAsia" w:cstheme="minorEastAsia"/>
          <w:b/>
          <w:bCs/>
          <w:spacing w:val="-4"/>
          <w:kern w:val="0"/>
          <w:sz w:val="24"/>
          <w:szCs w:val="24"/>
          <w:lang w:eastAsia="zh-CN"/>
        </w:rPr>
        <w:t>附件</w:t>
      </w:r>
      <w:r>
        <w:rPr>
          <w:rFonts w:hint="eastAsia" w:asciiTheme="minorEastAsia" w:hAnsiTheme="minorEastAsia" w:eastAsiaTheme="minorEastAsia" w:cstheme="minorEastAsia"/>
          <w:b/>
          <w:bCs/>
          <w:spacing w:val="-4"/>
          <w:kern w:val="0"/>
          <w:sz w:val="24"/>
          <w:szCs w:val="24"/>
          <w:lang w:val="en-US" w:eastAsia="zh-CN"/>
        </w:rPr>
        <w:t>2：</w:t>
      </w:r>
    </w:p>
    <w:p w14:paraId="4E4217A6">
      <w:pPr>
        <w:rPr>
          <w:rFonts w:hint="eastAsia" w:asciiTheme="minorEastAsia" w:hAnsiTheme="minorEastAsia" w:eastAsiaTheme="minorEastAsia" w:cstheme="minorEastAsia"/>
          <w:b/>
          <w:bCs/>
          <w:spacing w:val="-4"/>
          <w:kern w:val="0"/>
          <w:sz w:val="24"/>
          <w:szCs w:val="24"/>
          <w:lang w:val="en-US" w:eastAsia="zh-CN"/>
        </w:rPr>
      </w:pPr>
    </w:p>
    <w:p w14:paraId="012A152F">
      <w:pPr>
        <w:jc w:val="center"/>
        <w:rPr>
          <w:rFonts w:hint="eastAsia" w:asciiTheme="minorEastAsia" w:hAnsiTheme="minorEastAsia" w:eastAsiaTheme="minorEastAsia" w:cstheme="minorEastAsia"/>
          <w:b/>
          <w:bCs/>
          <w:spacing w:val="-4"/>
          <w:kern w:val="0"/>
          <w:sz w:val="24"/>
          <w:szCs w:val="24"/>
          <w:lang w:val="en-US" w:eastAsia="zh-CN"/>
        </w:rPr>
      </w:pPr>
      <w:r>
        <w:rPr>
          <w:rFonts w:hint="eastAsia" w:asciiTheme="minorEastAsia" w:hAnsiTheme="minorEastAsia" w:eastAsiaTheme="minorEastAsia" w:cstheme="minorEastAsia"/>
          <w:b/>
          <w:bCs/>
          <w:spacing w:val="-4"/>
          <w:kern w:val="0"/>
          <w:sz w:val="24"/>
          <w:szCs w:val="24"/>
          <w:lang w:val="en-US" w:eastAsia="zh-CN"/>
        </w:rPr>
        <w:t>驻马店市中心医院</w:t>
      </w:r>
    </w:p>
    <w:p w14:paraId="01689925">
      <w:pPr>
        <w:jc w:val="center"/>
        <w:rPr>
          <w:rFonts w:hint="eastAsia" w:asciiTheme="minorEastAsia" w:hAnsiTheme="minorEastAsia" w:eastAsiaTheme="minorEastAsia" w:cstheme="minorEastAsia"/>
          <w:b w:val="0"/>
          <w:bCs w:val="0"/>
          <w:spacing w:val="-4"/>
          <w:kern w:val="0"/>
          <w:sz w:val="24"/>
          <w:szCs w:val="24"/>
          <w:lang w:val="en-US" w:eastAsia="zh-CN"/>
        </w:rPr>
      </w:pPr>
      <w:r>
        <w:rPr>
          <w:rFonts w:hint="eastAsia" w:asciiTheme="minorEastAsia" w:hAnsiTheme="minorEastAsia" w:eastAsiaTheme="minorEastAsia" w:cstheme="minorEastAsia"/>
          <w:b w:val="0"/>
          <w:bCs w:val="0"/>
          <w:spacing w:val="-4"/>
          <w:kern w:val="0"/>
          <w:sz w:val="24"/>
          <w:szCs w:val="24"/>
          <w:lang w:val="en-US" w:eastAsia="zh-CN"/>
        </w:rPr>
        <w:t>（产品注册证名称）配置清单</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1330"/>
        <w:gridCol w:w="935"/>
        <w:gridCol w:w="1195"/>
        <w:gridCol w:w="1065"/>
        <w:gridCol w:w="1065"/>
        <w:gridCol w:w="1066"/>
        <w:gridCol w:w="1066"/>
      </w:tblGrid>
      <w:tr w14:paraId="4940F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0" w:type="dxa"/>
            <w:noWrap w:val="0"/>
            <w:vAlign w:val="center"/>
          </w:tcPr>
          <w:p w14:paraId="35044150">
            <w:pPr>
              <w:jc w:val="center"/>
              <w:rPr>
                <w:rFonts w:hint="eastAsia" w:asciiTheme="minorEastAsia" w:hAnsiTheme="minorEastAsia" w:eastAsiaTheme="minorEastAsia" w:cstheme="minorEastAsia"/>
                <w:b w:val="0"/>
                <w:bCs w:val="0"/>
                <w:spacing w:val="-4"/>
                <w:kern w:val="0"/>
                <w:sz w:val="24"/>
                <w:szCs w:val="24"/>
                <w:vertAlign w:val="baseline"/>
                <w:lang w:val="en-US" w:eastAsia="zh-CN"/>
              </w:rPr>
            </w:pPr>
            <w:r>
              <w:rPr>
                <w:rFonts w:hint="eastAsia" w:asciiTheme="minorEastAsia" w:hAnsiTheme="minorEastAsia" w:eastAsiaTheme="minorEastAsia" w:cstheme="minorEastAsia"/>
                <w:b w:val="0"/>
                <w:bCs w:val="0"/>
                <w:spacing w:val="-4"/>
                <w:kern w:val="0"/>
                <w:sz w:val="24"/>
                <w:szCs w:val="24"/>
                <w:vertAlign w:val="baseline"/>
                <w:lang w:val="en-US" w:eastAsia="zh-CN"/>
              </w:rPr>
              <w:t>序号</w:t>
            </w:r>
          </w:p>
        </w:tc>
        <w:tc>
          <w:tcPr>
            <w:tcW w:w="1330" w:type="dxa"/>
            <w:noWrap w:val="0"/>
            <w:vAlign w:val="center"/>
          </w:tcPr>
          <w:p w14:paraId="5C425ADB">
            <w:pPr>
              <w:jc w:val="center"/>
              <w:rPr>
                <w:rFonts w:hint="eastAsia" w:asciiTheme="minorEastAsia" w:hAnsiTheme="minorEastAsia" w:eastAsiaTheme="minorEastAsia" w:cstheme="minorEastAsia"/>
                <w:b w:val="0"/>
                <w:bCs w:val="0"/>
                <w:spacing w:val="-4"/>
                <w:kern w:val="0"/>
                <w:sz w:val="24"/>
                <w:szCs w:val="24"/>
                <w:vertAlign w:val="baseline"/>
                <w:lang w:val="en-US" w:eastAsia="zh-CN"/>
              </w:rPr>
            </w:pPr>
            <w:r>
              <w:rPr>
                <w:rFonts w:hint="eastAsia" w:asciiTheme="minorEastAsia" w:hAnsiTheme="minorEastAsia" w:eastAsiaTheme="minorEastAsia" w:cstheme="minorEastAsia"/>
                <w:b w:val="0"/>
                <w:bCs w:val="0"/>
                <w:spacing w:val="-4"/>
                <w:kern w:val="0"/>
                <w:sz w:val="24"/>
                <w:szCs w:val="24"/>
                <w:vertAlign w:val="baseline"/>
                <w:lang w:val="en-US" w:eastAsia="zh-CN"/>
              </w:rPr>
              <w:t>物品名称</w:t>
            </w:r>
          </w:p>
        </w:tc>
        <w:tc>
          <w:tcPr>
            <w:tcW w:w="935" w:type="dxa"/>
            <w:noWrap w:val="0"/>
            <w:vAlign w:val="center"/>
          </w:tcPr>
          <w:p w14:paraId="4B630E4A">
            <w:pPr>
              <w:jc w:val="center"/>
              <w:rPr>
                <w:rFonts w:hint="eastAsia" w:asciiTheme="minorEastAsia" w:hAnsiTheme="minorEastAsia" w:eastAsiaTheme="minorEastAsia" w:cstheme="minorEastAsia"/>
                <w:b w:val="0"/>
                <w:bCs w:val="0"/>
                <w:spacing w:val="-4"/>
                <w:kern w:val="0"/>
                <w:sz w:val="24"/>
                <w:szCs w:val="24"/>
                <w:vertAlign w:val="baseline"/>
                <w:lang w:val="en-US" w:eastAsia="zh-CN"/>
              </w:rPr>
            </w:pPr>
            <w:r>
              <w:rPr>
                <w:rFonts w:hint="eastAsia" w:asciiTheme="minorEastAsia" w:hAnsiTheme="minorEastAsia" w:eastAsiaTheme="minorEastAsia" w:cstheme="minorEastAsia"/>
                <w:b w:val="0"/>
                <w:bCs w:val="0"/>
                <w:spacing w:val="-4"/>
                <w:kern w:val="0"/>
                <w:sz w:val="24"/>
                <w:szCs w:val="24"/>
                <w:vertAlign w:val="baseline"/>
                <w:lang w:val="en-US" w:eastAsia="zh-CN"/>
              </w:rPr>
              <w:t>品牌</w:t>
            </w:r>
          </w:p>
        </w:tc>
        <w:tc>
          <w:tcPr>
            <w:tcW w:w="1195" w:type="dxa"/>
            <w:noWrap w:val="0"/>
            <w:vAlign w:val="center"/>
          </w:tcPr>
          <w:p w14:paraId="3C2A2B62">
            <w:pPr>
              <w:jc w:val="center"/>
              <w:rPr>
                <w:rFonts w:hint="eastAsia" w:asciiTheme="minorEastAsia" w:hAnsiTheme="minorEastAsia" w:eastAsiaTheme="minorEastAsia" w:cstheme="minorEastAsia"/>
                <w:b w:val="0"/>
                <w:bCs w:val="0"/>
                <w:spacing w:val="-4"/>
                <w:kern w:val="0"/>
                <w:sz w:val="24"/>
                <w:szCs w:val="24"/>
                <w:vertAlign w:val="baseline"/>
                <w:lang w:val="en-US" w:eastAsia="zh-CN"/>
              </w:rPr>
            </w:pPr>
            <w:r>
              <w:rPr>
                <w:rFonts w:hint="eastAsia" w:asciiTheme="minorEastAsia" w:hAnsiTheme="minorEastAsia" w:eastAsiaTheme="minorEastAsia" w:cstheme="minorEastAsia"/>
                <w:b w:val="0"/>
                <w:bCs w:val="0"/>
                <w:spacing w:val="-4"/>
                <w:kern w:val="0"/>
                <w:sz w:val="24"/>
                <w:szCs w:val="24"/>
                <w:vertAlign w:val="baseline"/>
                <w:lang w:val="en-US" w:eastAsia="zh-CN"/>
              </w:rPr>
              <w:t>规格型号</w:t>
            </w:r>
          </w:p>
        </w:tc>
        <w:tc>
          <w:tcPr>
            <w:tcW w:w="1065" w:type="dxa"/>
            <w:noWrap w:val="0"/>
            <w:vAlign w:val="center"/>
          </w:tcPr>
          <w:p w14:paraId="0C159ED9">
            <w:pPr>
              <w:jc w:val="center"/>
              <w:rPr>
                <w:rFonts w:hint="eastAsia" w:asciiTheme="minorEastAsia" w:hAnsiTheme="minorEastAsia" w:eastAsiaTheme="minorEastAsia" w:cstheme="minorEastAsia"/>
                <w:b w:val="0"/>
                <w:bCs w:val="0"/>
                <w:spacing w:val="-4"/>
                <w:kern w:val="0"/>
                <w:sz w:val="24"/>
                <w:szCs w:val="24"/>
                <w:vertAlign w:val="baseline"/>
                <w:lang w:val="en-US" w:eastAsia="zh-CN"/>
              </w:rPr>
            </w:pPr>
            <w:r>
              <w:rPr>
                <w:rFonts w:hint="eastAsia" w:asciiTheme="minorEastAsia" w:hAnsiTheme="minorEastAsia" w:eastAsiaTheme="minorEastAsia" w:cstheme="minorEastAsia"/>
                <w:b w:val="0"/>
                <w:bCs w:val="0"/>
                <w:spacing w:val="-4"/>
                <w:kern w:val="0"/>
                <w:sz w:val="24"/>
                <w:szCs w:val="24"/>
                <w:vertAlign w:val="baseline"/>
                <w:lang w:val="en-US" w:eastAsia="zh-CN"/>
              </w:rPr>
              <w:t>产地</w:t>
            </w:r>
          </w:p>
        </w:tc>
        <w:tc>
          <w:tcPr>
            <w:tcW w:w="1065" w:type="dxa"/>
            <w:noWrap w:val="0"/>
            <w:vAlign w:val="center"/>
          </w:tcPr>
          <w:p w14:paraId="3D26462B">
            <w:pPr>
              <w:jc w:val="center"/>
              <w:rPr>
                <w:rFonts w:hint="eastAsia" w:asciiTheme="minorEastAsia" w:hAnsiTheme="minorEastAsia" w:eastAsiaTheme="minorEastAsia" w:cstheme="minorEastAsia"/>
                <w:b w:val="0"/>
                <w:bCs w:val="0"/>
                <w:spacing w:val="-4"/>
                <w:kern w:val="0"/>
                <w:sz w:val="24"/>
                <w:szCs w:val="24"/>
                <w:vertAlign w:val="baseline"/>
                <w:lang w:val="en-US" w:eastAsia="zh-CN"/>
              </w:rPr>
            </w:pPr>
            <w:r>
              <w:rPr>
                <w:rFonts w:hint="eastAsia" w:asciiTheme="minorEastAsia" w:hAnsiTheme="minorEastAsia" w:eastAsiaTheme="minorEastAsia" w:cstheme="minorEastAsia"/>
                <w:b w:val="0"/>
                <w:bCs w:val="0"/>
                <w:spacing w:val="-4"/>
                <w:kern w:val="0"/>
                <w:sz w:val="24"/>
                <w:szCs w:val="24"/>
                <w:vertAlign w:val="baseline"/>
                <w:lang w:val="en-US" w:eastAsia="zh-CN"/>
              </w:rPr>
              <w:t>数量</w:t>
            </w:r>
          </w:p>
        </w:tc>
        <w:tc>
          <w:tcPr>
            <w:tcW w:w="1066" w:type="dxa"/>
            <w:noWrap w:val="0"/>
            <w:vAlign w:val="center"/>
          </w:tcPr>
          <w:p w14:paraId="2860B666">
            <w:pPr>
              <w:jc w:val="center"/>
              <w:rPr>
                <w:rFonts w:hint="eastAsia" w:asciiTheme="minorEastAsia" w:hAnsiTheme="minorEastAsia" w:eastAsiaTheme="minorEastAsia" w:cstheme="minorEastAsia"/>
                <w:b w:val="0"/>
                <w:bCs w:val="0"/>
                <w:spacing w:val="-4"/>
                <w:kern w:val="0"/>
                <w:sz w:val="24"/>
                <w:szCs w:val="24"/>
                <w:vertAlign w:val="baseline"/>
                <w:lang w:val="en-US" w:eastAsia="zh-CN"/>
              </w:rPr>
            </w:pPr>
            <w:r>
              <w:rPr>
                <w:rFonts w:hint="eastAsia" w:asciiTheme="minorEastAsia" w:hAnsiTheme="minorEastAsia" w:eastAsiaTheme="minorEastAsia" w:cstheme="minorEastAsia"/>
                <w:b w:val="0"/>
                <w:bCs w:val="0"/>
                <w:spacing w:val="-4"/>
                <w:kern w:val="0"/>
                <w:sz w:val="24"/>
                <w:szCs w:val="24"/>
                <w:vertAlign w:val="baseline"/>
                <w:lang w:val="en-US" w:eastAsia="zh-CN"/>
              </w:rPr>
              <w:t>单位</w:t>
            </w:r>
          </w:p>
        </w:tc>
        <w:tc>
          <w:tcPr>
            <w:tcW w:w="1066" w:type="dxa"/>
            <w:noWrap w:val="0"/>
            <w:vAlign w:val="center"/>
          </w:tcPr>
          <w:p w14:paraId="0A2C07E8">
            <w:pPr>
              <w:jc w:val="center"/>
              <w:rPr>
                <w:rFonts w:hint="eastAsia" w:asciiTheme="minorEastAsia" w:hAnsiTheme="minorEastAsia" w:eastAsiaTheme="minorEastAsia" w:cstheme="minorEastAsia"/>
                <w:b w:val="0"/>
                <w:bCs w:val="0"/>
                <w:spacing w:val="-4"/>
                <w:kern w:val="0"/>
                <w:sz w:val="24"/>
                <w:szCs w:val="24"/>
                <w:vertAlign w:val="baseline"/>
                <w:lang w:val="en-US" w:eastAsia="zh-CN"/>
              </w:rPr>
            </w:pPr>
            <w:r>
              <w:rPr>
                <w:rFonts w:hint="eastAsia" w:asciiTheme="minorEastAsia" w:hAnsiTheme="minorEastAsia" w:eastAsiaTheme="minorEastAsia" w:cstheme="minorEastAsia"/>
                <w:b w:val="0"/>
                <w:bCs w:val="0"/>
                <w:spacing w:val="-4"/>
                <w:kern w:val="0"/>
                <w:sz w:val="24"/>
                <w:szCs w:val="24"/>
                <w:vertAlign w:val="baseline"/>
                <w:lang w:val="en-US" w:eastAsia="zh-CN"/>
              </w:rPr>
              <w:t>备注</w:t>
            </w:r>
          </w:p>
        </w:tc>
      </w:tr>
      <w:tr w14:paraId="4F8E2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0" w:type="dxa"/>
            <w:noWrap w:val="0"/>
            <w:vAlign w:val="center"/>
          </w:tcPr>
          <w:p w14:paraId="301E2B67">
            <w:pPr>
              <w:jc w:val="center"/>
              <w:rPr>
                <w:rFonts w:hint="eastAsia" w:asciiTheme="minorEastAsia" w:hAnsiTheme="minorEastAsia" w:eastAsiaTheme="minorEastAsia" w:cstheme="minorEastAsia"/>
                <w:b w:val="0"/>
                <w:bCs w:val="0"/>
                <w:spacing w:val="-4"/>
                <w:kern w:val="0"/>
                <w:sz w:val="24"/>
                <w:szCs w:val="24"/>
                <w:vertAlign w:val="baseline"/>
                <w:lang w:val="en-US" w:eastAsia="zh-CN"/>
              </w:rPr>
            </w:pPr>
            <w:r>
              <w:rPr>
                <w:rFonts w:hint="eastAsia" w:asciiTheme="minorEastAsia" w:hAnsiTheme="minorEastAsia" w:eastAsiaTheme="minorEastAsia" w:cstheme="minorEastAsia"/>
                <w:b w:val="0"/>
                <w:bCs w:val="0"/>
                <w:spacing w:val="-4"/>
                <w:kern w:val="0"/>
                <w:sz w:val="24"/>
                <w:szCs w:val="24"/>
                <w:vertAlign w:val="baseline"/>
                <w:lang w:val="en-US" w:eastAsia="zh-CN"/>
              </w:rPr>
              <w:t>1</w:t>
            </w:r>
          </w:p>
        </w:tc>
        <w:tc>
          <w:tcPr>
            <w:tcW w:w="1330" w:type="dxa"/>
            <w:noWrap w:val="0"/>
            <w:vAlign w:val="center"/>
          </w:tcPr>
          <w:p w14:paraId="49431C49">
            <w:pPr>
              <w:jc w:val="center"/>
              <w:rPr>
                <w:rFonts w:hint="eastAsia" w:asciiTheme="minorEastAsia" w:hAnsiTheme="minorEastAsia" w:eastAsiaTheme="minorEastAsia" w:cstheme="minorEastAsia"/>
                <w:b w:val="0"/>
                <w:bCs w:val="0"/>
                <w:spacing w:val="-4"/>
                <w:kern w:val="0"/>
                <w:sz w:val="24"/>
                <w:szCs w:val="24"/>
                <w:vertAlign w:val="baseline"/>
                <w:lang w:val="en-US" w:eastAsia="zh-CN"/>
              </w:rPr>
            </w:pPr>
          </w:p>
        </w:tc>
        <w:tc>
          <w:tcPr>
            <w:tcW w:w="935" w:type="dxa"/>
            <w:noWrap w:val="0"/>
            <w:vAlign w:val="center"/>
          </w:tcPr>
          <w:p w14:paraId="0941FE2D">
            <w:pPr>
              <w:jc w:val="center"/>
              <w:rPr>
                <w:rFonts w:hint="eastAsia" w:asciiTheme="minorEastAsia" w:hAnsiTheme="minorEastAsia" w:eastAsiaTheme="minorEastAsia" w:cstheme="minorEastAsia"/>
                <w:b w:val="0"/>
                <w:bCs w:val="0"/>
                <w:spacing w:val="-4"/>
                <w:kern w:val="0"/>
                <w:sz w:val="24"/>
                <w:szCs w:val="24"/>
                <w:vertAlign w:val="baseline"/>
                <w:lang w:val="en-US" w:eastAsia="zh-CN"/>
              </w:rPr>
            </w:pPr>
          </w:p>
        </w:tc>
        <w:tc>
          <w:tcPr>
            <w:tcW w:w="1195" w:type="dxa"/>
            <w:noWrap w:val="0"/>
            <w:vAlign w:val="center"/>
          </w:tcPr>
          <w:p w14:paraId="2B92ECAE">
            <w:pPr>
              <w:jc w:val="center"/>
              <w:rPr>
                <w:rFonts w:hint="eastAsia" w:asciiTheme="minorEastAsia" w:hAnsiTheme="minorEastAsia" w:eastAsiaTheme="minorEastAsia" w:cstheme="minorEastAsia"/>
                <w:b w:val="0"/>
                <w:bCs w:val="0"/>
                <w:spacing w:val="-4"/>
                <w:kern w:val="0"/>
                <w:sz w:val="24"/>
                <w:szCs w:val="24"/>
                <w:vertAlign w:val="baseline"/>
                <w:lang w:val="en-US" w:eastAsia="zh-CN"/>
              </w:rPr>
            </w:pPr>
          </w:p>
        </w:tc>
        <w:tc>
          <w:tcPr>
            <w:tcW w:w="1065" w:type="dxa"/>
            <w:noWrap w:val="0"/>
            <w:vAlign w:val="center"/>
          </w:tcPr>
          <w:p w14:paraId="360B8369">
            <w:pPr>
              <w:jc w:val="center"/>
              <w:rPr>
                <w:rFonts w:hint="eastAsia" w:asciiTheme="minorEastAsia" w:hAnsiTheme="minorEastAsia" w:eastAsiaTheme="minorEastAsia" w:cstheme="minorEastAsia"/>
                <w:b w:val="0"/>
                <w:bCs w:val="0"/>
                <w:spacing w:val="-4"/>
                <w:kern w:val="0"/>
                <w:sz w:val="24"/>
                <w:szCs w:val="24"/>
                <w:vertAlign w:val="baseline"/>
                <w:lang w:val="en-US" w:eastAsia="zh-CN"/>
              </w:rPr>
            </w:pPr>
          </w:p>
        </w:tc>
        <w:tc>
          <w:tcPr>
            <w:tcW w:w="1065" w:type="dxa"/>
            <w:noWrap w:val="0"/>
            <w:vAlign w:val="center"/>
          </w:tcPr>
          <w:p w14:paraId="15F46E61">
            <w:pPr>
              <w:jc w:val="center"/>
              <w:rPr>
                <w:rFonts w:hint="eastAsia" w:asciiTheme="minorEastAsia" w:hAnsiTheme="minorEastAsia" w:eastAsiaTheme="minorEastAsia" w:cstheme="minorEastAsia"/>
                <w:b w:val="0"/>
                <w:bCs w:val="0"/>
                <w:spacing w:val="-4"/>
                <w:kern w:val="0"/>
                <w:sz w:val="24"/>
                <w:szCs w:val="24"/>
                <w:vertAlign w:val="baseline"/>
                <w:lang w:val="en-US" w:eastAsia="zh-CN"/>
              </w:rPr>
            </w:pPr>
          </w:p>
        </w:tc>
        <w:tc>
          <w:tcPr>
            <w:tcW w:w="1066" w:type="dxa"/>
            <w:noWrap w:val="0"/>
            <w:vAlign w:val="center"/>
          </w:tcPr>
          <w:p w14:paraId="1B81C98E">
            <w:pPr>
              <w:jc w:val="center"/>
              <w:rPr>
                <w:rFonts w:hint="eastAsia" w:asciiTheme="minorEastAsia" w:hAnsiTheme="minorEastAsia" w:eastAsiaTheme="minorEastAsia" w:cstheme="minorEastAsia"/>
                <w:b w:val="0"/>
                <w:bCs w:val="0"/>
                <w:spacing w:val="-4"/>
                <w:kern w:val="0"/>
                <w:sz w:val="24"/>
                <w:szCs w:val="24"/>
                <w:vertAlign w:val="baseline"/>
                <w:lang w:val="en-US" w:eastAsia="zh-CN"/>
              </w:rPr>
            </w:pPr>
          </w:p>
        </w:tc>
        <w:tc>
          <w:tcPr>
            <w:tcW w:w="1066" w:type="dxa"/>
            <w:noWrap w:val="0"/>
            <w:vAlign w:val="center"/>
          </w:tcPr>
          <w:p w14:paraId="7F049C91">
            <w:pPr>
              <w:jc w:val="center"/>
              <w:rPr>
                <w:rFonts w:hint="eastAsia" w:asciiTheme="minorEastAsia" w:hAnsiTheme="minorEastAsia" w:eastAsiaTheme="minorEastAsia" w:cstheme="minorEastAsia"/>
                <w:b w:val="0"/>
                <w:bCs w:val="0"/>
                <w:spacing w:val="-4"/>
                <w:kern w:val="0"/>
                <w:sz w:val="24"/>
                <w:szCs w:val="24"/>
                <w:vertAlign w:val="baseline"/>
                <w:lang w:val="en-US" w:eastAsia="zh-CN"/>
              </w:rPr>
            </w:pPr>
          </w:p>
        </w:tc>
      </w:tr>
      <w:tr w14:paraId="78FCF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0" w:type="dxa"/>
            <w:noWrap w:val="0"/>
            <w:vAlign w:val="center"/>
          </w:tcPr>
          <w:p w14:paraId="5E6D76E1">
            <w:pPr>
              <w:jc w:val="center"/>
              <w:rPr>
                <w:rFonts w:hint="eastAsia" w:asciiTheme="minorEastAsia" w:hAnsiTheme="minorEastAsia" w:eastAsiaTheme="minorEastAsia" w:cstheme="minorEastAsia"/>
                <w:b w:val="0"/>
                <w:bCs w:val="0"/>
                <w:spacing w:val="-4"/>
                <w:kern w:val="0"/>
                <w:sz w:val="24"/>
                <w:szCs w:val="24"/>
                <w:vertAlign w:val="baseline"/>
                <w:lang w:val="en-US" w:eastAsia="zh-CN"/>
              </w:rPr>
            </w:pPr>
            <w:r>
              <w:rPr>
                <w:rFonts w:hint="eastAsia" w:asciiTheme="minorEastAsia" w:hAnsiTheme="minorEastAsia" w:eastAsiaTheme="minorEastAsia" w:cstheme="minorEastAsia"/>
                <w:b w:val="0"/>
                <w:bCs w:val="0"/>
                <w:spacing w:val="-4"/>
                <w:kern w:val="0"/>
                <w:sz w:val="24"/>
                <w:szCs w:val="24"/>
                <w:vertAlign w:val="baseline"/>
                <w:lang w:val="en-US" w:eastAsia="zh-CN"/>
              </w:rPr>
              <w:t>2</w:t>
            </w:r>
          </w:p>
        </w:tc>
        <w:tc>
          <w:tcPr>
            <w:tcW w:w="1330" w:type="dxa"/>
            <w:noWrap w:val="0"/>
            <w:vAlign w:val="center"/>
          </w:tcPr>
          <w:p w14:paraId="03B22817">
            <w:pPr>
              <w:jc w:val="center"/>
              <w:rPr>
                <w:rFonts w:hint="eastAsia" w:asciiTheme="minorEastAsia" w:hAnsiTheme="minorEastAsia" w:eastAsiaTheme="minorEastAsia" w:cstheme="minorEastAsia"/>
                <w:b w:val="0"/>
                <w:bCs w:val="0"/>
                <w:spacing w:val="-4"/>
                <w:kern w:val="0"/>
                <w:sz w:val="24"/>
                <w:szCs w:val="24"/>
                <w:vertAlign w:val="baseline"/>
                <w:lang w:val="en-US" w:eastAsia="zh-CN"/>
              </w:rPr>
            </w:pPr>
          </w:p>
        </w:tc>
        <w:tc>
          <w:tcPr>
            <w:tcW w:w="935" w:type="dxa"/>
            <w:noWrap w:val="0"/>
            <w:vAlign w:val="center"/>
          </w:tcPr>
          <w:p w14:paraId="0BA51408">
            <w:pPr>
              <w:jc w:val="center"/>
              <w:rPr>
                <w:rFonts w:hint="eastAsia" w:asciiTheme="minorEastAsia" w:hAnsiTheme="minorEastAsia" w:eastAsiaTheme="minorEastAsia" w:cstheme="minorEastAsia"/>
                <w:b w:val="0"/>
                <w:bCs w:val="0"/>
                <w:spacing w:val="-4"/>
                <w:kern w:val="0"/>
                <w:sz w:val="24"/>
                <w:szCs w:val="24"/>
                <w:vertAlign w:val="baseline"/>
                <w:lang w:val="en-US" w:eastAsia="zh-CN"/>
              </w:rPr>
            </w:pPr>
          </w:p>
        </w:tc>
        <w:tc>
          <w:tcPr>
            <w:tcW w:w="1195" w:type="dxa"/>
            <w:noWrap w:val="0"/>
            <w:vAlign w:val="center"/>
          </w:tcPr>
          <w:p w14:paraId="703D28C3">
            <w:pPr>
              <w:jc w:val="center"/>
              <w:rPr>
                <w:rFonts w:hint="eastAsia" w:asciiTheme="minorEastAsia" w:hAnsiTheme="minorEastAsia" w:eastAsiaTheme="minorEastAsia" w:cstheme="minorEastAsia"/>
                <w:b w:val="0"/>
                <w:bCs w:val="0"/>
                <w:spacing w:val="-4"/>
                <w:kern w:val="0"/>
                <w:sz w:val="24"/>
                <w:szCs w:val="24"/>
                <w:vertAlign w:val="baseline"/>
                <w:lang w:val="en-US" w:eastAsia="zh-CN"/>
              </w:rPr>
            </w:pPr>
          </w:p>
        </w:tc>
        <w:tc>
          <w:tcPr>
            <w:tcW w:w="1065" w:type="dxa"/>
            <w:noWrap w:val="0"/>
            <w:vAlign w:val="center"/>
          </w:tcPr>
          <w:p w14:paraId="64400D73">
            <w:pPr>
              <w:jc w:val="center"/>
              <w:rPr>
                <w:rFonts w:hint="eastAsia" w:asciiTheme="minorEastAsia" w:hAnsiTheme="minorEastAsia" w:eastAsiaTheme="minorEastAsia" w:cstheme="minorEastAsia"/>
                <w:b w:val="0"/>
                <w:bCs w:val="0"/>
                <w:spacing w:val="-4"/>
                <w:kern w:val="0"/>
                <w:sz w:val="24"/>
                <w:szCs w:val="24"/>
                <w:vertAlign w:val="baseline"/>
                <w:lang w:val="en-US" w:eastAsia="zh-CN"/>
              </w:rPr>
            </w:pPr>
          </w:p>
        </w:tc>
        <w:tc>
          <w:tcPr>
            <w:tcW w:w="1065" w:type="dxa"/>
            <w:noWrap w:val="0"/>
            <w:vAlign w:val="center"/>
          </w:tcPr>
          <w:p w14:paraId="1D63C657">
            <w:pPr>
              <w:jc w:val="center"/>
              <w:rPr>
                <w:rFonts w:hint="eastAsia" w:asciiTheme="minorEastAsia" w:hAnsiTheme="minorEastAsia" w:eastAsiaTheme="minorEastAsia" w:cstheme="minorEastAsia"/>
                <w:b w:val="0"/>
                <w:bCs w:val="0"/>
                <w:spacing w:val="-4"/>
                <w:kern w:val="0"/>
                <w:sz w:val="24"/>
                <w:szCs w:val="24"/>
                <w:vertAlign w:val="baseline"/>
                <w:lang w:val="en-US" w:eastAsia="zh-CN"/>
              </w:rPr>
            </w:pPr>
          </w:p>
        </w:tc>
        <w:tc>
          <w:tcPr>
            <w:tcW w:w="1066" w:type="dxa"/>
            <w:noWrap w:val="0"/>
            <w:vAlign w:val="center"/>
          </w:tcPr>
          <w:p w14:paraId="6C71B536">
            <w:pPr>
              <w:jc w:val="center"/>
              <w:rPr>
                <w:rFonts w:hint="eastAsia" w:asciiTheme="minorEastAsia" w:hAnsiTheme="minorEastAsia" w:eastAsiaTheme="minorEastAsia" w:cstheme="minorEastAsia"/>
                <w:b w:val="0"/>
                <w:bCs w:val="0"/>
                <w:spacing w:val="-4"/>
                <w:kern w:val="0"/>
                <w:sz w:val="24"/>
                <w:szCs w:val="24"/>
                <w:vertAlign w:val="baseline"/>
                <w:lang w:val="en-US" w:eastAsia="zh-CN"/>
              </w:rPr>
            </w:pPr>
          </w:p>
        </w:tc>
        <w:tc>
          <w:tcPr>
            <w:tcW w:w="1066" w:type="dxa"/>
            <w:noWrap w:val="0"/>
            <w:vAlign w:val="center"/>
          </w:tcPr>
          <w:p w14:paraId="5DE2D0AC">
            <w:pPr>
              <w:jc w:val="center"/>
              <w:rPr>
                <w:rFonts w:hint="eastAsia" w:asciiTheme="minorEastAsia" w:hAnsiTheme="minorEastAsia" w:eastAsiaTheme="minorEastAsia" w:cstheme="minorEastAsia"/>
                <w:b w:val="0"/>
                <w:bCs w:val="0"/>
                <w:spacing w:val="-4"/>
                <w:kern w:val="0"/>
                <w:sz w:val="24"/>
                <w:szCs w:val="24"/>
                <w:vertAlign w:val="baseline"/>
                <w:lang w:val="en-US" w:eastAsia="zh-CN"/>
              </w:rPr>
            </w:pPr>
          </w:p>
        </w:tc>
      </w:tr>
      <w:tr w14:paraId="39EEB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0" w:type="dxa"/>
            <w:noWrap w:val="0"/>
            <w:vAlign w:val="center"/>
          </w:tcPr>
          <w:p w14:paraId="6E7B12D1">
            <w:pPr>
              <w:jc w:val="center"/>
              <w:rPr>
                <w:rFonts w:hint="eastAsia" w:asciiTheme="minorEastAsia" w:hAnsiTheme="minorEastAsia" w:eastAsiaTheme="minorEastAsia" w:cstheme="minorEastAsia"/>
                <w:b w:val="0"/>
                <w:bCs w:val="0"/>
                <w:spacing w:val="-4"/>
                <w:kern w:val="0"/>
                <w:sz w:val="24"/>
                <w:szCs w:val="24"/>
                <w:vertAlign w:val="baseline"/>
                <w:lang w:val="en-US" w:eastAsia="zh-CN"/>
              </w:rPr>
            </w:pPr>
            <w:r>
              <w:rPr>
                <w:rFonts w:hint="eastAsia" w:asciiTheme="minorEastAsia" w:hAnsiTheme="minorEastAsia" w:eastAsiaTheme="minorEastAsia" w:cstheme="minorEastAsia"/>
                <w:b w:val="0"/>
                <w:bCs w:val="0"/>
                <w:spacing w:val="-4"/>
                <w:kern w:val="0"/>
                <w:sz w:val="24"/>
                <w:szCs w:val="24"/>
                <w:vertAlign w:val="baseline"/>
                <w:lang w:val="en-US" w:eastAsia="zh-CN"/>
              </w:rPr>
              <w:t>3</w:t>
            </w:r>
          </w:p>
        </w:tc>
        <w:tc>
          <w:tcPr>
            <w:tcW w:w="1330" w:type="dxa"/>
            <w:noWrap w:val="0"/>
            <w:vAlign w:val="center"/>
          </w:tcPr>
          <w:p w14:paraId="298D8F62">
            <w:pPr>
              <w:jc w:val="center"/>
              <w:rPr>
                <w:rFonts w:hint="eastAsia" w:asciiTheme="minorEastAsia" w:hAnsiTheme="minorEastAsia" w:eastAsiaTheme="minorEastAsia" w:cstheme="minorEastAsia"/>
                <w:b w:val="0"/>
                <w:bCs w:val="0"/>
                <w:spacing w:val="-4"/>
                <w:kern w:val="0"/>
                <w:sz w:val="24"/>
                <w:szCs w:val="24"/>
                <w:vertAlign w:val="baseline"/>
                <w:lang w:val="en-US" w:eastAsia="zh-CN"/>
              </w:rPr>
            </w:pPr>
          </w:p>
        </w:tc>
        <w:tc>
          <w:tcPr>
            <w:tcW w:w="935" w:type="dxa"/>
            <w:noWrap w:val="0"/>
            <w:vAlign w:val="center"/>
          </w:tcPr>
          <w:p w14:paraId="07E95920">
            <w:pPr>
              <w:jc w:val="center"/>
              <w:rPr>
                <w:rFonts w:hint="eastAsia" w:asciiTheme="minorEastAsia" w:hAnsiTheme="minorEastAsia" w:eastAsiaTheme="minorEastAsia" w:cstheme="minorEastAsia"/>
                <w:b w:val="0"/>
                <w:bCs w:val="0"/>
                <w:spacing w:val="-4"/>
                <w:kern w:val="0"/>
                <w:sz w:val="24"/>
                <w:szCs w:val="24"/>
                <w:vertAlign w:val="baseline"/>
                <w:lang w:val="en-US" w:eastAsia="zh-CN"/>
              </w:rPr>
            </w:pPr>
          </w:p>
        </w:tc>
        <w:tc>
          <w:tcPr>
            <w:tcW w:w="1195" w:type="dxa"/>
            <w:noWrap w:val="0"/>
            <w:vAlign w:val="center"/>
          </w:tcPr>
          <w:p w14:paraId="624C59A2">
            <w:pPr>
              <w:jc w:val="center"/>
              <w:rPr>
                <w:rFonts w:hint="eastAsia" w:asciiTheme="minorEastAsia" w:hAnsiTheme="minorEastAsia" w:eastAsiaTheme="minorEastAsia" w:cstheme="minorEastAsia"/>
                <w:b w:val="0"/>
                <w:bCs w:val="0"/>
                <w:spacing w:val="-4"/>
                <w:kern w:val="0"/>
                <w:sz w:val="24"/>
                <w:szCs w:val="24"/>
                <w:vertAlign w:val="baseline"/>
                <w:lang w:val="en-US" w:eastAsia="zh-CN"/>
              </w:rPr>
            </w:pPr>
          </w:p>
        </w:tc>
        <w:tc>
          <w:tcPr>
            <w:tcW w:w="1065" w:type="dxa"/>
            <w:noWrap w:val="0"/>
            <w:vAlign w:val="center"/>
          </w:tcPr>
          <w:p w14:paraId="3A2B2CEB">
            <w:pPr>
              <w:jc w:val="center"/>
              <w:rPr>
                <w:rFonts w:hint="eastAsia" w:asciiTheme="minorEastAsia" w:hAnsiTheme="minorEastAsia" w:eastAsiaTheme="minorEastAsia" w:cstheme="minorEastAsia"/>
                <w:b w:val="0"/>
                <w:bCs w:val="0"/>
                <w:spacing w:val="-4"/>
                <w:kern w:val="0"/>
                <w:sz w:val="24"/>
                <w:szCs w:val="24"/>
                <w:vertAlign w:val="baseline"/>
                <w:lang w:val="en-US" w:eastAsia="zh-CN"/>
              </w:rPr>
            </w:pPr>
          </w:p>
        </w:tc>
        <w:tc>
          <w:tcPr>
            <w:tcW w:w="1065" w:type="dxa"/>
            <w:noWrap w:val="0"/>
            <w:vAlign w:val="center"/>
          </w:tcPr>
          <w:p w14:paraId="48FA0346">
            <w:pPr>
              <w:jc w:val="center"/>
              <w:rPr>
                <w:rFonts w:hint="eastAsia" w:asciiTheme="minorEastAsia" w:hAnsiTheme="minorEastAsia" w:eastAsiaTheme="minorEastAsia" w:cstheme="minorEastAsia"/>
                <w:b w:val="0"/>
                <w:bCs w:val="0"/>
                <w:spacing w:val="-4"/>
                <w:kern w:val="0"/>
                <w:sz w:val="24"/>
                <w:szCs w:val="24"/>
                <w:vertAlign w:val="baseline"/>
                <w:lang w:val="en-US" w:eastAsia="zh-CN"/>
              </w:rPr>
            </w:pPr>
          </w:p>
        </w:tc>
        <w:tc>
          <w:tcPr>
            <w:tcW w:w="1066" w:type="dxa"/>
            <w:noWrap w:val="0"/>
            <w:vAlign w:val="center"/>
          </w:tcPr>
          <w:p w14:paraId="042C969D">
            <w:pPr>
              <w:jc w:val="center"/>
              <w:rPr>
                <w:rFonts w:hint="eastAsia" w:asciiTheme="minorEastAsia" w:hAnsiTheme="minorEastAsia" w:eastAsiaTheme="minorEastAsia" w:cstheme="minorEastAsia"/>
                <w:b w:val="0"/>
                <w:bCs w:val="0"/>
                <w:spacing w:val="-4"/>
                <w:kern w:val="0"/>
                <w:sz w:val="24"/>
                <w:szCs w:val="24"/>
                <w:vertAlign w:val="baseline"/>
                <w:lang w:val="en-US" w:eastAsia="zh-CN"/>
              </w:rPr>
            </w:pPr>
          </w:p>
        </w:tc>
        <w:tc>
          <w:tcPr>
            <w:tcW w:w="1066" w:type="dxa"/>
            <w:noWrap w:val="0"/>
            <w:vAlign w:val="center"/>
          </w:tcPr>
          <w:p w14:paraId="7629DB35">
            <w:pPr>
              <w:jc w:val="center"/>
              <w:rPr>
                <w:rFonts w:hint="eastAsia" w:asciiTheme="minorEastAsia" w:hAnsiTheme="minorEastAsia" w:eastAsiaTheme="minorEastAsia" w:cstheme="minorEastAsia"/>
                <w:b w:val="0"/>
                <w:bCs w:val="0"/>
                <w:spacing w:val="-4"/>
                <w:kern w:val="0"/>
                <w:sz w:val="24"/>
                <w:szCs w:val="24"/>
                <w:vertAlign w:val="baseline"/>
                <w:lang w:val="en-US" w:eastAsia="zh-CN"/>
              </w:rPr>
            </w:pPr>
          </w:p>
        </w:tc>
      </w:tr>
      <w:tr w14:paraId="3EA0C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0" w:type="dxa"/>
            <w:noWrap w:val="0"/>
            <w:vAlign w:val="center"/>
          </w:tcPr>
          <w:p w14:paraId="405088BB">
            <w:pPr>
              <w:jc w:val="center"/>
              <w:rPr>
                <w:rFonts w:hint="eastAsia" w:asciiTheme="minorEastAsia" w:hAnsiTheme="minorEastAsia" w:eastAsiaTheme="minorEastAsia" w:cstheme="minorEastAsia"/>
                <w:b w:val="0"/>
                <w:bCs w:val="0"/>
                <w:spacing w:val="-4"/>
                <w:kern w:val="0"/>
                <w:sz w:val="24"/>
                <w:szCs w:val="24"/>
                <w:vertAlign w:val="baseline"/>
                <w:lang w:val="en-US" w:eastAsia="zh-CN"/>
              </w:rPr>
            </w:pPr>
            <w:r>
              <w:rPr>
                <w:rFonts w:hint="eastAsia" w:asciiTheme="minorEastAsia" w:hAnsiTheme="minorEastAsia" w:eastAsiaTheme="minorEastAsia" w:cstheme="minorEastAsia"/>
                <w:b w:val="0"/>
                <w:bCs w:val="0"/>
                <w:spacing w:val="-4"/>
                <w:kern w:val="0"/>
                <w:sz w:val="24"/>
                <w:szCs w:val="24"/>
                <w:vertAlign w:val="baseline"/>
                <w:lang w:val="en-US" w:eastAsia="zh-CN"/>
              </w:rPr>
              <w:t>4</w:t>
            </w:r>
          </w:p>
        </w:tc>
        <w:tc>
          <w:tcPr>
            <w:tcW w:w="1330" w:type="dxa"/>
            <w:noWrap w:val="0"/>
            <w:vAlign w:val="center"/>
          </w:tcPr>
          <w:p w14:paraId="1DBC3236">
            <w:pPr>
              <w:jc w:val="center"/>
              <w:rPr>
                <w:rFonts w:hint="eastAsia" w:asciiTheme="minorEastAsia" w:hAnsiTheme="minorEastAsia" w:eastAsiaTheme="minorEastAsia" w:cstheme="minorEastAsia"/>
                <w:b w:val="0"/>
                <w:bCs w:val="0"/>
                <w:spacing w:val="-4"/>
                <w:kern w:val="0"/>
                <w:sz w:val="24"/>
                <w:szCs w:val="24"/>
                <w:vertAlign w:val="baseline"/>
                <w:lang w:val="en-US" w:eastAsia="zh-CN"/>
              </w:rPr>
            </w:pPr>
          </w:p>
        </w:tc>
        <w:tc>
          <w:tcPr>
            <w:tcW w:w="935" w:type="dxa"/>
            <w:noWrap w:val="0"/>
            <w:vAlign w:val="center"/>
          </w:tcPr>
          <w:p w14:paraId="6562C31D">
            <w:pPr>
              <w:jc w:val="center"/>
              <w:rPr>
                <w:rFonts w:hint="eastAsia" w:asciiTheme="minorEastAsia" w:hAnsiTheme="minorEastAsia" w:eastAsiaTheme="minorEastAsia" w:cstheme="minorEastAsia"/>
                <w:b w:val="0"/>
                <w:bCs w:val="0"/>
                <w:spacing w:val="-4"/>
                <w:kern w:val="0"/>
                <w:sz w:val="24"/>
                <w:szCs w:val="24"/>
                <w:vertAlign w:val="baseline"/>
                <w:lang w:val="en-US" w:eastAsia="zh-CN"/>
              </w:rPr>
            </w:pPr>
          </w:p>
        </w:tc>
        <w:tc>
          <w:tcPr>
            <w:tcW w:w="1195" w:type="dxa"/>
            <w:noWrap w:val="0"/>
            <w:vAlign w:val="center"/>
          </w:tcPr>
          <w:p w14:paraId="28F2B57A">
            <w:pPr>
              <w:jc w:val="center"/>
              <w:rPr>
                <w:rFonts w:hint="eastAsia" w:asciiTheme="minorEastAsia" w:hAnsiTheme="minorEastAsia" w:eastAsiaTheme="minorEastAsia" w:cstheme="minorEastAsia"/>
                <w:b w:val="0"/>
                <w:bCs w:val="0"/>
                <w:spacing w:val="-4"/>
                <w:kern w:val="0"/>
                <w:sz w:val="24"/>
                <w:szCs w:val="24"/>
                <w:vertAlign w:val="baseline"/>
                <w:lang w:val="en-US" w:eastAsia="zh-CN"/>
              </w:rPr>
            </w:pPr>
          </w:p>
        </w:tc>
        <w:tc>
          <w:tcPr>
            <w:tcW w:w="1065" w:type="dxa"/>
            <w:noWrap w:val="0"/>
            <w:vAlign w:val="center"/>
          </w:tcPr>
          <w:p w14:paraId="68CD61FE">
            <w:pPr>
              <w:jc w:val="center"/>
              <w:rPr>
                <w:rFonts w:hint="eastAsia" w:asciiTheme="minorEastAsia" w:hAnsiTheme="minorEastAsia" w:eastAsiaTheme="minorEastAsia" w:cstheme="minorEastAsia"/>
                <w:b w:val="0"/>
                <w:bCs w:val="0"/>
                <w:spacing w:val="-4"/>
                <w:kern w:val="0"/>
                <w:sz w:val="24"/>
                <w:szCs w:val="24"/>
                <w:vertAlign w:val="baseline"/>
                <w:lang w:val="en-US" w:eastAsia="zh-CN"/>
              </w:rPr>
            </w:pPr>
          </w:p>
        </w:tc>
        <w:tc>
          <w:tcPr>
            <w:tcW w:w="1065" w:type="dxa"/>
            <w:noWrap w:val="0"/>
            <w:vAlign w:val="center"/>
          </w:tcPr>
          <w:p w14:paraId="3E160222">
            <w:pPr>
              <w:jc w:val="center"/>
              <w:rPr>
                <w:rFonts w:hint="eastAsia" w:asciiTheme="minorEastAsia" w:hAnsiTheme="minorEastAsia" w:eastAsiaTheme="minorEastAsia" w:cstheme="minorEastAsia"/>
                <w:b w:val="0"/>
                <w:bCs w:val="0"/>
                <w:spacing w:val="-4"/>
                <w:kern w:val="0"/>
                <w:sz w:val="24"/>
                <w:szCs w:val="24"/>
                <w:vertAlign w:val="baseline"/>
                <w:lang w:val="en-US" w:eastAsia="zh-CN"/>
              </w:rPr>
            </w:pPr>
          </w:p>
        </w:tc>
        <w:tc>
          <w:tcPr>
            <w:tcW w:w="1066" w:type="dxa"/>
            <w:noWrap w:val="0"/>
            <w:vAlign w:val="center"/>
          </w:tcPr>
          <w:p w14:paraId="51AC8781">
            <w:pPr>
              <w:jc w:val="center"/>
              <w:rPr>
                <w:rFonts w:hint="eastAsia" w:asciiTheme="minorEastAsia" w:hAnsiTheme="minorEastAsia" w:eastAsiaTheme="minorEastAsia" w:cstheme="minorEastAsia"/>
                <w:b w:val="0"/>
                <w:bCs w:val="0"/>
                <w:spacing w:val="-4"/>
                <w:kern w:val="0"/>
                <w:sz w:val="24"/>
                <w:szCs w:val="24"/>
                <w:vertAlign w:val="baseline"/>
                <w:lang w:val="en-US" w:eastAsia="zh-CN"/>
              </w:rPr>
            </w:pPr>
          </w:p>
        </w:tc>
        <w:tc>
          <w:tcPr>
            <w:tcW w:w="1066" w:type="dxa"/>
            <w:noWrap w:val="0"/>
            <w:vAlign w:val="center"/>
          </w:tcPr>
          <w:p w14:paraId="4D4B1AC0">
            <w:pPr>
              <w:jc w:val="center"/>
              <w:rPr>
                <w:rFonts w:hint="eastAsia" w:asciiTheme="minorEastAsia" w:hAnsiTheme="minorEastAsia" w:eastAsiaTheme="minorEastAsia" w:cstheme="minorEastAsia"/>
                <w:b w:val="0"/>
                <w:bCs w:val="0"/>
                <w:spacing w:val="-4"/>
                <w:kern w:val="0"/>
                <w:sz w:val="24"/>
                <w:szCs w:val="24"/>
                <w:vertAlign w:val="baseline"/>
                <w:lang w:val="en-US" w:eastAsia="zh-CN"/>
              </w:rPr>
            </w:pPr>
          </w:p>
        </w:tc>
      </w:tr>
      <w:tr w14:paraId="40944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0" w:type="dxa"/>
            <w:noWrap w:val="0"/>
            <w:vAlign w:val="center"/>
          </w:tcPr>
          <w:p w14:paraId="2C41C108">
            <w:pPr>
              <w:jc w:val="center"/>
              <w:rPr>
                <w:rFonts w:hint="eastAsia" w:asciiTheme="minorEastAsia" w:hAnsiTheme="minorEastAsia" w:eastAsiaTheme="minorEastAsia" w:cstheme="minorEastAsia"/>
                <w:b w:val="0"/>
                <w:bCs w:val="0"/>
                <w:spacing w:val="-4"/>
                <w:kern w:val="0"/>
                <w:sz w:val="24"/>
                <w:szCs w:val="24"/>
                <w:vertAlign w:val="baseline"/>
                <w:lang w:val="en-US" w:eastAsia="zh-CN"/>
              </w:rPr>
            </w:pPr>
            <w:r>
              <w:rPr>
                <w:rFonts w:hint="eastAsia" w:asciiTheme="minorEastAsia" w:hAnsiTheme="minorEastAsia" w:eastAsiaTheme="minorEastAsia" w:cstheme="minorEastAsia"/>
                <w:b w:val="0"/>
                <w:bCs w:val="0"/>
                <w:spacing w:val="-4"/>
                <w:kern w:val="0"/>
                <w:sz w:val="24"/>
                <w:szCs w:val="24"/>
                <w:vertAlign w:val="baseline"/>
                <w:lang w:val="en-US" w:eastAsia="zh-CN"/>
              </w:rPr>
              <w:t>5</w:t>
            </w:r>
          </w:p>
        </w:tc>
        <w:tc>
          <w:tcPr>
            <w:tcW w:w="1330" w:type="dxa"/>
            <w:noWrap w:val="0"/>
            <w:vAlign w:val="center"/>
          </w:tcPr>
          <w:p w14:paraId="4BD7F29E">
            <w:pPr>
              <w:jc w:val="center"/>
              <w:rPr>
                <w:rFonts w:hint="eastAsia" w:asciiTheme="minorEastAsia" w:hAnsiTheme="minorEastAsia" w:eastAsiaTheme="minorEastAsia" w:cstheme="minorEastAsia"/>
                <w:b w:val="0"/>
                <w:bCs w:val="0"/>
                <w:spacing w:val="-4"/>
                <w:kern w:val="0"/>
                <w:sz w:val="24"/>
                <w:szCs w:val="24"/>
                <w:vertAlign w:val="baseline"/>
                <w:lang w:val="en-US" w:eastAsia="zh-CN"/>
              </w:rPr>
            </w:pPr>
          </w:p>
        </w:tc>
        <w:tc>
          <w:tcPr>
            <w:tcW w:w="935" w:type="dxa"/>
            <w:noWrap w:val="0"/>
            <w:vAlign w:val="center"/>
          </w:tcPr>
          <w:p w14:paraId="660A462E">
            <w:pPr>
              <w:jc w:val="center"/>
              <w:rPr>
                <w:rFonts w:hint="eastAsia" w:asciiTheme="minorEastAsia" w:hAnsiTheme="minorEastAsia" w:eastAsiaTheme="minorEastAsia" w:cstheme="minorEastAsia"/>
                <w:b w:val="0"/>
                <w:bCs w:val="0"/>
                <w:spacing w:val="-4"/>
                <w:kern w:val="0"/>
                <w:sz w:val="24"/>
                <w:szCs w:val="24"/>
                <w:vertAlign w:val="baseline"/>
                <w:lang w:val="en-US" w:eastAsia="zh-CN"/>
              </w:rPr>
            </w:pPr>
          </w:p>
        </w:tc>
        <w:tc>
          <w:tcPr>
            <w:tcW w:w="1195" w:type="dxa"/>
            <w:noWrap w:val="0"/>
            <w:vAlign w:val="center"/>
          </w:tcPr>
          <w:p w14:paraId="611F78B7">
            <w:pPr>
              <w:jc w:val="center"/>
              <w:rPr>
                <w:rFonts w:hint="eastAsia" w:asciiTheme="minorEastAsia" w:hAnsiTheme="minorEastAsia" w:eastAsiaTheme="minorEastAsia" w:cstheme="minorEastAsia"/>
                <w:b w:val="0"/>
                <w:bCs w:val="0"/>
                <w:spacing w:val="-4"/>
                <w:kern w:val="0"/>
                <w:sz w:val="24"/>
                <w:szCs w:val="24"/>
                <w:vertAlign w:val="baseline"/>
                <w:lang w:val="en-US" w:eastAsia="zh-CN"/>
              </w:rPr>
            </w:pPr>
          </w:p>
        </w:tc>
        <w:tc>
          <w:tcPr>
            <w:tcW w:w="1065" w:type="dxa"/>
            <w:noWrap w:val="0"/>
            <w:vAlign w:val="center"/>
          </w:tcPr>
          <w:p w14:paraId="3454AD01">
            <w:pPr>
              <w:jc w:val="center"/>
              <w:rPr>
                <w:rFonts w:hint="eastAsia" w:asciiTheme="minorEastAsia" w:hAnsiTheme="minorEastAsia" w:eastAsiaTheme="minorEastAsia" w:cstheme="minorEastAsia"/>
                <w:b w:val="0"/>
                <w:bCs w:val="0"/>
                <w:spacing w:val="-4"/>
                <w:kern w:val="0"/>
                <w:sz w:val="24"/>
                <w:szCs w:val="24"/>
                <w:vertAlign w:val="baseline"/>
                <w:lang w:val="en-US" w:eastAsia="zh-CN"/>
              </w:rPr>
            </w:pPr>
          </w:p>
        </w:tc>
        <w:tc>
          <w:tcPr>
            <w:tcW w:w="1065" w:type="dxa"/>
            <w:noWrap w:val="0"/>
            <w:vAlign w:val="center"/>
          </w:tcPr>
          <w:p w14:paraId="42EDDD5E">
            <w:pPr>
              <w:jc w:val="center"/>
              <w:rPr>
                <w:rFonts w:hint="eastAsia" w:asciiTheme="minorEastAsia" w:hAnsiTheme="minorEastAsia" w:eastAsiaTheme="minorEastAsia" w:cstheme="minorEastAsia"/>
                <w:b w:val="0"/>
                <w:bCs w:val="0"/>
                <w:spacing w:val="-4"/>
                <w:kern w:val="0"/>
                <w:sz w:val="24"/>
                <w:szCs w:val="24"/>
                <w:vertAlign w:val="baseline"/>
                <w:lang w:val="en-US" w:eastAsia="zh-CN"/>
              </w:rPr>
            </w:pPr>
          </w:p>
        </w:tc>
        <w:tc>
          <w:tcPr>
            <w:tcW w:w="1066" w:type="dxa"/>
            <w:noWrap w:val="0"/>
            <w:vAlign w:val="center"/>
          </w:tcPr>
          <w:p w14:paraId="45B1AFEC">
            <w:pPr>
              <w:jc w:val="center"/>
              <w:rPr>
                <w:rFonts w:hint="eastAsia" w:asciiTheme="minorEastAsia" w:hAnsiTheme="minorEastAsia" w:eastAsiaTheme="minorEastAsia" w:cstheme="minorEastAsia"/>
                <w:b w:val="0"/>
                <w:bCs w:val="0"/>
                <w:spacing w:val="-4"/>
                <w:kern w:val="0"/>
                <w:sz w:val="24"/>
                <w:szCs w:val="24"/>
                <w:vertAlign w:val="baseline"/>
                <w:lang w:val="en-US" w:eastAsia="zh-CN"/>
              </w:rPr>
            </w:pPr>
          </w:p>
        </w:tc>
        <w:tc>
          <w:tcPr>
            <w:tcW w:w="1066" w:type="dxa"/>
            <w:noWrap w:val="0"/>
            <w:vAlign w:val="center"/>
          </w:tcPr>
          <w:p w14:paraId="23B0CE22">
            <w:pPr>
              <w:jc w:val="center"/>
              <w:rPr>
                <w:rFonts w:hint="eastAsia" w:asciiTheme="minorEastAsia" w:hAnsiTheme="minorEastAsia" w:eastAsiaTheme="minorEastAsia" w:cstheme="minorEastAsia"/>
                <w:b w:val="0"/>
                <w:bCs w:val="0"/>
                <w:spacing w:val="-4"/>
                <w:kern w:val="0"/>
                <w:sz w:val="24"/>
                <w:szCs w:val="24"/>
                <w:vertAlign w:val="baseline"/>
                <w:lang w:val="en-US" w:eastAsia="zh-CN"/>
              </w:rPr>
            </w:pPr>
          </w:p>
        </w:tc>
      </w:tr>
      <w:tr w14:paraId="087A0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0" w:type="dxa"/>
            <w:noWrap w:val="0"/>
            <w:vAlign w:val="center"/>
          </w:tcPr>
          <w:p w14:paraId="44F72160">
            <w:pPr>
              <w:jc w:val="center"/>
              <w:rPr>
                <w:rFonts w:hint="eastAsia" w:asciiTheme="minorEastAsia" w:hAnsiTheme="minorEastAsia" w:eastAsiaTheme="minorEastAsia" w:cstheme="minorEastAsia"/>
                <w:b w:val="0"/>
                <w:bCs w:val="0"/>
                <w:spacing w:val="-4"/>
                <w:kern w:val="0"/>
                <w:sz w:val="24"/>
                <w:szCs w:val="24"/>
                <w:vertAlign w:val="baseline"/>
                <w:lang w:val="en-US" w:eastAsia="zh-CN"/>
              </w:rPr>
            </w:pPr>
            <w:r>
              <w:rPr>
                <w:rFonts w:hint="eastAsia" w:asciiTheme="minorEastAsia" w:hAnsiTheme="minorEastAsia" w:eastAsiaTheme="minorEastAsia" w:cstheme="minorEastAsia"/>
                <w:b w:val="0"/>
                <w:bCs w:val="0"/>
                <w:spacing w:val="-4"/>
                <w:kern w:val="0"/>
                <w:sz w:val="24"/>
                <w:szCs w:val="24"/>
                <w:vertAlign w:val="baseline"/>
                <w:lang w:val="en-US" w:eastAsia="zh-CN"/>
              </w:rPr>
              <w:t>6</w:t>
            </w:r>
          </w:p>
        </w:tc>
        <w:tc>
          <w:tcPr>
            <w:tcW w:w="1330" w:type="dxa"/>
            <w:noWrap w:val="0"/>
            <w:vAlign w:val="center"/>
          </w:tcPr>
          <w:p w14:paraId="683C4DD1">
            <w:pPr>
              <w:jc w:val="center"/>
              <w:rPr>
                <w:rFonts w:hint="eastAsia" w:asciiTheme="minorEastAsia" w:hAnsiTheme="minorEastAsia" w:eastAsiaTheme="minorEastAsia" w:cstheme="minorEastAsia"/>
                <w:b w:val="0"/>
                <w:bCs w:val="0"/>
                <w:spacing w:val="-4"/>
                <w:kern w:val="0"/>
                <w:sz w:val="24"/>
                <w:szCs w:val="24"/>
                <w:vertAlign w:val="baseline"/>
                <w:lang w:val="en-US" w:eastAsia="zh-CN"/>
              </w:rPr>
            </w:pPr>
          </w:p>
        </w:tc>
        <w:tc>
          <w:tcPr>
            <w:tcW w:w="935" w:type="dxa"/>
            <w:noWrap w:val="0"/>
            <w:vAlign w:val="center"/>
          </w:tcPr>
          <w:p w14:paraId="29AF9927">
            <w:pPr>
              <w:jc w:val="center"/>
              <w:rPr>
                <w:rFonts w:hint="eastAsia" w:asciiTheme="minorEastAsia" w:hAnsiTheme="minorEastAsia" w:eastAsiaTheme="minorEastAsia" w:cstheme="minorEastAsia"/>
                <w:b w:val="0"/>
                <w:bCs w:val="0"/>
                <w:spacing w:val="-4"/>
                <w:kern w:val="0"/>
                <w:sz w:val="24"/>
                <w:szCs w:val="24"/>
                <w:vertAlign w:val="baseline"/>
                <w:lang w:val="en-US" w:eastAsia="zh-CN"/>
              </w:rPr>
            </w:pPr>
          </w:p>
        </w:tc>
        <w:tc>
          <w:tcPr>
            <w:tcW w:w="1195" w:type="dxa"/>
            <w:noWrap w:val="0"/>
            <w:vAlign w:val="center"/>
          </w:tcPr>
          <w:p w14:paraId="601DB864">
            <w:pPr>
              <w:jc w:val="center"/>
              <w:rPr>
                <w:rFonts w:hint="eastAsia" w:asciiTheme="minorEastAsia" w:hAnsiTheme="minorEastAsia" w:eastAsiaTheme="minorEastAsia" w:cstheme="minorEastAsia"/>
                <w:b w:val="0"/>
                <w:bCs w:val="0"/>
                <w:spacing w:val="-4"/>
                <w:kern w:val="0"/>
                <w:sz w:val="24"/>
                <w:szCs w:val="24"/>
                <w:vertAlign w:val="baseline"/>
                <w:lang w:val="en-US" w:eastAsia="zh-CN"/>
              </w:rPr>
            </w:pPr>
          </w:p>
        </w:tc>
        <w:tc>
          <w:tcPr>
            <w:tcW w:w="1065" w:type="dxa"/>
            <w:noWrap w:val="0"/>
            <w:vAlign w:val="center"/>
          </w:tcPr>
          <w:p w14:paraId="617E8645">
            <w:pPr>
              <w:jc w:val="center"/>
              <w:rPr>
                <w:rFonts w:hint="eastAsia" w:asciiTheme="minorEastAsia" w:hAnsiTheme="minorEastAsia" w:eastAsiaTheme="minorEastAsia" w:cstheme="minorEastAsia"/>
                <w:b w:val="0"/>
                <w:bCs w:val="0"/>
                <w:spacing w:val="-4"/>
                <w:kern w:val="0"/>
                <w:sz w:val="24"/>
                <w:szCs w:val="24"/>
                <w:vertAlign w:val="baseline"/>
                <w:lang w:val="en-US" w:eastAsia="zh-CN"/>
              </w:rPr>
            </w:pPr>
          </w:p>
        </w:tc>
        <w:tc>
          <w:tcPr>
            <w:tcW w:w="1065" w:type="dxa"/>
            <w:noWrap w:val="0"/>
            <w:vAlign w:val="center"/>
          </w:tcPr>
          <w:p w14:paraId="3303E055">
            <w:pPr>
              <w:jc w:val="center"/>
              <w:rPr>
                <w:rFonts w:hint="eastAsia" w:asciiTheme="minorEastAsia" w:hAnsiTheme="minorEastAsia" w:eastAsiaTheme="minorEastAsia" w:cstheme="minorEastAsia"/>
                <w:b w:val="0"/>
                <w:bCs w:val="0"/>
                <w:spacing w:val="-4"/>
                <w:kern w:val="0"/>
                <w:sz w:val="24"/>
                <w:szCs w:val="24"/>
                <w:vertAlign w:val="baseline"/>
                <w:lang w:val="en-US" w:eastAsia="zh-CN"/>
              </w:rPr>
            </w:pPr>
          </w:p>
        </w:tc>
        <w:tc>
          <w:tcPr>
            <w:tcW w:w="1066" w:type="dxa"/>
            <w:noWrap w:val="0"/>
            <w:vAlign w:val="center"/>
          </w:tcPr>
          <w:p w14:paraId="46A052AD">
            <w:pPr>
              <w:jc w:val="center"/>
              <w:rPr>
                <w:rFonts w:hint="eastAsia" w:asciiTheme="minorEastAsia" w:hAnsiTheme="minorEastAsia" w:eastAsiaTheme="minorEastAsia" w:cstheme="minorEastAsia"/>
                <w:b w:val="0"/>
                <w:bCs w:val="0"/>
                <w:spacing w:val="-4"/>
                <w:kern w:val="0"/>
                <w:sz w:val="24"/>
                <w:szCs w:val="24"/>
                <w:vertAlign w:val="baseline"/>
                <w:lang w:val="en-US" w:eastAsia="zh-CN"/>
              </w:rPr>
            </w:pPr>
          </w:p>
        </w:tc>
        <w:tc>
          <w:tcPr>
            <w:tcW w:w="1066" w:type="dxa"/>
            <w:noWrap w:val="0"/>
            <w:vAlign w:val="center"/>
          </w:tcPr>
          <w:p w14:paraId="49CD2465">
            <w:pPr>
              <w:jc w:val="center"/>
              <w:rPr>
                <w:rFonts w:hint="eastAsia" w:asciiTheme="minorEastAsia" w:hAnsiTheme="minorEastAsia" w:eastAsiaTheme="minorEastAsia" w:cstheme="minorEastAsia"/>
                <w:b w:val="0"/>
                <w:bCs w:val="0"/>
                <w:spacing w:val="-4"/>
                <w:kern w:val="0"/>
                <w:sz w:val="24"/>
                <w:szCs w:val="24"/>
                <w:vertAlign w:val="baseline"/>
                <w:lang w:val="en-US" w:eastAsia="zh-CN"/>
              </w:rPr>
            </w:pPr>
          </w:p>
        </w:tc>
      </w:tr>
      <w:tr w14:paraId="2104F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0" w:type="dxa"/>
            <w:noWrap w:val="0"/>
            <w:vAlign w:val="center"/>
          </w:tcPr>
          <w:p w14:paraId="5DBB2770">
            <w:pPr>
              <w:jc w:val="center"/>
              <w:rPr>
                <w:rFonts w:hint="eastAsia" w:asciiTheme="minorEastAsia" w:hAnsiTheme="minorEastAsia" w:eastAsiaTheme="minorEastAsia" w:cstheme="minorEastAsia"/>
                <w:b w:val="0"/>
                <w:bCs w:val="0"/>
                <w:spacing w:val="-4"/>
                <w:kern w:val="0"/>
                <w:sz w:val="24"/>
                <w:szCs w:val="24"/>
                <w:vertAlign w:val="baseline"/>
                <w:lang w:val="en-US" w:eastAsia="zh-CN"/>
              </w:rPr>
            </w:pPr>
            <w:r>
              <w:rPr>
                <w:rFonts w:hint="eastAsia" w:asciiTheme="minorEastAsia" w:hAnsiTheme="minorEastAsia" w:eastAsiaTheme="minorEastAsia" w:cstheme="minorEastAsia"/>
                <w:b w:val="0"/>
                <w:bCs w:val="0"/>
                <w:spacing w:val="-4"/>
                <w:kern w:val="0"/>
                <w:sz w:val="24"/>
                <w:szCs w:val="24"/>
                <w:vertAlign w:val="baseline"/>
                <w:lang w:val="en-US" w:eastAsia="zh-CN"/>
              </w:rPr>
              <w:t>7</w:t>
            </w:r>
          </w:p>
        </w:tc>
        <w:tc>
          <w:tcPr>
            <w:tcW w:w="1330" w:type="dxa"/>
            <w:noWrap w:val="0"/>
            <w:vAlign w:val="center"/>
          </w:tcPr>
          <w:p w14:paraId="1F059662">
            <w:pPr>
              <w:jc w:val="center"/>
              <w:rPr>
                <w:rFonts w:hint="eastAsia" w:asciiTheme="minorEastAsia" w:hAnsiTheme="minorEastAsia" w:eastAsiaTheme="minorEastAsia" w:cstheme="minorEastAsia"/>
                <w:b w:val="0"/>
                <w:bCs w:val="0"/>
                <w:spacing w:val="-4"/>
                <w:kern w:val="0"/>
                <w:sz w:val="24"/>
                <w:szCs w:val="24"/>
                <w:vertAlign w:val="baseline"/>
                <w:lang w:val="en-US" w:eastAsia="zh-CN"/>
              </w:rPr>
            </w:pPr>
          </w:p>
        </w:tc>
        <w:tc>
          <w:tcPr>
            <w:tcW w:w="935" w:type="dxa"/>
            <w:noWrap w:val="0"/>
            <w:vAlign w:val="center"/>
          </w:tcPr>
          <w:p w14:paraId="7D975851">
            <w:pPr>
              <w:jc w:val="center"/>
              <w:rPr>
                <w:rFonts w:hint="eastAsia" w:asciiTheme="minorEastAsia" w:hAnsiTheme="minorEastAsia" w:eastAsiaTheme="minorEastAsia" w:cstheme="minorEastAsia"/>
                <w:b w:val="0"/>
                <w:bCs w:val="0"/>
                <w:spacing w:val="-4"/>
                <w:kern w:val="0"/>
                <w:sz w:val="24"/>
                <w:szCs w:val="24"/>
                <w:vertAlign w:val="baseline"/>
                <w:lang w:val="en-US" w:eastAsia="zh-CN"/>
              </w:rPr>
            </w:pPr>
          </w:p>
        </w:tc>
        <w:tc>
          <w:tcPr>
            <w:tcW w:w="1195" w:type="dxa"/>
            <w:noWrap w:val="0"/>
            <w:vAlign w:val="center"/>
          </w:tcPr>
          <w:p w14:paraId="283C3CEA">
            <w:pPr>
              <w:jc w:val="center"/>
              <w:rPr>
                <w:rFonts w:hint="eastAsia" w:asciiTheme="minorEastAsia" w:hAnsiTheme="minorEastAsia" w:eastAsiaTheme="minorEastAsia" w:cstheme="minorEastAsia"/>
                <w:b w:val="0"/>
                <w:bCs w:val="0"/>
                <w:spacing w:val="-4"/>
                <w:kern w:val="0"/>
                <w:sz w:val="24"/>
                <w:szCs w:val="24"/>
                <w:vertAlign w:val="baseline"/>
                <w:lang w:val="en-US" w:eastAsia="zh-CN"/>
              </w:rPr>
            </w:pPr>
          </w:p>
        </w:tc>
        <w:tc>
          <w:tcPr>
            <w:tcW w:w="1065" w:type="dxa"/>
            <w:noWrap w:val="0"/>
            <w:vAlign w:val="center"/>
          </w:tcPr>
          <w:p w14:paraId="2BEDA9AA">
            <w:pPr>
              <w:jc w:val="center"/>
              <w:rPr>
                <w:rFonts w:hint="eastAsia" w:asciiTheme="minorEastAsia" w:hAnsiTheme="minorEastAsia" w:eastAsiaTheme="minorEastAsia" w:cstheme="minorEastAsia"/>
                <w:b w:val="0"/>
                <w:bCs w:val="0"/>
                <w:spacing w:val="-4"/>
                <w:kern w:val="0"/>
                <w:sz w:val="24"/>
                <w:szCs w:val="24"/>
                <w:vertAlign w:val="baseline"/>
                <w:lang w:val="en-US" w:eastAsia="zh-CN"/>
              </w:rPr>
            </w:pPr>
          </w:p>
        </w:tc>
        <w:tc>
          <w:tcPr>
            <w:tcW w:w="1065" w:type="dxa"/>
            <w:noWrap w:val="0"/>
            <w:vAlign w:val="center"/>
          </w:tcPr>
          <w:p w14:paraId="5C9ACB07">
            <w:pPr>
              <w:jc w:val="center"/>
              <w:rPr>
                <w:rFonts w:hint="eastAsia" w:asciiTheme="minorEastAsia" w:hAnsiTheme="minorEastAsia" w:eastAsiaTheme="minorEastAsia" w:cstheme="minorEastAsia"/>
                <w:b w:val="0"/>
                <w:bCs w:val="0"/>
                <w:spacing w:val="-4"/>
                <w:kern w:val="0"/>
                <w:sz w:val="24"/>
                <w:szCs w:val="24"/>
                <w:vertAlign w:val="baseline"/>
                <w:lang w:val="en-US" w:eastAsia="zh-CN"/>
              </w:rPr>
            </w:pPr>
          </w:p>
        </w:tc>
        <w:tc>
          <w:tcPr>
            <w:tcW w:w="1066" w:type="dxa"/>
            <w:noWrap w:val="0"/>
            <w:vAlign w:val="center"/>
          </w:tcPr>
          <w:p w14:paraId="5898180C">
            <w:pPr>
              <w:jc w:val="center"/>
              <w:rPr>
                <w:rFonts w:hint="eastAsia" w:asciiTheme="minorEastAsia" w:hAnsiTheme="minorEastAsia" w:eastAsiaTheme="minorEastAsia" w:cstheme="minorEastAsia"/>
                <w:b w:val="0"/>
                <w:bCs w:val="0"/>
                <w:spacing w:val="-4"/>
                <w:kern w:val="0"/>
                <w:sz w:val="24"/>
                <w:szCs w:val="24"/>
                <w:vertAlign w:val="baseline"/>
                <w:lang w:val="en-US" w:eastAsia="zh-CN"/>
              </w:rPr>
            </w:pPr>
          </w:p>
        </w:tc>
        <w:tc>
          <w:tcPr>
            <w:tcW w:w="1066" w:type="dxa"/>
            <w:noWrap w:val="0"/>
            <w:vAlign w:val="center"/>
          </w:tcPr>
          <w:p w14:paraId="2881821C">
            <w:pPr>
              <w:jc w:val="center"/>
              <w:rPr>
                <w:rFonts w:hint="eastAsia" w:asciiTheme="minorEastAsia" w:hAnsiTheme="minorEastAsia" w:eastAsiaTheme="minorEastAsia" w:cstheme="minorEastAsia"/>
                <w:b w:val="0"/>
                <w:bCs w:val="0"/>
                <w:spacing w:val="-4"/>
                <w:kern w:val="0"/>
                <w:sz w:val="24"/>
                <w:szCs w:val="24"/>
                <w:vertAlign w:val="baseline"/>
                <w:lang w:val="en-US" w:eastAsia="zh-CN"/>
              </w:rPr>
            </w:pPr>
          </w:p>
        </w:tc>
      </w:tr>
    </w:tbl>
    <w:p w14:paraId="3D5DB07C">
      <w:pPr>
        <w:jc w:val="center"/>
        <w:rPr>
          <w:rFonts w:hint="eastAsia" w:asciiTheme="minorEastAsia" w:hAnsiTheme="minorEastAsia" w:eastAsiaTheme="minorEastAsia" w:cstheme="minorEastAsia"/>
          <w:b w:val="0"/>
          <w:bCs w:val="0"/>
          <w:spacing w:val="-4"/>
          <w:kern w:val="0"/>
          <w:sz w:val="24"/>
          <w:szCs w:val="24"/>
          <w:lang w:val="en-US" w:eastAsia="zh-CN"/>
        </w:rPr>
      </w:pPr>
    </w:p>
    <w:p w14:paraId="19CD5838">
      <w:pPr>
        <w:jc w:val="left"/>
        <w:rPr>
          <w:rFonts w:hint="eastAsia" w:asciiTheme="minorEastAsia" w:hAnsiTheme="minorEastAsia" w:eastAsiaTheme="minorEastAsia" w:cstheme="minorEastAsia"/>
          <w:b w:val="0"/>
          <w:bCs w:val="0"/>
          <w:spacing w:val="-4"/>
          <w:kern w:val="0"/>
          <w:sz w:val="24"/>
          <w:szCs w:val="24"/>
          <w:lang w:val="en-US" w:eastAsia="zh-CN"/>
        </w:rPr>
      </w:pPr>
      <w:r>
        <w:rPr>
          <w:rFonts w:hint="eastAsia" w:asciiTheme="minorEastAsia" w:hAnsiTheme="minorEastAsia" w:eastAsiaTheme="minorEastAsia" w:cstheme="minorEastAsia"/>
          <w:b w:val="0"/>
          <w:bCs w:val="0"/>
          <w:spacing w:val="-4"/>
          <w:kern w:val="0"/>
          <w:sz w:val="24"/>
          <w:szCs w:val="24"/>
          <w:lang w:val="en-US" w:eastAsia="zh-CN"/>
        </w:rPr>
        <w:t>备注：此配置清单按单台配置填写。</w:t>
      </w:r>
    </w:p>
    <w:p w14:paraId="22D7FB0C">
      <w:pPr>
        <w:jc w:val="left"/>
        <w:rPr>
          <w:rFonts w:hint="eastAsia" w:asciiTheme="minorEastAsia" w:hAnsiTheme="minorEastAsia" w:eastAsiaTheme="minorEastAsia" w:cstheme="minorEastAsia"/>
          <w:b w:val="0"/>
          <w:bCs w:val="0"/>
          <w:spacing w:val="-4"/>
          <w:kern w:val="0"/>
          <w:sz w:val="24"/>
          <w:szCs w:val="24"/>
          <w:lang w:val="en-US" w:eastAsia="zh-CN"/>
        </w:rPr>
      </w:pPr>
    </w:p>
    <w:p w14:paraId="49A6B9D8">
      <w:pPr>
        <w:jc w:val="left"/>
        <w:rPr>
          <w:rFonts w:hint="eastAsia" w:asciiTheme="minorEastAsia" w:hAnsiTheme="minorEastAsia" w:eastAsiaTheme="minorEastAsia" w:cstheme="minorEastAsia"/>
          <w:b w:val="0"/>
          <w:bCs w:val="0"/>
          <w:spacing w:val="-4"/>
          <w:kern w:val="0"/>
          <w:sz w:val="24"/>
          <w:szCs w:val="24"/>
          <w:lang w:val="en-US" w:eastAsia="zh-CN"/>
        </w:rPr>
      </w:pPr>
    </w:p>
    <w:p w14:paraId="6B45603F">
      <w:pPr>
        <w:jc w:val="left"/>
        <w:rPr>
          <w:rFonts w:hint="eastAsia" w:asciiTheme="minorEastAsia" w:hAnsiTheme="minorEastAsia" w:eastAsiaTheme="minorEastAsia" w:cstheme="minorEastAsia"/>
          <w:b w:val="0"/>
          <w:bCs w:val="0"/>
          <w:spacing w:val="-4"/>
          <w:kern w:val="0"/>
          <w:sz w:val="24"/>
          <w:szCs w:val="24"/>
          <w:lang w:val="en-US" w:eastAsia="zh-CN"/>
        </w:rPr>
      </w:pPr>
    </w:p>
    <w:p w14:paraId="36D95D13">
      <w:pPr>
        <w:jc w:val="left"/>
        <w:rPr>
          <w:rFonts w:hint="eastAsia" w:asciiTheme="minorEastAsia" w:hAnsiTheme="minorEastAsia" w:eastAsiaTheme="minorEastAsia" w:cstheme="minorEastAsia"/>
          <w:b w:val="0"/>
          <w:bCs w:val="0"/>
          <w:spacing w:val="-4"/>
          <w:kern w:val="0"/>
          <w:sz w:val="24"/>
          <w:szCs w:val="24"/>
          <w:lang w:val="en-US" w:eastAsia="zh-CN"/>
        </w:rPr>
      </w:pPr>
    </w:p>
    <w:p w14:paraId="6F2C8DAA">
      <w:pPr>
        <w:jc w:val="left"/>
        <w:rPr>
          <w:rFonts w:hint="eastAsia" w:asciiTheme="minorEastAsia" w:hAnsiTheme="minorEastAsia" w:eastAsiaTheme="minorEastAsia" w:cstheme="minorEastAsia"/>
          <w:b w:val="0"/>
          <w:bCs w:val="0"/>
          <w:spacing w:val="-4"/>
          <w:kern w:val="0"/>
          <w:sz w:val="24"/>
          <w:szCs w:val="24"/>
          <w:lang w:val="en-US" w:eastAsia="zh-CN"/>
        </w:rPr>
      </w:pPr>
    </w:p>
    <w:p w14:paraId="1C2B418F">
      <w:pPr>
        <w:jc w:val="left"/>
        <w:rPr>
          <w:rFonts w:hint="eastAsia" w:ascii="仿宋" w:hAnsi="仿宋" w:eastAsia="仿宋" w:cs="仿宋"/>
          <w:b w:val="0"/>
          <w:bCs w:val="0"/>
          <w:spacing w:val="-4"/>
          <w:kern w:val="0"/>
          <w:sz w:val="24"/>
          <w:szCs w:val="24"/>
          <w:lang w:val="en-US" w:eastAsia="zh-CN"/>
        </w:rPr>
      </w:pPr>
      <w:r>
        <w:rPr>
          <w:rFonts w:hint="eastAsia" w:asciiTheme="minorEastAsia" w:hAnsiTheme="minorEastAsia" w:eastAsiaTheme="minorEastAsia" w:cstheme="minorEastAsia"/>
          <w:b w:val="0"/>
          <w:bCs w:val="0"/>
          <w:spacing w:val="-4"/>
          <w:kern w:val="0"/>
          <w:sz w:val="24"/>
          <w:szCs w:val="24"/>
          <w:lang w:val="en-US" w:eastAsia="zh-CN"/>
        </w:rPr>
        <w:t xml:space="preserve">公司法定代表人或授权代表签字：            </w:t>
      </w:r>
      <w:r>
        <w:rPr>
          <w:rFonts w:hint="eastAsia" w:ascii="仿宋" w:hAnsi="仿宋" w:eastAsia="仿宋" w:cs="仿宋"/>
          <w:b w:val="0"/>
          <w:bCs w:val="0"/>
          <w:spacing w:val="-4"/>
          <w:kern w:val="0"/>
          <w:sz w:val="24"/>
          <w:szCs w:val="24"/>
          <w:lang w:val="en-US" w:eastAsia="zh-CN"/>
        </w:rPr>
        <w:t xml:space="preserve">     </w:t>
      </w:r>
    </w:p>
    <w:p w14:paraId="5D6FA518">
      <w:pPr>
        <w:jc w:val="left"/>
        <w:rPr>
          <w:rFonts w:hint="eastAsia" w:ascii="仿宋" w:hAnsi="仿宋" w:eastAsia="仿宋" w:cs="仿宋"/>
          <w:b w:val="0"/>
          <w:bCs w:val="0"/>
          <w:spacing w:val="-4"/>
          <w:kern w:val="0"/>
          <w:sz w:val="24"/>
          <w:szCs w:val="24"/>
          <w:lang w:val="en-US" w:eastAsia="zh-CN"/>
        </w:rPr>
      </w:pPr>
    </w:p>
    <w:p w14:paraId="4DE62550">
      <w:pPr>
        <w:jc w:val="left"/>
        <w:rPr>
          <w:rFonts w:hint="eastAsia" w:ascii="仿宋" w:hAnsi="仿宋" w:eastAsia="仿宋" w:cs="仿宋"/>
          <w:b w:val="0"/>
          <w:bCs w:val="0"/>
          <w:spacing w:val="-4"/>
          <w:kern w:val="0"/>
          <w:sz w:val="24"/>
          <w:szCs w:val="24"/>
          <w:lang w:val="en-US" w:eastAsia="zh-CN"/>
        </w:rPr>
      </w:pPr>
      <w:r>
        <w:rPr>
          <w:rFonts w:hint="eastAsia" w:ascii="仿宋" w:hAnsi="仿宋" w:eastAsia="仿宋" w:cs="仿宋"/>
          <w:b w:val="0"/>
          <w:bCs w:val="0"/>
          <w:spacing w:val="-4"/>
          <w:kern w:val="0"/>
          <w:sz w:val="24"/>
          <w:szCs w:val="24"/>
          <w:lang w:val="en-US" w:eastAsia="zh-CN"/>
        </w:rPr>
        <w:t xml:space="preserve">公司盖章：               </w:t>
      </w:r>
    </w:p>
    <w:p w14:paraId="6DA6614D">
      <w:pPr>
        <w:jc w:val="left"/>
        <w:rPr>
          <w:rFonts w:hint="eastAsia" w:ascii="仿宋" w:hAnsi="仿宋" w:eastAsia="仿宋" w:cs="仿宋"/>
          <w:b w:val="0"/>
          <w:bCs w:val="0"/>
          <w:spacing w:val="-4"/>
          <w:kern w:val="0"/>
          <w:sz w:val="24"/>
          <w:szCs w:val="24"/>
          <w:lang w:val="en-US" w:eastAsia="zh-CN"/>
        </w:rPr>
      </w:pPr>
    </w:p>
    <w:p w14:paraId="4FB84AC2">
      <w:pPr>
        <w:jc w:val="left"/>
        <w:rPr>
          <w:rFonts w:hint="eastAsia" w:ascii="仿宋" w:hAnsi="仿宋" w:eastAsia="仿宋" w:cs="仿宋"/>
          <w:b w:val="0"/>
          <w:bCs w:val="0"/>
          <w:spacing w:val="-4"/>
          <w:kern w:val="0"/>
          <w:sz w:val="24"/>
          <w:szCs w:val="24"/>
          <w:lang w:val="en-US" w:eastAsia="zh-CN"/>
        </w:rPr>
      </w:pPr>
    </w:p>
    <w:p w14:paraId="480B9128">
      <w:pPr>
        <w:jc w:val="left"/>
        <w:rPr>
          <w:rFonts w:hint="eastAsia" w:ascii="仿宋" w:hAnsi="仿宋" w:eastAsia="仿宋" w:cs="仿宋"/>
          <w:b w:val="0"/>
          <w:bCs w:val="0"/>
          <w:spacing w:val="-4"/>
          <w:kern w:val="0"/>
          <w:sz w:val="24"/>
          <w:szCs w:val="24"/>
          <w:lang w:val="en-US" w:eastAsia="zh-CN"/>
        </w:rPr>
      </w:pPr>
    </w:p>
    <w:p w14:paraId="4BE9E3E8">
      <w:pPr>
        <w:jc w:val="left"/>
        <w:rPr>
          <w:rFonts w:hint="eastAsia" w:ascii="仿宋" w:hAnsi="仿宋" w:eastAsia="仿宋" w:cs="仿宋"/>
          <w:b w:val="0"/>
          <w:bCs w:val="0"/>
          <w:spacing w:val="-4"/>
          <w:kern w:val="0"/>
          <w:sz w:val="24"/>
          <w:szCs w:val="24"/>
          <w:lang w:val="en-US" w:eastAsia="zh-CN"/>
        </w:rPr>
      </w:pPr>
    </w:p>
    <w:p w14:paraId="7D44AF77">
      <w:pPr>
        <w:jc w:val="left"/>
        <w:rPr>
          <w:rFonts w:hint="eastAsia" w:ascii="仿宋" w:hAnsi="仿宋" w:eastAsia="仿宋" w:cs="仿宋"/>
          <w:b w:val="0"/>
          <w:bCs w:val="0"/>
          <w:spacing w:val="-4"/>
          <w:kern w:val="0"/>
          <w:sz w:val="24"/>
          <w:szCs w:val="24"/>
          <w:lang w:val="en-US" w:eastAsia="zh-CN"/>
        </w:rPr>
      </w:pPr>
    </w:p>
    <w:p w14:paraId="55658BAE">
      <w:pPr>
        <w:jc w:val="left"/>
        <w:rPr>
          <w:rFonts w:hint="eastAsia" w:ascii="仿宋" w:hAnsi="仿宋" w:eastAsia="仿宋" w:cs="仿宋"/>
          <w:b w:val="0"/>
          <w:bCs w:val="0"/>
          <w:spacing w:val="-4"/>
          <w:kern w:val="0"/>
          <w:sz w:val="24"/>
          <w:szCs w:val="24"/>
          <w:lang w:val="en-US" w:eastAsia="zh-CN"/>
        </w:rPr>
      </w:pPr>
    </w:p>
    <w:p w14:paraId="189B1960">
      <w:pPr>
        <w:jc w:val="left"/>
        <w:rPr>
          <w:rFonts w:hint="eastAsia" w:ascii="仿宋" w:hAnsi="仿宋" w:eastAsia="仿宋" w:cs="仿宋"/>
          <w:b w:val="0"/>
          <w:bCs w:val="0"/>
          <w:spacing w:val="-4"/>
          <w:kern w:val="0"/>
          <w:sz w:val="24"/>
          <w:szCs w:val="24"/>
          <w:lang w:val="en-US" w:eastAsia="zh-CN"/>
        </w:rPr>
      </w:pPr>
    </w:p>
    <w:p w14:paraId="46347DCC">
      <w:pPr>
        <w:jc w:val="left"/>
        <w:rPr>
          <w:rFonts w:hint="eastAsia" w:ascii="仿宋" w:hAnsi="仿宋" w:eastAsia="仿宋" w:cs="仿宋"/>
          <w:b w:val="0"/>
          <w:bCs w:val="0"/>
          <w:spacing w:val="-4"/>
          <w:kern w:val="0"/>
          <w:sz w:val="24"/>
          <w:szCs w:val="24"/>
          <w:lang w:val="en-US" w:eastAsia="zh-CN"/>
        </w:rPr>
      </w:pPr>
    </w:p>
    <w:p w14:paraId="4A3F696B">
      <w:pPr>
        <w:jc w:val="left"/>
        <w:rPr>
          <w:rFonts w:hint="eastAsia" w:ascii="仿宋" w:hAnsi="仿宋" w:eastAsia="仿宋" w:cs="仿宋"/>
          <w:b w:val="0"/>
          <w:bCs w:val="0"/>
          <w:spacing w:val="-4"/>
          <w:kern w:val="0"/>
          <w:sz w:val="24"/>
          <w:szCs w:val="24"/>
          <w:lang w:val="en-US" w:eastAsia="zh-CN"/>
        </w:rPr>
      </w:pPr>
    </w:p>
    <w:p w14:paraId="6312EF09">
      <w:pPr>
        <w:jc w:val="left"/>
        <w:rPr>
          <w:rFonts w:hint="eastAsia" w:ascii="仿宋" w:hAnsi="仿宋" w:eastAsia="仿宋" w:cs="仿宋"/>
          <w:b w:val="0"/>
          <w:bCs w:val="0"/>
          <w:spacing w:val="-4"/>
          <w:kern w:val="0"/>
          <w:sz w:val="24"/>
          <w:szCs w:val="24"/>
          <w:lang w:val="en-US" w:eastAsia="zh-CN"/>
        </w:rPr>
        <w:sectPr>
          <w:pgSz w:w="11906" w:h="16838"/>
          <w:pgMar w:top="1417" w:right="1474" w:bottom="1417" w:left="1474" w:header="851" w:footer="624" w:gutter="0"/>
          <w:pgNumType w:fmt="decimal"/>
          <w:cols w:space="720" w:num="1"/>
          <w:docGrid w:type="lines" w:linePitch="319" w:charSpace="0"/>
        </w:sectPr>
      </w:pPr>
    </w:p>
    <w:p w14:paraId="3B80EA59">
      <w:pPr>
        <w:jc w:val="left"/>
        <w:rPr>
          <w:rFonts w:hint="eastAsia" w:asciiTheme="minorEastAsia" w:hAnsiTheme="minorEastAsia" w:eastAsiaTheme="minorEastAsia" w:cstheme="minorEastAsia"/>
          <w:b/>
          <w:bCs/>
          <w:spacing w:val="-4"/>
          <w:kern w:val="0"/>
          <w:sz w:val="24"/>
          <w:szCs w:val="24"/>
          <w:lang w:val="en-US" w:eastAsia="zh-CN"/>
        </w:rPr>
      </w:pPr>
      <w:r>
        <w:rPr>
          <w:rFonts w:hint="eastAsia" w:asciiTheme="minorEastAsia" w:hAnsiTheme="minorEastAsia" w:eastAsiaTheme="minorEastAsia" w:cstheme="minorEastAsia"/>
          <w:b/>
          <w:bCs/>
          <w:spacing w:val="-4"/>
          <w:kern w:val="0"/>
          <w:sz w:val="24"/>
          <w:szCs w:val="24"/>
          <w:lang w:val="en-US" w:eastAsia="zh-CN"/>
        </w:rPr>
        <w:t>附件3</w:t>
      </w:r>
    </w:p>
    <w:p w14:paraId="09B2A667">
      <w:pPr>
        <w:jc w:val="left"/>
        <w:rPr>
          <w:rFonts w:hint="eastAsia" w:asciiTheme="minorEastAsia" w:hAnsiTheme="minorEastAsia" w:eastAsiaTheme="minorEastAsia" w:cstheme="minorEastAsia"/>
          <w:b/>
          <w:bCs/>
          <w:spacing w:val="-4"/>
          <w:kern w:val="0"/>
          <w:sz w:val="24"/>
          <w:szCs w:val="24"/>
          <w:lang w:val="en-US" w:eastAsia="zh-CN"/>
        </w:rPr>
      </w:pPr>
      <w:r>
        <w:rPr>
          <w:rFonts w:hint="eastAsia" w:asciiTheme="minorEastAsia" w:hAnsiTheme="minorEastAsia" w:eastAsiaTheme="minorEastAsia" w:cstheme="minorEastAsia"/>
          <w:b w:val="0"/>
          <w:bCs w:val="0"/>
          <w:spacing w:val="-4"/>
          <w:kern w:val="0"/>
          <w:sz w:val="24"/>
          <w:szCs w:val="24"/>
          <w:lang w:val="en-US" w:eastAsia="zh-CN"/>
        </w:rPr>
        <w:t xml:space="preserve">                    </w:t>
      </w:r>
      <w:r>
        <w:rPr>
          <w:rFonts w:hint="eastAsia" w:asciiTheme="minorEastAsia" w:hAnsiTheme="minorEastAsia" w:eastAsiaTheme="minorEastAsia" w:cstheme="minorEastAsia"/>
          <w:b/>
          <w:bCs/>
          <w:spacing w:val="-4"/>
          <w:kern w:val="0"/>
          <w:sz w:val="24"/>
          <w:szCs w:val="24"/>
          <w:lang w:val="en-US" w:eastAsia="zh-CN"/>
        </w:rPr>
        <w:t xml:space="preserve">  驻马店市中心医院售后服务承诺书</w:t>
      </w:r>
    </w:p>
    <w:p w14:paraId="17028E67">
      <w:pPr>
        <w:keepNext w:val="0"/>
        <w:keepLines w:val="0"/>
        <w:pageBreakBefore w:val="0"/>
        <w:widowControl w:val="0"/>
        <w:kinsoku/>
        <w:wordWrap/>
        <w:overflowPunct/>
        <w:topLinePunct w:val="0"/>
        <w:autoSpaceDE/>
        <w:autoSpaceDN/>
        <w:bidi w:val="0"/>
        <w:adjustRightInd/>
        <w:snapToGrid/>
        <w:spacing w:line="440" w:lineRule="exact"/>
        <w:ind w:firstLine="464" w:firstLineChars="200"/>
        <w:jc w:val="left"/>
        <w:textAlignment w:val="auto"/>
        <w:rPr>
          <w:rFonts w:hint="eastAsia" w:asciiTheme="minorEastAsia" w:hAnsiTheme="minorEastAsia" w:eastAsiaTheme="minorEastAsia" w:cstheme="minorEastAsia"/>
          <w:b w:val="0"/>
          <w:bCs w:val="0"/>
          <w:spacing w:val="-4"/>
          <w:kern w:val="0"/>
          <w:sz w:val="24"/>
          <w:szCs w:val="24"/>
          <w:lang w:val="en-US" w:eastAsia="zh-CN"/>
        </w:rPr>
      </w:pPr>
      <w:r>
        <w:rPr>
          <w:rFonts w:hint="eastAsia" w:asciiTheme="minorEastAsia" w:hAnsiTheme="minorEastAsia" w:eastAsiaTheme="minorEastAsia" w:cstheme="minorEastAsia"/>
          <w:b w:val="0"/>
          <w:bCs w:val="0"/>
          <w:spacing w:val="-4"/>
          <w:kern w:val="0"/>
          <w:sz w:val="24"/>
          <w:szCs w:val="24"/>
          <w:lang w:val="en-US" w:eastAsia="zh-CN"/>
        </w:rPr>
        <w:t>针对我方提供的设备，我方做出如下承诺：</w:t>
      </w:r>
    </w:p>
    <w:p w14:paraId="7E5AA8C1">
      <w:pPr>
        <w:keepNext w:val="0"/>
        <w:keepLines w:val="0"/>
        <w:pageBreakBefore w:val="0"/>
        <w:widowControl w:val="0"/>
        <w:kinsoku/>
        <w:wordWrap/>
        <w:overflowPunct/>
        <w:topLinePunct w:val="0"/>
        <w:autoSpaceDE/>
        <w:autoSpaceDN/>
        <w:bidi w:val="0"/>
        <w:adjustRightInd/>
        <w:snapToGrid/>
        <w:spacing w:line="440" w:lineRule="exact"/>
        <w:ind w:firstLine="464" w:firstLineChars="200"/>
        <w:jc w:val="left"/>
        <w:textAlignment w:val="auto"/>
        <w:rPr>
          <w:rFonts w:hint="eastAsia" w:asciiTheme="minorEastAsia" w:hAnsiTheme="minorEastAsia" w:eastAsiaTheme="minorEastAsia" w:cstheme="minorEastAsia"/>
          <w:b w:val="0"/>
          <w:bCs w:val="0"/>
          <w:spacing w:val="-4"/>
          <w:kern w:val="0"/>
          <w:sz w:val="24"/>
          <w:szCs w:val="24"/>
          <w:u w:val="none"/>
          <w:lang w:val="en-US" w:eastAsia="zh-CN"/>
        </w:rPr>
      </w:pPr>
      <w:r>
        <w:rPr>
          <w:rFonts w:hint="eastAsia" w:asciiTheme="minorEastAsia" w:hAnsiTheme="minorEastAsia" w:eastAsiaTheme="minorEastAsia" w:cstheme="minorEastAsia"/>
          <w:b w:val="0"/>
          <w:bCs w:val="0"/>
          <w:spacing w:val="-4"/>
          <w:kern w:val="0"/>
          <w:sz w:val="24"/>
          <w:szCs w:val="24"/>
          <w:lang w:val="en-US" w:eastAsia="zh-CN"/>
        </w:rPr>
        <w:t>1、设备整机原厂保修</w:t>
      </w:r>
      <w:r>
        <w:rPr>
          <w:rFonts w:hint="eastAsia" w:asciiTheme="minorEastAsia" w:hAnsiTheme="minorEastAsia" w:eastAsiaTheme="minorEastAsia" w:cstheme="minorEastAsia"/>
          <w:b w:val="0"/>
          <w:bCs w:val="0"/>
          <w:spacing w:val="-4"/>
          <w:kern w:val="0"/>
          <w:sz w:val="24"/>
          <w:szCs w:val="24"/>
          <w:u w:val="single"/>
          <w:lang w:val="en-US" w:eastAsia="zh-CN"/>
        </w:rPr>
        <w:t xml:space="preserve">      </w:t>
      </w:r>
      <w:r>
        <w:rPr>
          <w:rFonts w:hint="eastAsia" w:asciiTheme="minorEastAsia" w:hAnsiTheme="minorEastAsia" w:eastAsiaTheme="minorEastAsia" w:cstheme="minorEastAsia"/>
          <w:b w:val="0"/>
          <w:bCs w:val="0"/>
          <w:spacing w:val="-4"/>
          <w:kern w:val="0"/>
          <w:sz w:val="24"/>
          <w:szCs w:val="24"/>
          <w:u w:val="none"/>
          <w:lang w:val="en-US" w:eastAsia="zh-CN"/>
        </w:rPr>
        <w:t xml:space="preserve">年，保修时间按甲方入库之日计算，除火灾、洪水、地震等天灾外，保修期内免费更换零配件及工时费，确保开机率为95%（含）以上。设备保修期内，设备维修占用日期每增加一天按保修时间往后顺延七天。 </w:t>
      </w:r>
    </w:p>
    <w:p w14:paraId="7F75A6D4">
      <w:pPr>
        <w:keepNext w:val="0"/>
        <w:keepLines w:val="0"/>
        <w:pageBreakBefore w:val="0"/>
        <w:widowControl w:val="0"/>
        <w:kinsoku/>
        <w:wordWrap/>
        <w:overflowPunct/>
        <w:topLinePunct w:val="0"/>
        <w:autoSpaceDE/>
        <w:autoSpaceDN/>
        <w:bidi w:val="0"/>
        <w:adjustRightInd/>
        <w:snapToGrid/>
        <w:spacing w:line="440" w:lineRule="exact"/>
        <w:ind w:firstLine="464" w:firstLineChars="200"/>
        <w:jc w:val="left"/>
        <w:textAlignment w:val="auto"/>
        <w:rPr>
          <w:rFonts w:hint="eastAsia" w:asciiTheme="minorEastAsia" w:hAnsiTheme="minorEastAsia" w:eastAsiaTheme="minorEastAsia" w:cstheme="minorEastAsia"/>
          <w:b w:val="0"/>
          <w:bCs w:val="0"/>
          <w:spacing w:val="-4"/>
          <w:kern w:val="0"/>
          <w:sz w:val="24"/>
          <w:szCs w:val="24"/>
          <w:u w:val="none"/>
          <w:lang w:val="en-US" w:eastAsia="zh-CN"/>
        </w:rPr>
      </w:pPr>
      <w:r>
        <w:rPr>
          <w:rFonts w:hint="eastAsia" w:asciiTheme="minorEastAsia" w:hAnsiTheme="minorEastAsia" w:eastAsiaTheme="minorEastAsia" w:cstheme="minorEastAsia"/>
          <w:b w:val="0"/>
          <w:bCs w:val="0"/>
          <w:spacing w:val="-4"/>
          <w:kern w:val="0"/>
          <w:sz w:val="24"/>
          <w:szCs w:val="24"/>
          <w:u w:val="none"/>
          <w:lang w:val="en-US" w:eastAsia="zh-CN"/>
        </w:rPr>
        <w:t>2、每年 4 次专业维护保养，详细制定年度维护计划及保养内容，每次维护保养提前一周通知甲方约定保养时间。保养内容按照原厂标准进行，包括设备清洁、性能测试及校准、必要的机械或电气检查，以及非紧急性质的预防性维护，和确保系统能按照制造商的产品规格运行的其他维护，对设备构成的功能单元进行安全、图像质量方面的检测，并提供详细保养报告及年度维修保养服务报告。</w:t>
      </w:r>
    </w:p>
    <w:p w14:paraId="50B14548">
      <w:pPr>
        <w:keepNext w:val="0"/>
        <w:keepLines w:val="0"/>
        <w:pageBreakBefore w:val="0"/>
        <w:widowControl w:val="0"/>
        <w:kinsoku/>
        <w:wordWrap/>
        <w:overflowPunct/>
        <w:topLinePunct w:val="0"/>
        <w:autoSpaceDE/>
        <w:autoSpaceDN/>
        <w:bidi w:val="0"/>
        <w:adjustRightInd/>
        <w:snapToGrid/>
        <w:spacing w:line="440" w:lineRule="exact"/>
        <w:ind w:firstLine="464" w:firstLineChars="200"/>
        <w:jc w:val="left"/>
        <w:textAlignment w:val="auto"/>
        <w:rPr>
          <w:rFonts w:hint="eastAsia" w:asciiTheme="minorEastAsia" w:hAnsiTheme="minorEastAsia" w:eastAsiaTheme="minorEastAsia" w:cstheme="minorEastAsia"/>
          <w:b w:val="0"/>
          <w:bCs w:val="0"/>
          <w:spacing w:val="-4"/>
          <w:kern w:val="0"/>
          <w:sz w:val="24"/>
          <w:szCs w:val="24"/>
          <w:u w:val="none"/>
          <w:lang w:val="en-US" w:eastAsia="zh-CN"/>
        </w:rPr>
      </w:pPr>
      <w:r>
        <w:rPr>
          <w:rFonts w:hint="eastAsia" w:asciiTheme="minorEastAsia" w:hAnsiTheme="minorEastAsia" w:eastAsiaTheme="minorEastAsia" w:cstheme="minorEastAsia"/>
          <w:b w:val="0"/>
          <w:bCs w:val="0"/>
          <w:spacing w:val="-4"/>
          <w:kern w:val="0"/>
          <w:sz w:val="24"/>
          <w:szCs w:val="24"/>
          <w:u w:val="none"/>
          <w:lang w:val="en-US" w:eastAsia="zh-CN"/>
        </w:rPr>
        <w:t xml:space="preserve">3、为甲方提供现场维修、零备件更换等服务。 </w:t>
      </w:r>
    </w:p>
    <w:p w14:paraId="57AA5607">
      <w:pPr>
        <w:keepNext w:val="0"/>
        <w:keepLines w:val="0"/>
        <w:pageBreakBefore w:val="0"/>
        <w:widowControl w:val="0"/>
        <w:kinsoku/>
        <w:wordWrap/>
        <w:overflowPunct/>
        <w:topLinePunct w:val="0"/>
        <w:autoSpaceDE/>
        <w:autoSpaceDN/>
        <w:bidi w:val="0"/>
        <w:adjustRightInd/>
        <w:snapToGrid/>
        <w:spacing w:line="440" w:lineRule="exact"/>
        <w:ind w:firstLine="464" w:firstLineChars="200"/>
        <w:jc w:val="left"/>
        <w:textAlignment w:val="auto"/>
        <w:rPr>
          <w:rFonts w:hint="eastAsia" w:asciiTheme="minorEastAsia" w:hAnsiTheme="minorEastAsia" w:eastAsiaTheme="minorEastAsia" w:cstheme="minorEastAsia"/>
          <w:b w:val="0"/>
          <w:bCs w:val="0"/>
          <w:spacing w:val="-4"/>
          <w:kern w:val="0"/>
          <w:sz w:val="24"/>
          <w:szCs w:val="24"/>
          <w:u w:val="none"/>
          <w:lang w:val="en-US" w:eastAsia="zh-CN"/>
        </w:rPr>
      </w:pPr>
      <w:r>
        <w:rPr>
          <w:rFonts w:hint="eastAsia" w:asciiTheme="minorEastAsia" w:hAnsiTheme="minorEastAsia" w:eastAsiaTheme="minorEastAsia" w:cstheme="minorEastAsia"/>
          <w:b w:val="0"/>
          <w:bCs w:val="0"/>
          <w:spacing w:val="-4"/>
          <w:kern w:val="0"/>
          <w:sz w:val="24"/>
          <w:szCs w:val="24"/>
          <w:u w:val="none"/>
          <w:lang w:val="en-US" w:eastAsia="zh-CN"/>
        </w:rPr>
        <w:t xml:space="preserve">4、现场维修：乙方为甲方提供无限次免费工时和派工，无限次现场维修，节假日及非工作时间提供紧急维修，20分钟内电话响应，24小时内工程师到达现场，一般故障48小时内维修完毕。如当场不能解决问题，提供备用机，确保不影响医院的正常使用。 </w:t>
      </w:r>
    </w:p>
    <w:p w14:paraId="5BEECCD7">
      <w:pPr>
        <w:keepNext w:val="0"/>
        <w:keepLines w:val="0"/>
        <w:pageBreakBefore w:val="0"/>
        <w:widowControl w:val="0"/>
        <w:kinsoku/>
        <w:wordWrap/>
        <w:overflowPunct/>
        <w:topLinePunct w:val="0"/>
        <w:autoSpaceDE/>
        <w:autoSpaceDN/>
        <w:bidi w:val="0"/>
        <w:adjustRightInd/>
        <w:snapToGrid/>
        <w:spacing w:line="440" w:lineRule="exact"/>
        <w:ind w:firstLine="464" w:firstLineChars="200"/>
        <w:jc w:val="left"/>
        <w:textAlignment w:val="auto"/>
        <w:rPr>
          <w:rFonts w:hint="eastAsia" w:asciiTheme="minorEastAsia" w:hAnsiTheme="minorEastAsia" w:eastAsiaTheme="minorEastAsia" w:cstheme="minorEastAsia"/>
          <w:b w:val="0"/>
          <w:bCs w:val="0"/>
          <w:spacing w:val="-4"/>
          <w:kern w:val="0"/>
          <w:sz w:val="24"/>
          <w:szCs w:val="24"/>
          <w:u w:val="none"/>
          <w:lang w:val="en-US" w:eastAsia="zh-CN"/>
        </w:rPr>
      </w:pPr>
      <w:r>
        <w:rPr>
          <w:rFonts w:hint="eastAsia" w:asciiTheme="minorEastAsia" w:hAnsiTheme="minorEastAsia" w:eastAsiaTheme="minorEastAsia" w:cstheme="minorEastAsia"/>
          <w:b w:val="0"/>
          <w:bCs w:val="0"/>
          <w:spacing w:val="-4"/>
          <w:kern w:val="0"/>
          <w:sz w:val="24"/>
          <w:szCs w:val="24"/>
          <w:u w:val="none"/>
          <w:lang w:val="en-US" w:eastAsia="zh-CN"/>
        </w:rPr>
        <w:t xml:space="preserve">5、零备件更换：在合同有效期内，保证提供原厂全新零备件，本合同服务范围内的设备进行合同约定的维修，甲方不再额外支付费用。 </w:t>
      </w:r>
    </w:p>
    <w:p w14:paraId="20A3F44E">
      <w:pPr>
        <w:keepNext w:val="0"/>
        <w:keepLines w:val="0"/>
        <w:pageBreakBefore w:val="0"/>
        <w:widowControl w:val="0"/>
        <w:kinsoku/>
        <w:wordWrap/>
        <w:overflowPunct/>
        <w:topLinePunct w:val="0"/>
        <w:autoSpaceDE/>
        <w:autoSpaceDN/>
        <w:bidi w:val="0"/>
        <w:adjustRightInd/>
        <w:snapToGrid/>
        <w:spacing w:line="440" w:lineRule="exact"/>
        <w:ind w:firstLine="464" w:firstLineChars="200"/>
        <w:jc w:val="left"/>
        <w:textAlignment w:val="auto"/>
        <w:rPr>
          <w:rFonts w:hint="eastAsia" w:asciiTheme="minorEastAsia" w:hAnsiTheme="minorEastAsia" w:eastAsiaTheme="minorEastAsia" w:cstheme="minorEastAsia"/>
          <w:b w:val="0"/>
          <w:bCs w:val="0"/>
          <w:spacing w:val="-4"/>
          <w:kern w:val="0"/>
          <w:sz w:val="24"/>
          <w:szCs w:val="24"/>
          <w:u w:val="none"/>
          <w:lang w:val="en-US" w:eastAsia="zh-CN"/>
        </w:rPr>
      </w:pPr>
      <w:r>
        <w:rPr>
          <w:rFonts w:hint="eastAsia" w:asciiTheme="minorEastAsia" w:hAnsiTheme="minorEastAsia" w:eastAsiaTheme="minorEastAsia" w:cstheme="minorEastAsia"/>
          <w:b w:val="0"/>
          <w:bCs w:val="0"/>
          <w:spacing w:val="-4"/>
          <w:kern w:val="0"/>
          <w:sz w:val="24"/>
          <w:szCs w:val="24"/>
          <w:u w:val="none"/>
          <w:lang w:val="en-US" w:eastAsia="zh-CN"/>
        </w:rPr>
        <w:t>6、质保期满后，负责设备的终身维修并继续提供优质的服务，储备足够的零配件备库，并始终能以市场上最优惠的价格提供优质的配件。</w:t>
      </w:r>
    </w:p>
    <w:p w14:paraId="7262BF00">
      <w:pPr>
        <w:keepNext w:val="0"/>
        <w:keepLines w:val="0"/>
        <w:pageBreakBefore w:val="0"/>
        <w:widowControl w:val="0"/>
        <w:kinsoku/>
        <w:wordWrap/>
        <w:overflowPunct/>
        <w:topLinePunct w:val="0"/>
        <w:autoSpaceDE/>
        <w:autoSpaceDN/>
        <w:bidi w:val="0"/>
        <w:adjustRightInd/>
        <w:snapToGrid/>
        <w:spacing w:line="440" w:lineRule="exact"/>
        <w:ind w:firstLine="464" w:firstLineChars="200"/>
        <w:jc w:val="left"/>
        <w:textAlignment w:val="auto"/>
        <w:rPr>
          <w:rFonts w:hint="eastAsia" w:asciiTheme="minorEastAsia" w:hAnsiTheme="minorEastAsia" w:eastAsiaTheme="minorEastAsia" w:cstheme="minorEastAsia"/>
          <w:b w:val="0"/>
          <w:bCs w:val="0"/>
          <w:spacing w:val="-4"/>
          <w:kern w:val="0"/>
          <w:sz w:val="24"/>
          <w:szCs w:val="24"/>
          <w:u w:val="none"/>
          <w:lang w:val="en-US" w:eastAsia="zh-CN"/>
        </w:rPr>
      </w:pPr>
      <w:r>
        <w:rPr>
          <w:rFonts w:hint="eastAsia" w:asciiTheme="minorEastAsia" w:hAnsiTheme="minorEastAsia" w:eastAsiaTheme="minorEastAsia" w:cstheme="minorEastAsia"/>
          <w:b w:val="0"/>
          <w:bCs w:val="0"/>
          <w:spacing w:val="-4"/>
          <w:kern w:val="0"/>
          <w:sz w:val="24"/>
          <w:szCs w:val="24"/>
          <w:u w:val="none"/>
          <w:lang w:val="en-US" w:eastAsia="zh-CN"/>
        </w:rPr>
        <w:t xml:space="preserve">7、设备配套的软件终身免费升级和使用，及时提供设备新功能信息和临床应用资料。 </w:t>
      </w:r>
    </w:p>
    <w:p w14:paraId="7FC61E7A">
      <w:pPr>
        <w:keepNext w:val="0"/>
        <w:keepLines w:val="0"/>
        <w:pageBreakBefore w:val="0"/>
        <w:widowControl w:val="0"/>
        <w:kinsoku/>
        <w:wordWrap/>
        <w:overflowPunct/>
        <w:topLinePunct w:val="0"/>
        <w:autoSpaceDE/>
        <w:autoSpaceDN/>
        <w:bidi w:val="0"/>
        <w:adjustRightInd/>
        <w:snapToGrid/>
        <w:spacing w:line="440" w:lineRule="exact"/>
        <w:ind w:firstLine="464" w:firstLineChars="200"/>
        <w:jc w:val="left"/>
        <w:textAlignment w:val="auto"/>
        <w:rPr>
          <w:rFonts w:hint="eastAsia" w:asciiTheme="minorEastAsia" w:hAnsiTheme="minorEastAsia" w:eastAsiaTheme="minorEastAsia" w:cstheme="minorEastAsia"/>
          <w:b w:val="0"/>
          <w:bCs w:val="0"/>
          <w:spacing w:val="-4"/>
          <w:kern w:val="0"/>
          <w:sz w:val="24"/>
          <w:szCs w:val="24"/>
          <w:u w:val="none"/>
          <w:lang w:val="en-US" w:eastAsia="zh-CN"/>
        </w:rPr>
      </w:pPr>
      <w:r>
        <w:rPr>
          <w:rFonts w:hint="eastAsia" w:asciiTheme="minorEastAsia" w:hAnsiTheme="minorEastAsia" w:eastAsiaTheme="minorEastAsia" w:cstheme="minorEastAsia"/>
          <w:b w:val="0"/>
          <w:bCs w:val="0"/>
          <w:spacing w:val="-4"/>
          <w:kern w:val="0"/>
          <w:sz w:val="24"/>
          <w:szCs w:val="24"/>
          <w:u w:val="none"/>
          <w:lang w:val="en-US" w:eastAsia="zh-CN"/>
        </w:rPr>
        <w:t xml:space="preserve">8、投标人、厂家认为其他必要的内容（投标文件中其他售后服务承诺）。 </w:t>
      </w:r>
    </w:p>
    <w:p w14:paraId="59FFDDAC">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b w:val="0"/>
          <w:bCs w:val="0"/>
          <w:spacing w:val="-4"/>
          <w:kern w:val="0"/>
          <w:sz w:val="24"/>
          <w:szCs w:val="24"/>
          <w:u w:val="none"/>
          <w:lang w:val="en-US" w:eastAsia="zh-CN"/>
        </w:rPr>
      </w:pPr>
    </w:p>
    <w:p w14:paraId="5F279846">
      <w:pPr>
        <w:keepNext w:val="0"/>
        <w:keepLines w:val="0"/>
        <w:pageBreakBefore w:val="0"/>
        <w:widowControl w:val="0"/>
        <w:kinsoku/>
        <w:wordWrap/>
        <w:overflowPunct/>
        <w:topLinePunct w:val="0"/>
        <w:autoSpaceDE/>
        <w:autoSpaceDN/>
        <w:bidi w:val="0"/>
        <w:adjustRightInd/>
        <w:snapToGrid/>
        <w:spacing w:line="440" w:lineRule="exact"/>
        <w:ind w:firstLine="464" w:firstLineChars="200"/>
        <w:jc w:val="left"/>
        <w:textAlignment w:val="auto"/>
        <w:rPr>
          <w:rFonts w:hint="eastAsia" w:asciiTheme="minorEastAsia" w:hAnsiTheme="minorEastAsia" w:eastAsiaTheme="minorEastAsia" w:cstheme="minorEastAsia"/>
          <w:b w:val="0"/>
          <w:bCs w:val="0"/>
          <w:spacing w:val="-4"/>
          <w:kern w:val="0"/>
          <w:sz w:val="24"/>
          <w:szCs w:val="24"/>
          <w:u w:val="none"/>
          <w:lang w:val="en-US" w:eastAsia="zh-CN"/>
        </w:rPr>
      </w:pPr>
    </w:p>
    <w:p w14:paraId="1F721077">
      <w:pPr>
        <w:keepNext w:val="0"/>
        <w:keepLines w:val="0"/>
        <w:pageBreakBefore w:val="0"/>
        <w:widowControl w:val="0"/>
        <w:kinsoku/>
        <w:wordWrap/>
        <w:overflowPunct/>
        <w:topLinePunct w:val="0"/>
        <w:autoSpaceDE/>
        <w:autoSpaceDN/>
        <w:bidi w:val="0"/>
        <w:adjustRightInd/>
        <w:snapToGrid/>
        <w:spacing w:line="440" w:lineRule="exact"/>
        <w:ind w:firstLine="464" w:firstLineChars="200"/>
        <w:jc w:val="left"/>
        <w:textAlignment w:val="auto"/>
        <w:rPr>
          <w:rFonts w:hint="eastAsia" w:asciiTheme="minorEastAsia" w:hAnsiTheme="minorEastAsia" w:eastAsiaTheme="minorEastAsia" w:cstheme="minorEastAsia"/>
          <w:b w:val="0"/>
          <w:bCs w:val="0"/>
          <w:spacing w:val="-4"/>
          <w:kern w:val="0"/>
          <w:sz w:val="24"/>
          <w:szCs w:val="24"/>
          <w:u w:val="none"/>
          <w:lang w:val="en-US" w:eastAsia="zh-CN"/>
        </w:rPr>
      </w:pPr>
      <w:r>
        <w:rPr>
          <w:rFonts w:hint="eastAsia" w:asciiTheme="minorEastAsia" w:hAnsiTheme="minorEastAsia" w:eastAsiaTheme="minorEastAsia" w:cstheme="minorEastAsia"/>
          <w:b w:val="0"/>
          <w:bCs w:val="0"/>
          <w:spacing w:val="-4"/>
          <w:kern w:val="0"/>
          <w:sz w:val="24"/>
          <w:szCs w:val="24"/>
          <w:u w:val="none"/>
          <w:lang w:val="en-US" w:eastAsia="zh-CN"/>
        </w:rPr>
        <w:t xml:space="preserve">生产厂家（签章）：必填 </w:t>
      </w:r>
    </w:p>
    <w:p w14:paraId="09F9FB14">
      <w:pPr>
        <w:keepNext w:val="0"/>
        <w:keepLines w:val="0"/>
        <w:pageBreakBefore w:val="0"/>
        <w:widowControl w:val="0"/>
        <w:kinsoku/>
        <w:wordWrap/>
        <w:overflowPunct/>
        <w:topLinePunct w:val="0"/>
        <w:autoSpaceDE/>
        <w:autoSpaceDN/>
        <w:bidi w:val="0"/>
        <w:adjustRightInd/>
        <w:snapToGrid/>
        <w:spacing w:line="440" w:lineRule="exact"/>
        <w:ind w:firstLine="464" w:firstLineChars="200"/>
        <w:jc w:val="left"/>
        <w:textAlignment w:val="auto"/>
        <w:rPr>
          <w:rFonts w:hint="eastAsia" w:asciiTheme="minorEastAsia" w:hAnsiTheme="minorEastAsia" w:eastAsiaTheme="minorEastAsia" w:cstheme="minorEastAsia"/>
          <w:b w:val="0"/>
          <w:bCs w:val="0"/>
          <w:spacing w:val="-4"/>
          <w:kern w:val="0"/>
          <w:sz w:val="24"/>
          <w:szCs w:val="24"/>
          <w:u w:val="none"/>
          <w:lang w:val="en-US" w:eastAsia="zh-CN"/>
        </w:rPr>
      </w:pPr>
      <w:r>
        <w:rPr>
          <w:rFonts w:hint="eastAsia" w:asciiTheme="minorEastAsia" w:hAnsiTheme="minorEastAsia" w:eastAsiaTheme="minorEastAsia" w:cstheme="minorEastAsia"/>
          <w:b w:val="0"/>
          <w:bCs w:val="0"/>
          <w:spacing w:val="-4"/>
          <w:kern w:val="0"/>
          <w:sz w:val="24"/>
          <w:szCs w:val="24"/>
          <w:u w:val="none"/>
          <w:lang w:val="en-US" w:eastAsia="zh-CN"/>
        </w:rPr>
        <w:t xml:space="preserve">地址：必填 </w:t>
      </w:r>
    </w:p>
    <w:p w14:paraId="20057C08">
      <w:pPr>
        <w:keepNext w:val="0"/>
        <w:keepLines w:val="0"/>
        <w:pageBreakBefore w:val="0"/>
        <w:widowControl w:val="0"/>
        <w:kinsoku/>
        <w:wordWrap/>
        <w:overflowPunct/>
        <w:topLinePunct w:val="0"/>
        <w:autoSpaceDE/>
        <w:autoSpaceDN/>
        <w:bidi w:val="0"/>
        <w:adjustRightInd/>
        <w:snapToGrid/>
        <w:spacing w:line="440" w:lineRule="exact"/>
        <w:ind w:firstLine="464" w:firstLineChars="200"/>
        <w:jc w:val="left"/>
        <w:textAlignment w:val="auto"/>
        <w:rPr>
          <w:rFonts w:hint="eastAsia" w:asciiTheme="minorEastAsia" w:hAnsiTheme="minorEastAsia" w:eastAsiaTheme="minorEastAsia" w:cstheme="minorEastAsia"/>
          <w:b w:val="0"/>
          <w:bCs w:val="0"/>
          <w:spacing w:val="-4"/>
          <w:kern w:val="0"/>
          <w:sz w:val="24"/>
          <w:szCs w:val="24"/>
          <w:u w:val="none"/>
          <w:lang w:val="en-US" w:eastAsia="zh-CN"/>
        </w:rPr>
      </w:pPr>
      <w:r>
        <w:rPr>
          <w:rFonts w:hint="eastAsia" w:asciiTheme="minorEastAsia" w:hAnsiTheme="minorEastAsia" w:eastAsiaTheme="minorEastAsia" w:cstheme="minorEastAsia"/>
          <w:b w:val="0"/>
          <w:bCs w:val="0"/>
          <w:spacing w:val="-4"/>
          <w:kern w:val="0"/>
          <w:sz w:val="24"/>
          <w:szCs w:val="24"/>
          <w:u w:val="none"/>
          <w:lang w:val="en-US" w:eastAsia="zh-CN"/>
        </w:rPr>
        <w:t xml:space="preserve">联系人：必填 </w:t>
      </w:r>
    </w:p>
    <w:p w14:paraId="7888FCA6">
      <w:pPr>
        <w:keepNext w:val="0"/>
        <w:keepLines w:val="0"/>
        <w:pageBreakBefore w:val="0"/>
        <w:widowControl w:val="0"/>
        <w:kinsoku/>
        <w:wordWrap/>
        <w:overflowPunct/>
        <w:topLinePunct w:val="0"/>
        <w:autoSpaceDE/>
        <w:autoSpaceDN/>
        <w:bidi w:val="0"/>
        <w:adjustRightInd/>
        <w:snapToGrid/>
        <w:spacing w:line="440" w:lineRule="exact"/>
        <w:ind w:firstLine="464" w:firstLineChars="200"/>
        <w:jc w:val="left"/>
        <w:textAlignment w:val="auto"/>
        <w:rPr>
          <w:rFonts w:hint="eastAsia" w:asciiTheme="minorEastAsia" w:hAnsiTheme="minorEastAsia" w:eastAsiaTheme="minorEastAsia" w:cstheme="minorEastAsia"/>
          <w:b w:val="0"/>
          <w:bCs w:val="0"/>
          <w:spacing w:val="-4"/>
          <w:kern w:val="0"/>
          <w:sz w:val="24"/>
          <w:szCs w:val="24"/>
          <w:u w:val="none"/>
          <w:lang w:val="en-US" w:eastAsia="zh-CN"/>
        </w:rPr>
      </w:pPr>
      <w:r>
        <w:rPr>
          <w:rFonts w:hint="eastAsia" w:asciiTheme="minorEastAsia" w:hAnsiTheme="minorEastAsia" w:eastAsiaTheme="minorEastAsia" w:cstheme="minorEastAsia"/>
          <w:b w:val="0"/>
          <w:bCs w:val="0"/>
          <w:spacing w:val="-4"/>
          <w:kern w:val="0"/>
          <w:sz w:val="24"/>
          <w:szCs w:val="24"/>
          <w:u w:val="none"/>
          <w:lang w:val="en-US" w:eastAsia="zh-CN"/>
        </w:rPr>
        <w:t>联系方式：必填</w:t>
      </w:r>
    </w:p>
    <w:p w14:paraId="63B0B57D">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3"/>
        <w:rPr>
          <w:rFonts w:hint="eastAsia" w:ascii="宋体" w:hAnsi="宋体" w:eastAsia="宋体" w:cs="宋体"/>
          <w:color w:val="auto"/>
          <w:highlight w:val="none"/>
        </w:rPr>
      </w:pPr>
    </w:p>
    <w:p w14:paraId="30EBB8A6">
      <w:pPr>
        <w:pStyle w:val="2"/>
        <w:jc w:val="center"/>
        <w:rPr>
          <w:rFonts w:hint="eastAsia" w:ascii="宋体" w:hAnsi="宋体" w:eastAsia="宋体" w:cs="宋体"/>
          <w:color w:val="auto"/>
          <w:kern w:val="0"/>
          <w:highlight w:val="none"/>
        </w:rPr>
      </w:pPr>
      <w:bookmarkStart w:id="44"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39"/>
      <w:bookmarkEnd w:id="40"/>
      <w:bookmarkEnd w:id="44"/>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45" w:name="_Toc13604"/>
      <w:r>
        <w:rPr>
          <w:rFonts w:hint="eastAsia" w:ascii="宋体" w:hAnsi="宋体" w:eastAsia="宋体" w:cs="宋体"/>
          <w:b/>
          <w:bCs/>
          <w:color w:val="auto"/>
          <w:sz w:val="32"/>
          <w:szCs w:val="32"/>
          <w:highlight w:val="none"/>
        </w:rPr>
        <w:t>目    录</w:t>
      </w:r>
      <w:bookmarkEnd w:id="45"/>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6"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46"/>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7"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47"/>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8"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48"/>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49" w:name="_Toc9579"/>
      <w:r>
        <w:rPr>
          <w:rFonts w:hint="eastAsia" w:ascii="宋体" w:hAnsi="宋体" w:eastAsia="宋体" w:cs="宋体"/>
          <w:color w:val="auto"/>
          <w:sz w:val="24"/>
          <w:highlight w:val="none"/>
        </w:rPr>
        <w:t xml:space="preserve">附件4 </w:t>
      </w:r>
      <w:bookmarkEnd w:id="49"/>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50"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50"/>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51" w:name="_Toc6234"/>
      <w:r>
        <w:rPr>
          <w:rFonts w:hint="eastAsia" w:ascii="宋体" w:hAnsi="宋体" w:eastAsia="宋体" w:cs="宋体"/>
          <w:color w:val="auto"/>
          <w:sz w:val="24"/>
          <w:highlight w:val="none"/>
        </w:rPr>
        <w:t>附件6 商务</w:t>
      </w:r>
      <w:bookmarkEnd w:id="51"/>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2"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52"/>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3"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53"/>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4" w:name="_Toc31857"/>
      <w:r>
        <w:rPr>
          <w:rFonts w:hint="eastAsia" w:ascii="宋体" w:hAnsi="宋体" w:eastAsia="宋体" w:cs="宋体"/>
          <w:color w:val="auto"/>
          <w:sz w:val="24"/>
          <w:highlight w:val="none"/>
        </w:rPr>
        <w:t>附件9 证明文件</w:t>
      </w:r>
      <w:bookmarkEnd w:id="54"/>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3"/>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3"/>
        <w:rPr>
          <w:rFonts w:hint="eastAsia" w:ascii="宋体" w:hAnsi="宋体" w:eastAsia="宋体" w:cs="宋体"/>
          <w:b/>
          <w:bCs/>
          <w:color w:val="auto"/>
          <w:kern w:val="0"/>
          <w:sz w:val="24"/>
          <w:highlight w:val="none"/>
        </w:rPr>
      </w:pPr>
    </w:p>
    <w:p w14:paraId="736844FA">
      <w:pPr>
        <w:pStyle w:val="4"/>
        <w:rPr>
          <w:rFonts w:hint="eastAsia" w:ascii="宋体" w:hAnsi="宋体" w:eastAsia="宋体" w:cs="宋体"/>
          <w:b/>
          <w:bCs/>
          <w:color w:val="auto"/>
          <w:highlight w:val="none"/>
        </w:rPr>
      </w:pPr>
    </w:p>
    <w:p w14:paraId="7C048156">
      <w:pPr>
        <w:pStyle w:val="4"/>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8"/>
        <w:rPr>
          <w:rFonts w:hint="eastAsia" w:ascii="宋体" w:hAnsi="宋体" w:eastAsia="宋体" w:cs="宋体"/>
          <w:color w:val="auto"/>
          <w:highlight w:val="none"/>
        </w:rPr>
      </w:pPr>
    </w:p>
    <w:p w14:paraId="67FE75CD">
      <w:pPr>
        <w:pStyle w:val="8"/>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55" w:name="_Toc24743"/>
      <w:bookmarkStart w:id="56" w:name="_Toc31798"/>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55"/>
      <w:bookmarkEnd w:id="56"/>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4"/>
        <w:spacing w:line="360" w:lineRule="auto"/>
        <w:rPr>
          <w:rFonts w:hint="eastAsia" w:ascii="宋体" w:hAnsi="宋体" w:eastAsia="宋体" w:cs="宋体"/>
          <w:color w:val="auto"/>
          <w:highlight w:val="none"/>
        </w:rPr>
      </w:pPr>
    </w:p>
    <w:p w14:paraId="51E48B65">
      <w:pPr>
        <w:pStyle w:val="4"/>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 xml:space="preserve">  </w:t>
      </w:r>
    </w:p>
    <w:p w14:paraId="79D76E85">
      <w:pPr>
        <w:widowControl/>
        <w:wordWrap w:val="0"/>
        <w:spacing w:line="460" w:lineRule="exact"/>
        <w:ind w:left="0" w:leftChars="0" w:firstLine="1400" w:firstLineChars="5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1400" w:firstLineChars="500"/>
        <w:jc w:val="both"/>
        <w:rPr>
          <w:rFonts w:hint="eastAsia" w:ascii="宋体" w:hAnsi="宋体" w:eastAsia="宋体" w:cs="宋体"/>
          <w:b/>
          <w:color w:val="auto"/>
          <w:kern w:val="0"/>
          <w:sz w:val="24"/>
          <w:highlight w:val="none"/>
        </w:rPr>
      </w:pPr>
      <w:r>
        <w:rPr>
          <w:rFonts w:hint="eastAsia" w:ascii="宋体" w:hAnsi="宋体" w:cs="宋体"/>
          <w:color w:val="auto"/>
          <w:sz w:val="28"/>
          <w:szCs w:val="28"/>
          <w:highlight w:val="none"/>
          <w:lang w:val="en-US" w:eastAsia="zh-CN"/>
        </w:rPr>
        <w:t xml:space="preserve">日期：     </w:t>
      </w: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3"/>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8"/>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57" w:name="_Toc14560"/>
      <w:bookmarkStart w:id="58" w:name="_Toc8818"/>
      <w:r>
        <w:rPr>
          <w:rFonts w:hint="eastAsia" w:ascii="宋体" w:hAnsi="宋体" w:eastAsia="宋体" w:cs="宋体"/>
          <w:color w:val="auto"/>
          <w:sz w:val="28"/>
          <w:szCs w:val="28"/>
          <w:highlight w:val="none"/>
          <w:lang w:val="en-US" w:eastAsia="zh-CN"/>
        </w:rPr>
        <w:t>附件2      竞争性磋商响应书（格式）</w:t>
      </w:r>
      <w:bookmarkEnd w:id="57"/>
      <w:bookmarkEnd w:id="58"/>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致：</w:t>
      </w:r>
      <w:r>
        <w:rPr>
          <w:rFonts w:hint="eastAsia" w:ascii="宋体" w:hAnsi="宋体" w:cs="宋体"/>
          <w:color w:val="auto"/>
          <w:kern w:val="0"/>
          <w:sz w:val="24"/>
          <w:szCs w:val="24"/>
          <w:highlight w:val="none"/>
          <w:u w:val="single"/>
          <w:lang w:val="en-US" w:eastAsia="zh-CN"/>
        </w:rPr>
        <w:t>驻马店市中心医院</w:t>
      </w:r>
    </w:p>
    <w:p w14:paraId="719699C1">
      <w:pPr>
        <w:pStyle w:val="97"/>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我方仔细研究了</w:t>
      </w:r>
      <w:r>
        <w:rPr>
          <w:rFonts w:hint="eastAsia" w:asciiTheme="minorEastAsia" w:hAnsiTheme="minorEastAsia"/>
          <w:bCs/>
          <w:color w:val="FF0000"/>
          <w:sz w:val="24"/>
          <w:szCs w:val="24"/>
          <w:highlight w:val="none"/>
          <w:u w:val="single"/>
        </w:rPr>
        <w:t>（项目名称：</w:t>
      </w:r>
      <w:r>
        <w:rPr>
          <w:rFonts w:hint="eastAsia" w:asciiTheme="minorEastAsia" w:hAnsiTheme="minorEastAsia"/>
          <w:bCs/>
          <w:color w:val="FF0000"/>
          <w:sz w:val="24"/>
          <w:szCs w:val="24"/>
          <w:highlight w:val="none"/>
          <w:u w:val="single"/>
          <w:lang w:val="en-US" w:eastAsia="zh-CN"/>
        </w:rPr>
        <w:t xml:space="preserve">               </w:t>
      </w:r>
      <w:r>
        <w:rPr>
          <w:rFonts w:hint="eastAsia" w:asciiTheme="minorEastAsia" w:hAnsiTheme="minorEastAsia"/>
          <w:bCs/>
          <w:color w:val="FF0000"/>
          <w:sz w:val="24"/>
          <w:szCs w:val="24"/>
          <w:highlight w:val="none"/>
          <w:u w:val="single"/>
        </w:rPr>
        <w:t>）</w:t>
      </w:r>
      <w:r>
        <w:rPr>
          <w:rFonts w:hint="eastAsia" w:asciiTheme="minorEastAsia" w:hAnsiTheme="minorEastAsia"/>
          <w:sz w:val="24"/>
          <w:szCs w:val="24"/>
          <w:highlight w:val="none"/>
          <w:lang w:val="en-US" w:eastAsia="zh-CN"/>
        </w:rPr>
        <w:t>采购</w:t>
      </w:r>
      <w:r>
        <w:rPr>
          <w:rFonts w:hint="eastAsia" w:asciiTheme="minorEastAsia" w:hAnsiTheme="minorEastAsia"/>
          <w:sz w:val="24"/>
          <w:szCs w:val="24"/>
          <w:highlight w:val="none"/>
        </w:rPr>
        <w:t>文件的全部内容，决定参加该项目的磋商活动并按要求提交响应文件。我们郑重声明以下诸点并负法律责任</w:t>
      </w:r>
      <w:r>
        <w:rPr>
          <w:rFonts w:asciiTheme="minorEastAsia" w:hAnsiTheme="minorEastAsia"/>
          <w:sz w:val="24"/>
          <w:szCs w:val="24"/>
          <w:highlight w:val="none"/>
        </w:rPr>
        <w:t>:</w:t>
      </w:r>
    </w:p>
    <w:p w14:paraId="3D38FEFB">
      <w:pPr>
        <w:keepNext w:val="0"/>
        <w:pageBreakBefore w:val="0"/>
        <w:widowControl w:val="0"/>
        <w:wordWrap w:val="0"/>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1、我方愿意向贵方提供任何与本竞争性磋商项目有关的数据、情况和技术资料，并保证其真实、合法、有效</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完整</w:t>
      </w:r>
      <w:r>
        <w:rPr>
          <w:rFonts w:hint="eastAsia" w:ascii="宋体" w:hAnsi="宋体" w:eastAsia="宋体" w:cs="宋体"/>
          <w:color w:val="auto"/>
          <w:kern w:val="0"/>
          <w:sz w:val="24"/>
          <w:szCs w:val="24"/>
          <w:highlight w:val="none"/>
        </w:rPr>
        <w:t>。</w:t>
      </w:r>
    </w:p>
    <w:p w14:paraId="77530AF8">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、我方</w:t>
      </w:r>
      <w:r>
        <w:rPr>
          <w:rFonts w:hint="eastAsia" w:asciiTheme="minorEastAsia" w:hAnsiTheme="minorEastAsia"/>
          <w:sz w:val="24"/>
          <w:szCs w:val="24"/>
          <w:highlight w:val="none"/>
        </w:rPr>
        <w:t>我方响应文件有效期为自磋商之日</w:t>
      </w:r>
      <w:r>
        <w:rPr>
          <w:rFonts w:hint="eastAsia" w:asciiTheme="minorEastAsia" w:hAnsiTheme="minorEastAsia"/>
          <w:sz w:val="24"/>
          <w:szCs w:val="24"/>
          <w:highlight w:val="none"/>
          <w:u w:val="none"/>
        </w:rPr>
        <w:t>起</w:t>
      </w:r>
      <w:r>
        <w:rPr>
          <w:rFonts w:asciiTheme="minorEastAsia" w:hAnsiTheme="minorEastAsia"/>
          <w:sz w:val="24"/>
          <w:szCs w:val="24"/>
          <w:highlight w:val="none"/>
          <w:u w:val="none"/>
        </w:rPr>
        <w:t>90</w:t>
      </w:r>
      <w:r>
        <w:rPr>
          <w:rFonts w:hint="eastAsia" w:asciiTheme="minorEastAsia" w:hAnsiTheme="minorEastAsia"/>
          <w:sz w:val="24"/>
          <w:szCs w:val="24"/>
          <w:highlight w:val="none"/>
          <w:u w:val="none"/>
        </w:rPr>
        <w:t>天</w:t>
      </w:r>
      <w:r>
        <w:rPr>
          <w:rFonts w:hint="eastAsia" w:asciiTheme="minorEastAsia" w:hAnsiTheme="minorEastAsia"/>
          <w:sz w:val="24"/>
          <w:szCs w:val="24"/>
          <w:highlight w:val="none"/>
          <w:u w:val="none"/>
          <w:lang w:eastAsia="zh-CN"/>
        </w:rPr>
        <w:t>，</w:t>
      </w:r>
      <w:r>
        <w:rPr>
          <w:rFonts w:hint="eastAsia" w:ascii="宋体" w:hAnsi="宋体" w:eastAsia="宋体" w:cs="宋体"/>
          <w:color w:val="auto"/>
          <w:kern w:val="0"/>
          <w:sz w:val="24"/>
          <w:szCs w:val="24"/>
          <w:highlight w:val="none"/>
        </w:rPr>
        <w:t>同意在</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文件有效期内遵守本</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文件中的承诺且在此期限期满之前均具有约束力。如果我方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、我方已详细审查全部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文件，包括修改文件（如有的话）和有关附件，将自行承担因对全部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、我方尊重</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的评</w:t>
      </w:r>
      <w:r>
        <w:rPr>
          <w:rFonts w:hint="eastAsia" w:ascii="宋体" w:hAnsi="宋体" w:eastAsia="宋体" w:cs="宋体"/>
          <w:color w:val="auto"/>
          <w:kern w:val="0"/>
          <w:sz w:val="24"/>
          <w:szCs w:val="24"/>
          <w:highlight w:val="none"/>
          <w:lang w:val="en-US" w:eastAsia="zh-CN"/>
        </w:rPr>
        <w:t>审</w:t>
      </w:r>
      <w:r>
        <w:rPr>
          <w:rFonts w:hint="eastAsia" w:ascii="宋体" w:hAnsi="宋体" w:eastAsia="宋体" w:cs="宋体"/>
          <w:color w:val="auto"/>
          <w:kern w:val="0"/>
          <w:sz w:val="24"/>
          <w:szCs w:val="24"/>
          <w:highlight w:val="none"/>
        </w:rPr>
        <w:t>结果，完全理解本</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项目最低投标价不作为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的保证。</w:t>
      </w:r>
    </w:p>
    <w:p w14:paraId="16EBA839">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、如果被确定为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供应商，我方同意按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文件的规定领取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并缴纳服务费。否则，视为我方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后自动放弃</w:t>
      </w:r>
      <w:r>
        <w:rPr>
          <w:rFonts w:hint="eastAsia" w:ascii="宋体" w:hAnsi="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资格，承担由此引起的一切后果。</w:t>
      </w:r>
    </w:p>
    <w:p w14:paraId="3B795BEB">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、如果被确定为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供应商，我方同意在领取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之日起</w:t>
      </w:r>
      <w:r>
        <w:rPr>
          <w:rFonts w:hint="eastAsia" w:ascii="宋体" w:hAnsi="宋体" w:cs="宋体"/>
          <w:color w:val="auto"/>
          <w:kern w:val="0"/>
          <w:sz w:val="24"/>
          <w:szCs w:val="24"/>
          <w:highlight w:val="none"/>
          <w:u w:val="none"/>
          <w:lang w:val="en-US" w:eastAsia="zh-CN"/>
        </w:rPr>
        <w:t>30</w:t>
      </w:r>
      <w:r>
        <w:rPr>
          <w:rFonts w:hint="eastAsia" w:ascii="宋体" w:hAnsi="宋体" w:eastAsia="宋体" w:cs="宋体"/>
          <w:color w:val="auto"/>
          <w:kern w:val="0"/>
          <w:sz w:val="24"/>
          <w:szCs w:val="24"/>
          <w:highlight w:val="none"/>
          <w:u w:val="none"/>
        </w:rPr>
        <w:t>日内</w:t>
      </w:r>
      <w:r>
        <w:rPr>
          <w:rFonts w:hint="eastAsia" w:ascii="宋体" w:hAnsi="宋体" w:eastAsia="宋体" w:cs="宋体"/>
          <w:color w:val="auto"/>
          <w:kern w:val="0"/>
          <w:sz w:val="24"/>
          <w:szCs w:val="24"/>
          <w:highlight w:val="none"/>
        </w:rPr>
        <w:t>与采购人签订采购合同。否则，视为我方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后无正当理由不与采购人签订合同并承担相应法律责任。</w:t>
      </w:r>
    </w:p>
    <w:p w14:paraId="0D90ED5A">
      <w:pPr>
        <w:keepNext w:val="0"/>
        <w:pageBreakBefore w:val="0"/>
        <w:widowControl w:val="0"/>
        <w:tabs>
          <w:tab w:val="left" w:pos="939"/>
        </w:tabs>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、以上事项如有虚假或隐瞒，我方愿意承担一切后果和责任。</w:t>
      </w:r>
    </w:p>
    <w:p w14:paraId="2AA43C61">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、与</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地址：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邮编：</w:t>
      </w:r>
    </w:p>
    <w:p w14:paraId="44EDD7FD">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电话：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 xml:space="preserve">传真： </w:t>
      </w:r>
    </w:p>
    <w:p w14:paraId="1B961AD2">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p>
    <w:p w14:paraId="1370EEFF">
      <w:pPr>
        <w:keepNext w:val="0"/>
        <w:pageBreakBefore w:val="0"/>
        <w:widowControl w:val="0"/>
        <w:wordWrap w:val="0"/>
        <w:overflowPunct/>
        <w:topLinePunct w:val="0"/>
        <w:bidi w:val="0"/>
        <w:spacing w:line="460" w:lineRule="exact"/>
        <w:ind w:firstLine="840" w:firstLineChars="35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rPr>
        <w:t>法定代表人或委托代理人（签字</w:t>
      </w:r>
      <w:r>
        <w:rPr>
          <w:rFonts w:hint="eastAsia" w:ascii="宋体" w:hAnsi="宋体" w:eastAsia="宋体" w:cs="宋体"/>
          <w:color w:val="auto"/>
          <w:kern w:val="0"/>
          <w:sz w:val="24"/>
          <w:szCs w:val="24"/>
          <w:highlight w:val="none"/>
          <w:lang w:val="en-US" w:eastAsia="zh-CN"/>
        </w:rPr>
        <w:t>或盖章</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 xml:space="preserve">： </w:t>
      </w:r>
    </w:p>
    <w:p w14:paraId="2249E6D9">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全称并</w:t>
      </w:r>
      <w:r>
        <w:rPr>
          <w:rFonts w:hint="eastAsia" w:ascii="宋体" w:hAnsi="宋体" w:eastAsia="宋体" w:cs="宋体"/>
          <w:color w:val="auto"/>
          <w:kern w:val="0"/>
          <w:sz w:val="24"/>
          <w:szCs w:val="24"/>
          <w:highlight w:val="none"/>
          <w:lang w:val="en-US" w:eastAsia="zh-CN"/>
        </w:rPr>
        <w:t>加</w:t>
      </w:r>
      <w:r>
        <w:rPr>
          <w:rFonts w:hint="eastAsia" w:ascii="宋体" w:hAnsi="宋体" w:eastAsia="宋体"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rPr>
        <w:t>）</w:t>
      </w:r>
    </w:p>
    <w:p w14:paraId="2F6DB91A">
      <w:pPr>
        <w:keepNext w:val="0"/>
        <w:pageBreakBefore w:val="0"/>
        <w:widowControl w:val="0"/>
        <w:wordWrap w:val="0"/>
        <w:overflowPunct/>
        <w:topLinePunct w:val="0"/>
        <w:bidi w:val="0"/>
        <w:spacing w:line="460" w:lineRule="exact"/>
        <w:ind w:firstLine="960" w:firstLineChars="4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 xml:space="preserve">日期：    </w:t>
      </w:r>
      <w:r>
        <w:rPr>
          <w:rFonts w:hint="eastAsia" w:ascii="宋体" w:hAnsi="宋体" w:eastAsia="宋体" w:cs="宋体"/>
          <w:color w:val="auto"/>
          <w:kern w:val="0"/>
          <w:sz w:val="24"/>
          <w:szCs w:val="24"/>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szCs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59" w:name="_Toc7838"/>
      <w:r>
        <w:rPr>
          <w:rFonts w:hint="eastAsia" w:ascii="宋体" w:hAnsi="宋体" w:eastAsia="宋体" w:cs="宋体"/>
          <w:color w:val="auto"/>
          <w:sz w:val="28"/>
          <w:szCs w:val="28"/>
          <w:highlight w:val="none"/>
          <w:lang w:val="en-US" w:eastAsia="zh-CN"/>
        </w:rPr>
        <w:t>附件3            初次报价一览表</w:t>
      </w:r>
      <w:bookmarkEnd w:id="59"/>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en-US" w:eastAsia="zh-CN"/>
        </w:rPr>
        <w:t>元</w:t>
      </w:r>
      <w:r>
        <w:rPr>
          <w:rFonts w:hint="eastAsia" w:ascii="宋体" w:hAnsi="宋体" w:cs="宋体"/>
          <w:color w:val="auto"/>
          <w:sz w:val="24"/>
          <w:highlight w:val="none"/>
          <w:lang w:eastAsia="zh-CN"/>
        </w:rPr>
        <w:t>）</w:t>
      </w:r>
    </w:p>
    <w:p w14:paraId="7731EC5A">
      <w:pPr>
        <w:rPr>
          <w:rFonts w:hint="eastAsia" w:ascii="宋体" w:hAnsi="宋体" w:eastAsia="宋体" w:cs="宋体"/>
          <w:color w:val="auto"/>
          <w:highlight w:val="none"/>
        </w:rPr>
      </w:pPr>
    </w:p>
    <w:tbl>
      <w:tblPr>
        <w:tblStyle w:val="3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094"/>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项目名称</w:t>
            </w:r>
          </w:p>
        </w:tc>
        <w:tc>
          <w:tcPr>
            <w:tcW w:w="7094" w:type="dxa"/>
            <w:noWrap/>
            <w:vAlign w:val="center"/>
          </w:tcPr>
          <w:p w14:paraId="29544E6D">
            <w:pPr>
              <w:rPr>
                <w:rFonts w:hint="eastAsia" w:ascii="宋体" w:hAnsi="宋体" w:eastAsia="宋体" w:cs="宋体"/>
                <w:bCs/>
                <w:color w:val="auto"/>
                <w:sz w:val="24"/>
                <w:szCs w:val="24"/>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名称</w:t>
            </w:r>
          </w:p>
        </w:tc>
        <w:tc>
          <w:tcPr>
            <w:tcW w:w="7094" w:type="dxa"/>
            <w:noWrap/>
            <w:vAlign w:val="center"/>
          </w:tcPr>
          <w:p w14:paraId="07B627DC">
            <w:pPr>
              <w:rPr>
                <w:rFonts w:hint="eastAsia" w:ascii="宋体" w:hAnsi="宋体" w:eastAsia="宋体" w:cs="宋体"/>
                <w:color w:val="auto"/>
                <w:sz w:val="24"/>
                <w:szCs w:val="24"/>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978" w:type="dxa"/>
            <w:noWrap/>
            <w:vAlign w:val="center"/>
          </w:tcPr>
          <w:p w14:paraId="2A3EC86B">
            <w:pPr>
              <w:jc w:val="center"/>
              <w:rPr>
                <w:rFonts w:hint="eastAsia" w:ascii="宋体" w:hAnsi="宋体" w:eastAsia="宋体" w:cs="宋体"/>
                <w:b/>
                <w:bCs/>
                <w:color w:val="auto"/>
                <w:spacing w:val="-20"/>
                <w:sz w:val="24"/>
                <w:szCs w:val="24"/>
                <w:highlight w:val="none"/>
                <w:lang w:eastAsia="zh-CN"/>
              </w:rPr>
            </w:pPr>
            <w:r>
              <w:rPr>
                <w:rFonts w:hint="eastAsia" w:ascii="宋体" w:hAnsi="宋体" w:eastAsia="宋体" w:cs="宋体"/>
                <w:b/>
                <w:bCs/>
                <w:color w:val="auto"/>
                <w:sz w:val="24"/>
                <w:szCs w:val="24"/>
                <w:highlight w:val="none"/>
                <w:lang w:val="en-US" w:eastAsia="zh-CN"/>
              </w:rPr>
              <w:t>磋商</w:t>
            </w:r>
            <w:r>
              <w:rPr>
                <w:rFonts w:hint="eastAsia" w:ascii="宋体" w:hAnsi="宋体" w:eastAsia="宋体" w:cs="宋体"/>
                <w:b/>
                <w:bCs/>
                <w:color w:val="auto"/>
                <w:sz w:val="24"/>
                <w:szCs w:val="24"/>
                <w:highlight w:val="none"/>
              </w:rPr>
              <w:t>报价</w:t>
            </w:r>
          </w:p>
        </w:tc>
        <w:tc>
          <w:tcPr>
            <w:tcW w:w="7094" w:type="dxa"/>
            <w:noWrap/>
            <w:vAlign w:val="center"/>
          </w:tcPr>
          <w:p w14:paraId="320832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大写：</w:t>
            </w:r>
            <w:r>
              <w:rPr>
                <w:rFonts w:hint="eastAsia"/>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40CA33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小写：</w:t>
            </w:r>
            <w:r>
              <w:rPr>
                <w:rFonts w:hint="eastAsia"/>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元</w:t>
            </w:r>
            <w:r>
              <w:rPr>
                <w:rFonts w:hint="eastAsia" w:ascii="宋体" w:hAnsi="宋体" w:eastAsia="宋体" w:cs="宋体"/>
                <w:color w:val="auto"/>
                <w:sz w:val="24"/>
                <w:szCs w:val="24"/>
                <w:highlight w:val="none"/>
                <w:lang w:val="en-US" w:eastAsia="zh-CN"/>
              </w:rPr>
              <w:t>（详见报价明细表）</w:t>
            </w:r>
          </w:p>
        </w:tc>
      </w:tr>
      <w:tr w14:paraId="0D971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978" w:type="dxa"/>
            <w:noWrap/>
            <w:vAlign w:val="center"/>
          </w:tcPr>
          <w:p w14:paraId="2240191E">
            <w:pPr>
              <w:jc w:val="center"/>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质保期</w:t>
            </w:r>
          </w:p>
        </w:tc>
        <w:tc>
          <w:tcPr>
            <w:tcW w:w="7094" w:type="dxa"/>
            <w:noWrap/>
            <w:vAlign w:val="center"/>
          </w:tcPr>
          <w:p w14:paraId="4B58382D">
            <w:pPr>
              <w:pStyle w:val="21"/>
              <w:ind w:left="0" w:leftChars="0"/>
              <w:rPr>
                <w:rFonts w:hint="eastAsia" w:ascii="宋体" w:hAnsi="宋体" w:eastAsia="宋体" w:cs="宋体"/>
                <w:color w:val="auto"/>
                <w:sz w:val="24"/>
                <w:szCs w:val="24"/>
                <w:highlight w:val="none"/>
              </w:rPr>
            </w:pPr>
          </w:p>
        </w:tc>
      </w:tr>
      <w:tr w14:paraId="7AAC3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1978" w:type="dxa"/>
            <w:noWrap/>
            <w:vAlign w:val="center"/>
          </w:tcPr>
          <w:p w14:paraId="355C5950">
            <w:pPr>
              <w:jc w:val="center"/>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使用年限</w:t>
            </w:r>
          </w:p>
        </w:tc>
        <w:tc>
          <w:tcPr>
            <w:tcW w:w="7094" w:type="dxa"/>
            <w:noWrap/>
            <w:vAlign w:val="center"/>
          </w:tcPr>
          <w:p w14:paraId="04F7CB98">
            <w:pPr>
              <w:pStyle w:val="21"/>
              <w:ind w:left="0" w:leftChars="0"/>
              <w:rPr>
                <w:rFonts w:hint="eastAsia" w:ascii="宋体" w:hAnsi="宋体" w:eastAsia="宋体" w:cs="宋体"/>
                <w:color w:val="auto"/>
                <w:sz w:val="24"/>
                <w:szCs w:val="24"/>
                <w:highlight w:val="none"/>
              </w:rPr>
            </w:pP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978" w:type="dxa"/>
            <w:noWrap/>
            <w:vAlign w:val="center"/>
          </w:tcPr>
          <w:p w14:paraId="2D64A98F">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  注</w:t>
            </w:r>
          </w:p>
        </w:tc>
        <w:tc>
          <w:tcPr>
            <w:tcW w:w="7094" w:type="dxa"/>
            <w:noWrap/>
            <w:vAlign w:val="center"/>
          </w:tcPr>
          <w:p w14:paraId="0FDD4FAD">
            <w:pPr>
              <w:pStyle w:val="21"/>
              <w:ind w:left="0" w:leftChars="0"/>
              <w:rPr>
                <w:rFonts w:hint="eastAsia" w:ascii="宋体" w:hAnsi="宋体" w:eastAsia="宋体" w:cs="宋体"/>
                <w:color w:val="auto"/>
                <w:sz w:val="24"/>
                <w:szCs w:val="24"/>
                <w:highlight w:val="none"/>
              </w:rPr>
            </w:pPr>
          </w:p>
        </w:tc>
      </w:tr>
    </w:tbl>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60" w:name="_Toc20877"/>
      <w:bookmarkStart w:id="61" w:name="_Toc11620"/>
    </w:p>
    <w:bookmarkEnd w:id="60"/>
    <w:bookmarkEnd w:id="61"/>
    <w:p w14:paraId="5666998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6AA37C1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3BD2DADC">
      <w:pP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 </w:t>
      </w:r>
    </w:p>
    <w:bookmarkEnd w:id="41"/>
    <w:bookmarkEnd w:id="42"/>
    <w:p w14:paraId="32162F70">
      <w:pPr>
        <w:spacing w:before="20" w:after="20"/>
        <w:outlineLvl w:val="9"/>
        <w:rPr>
          <w:rFonts w:hint="eastAsia" w:ascii="宋体" w:hAnsi="宋体" w:eastAsia="宋体" w:cs="宋体"/>
          <w:color w:val="auto"/>
          <w:highlight w:val="none"/>
          <w:lang w:eastAsia="zh-CN"/>
        </w:rPr>
      </w:pPr>
      <w:bookmarkStart w:id="62" w:name="_Toc22004"/>
      <w:bookmarkStart w:id="63" w:name="_Toc2498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62"/>
      <w:bookmarkEnd w:id="63"/>
      <w:r>
        <w:rPr>
          <w:rFonts w:hint="eastAsia" w:ascii="宋体" w:hAnsi="宋体" w:eastAsia="宋体" w:cs="宋体"/>
          <w:color w:val="auto"/>
          <w:sz w:val="28"/>
          <w:szCs w:val="28"/>
          <w:highlight w:val="none"/>
          <w:lang w:val="en-US" w:eastAsia="zh-CN"/>
        </w:rPr>
        <w:t>报价明细表（格式）</w:t>
      </w:r>
    </w:p>
    <w:p w14:paraId="79C39A44">
      <w:pPr>
        <w:jc w:val="right"/>
        <w:rPr>
          <w:rFonts w:hint="eastAsia"/>
          <w:color w:val="auto"/>
          <w:highlight w:val="none"/>
          <w:lang w:val="en-US" w:eastAsia="zh-CN"/>
        </w:rPr>
      </w:pPr>
      <w:r>
        <w:rPr>
          <w:rFonts w:hint="eastAsia" w:ascii="宋体" w:hAnsi="宋体" w:cs="宋体"/>
          <w:color w:val="auto"/>
          <w:kern w:val="0"/>
          <w:sz w:val="24"/>
          <w:highlight w:val="none"/>
        </w:rPr>
        <w:t>金额单位：人民币（元）</w:t>
      </w:r>
    </w:p>
    <w:tbl>
      <w:tblPr>
        <w:tblStyle w:val="34"/>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2097"/>
        <w:gridCol w:w="1424"/>
        <w:gridCol w:w="1424"/>
        <w:gridCol w:w="1447"/>
        <w:gridCol w:w="822"/>
        <w:gridCol w:w="883"/>
        <w:gridCol w:w="1140"/>
      </w:tblGrid>
      <w:tr w14:paraId="0AE19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53EBF65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97" w:type="dxa"/>
            <w:tcBorders>
              <w:top w:val="single" w:color="auto" w:sz="4" w:space="0"/>
              <w:left w:val="single" w:color="auto" w:sz="4" w:space="0"/>
              <w:bottom w:val="nil"/>
              <w:right w:val="single" w:color="auto" w:sz="4" w:space="0"/>
            </w:tcBorders>
            <w:vAlign w:val="center"/>
          </w:tcPr>
          <w:p w14:paraId="6984F5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货物</w:t>
            </w:r>
            <w:r>
              <w:rPr>
                <w:rFonts w:hint="eastAsia" w:ascii="宋体" w:hAnsi="宋体" w:eastAsia="宋体" w:cs="宋体"/>
                <w:color w:val="auto"/>
                <w:spacing w:val="20"/>
                <w:kern w:val="0"/>
                <w:sz w:val="24"/>
                <w:szCs w:val="24"/>
                <w:highlight w:val="none"/>
                <w:lang w:val="en-US" w:eastAsia="zh-CN" w:bidi="ar-SA"/>
              </w:rPr>
              <w:t>名称</w:t>
            </w:r>
          </w:p>
        </w:tc>
        <w:tc>
          <w:tcPr>
            <w:tcW w:w="1424" w:type="dxa"/>
            <w:tcBorders>
              <w:top w:val="single" w:color="auto" w:sz="4" w:space="0"/>
              <w:left w:val="single" w:color="auto" w:sz="4" w:space="0"/>
              <w:bottom w:val="nil"/>
              <w:right w:val="single" w:color="auto" w:sz="4" w:space="0"/>
            </w:tcBorders>
            <w:vAlign w:val="center"/>
          </w:tcPr>
          <w:p w14:paraId="262279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品牌</w:t>
            </w:r>
          </w:p>
        </w:tc>
        <w:tc>
          <w:tcPr>
            <w:tcW w:w="1424" w:type="dxa"/>
            <w:tcBorders>
              <w:top w:val="single" w:color="auto" w:sz="4" w:space="0"/>
              <w:left w:val="single" w:color="auto" w:sz="4" w:space="0"/>
              <w:bottom w:val="nil"/>
              <w:right w:val="single" w:color="auto" w:sz="4" w:space="0"/>
            </w:tcBorders>
            <w:vAlign w:val="center"/>
          </w:tcPr>
          <w:p w14:paraId="09AB02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规格型号</w:t>
            </w:r>
          </w:p>
        </w:tc>
        <w:tc>
          <w:tcPr>
            <w:tcW w:w="1447" w:type="dxa"/>
            <w:tcBorders>
              <w:top w:val="single" w:color="auto" w:sz="4" w:space="0"/>
              <w:left w:val="single" w:color="auto" w:sz="4" w:space="0"/>
              <w:bottom w:val="nil"/>
              <w:right w:val="single" w:color="auto" w:sz="4" w:space="0"/>
            </w:tcBorders>
            <w:vAlign w:val="center"/>
          </w:tcPr>
          <w:p w14:paraId="274110E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产地</w:t>
            </w:r>
          </w:p>
        </w:tc>
        <w:tc>
          <w:tcPr>
            <w:tcW w:w="822" w:type="dxa"/>
            <w:tcBorders>
              <w:top w:val="single" w:color="auto" w:sz="4" w:space="0"/>
              <w:left w:val="single" w:color="auto" w:sz="4" w:space="0"/>
              <w:bottom w:val="nil"/>
              <w:right w:val="single" w:color="auto" w:sz="4" w:space="0"/>
            </w:tcBorders>
            <w:vAlign w:val="center"/>
          </w:tcPr>
          <w:p w14:paraId="2CF70D4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数量</w:t>
            </w:r>
          </w:p>
        </w:tc>
        <w:tc>
          <w:tcPr>
            <w:tcW w:w="883" w:type="dxa"/>
            <w:tcBorders>
              <w:top w:val="single" w:color="auto" w:sz="4" w:space="0"/>
              <w:left w:val="single" w:color="auto" w:sz="4" w:space="0"/>
              <w:bottom w:val="nil"/>
              <w:right w:val="single" w:color="auto" w:sz="4" w:space="0"/>
            </w:tcBorders>
            <w:vAlign w:val="center"/>
          </w:tcPr>
          <w:p w14:paraId="6D739B1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单价</w:t>
            </w:r>
          </w:p>
        </w:tc>
        <w:tc>
          <w:tcPr>
            <w:tcW w:w="1140" w:type="dxa"/>
            <w:tcBorders>
              <w:top w:val="single" w:color="auto" w:sz="4" w:space="0"/>
              <w:left w:val="single" w:color="auto" w:sz="4" w:space="0"/>
              <w:bottom w:val="nil"/>
              <w:right w:val="single" w:color="auto" w:sz="4" w:space="0"/>
            </w:tcBorders>
            <w:vAlign w:val="center"/>
          </w:tcPr>
          <w:p w14:paraId="63A42D6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highlight w:val="none"/>
                <w:lang w:val="en-US" w:eastAsia="zh-CN"/>
              </w:rPr>
              <w:t>总价</w:t>
            </w:r>
          </w:p>
        </w:tc>
      </w:tr>
      <w:tr w14:paraId="3D96E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14EBF5F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2097" w:type="dxa"/>
            <w:tcBorders>
              <w:top w:val="single" w:color="auto" w:sz="4" w:space="0"/>
              <w:left w:val="single" w:color="auto" w:sz="4" w:space="0"/>
              <w:bottom w:val="single" w:color="auto" w:sz="4" w:space="0"/>
              <w:right w:val="single" w:color="auto" w:sz="4" w:space="0"/>
            </w:tcBorders>
          </w:tcPr>
          <w:p w14:paraId="47691C9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7B1E339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727560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4B20E7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3F2B9F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7DD6BC0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7D2A1A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32544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977B0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2</w:t>
            </w:r>
          </w:p>
        </w:tc>
        <w:tc>
          <w:tcPr>
            <w:tcW w:w="2097" w:type="dxa"/>
            <w:tcBorders>
              <w:top w:val="single" w:color="auto" w:sz="4" w:space="0"/>
              <w:left w:val="single" w:color="auto" w:sz="4" w:space="0"/>
              <w:bottom w:val="single" w:color="auto" w:sz="4" w:space="0"/>
              <w:right w:val="single" w:color="auto" w:sz="4" w:space="0"/>
            </w:tcBorders>
          </w:tcPr>
          <w:p w14:paraId="1303570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7FC1D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3BB48F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092CD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7F9612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47040F1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E1CC70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4AB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6081B31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3</w:t>
            </w:r>
          </w:p>
        </w:tc>
        <w:tc>
          <w:tcPr>
            <w:tcW w:w="2097" w:type="dxa"/>
            <w:tcBorders>
              <w:top w:val="single" w:color="auto" w:sz="4" w:space="0"/>
              <w:left w:val="single" w:color="auto" w:sz="4" w:space="0"/>
              <w:bottom w:val="single" w:color="auto" w:sz="4" w:space="0"/>
              <w:right w:val="single" w:color="auto" w:sz="4" w:space="0"/>
            </w:tcBorders>
          </w:tcPr>
          <w:p w14:paraId="2809E7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7BBF28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5FDE9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EFD2E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1DF5EA0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FF9BF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444BD92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A5BA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7F755B5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4</w:t>
            </w:r>
          </w:p>
        </w:tc>
        <w:tc>
          <w:tcPr>
            <w:tcW w:w="2097" w:type="dxa"/>
            <w:tcBorders>
              <w:top w:val="single" w:color="auto" w:sz="4" w:space="0"/>
              <w:left w:val="single" w:color="auto" w:sz="4" w:space="0"/>
              <w:bottom w:val="single" w:color="auto" w:sz="4" w:space="0"/>
              <w:right w:val="single" w:color="auto" w:sz="4" w:space="0"/>
            </w:tcBorders>
          </w:tcPr>
          <w:p w14:paraId="0E34AD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5398F4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23891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5E6526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6FD476E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250E8B3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D70705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59F91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D524A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2097" w:type="dxa"/>
            <w:tcBorders>
              <w:top w:val="single" w:color="auto" w:sz="4" w:space="0"/>
              <w:left w:val="single" w:color="auto" w:sz="4" w:space="0"/>
              <w:bottom w:val="single" w:color="auto" w:sz="4" w:space="0"/>
              <w:right w:val="single" w:color="auto" w:sz="4" w:space="0"/>
            </w:tcBorders>
          </w:tcPr>
          <w:p w14:paraId="68FB677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12B2C16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0692C3C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B10473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4AA301F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3A6225D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3874A78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4F77A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4124E4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w:t>
            </w:r>
          </w:p>
        </w:tc>
        <w:tc>
          <w:tcPr>
            <w:tcW w:w="2097" w:type="dxa"/>
            <w:tcBorders>
              <w:top w:val="single" w:color="auto" w:sz="4" w:space="0"/>
              <w:left w:val="single" w:color="auto" w:sz="4" w:space="0"/>
              <w:bottom w:val="single" w:color="auto" w:sz="4" w:space="0"/>
              <w:right w:val="single" w:color="auto" w:sz="4" w:space="0"/>
            </w:tcBorders>
          </w:tcPr>
          <w:p w14:paraId="54054A2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eastAsia="zh-CN"/>
              </w:rPr>
            </w:pPr>
            <w:r>
              <w:rPr>
                <w:rFonts w:hint="eastAsia" w:ascii="宋体" w:hAnsi="宋体" w:cs="宋体"/>
                <w:color w:val="auto"/>
                <w:spacing w:val="20"/>
                <w:kern w:val="0"/>
                <w:sz w:val="24"/>
                <w:highlight w:val="none"/>
                <w:lang w:val="en-US" w:eastAsia="zh-CN"/>
              </w:rPr>
              <w:t>总计</w:t>
            </w:r>
          </w:p>
        </w:tc>
        <w:tc>
          <w:tcPr>
            <w:tcW w:w="1424" w:type="dxa"/>
            <w:tcBorders>
              <w:top w:val="single" w:color="auto" w:sz="4" w:space="0"/>
              <w:left w:val="single" w:color="auto" w:sz="4" w:space="0"/>
              <w:bottom w:val="single" w:color="auto" w:sz="4" w:space="0"/>
              <w:right w:val="single" w:color="auto" w:sz="4" w:space="0"/>
            </w:tcBorders>
          </w:tcPr>
          <w:p w14:paraId="3F1504C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4641A29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53805F0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2623300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4B2B92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17C3D46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ECF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43" w:type="dxa"/>
            <w:tcBorders>
              <w:top w:val="single" w:color="auto" w:sz="4" w:space="0"/>
              <w:left w:val="single" w:color="auto" w:sz="4" w:space="0"/>
              <w:bottom w:val="single" w:color="auto" w:sz="4" w:space="0"/>
              <w:right w:val="single" w:color="auto" w:sz="4" w:space="0"/>
            </w:tcBorders>
            <w:vAlign w:val="top"/>
          </w:tcPr>
          <w:p w14:paraId="2B4F214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rPr>
            </w:pPr>
          </w:p>
        </w:tc>
        <w:tc>
          <w:tcPr>
            <w:tcW w:w="9237" w:type="dxa"/>
            <w:gridSpan w:val="7"/>
            <w:tcBorders>
              <w:top w:val="single" w:color="auto" w:sz="4" w:space="0"/>
              <w:left w:val="single" w:color="auto" w:sz="4" w:space="0"/>
              <w:bottom w:val="single" w:color="auto" w:sz="4" w:space="0"/>
              <w:right w:val="single" w:color="auto" w:sz="4" w:space="0"/>
            </w:tcBorders>
            <w:vAlign w:val="top"/>
          </w:tcPr>
          <w:p w14:paraId="7E402CB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磋商</w:t>
            </w:r>
            <w:r>
              <w:rPr>
                <w:rFonts w:hint="eastAsia" w:ascii="宋体" w:hAnsi="宋体" w:cs="宋体"/>
                <w:color w:val="auto"/>
                <w:spacing w:val="20"/>
                <w:kern w:val="0"/>
                <w:sz w:val="24"/>
                <w:highlight w:val="none"/>
              </w:rPr>
              <w:t>报价(</w:t>
            </w:r>
            <w:r>
              <w:rPr>
                <w:rFonts w:hint="eastAsia" w:ascii="宋体" w:hAnsi="宋体" w:cs="宋体"/>
                <w:color w:val="auto"/>
                <w:kern w:val="0"/>
                <w:sz w:val="24"/>
                <w:szCs w:val="21"/>
                <w:highlight w:val="none"/>
              </w:rPr>
              <w:t>大写)：</w:t>
            </w:r>
          </w:p>
        </w:tc>
      </w:tr>
    </w:tbl>
    <w:p w14:paraId="3FDC4607">
      <w:pPr>
        <w:widowControl/>
        <w:snapToGrid w:val="0"/>
        <w:spacing w:line="440" w:lineRule="exact"/>
        <w:jc w:val="left"/>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注：</w:t>
      </w:r>
    </w:p>
    <w:p w14:paraId="48F290DC">
      <w:pPr>
        <w:pStyle w:val="33"/>
        <w:ind w:firstLine="3990" w:firstLineChars="1900"/>
        <w:rPr>
          <w:rFonts w:hint="eastAsia" w:ascii="宋体" w:hAnsi="宋体" w:eastAsia="宋体" w:cs="宋体"/>
          <w:color w:val="auto"/>
          <w:sz w:val="21"/>
          <w:szCs w:val="21"/>
          <w:highlight w:val="none"/>
          <w:lang w:eastAsia="zh-CN"/>
        </w:rPr>
      </w:pPr>
    </w:p>
    <w:p w14:paraId="6111CC48">
      <w:pPr>
        <w:pStyle w:val="6"/>
        <w:rPr>
          <w:rFonts w:hint="eastAsia"/>
          <w:highlight w:val="none"/>
          <w:lang w:eastAsia="zh-CN"/>
        </w:rPr>
      </w:pPr>
    </w:p>
    <w:p w14:paraId="6614E09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7AB74C85">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74BAF702">
      <w:pPr>
        <w:spacing w:line="360" w:lineRule="auto"/>
        <w:ind w:firstLine="1680" w:firstLineChars="800"/>
        <w:jc w:val="both"/>
        <w:rPr>
          <w:rFonts w:hint="eastAsia" w:ascii="宋体" w:hAnsi="宋体" w:eastAsia="宋体" w:cs="宋体"/>
          <w:color w:val="auto"/>
          <w:szCs w:val="21"/>
          <w:highlight w:val="none"/>
          <w:u w:val="single"/>
        </w:rPr>
      </w:pP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4"/>
        <w:rPr>
          <w:rFonts w:hint="eastAsia" w:ascii="宋体" w:hAnsi="宋体" w:eastAsia="宋体" w:cs="宋体"/>
          <w:color w:val="auto"/>
          <w:kern w:val="0"/>
          <w:sz w:val="24"/>
          <w:highlight w:val="none"/>
        </w:rPr>
        <w:sectPr>
          <w:pgSz w:w="11906" w:h="16838"/>
          <w:pgMar w:top="1417" w:right="1474" w:bottom="1417" w:left="1474" w:header="851" w:footer="624" w:gutter="0"/>
          <w:pgNumType w:fmt="decimal"/>
          <w:cols w:space="720" w:num="1"/>
          <w:docGrid w:type="lines" w:linePitch="319" w:charSpace="0"/>
        </w:sectPr>
      </w:pPr>
    </w:p>
    <w:p w14:paraId="26A19139">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bookmarkStart w:id="64" w:name="_Toc15804"/>
      <w:bookmarkStart w:id="65" w:name="_Toc226"/>
      <w:r>
        <w:rPr>
          <w:rFonts w:hint="eastAsia" w:ascii="宋体" w:hAnsi="宋体" w:eastAsia="宋体" w:cs="宋体"/>
          <w:b/>
          <w:bCs/>
          <w:color w:val="auto"/>
          <w:kern w:val="2"/>
          <w:sz w:val="28"/>
          <w:szCs w:val="28"/>
          <w:highlight w:val="none"/>
          <w:lang w:val="en-US" w:eastAsia="zh-CN" w:bidi="ar-SA"/>
        </w:rPr>
        <w:t>4.1 配套试剂报价一览表（格式，如有）</w:t>
      </w:r>
    </w:p>
    <w:tbl>
      <w:tblPr>
        <w:tblStyle w:val="35"/>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3"/>
        <w:gridCol w:w="1181"/>
        <w:gridCol w:w="1341"/>
        <w:gridCol w:w="1225"/>
        <w:gridCol w:w="995"/>
        <w:gridCol w:w="995"/>
        <w:gridCol w:w="1107"/>
        <w:gridCol w:w="883"/>
        <w:gridCol w:w="995"/>
        <w:gridCol w:w="1061"/>
        <w:gridCol w:w="1061"/>
        <w:gridCol w:w="1213"/>
        <w:gridCol w:w="1584"/>
      </w:tblGrid>
      <w:tr w14:paraId="1CEED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3" w:type="dxa"/>
            <w:vAlign w:val="center"/>
          </w:tcPr>
          <w:p w14:paraId="646E05CB">
            <w:pPr>
              <w:widowControl w:val="0"/>
              <w:jc w:val="center"/>
              <w:rPr>
                <w:rFonts w:hint="eastAsia" w:eastAsia="宋体"/>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序号</w:t>
            </w:r>
          </w:p>
        </w:tc>
        <w:tc>
          <w:tcPr>
            <w:tcW w:w="1181" w:type="dxa"/>
            <w:vAlign w:val="center"/>
          </w:tcPr>
          <w:p w14:paraId="579EE2D7">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检测项目</w:t>
            </w:r>
          </w:p>
        </w:tc>
        <w:tc>
          <w:tcPr>
            <w:tcW w:w="1341" w:type="dxa"/>
            <w:vAlign w:val="center"/>
          </w:tcPr>
          <w:p w14:paraId="49B7222B">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商品名称</w:t>
            </w:r>
          </w:p>
          <w:p w14:paraId="0BC23284">
            <w:pPr>
              <w:keepNext w:val="0"/>
              <w:keepLines w:val="0"/>
              <w:widowControl/>
              <w:suppressLineNumbers w:val="0"/>
              <w:jc w:val="center"/>
              <w:rPr>
                <w:rFonts w:hint="eastAsia" w:eastAsia="宋体"/>
                <w:color w:val="auto"/>
                <w:sz w:val="21"/>
                <w:szCs w:val="21"/>
                <w:highlight w:val="none"/>
                <w:vertAlign w:val="baseline"/>
                <w:lang w:val="en-US" w:eastAsia="zh-CN"/>
              </w:rPr>
            </w:pPr>
            <w:r>
              <w:rPr>
                <w:rFonts w:hint="eastAsia" w:ascii="宋体" w:hAnsi="宋体" w:cs="宋体"/>
                <w:b/>
                <w:bCs/>
                <w:snapToGrid w:val="0"/>
                <w:color w:val="auto"/>
                <w:kern w:val="0"/>
                <w:sz w:val="21"/>
                <w:szCs w:val="21"/>
                <w:highlight w:val="none"/>
                <w:lang w:val="en-US" w:eastAsia="zh-CN" w:bidi="ar"/>
              </w:rPr>
              <w:t>（通用名）</w:t>
            </w:r>
          </w:p>
        </w:tc>
        <w:tc>
          <w:tcPr>
            <w:tcW w:w="1225" w:type="dxa"/>
            <w:vAlign w:val="center"/>
          </w:tcPr>
          <w:p w14:paraId="7B88569B">
            <w:pPr>
              <w:keepNext w:val="0"/>
              <w:keepLines w:val="0"/>
              <w:widowControl/>
              <w:suppressLineNumbers w:val="0"/>
              <w:jc w:val="center"/>
              <w:rPr>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注册</w:t>
            </w:r>
          </w:p>
          <w:p w14:paraId="5A7F3778">
            <w:pPr>
              <w:keepNext w:val="0"/>
              <w:keepLines w:val="0"/>
              <w:widowControl/>
              <w:suppressLineNumbers w:val="0"/>
              <w:jc w:val="center"/>
              <w:rPr>
                <w:color w:val="auto"/>
                <w:sz w:val="21"/>
                <w:szCs w:val="21"/>
                <w:highlight w:val="none"/>
                <w:vertAlign w:val="baseline"/>
              </w:rPr>
            </w:pPr>
            <w:r>
              <w:rPr>
                <w:rFonts w:hint="eastAsia" w:ascii="宋体" w:hAnsi="宋体" w:eastAsia="宋体" w:cs="宋体"/>
                <w:b/>
                <w:bCs/>
                <w:snapToGrid w:val="0"/>
                <w:color w:val="auto"/>
                <w:kern w:val="0"/>
                <w:sz w:val="21"/>
                <w:szCs w:val="21"/>
                <w:highlight w:val="none"/>
                <w:lang w:val="en-US" w:eastAsia="zh-CN" w:bidi="ar"/>
              </w:rPr>
              <w:t>证名称及注册证号</w:t>
            </w:r>
          </w:p>
        </w:tc>
        <w:tc>
          <w:tcPr>
            <w:tcW w:w="995" w:type="dxa"/>
            <w:vAlign w:val="center"/>
          </w:tcPr>
          <w:p w14:paraId="13975975">
            <w:pPr>
              <w:keepNext w:val="0"/>
              <w:keepLines w:val="0"/>
              <w:widowControl/>
              <w:suppressLineNumbers w:val="0"/>
              <w:jc w:val="center"/>
              <w:rPr>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品牌</w:t>
            </w:r>
          </w:p>
          <w:p w14:paraId="715FBD17">
            <w:pPr>
              <w:keepNext w:val="0"/>
              <w:keepLines w:val="0"/>
              <w:widowControl/>
              <w:suppressLineNumbers w:val="0"/>
              <w:jc w:val="center"/>
              <w:rPr>
                <w:color w:val="auto"/>
                <w:sz w:val="21"/>
                <w:szCs w:val="21"/>
                <w:highlight w:val="none"/>
                <w:vertAlign w:val="baseline"/>
              </w:rPr>
            </w:pPr>
          </w:p>
        </w:tc>
        <w:tc>
          <w:tcPr>
            <w:tcW w:w="995" w:type="dxa"/>
            <w:vAlign w:val="center"/>
          </w:tcPr>
          <w:p w14:paraId="135D21FF">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规格型号</w:t>
            </w:r>
          </w:p>
        </w:tc>
        <w:tc>
          <w:tcPr>
            <w:tcW w:w="1107" w:type="dxa"/>
            <w:vAlign w:val="center"/>
          </w:tcPr>
          <w:p w14:paraId="5D7A74FA">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生产企业</w:t>
            </w:r>
          </w:p>
        </w:tc>
        <w:tc>
          <w:tcPr>
            <w:tcW w:w="883" w:type="dxa"/>
            <w:vAlign w:val="center"/>
          </w:tcPr>
          <w:p w14:paraId="1809A4FF">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计价</w:t>
            </w:r>
          </w:p>
          <w:p w14:paraId="2D4AD09D">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单位</w:t>
            </w:r>
          </w:p>
        </w:tc>
        <w:tc>
          <w:tcPr>
            <w:tcW w:w="995" w:type="dxa"/>
            <w:vAlign w:val="center"/>
          </w:tcPr>
          <w:p w14:paraId="74A34D6B">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单价</w:t>
            </w:r>
          </w:p>
          <w:p w14:paraId="182DC433">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（元/每人份）</w:t>
            </w:r>
          </w:p>
        </w:tc>
        <w:tc>
          <w:tcPr>
            <w:tcW w:w="1061" w:type="dxa"/>
            <w:vAlign w:val="center"/>
          </w:tcPr>
          <w:p w14:paraId="317961C5">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Theme="minorEastAsia" w:hAnsiTheme="minorEastAsia"/>
                <w:b/>
                <w:bCs/>
                <w:highlight w:val="none"/>
              </w:rPr>
              <w:t>试验方法</w:t>
            </w:r>
          </w:p>
        </w:tc>
        <w:tc>
          <w:tcPr>
            <w:tcW w:w="1061" w:type="dxa"/>
            <w:vAlign w:val="center"/>
          </w:tcPr>
          <w:p w14:paraId="77478E82">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网采号</w:t>
            </w:r>
          </w:p>
        </w:tc>
        <w:tc>
          <w:tcPr>
            <w:tcW w:w="1213" w:type="dxa"/>
            <w:vAlign w:val="center"/>
          </w:tcPr>
          <w:p w14:paraId="3BAB2BE9">
            <w:pPr>
              <w:widowControl w:val="0"/>
              <w:spacing w:line="320" w:lineRule="exact"/>
              <w:jc w:val="center"/>
              <w:outlineLvl w:val="0"/>
              <w:rPr>
                <w:rFonts w:hint="default" w:eastAsia="宋体"/>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收费项目名称</w:t>
            </w:r>
          </w:p>
        </w:tc>
        <w:tc>
          <w:tcPr>
            <w:tcW w:w="1584" w:type="dxa"/>
            <w:vAlign w:val="center"/>
          </w:tcPr>
          <w:p w14:paraId="35BD6D7D">
            <w:pPr>
              <w:widowControl w:val="0"/>
              <w:spacing w:line="320" w:lineRule="exact"/>
              <w:jc w:val="center"/>
              <w:outlineLvl w:val="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收费编码、</w:t>
            </w:r>
          </w:p>
          <w:p w14:paraId="434CA188">
            <w:pPr>
              <w:widowControl w:val="0"/>
              <w:spacing w:line="320" w:lineRule="exact"/>
              <w:jc w:val="center"/>
              <w:outlineLvl w:val="0"/>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收费金额</w:t>
            </w:r>
          </w:p>
        </w:tc>
      </w:tr>
      <w:tr w14:paraId="5034C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3" w:type="dxa"/>
            <w:vMerge w:val="restart"/>
          </w:tcPr>
          <w:p w14:paraId="58974EFD">
            <w:pPr>
              <w:widowControl w:val="0"/>
              <w:rPr>
                <w:color w:val="auto"/>
                <w:highlight w:val="none"/>
                <w:vertAlign w:val="baseline"/>
              </w:rPr>
            </w:pPr>
          </w:p>
        </w:tc>
        <w:tc>
          <w:tcPr>
            <w:tcW w:w="1181" w:type="dxa"/>
            <w:vMerge w:val="restart"/>
          </w:tcPr>
          <w:p w14:paraId="1411B170">
            <w:pPr>
              <w:widowControl w:val="0"/>
              <w:rPr>
                <w:color w:val="auto"/>
                <w:highlight w:val="none"/>
                <w:vertAlign w:val="baseline"/>
              </w:rPr>
            </w:pPr>
          </w:p>
        </w:tc>
        <w:tc>
          <w:tcPr>
            <w:tcW w:w="1341" w:type="dxa"/>
          </w:tcPr>
          <w:p w14:paraId="538C956D">
            <w:pPr>
              <w:widowControl w:val="0"/>
              <w:rPr>
                <w:color w:val="auto"/>
                <w:highlight w:val="none"/>
                <w:vertAlign w:val="baseline"/>
              </w:rPr>
            </w:pPr>
          </w:p>
        </w:tc>
        <w:tc>
          <w:tcPr>
            <w:tcW w:w="1225" w:type="dxa"/>
          </w:tcPr>
          <w:p w14:paraId="74877ABD">
            <w:pPr>
              <w:widowControl w:val="0"/>
              <w:rPr>
                <w:color w:val="auto"/>
                <w:highlight w:val="none"/>
                <w:vertAlign w:val="baseline"/>
              </w:rPr>
            </w:pPr>
          </w:p>
        </w:tc>
        <w:tc>
          <w:tcPr>
            <w:tcW w:w="995" w:type="dxa"/>
          </w:tcPr>
          <w:p w14:paraId="46285D21">
            <w:pPr>
              <w:widowControl w:val="0"/>
              <w:rPr>
                <w:color w:val="auto"/>
                <w:highlight w:val="none"/>
                <w:vertAlign w:val="baseline"/>
              </w:rPr>
            </w:pPr>
          </w:p>
        </w:tc>
        <w:tc>
          <w:tcPr>
            <w:tcW w:w="995" w:type="dxa"/>
          </w:tcPr>
          <w:p w14:paraId="30AA1993">
            <w:pPr>
              <w:widowControl w:val="0"/>
              <w:rPr>
                <w:color w:val="auto"/>
                <w:highlight w:val="none"/>
                <w:vertAlign w:val="baseline"/>
              </w:rPr>
            </w:pPr>
          </w:p>
        </w:tc>
        <w:tc>
          <w:tcPr>
            <w:tcW w:w="1107" w:type="dxa"/>
          </w:tcPr>
          <w:p w14:paraId="3FDE21BE">
            <w:pPr>
              <w:widowControl w:val="0"/>
              <w:rPr>
                <w:color w:val="auto"/>
                <w:highlight w:val="none"/>
                <w:vertAlign w:val="baseline"/>
              </w:rPr>
            </w:pPr>
          </w:p>
        </w:tc>
        <w:tc>
          <w:tcPr>
            <w:tcW w:w="883" w:type="dxa"/>
          </w:tcPr>
          <w:p w14:paraId="2A5C917F">
            <w:pPr>
              <w:widowControl w:val="0"/>
              <w:rPr>
                <w:color w:val="auto"/>
                <w:highlight w:val="none"/>
                <w:vertAlign w:val="baseline"/>
              </w:rPr>
            </w:pPr>
          </w:p>
        </w:tc>
        <w:tc>
          <w:tcPr>
            <w:tcW w:w="995" w:type="dxa"/>
          </w:tcPr>
          <w:p w14:paraId="2BC032BB">
            <w:pPr>
              <w:widowControl w:val="0"/>
              <w:rPr>
                <w:color w:val="auto"/>
                <w:highlight w:val="none"/>
                <w:vertAlign w:val="baseline"/>
              </w:rPr>
            </w:pPr>
          </w:p>
        </w:tc>
        <w:tc>
          <w:tcPr>
            <w:tcW w:w="1061" w:type="dxa"/>
          </w:tcPr>
          <w:p w14:paraId="43AF7AB5">
            <w:pPr>
              <w:widowControl w:val="0"/>
              <w:rPr>
                <w:color w:val="auto"/>
                <w:highlight w:val="none"/>
                <w:vertAlign w:val="baseline"/>
              </w:rPr>
            </w:pPr>
          </w:p>
        </w:tc>
        <w:tc>
          <w:tcPr>
            <w:tcW w:w="1061" w:type="dxa"/>
          </w:tcPr>
          <w:p w14:paraId="3CD0599F">
            <w:pPr>
              <w:widowControl w:val="0"/>
              <w:rPr>
                <w:color w:val="auto"/>
                <w:highlight w:val="none"/>
                <w:vertAlign w:val="baseline"/>
              </w:rPr>
            </w:pPr>
          </w:p>
        </w:tc>
        <w:tc>
          <w:tcPr>
            <w:tcW w:w="1213" w:type="dxa"/>
          </w:tcPr>
          <w:p w14:paraId="351E7283">
            <w:pPr>
              <w:widowControl w:val="0"/>
              <w:rPr>
                <w:color w:val="auto"/>
                <w:highlight w:val="none"/>
                <w:vertAlign w:val="baseline"/>
              </w:rPr>
            </w:pPr>
          </w:p>
        </w:tc>
        <w:tc>
          <w:tcPr>
            <w:tcW w:w="1584" w:type="dxa"/>
          </w:tcPr>
          <w:p w14:paraId="47A41BCD">
            <w:pPr>
              <w:widowControl w:val="0"/>
              <w:rPr>
                <w:color w:val="auto"/>
                <w:highlight w:val="none"/>
                <w:vertAlign w:val="baseline"/>
              </w:rPr>
            </w:pPr>
          </w:p>
        </w:tc>
      </w:tr>
      <w:tr w14:paraId="54419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3" w:type="dxa"/>
            <w:vMerge w:val="continue"/>
          </w:tcPr>
          <w:p w14:paraId="40F1BFA5">
            <w:pPr>
              <w:widowControl w:val="0"/>
              <w:rPr>
                <w:color w:val="auto"/>
                <w:highlight w:val="none"/>
                <w:vertAlign w:val="baseline"/>
              </w:rPr>
            </w:pPr>
          </w:p>
        </w:tc>
        <w:tc>
          <w:tcPr>
            <w:tcW w:w="1181" w:type="dxa"/>
            <w:vMerge w:val="continue"/>
          </w:tcPr>
          <w:p w14:paraId="040A03DA">
            <w:pPr>
              <w:widowControl w:val="0"/>
              <w:rPr>
                <w:color w:val="auto"/>
                <w:highlight w:val="none"/>
                <w:vertAlign w:val="baseline"/>
              </w:rPr>
            </w:pPr>
          </w:p>
        </w:tc>
        <w:tc>
          <w:tcPr>
            <w:tcW w:w="1341" w:type="dxa"/>
          </w:tcPr>
          <w:p w14:paraId="6D655FCD">
            <w:pPr>
              <w:widowControl w:val="0"/>
              <w:rPr>
                <w:color w:val="auto"/>
                <w:highlight w:val="none"/>
                <w:vertAlign w:val="baseline"/>
              </w:rPr>
            </w:pPr>
          </w:p>
        </w:tc>
        <w:tc>
          <w:tcPr>
            <w:tcW w:w="1225" w:type="dxa"/>
          </w:tcPr>
          <w:p w14:paraId="5E1CE5CD">
            <w:pPr>
              <w:widowControl w:val="0"/>
              <w:rPr>
                <w:color w:val="auto"/>
                <w:highlight w:val="none"/>
                <w:vertAlign w:val="baseline"/>
              </w:rPr>
            </w:pPr>
          </w:p>
        </w:tc>
        <w:tc>
          <w:tcPr>
            <w:tcW w:w="995" w:type="dxa"/>
          </w:tcPr>
          <w:p w14:paraId="6FFF8D39">
            <w:pPr>
              <w:widowControl w:val="0"/>
              <w:rPr>
                <w:color w:val="auto"/>
                <w:highlight w:val="none"/>
                <w:vertAlign w:val="baseline"/>
              </w:rPr>
            </w:pPr>
          </w:p>
        </w:tc>
        <w:tc>
          <w:tcPr>
            <w:tcW w:w="995" w:type="dxa"/>
          </w:tcPr>
          <w:p w14:paraId="69EFFFF9">
            <w:pPr>
              <w:widowControl w:val="0"/>
              <w:rPr>
                <w:color w:val="auto"/>
                <w:highlight w:val="none"/>
                <w:vertAlign w:val="baseline"/>
              </w:rPr>
            </w:pPr>
          </w:p>
        </w:tc>
        <w:tc>
          <w:tcPr>
            <w:tcW w:w="1107" w:type="dxa"/>
          </w:tcPr>
          <w:p w14:paraId="0D9181D5">
            <w:pPr>
              <w:widowControl w:val="0"/>
              <w:rPr>
                <w:color w:val="auto"/>
                <w:highlight w:val="none"/>
                <w:vertAlign w:val="baseline"/>
              </w:rPr>
            </w:pPr>
          </w:p>
        </w:tc>
        <w:tc>
          <w:tcPr>
            <w:tcW w:w="883" w:type="dxa"/>
          </w:tcPr>
          <w:p w14:paraId="55638291">
            <w:pPr>
              <w:widowControl w:val="0"/>
              <w:rPr>
                <w:color w:val="auto"/>
                <w:highlight w:val="none"/>
                <w:vertAlign w:val="baseline"/>
              </w:rPr>
            </w:pPr>
          </w:p>
        </w:tc>
        <w:tc>
          <w:tcPr>
            <w:tcW w:w="995" w:type="dxa"/>
          </w:tcPr>
          <w:p w14:paraId="18AD76A8">
            <w:pPr>
              <w:widowControl w:val="0"/>
              <w:rPr>
                <w:color w:val="auto"/>
                <w:highlight w:val="none"/>
                <w:vertAlign w:val="baseline"/>
              </w:rPr>
            </w:pPr>
          </w:p>
        </w:tc>
        <w:tc>
          <w:tcPr>
            <w:tcW w:w="1061" w:type="dxa"/>
          </w:tcPr>
          <w:p w14:paraId="3E848191">
            <w:pPr>
              <w:widowControl w:val="0"/>
              <w:rPr>
                <w:color w:val="auto"/>
                <w:highlight w:val="none"/>
                <w:vertAlign w:val="baseline"/>
              </w:rPr>
            </w:pPr>
          </w:p>
        </w:tc>
        <w:tc>
          <w:tcPr>
            <w:tcW w:w="1061" w:type="dxa"/>
          </w:tcPr>
          <w:p w14:paraId="5A6786BD">
            <w:pPr>
              <w:widowControl w:val="0"/>
              <w:rPr>
                <w:color w:val="auto"/>
                <w:highlight w:val="none"/>
                <w:vertAlign w:val="baseline"/>
              </w:rPr>
            </w:pPr>
          </w:p>
        </w:tc>
        <w:tc>
          <w:tcPr>
            <w:tcW w:w="1213" w:type="dxa"/>
          </w:tcPr>
          <w:p w14:paraId="4A951FB8">
            <w:pPr>
              <w:widowControl w:val="0"/>
              <w:rPr>
                <w:color w:val="auto"/>
                <w:highlight w:val="none"/>
                <w:vertAlign w:val="baseline"/>
              </w:rPr>
            </w:pPr>
          </w:p>
        </w:tc>
        <w:tc>
          <w:tcPr>
            <w:tcW w:w="1584" w:type="dxa"/>
          </w:tcPr>
          <w:p w14:paraId="554D3838">
            <w:pPr>
              <w:widowControl w:val="0"/>
              <w:rPr>
                <w:color w:val="auto"/>
                <w:highlight w:val="none"/>
                <w:vertAlign w:val="baseline"/>
              </w:rPr>
            </w:pPr>
          </w:p>
        </w:tc>
      </w:tr>
      <w:tr w14:paraId="08337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3" w:type="dxa"/>
            <w:vMerge w:val="restart"/>
          </w:tcPr>
          <w:p w14:paraId="6D387E14">
            <w:pPr>
              <w:widowControl w:val="0"/>
              <w:rPr>
                <w:color w:val="auto"/>
                <w:highlight w:val="none"/>
                <w:vertAlign w:val="baseline"/>
              </w:rPr>
            </w:pPr>
          </w:p>
        </w:tc>
        <w:tc>
          <w:tcPr>
            <w:tcW w:w="1181" w:type="dxa"/>
            <w:vMerge w:val="restart"/>
          </w:tcPr>
          <w:p w14:paraId="0D9E80CF">
            <w:pPr>
              <w:widowControl w:val="0"/>
              <w:rPr>
                <w:color w:val="auto"/>
                <w:highlight w:val="none"/>
                <w:vertAlign w:val="baseline"/>
              </w:rPr>
            </w:pPr>
          </w:p>
        </w:tc>
        <w:tc>
          <w:tcPr>
            <w:tcW w:w="1341" w:type="dxa"/>
          </w:tcPr>
          <w:p w14:paraId="1E7399C3">
            <w:pPr>
              <w:widowControl w:val="0"/>
              <w:rPr>
                <w:color w:val="auto"/>
                <w:highlight w:val="none"/>
                <w:vertAlign w:val="baseline"/>
              </w:rPr>
            </w:pPr>
          </w:p>
        </w:tc>
        <w:tc>
          <w:tcPr>
            <w:tcW w:w="1225" w:type="dxa"/>
          </w:tcPr>
          <w:p w14:paraId="3F37E071">
            <w:pPr>
              <w:widowControl w:val="0"/>
              <w:rPr>
                <w:color w:val="auto"/>
                <w:highlight w:val="none"/>
                <w:vertAlign w:val="baseline"/>
              </w:rPr>
            </w:pPr>
          </w:p>
        </w:tc>
        <w:tc>
          <w:tcPr>
            <w:tcW w:w="995" w:type="dxa"/>
          </w:tcPr>
          <w:p w14:paraId="3C6E9A35">
            <w:pPr>
              <w:widowControl w:val="0"/>
              <w:rPr>
                <w:color w:val="auto"/>
                <w:highlight w:val="none"/>
                <w:vertAlign w:val="baseline"/>
              </w:rPr>
            </w:pPr>
          </w:p>
        </w:tc>
        <w:tc>
          <w:tcPr>
            <w:tcW w:w="995" w:type="dxa"/>
          </w:tcPr>
          <w:p w14:paraId="439A493E">
            <w:pPr>
              <w:widowControl w:val="0"/>
              <w:rPr>
                <w:color w:val="auto"/>
                <w:highlight w:val="none"/>
                <w:vertAlign w:val="baseline"/>
              </w:rPr>
            </w:pPr>
          </w:p>
        </w:tc>
        <w:tc>
          <w:tcPr>
            <w:tcW w:w="1107" w:type="dxa"/>
          </w:tcPr>
          <w:p w14:paraId="6DA472CA">
            <w:pPr>
              <w:widowControl w:val="0"/>
              <w:rPr>
                <w:color w:val="auto"/>
                <w:highlight w:val="none"/>
                <w:vertAlign w:val="baseline"/>
              </w:rPr>
            </w:pPr>
          </w:p>
        </w:tc>
        <w:tc>
          <w:tcPr>
            <w:tcW w:w="883" w:type="dxa"/>
          </w:tcPr>
          <w:p w14:paraId="4B709168">
            <w:pPr>
              <w:widowControl w:val="0"/>
              <w:rPr>
                <w:color w:val="auto"/>
                <w:highlight w:val="none"/>
                <w:vertAlign w:val="baseline"/>
              </w:rPr>
            </w:pPr>
          </w:p>
        </w:tc>
        <w:tc>
          <w:tcPr>
            <w:tcW w:w="995" w:type="dxa"/>
          </w:tcPr>
          <w:p w14:paraId="0406CE2F">
            <w:pPr>
              <w:widowControl w:val="0"/>
              <w:rPr>
                <w:color w:val="auto"/>
                <w:highlight w:val="none"/>
                <w:vertAlign w:val="baseline"/>
              </w:rPr>
            </w:pPr>
          </w:p>
        </w:tc>
        <w:tc>
          <w:tcPr>
            <w:tcW w:w="1061" w:type="dxa"/>
          </w:tcPr>
          <w:p w14:paraId="51830342">
            <w:pPr>
              <w:widowControl w:val="0"/>
              <w:rPr>
                <w:color w:val="auto"/>
                <w:highlight w:val="none"/>
                <w:vertAlign w:val="baseline"/>
              </w:rPr>
            </w:pPr>
          </w:p>
        </w:tc>
        <w:tc>
          <w:tcPr>
            <w:tcW w:w="1061" w:type="dxa"/>
          </w:tcPr>
          <w:p w14:paraId="19B6E307">
            <w:pPr>
              <w:widowControl w:val="0"/>
              <w:rPr>
                <w:color w:val="auto"/>
                <w:highlight w:val="none"/>
                <w:vertAlign w:val="baseline"/>
              </w:rPr>
            </w:pPr>
          </w:p>
        </w:tc>
        <w:tc>
          <w:tcPr>
            <w:tcW w:w="1213" w:type="dxa"/>
          </w:tcPr>
          <w:p w14:paraId="3E3FE638">
            <w:pPr>
              <w:widowControl w:val="0"/>
              <w:rPr>
                <w:color w:val="auto"/>
                <w:highlight w:val="none"/>
                <w:vertAlign w:val="baseline"/>
              </w:rPr>
            </w:pPr>
          </w:p>
        </w:tc>
        <w:tc>
          <w:tcPr>
            <w:tcW w:w="1584" w:type="dxa"/>
          </w:tcPr>
          <w:p w14:paraId="71BF78D1">
            <w:pPr>
              <w:widowControl w:val="0"/>
              <w:rPr>
                <w:color w:val="auto"/>
                <w:highlight w:val="none"/>
                <w:vertAlign w:val="baseline"/>
              </w:rPr>
            </w:pPr>
          </w:p>
        </w:tc>
      </w:tr>
      <w:tr w14:paraId="00679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3" w:type="dxa"/>
            <w:vMerge w:val="continue"/>
          </w:tcPr>
          <w:p w14:paraId="5C983840">
            <w:pPr>
              <w:widowControl w:val="0"/>
              <w:rPr>
                <w:color w:val="auto"/>
                <w:highlight w:val="none"/>
                <w:vertAlign w:val="baseline"/>
              </w:rPr>
            </w:pPr>
          </w:p>
        </w:tc>
        <w:tc>
          <w:tcPr>
            <w:tcW w:w="1181" w:type="dxa"/>
            <w:vMerge w:val="continue"/>
          </w:tcPr>
          <w:p w14:paraId="321CC1BD">
            <w:pPr>
              <w:widowControl w:val="0"/>
              <w:rPr>
                <w:color w:val="auto"/>
                <w:highlight w:val="none"/>
                <w:vertAlign w:val="baseline"/>
              </w:rPr>
            </w:pPr>
          </w:p>
        </w:tc>
        <w:tc>
          <w:tcPr>
            <w:tcW w:w="1341" w:type="dxa"/>
          </w:tcPr>
          <w:p w14:paraId="177DB5E9">
            <w:pPr>
              <w:widowControl w:val="0"/>
              <w:rPr>
                <w:color w:val="auto"/>
                <w:highlight w:val="none"/>
                <w:vertAlign w:val="baseline"/>
              </w:rPr>
            </w:pPr>
          </w:p>
        </w:tc>
        <w:tc>
          <w:tcPr>
            <w:tcW w:w="1225" w:type="dxa"/>
          </w:tcPr>
          <w:p w14:paraId="74208401">
            <w:pPr>
              <w:widowControl w:val="0"/>
              <w:rPr>
                <w:color w:val="auto"/>
                <w:highlight w:val="none"/>
                <w:vertAlign w:val="baseline"/>
              </w:rPr>
            </w:pPr>
          </w:p>
        </w:tc>
        <w:tc>
          <w:tcPr>
            <w:tcW w:w="995" w:type="dxa"/>
          </w:tcPr>
          <w:p w14:paraId="1C3E1A61">
            <w:pPr>
              <w:widowControl w:val="0"/>
              <w:rPr>
                <w:color w:val="auto"/>
                <w:highlight w:val="none"/>
                <w:vertAlign w:val="baseline"/>
              </w:rPr>
            </w:pPr>
          </w:p>
        </w:tc>
        <w:tc>
          <w:tcPr>
            <w:tcW w:w="995" w:type="dxa"/>
          </w:tcPr>
          <w:p w14:paraId="045B7522">
            <w:pPr>
              <w:widowControl w:val="0"/>
              <w:rPr>
                <w:color w:val="auto"/>
                <w:highlight w:val="none"/>
                <w:vertAlign w:val="baseline"/>
              </w:rPr>
            </w:pPr>
          </w:p>
        </w:tc>
        <w:tc>
          <w:tcPr>
            <w:tcW w:w="1107" w:type="dxa"/>
          </w:tcPr>
          <w:p w14:paraId="495D32C7">
            <w:pPr>
              <w:widowControl w:val="0"/>
              <w:rPr>
                <w:color w:val="auto"/>
                <w:highlight w:val="none"/>
                <w:vertAlign w:val="baseline"/>
              </w:rPr>
            </w:pPr>
          </w:p>
        </w:tc>
        <w:tc>
          <w:tcPr>
            <w:tcW w:w="883" w:type="dxa"/>
          </w:tcPr>
          <w:p w14:paraId="6707E9BC">
            <w:pPr>
              <w:widowControl w:val="0"/>
              <w:rPr>
                <w:color w:val="auto"/>
                <w:highlight w:val="none"/>
                <w:vertAlign w:val="baseline"/>
              </w:rPr>
            </w:pPr>
          </w:p>
        </w:tc>
        <w:tc>
          <w:tcPr>
            <w:tcW w:w="995" w:type="dxa"/>
          </w:tcPr>
          <w:p w14:paraId="3D0459B3">
            <w:pPr>
              <w:widowControl w:val="0"/>
              <w:rPr>
                <w:color w:val="auto"/>
                <w:highlight w:val="none"/>
                <w:vertAlign w:val="baseline"/>
              </w:rPr>
            </w:pPr>
          </w:p>
        </w:tc>
        <w:tc>
          <w:tcPr>
            <w:tcW w:w="1061" w:type="dxa"/>
          </w:tcPr>
          <w:p w14:paraId="079689F5">
            <w:pPr>
              <w:widowControl w:val="0"/>
              <w:rPr>
                <w:color w:val="auto"/>
                <w:highlight w:val="none"/>
                <w:vertAlign w:val="baseline"/>
              </w:rPr>
            </w:pPr>
          </w:p>
        </w:tc>
        <w:tc>
          <w:tcPr>
            <w:tcW w:w="1061" w:type="dxa"/>
          </w:tcPr>
          <w:p w14:paraId="0417379A">
            <w:pPr>
              <w:widowControl w:val="0"/>
              <w:rPr>
                <w:color w:val="auto"/>
                <w:highlight w:val="none"/>
                <w:vertAlign w:val="baseline"/>
              </w:rPr>
            </w:pPr>
          </w:p>
        </w:tc>
        <w:tc>
          <w:tcPr>
            <w:tcW w:w="1213" w:type="dxa"/>
          </w:tcPr>
          <w:p w14:paraId="60DE824B">
            <w:pPr>
              <w:widowControl w:val="0"/>
              <w:rPr>
                <w:color w:val="auto"/>
                <w:highlight w:val="none"/>
                <w:vertAlign w:val="baseline"/>
              </w:rPr>
            </w:pPr>
          </w:p>
        </w:tc>
        <w:tc>
          <w:tcPr>
            <w:tcW w:w="1584" w:type="dxa"/>
          </w:tcPr>
          <w:p w14:paraId="544ED074">
            <w:pPr>
              <w:widowControl w:val="0"/>
              <w:rPr>
                <w:color w:val="auto"/>
                <w:highlight w:val="none"/>
                <w:vertAlign w:val="baseline"/>
              </w:rPr>
            </w:pPr>
          </w:p>
        </w:tc>
      </w:tr>
    </w:tbl>
    <w:p w14:paraId="5C36BDA2">
      <w:pPr>
        <w:rPr>
          <w:color w:val="auto"/>
          <w:highlight w:val="none"/>
        </w:rPr>
      </w:pPr>
    </w:p>
    <w:p w14:paraId="19F2D908">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01061A6B">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43FDC8B3">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p>
    <w:p w14:paraId="0024AEB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注：</w:t>
      </w:r>
      <w:r>
        <w:rPr>
          <w:rFonts w:hint="eastAsia" w:ascii="宋体" w:hAnsi="宋体" w:eastAsia="宋体" w:cs="宋体"/>
          <w:b/>
          <w:bCs/>
          <w:color w:val="auto"/>
          <w:szCs w:val="21"/>
          <w:highlight w:val="none"/>
          <w:lang w:eastAsia="zh-CN"/>
        </w:rPr>
        <w:t>1</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lang w:eastAsia="zh-CN"/>
        </w:rPr>
        <w:t>请按照</w:t>
      </w:r>
      <w:r>
        <w:rPr>
          <w:rFonts w:hint="eastAsia" w:ascii="宋体" w:hAnsi="宋体" w:eastAsia="宋体" w:cs="宋体"/>
          <w:b/>
          <w:bCs/>
          <w:color w:val="auto"/>
          <w:szCs w:val="21"/>
          <w:highlight w:val="none"/>
          <w:lang w:val="en-US" w:eastAsia="zh-CN"/>
        </w:rPr>
        <w:t>检测项目填写试剂</w:t>
      </w:r>
      <w:r>
        <w:rPr>
          <w:rFonts w:hint="eastAsia" w:ascii="宋体" w:hAnsi="宋体" w:eastAsia="宋体" w:cs="宋体"/>
          <w:b/>
          <w:bCs/>
          <w:color w:val="auto"/>
          <w:szCs w:val="21"/>
          <w:highlight w:val="none"/>
          <w:lang w:eastAsia="zh-CN"/>
        </w:rPr>
        <w:t>。</w:t>
      </w:r>
    </w:p>
    <w:p w14:paraId="0D7F79A7">
      <w:pPr>
        <w:keepNext w:val="0"/>
        <w:keepLines w:val="0"/>
        <w:pageBreakBefore w:val="0"/>
        <w:widowControl/>
        <w:kinsoku w:val="0"/>
        <w:wordWrap/>
        <w:overflowPunct/>
        <w:topLinePunct w:val="0"/>
        <w:autoSpaceDE w:val="0"/>
        <w:autoSpaceDN w:val="0"/>
        <w:bidi w:val="0"/>
        <w:adjustRightInd w:val="0"/>
        <w:snapToGrid w:val="0"/>
        <w:spacing w:line="400" w:lineRule="exact"/>
        <w:ind w:firstLine="422" w:firstLineChars="200"/>
        <w:textAlignment w:val="baseline"/>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2.试剂以“每人份”为单位进行报价。</w:t>
      </w:r>
    </w:p>
    <w:p w14:paraId="6A023997">
      <w:pPr>
        <w:keepNext w:val="0"/>
        <w:keepLines w:val="0"/>
        <w:pageBreakBefore w:val="0"/>
        <w:widowControl/>
        <w:suppressLineNumbers w:val="0"/>
        <w:wordWrap/>
        <w:overflowPunct/>
        <w:topLinePunct w:val="0"/>
        <w:bidi w:val="0"/>
        <w:spacing w:line="400" w:lineRule="exact"/>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备注: 此表为产品配套试剂报价表，如没有，无需制作</w:t>
      </w:r>
      <w:r>
        <w:rPr>
          <w:rFonts w:hint="eastAsia" w:ascii="宋体" w:hAnsi="宋体" w:cs="宋体"/>
          <w:b/>
          <w:bCs/>
          <w:snapToGrid w:val="0"/>
          <w:color w:val="auto"/>
          <w:kern w:val="0"/>
          <w:sz w:val="24"/>
          <w:szCs w:val="24"/>
          <w:highlight w:val="none"/>
          <w:lang w:val="en-US" w:eastAsia="zh-CN" w:bidi="ar"/>
        </w:rPr>
        <w:t>，可自行删除</w:t>
      </w:r>
      <w:r>
        <w:rPr>
          <w:rFonts w:hint="eastAsia" w:ascii="宋体" w:hAnsi="宋体" w:eastAsia="宋体" w:cs="宋体"/>
          <w:b/>
          <w:bCs/>
          <w:snapToGrid w:val="0"/>
          <w:color w:val="auto"/>
          <w:kern w:val="0"/>
          <w:sz w:val="24"/>
          <w:szCs w:val="24"/>
          <w:highlight w:val="none"/>
          <w:lang w:val="en-US" w:eastAsia="zh-CN" w:bidi="ar"/>
        </w:rPr>
        <w:t>。</w:t>
      </w:r>
    </w:p>
    <w:p w14:paraId="3C312762">
      <w:pPr>
        <w:pStyle w:val="24"/>
        <w:rPr>
          <w:rFonts w:hint="eastAsia" w:ascii="宋体" w:hAnsi="宋体" w:cs="宋体"/>
          <w:color w:val="auto"/>
          <w:kern w:val="0"/>
          <w:sz w:val="24"/>
          <w:highlight w:val="none"/>
        </w:rPr>
      </w:pPr>
    </w:p>
    <w:p w14:paraId="5E4799AD">
      <w:pPr>
        <w:pStyle w:val="24"/>
        <w:rPr>
          <w:rFonts w:hint="eastAsia" w:ascii="宋体" w:hAnsi="宋体" w:cs="宋体"/>
          <w:color w:val="auto"/>
          <w:kern w:val="0"/>
          <w:sz w:val="24"/>
          <w:highlight w:val="none"/>
        </w:rPr>
        <w:sectPr>
          <w:pgSz w:w="16838" w:h="11906" w:orient="landscape"/>
          <w:pgMar w:top="1474" w:right="1417" w:bottom="1474" w:left="1417" w:header="851" w:footer="624" w:gutter="0"/>
          <w:pgNumType w:fmt="decimal"/>
          <w:cols w:space="720" w:num="1"/>
          <w:docGrid w:type="lines" w:linePitch="319" w:charSpace="0"/>
        </w:sectPr>
      </w:pPr>
    </w:p>
    <w:p w14:paraId="4DAB2F81">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4.2 配套耗材报价一览表（格式，如有）</w:t>
      </w:r>
    </w:p>
    <w:p w14:paraId="34968220">
      <w:pPr>
        <w:bidi w:val="0"/>
        <w:rPr>
          <w:color w:val="auto"/>
          <w:highlight w:val="none"/>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8"/>
        <w:gridCol w:w="1185"/>
        <w:gridCol w:w="1185"/>
        <w:gridCol w:w="1200"/>
        <w:gridCol w:w="1134"/>
        <w:gridCol w:w="986"/>
        <w:gridCol w:w="986"/>
        <w:gridCol w:w="986"/>
        <w:gridCol w:w="708"/>
        <w:gridCol w:w="1125"/>
        <w:gridCol w:w="1275"/>
        <w:gridCol w:w="1500"/>
        <w:gridCol w:w="1405"/>
      </w:tblGrid>
      <w:tr w14:paraId="09DE2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38" w:type="dxa"/>
            <w:vAlign w:val="center"/>
          </w:tcPr>
          <w:p w14:paraId="446D7DBC">
            <w:pPr>
              <w:widowControl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序号</w:t>
            </w:r>
          </w:p>
        </w:tc>
        <w:tc>
          <w:tcPr>
            <w:tcW w:w="1185" w:type="dxa"/>
            <w:vAlign w:val="center"/>
          </w:tcPr>
          <w:p w14:paraId="3CC43DE8">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检测项目</w:t>
            </w:r>
          </w:p>
        </w:tc>
        <w:tc>
          <w:tcPr>
            <w:tcW w:w="1185" w:type="dxa"/>
            <w:vAlign w:val="center"/>
          </w:tcPr>
          <w:p w14:paraId="601779BC">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商品名（通用名）</w:t>
            </w:r>
          </w:p>
        </w:tc>
        <w:tc>
          <w:tcPr>
            <w:tcW w:w="1200" w:type="dxa"/>
            <w:vAlign w:val="center"/>
          </w:tcPr>
          <w:p w14:paraId="32F79E07">
            <w:pPr>
              <w:keepNext w:val="0"/>
              <w:keepLines w:val="0"/>
              <w:widowControl/>
              <w:suppressLineNumbers w:val="0"/>
              <w:jc w:val="center"/>
              <w:rPr>
                <w:b/>
                <w:bCs/>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投标产</w:t>
            </w:r>
          </w:p>
          <w:p w14:paraId="451D1B1F">
            <w:pPr>
              <w:keepNext w:val="0"/>
              <w:keepLines w:val="0"/>
              <w:widowControl/>
              <w:suppressLineNumbers w:val="0"/>
              <w:jc w:val="center"/>
              <w:rPr>
                <w:b/>
                <w:bCs/>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品注册</w:t>
            </w:r>
          </w:p>
          <w:p w14:paraId="2F5AB844">
            <w:pPr>
              <w:keepNext w:val="0"/>
              <w:keepLines w:val="0"/>
              <w:widowControl/>
              <w:suppressLineNumbers w:val="0"/>
              <w:jc w:val="center"/>
              <w:rPr>
                <w:rFonts w:hint="default"/>
                <w:b/>
                <w:bCs/>
                <w:color w:val="auto"/>
                <w:sz w:val="21"/>
                <w:szCs w:val="21"/>
                <w:highlight w:val="none"/>
                <w:vertAlign w:val="baseline"/>
                <w:lang w:val="en-US"/>
              </w:rPr>
            </w:pPr>
            <w:r>
              <w:rPr>
                <w:rFonts w:hint="eastAsia" w:ascii="宋体" w:hAnsi="宋体" w:eastAsia="宋体" w:cs="宋体"/>
                <w:b/>
                <w:bCs/>
                <w:snapToGrid w:val="0"/>
                <w:color w:val="auto"/>
                <w:kern w:val="0"/>
                <w:sz w:val="21"/>
                <w:szCs w:val="21"/>
                <w:highlight w:val="none"/>
                <w:lang w:val="en-US" w:eastAsia="zh-CN" w:bidi="ar"/>
              </w:rPr>
              <w:t>证名称</w:t>
            </w:r>
            <w:r>
              <w:rPr>
                <w:rFonts w:hint="eastAsia" w:ascii="宋体" w:hAnsi="宋体" w:cs="宋体"/>
                <w:b/>
                <w:bCs/>
                <w:snapToGrid w:val="0"/>
                <w:color w:val="auto"/>
                <w:kern w:val="0"/>
                <w:sz w:val="21"/>
                <w:szCs w:val="21"/>
                <w:highlight w:val="none"/>
                <w:lang w:val="en-US" w:eastAsia="zh-CN" w:bidi="ar"/>
              </w:rPr>
              <w:t>及注册证号</w:t>
            </w:r>
          </w:p>
        </w:tc>
        <w:tc>
          <w:tcPr>
            <w:tcW w:w="1134" w:type="dxa"/>
            <w:vAlign w:val="center"/>
          </w:tcPr>
          <w:p w14:paraId="3EA06616">
            <w:pPr>
              <w:keepNext w:val="0"/>
              <w:keepLines w:val="0"/>
              <w:widowControl/>
              <w:suppressLineNumbers w:val="0"/>
              <w:jc w:val="center"/>
              <w:rPr>
                <w:rFonts w:hint="eastAsia" w:asciiTheme="minorEastAsia" w:hAnsiTheme="minorEastAsia"/>
                <w:b/>
                <w:bCs/>
                <w:szCs w:val="21"/>
                <w:highlight w:val="none"/>
              </w:rPr>
            </w:pPr>
            <w:r>
              <w:rPr>
                <w:rFonts w:hint="eastAsia" w:asciiTheme="minorEastAsia" w:hAnsiTheme="minorEastAsia"/>
                <w:b/>
                <w:bCs/>
                <w:szCs w:val="21"/>
                <w:highlight w:val="none"/>
              </w:rPr>
              <w:t>规格型号</w:t>
            </w:r>
          </w:p>
          <w:p w14:paraId="1BA4FA70">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Theme="minorEastAsia" w:hAnsiTheme="minorEastAsia"/>
                <w:b/>
                <w:bCs/>
                <w:szCs w:val="21"/>
                <w:highlight w:val="none"/>
                <w:lang w:eastAsia="zh-CN"/>
              </w:rPr>
              <w:t>（</w:t>
            </w:r>
            <w:r>
              <w:rPr>
                <w:rFonts w:hint="eastAsia" w:cs="宋体" w:asciiTheme="minorEastAsia" w:hAnsiTheme="minorEastAsia"/>
                <w:b/>
                <w:bCs/>
                <w:szCs w:val="21"/>
                <w:highlight w:val="none"/>
              </w:rPr>
              <w:t>按注册证规格型号填写</w:t>
            </w:r>
            <w:r>
              <w:rPr>
                <w:rFonts w:hint="eastAsia" w:asciiTheme="minorEastAsia" w:hAnsiTheme="minorEastAsia"/>
                <w:b/>
                <w:bCs/>
                <w:szCs w:val="21"/>
                <w:highlight w:val="none"/>
                <w:lang w:eastAsia="zh-CN"/>
              </w:rPr>
              <w:t>）</w:t>
            </w:r>
          </w:p>
        </w:tc>
        <w:tc>
          <w:tcPr>
            <w:tcW w:w="986" w:type="dxa"/>
            <w:vAlign w:val="center"/>
          </w:tcPr>
          <w:p w14:paraId="6334D0FF">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生产企业</w:t>
            </w:r>
          </w:p>
        </w:tc>
        <w:tc>
          <w:tcPr>
            <w:tcW w:w="986" w:type="dxa"/>
            <w:vAlign w:val="center"/>
          </w:tcPr>
          <w:p w14:paraId="472F7579">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品牌</w:t>
            </w:r>
          </w:p>
        </w:tc>
        <w:tc>
          <w:tcPr>
            <w:tcW w:w="986" w:type="dxa"/>
            <w:vAlign w:val="center"/>
          </w:tcPr>
          <w:p w14:paraId="18B1749A">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产地</w:t>
            </w:r>
          </w:p>
        </w:tc>
        <w:tc>
          <w:tcPr>
            <w:tcW w:w="708" w:type="dxa"/>
            <w:vAlign w:val="center"/>
          </w:tcPr>
          <w:p w14:paraId="14110869">
            <w:pPr>
              <w:keepNext w:val="0"/>
              <w:keepLines w:val="0"/>
              <w:widowControl/>
              <w:suppressLineNumbers w:val="0"/>
              <w:jc w:val="center"/>
              <w:rPr>
                <w:rFonts w:hint="default" w:ascii="Times New Roman" w:hAnsi="Times New Roman" w:eastAsia="宋体" w:cs="Times New Roman"/>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计价单位</w:t>
            </w:r>
          </w:p>
        </w:tc>
        <w:tc>
          <w:tcPr>
            <w:tcW w:w="1125" w:type="dxa"/>
            <w:vAlign w:val="center"/>
          </w:tcPr>
          <w:p w14:paraId="53A80B95">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投标单价</w:t>
            </w:r>
          </w:p>
          <w:p w14:paraId="4B956310">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（元/单位）</w:t>
            </w:r>
          </w:p>
        </w:tc>
        <w:tc>
          <w:tcPr>
            <w:tcW w:w="1275" w:type="dxa"/>
            <w:vAlign w:val="center"/>
          </w:tcPr>
          <w:p w14:paraId="59672E7B">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网采号</w:t>
            </w:r>
          </w:p>
        </w:tc>
        <w:tc>
          <w:tcPr>
            <w:tcW w:w="1500" w:type="dxa"/>
            <w:vAlign w:val="center"/>
          </w:tcPr>
          <w:p w14:paraId="5AC485E5">
            <w:pPr>
              <w:widowControl w:val="0"/>
              <w:spacing w:line="320" w:lineRule="exact"/>
              <w:jc w:val="center"/>
              <w:outlineLvl w:val="0"/>
              <w:rPr>
                <w:rFonts w:hint="eastAsia" w:eastAsia="宋体"/>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收费项目名称</w:t>
            </w:r>
          </w:p>
        </w:tc>
        <w:tc>
          <w:tcPr>
            <w:tcW w:w="1405" w:type="dxa"/>
            <w:vAlign w:val="center"/>
          </w:tcPr>
          <w:p w14:paraId="41A0E20A">
            <w:pPr>
              <w:widowControl w:val="0"/>
              <w:spacing w:line="320" w:lineRule="exact"/>
              <w:jc w:val="center"/>
              <w:outlineLvl w:val="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收费编码、</w:t>
            </w:r>
          </w:p>
          <w:p w14:paraId="750DD40B">
            <w:pPr>
              <w:widowControl w:val="0"/>
              <w:spacing w:line="320" w:lineRule="exact"/>
              <w:jc w:val="center"/>
              <w:outlineLvl w:val="0"/>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color w:val="auto"/>
                <w:sz w:val="21"/>
                <w:szCs w:val="21"/>
                <w:highlight w:val="none"/>
                <w:lang w:val="en-US" w:eastAsia="zh-CN"/>
              </w:rPr>
              <w:t>收费金额</w:t>
            </w:r>
          </w:p>
        </w:tc>
      </w:tr>
      <w:tr w14:paraId="1DEE3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38" w:type="dxa"/>
            <w:vMerge w:val="restart"/>
            <w:vAlign w:val="center"/>
          </w:tcPr>
          <w:p w14:paraId="2E41F0A7">
            <w:pPr>
              <w:widowControl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1</w:t>
            </w:r>
          </w:p>
        </w:tc>
        <w:tc>
          <w:tcPr>
            <w:tcW w:w="1185" w:type="dxa"/>
            <w:vMerge w:val="restart"/>
          </w:tcPr>
          <w:p w14:paraId="2078D575">
            <w:pPr>
              <w:widowControl w:val="0"/>
              <w:rPr>
                <w:color w:val="auto"/>
                <w:highlight w:val="none"/>
                <w:vertAlign w:val="baseline"/>
              </w:rPr>
            </w:pPr>
          </w:p>
        </w:tc>
        <w:tc>
          <w:tcPr>
            <w:tcW w:w="1185" w:type="dxa"/>
          </w:tcPr>
          <w:p w14:paraId="0F341263">
            <w:pPr>
              <w:widowControl w:val="0"/>
              <w:rPr>
                <w:color w:val="auto"/>
                <w:highlight w:val="none"/>
                <w:vertAlign w:val="baseline"/>
              </w:rPr>
            </w:pPr>
          </w:p>
        </w:tc>
        <w:tc>
          <w:tcPr>
            <w:tcW w:w="1200" w:type="dxa"/>
          </w:tcPr>
          <w:p w14:paraId="5E2811FC">
            <w:pPr>
              <w:widowControl w:val="0"/>
              <w:rPr>
                <w:color w:val="auto"/>
                <w:highlight w:val="none"/>
                <w:vertAlign w:val="baseline"/>
              </w:rPr>
            </w:pPr>
          </w:p>
        </w:tc>
        <w:tc>
          <w:tcPr>
            <w:tcW w:w="1134" w:type="dxa"/>
          </w:tcPr>
          <w:p w14:paraId="4138DDFD">
            <w:pPr>
              <w:widowControl w:val="0"/>
              <w:rPr>
                <w:color w:val="auto"/>
                <w:highlight w:val="none"/>
                <w:vertAlign w:val="baseline"/>
              </w:rPr>
            </w:pPr>
          </w:p>
        </w:tc>
        <w:tc>
          <w:tcPr>
            <w:tcW w:w="986" w:type="dxa"/>
          </w:tcPr>
          <w:p w14:paraId="6406ADBC">
            <w:pPr>
              <w:widowControl w:val="0"/>
              <w:rPr>
                <w:color w:val="auto"/>
                <w:highlight w:val="none"/>
                <w:vertAlign w:val="baseline"/>
              </w:rPr>
            </w:pPr>
          </w:p>
        </w:tc>
        <w:tc>
          <w:tcPr>
            <w:tcW w:w="986" w:type="dxa"/>
          </w:tcPr>
          <w:p w14:paraId="23110391">
            <w:pPr>
              <w:widowControl w:val="0"/>
              <w:rPr>
                <w:color w:val="auto"/>
                <w:highlight w:val="none"/>
                <w:vertAlign w:val="baseline"/>
              </w:rPr>
            </w:pPr>
          </w:p>
        </w:tc>
        <w:tc>
          <w:tcPr>
            <w:tcW w:w="986" w:type="dxa"/>
          </w:tcPr>
          <w:p w14:paraId="403934A1">
            <w:pPr>
              <w:widowControl w:val="0"/>
              <w:rPr>
                <w:color w:val="auto"/>
                <w:highlight w:val="none"/>
                <w:vertAlign w:val="baseline"/>
              </w:rPr>
            </w:pPr>
          </w:p>
        </w:tc>
        <w:tc>
          <w:tcPr>
            <w:tcW w:w="708" w:type="dxa"/>
          </w:tcPr>
          <w:p w14:paraId="542CE9FA">
            <w:pPr>
              <w:widowControl w:val="0"/>
              <w:rPr>
                <w:color w:val="auto"/>
                <w:highlight w:val="none"/>
                <w:vertAlign w:val="baseline"/>
              </w:rPr>
            </w:pPr>
          </w:p>
        </w:tc>
        <w:tc>
          <w:tcPr>
            <w:tcW w:w="1125" w:type="dxa"/>
          </w:tcPr>
          <w:p w14:paraId="1C229079">
            <w:pPr>
              <w:widowControl w:val="0"/>
              <w:rPr>
                <w:color w:val="auto"/>
                <w:highlight w:val="none"/>
                <w:vertAlign w:val="baseline"/>
              </w:rPr>
            </w:pPr>
          </w:p>
        </w:tc>
        <w:tc>
          <w:tcPr>
            <w:tcW w:w="1275" w:type="dxa"/>
          </w:tcPr>
          <w:p w14:paraId="0535F847">
            <w:pPr>
              <w:widowControl w:val="0"/>
              <w:rPr>
                <w:color w:val="auto"/>
                <w:highlight w:val="none"/>
                <w:vertAlign w:val="baseline"/>
              </w:rPr>
            </w:pPr>
          </w:p>
        </w:tc>
        <w:tc>
          <w:tcPr>
            <w:tcW w:w="1500" w:type="dxa"/>
          </w:tcPr>
          <w:p w14:paraId="2034F975">
            <w:pPr>
              <w:widowControl w:val="0"/>
              <w:rPr>
                <w:color w:val="auto"/>
                <w:highlight w:val="none"/>
                <w:vertAlign w:val="baseline"/>
              </w:rPr>
            </w:pPr>
          </w:p>
        </w:tc>
        <w:tc>
          <w:tcPr>
            <w:tcW w:w="1405" w:type="dxa"/>
          </w:tcPr>
          <w:p w14:paraId="04DE4CC0">
            <w:pPr>
              <w:widowControl w:val="0"/>
              <w:rPr>
                <w:color w:val="auto"/>
                <w:highlight w:val="none"/>
                <w:vertAlign w:val="baseline"/>
              </w:rPr>
            </w:pPr>
          </w:p>
        </w:tc>
      </w:tr>
      <w:tr w14:paraId="0B522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38" w:type="dxa"/>
            <w:vMerge w:val="continue"/>
            <w:vAlign w:val="center"/>
          </w:tcPr>
          <w:p w14:paraId="0981A58C">
            <w:pPr>
              <w:widowControl w:val="0"/>
              <w:jc w:val="center"/>
              <w:rPr>
                <w:rFonts w:hint="eastAsia" w:ascii="宋体" w:hAnsi="宋体" w:eastAsia="宋体" w:cs="宋体"/>
                <w:color w:val="auto"/>
                <w:highlight w:val="none"/>
                <w:vertAlign w:val="baseline"/>
              </w:rPr>
            </w:pPr>
          </w:p>
        </w:tc>
        <w:tc>
          <w:tcPr>
            <w:tcW w:w="1185" w:type="dxa"/>
            <w:vMerge w:val="continue"/>
          </w:tcPr>
          <w:p w14:paraId="1629D171">
            <w:pPr>
              <w:widowControl w:val="0"/>
              <w:rPr>
                <w:color w:val="auto"/>
                <w:highlight w:val="none"/>
                <w:vertAlign w:val="baseline"/>
              </w:rPr>
            </w:pPr>
          </w:p>
        </w:tc>
        <w:tc>
          <w:tcPr>
            <w:tcW w:w="1185" w:type="dxa"/>
          </w:tcPr>
          <w:p w14:paraId="6F728AC8">
            <w:pPr>
              <w:widowControl w:val="0"/>
              <w:rPr>
                <w:color w:val="auto"/>
                <w:highlight w:val="none"/>
                <w:vertAlign w:val="baseline"/>
              </w:rPr>
            </w:pPr>
          </w:p>
        </w:tc>
        <w:tc>
          <w:tcPr>
            <w:tcW w:w="1200" w:type="dxa"/>
          </w:tcPr>
          <w:p w14:paraId="5DC1D47F">
            <w:pPr>
              <w:widowControl w:val="0"/>
              <w:rPr>
                <w:color w:val="auto"/>
                <w:highlight w:val="none"/>
                <w:vertAlign w:val="baseline"/>
              </w:rPr>
            </w:pPr>
          </w:p>
        </w:tc>
        <w:tc>
          <w:tcPr>
            <w:tcW w:w="1134" w:type="dxa"/>
          </w:tcPr>
          <w:p w14:paraId="0736C76F">
            <w:pPr>
              <w:widowControl w:val="0"/>
              <w:rPr>
                <w:color w:val="auto"/>
                <w:highlight w:val="none"/>
                <w:vertAlign w:val="baseline"/>
              </w:rPr>
            </w:pPr>
          </w:p>
        </w:tc>
        <w:tc>
          <w:tcPr>
            <w:tcW w:w="986" w:type="dxa"/>
          </w:tcPr>
          <w:p w14:paraId="4A635A5B">
            <w:pPr>
              <w:widowControl w:val="0"/>
              <w:rPr>
                <w:color w:val="auto"/>
                <w:highlight w:val="none"/>
                <w:vertAlign w:val="baseline"/>
              </w:rPr>
            </w:pPr>
          </w:p>
        </w:tc>
        <w:tc>
          <w:tcPr>
            <w:tcW w:w="986" w:type="dxa"/>
          </w:tcPr>
          <w:p w14:paraId="41FF43D8">
            <w:pPr>
              <w:widowControl w:val="0"/>
              <w:rPr>
                <w:color w:val="auto"/>
                <w:highlight w:val="none"/>
                <w:vertAlign w:val="baseline"/>
              </w:rPr>
            </w:pPr>
          </w:p>
        </w:tc>
        <w:tc>
          <w:tcPr>
            <w:tcW w:w="986" w:type="dxa"/>
          </w:tcPr>
          <w:p w14:paraId="739BF70B">
            <w:pPr>
              <w:widowControl w:val="0"/>
              <w:rPr>
                <w:color w:val="auto"/>
                <w:highlight w:val="none"/>
                <w:vertAlign w:val="baseline"/>
              </w:rPr>
            </w:pPr>
          </w:p>
        </w:tc>
        <w:tc>
          <w:tcPr>
            <w:tcW w:w="708" w:type="dxa"/>
          </w:tcPr>
          <w:p w14:paraId="21217D12">
            <w:pPr>
              <w:widowControl w:val="0"/>
              <w:rPr>
                <w:color w:val="auto"/>
                <w:highlight w:val="none"/>
                <w:vertAlign w:val="baseline"/>
              </w:rPr>
            </w:pPr>
          </w:p>
        </w:tc>
        <w:tc>
          <w:tcPr>
            <w:tcW w:w="1125" w:type="dxa"/>
          </w:tcPr>
          <w:p w14:paraId="2D25857A">
            <w:pPr>
              <w:widowControl w:val="0"/>
              <w:rPr>
                <w:color w:val="auto"/>
                <w:highlight w:val="none"/>
                <w:vertAlign w:val="baseline"/>
              </w:rPr>
            </w:pPr>
          </w:p>
        </w:tc>
        <w:tc>
          <w:tcPr>
            <w:tcW w:w="1275" w:type="dxa"/>
          </w:tcPr>
          <w:p w14:paraId="4976030C">
            <w:pPr>
              <w:widowControl w:val="0"/>
              <w:rPr>
                <w:color w:val="auto"/>
                <w:highlight w:val="none"/>
                <w:vertAlign w:val="baseline"/>
              </w:rPr>
            </w:pPr>
          </w:p>
        </w:tc>
        <w:tc>
          <w:tcPr>
            <w:tcW w:w="1500" w:type="dxa"/>
          </w:tcPr>
          <w:p w14:paraId="5664F5DB">
            <w:pPr>
              <w:widowControl w:val="0"/>
              <w:rPr>
                <w:color w:val="auto"/>
                <w:highlight w:val="none"/>
                <w:vertAlign w:val="baseline"/>
              </w:rPr>
            </w:pPr>
          </w:p>
        </w:tc>
        <w:tc>
          <w:tcPr>
            <w:tcW w:w="1405" w:type="dxa"/>
          </w:tcPr>
          <w:p w14:paraId="366DE966">
            <w:pPr>
              <w:widowControl w:val="0"/>
              <w:rPr>
                <w:color w:val="auto"/>
                <w:highlight w:val="none"/>
                <w:vertAlign w:val="baseline"/>
              </w:rPr>
            </w:pPr>
          </w:p>
        </w:tc>
      </w:tr>
      <w:tr w14:paraId="5D6A0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38" w:type="dxa"/>
            <w:vMerge w:val="restart"/>
            <w:vAlign w:val="center"/>
          </w:tcPr>
          <w:p w14:paraId="71CC3CC9">
            <w:pPr>
              <w:widowControl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2</w:t>
            </w:r>
          </w:p>
        </w:tc>
        <w:tc>
          <w:tcPr>
            <w:tcW w:w="1185" w:type="dxa"/>
            <w:vMerge w:val="restart"/>
          </w:tcPr>
          <w:p w14:paraId="5F7F009A">
            <w:pPr>
              <w:widowControl w:val="0"/>
              <w:rPr>
                <w:color w:val="auto"/>
                <w:highlight w:val="none"/>
                <w:vertAlign w:val="baseline"/>
              </w:rPr>
            </w:pPr>
          </w:p>
        </w:tc>
        <w:tc>
          <w:tcPr>
            <w:tcW w:w="1185" w:type="dxa"/>
          </w:tcPr>
          <w:p w14:paraId="0D8A01B7">
            <w:pPr>
              <w:widowControl w:val="0"/>
              <w:rPr>
                <w:color w:val="auto"/>
                <w:highlight w:val="none"/>
                <w:vertAlign w:val="baseline"/>
              </w:rPr>
            </w:pPr>
          </w:p>
        </w:tc>
        <w:tc>
          <w:tcPr>
            <w:tcW w:w="1200" w:type="dxa"/>
          </w:tcPr>
          <w:p w14:paraId="5D2869C6">
            <w:pPr>
              <w:widowControl w:val="0"/>
              <w:rPr>
                <w:color w:val="auto"/>
                <w:highlight w:val="none"/>
                <w:vertAlign w:val="baseline"/>
              </w:rPr>
            </w:pPr>
          </w:p>
        </w:tc>
        <w:tc>
          <w:tcPr>
            <w:tcW w:w="1134" w:type="dxa"/>
          </w:tcPr>
          <w:p w14:paraId="1AA351AF">
            <w:pPr>
              <w:widowControl w:val="0"/>
              <w:rPr>
                <w:color w:val="auto"/>
                <w:highlight w:val="none"/>
                <w:vertAlign w:val="baseline"/>
              </w:rPr>
            </w:pPr>
          </w:p>
        </w:tc>
        <w:tc>
          <w:tcPr>
            <w:tcW w:w="986" w:type="dxa"/>
          </w:tcPr>
          <w:p w14:paraId="709D356D">
            <w:pPr>
              <w:widowControl w:val="0"/>
              <w:rPr>
                <w:color w:val="auto"/>
                <w:highlight w:val="none"/>
                <w:vertAlign w:val="baseline"/>
              </w:rPr>
            </w:pPr>
          </w:p>
        </w:tc>
        <w:tc>
          <w:tcPr>
            <w:tcW w:w="986" w:type="dxa"/>
          </w:tcPr>
          <w:p w14:paraId="140B3B78">
            <w:pPr>
              <w:widowControl w:val="0"/>
              <w:rPr>
                <w:color w:val="auto"/>
                <w:highlight w:val="none"/>
                <w:vertAlign w:val="baseline"/>
              </w:rPr>
            </w:pPr>
          </w:p>
        </w:tc>
        <w:tc>
          <w:tcPr>
            <w:tcW w:w="986" w:type="dxa"/>
          </w:tcPr>
          <w:p w14:paraId="7187B6F3">
            <w:pPr>
              <w:widowControl w:val="0"/>
              <w:rPr>
                <w:color w:val="auto"/>
                <w:highlight w:val="none"/>
                <w:vertAlign w:val="baseline"/>
              </w:rPr>
            </w:pPr>
          </w:p>
        </w:tc>
        <w:tc>
          <w:tcPr>
            <w:tcW w:w="708" w:type="dxa"/>
          </w:tcPr>
          <w:p w14:paraId="782C0C79">
            <w:pPr>
              <w:widowControl w:val="0"/>
              <w:rPr>
                <w:color w:val="auto"/>
                <w:highlight w:val="none"/>
                <w:vertAlign w:val="baseline"/>
              </w:rPr>
            </w:pPr>
          </w:p>
        </w:tc>
        <w:tc>
          <w:tcPr>
            <w:tcW w:w="1125" w:type="dxa"/>
          </w:tcPr>
          <w:p w14:paraId="3BA3AD13">
            <w:pPr>
              <w:widowControl w:val="0"/>
              <w:rPr>
                <w:color w:val="auto"/>
                <w:highlight w:val="none"/>
                <w:vertAlign w:val="baseline"/>
              </w:rPr>
            </w:pPr>
          </w:p>
        </w:tc>
        <w:tc>
          <w:tcPr>
            <w:tcW w:w="1275" w:type="dxa"/>
          </w:tcPr>
          <w:p w14:paraId="3F864AE3">
            <w:pPr>
              <w:widowControl w:val="0"/>
              <w:rPr>
                <w:color w:val="auto"/>
                <w:highlight w:val="none"/>
                <w:vertAlign w:val="baseline"/>
              </w:rPr>
            </w:pPr>
          </w:p>
        </w:tc>
        <w:tc>
          <w:tcPr>
            <w:tcW w:w="1500" w:type="dxa"/>
          </w:tcPr>
          <w:p w14:paraId="6D48088E">
            <w:pPr>
              <w:widowControl w:val="0"/>
              <w:rPr>
                <w:color w:val="auto"/>
                <w:highlight w:val="none"/>
                <w:vertAlign w:val="baseline"/>
              </w:rPr>
            </w:pPr>
          </w:p>
        </w:tc>
        <w:tc>
          <w:tcPr>
            <w:tcW w:w="1405" w:type="dxa"/>
          </w:tcPr>
          <w:p w14:paraId="09F3E95E">
            <w:pPr>
              <w:widowControl w:val="0"/>
              <w:rPr>
                <w:color w:val="auto"/>
                <w:highlight w:val="none"/>
                <w:vertAlign w:val="baseline"/>
              </w:rPr>
            </w:pPr>
          </w:p>
        </w:tc>
      </w:tr>
      <w:tr w14:paraId="27E77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38" w:type="dxa"/>
            <w:vMerge w:val="continue"/>
          </w:tcPr>
          <w:p w14:paraId="4AD2190F">
            <w:pPr>
              <w:widowControl w:val="0"/>
              <w:rPr>
                <w:color w:val="auto"/>
                <w:highlight w:val="none"/>
                <w:vertAlign w:val="baseline"/>
              </w:rPr>
            </w:pPr>
          </w:p>
        </w:tc>
        <w:tc>
          <w:tcPr>
            <w:tcW w:w="1185" w:type="dxa"/>
            <w:vMerge w:val="continue"/>
          </w:tcPr>
          <w:p w14:paraId="4D0CA1FD">
            <w:pPr>
              <w:widowControl w:val="0"/>
              <w:rPr>
                <w:color w:val="auto"/>
                <w:highlight w:val="none"/>
                <w:vertAlign w:val="baseline"/>
              </w:rPr>
            </w:pPr>
          </w:p>
        </w:tc>
        <w:tc>
          <w:tcPr>
            <w:tcW w:w="1185" w:type="dxa"/>
          </w:tcPr>
          <w:p w14:paraId="23AB6B66">
            <w:pPr>
              <w:widowControl w:val="0"/>
              <w:rPr>
                <w:color w:val="auto"/>
                <w:highlight w:val="none"/>
                <w:vertAlign w:val="baseline"/>
              </w:rPr>
            </w:pPr>
          </w:p>
        </w:tc>
        <w:tc>
          <w:tcPr>
            <w:tcW w:w="1200" w:type="dxa"/>
          </w:tcPr>
          <w:p w14:paraId="6B29D694">
            <w:pPr>
              <w:widowControl w:val="0"/>
              <w:rPr>
                <w:color w:val="auto"/>
                <w:highlight w:val="none"/>
                <w:vertAlign w:val="baseline"/>
              </w:rPr>
            </w:pPr>
          </w:p>
        </w:tc>
        <w:tc>
          <w:tcPr>
            <w:tcW w:w="1134" w:type="dxa"/>
          </w:tcPr>
          <w:p w14:paraId="424656BF">
            <w:pPr>
              <w:widowControl w:val="0"/>
              <w:rPr>
                <w:color w:val="auto"/>
                <w:highlight w:val="none"/>
                <w:vertAlign w:val="baseline"/>
              </w:rPr>
            </w:pPr>
          </w:p>
        </w:tc>
        <w:tc>
          <w:tcPr>
            <w:tcW w:w="986" w:type="dxa"/>
          </w:tcPr>
          <w:p w14:paraId="7D39357A">
            <w:pPr>
              <w:widowControl w:val="0"/>
              <w:rPr>
                <w:color w:val="auto"/>
                <w:highlight w:val="none"/>
                <w:vertAlign w:val="baseline"/>
              </w:rPr>
            </w:pPr>
          </w:p>
        </w:tc>
        <w:tc>
          <w:tcPr>
            <w:tcW w:w="986" w:type="dxa"/>
          </w:tcPr>
          <w:p w14:paraId="747DFEFE">
            <w:pPr>
              <w:widowControl w:val="0"/>
              <w:rPr>
                <w:color w:val="auto"/>
                <w:highlight w:val="none"/>
                <w:vertAlign w:val="baseline"/>
              </w:rPr>
            </w:pPr>
          </w:p>
        </w:tc>
        <w:tc>
          <w:tcPr>
            <w:tcW w:w="986" w:type="dxa"/>
          </w:tcPr>
          <w:p w14:paraId="3CDE67A2">
            <w:pPr>
              <w:widowControl w:val="0"/>
              <w:rPr>
                <w:color w:val="auto"/>
                <w:highlight w:val="none"/>
                <w:vertAlign w:val="baseline"/>
              </w:rPr>
            </w:pPr>
          </w:p>
        </w:tc>
        <w:tc>
          <w:tcPr>
            <w:tcW w:w="708" w:type="dxa"/>
          </w:tcPr>
          <w:p w14:paraId="5D8AC925">
            <w:pPr>
              <w:widowControl w:val="0"/>
              <w:rPr>
                <w:color w:val="auto"/>
                <w:highlight w:val="none"/>
                <w:vertAlign w:val="baseline"/>
              </w:rPr>
            </w:pPr>
          </w:p>
        </w:tc>
        <w:tc>
          <w:tcPr>
            <w:tcW w:w="1125" w:type="dxa"/>
          </w:tcPr>
          <w:p w14:paraId="3D2C7340">
            <w:pPr>
              <w:widowControl w:val="0"/>
              <w:rPr>
                <w:color w:val="auto"/>
                <w:highlight w:val="none"/>
                <w:vertAlign w:val="baseline"/>
              </w:rPr>
            </w:pPr>
          </w:p>
        </w:tc>
        <w:tc>
          <w:tcPr>
            <w:tcW w:w="1275" w:type="dxa"/>
          </w:tcPr>
          <w:p w14:paraId="4A016A1F">
            <w:pPr>
              <w:widowControl w:val="0"/>
              <w:rPr>
                <w:color w:val="auto"/>
                <w:highlight w:val="none"/>
                <w:vertAlign w:val="baseline"/>
              </w:rPr>
            </w:pPr>
          </w:p>
        </w:tc>
        <w:tc>
          <w:tcPr>
            <w:tcW w:w="1500" w:type="dxa"/>
          </w:tcPr>
          <w:p w14:paraId="6AA74C35">
            <w:pPr>
              <w:widowControl w:val="0"/>
              <w:rPr>
                <w:color w:val="auto"/>
                <w:highlight w:val="none"/>
                <w:vertAlign w:val="baseline"/>
              </w:rPr>
            </w:pPr>
          </w:p>
        </w:tc>
        <w:tc>
          <w:tcPr>
            <w:tcW w:w="1405" w:type="dxa"/>
          </w:tcPr>
          <w:p w14:paraId="091E8271">
            <w:pPr>
              <w:widowControl w:val="0"/>
              <w:rPr>
                <w:color w:val="auto"/>
                <w:highlight w:val="none"/>
                <w:vertAlign w:val="baseline"/>
              </w:rPr>
            </w:pPr>
          </w:p>
        </w:tc>
      </w:tr>
    </w:tbl>
    <w:p w14:paraId="367C1593">
      <w:pPr>
        <w:rPr>
          <w:color w:val="auto"/>
          <w:highlight w:val="none"/>
        </w:rPr>
      </w:pPr>
    </w:p>
    <w:p w14:paraId="5F948E2A">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5CB60358">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F3401C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p>
    <w:p w14:paraId="05393A2A">
      <w:pPr>
        <w:keepNext w:val="0"/>
        <w:keepLines w:val="0"/>
        <w:pageBreakBefore w:val="0"/>
        <w:widowControl/>
        <w:suppressLineNumbers w:val="0"/>
        <w:kinsoku w:val="0"/>
        <w:wordWrap/>
        <w:overflowPunct/>
        <w:topLinePunct w:val="0"/>
        <w:autoSpaceDE w:val="0"/>
        <w:autoSpaceDN w:val="0"/>
        <w:bidi w:val="0"/>
        <w:adjustRightInd w:val="0"/>
        <w:snapToGrid w:val="0"/>
        <w:ind w:firstLine="482" w:firstLineChars="200"/>
        <w:jc w:val="left"/>
        <w:textAlignment w:val="baseline"/>
        <w:rPr>
          <w:rFonts w:hint="eastAsia" w:ascii="宋体" w:hAnsi="宋体" w:eastAsia="宋体" w:cs="宋体"/>
          <w:b/>
          <w:bCs/>
          <w:snapToGrid w:val="0"/>
          <w:color w:val="auto"/>
          <w:kern w:val="0"/>
          <w:sz w:val="24"/>
          <w:szCs w:val="24"/>
          <w:highlight w:val="none"/>
          <w:lang w:val="en-US" w:eastAsia="zh-CN" w:bidi="ar"/>
        </w:rPr>
      </w:pPr>
    </w:p>
    <w:p w14:paraId="5A6344A3">
      <w:pPr>
        <w:keepNext w:val="0"/>
        <w:keepLines w:val="0"/>
        <w:widowControl/>
        <w:suppressLineNumbers w:val="0"/>
        <w:ind w:firstLine="482" w:firstLineChars="20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备注: 此表为产品配套耗材报价表，如没有，无需制作</w:t>
      </w:r>
      <w:r>
        <w:rPr>
          <w:rFonts w:hint="eastAsia" w:ascii="宋体" w:hAnsi="宋体" w:cs="宋体"/>
          <w:b/>
          <w:bCs/>
          <w:snapToGrid w:val="0"/>
          <w:color w:val="auto"/>
          <w:kern w:val="0"/>
          <w:sz w:val="24"/>
          <w:szCs w:val="24"/>
          <w:highlight w:val="none"/>
          <w:lang w:val="en-US" w:eastAsia="zh-CN" w:bidi="ar"/>
        </w:rPr>
        <w:t>，可自行删除</w:t>
      </w:r>
      <w:r>
        <w:rPr>
          <w:rFonts w:hint="eastAsia" w:ascii="宋体" w:hAnsi="宋体" w:eastAsia="宋体" w:cs="宋体"/>
          <w:b/>
          <w:bCs/>
          <w:snapToGrid w:val="0"/>
          <w:color w:val="auto"/>
          <w:kern w:val="0"/>
          <w:sz w:val="24"/>
          <w:szCs w:val="24"/>
          <w:highlight w:val="none"/>
          <w:lang w:val="en-US" w:eastAsia="zh-CN" w:bidi="ar"/>
        </w:rPr>
        <w:t>。</w:t>
      </w:r>
    </w:p>
    <w:p w14:paraId="66DBF250">
      <w:pPr>
        <w:pStyle w:val="24"/>
        <w:rPr>
          <w:rFonts w:hint="eastAsia" w:ascii="宋体" w:hAnsi="宋体" w:cs="宋体"/>
          <w:color w:val="auto"/>
          <w:kern w:val="0"/>
          <w:sz w:val="24"/>
          <w:highlight w:val="none"/>
        </w:rPr>
      </w:pPr>
    </w:p>
    <w:p w14:paraId="02699B8D">
      <w:pPr>
        <w:pStyle w:val="24"/>
        <w:rPr>
          <w:rFonts w:hint="eastAsia" w:ascii="宋体" w:hAnsi="宋体" w:cs="宋体"/>
          <w:color w:val="auto"/>
          <w:kern w:val="0"/>
          <w:sz w:val="24"/>
          <w:highlight w:val="none"/>
        </w:rPr>
        <w:sectPr>
          <w:pgSz w:w="16838" w:h="11906" w:orient="landscape"/>
          <w:pgMar w:top="1474" w:right="1417" w:bottom="1474" w:left="1417" w:header="851" w:footer="624" w:gutter="0"/>
          <w:pgNumType w:fmt="decimal"/>
          <w:cols w:space="720" w:num="1"/>
          <w:docGrid w:type="lines" w:linePitch="319" w:charSpace="0"/>
        </w:sectPr>
      </w:pPr>
    </w:p>
    <w:p w14:paraId="5986FE19">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4.3 产品配置清单一览表</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676"/>
        <w:gridCol w:w="1238"/>
        <w:gridCol w:w="1238"/>
        <w:gridCol w:w="1238"/>
        <w:gridCol w:w="1023"/>
        <w:gridCol w:w="1800"/>
      </w:tblGrid>
      <w:tr w14:paraId="46724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3830D71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序号</w:t>
            </w:r>
          </w:p>
        </w:tc>
        <w:tc>
          <w:tcPr>
            <w:tcW w:w="1676" w:type="dxa"/>
            <w:vAlign w:val="center"/>
          </w:tcPr>
          <w:p w14:paraId="69DBD13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货物名称</w:t>
            </w:r>
          </w:p>
        </w:tc>
        <w:tc>
          <w:tcPr>
            <w:tcW w:w="1238" w:type="dxa"/>
            <w:vAlign w:val="center"/>
          </w:tcPr>
          <w:p w14:paraId="35843AC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品牌</w:t>
            </w:r>
          </w:p>
        </w:tc>
        <w:tc>
          <w:tcPr>
            <w:tcW w:w="1238" w:type="dxa"/>
            <w:vAlign w:val="center"/>
          </w:tcPr>
          <w:p w14:paraId="295A1D23">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产地</w:t>
            </w:r>
          </w:p>
        </w:tc>
        <w:tc>
          <w:tcPr>
            <w:tcW w:w="1238" w:type="dxa"/>
            <w:vAlign w:val="center"/>
          </w:tcPr>
          <w:p w14:paraId="29752C26">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型号规格</w:t>
            </w:r>
          </w:p>
        </w:tc>
        <w:tc>
          <w:tcPr>
            <w:tcW w:w="1023" w:type="dxa"/>
            <w:vAlign w:val="center"/>
          </w:tcPr>
          <w:p w14:paraId="545160AD">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单位</w:t>
            </w:r>
          </w:p>
        </w:tc>
        <w:tc>
          <w:tcPr>
            <w:tcW w:w="1800" w:type="dxa"/>
            <w:vAlign w:val="center"/>
          </w:tcPr>
          <w:p w14:paraId="6CD84A93">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数量</w:t>
            </w:r>
          </w:p>
        </w:tc>
      </w:tr>
      <w:tr w14:paraId="45000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134B0D6">
            <w:pPr>
              <w:widowControl w:val="0"/>
              <w:jc w:val="center"/>
              <w:rPr>
                <w:rFonts w:hint="default"/>
                <w:color w:val="auto"/>
                <w:highlight w:val="none"/>
                <w:vertAlign w:val="baseline"/>
                <w:lang w:val="en-US" w:eastAsia="zh-CN"/>
              </w:rPr>
            </w:pPr>
          </w:p>
        </w:tc>
        <w:tc>
          <w:tcPr>
            <w:tcW w:w="1676" w:type="dxa"/>
            <w:vAlign w:val="center"/>
          </w:tcPr>
          <w:p w14:paraId="2B2FB324">
            <w:pPr>
              <w:widowControl w:val="0"/>
              <w:jc w:val="center"/>
              <w:rPr>
                <w:rFonts w:hint="default"/>
                <w:color w:val="auto"/>
                <w:highlight w:val="none"/>
                <w:vertAlign w:val="baseline"/>
                <w:lang w:val="en-US" w:eastAsia="zh-CN"/>
              </w:rPr>
            </w:pPr>
          </w:p>
        </w:tc>
        <w:tc>
          <w:tcPr>
            <w:tcW w:w="1238" w:type="dxa"/>
            <w:vAlign w:val="center"/>
          </w:tcPr>
          <w:p w14:paraId="3FFED3C5">
            <w:pPr>
              <w:widowControl w:val="0"/>
              <w:jc w:val="center"/>
              <w:rPr>
                <w:rFonts w:hint="default"/>
                <w:color w:val="auto"/>
                <w:highlight w:val="none"/>
                <w:vertAlign w:val="baseline"/>
                <w:lang w:val="en-US" w:eastAsia="zh-CN"/>
              </w:rPr>
            </w:pPr>
          </w:p>
        </w:tc>
        <w:tc>
          <w:tcPr>
            <w:tcW w:w="1238" w:type="dxa"/>
            <w:vAlign w:val="center"/>
          </w:tcPr>
          <w:p w14:paraId="1FC676C2">
            <w:pPr>
              <w:widowControl w:val="0"/>
              <w:jc w:val="center"/>
              <w:rPr>
                <w:rFonts w:hint="default"/>
                <w:color w:val="auto"/>
                <w:highlight w:val="none"/>
                <w:vertAlign w:val="baseline"/>
                <w:lang w:val="en-US" w:eastAsia="zh-CN"/>
              </w:rPr>
            </w:pPr>
          </w:p>
        </w:tc>
        <w:tc>
          <w:tcPr>
            <w:tcW w:w="1238" w:type="dxa"/>
            <w:vAlign w:val="center"/>
          </w:tcPr>
          <w:p w14:paraId="25AACED3">
            <w:pPr>
              <w:widowControl w:val="0"/>
              <w:jc w:val="center"/>
              <w:rPr>
                <w:rFonts w:hint="default"/>
                <w:color w:val="auto"/>
                <w:highlight w:val="none"/>
                <w:vertAlign w:val="baseline"/>
                <w:lang w:val="en-US" w:eastAsia="zh-CN"/>
              </w:rPr>
            </w:pPr>
          </w:p>
        </w:tc>
        <w:tc>
          <w:tcPr>
            <w:tcW w:w="1023" w:type="dxa"/>
            <w:vAlign w:val="center"/>
          </w:tcPr>
          <w:p w14:paraId="749D014C">
            <w:pPr>
              <w:widowControl w:val="0"/>
              <w:jc w:val="center"/>
              <w:rPr>
                <w:rFonts w:hint="default"/>
                <w:color w:val="auto"/>
                <w:highlight w:val="none"/>
                <w:vertAlign w:val="baseline"/>
                <w:lang w:val="en-US" w:eastAsia="zh-CN"/>
              </w:rPr>
            </w:pPr>
          </w:p>
        </w:tc>
        <w:tc>
          <w:tcPr>
            <w:tcW w:w="1800" w:type="dxa"/>
            <w:vAlign w:val="center"/>
          </w:tcPr>
          <w:p w14:paraId="05134611">
            <w:pPr>
              <w:widowControl w:val="0"/>
              <w:jc w:val="center"/>
              <w:rPr>
                <w:rFonts w:hint="default"/>
                <w:color w:val="auto"/>
                <w:highlight w:val="none"/>
                <w:vertAlign w:val="baseline"/>
                <w:lang w:val="en-US" w:eastAsia="zh-CN"/>
              </w:rPr>
            </w:pPr>
          </w:p>
        </w:tc>
      </w:tr>
      <w:tr w14:paraId="6D38D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17326070">
            <w:pPr>
              <w:widowControl w:val="0"/>
              <w:jc w:val="center"/>
              <w:rPr>
                <w:rFonts w:hint="default"/>
                <w:color w:val="auto"/>
                <w:highlight w:val="none"/>
                <w:vertAlign w:val="baseline"/>
                <w:lang w:val="en-US" w:eastAsia="zh-CN"/>
              </w:rPr>
            </w:pPr>
          </w:p>
        </w:tc>
        <w:tc>
          <w:tcPr>
            <w:tcW w:w="1676" w:type="dxa"/>
            <w:vAlign w:val="center"/>
          </w:tcPr>
          <w:p w14:paraId="31FB795C">
            <w:pPr>
              <w:widowControl w:val="0"/>
              <w:jc w:val="center"/>
              <w:rPr>
                <w:rFonts w:hint="default"/>
                <w:color w:val="auto"/>
                <w:highlight w:val="none"/>
                <w:vertAlign w:val="baseline"/>
                <w:lang w:val="en-US" w:eastAsia="zh-CN"/>
              </w:rPr>
            </w:pPr>
          </w:p>
        </w:tc>
        <w:tc>
          <w:tcPr>
            <w:tcW w:w="1238" w:type="dxa"/>
            <w:vAlign w:val="center"/>
          </w:tcPr>
          <w:p w14:paraId="3DDF1F3E">
            <w:pPr>
              <w:widowControl w:val="0"/>
              <w:jc w:val="center"/>
              <w:rPr>
                <w:rFonts w:hint="default"/>
                <w:color w:val="auto"/>
                <w:highlight w:val="none"/>
                <w:vertAlign w:val="baseline"/>
                <w:lang w:val="en-US" w:eastAsia="zh-CN"/>
              </w:rPr>
            </w:pPr>
          </w:p>
        </w:tc>
        <w:tc>
          <w:tcPr>
            <w:tcW w:w="1238" w:type="dxa"/>
            <w:vAlign w:val="center"/>
          </w:tcPr>
          <w:p w14:paraId="1AE826AF">
            <w:pPr>
              <w:widowControl w:val="0"/>
              <w:jc w:val="center"/>
              <w:rPr>
                <w:rFonts w:hint="default"/>
                <w:color w:val="auto"/>
                <w:highlight w:val="none"/>
                <w:vertAlign w:val="baseline"/>
                <w:lang w:val="en-US" w:eastAsia="zh-CN"/>
              </w:rPr>
            </w:pPr>
          </w:p>
        </w:tc>
        <w:tc>
          <w:tcPr>
            <w:tcW w:w="1238" w:type="dxa"/>
            <w:vAlign w:val="center"/>
          </w:tcPr>
          <w:p w14:paraId="439C5F96">
            <w:pPr>
              <w:widowControl w:val="0"/>
              <w:jc w:val="center"/>
              <w:rPr>
                <w:rFonts w:hint="default"/>
                <w:color w:val="auto"/>
                <w:highlight w:val="none"/>
                <w:vertAlign w:val="baseline"/>
                <w:lang w:val="en-US" w:eastAsia="zh-CN"/>
              </w:rPr>
            </w:pPr>
          </w:p>
        </w:tc>
        <w:tc>
          <w:tcPr>
            <w:tcW w:w="1023" w:type="dxa"/>
            <w:vAlign w:val="center"/>
          </w:tcPr>
          <w:p w14:paraId="674CDC80">
            <w:pPr>
              <w:widowControl w:val="0"/>
              <w:jc w:val="center"/>
              <w:rPr>
                <w:rFonts w:hint="default"/>
                <w:color w:val="auto"/>
                <w:highlight w:val="none"/>
                <w:vertAlign w:val="baseline"/>
                <w:lang w:val="en-US" w:eastAsia="zh-CN"/>
              </w:rPr>
            </w:pPr>
          </w:p>
        </w:tc>
        <w:tc>
          <w:tcPr>
            <w:tcW w:w="1800" w:type="dxa"/>
            <w:vAlign w:val="center"/>
          </w:tcPr>
          <w:p w14:paraId="1CB5057F">
            <w:pPr>
              <w:widowControl w:val="0"/>
              <w:jc w:val="center"/>
              <w:rPr>
                <w:rFonts w:hint="default"/>
                <w:color w:val="auto"/>
                <w:highlight w:val="none"/>
                <w:vertAlign w:val="baseline"/>
                <w:lang w:val="en-US" w:eastAsia="zh-CN"/>
              </w:rPr>
            </w:pPr>
          </w:p>
        </w:tc>
      </w:tr>
      <w:tr w14:paraId="1D36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0A3433ED">
            <w:pPr>
              <w:widowControl w:val="0"/>
              <w:jc w:val="center"/>
              <w:rPr>
                <w:rFonts w:hint="default"/>
                <w:color w:val="auto"/>
                <w:highlight w:val="none"/>
                <w:vertAlign w:val="baseline"/>
                <w:lang w:val="en-US" w:eastAsia="zh-CN"/>
              </w:rPr>
            </w:pPr>
          </w:p>
        </w:tc>
        <w:tc>
          <w:tcPr>
            <w:tcW w:w="1676" w:type="dxa"/>
            <w:vAlign w:val="center"/>
          </w:tcPr>
          <w:p w14:paraId="4953F941">
            <w:pPr>
              <w:widowControl w:val="0"/>
              <w:jc w:val="center"/>
              <w:rPr>
                <w:rFonts w:hint="default"/>
                <w:color w:val="auto"/>
                <w:highlight w:val="none"/>
                <w:vertAlign w:val="baseline"/>
                <w:lang w:val="en-US" w:eastAsia="zh-CN"/>
              </w:rPr>
            </w:pPr>
          </w:p>
        </w:tc>
        <w:tc>
          <w:tcPr>
            <w:tcW w:w="1238" w:type="dxa"/>
            <w:vAlign w:val="center"/>
          </w:tcPr>
          <w:p w14:paraId="60D4163C">
            <w:pPr>
              <w:widowControl w:val="0"/>
              <w:jc w:val="center"/>
              <w:rPr>
                <w:rFonts w:hint="default"/>
                <w:color w:val="auto"/>
                <w:highlight w:val="none"/>
                <w:vertAlign w:val="baseline"/>
                <w:lang w:val="en-US" w:eastAsia="zh-CN"/>
              </w:rPr>
            </w:pPr>
          </w:p>
        </w:tc>
        <w:tc>
          <w:tcPr>
            <w:tcW w:w="1238" w:type="dxa"/>
            <w:vAlign w:val="center"/>
          </w:tcPr>
          <w:p w14:paraId="7F5D0506">
            <w:pPr>
              <w:widowControl w:val="0"/>
              <w:jc w:val="center"/>
              <w:rPr>
                <w:rFonts w:hint="default"/>
                <w:color w:val="auto"/>
                <w:highlight w:val="none"/>
                <w:vertAlign w:val="baseline"/>
                <w:lang w:val="en-US" w:eastAsia="zh-CN"/>
              </w:rPr>
            </w:pPr>
          </w:p>
        </w:tc>
        <w:tc>
          <w:tcPr>
            <w:tcW w:w="1238" w:type="dxa"/>
            <w:vAlign w:val="center"/>
          </w:tcPr>
          <w:p w14:paraId="72E86AD5">
            <w:pPr>
              <w:widowControl w:val="0"/>
              <w:jc w:val="center"/>
              <w:rPr>
                <w:rFonts w:hint="default"/>
                <w:color w:val="auto"/>
                <w:highlight w:val="none"/>
                <w:vertAlign w:val="baseline"/>
                <w:lang w:val="en-US" w:eastAsia="zh-CN"/>
              </w:rPr>
            </w:pPr>
          </w:p>
        </w:tc>
        <w:tc>
          <w:tcPr>
            <w:tcW w:w="1023" w:type="dxa"/>
            <w:vAlign w:val="center"/>
          </w:tcPr>
          <w:p w14:paraId="7134BF0D">
            <w:pPr>
              <w:widowControl w:val="0"/>
              <w:jc w:val="center"/>
              <w:rPr>
                <w:rFonts w:hint="default"/>
                <w:color w:val="auto"/>
                <w:highlight w:val="none"/>
                <w:vertAlign w:val="baseline"/>
                <w:lang w:val="en-US" w:eastAsia="zh-CN"/>
              </w:rPr>
            </w:pPr>
          </w:p>
        </w:tc>
        <w:tc>
          <w:tcPr>
            <w:tcW w:w="1800" w:type="dxa"/>
            <w:vAlign w:val="center"/>
          </w:tcPr>
          <w:p w14:paraId="0EB3CD05">
            <w:pPr>
              <w:widowControl w:val="0"/>
              <w:jc w:val="center"/>
              <w:rPr>
                <w:rFonts w:hint="default"/>
                <w:color w:val="auto"/>
                <w:highlight w:val="none"/>
                <w:vertAlign w:val="baseline"/>
                <w:lang w:val="en-US" w:eastAsia="zh-CN"/>
              </w:rPr>
            </w:pPr>
          </w:p>
        </w:tc>
      </w:tr>
      <w:tr w14:paraId="6CA60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4607775A">
            <w:pPr>
              <w:widowControl w:val="0"/>
              <w:jc w:val="center"/>
              <w:rPr>
                <w:rFonts w:hint="default"/>
                <w:color w:val="auto"/>
                <w:highlight w:val="none"/>
                <w:vertAlign w:val="baseline"/>
                <w:lang w:val="en-US" w:eastAsia="zh-CN"/>
              </w:rPr>
            </w:pPr>
          </w:p>
        </w:tc>
        <w:tc>
          <w:tcPr>
            <w:tcW w:w="1676" w:type="dxa"/>
            <w:vAlign w:val="center"/>
          </w:tcPr>
          <w:p w14:paraId="3A245A35">
            <w:pPr>
              <w:widowControl w:val="0"/>
              <w:jc w:val="center"/>
              <w:rPr>
                <w:rFonts w:hint="default"/>
                <w:color w:val="auto"/>
                <w:highlight w:val="none"/>
                <w:vertAlign w:val="baseline"/>
                <w:lang w:val="en-US" w:eastAsia="zh-CN"/>
              </w:rPr>
            </w:pPr>
          </w:p>
        </w:tc>
        <w:tc>
          <w:tcPr>
            <w:tcW w:w="1238" w:type="dxa"/>
            <w:vAlign w:val="center"/>
          </w:tcPr>
          <w:p w14:paraId="6D057E85">
            <w:pPr>
              <w:widowControl w:val="0"/>
              <w:jc w:val="center"/>
              <w:rPr>
                <w:rFonts w:hint="default"/>
                <w:color w:val="auto"/>
                <w:highlight w:val="none"/>
                <w:vertAlign w:val="baseline"/>
                <w:lang w:val="en-US" w:eastAsia="zh-CN"/>
              </w:rPr>
            </w:pPr>
          </w:p>
        </w:tc>
        <w:tc>
          <w:tcPr>
            <w:tcW w:w="1238" w:type="dxa"/>
            <w:vAlign w:val="center"/>
          </w:tcPr>
          <w:p w14:paraId="515422B7">
            <w:pPr>
              <w:widowControl w:val="0"/>
              <w:jc w:val="center"/>
              <w:rPr>
                <w:rFonts w:hint="default"/>
                <w:color w:val="auto"/>
                <w:highlight w:val="none"/>
                <w:vertAlign w:val="baseline"/>
                <w:lang w:val="en-US" w:eastAsia="zh-CN"/>
              </w:rPr>
            </w:pPr>
          </w:p>
        </w:tc>
        <w:tc>
          <w:tcPr>
            <w:tcW w:w="1238" w:type="dxa"/>
            <w:vAlign w:val="center"/>
          </w:tcPr>
          <w:p w14:paraId="161FB83F">
            <w:pPr>
              <w:widowControl w:val="0"/>
              <w:jc w:val="center"/>
              <w:rPr>
                <w:rFonts w:hint="default"/>
                <w:color w:val="auto"/>
                <w:highlight w:val="none"/>
                <w:vertAlign w:val="baseline"/>
                <w:lang w:val="en-US" w:eastAsia="zh-CN"/>
              </w:rPr>
            </w:pPr>
          </w:p>
        </w:tc>
        <w:tc>
          <w:tcPr>
            <w:tcW w:w="1023" w:type="dxa"/>
            <w:vAlign w:val="center"/>
          </w:tcPr>
          <w:p w14:paraId="77DF5323">
            <w:pPr>
              <w:widowControl w:val="0"/>
              <w:jc w:val="center"/>
              <w:rPr>
                <w:rFonts w:hint="default"/>
                <w:color w:val="auto"/>
                <w:highlight w:val="none"/>
                <w:vertAlign w:val="baseline"/>
                <w:lang w:val="en-US" w:eastAsia="zh-CN"/>
              </w:rPr>
            </w:pPr>
          </w:p>
        </w:tc>
        <w:tc>
          <w:tcPr>
            <w:tcW w:w="1800" w:type="dxa"/>
            <w:vAlign w:val="center"/>
          </w:tcPr>
          <w:p w14:paraId="1D8AAC89">
            <w:pPr>
              <w:widowControl w:val="0"/>
              <w:jc w:val="center"/>
              <w:rPr>
                <w:rFonts w:hint="default"/>
                <w:color w:val="auto"/>
                <w:highlight w:val="none"/>
                <w:vertAlign w:val="baseline"/>
                <w:lang w:val="en-US" w:eastAsia="zh-CN"/>
              </w:rPr>
            </w:pPr>
          </w:p>
        </w:tc>
      </w:tr>
      <w:tr w14:paraId="07F7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E7A2E37">
            <w:pPr>
              <w:widowControl w:val="0"/>
              <w:jc w:val="center"/>
              <w:rPr>
                <w:rFonts w:hint="default"/>
                <w:color w:val="auto"/>
                <w:highlight w:val="none"/>
                <w:vertAlign w:val="baseline"/>
                <w:lang w:val="en-US" w:eastAsia="zh-CN"/>
              </w:rPr>
            </w:pPr>
          </w:p>
        </w:tc>
        <w:tc>
          <w:tcPr>
            <w:tcW w:w="1676" w:type="dxa"/>
            <w:vAlign w:val="center"/>
          </w:tcPr>
          <w:p w14:paraId="6E777249">
            <w:pPr>
              <w:widowControl w:val="0"/>
              <w:jc w:val="center"/>
              <w:rPr>
                <w:rFonts w:hint="default"/>
                <w:color w:val="auto"/>
                <w:highlight w:val="none"/>
                <w:vertAlign w:val="baseline"/>
                <w:lang w:val="en-US" w:eastAsia="zh-CN"/>
              </w:rPr>
            </w:pPr>
          </w:p>
        </w:tc>
        <w:tc>
          <w:tcPr>
            <w:tcW w:w="1238" w:type="dxa"/>
            <w:vAlign w:val="center"/>
          </w:tcPr>
          <w:p w14:paraId="4DE2A82B">
            <w:pPr>
              <w:widowControl w:val="0"/>
              <w:jc w:val="center"/>
              <w:rPr>
                <w:rFonts w:hint="default"/>
                <w:color w:val="auto"/>
                <w:highlight w:val="none"/>
                <w:vertAlign w:val="baseline"/>
                <w:lang w:val="en-US" w:eastAsia="zh-CN"/>
              </w:rPr>
            </w:pPr>
          </w:p>
        </w:tc>
        <w:tc>
          <w:tcPr>
            <w:tcW w:w="1238" w:type="dxa"/>
            <w:vAlign w:val="center"/>
          </w:tcPr>
          <w:p w14:paraId="7C5B0392">
            <w:pPr>
              <w:widowControl w:val="0"/>
              <w:jc w:val="center"/>
              <w:rPr>
                <w:rFonts w:hint="default"/>
                <w:color w:val="auto"/>
                <w:highlight w:val="none"/>
                <w:vertAlign w:val="baseline"/>
                <w:lang w:val="en-US" w:eastAsia="zh-CN"/>
              </w:rPr>
            </w:pPr>
          </w:p>
        </w:tc>
        <w:tc>
          <w:tcPr>
            <w:tcW w:w="1238" w:type="dxa"/>
            <w:vAlign w:val="center"/>
          </w:tcPr>
          <w:p w14:paraId="17137530">
            <w:pPr>
              <w:widowControl w:val="0"/>
              <w:jc w:val="center"/>
              <w:rPr>
                <w:rFonts w:hint="default"/>
                <w:color w:val="auto"/>
                <w:highlight w:val="none"/>
                <w:vertAlign w:val="baseline"/>
                <w:lang w:val="en-US" w:eastAsia="zh-CN"/>
              </w:rPr>
            </w:pPr>
          </w:p>
        </w:tc>
        <w:tc>
          <w:tcPr>
            <w:tcW w:w="1023" w:type="dxa"/>
            <w:vAlign w:val="center"/>
          </w:tcPr>
          <w:p w14:paraId="1138018C">
            <w:pPr>
              <w:widowControl w:val="0"/>
              <w:jc w:val="center"/>
              <w:rPr>
                <w:rFonts w:hint="default"/>
                <w:color w:val="auto"/>
                <w:highlight w:val="none"/>
                <w:vertAlign w:val="baseline"/>
                <w:lang w:val="en-US" w:eastAsia="zh-CN"/>
              </w:rPr>
            </w:pPr>
          </w:p>
        </w:tc>
        <w:tc>
          <w:tcPr>
            <w:tcW w:w="1800" w:type="dxa"/>
            <w:vAlign w:val="center"/>
          </w:tcPr>
          <w:p w14:paraId="4CA32857">
            <w:pPr>
              <w:widowControl w:val="0"/>
              <w:jc w:val="center"/>
              <w:rPr>
                <w:rFonts w:hint="default"/>
                <w:color w:val="auto"/>
                <w:highlight w:val="none"/>
                <w:vertAlign w:val="baseline"/>
                <w:lang w:val="en-US" w:eastAsia="zh-CN"/>
              </w:rPr>
            </w:pPr>
          </w:p>
        </w:tc>
      </w:tr>
    </w:tbl>
    <w:p w14:paraId="4690C867">
      <w:pPr>
        <w:rPr>
          <w:rFonts w:hint="default"/>
          <w:color w:val="auto"/>
          <w:highlight w:val="none"/>
          <w:lang w:val="en-US" w:eastAsia="zh-CN"/>
        </w:rPr>
      </w:pPr>
    </w:p>
    <w:p w14:paraId="708C5B50">
      <w:pPr>
        <w:bidi w:val="0"/>
        <w:rPr>
          <w:rFonts w:hint="default"/>
          <w:color w:val="auto"/>
          <w:highlight w:val="none"/>
          <w:lang w:val="en-US" w:eastAsia="zh-CN"/>
        </w:rPr>
      </w:pPr>
    </w:p>
    <w:p w14:paraId="255DC18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2C4A13A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13A98344">
      <w:pPr>
        <w:bidi w:val="0"/>
        <w:rPr>
          <w:rFonts w:hint="eastAsia"/>
          <w:color w:val="auto"/>
          <w:highlight w:val="none"/>
          <w:lang w:val="en-US" w:eastAsia="zh-CN"/>
        </w:rPr>
      </w:pPr>
    </w:p>
    <w:p w14:paraId="57412C83">
      <w:pPr>
        <w:rPr>
          <w:rFonts w:hint="eastAsia" w:ascii="宋体" w:hAnsi="宋体" w:cs="宋体"/>
          <w:color w:val="auto"/>
          <w:sz w:val="24"/>
          <w:szCs w:val="24"/>
          <w:highlight w:val="none"/>
          <w:lang w:val="en-US" w:eastAsia="zh-CN"/>
        </w:rPr>
      </w:pPr>
    </w:p>
    <w:p w14:paraId="4D0AC012">
      <w:pPr>
        <w:bidi w:val="0"/>
        <w:rPr>
          <w:rFonts w:hint="eastAsia"/>
          <w:color w:val="auto"/>
          <w:highlight w:val="none"/>
          <w:lang w:val="en-US" w:eastAsia="zh-CN"/>
        </w:rPr>
      </w:pPr>
    </w:p>
    <w:p w14:paraId="591F39DF">
      <w:pPr>
        <w:pStyle w:val="24"/>
        <w:rPr>
          <w:rFonts w:hint="eastAsia" w:ascii="宋体" w:hAnsi="宋体" w:cs="宋体"/>
          <w:color w:val="auto"/>
          <w:kern w:val="0"/>
          <w:sz w:val="24"/>
          <w:highlight w:val="none"/>
          <w:lang w:val="en-US" w:eastAsia="zh-CN"/>
        </w:rPr>
      </w:pPr>
    </w:p>
    <w:p w14:paraId="0C409640">
      <w:pPr>
        <w:pStyle w:val="24"/>
        <w:rPr>
          <w:rFonts w:hint="eastAsia" w:ascii="宋体" w:hAnsi="宋体" w:cs="宋体"/>
          <w:color w:val="auto"/>
          <w:kern w:val="0"/>
          <w:sz w:val="24"/>
          <w:highlight w:val="none"/>
          <w:lang w:val="en-US" w:eastAsia="zh-CN"/>
        </w:rPr>
      </w:pPr>
    </w:p>
    <w:p w14:paraId="1C9EAA97">
      <w:pPr>
        <w:pStyle w:val="24"/>
        <w:rPr>
          <w:rFonts w:hint="eastAsia" w:ascii="宋体" w:hAnsi="宋体" w:cs="宋体"/>
          <w:color w:val="auto"/>
          <w:kern w:val="0"/>
          <w:sz w:val="24"/>
          <w:highlight w:val="none"/>
          <w:lang w:val="en-US" w:eastAsia="zh-CN"/>
        </w:rPr>
      </w:pPr>
    </w:p>
    <w:p w14:paraId="21B00144">
      <w:pPr>
        <w:pStyle w:val="24"/>
        <w:rPr>
          <w:rFonts w:hint="eastAsia" w:ascii="宋体" w:hAnsi="宋体" w:cs="宋体"/>
          <w:color w:val="auto"/>
          <w:kern w:val="0"/>
          <w:sz w:val="24"/>
          <w:highlight w:val="none"/>
          <w:lang w:val="en-US" w:eastAsia="zh-CN"/>
        </w:rPr>
      </w:pPr>
    </w:p>
    <w:p w14:paraId="2A74BFB0">
      <w:pPr>
        <w:pStyle w:val="24"/>
        <w:rPr>
          <w:rFonts w:hint="eastAsia" w:ascii="宋体" w:hAnsi="宋体" w:cs="宋体"/>
          <w:color w:val="auto"/>
          <w:kern w:val="0"/>
          <w:sz w:val="24"/>
          <w:highlight w:val="none"/>
          <w:lang w:val="en-US" w:eastAsia="zh-CN"/>
        </w:rPr>
      </w:pPr>
    </w:p>
    <w:p w14:paraId="3EF3AB43">
      <w:pPr>
        <w:pStyle w:val="24"/>
        <w:rPr>
          <w:rFonts w:hint="eastAsia" w:ascii="宋体" w:hAnsi="宋体" w:cs="宋体"/>
          <w:color w:val="auto"/>
          <w:kern w:val="0"/>
          <w:sz w:val="24"/>
          <w:highlight w:val="none"/>
          <w:lang w:val="en-US" w:eastAsia="zh-CN"/>
        </w:rPr>
      </w:pPr>
    </w:p>
    <w:p w14:paraId="4AAC2649">
      <w:pPr>
        <w:pStyle w:val="24"/>
        <w:rPr>
          <w:rFonts w:hint="default" w:ascii="宋体" w:hAnsi="宋体" w:cs="宋体"/>
          <w:color w:val="auto"/>
          <w:kern w:val="0"/>
          <w:sz w:val="24"/>
          <w:highlight w:val="none"/>
          <w:lang w:val="en-US" w:eastAsia="zh-CN"/>
        </w:rPr>
      </w:pPr>
    </w:p>
    <w:p w14:paraId="5C2F6EBC">
      <w:pPr>
        <w:pStyle w:val="24"/>
        <w:rPr>
          <w:rFonts w:hint="default" w:ascii="宋体" w:hAnsi="宋体" w:cs="宋体"/>
          <w:color w:val="auto"/>
          <w:kern w:val="0"/>
          <w:sz w:val="24"/>
          <w:highlight w:val="none"/>
          <w:lang w:val="en-US" w:eastAsia="zh-CN"/>
        </w:rPr>
        <w:sectPr>
          <w:pgSz w:w="11906" w:h="16838"/>
          <w:pgMar w:top="1417" w:right="1474" w:bottom="1417" w:left="1474" w:header="851" w:footer="624" w:gutter="0"/>
          <w:pgNumType w:fmt="decimal"/>
          <w:cols w:space="720" w:num="1"/>
          <w:docGrid w:type="lines" w:linePitch="319" w:charSpace="0"/>
        </w:sectPr>
      </w:pPr>
    </w:p>
    <w:p w14:paraId="5030750C">
      <w:pPr>
        <w:pStyle w:val="24"/>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4.4 质保期满后易损件、配件一览表</w:t>
      </w:r>
    </w:p>
    <w:p w14:paraId="366976F4">
      <w:pPr>
        <w:pStyle w:val="24"/>
        <w:rPr>
          <w:rFonts w:hint="default" w:ascii="宋体" w:hAnsi="宋体" w:cs="宋体"/>
          <w:color w:val="auto"/>
          <w:kern w:val="0"/>
          <w:sz w:val="24"/>
          <w:highlight w:val="none"/>
          <w:lang w:val="en-US" w:eastAsia="zh-CN"/>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946"/>
        <w:gridCol w:w="1306"/>
        <w:gridCol w:w="1306"/>
        <w:gridCol w:w="1339"/>
        <w:gridCol w:w="1306"/>
        <w:gridCol w:w="1306"/>
      </w:tblGrid>
      <w:tr w14:paraId="50E2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516A41BE">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1946" w:type="dxa"/>
            <w:vAlign w:val="center"/>
          </w:tcPr>
          <w:p w14:paraId="1506BE1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配件名称</w:t>
            </w:r>
          </w:p>
        </w:tc>
        <w:tc>
          <w:tcPr>
            <w:tcW w:w="1306" w:type="dxa"/>
            <w:vAlign w:val="center"/>
          </w:tcPr>
          <w:p w14:paraId="6270A4AB">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规格型号</w:t>
            </w:r>
          </w:p>
        </w:tc>
        <w:tc>
          <w:tcPr>
            <w:tcW w:w="1306" w:type="dxa"/>
            <w:vAlign w:val="center"/>
          </w:tcPr>
          <w:p w14:paraId="52395D0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生产企业</w:t>
            </w:r>
          </w:p>
        </w:tc>
        <w:tc>
          <w:tcPr>
            <w:tcW w:w="1339" w:type="dxa"/>
            <w:vAlign w:val="center"/>
          </w:tcPr>
          <w:p w14:paraId="567EFC44">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产地</w:t>
            </w:r>
          </w:p>
        </w:tc>
        <w:tc>
          <w:tcPr>
            <w:tcW w:w="1306" w:type="dxa"/>
            <w:vAlign w:val="center"/>
          </w:tcPr>
          <w:p w14:paraId="2AAC2CF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单位</w:t>
            </w:r>
          </w:p>
        </w:tc>
        <w:tc>
          <w:tcPr>
            <w:tcW w:w="1306" w:type="dxa"/>
            <w:vAlign w:val="center"/>
          </w:tcPr>
          <w:p w14:paraId="1C1F947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单价（元）</w:t>
            </w:r>
          </w:p>
        </w:tc>
      </w:tr>
      <w:tr w14:paraId="68831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299AB04">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045DD21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775D23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shd w:val="clear" w:color="auto" w:fill="auto"/>
            <w:vAlign w:val="center"/>
          </w:tcPr>
          <w:p w14:paraId="79742F46">
            <w:pPr>
              <w:widowControl w:val="0"/>
              <w:jc w:val="center"/>
              <w:rPr>
                <w:rFonts w:hint="eastAsia" w:ascii="宋体" w:hAnsi="宋体" w:eastAsia="宋体" w:cs="宋体"/>
                <w:b/>
                <w:bCs/>
                <w:color w:val="auto"/>
                <w:kern w:val="2"/>
                <w:sz w:val="24"/>
                <w:szCs w:val="24"/>
                <w:highlight w:val="none"/>
                <w:vertAlign w:val="baseline"/>
                <w:lang w:val="en-US" w:eastAsia="zh-CN" w:bidi="ar-SA"/>
              </w:rPr>
            </w:pPr>
          </w:p>
        </w:tc>
        <w:tc>
          <w:tcPr>
            <w:tcW w:w="1339" w:type="dxa"/>
            <w:shd w:val="clear" w:color="auto" w:fill="auto"/>
            <w:vAlign w:val="center"/>
          </w:tcPr>
          <w:p w14:paraId="69D63A93">
            <w:pPr>
              <w:widowControl w:val="0"/>
              <w:jc w:val="center"/>
              <w:rPr>
                <w:rFonts w:hint="eastAsia" w:ascii="宋体" w:hAnsi="宋体" w:eastAsia="宋体" w:cs="宋体"/>
                <w:b/>
                <w:bCs/>
                <w:color w:val="auto"/>
                <w:kern w:val="2"/>
                <w:sz w:val="24"/>
                <w:szCs w:val="24"/>
                <w:highlight w:val="none"/>
                <w:vertAlign w:val="baseline"/>
                <w:lang w:val="en-US" w:eastAsia="zh-CN" w:bidi="ar-SA"/>
              </w:rPr>
            </w:pPr>
          </w:p>
        </w:tc>
        <w:tc>
          <w:tcPr>
            <w:tcW w:w="1306" w:type="dxa"/>
            <w:vAlign w:val="center"/>
          </w:tcPr>
          <w:p w14:paraId="1E839A5D">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928B2AE">
            <w:pPr>
              <w:widowControl w:val="0"/>
              <w:jc w:val="center"/>
              <w:rPr>
                <w:rFonts w:hint="eastAsia" w:ascii="宋体" w:hAnsi="宋体" w:eastAsia="宋体" w:cs="宋体"/>
                <w:color w:val="auto"/>
                <w:sz w:val="24"/>
                <w:szCs w:val="24"/>
                <w:highlight w:val="none"/>
                <w:vertAlign w:val="baseline"/>
                <w:lang w:val="en-US" w:eastAsia="zh-CN"/>
              </w:rPr>
            </w:pPr>
          </w:p>
        </w:tc>
      </w:tr>
      <w:tr w14:paraId="0123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EB9D0C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2004B7E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D2A3AF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241B5F7">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03210F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564D1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C4CE146">
            <w:pPr>
              <w:widowControl w:val="0"/>
              <w:jc w:val="center"/>
              <w:rPr>
                <w:rFonts w:hint="eastAsia" w:ascii="宋体" w:hAnsi="宋体" w:eastAsia="宋体" w:cs="宋体"/>
                <w:color w:val="auto"/>
                <w:sz w:val="24"/>
                <w:szCs w:val="24"/>
                <w:highlight w:val="none"/>
                <w:vertAlign w:val="baseline"/>
                <w:lang w:val="en-US" w:eastAsia="zh-CN"/>
              </w:rPr>
            </w:pPr>
          </w:p>
        </w:tc>
      </w:tr>
      <w:tr w14:paraId="1996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022C7985">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3CDC713A">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03C708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56BA7F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5B64B6C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34B6F9B">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1A1313">
            <w:pPr>
              <w:widowControl w:val="0"/>
              <w:jc w:val="center"/>
              <w:rPr>
                <w:rFonts w:hint="eastAsia" w:ascii="宋体" w:hAnsi="宋体" w:eastAsia="宋体" w:cs="宋体"/>
                <w:color w:val="auto"/>
                <w:sz w:val="24"/>
                <w:szCs w:val="24"/>
                <w:highlight w:val="none"/>
                <w:vertAlign w:val="baseline"/>
                <w:lang w:val="en-US" w:eastAsia="zh-CN"/>
              </w:rPr>
            </w:pPr>
          </w:p>
        </w:tc>
      </w:tr>
      <w:tr w14:paraId="7F36D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293BFDCC">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40159A2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7C87378">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1F86AFF">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40C380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0CCF08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EC386C9">
            <w:pPr>
              <w:widowControl w:val="0"/>
              <w:jc w:val="center"/>
              <w:rPr>
                <w:rFonts w:hint="eastAsia" w:ascii="宋体" w:hAnsi="宋体" w:eastAsia="宋体" w:cs="宋体"/>
                <w:color w:val="auto"/>
                <w:sz w:val="24"/>
                <w:szCs w:val="24"/>
                <w:highlight w:val="none"/>
                <w:vertAlign w:val="baseline"/>
                <w:lang w:val="en-US" w:eastAsia="zh-CN"/>
              </w:rPr>
            </w:pPr>
          </w:p>
        </w:tc>
      </w:tr>
      <w:tr w14:paraId="54B07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1D8B13A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6013EDF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E696D7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05F7360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2546BE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3E2DC407">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C14623F">
            <w:pPr>
              <w:widowControl w:val="0"/>
              <w:jc w:val="center"/>
              <w:rPr>
                <w:rFonts w:hint="eastAsia" w:ascii="宋体" w:hAnsi="宋体" w:eastAsia="宋体" w:cs="宋体"/>
                <w:color w:val="auto"/>
                <w:sz w:val="24"/>
                <w:szCs w:val="24"/>
                <w:highlight w:val="none"/>
                <w:vertAlign w:val="baseline"/>
                <w:lang w:val="en-US" w:eastAsia="zh-CN"/>
              </w:rPr>
            </w:pPr>
          </w:p>
        </w:tc>
      </w:tr>
    </w:tbl>
    <w:p w14:paraId="5AC55FA2">
      <w:pPr>
        <w:rPr>
          <w:rFonts w:hint="default" w:ascii="宋体" w:hAnsi="宋体" w:cs="宋体"/>
          <w:color w:val="auto"/>
          <w:sz w:val="24"/>
          <w:szCs w:val="24"/>
          <w:highlight w:val="none"/>
          <w:lang w:val="en-US" w:eastAsia="zh-CN"/>
        </w:rPr>
      </w:pPr>
    </w:p>
    <w:p w14:paraId="0F50ACC9">
      <w:pPr>
        <w:bidi w:val="0"/>
        <w:rPr>
          <w:rFonts w:hint="eastAsia"/>
          <w:color w:val="auto"/>
          <w:highlight w:val="none"/>
          <w:lang w:val="en-US" w:eastAsia="zh-CN"/>
        </w:rPr>
      </w:pPr>
    </w:p>
    <w:p w14:paraId="3711163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798618D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4E1A15E">
      <w:pPr>
        <w:pStyle w:val="24"/>
        <w:rPr>
          <w:rFonts w:hint="default" w:ascii="宋体" w:hAnsi="宋体" w:cs="宋体"/>
          <w:color w:val="auto"/>
          <w:kern w:val="0"/>
          <w:sz w:val="24"/>
          <w:highlight w:val="none"/>
          <w:lang w:val="en-US" w:eastAsia="zh-CN"/>
        </w:rPr>
      </w:pPr>
    </w:p>
    <w:p w14:paraId="1C27DB87">
      <w:pPr>
        <w:pStyle w:val="24"/>
        <w:rPr>
          <w:rFonts w:hint="default" w:ascii="宋体" w:hAnsi="宋体" w:cs="宋体"/>
          <w:color w:val="auto"/>
          <w:kern w:val="0"/>
          <w:sz w:val="24"/>
          <w:highlight w:val="none"/>
          <w:lang w:val="en-US" w:eastAsia="zh-CN"/>
        </w:rPr>
      </w:pPr>
    </w:p>
    <w:p w14:paraId="43E68354">
      <w:pPr>
        <w:pStyle w:val="24"/>
        <w:rPr>
          <w:rFonts w:hint="default" w:ascii="宋体" w:hAnsi="宋体" w:cs="宋体"/>
          <w:color w:val="auto"/>
          <w:kern w:val="0"/>
          <w:sz w:val="24"/>
          <w:highlight w:val="none"/>
          <w:lang w:val="en-US" w:eastAsia="zh-CN"/>
        </w:rPr>
      </w:pPr>
    </w:p>
    <w:p w14:paraId="0647EFB8">
      <w:pPr>
        <w:pStyle w:val="24"/>
        <w:rPr>
          <w:rFonts w:hint="default" w:ascii="宋体" w:hAnsi="宋体" w:cs="宋体"/>
          <w:color w:val="auto"/>
          <w:kern w:val="0"/>
          <w:sz w:val="24"/>
          <w:highlight w:val="none"/>
          <w:lang w:val="en-US" w:eastAsia="zh-CN"/>
        </w:rPr>
      </w:pPr>
    </w:p>
    <w:p w14:paraId="5A5A959A">
      <w:pPr>
        <w:pStyle w:val="24"/>
        <w:rPr>
          <w:rFonts w:hint="default" w:ascii="宋体" w:hAnsi="宋体" w:cs="宋体"/>
          <w:color w:val="auto"/>
          <w:kern w:val="0"/>
          <w:sz w:val="24"/>
          <w:highlight w:val="none"/>
          <w:lang w:val="en-US" w:eastAsia="zh-CN"/>
        </w:rPr>
      </w:pPr>
    </w:p>
    <w:p w14:paraId="650115AD">
      <w:pPr>
        <w:pStyle w:val="24"/>
        <w:rPr>
          <w:rFonts w:hint="default" w:ascii="宋体" w:hAnsi="宋体" w:cs="宋体"/>
          <w:color w:val="auto"/>
          <w:kern w:val="0"/>
          <w:sz w:val="24"/>
          <w:highlight w:val="none"/>
          <w:lang w:val="en-US" w:eastAsia="zh-CN"/>
        </w:rPr>
      </w:pPr>
    </w:p>
    <w:p w14:paraId="4A359505">
      <w:pPr>
        <w:pStyle w:val="24"/>
        <w:rPr>
          <w:rFonts w:hint="default" w:ascii="宋体" w:hAnsi="宋体" w:cs="宋体"/>
          <w:color w:val="auto"/>
          <w:kern w:val="0"/>
          <w:sz w:val="24"/>
          <w:highlight w:val="none"/>
          <w:lang w:val="en-US" w:eastAsia="zh-CN"/>
        </w:rPr>
      </w:pPr>
    </w:p>
    <w:p w14:paraId="40B7289D">
      <w:pPr>
        <w:pStyle w:val="24"/>
        <w:rPr>
          <w:rFonts w:hint="default" w:ascii="宋体" w:hAnsi="宋体" w:cs="宋体"/>
          <w:color w:val="auto"/>
          <w:kern w:val="0"/>
          <w:sz w:val="24"/>
          <w:highlight w:val="none"/>
          <w:lang w:val="en-US" w:eastAsia="zh-CN"/>
        </w:rPr>
      </w:pPr>
    </w:p>
    <w:p w14:paraId="1B505EE5">
      <w:pPr>
        <w:pStyle w:val="24"/>
        <w:rPr>
          <w:rFonts w:hint="default" w:ascii="宋体" w:hAnsi="宋体" w:cs="宋体"/>
          <w:color w:val="auto"/>
          <w:kern w:val="0"/>
          <w:sz w:val="24"/>
          <w:highlight w:val="none"/>
          <w:lang w:val="en-US" w:eastAsia="zh-CN"/>
        </w:rPr>
      </w:pPr>
    </w:p>
    <w:p w14:paraId="4CA18EFC">
      <w:pPr>
        <w:pStyle w:val="24"/>
        <w:rPr>
          <w:rFonts w:hint="default" w:ascii="宋体" w:hAnsi="宋体" w:cs="宋体"/>
          <w:color w:val="auto"/>
          <w:kern w:val="0"/>
          <w:sz w:val="24"/>
          <w:highlight w:val="none"/>
          <w:lang w:val="en-US" w:eastAsia="zh-CN"/>
        </w:rPr>
      </w:pPr>
    </w:p>
    <w:p w14:paraId="56E07BAF">
      <w:pPr>
        <w:pStyle w:val="24"/>
        <w:rPr>
          <w:rFonts w:hint="default" w:ascii="宋体" w:hAnsi="宋体" w:cs="宋体"/>
          <w:color w:val="auto"/>
          <w:kern w:val="0"/>
          <w:sz w:val="24"/>
          <w:highlight w:val="none"/>
          <w:lang w:val="en-US" w:eastAsia="zh-CN"/>
        </w:rPr>
        <w:sectPr>
          <w:pgSz w:w="11906" w:h="16838"/>
          <w:pgMar w:top="1417" w:right="1474" w:bottom="1417" w:left="1474" w:header="851" w:footer="624" w:gutter="0"/>
          <w:pgNumType w:fmt="decimal"/>
          <w:cols w:space="720" w:num="1"/>
          <w:docGrid w:type="lines" w:linePitch="319" w:charSpace="0"/>
        </w:sectPr>
      </w:pPr>
    </w:p>
    <w:p w14:paraId="568848E2">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64"/>
      <w:bookmarkEnd w:id="65"/>
      <w:r>
        <w:rPr>
          <w:rFonts w:hint="eastAsia" w:ascii="宋体" w:hAnsi="宋体" w:eastAsia="宋体" w:cs="宋体"/>
          <w:color w:val="auto"/>
          <w:sz w:val="28"/>
          <w:szCs w:val="28"/>
          <w:highlight w:val="none"/>
          <w:lang w:val="en-US" w:eastAsia="zh-CN"/>
        </w:rPr>
        <w:t xml:space="preserve">  技术响应表（格式）</w:t>
      </w:r>
    </w:p>
    <w:tbl>
      <w:tblPr>
        <w:tblStyle w:val="91"/>
        <w:tblW w:w="9150" w:type="dxa"/>
        <w:tblInd w:w="-33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60"/>
        <w:gridCol w:w="1830"/>
        <w:gridCol w:w="1830"/>
        <w:gridCol w:w="1665"/>
        <w:gridCol w:w="1500"/>
        <w:gridCol w:w="1665"/>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660"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0" w:type="dxa"/>
            <w:noWrap w:val="0"/>
            <w:vAlign w:val="center"/>
          </w:tcPr>
          <w:p w14:paraId="4E1282EA">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货物名称</w:t>
            </w:r>
          </w:p>
        </w:tc>
        <w:tc>
          <w:tcPr>
            <w:tcW w:w="183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1665"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500"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1665" w:type="dxa"/>
            <w:noWrap w:val="0"/>
            <w:vAlign w:val="center"/>
          </w:tcPr>
          <w:p w14:paraId="3BB47D6A">
            <w:pPr>
              <w:pageBreakBefore w:val="0"/>
              <w:widowControl/>
              <w:wordWrap/>
              <w:overflowPunct/>
              <w:topLinePunct w:val="0"/>
              <w:bidi w:val="0"/>
              <w:spacing w:line="360" w:lineRule="auto"/>
              <w:jc w:val="center"/>
              <w:textAlignment w:val="baseline"/>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证明材料在响应文件的页码</w:t>
            </w:r>
          </w:p>
          <w:p w14:paraId="0737D617">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（每条参数需做突出标记）</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660"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0"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83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65"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500"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65"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660"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0"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83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65"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500"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65"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660"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0"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83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65"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500"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65"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9257B1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b/>
          <w:bCs/>
          <w:sz w:val="24"/>
          <w:szCs w:val="32"/>
          <w:highlight w:val="none"/>
          <w:lang w:val="en-US" w:eastAsia="zh-CN"/>
        </w:rPr>
      </w:pPr>
      <w:r>
        <w:rPr>
          <w:rFonts w:hint="eastAsia" w:asciiTheme="minorEastAsia" w:hAnsiTheme="minorEastAsia"/>
          <w:b/>
          <w:bCs/>
          <w:sz w:val="24"/>
          <w:szCs w:val="32"/>
          <w:highlight w:val="none"/>
          <w:lang w:val="en-US" w:eastAsia="zh-CN"/>
        </w:rPr>
        <w:t>注：</w:t>
      </w:r>
    </w:p>
    <w:p w14:paraId="26579E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b w:val="0"/>
          <w:bCs w:val="0"/>
          <w:color w:val="auto"/>
          <w:sz w:val="24"/>
          <w:szCs w:val="32"/>
          <w:highlight w:val="none"/>
        </w:rPr>
      </w:pPr>
      <w:r>
        <w:rPr>
          <w:rFonts w:hint="eastAsia" w:asciiTheme="minorEastAsia" w:hAnsiTheme="minorEastAsia"/>
          <w:b w:val="0"/>
          <w:bCs w:val="0"/>
          <w:color w:val="auto"/>
          <w:sz w:val="24"/>
          <w:szCs w:val="32"/>
          <w:highlight w:val="none"/>
          <w:lang w:val="en-US" w:eastAsia="zh-CN"/>
        </w:rPr>
        <w:t>1.</w:t>
      </w:r>
      <w:r>
        <w:rPr>
          <w:rFonts w:hint="eastAsia" w:asciiTheme="minorEastAsia" w:hAnsiTheme="minorEastAsia"/>
          <w:b w:val="0"/>
          <w:bCs w:val="0"/>
          <w:color w:val="auto"/>
          <w:sz w:val="24"/>
          <w:szCs w:val="32"/>
          <w:highlight w:val="none"/>
        </w:rPr>
        <w:t>本表中“偏离</w:t>
      </w:r>
      <w:r>
        <w:rPr>
          <w:rFonts w:hint="eastAsia" w:asciiTheme="minorEastAsia" w:hAnsiTheme="minorEastAsia"/>
          <w:b w:val="0"/>
          <w:bCs w:val="0"/>
          <w:color w:val="auto"/>
          <w:sz w:val="24"/>
          <w:szCs w:val="32"/>
          <w:highlight w:val="none"/>
          <w:lang w:val="en-US" w:eastAsia="zh-CN"/>
        </w:rPr>
        <w:t>情况</w:t>
      </w:r>
      <w:r>
        <w:rPr>
          <w:rFonts w:hint="eastAsia" w:asciiTheme="minorEastAsia" w:hAnsiTheme="minorEastAsia"/>
          <w:b w:val="0"/>
          <w:bCs w:val="0"/>
          <w:color w:val="auto"/>
          <w:sz w:val="24"/>
          <w:szCs w:val="32"/>
          <w:highlight w:val="none"/>
        </w:rPr>
        <w:t>”只有三种状态（正偏离、无偏离、负偏离）</w:t>
      </w:r>
    </w:p>
    <w:p w14:paraId="13E353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b w:val="0"/>
          <w:bCs w:val="0"/>
          <w:color w:val="auto"/>
          <w:sz w:val="24"/>
          <w:szCs w:val="32"/>
          <w:highlight w:val="none"/>
          <w:lang w:val="en-US" w:eastAsia="zh-CN"/>
        </w:rPr>
      </w:pPr>
      <w:r>
        <w:rPr>
          <w:rFonts w:hint="eastAsia" w:asciiTheme="minorEastAsia" w:hAnsiTheme="minorEastAsia"/>
          <w:b w:val="0"/>
          <w:bCs w:val="0"/>
          <w:color w:val="auto"/>
          <w:sz w:val="24"/>
          <w:szCs w:val="32"/>
          <w:highlight w:val="none"/>
          <w:lang w:val="en-US" w:eastAsia="zh-CN"/>
        </w:rPr>
        <w:t>2.评审专家逐项核对技术偏离表及证明材料，评审结合证明材料，若填写“无偏离或正偏离”但证明材料不满足或低于采购文件要求，则视为负偏离，做扣分处理。</w:t>
      </w:r>
    </w:p>
    <w:p w14:paraId="5D4048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b w:val="0"/>
          <w:bCs w:val="0"/>
          <w:color w:val="auto"/>
          <w:sz w:val="24"/>
          <w:szCs w:val="32"/>
          <w:highlight w:val="none"/>
          <w:lang w:val="en-US" w:eastAsia="zh-CN"/>
        </w:rPr>
      </w:pPr>
      <w:r>
        <w:rPr>
          <w:rFonts w:hint="eastAsia" w:asciiTheme="minorEastAsia" w:hAnsiTheme="minorEastAsia"/>
          <w:b w:val="0"/>
          <w:bCs w:val="0"/>
          <w:color w:val="auto"/>
          <w:sz w:val="24"/>
          <w:szCs w:val="32"/>
          <w:highlight w:val="none"/>
          <w:lang w:val="en-US" w:eastAsia="zh-CN"/>
        </w:rPr>
        <w:t>3.验收以“技术偏离表+投标文件证明材料+设备实际功能”为依据进行逐条验收，信息不一致则验收不通过。</w:t>
      </w:r>
    </w:p>
    <w:p w14:paraId="799040F8">
      <w:pPr>
        <w:pageBreakBefore w:val="0"/>
        <w:widowControl/>
        <w:wordWrap/>
        <w:overflowPunct/>
        <w:topLinePunct w:val="0"/>
        <w:bidi w:val="0"/>
        <w:spacing w:line="360" w:lineRule="auto"/>
        <w:textAlignment w:val="baseline"/>
        <w:rPr>
          <w:rFonts w:hint="eastAsia" w:ascii="宋体" w:hAnsi="宋体" w:eastAsia="宋体" w:cs="宋体"/>
          <w:b/>
          <w:bCs/>
          <w:color w:val="auto"/>
          <w:sz w:val="21"/>
          <w:szCs w:val="21"/>
          <w:highlight w:val="none"/>
        </w:rPr>
      </w:pP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42BD2A9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D42F45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6C5B7F9">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ascii="宋体" w:hAnsi="宋体" w:eastAsia="宋体" w:cs="宋体"/>
          <w:b/>
          <w:color w:val="auto"/>
          <w:kern w:val="0"/>
          <w:sz w:val="24"/>
          <w:highlight w:val="none"/>
        </w:rPr>
        <w:br w:type="page"/>
      </w:r>
    </w:p>
    <w:p w14:paraId="3C754F10">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6" w:name="_Toc20420"/>
      <w:bookmarkStart w:id="67" w:name="_Toc24168"/>
      <w:bookmarkStart w:id="68" w:name="_Toc29960"/>
      <w:r>
        <w:rPr>
          <w:rFonts w:hint="eastAsia" w:ascii="宋体" w:hAnsi="宋体" w:eastAsia="宋体" w:cs="宋体"/>
          <w:color w:val="auto"/>
          <w:sz w:val="28"/>
          <w:szCs w:val="28"/>
          <w:highlight w:val="none"/>
          <w:lang w:val="en-US" w:eastAsia="zh-CN"/>
        </w:rPr>
        <w:t>附件6            商务响应</w:t>
      </w:r>
      <w:bookmarkEnd w:id="66"/>
      <w:bookmarkEnd w:id="67"/>
      <w:bookmarkEnd w:id="68"/>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1"/>
        <w:tblW w:w="933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50"/>
        <w:gridCol w:w="135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50"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1351"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7F9203F4">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响应文件响应</w:t>
            </w:r>
          </w:p>
        </w:tc>
        <w:tc>
          <w:tcPr>
            <w:tcW w:w="1349" w:type="dxa"/>
            <w:noWrap w:val="0"/>
            <w:vAlign w:val="center"/>
          </w:tcPr>
          <w:p w14:paraId="1CBA3AA3">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偏离情况</w:t>
            </w:r>
          </w:p>
        </w:tc>
        <w:tc>
          <w:tcPr>
            <w:tcW w:w="1349" w:type="dxa"/>
            <w:noWrap w:val="0"/>
            <w:vAlign w:val="center"/>
          </w:tcPr>
          <w:p w14:paraId="1363C87C">
            <w:pPr>
              <w:widowControl/>
              <w:snapToGrid w:val="0"/>
              <w:spacing w:before="156" w:beforeLines="50" w:line="360" w:lineRule="auto"/>
              <w:jc w:val="center"/>
              <w:rPr>
                <w:rFonts w:hint="default" w:ascii="仿宋_GB2312" w:hAnsi="宋体" w:cs="宋体"/>
                <w:color w:val="auto"/>
                <w:kern w:val="0"/>
                <w:sz w:val="24"/>
                <w:highlight w:val="none"/>
                <w:lang w:val="en-US" w:eastAsia="zh-CN"/>
              </w:rPr>
            </w:pPr>
            <w:r>
              <w:rPr>
                <w:rFonts w:hint="eastAsia" w:ascii="仿宋_GB2312" w:hAnsi="宋体" w:cs="宋体"/>
                <w:color w:val="auto"/>
                <w:kern w:val="0"/>
                <w:sz w:val="24"/>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50" w:type="dxa"/>
            <w:noWrap w:val="0"/>
            <w:vAlign w:val="center"/>
          </w:tcPr>
          <w:p w14:paraId="773DDB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51" w:type="dxa"/>
            <w:noWrap w:val="0"/>
            <w:vAlign w:val="center"/>
          </w:tcPr>
          <w:p w14:paraId="6DC2849E">
            <w:pPr>
              <w:pStyle w:val="7"/>
              <w:ind w:left="0" w:leftChars="0"/>
              <w:jc w:val="center"/>
              <w:rPr>
                <w:rFonts w:hint="eastAsia" w:ascii="宋体" w:hAnsi="宋体" w:eastAsia="宋体" w:cs="宋体"/>
                <w:color w:val="auto"/>
                <w:sz w:val="21"/>
                <w:szCs w:val="21"/>
                <w:highlight w:val="none"/>
              </w:rPr>
            </w:pPr>
          </w:p>
        </w:tc>
        <w:tc>
          <w:tcPr>
            <w:tcW w:w="2198"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50" w:type="dxa"/>
            <w:noWrap w:val="0"/>
            <w:vAlign w:val="center"/>
          </w:tcPr>
          <w:p w14:paraId="40B5BCD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1351" w:type="dxa"/>
            <w:noWrap w:val="0"/>
            <w:vAlign w:val="center"/>
          </w:tcPr>
          <w:p w14:paraId="0472149B">
            <w:pPr>
              <w:pStyle w:val="7"/>
              <w:ind w:left="0" w:leftChars="0"/>
              <w:jc w:val="center"/>
              <w:rPr>
                <w:rFonts w:hint="eastAsia" w:ascii="宋体" w:hAnsi="宋体" w:eastAsia="宋体" w:cs="宋体"/>
                <w:color w:val="auto"/>
                <w:sz w:val="21"/>
                <w:szCs w:val="21"/>
                <w:highlight w:val="none"/>
                <w:lang w:val="en-US" w:eastAsia="zh-CN"/>
              </w:rPr>
            </w:pPr>
          </w:p>
        </w:tc>
        <w:tc>
          <w:tcPr>
            <w:tcW w:w="2198"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50" w:type="dxa"/>
            <w:noWrap w:val="0"/>
            <w:vAlign w:val="center"/>
          </w:tcPr>
          <w:p w14:paraId="0BED208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1351" w:type="dxa"/>
            <w:noWrap w:val="0"/>
            <w:vAlign w:val="center"/>
          </w:tcPr>
          <w:p w14:paraId="50BB9001">
            <w:pPr>
              <w:pStyle w:val="7"/>
              <w:ind w:left="0" w:leftChars="0"/>
              <w:jc w:val="center"/>
              <w:rPr>
                <w:rFonts w:hint="eastAsia" w:ascii="宋体" w:hAnsi="宋体" w:eastAsia="宋体" w:cs="宋体"/>
                <w:color w:val="auto"/>
                <w:sz w:val="21"/>
                <w:szCs w:val="21"/>
                <w:highlight w:val="none"/>
              </w:rPr>
            </w:pPr>
          </w:p>
        </w:tc>
        <w:tc>
          <w:tcPr>
            <w:tcW w:w="2198"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50" w:type="dxa"/>
            <w:noWrap w:val="0"/>
            <w:vAlign w:val="center"/>
          </w:tcPr>
          <w:p w14:paraId="731D51C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1351" w:type="dxa"/>
            <w:noWrap w:val="0"/>
            <w:vAlign w:val="center"/>
          </w:tcPr>
          <w:p w14:paraId="6182A3E4">
            <w:pPr>
              <w:pStyle w:val="7"/>
              <w:ind w:left="0" w:leftChars="0"/>
              <w:jc w:val="center"/>
              <w:rPr>
                <w:rFonts w:hint="eastAsia" w:ascii="宋体" w:hAnsi="宋体" w:eastAsia="宋体" w:cs="宋体"/>
                <w:color w:val="auto"/>
                <w:sz w:val="21"/>
                <w:szCs w:val="21"/>
                <w:highlight w:val="none"/>
              </w:rPr>
            </w:pPr>
          </w:p>
        </w:tc>
        <w:tc>
          <w:tcPr>
            <w:tcW w:w="2198"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50" w:type="dxa"/>
            <w:noWrap w:val="0"/>
            <w:vAlign w:val="center"/>
          </w:tcPr>
          <w:p w14:paraId="15D97B2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1351" w:type="dxa"/>
            <w:noWrap w:val="0"/>
            <w:vAlign w:val="center"/>
          </w:tcPr>
          <w:p w14:paraId="5C43BD33">
            <w:pPr>
              <w:pStyle w:val="7"/>
              <w:ind w:left="0" w:leftChars="0"/>
              <w:jc w:val="center"/>
              <w:rPr>
                <w:rFonts w:hint="eastAsia" w:ascii="宋体" w:hAnsi="宋体" w:eastAsia="宋体" w:cs="宋体"/>
                <w:color w:val="auto"/>
                <w:sz w:val="21"/>
                <w:szCs w:val="21"/>
                <w:highlight w:val="none"/>
              </w:rPr>
            </w:pPr>
          </w:p>
        </w:tc>
        <w:tc>
          <w:tcPr>
            <w:tcW w:w="2198"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222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50" w:type="dxa"/>
            <w:noWrap w:val="0"/>
            <w:vAlign w:val="center"/>
          </w:tcPr>
          <w:p w14:paraId="348FA7D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1351" w:type="dxa"/>
            <w:noWrap w:val="0"/>
            <w:vAlign w:val="center"/>
          </w:tcPr>
          <w:p w14:paraId="56FFBDC6">
            <w:pPr>
              <w:pStyle w:val="7"/>
              <w:ind w:left="0" w:leftChars="0"/>
              <w:jc w:val="center"/>
              <w:rPr>
                <w:rFonts w:hint="eastAsia" w:ascii="宋体" w:hAnsi="宋体" w:eastAsia="宋体" w:cs="宋体"/>
                <w:color w:val="auto"/>
                <w:sz w:val="21"/>
                <w:szCs w:val="21"/>
                <w:highlight w:val="none"/>
              </w:rPr>
            </w:pPr>
          </w:p>
        </w:tc>
        <w:tc>
          <w:tcPr>
            <w:tcW w:w="2198" w:type="dxa"/>
            <w:noWrap w:val="0"/>
            <w:vAlign w:val="center"/>
          </w:tcPr>
          <w:p w14:paraId="2D5379F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950103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8CEBD1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2BB79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3BA6495">
      <w:pPr>
        <w:rPr>
          <w:rFonts w:hint="eastAsia" w:ascii="宋体" w:hAnsi="宋体" w:eastAsia="宋体" w:cs="宋体"/>
          <w:b/>
          <w:color w:val="auto"/>
          <w:kern w:val="0"/>
          <w:sz w:val="21"/>
          <w:szCs w:val="21"/>
          <w:highlight w:val="none"/>
        </w:rPr>
      </w:pPr>
    </w:p>
    <w:p w14:paraId="0E85F952">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b/>
          <w:bCs/>
          <w:sz w:val="24"/>
          <w:szCs w:val="32"/>
          <w:highlight w:val="none"/>
        </w:rPr>
      </w:pPr>
      <w:r>
        <w:rPr>
          <w:rFonts w:hint="eastAsia" w:asciiTheme="minorEastAsia" w:hAnsiTheme="minorEastAsia"/>
          <w:b/>
          <w:bCs/>
          <w:sz w:val="24"/>
          <w:szCs w:val="32"/>
          <w:highlight w:val="none"/>
          <w:lang w:val="en-US" w:eastAsia="zh-CN"/>
        </w:rPr>
        <w:t>注：</w:t>
      </w:r>
      <w:r>
        <w:rPr>
          <w:rFonts w:hint="eastAsia" w:asciiTheme="minorEastAsia" w:hAnsiTheme="minorEastAsia"/>
          <w:b/>
          <w:bCs/>
          <w:sz w:val="24"/>
          <w:szCs w:val="32"/>
          <w:highlight w:val="none"/>
        </w:rPr>
        <w:t>本表中“偏离</w:t>
      </w:r>
      <w:r>
        <w:rPr>
          <w:rFonts w:hint="eastAsia" w:asciiTheme="minorEastAsia" w:hAnsiTheme="minorEastAsia"/>
          <w:b/>
          <w:bCs/>
          <w:sz w:val="24"/>
          <w:szCs w:val="32"/>
          <w:highlight w:val="none"/>
          <w:lang w:val="en-US" w:eastAsia="zh-CN"/>
        </w:rPr>
        <w:t>情况</w:t>
      </w:r>
      <w:r>
        <w:rPr>
          <w:rFonts w:hint="eastAsia" w:asciiTheme="minorEastAsia" w:hAnsiTheme="minorEastAsia"/>
          <w:b/>
          <w:bCs/>
          <w:sz w:val="24"/>
          <w:szCs w:val="32"/>
          <w:highlight w:val="none"/>
        </w:rPr>
        <w:t>”只有三种状态（正偏离、无偏离、负偏离）</w:t>
      </w:r>
    </w:p>
    <w:p w14:paraId="341DFBA2">
      <w:pPr>
        <w:pStyle w:val="33"/>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05E2FDA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3360" w:firstLineChars="14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5366F2A">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69" w:name="_Toc31526"/>
      <w:bookmarkStart w:id="70" w:name="_Toc28621"/>
      <w:r>
        <w:rPr>
          <w:rFonts w:hint="eastAsia" w:ascii="宋体" w:hAnsi="宋体" w:eastAsia="宋体" w:cs="宋体"/>
          <w:b/>
          <w:color w:val="auto"/>
          <w:sz w:val="28"/>
          <w:highlight w:val="none"/>
        </w:rPr>
        <w:br w:type="page"/>
      </w:r>
    </w:p>
    <w:p w14:paraId="40257B96">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29406"/>
      <w:r>
        <w:rPr>
          <w:rFonts w:hint="eastAsia" w:ascii="宋体" w:hAnsi="宋体" w:eastAsia="宋体" w:cs="宋体"/>
          <w:color w:val="auto"/>
          <w:sz w:val="28"/>
          <w:szCs w:val="28"/>
          <w:highlight w:val="none"/>
          <w:lang w:val="en-US" w:eastAsia="zh-CN"/>
        </w:rPr>
        <w:t>附件7         法定代表人身份证明（格式）</w:t>
      </w:r>
      <w:bookmarkEnd w:id="69"/>
      <w:bookmarkEnd w:id="70"/>
      <w:bookmarkEnd w:id="71"/>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55E8412A">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880" w:firstLineChars="1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1B4539E">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2" w:name="_Toc13976"/>
      <w:bookmarkStart w:id="73" w:name="_Toc30519"/>
      <w:bookmarkStart w:id="74" w:name="_Toc12939"/>
      <w:r>
        <w:rPr>
          <w:rFonts w:hint="eastAsia" w:ascii="宋体" w:hAnsi="宋体" w:eastAsia="宋体" w:cs="宋体"/>
          <w:color w:val="auto"/>
          <w:sz w:val="28"/>
          <w:szCs w:val="28"/>
          <w:highlight w:val="none"/>
          <w:lang w:val="en-US" w:eastAsia="zh-CN"/>
        </w:rPr>
        <w:t>附件8         法定代表人授权书（格式）</w:t>
      </w:r>
      <w:bookmarkEnd w:id="72"/>
      <w:bookmarkEnd w:id="73"/>
      <w:bookmarkEnd w:id="74"/>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szCs w:val="24"/>
          <w:highlight w:val="none"/>
        </w:rPr>
      </w:pPr>
      <w:r>
        <w:rPr>
          <w:rFonts w:hint="eastAsia" w:ascii="宋体" w:hAnsi="宋体" w:eastAsia="宋体" w:cs="宋体"/>
          <w:bCs/>
          <w:color w:val="auto"/>
          <w:kern w:val="0"/>
          <w:sz w:val="24"/>
          <w:szCs w:val="24"/>
          <w:highlight w:val="none"/>
        </w:rPr>
        <w:t>致：</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驻马店市中心医院</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4667A5B5">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9AE2C11">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5EF76FA6">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bCs/>
          <w:color w:val="auto"/>
          <w:sz w:val="21"/>
          <w:szCs w:val="21"/>
          <w:highlight w:val="none"/>
        </w:rPr>
      </w:pPr>
      <w:bookmarkStart w:id="75" w:name="_Toc18105"/>
      <w:bookmarkStart w:id="76" w:name="_Toc3342"/>
      <w:bookmarkStart w:id="77" w:name="_Toc24693"/>
      <w:r>
        <w:rPr>
          <w:rFonts w:hint="eastAsia" w:ascii="宋体" w:hAnsi="宋体" w:eastAsia="宋体" w:cs="宋体"/>
          <w:color w:val="auto"/>
          <w:sz w:val="28"/>
          <w:szCs w:val="28"/>
          <w:highlight w:val="none"/>
          <w:lang w:val="en-US" w:eastAsia="zh-CN"/>
        </w:rPr>
        <w:t>附件9          证明文件</w:t>
      </w:r>
      <w:bookmarkEnd w:id="75"/>
      <w:bookmarkEnd w:id="76"/>
      <w:bookmarkEnd w:id="77"/>
    </w:p>
    <w:p w14:paraId="61593FAD">
      <w:pPr>
        <w:pStyle w:val="13"/>
        <w:spacing w:beforeAutospacing="0" w:afterAutospacing="0" w:line="480" w:lineRule="auto"/>
        <w:ind w:firstLine="540" w:firstLineChars="224"/>
        <w:jc w:val="both"/>
        <w:rPr>
          <w:rFonts w:hint="eastAsia"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rPr>
        <w:t>9.1</w:t>
      </w:r>
      <w:r>
        <w:rPr>
          <w:rFonts w:hint="eastAsia" w:ascii="宋体" w:hAnsi="宋体" w:eastAsia="宋体" w:cs="宋体"/>
          <w:b/>
          <w:bCs w:val="0"/>
          <w:color w:val="auto"/>
          <w:sz w:val="24"/>
          <w:szCs w:val="24"/>
          <w:highlight w:val="none"/>
          <w:lang w:val="en-US" w:eastAsia="zh-CN"/>
        </w:rPr>
        <w:t xml:space="preserve"> </w:t>
      </w:r>
      <w:r>
        <w:rPr>
          <w:rFonts w:hint="eastAsia" w:cs="宋体"/>
          <w:b/>
          <w:bCs w:val="0"/>
          <w:color w:val="auto"/>
          <w:sz w:val="24"/>
          <w:szCs w:val="24"/>
          <w:highlight w:val="none"/>
          <w:lang w:val="en-US" w:eastAsia="zh-CN"/>
        </w:rPr>
        <w:t>供应商资格审查证明材料</w:t>
      </w:r>
    </w:p>
    <w:p w14:paraId="3BF5E483">
      <w:pPr>
        <w:pStyle w:val="13"/>
        <w:spacing w:beforeAutospacing="0" w:afterAutospacing="0" w:line="480" w:lineRule="auto"/>
        <w:jc w:val="both"/>
        <w:rPr>
          <w:rFonts w:hint="eastAsia" w:cs="宋体"/>
          <w:b/>
          <w:bCs w:val="0"/>
          <w:color w:val="auto"/>
          <w:sz w:val="24"/>
          <w:szCs w:val="24"/>
          <w:highlight w:val="none"/>
          <w:lang w:val="en-US" w:eastAsia="zh-CN"/>
        </w:rPr>
      </w:pPr>
    </w:p>
    <w:p w14:paraId="56887408">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2" w:firstLineChars="20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 xml:space="preserve">9.2 </w:t>
      </w:r>
      <w:r>
        <w:rPr>
          <w:rFonts w:hint="eastAsia" w:ascii="宋体" w:hAnsi="宋体" w:eastAsia="宋体" w:cs="宋体"/>
          <w:b/>
          <w:bCs/>
          <w:color w:val="auto"/>
          <w:sz w:val="24"/>
          <w:szCs w:val="24"/>
          <w:highlight w:val="none"/>
          <w:lang w:val="en-US" w:eastAsia="zh-CN"/>
        </w:rPr>
        <w:t>投标产品技术</w:t>
      </w:r>
      <w:r>
        <w:rPr>
          <w:rFonts w:hint="eastAsia" w:cs="宋体"/>
          <w:b/>
          <w:bCs/>
          <w:color w:val="auto"/>
          <w:sz w:val="24"/>
          <w:szCs w:val="24"/>
          <w:highlight w:val="none"/>
          <w:lang w:val="en-US" w:eastAsia="zh-CN"/>
        </w:rPr>
        <w:t>参数证明</w:t>
      </w:r>
      <w:r>
        <w:rPr>
          <w:rFonts w:hint="eastAsia" w:ascii="宋体" w:hAnsi="宋体" w:eastAsia="宋体" w:cs="宋体"/>
          <w:b/>
          <w:bCs/>
          <w:color w:val="auto"/>
          <w:sz w:val="24"/>
          <w:szCs w:val="24"/>
          <w:highlight w:val="none"/>
          <w:lang w:val="en-US" w:eastAsia="zh-CN"/>
        </w:rPr>
        <w:t>资料：</w:t>
      </w:r>
    </w:p>
    <w:p w14:paraId="5FD496FA">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2" w:firstLineChars="200"/>
        <w:jc w:val="both"/>
        <w:textAlignment w:val="auto"/>
        <w:rPr>
          <w:rFonts w:hint="eastAsia" w:cs="宋体"/>
          <w:b/>
          <w:bCs/>
          <w:sz w:val="24"/>
          <w:szCs w:val="24"/>
          <w:highlight w:val="none"/>
          <w:lang w:val="en-US" w:eastAsia="zh-CN"/>
        </w:rPr>
      </w:pPr>
      <w:r>
        <w:rPr>
          <w:rFonts w:hint="eastAsia" w:cs="宋体"/>
          <w:b/>
          <w:bCs/>
          <w:sz w:val="24"/>
          <w:szCs w:val="24"/>
          <w:highlight w:val="none"/>
          <w:lang w:val="en-US" w:eastAsia="zh-CN"/>
        </w:rPr>
        <w:t>（1）</w:t>
      </w:r>
      <w:r>
        <w:rPr>
          <w:rFonts w:hint="eastAsia" w:ascii="宋体" w:hAnsi="宋体" w:eastAsia="宋体" w:cs="宋体"/>
          <w:b/>
          <w:bCs/>
          <w:sz w:val="24"/>
          <w:szCs w:val="24"/>
          <w:highlight w:val="none"/>
          <w:lang w:val="en-US" w:eastAsia="zh-CN"/>
        </w:rPr>
        <w:t>所投产品的医疗器械注册证【含附件：产品技术要求（如有）】或医疗器械备案凭证</w:t>
      </w:r>
      <w:r>
        <w:rPr>
          <w:rFonts w:hint="eastAsia" w:cs="宋体"/>
          <w:b/>
          <w:bCs/>
          <w:sz w:val="24"/>
          <w:szCs w:val="24"/>
          <w:highlight w:val="none"/>
          <w:lang w:val="en-US" w:eastAsia="zh-CN"/>
        </w:rPr>
        <w:t>；</w:t>
      </w:r>
    </w:p>
    <w:p w14:paraId="1E3431F2">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0" w:firstLineChars="200"/>
        <w:jc w:val="both"/>
        <w:textAlignment w:val="auto"/>
        <w:rPr>
          <w:rFonts w:hint="default" w:cs="宋体"/>
          <w:b w:val="0"/>
          <w:bCs/>
          <w:color w:val="FF0000"/>
          <w:sz w:val="24"/>
          <w:szCs w:val="24"/>
          <w:highlight w:val="none"/>
          <w:lang w:val="en-US" w:eastAsia="zh-CN"/>
        </w:rPr>
      </w:pPr>
      <w:r>
        <w:rPr>
          <w:rFonts w:hint="eastAsia" w:cs="宋体"/>
          <w:b w:val="0"/>
          <w:bCs/>
          <w:color w:val="FF0000"/>
          <w:sz w:val="24"/>
          <w:szCs w:val="24"/>
          <w:highlight w:val="none"/>
          <w:lang w:val="en-US" w:eastAsia="zh-CN"/>
        </w:rPr>
        <w:t>注：</w:t>
      </w:r>
      <w:r>
        <w:rPr>
          <w:rFonts w:hint="eastAsia" w:ascii="宋体" w:hAnsi="宋体" w:eastAsia="宋体" w:cs="宋体"/>
          <w:b w:val="0"/>
          <w:bCs/>
          <w:color w:val="FF0000"/>
          <w:sz w:val="24"/>
          <w:szCs w:val="24"/>
          <w:highlight w:val="none"/>
          <w:lang w:val="en-US" w:eastAsia="zh-CN"/>
        </w:rPr>
        <w:t>医疗器械注册证【含附件：产品技术要求（如有）】</w:t>
      </w:r>
      <w:r>
        <w:rPr>
          <w:rFonts w:hint="eastAsia" w:cs="宋体"/>
          <w:b w:val="0"/>
          <w:bCs/>
          <w:color w:val="FF0000"/>
          <w:sz w:val="24"/>
          <w:szCs w:val="24"/>
          <w:highlight w:val="none"/>
          <w:lang w:val="en-US" w:eastAsia="zh-CN"/>
        </w:rPr>
        <w:t>是指医疗器械注册证上附件如写产品技术要求，则需同步提供产品技术要求相关的证明材料。</w:t>
      </w:r>
    </w:p>
    <w:p w14:paraId="74FC5F44">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2" w:firstLineChars="200"/>
        <w:jc w:val="both"/>
        <w:textAlignment w:val="auto"/>
        <w:rPr>
          <w:rFonts w:hint="eastAsia" w:ascii="宋体" w:hAnsi="宋体" w:eastAsia="宋体" w:cs="宋体"/>
          <w:b/>
          <w:bCs w:val="0"/>
          <w:color w:val="auto"/>
          <w:sz w:val="24"/>
          <w:szCs w:val="24"/>
          <w:highlight w:val="none"/>
        </w:rPr>
      </w:pPr>
      <w:r>
        <w:rPr>
          <w:rFonts w:hint="eastAsia" w:cs="宋体"/>
          <w:b/>
          <w:bCs/>
          <w:sz w:val="24"/>
          <w:szCs w:val="24"/>
          <w:highlight w:val="none"/>
          <w:lang w:val="en-US" w:eastAsia="zh-CN"/>
        </w:rPr>
        <w:t>（2）</w:t>
      </w:r>
      <w:r>
        <w:rPr>
          <w:rFonts w:hint="eastAsia" w:ascii="宋体" w:hAnsi="宋体" w:eastAsia="宋体" w:cs="宋体"/>
          <w:b/>
          <w:bCs/>
          <w:sz w:val="24"/>
          <w:szCs w:val="24"/>
          <w:highlight w:val="none"/>
          <w:lang w:val="en-US" w:eastAsia="zh-CN"/>
        </w:rPr>
        <w:t>按照采购文件“第二章 采购需求 二、技术要求”及“评分标准”中的要求提供产品技术</w:t>
      </w:r>
      <w:r>
        <w:rPr>
          <w:rFonts w:hint="eastAsia" w:cs="宋体"/>
          <w:b/>
          <w:bCs/>
          <w:sz w:val="24"/>
          <w:szCs w:val="24"/>
          <w:highlight w:val="none"/>
          <w:lang w:val="en-US" w:eastAsia="zh-CN"/>
        </w:rPr>
        <w:t>参数</w:t>
      </w:r>
      <w:r>
        <w:rPr>
          <w:rFonts w:hint="eastAsia" w:ascii="宋体" w:hAnsi="宋体" w:eastAsia="宋体" w:cs="宋体"/>
          <w:b/>
          <w:bCs/>
          <w:sz w:val="24"/>
          <w:szCs w:val="24"/>
          <w:highlight w:val="none"/>
          <w:lang w:val="en-US" w:eastAsia="zh-CN"/>
        </w:rPr>
        <w:t>证明文件。</w:t>
      </w:r>
    </w:p>
    <w:p w14:paraId="608EB127">
      <w:pPr>
        <w:pStyle w:val="13"/>
        <w:keepNext w:val="0"/>
        <w:keepLines w:val="0"/>
        <w:pageBreakBefore w:val="0"/>
        <w:widowControl/>
        <w:kinsoku/>
        <w:wordWrap/>
        <w:overflowPunct/>
        <w:topLinePunct w:val="0"/>
        <w:autoSpaceDE/>
        <w:autoSpaceDN/>
        <w:bidi w:val="0"/>
        <w:adjustRightInd/>
        <w:snapToGrid/>
        <w:spacing w:beforeAutospacing="0" w:afterAutospacing="0" w:line="560" w:lineRule="exact"/>
        <w:ind w:firstLine="537" w:firstLineChars="224"/>
        <w:jc w:val="both"/>
        <w:textAlignment w:val="auto"/>
        <w:rPr>
          <w:rFonts w:hint="default" w:cs="宋体"/>
          <w:b w:val="0"/>
          <w:bCs/>
          <w:color w:val="FF0000"/>
          <w:sz w:val="24"/>
          <w:szCs w:val="24"/>
          <w:highlight w:val="none"/>
          <w:lang w:val="en-US" w:eastAsia="zh-CN"/>
        </w:rPr>
      </w:pPr>
    </w:p>
    <w:p w14:paraId="44E82C90">
      <w:pPr>
        <w:pStyle w:val="13"/>
        <w:spacing w:beforeAutospacing="0" w:afterAutospacing="0" w:line="480" w:lineRule="auto"/>
        <w:ind w:firstLine="540" w:firstLineChars="224"/>
        <w:jc w:val="both"/>
        <w:rPr>
          <w:rFonts w:hint="eastAsia" w:cs="宋体"/>
          <w:b/>
          <w:bCs w:val="0"/>
          <w:color w:val="auto"/>
          <w:sz w:val="24"/>
          <w:szCs w:val="24"/>
          <w:highlight w:val="none"/>
          <w:lang w:val="en-US" w:eastAsia="zh-CN"/>
        </w:rPr>
      </w:pPr>
    </w:p>
    <w:p w14:paraId="52799A6F">
      <w:pPr>
        <w:pStyle w:val="13"/>
        <w:spacing w:beforeAutospacing="0" w:afterAutospacing="0" w:line="480" w:lineRule="auto"/>
        <w:ind w:firstLine="540" w:firstLineChars="224"/>
        <w:jc w:val="both"/>
        <w:rPr>
          <w:rFonts w:hint="eastAsia" w:cs="宋体"/>
          <w:b/>
          <w:bCs w:val="0"/>
          <w:color w:val="auto"/>
          <w:sz w:val="24"/>
          <w:szCs w:val="24"/>
          <w:highlight w:val="none"/>
          <w:lang w:val="en-US" w:eastAsia="zh-CN"/>
        </w:rPr>
      </w:pPr>
      <w:r>
        <w:rPr>
          <w:rFonts w:hint="eastAsia" w:cs="宋体"/>
          <w:b/>
          <w:bCs w:val="0"/>
          <w:color w:val="auto"/>
          <w:sz w:val="24"/>
          <w:szCs w:val="24"/>
          <w:highlight w:val="none"/>
          <w:lang w:val="en-US" w:eastAsia="zh-CN"/>
        </w:rPr>
        <w:t>9.3评分标准中需提供的证明材料（除技术参数要求外）</w:t>
      </w:r>
    </w:p>
    <w:p w14:paraId="2F51F77D">
      <w:pPr>
        <w:pStyle w:val="13"/>
        <w:spacing w:beforeAutospacing="0" w:afterAutospacing="0" w:line="480" w:lineRule="auto"/>
        <w:jc w:val="both"/>
        <w:rPr>
          <w:rFonts w:hint="default" w:cs="宋体"/>
          <w:b/>
          <w:bCs w:val="0"/>
          <w:color w:val="auto"/>
          <w:sz w:val="24"/>
          <w:szCs w:val="24"/>
          <w:highlight w:val="none"/>
          <w:lang w:val="en-US" w:eastAsia="zh-CN"/>
        </w:rPr>
      </w:pPr>
    </w:p>
    <w:p w14:paraId="44D2F11A">
      <w:pPr>
        <w:pStyle w:val="13"/>
        <w:spacing w:beforeAutospacing="0" w:afterAutospacing="0" w:line="480" w:lineRule="auto"/>
        <w:ind w:firstLine="540" w:firstLineChars="224"/>
        <w:jc w:val="both"/>
        <w:rPr>
          <w:rFonts w:cs="Arial" w:asciiTheme="minorEastAsia" w:hAnsiTheme="minorEastAsia"/>
          <w:sz w:val="24"/>
          <w:szCs w:val="24"/>
          <w:highlight w:val="none"/>
        </w:rPr>
      </w:pPr>
      <w:bookmarkStart w:id="78" w:name="_Toc17966"/>
      <w:r>
        <w:rPr>
          <w:rFonts w:hint="eastAsia" w:ascii="宋体" w:hAnsi="宋体" w:eastAsia="宋体" w:cs="宋体"/>
          <w:b/>
          <w:bCs w:val="0"/>
          <w:color w:val="auto"/>
          <w:sz w:val="24"/>
          <w:szCs w:val="24"/>
          <w:highlight w:val="none"/>
          <w:lang w:val="en-US" w:eastAsia="zh-CN"/>
        </w:rPr>
        <w:t>9.</w:t>
      </w:r>
      <w:r>
        <w:rPr>
          <w:rFonts w:hint="eastAsia" w:cs="宋体"/>
          <w:b/>
          <w:bCs w:val="0"/>
          <w:color w:val="auto"/>
          <w:sz w:val="24"/>
          <w:szCs w:val="24"/>
          <w:highlight w:val="none"/>
          <w:lang w:val="en-US" w:eastAsia="zh-CN"/>
        </w:rPr>
        <w:t>4</w:t>
      </w:r>
      <w:r>
        <w:rPr>
          <w:rFonts w:cs="Arial" w:asciiTheme="minorEastAsia" w:hAnsiTheme="minorEastAsia"/>
          <w:b/>
          <w:sz w:val="24"/>
          <w:szCs w:val="24"/>
          <w:highlight w:val="none"/>
        </w:rPr>
        <w:t>销售业绩</w:t>
      </w:r>
    </w:p>
    <w:tbl>
      <w:tblPr>
        <w:tblStyle w:val="34"/>
        <w:tblW w:w="94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82"/>
        <w:gridCol w:w="1392"/>
        <w:gridCol w:w="1485"/>
        <w:gridCol w:w="1470"/>
        <w:gridCol w:w="1365"/>
        <w:gridCol w:w="1365"/>
        <w:gridCol w:w="1395"/>
      </w:tblGrid>
      <w:tr w14:paraId="39B08F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46432738">
            <w:pPr>
              <w:spacing w:before="120"/>
              <w:jc w:val="center"/>
              <w:rPr>
                <w:rFonts w:hint="eastAsia" w:eastAsia="宋体" w:cs="Arial" w:asciiTheme="minorEastAsia" w:hAnsiTheme="minorEastAsia"/>
                <w:sz w:val="24"/>
                <w:highlight w:val="none"/>
                <w:lang w:val="en-US" w:eastAsia="zh-CN"/>
              </w:rPr>
            </w:pPr>
            <w:r>
              <w:rPr>
                <w:rFonts w:hint="eastAsia" w:cs="Arial" w:asciiTheme="minorEastAsia" w:hAnsiTheme="minorEastAsia"/>
                <w:sz w:val="24"/>
                <w:highlight w:val="none"/>
                <w:lang w:val="en-US" w:eastAsia="zh-CN"/>
              </w:rPr>
              <w:t>序号</w:t>
            </w:r>
          </w:p>
        </w:tc>
        <w:tc>
          <w:tcPr>
            <w:tcW w:w="1392" w:type="dxa"/>
            <w:vAlign w:val="center"/>
          </w:tcPr>
          <w:p w14:paraId="5D77AEB6">
            <w:pPr>
              <w:spacing w:before="120"/>
              <w:jc w:val="center"/>
              <w:rPr>
                <w:rFonts w:cs="Arial" w:asciiTheme="minorEastAsia" w:hAnsiTheme="minorEastAsia"/>
                <w:sz w:val="24"/>
                <w:highlight w:val="none"/>
              </w:rPr>
            </w:pPr>
            <w:r>
              <w:rPr>
                <w:rFonts w:cs="Arial" w:asciiTheme="minorEastAsia" w:hAnsiTheme="minorEastAsia"/>
                <w:sz w:val="24"/>
                <w:highlight w:val="none"/>
              </w:rPr>
              <w:t>销售用户</w:t>
            </w:r>
          </w:p>
        </w:tc>
        <w:tc>
          <w:tcPr>
            <w:tcW w:w="1485" w:type="dxa"/>
            <w:vAlign w:val="center"/>
          </w:tcPr>
          <w:p w14:paraId="4E9B63B6">
            <w:pPr>
              <w:spacing w:before="120"/>
              <w:jc w:val="center"/>
              <w:rPr>
                <w:rFonts w:cs="Arial" w:asciiTheme="minorEastAsia" w:hAnsiTheme="minorEastAsia"/>
                <w:sz w:val="24"/>
                <w:highlight w:val="none"/>
              </w:rPr>
            </w:pPr>
            <w:r>
              <w:rPr>
                <w:rFonts w:hint="eastAsia" w:cs="Arial" w:asciiTheme="minorEastAsia" w:hAnsiTheme="minorEastAsia"/>
                <w:sz w:val="24"/>
                <w:highlight w:val="none"/>
              </w:rPr>
              <w:t>产品名称</w:t>
            </w:r>
          </w:p>
        </w:tc>
        <w:tc>
          <w:tcPr>
            <w:tcW w:w="1470" w:type="dxa"/>
            <w:vAlign w:val="center"/>
          </w:tcPr>
          <w:p w14:paraId="38187210">
            <w:pPr>
              <w:spacing w:before="120"/>
              <w:jc w:val="center"/>
              <w:rPr>
                <w:rFonts w:hint="default" w:eastAsia="宋体" w:cs="Arial" w:asciiTheme="minorEastAsia" w:hAnsiTheme="minorEastAsia"/>
                <w:sz w:val="24"/>
                <w:highlight w:val="none"/>
                <w:lang w:val="en-US" w:eastAsia="zh-CN"/>
              </w:rPr>
            </w:pPr>
            <w:r>
              <w:rPr>
                <w:rFonts w:hint="eastAsia" w:cs="Arial" w:asciiTheme="minorEastAsia" w:hAnsiTheme="minorEastAsia"/>
                <w:sz w:val="24"/>
                <w:highlight w:val="none"/>
                <w:lang w:val="en-US" w:eastAsia="zh-CN"/>
              </w:rPr>
              <w:t>品牌</w:t>
            </w:r>
          </w:p>
        </w:tc>
        <w:tc>
          <w:tcPr>
            <w:tcW w:w="1365" w:type="dxa"/>
            <w:vAlign w:val="center"/>
          </w:tcPr>
          <w:p w14:paraId="02D23B7A">
            <w:pPr>
              <w:spacing w:before="120"/>
              <w:jc w:val="center"/>
              <w:rPr>
                <w:rFonts w:hint="default" w:cs="Arial" w:asciiTheme="minorEastAsia" w:hAnsiTheme="minorEastAsia"/>
                <w:sz w:val="24"/>
                <w:highlight w:val="none"/>
                <w:lang w:val="en-US" w:eastAsia="zh-CN"/>
              </w:rPr>
            </w:pPr>
            <w:r>
              <w:rPr>
                <w:rFonts w:hint="eastAsia" w:cs="Arial" w:asciiTheme="minorEastAsia" w:hAnsiTheme="minorEastAsia"/>
                <w:sz w:val="24"/>
                <w:highlight w:val="none"/>
                <w:lang w:val="en-US" w:eastAsia="zh-CN"/>
              </w:rPr>
              <w:t>型号</w:t>
            </w:r>
          </w:p>
        </w:tc>
        <w:tc>
          <w:tcPr>
            <w:tcW w:w="1365" w:type="dxa"/>
            <w:vAlign w:val="center"/>
          </w:tcPr>
          <w:p w14:paraId="788302A4">
            <w:pPr>
              <w:spacing w:before="120"/>
              <w:jc w:val="center"/>
              <w:rPr>
                <w:rFonts w:cs="Arial" w:asciiTheme="minorEastAsia" w:hAnsiTheme="minorEastAsia"/>
                <w:sz w:val="24"/>
                <w:highlight w:val="none"/>
              </w:rPr>
            </w:pPr>
            <w:r>
              <w:rPr>
                <w:rFonts w:hint="eastAsia" w:cs="Arial" w:asciiTheme="minorEastAsia" w:hAnsiTheme="minorEastAsia"/>
                <w:sz w:val="24"/>
                <w:highlight w:val="none"/>
                <w:lang w:val="en-US" w:eastAsia="zh-CN"/>
              </w:rPr>
              <w:t>联系人及</w:t>
            </w:r>
            <w:r>
              <w:rPr>
                <w:rFonts w:cs="Arial" w:asciiTheme="minorEastAsia" w:hAnsiTheme="minorEastAsia"/>
                <w:sz w:val="24"/>
                <w:highlight w:val="none"/>
              </w:rPr>
              <w:t>联系</w:t>
            </w:r>
            <w:r>
              <w:rPr>
                <w:rFonts w:hint="eastAsia" w:cs="Arial" w:asciiTheme="minorEastAsia" w:hAnsiTheme="minorEastAsia"/>
                <w:sz w:val="24"/>
                <w:highlight w:val="none"/>
              </w:rPr>
              <w:t>电话</w:t>
            </w:r>
          </w:p>
        </w:tc>
        <w:tc>
          <w:tcPr>
            <w:tcW w:w="1395" w:type="dxa"/>
            <w:vAlign w:val="center"/>
          </w:tcPr>
          <w:p w14:paraId="0CD37DB9">
            <w:pPr>
              <w:spacing w:before="120"/>
              <w:jc w:val="center"/>
              <w:rPr>
                <w:rFonts w:cs="Arial" w:asciiTheme="minorEastAsia" w:hAnsiTheme="minorEastAsia"/>
                <w:sz w:val="24"/>
                <w:highlight w:val="none"/>
              </w:rPr>
            </w:pPr>
            <w:r>
              <w:rPr>
                <w:rFonts w:hint="eastAsia" w:cs="Arial" w:asciiTheme="minorEastAsia" w:hAnsiTheme="minorEastAsia"/>
                <w:sz w:val="24"/>
                <w:highlight w:val="none"/>
              </w:rPr>
              <w:t>销售年份</w:t>
            </w:r>
          </w:p>
        </w:tc>
      </w:tr>
      <w:tr w14:paraId="08F270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392D7448">
            <w:pPr>
              <w:spacing w:before="120"/>
              <w:jc w:val="center"/>
              <w:rPr>
                <w:rFonts w:cs="Arial" w:asciiTheme="minorEastAsia" w:hAnsiTheme="minorEastAsia"/>
                <w:highlight w:val="none"/>
              </w:rPr>
            </w:pPr>
          </w:p>
        </w:tc>
        <w:tc>
          <w:tcPr>
            <w:tcW w:w="1392" w:type="dxa"/>
            <w:vAlign w:val="center"/>
          </w:tcPr>
          <w:p w14:paraId="0B354FD7">
            <w:pPr>
              <w:spacing w:before="120"/>
              <w:jc w:val="center"/>
              <w:rPr>
                <w:rFonts w:cs="Arial" w:asciiTheme="minorEastAsia" w:hAnsiTheme="minorEastAsia"/>
                <w:highlight w:val="none"/>
              </w:rPr>
            </w:pPr>
          </w:p>
        </w:tc>
        <w:tc>
          <w:tcPr>
            <w:tcW w:w="1485" w:type="dxa"/>
            <w:vAlign w:val="center"/>
          </w:tcPr>
          <w:p w14:paraId="37AC1C1D">
            <w:pPr>
              <w:spacing w:before="120"/>
              <w:jc w:val="center"/>
              <w:rPr>
                <w:rFonts w:cs="Arial" w:asciiTheme="minorEastAsia" w:hAnsiTheme="minorEastAsia"/>
                <w:highlight w:val="none"/>
              </w:rPr>
            </w:pPr>
          </w:p>
        </w:tc>
        <w:tc>
          <w:tcPr>
            <w:tcW w:w="1470" w:type="dxa"/>
            <w:vAlign w:val="center"/>
          </w:tcPr>
          <w:p w14:paraId="281E28E4">
            <w:pPr>
              <w:spacing w:before="120"/>
              <w:jc w:val="center"/>
              <w:rPr>
                <w:rFonts w:cs="Arial" w:asciiTheme="minorEastAsia" w:hAnsiTheme="minorEastAsia"/>
                <w:highlight w:val="none"/>
              </w:rPr>
            </w:pPr>
          </w:p>
        </w:tc>
        <w:tc>
          <w:tcPr>
            <w:tcW w:w="1365" w:type="dxa"/>
            <w:vAlign w:val="center"/>
          </w:tcPr>
          <w:p w14:paraId="771BD6AB">
            <w:pPr>
              <w:spacing w:before="120"/>
              <w:jc w:val="center"/>
              <w:rPr>
                <w:rFonts w:cs="Arial" w:asciiTheme="minorEastAsia" w:hAnsiTheme="minorEastAsia"/>
                <w:highlight w:val="none"/>
              </w:rPr>
            </w:pPr>
          </w:p>
        </w:tc>
        <w:tc>
          <w:tcPr>
            <w:tcW w:w="1365" w:type="dxa"/>
            <w:vAlign w:val="center"/>
          </w:tcPr>
          <w:p w14:paraId="61E60ADA">
            <w:pPr>
              <w:spacing w:before="120"/>
              <w:jc w:val="center"/>
              <w:rPr>
                <w:rFonts w:cs="Arial" w:asciiTheme="minorEastAsia" w:hAnsiTheme="minorEastAsia"/>
                <w:highlight w:val="none"/>
              </w:rPr>
            </w:pPr>
          </w:p>
        </w:tc>
        <w:tc>
          <w:tcPr>
            <w:tcW w:w="1395" w:type="dxa"/>
            <w:vAlign w:val="center"/>
          </w:tcPr>
          <w:p w14:paraId="04447730">
            <w:pPr>
              <w:spacing w:before="120"/>
              <w:jc w:val="center"/>
              <w:rPr>
                <w:rFonts w:cs="Arial" w:asciiTheme="minorEastAsia" w:hAnsiTheme="minorEastAsia"/>
                <w:highlight w:val="none"/>
              </w:rPr>
            </w:pPr>
          </w:p>
        </w:tc>
      </w:tr>
      <w:tr w14:paraId="742694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5B8AF551">
            <w:pPr>
              <w:spacing w:before="120"/>
              <w:jc w:val="center"/>
              <w:rPr>
                <w:rFonts w:cs="Arial" w:asciiTheme="minorEastAsia" w:hAnsiTheme="minorEastAsia"/>
                <w:highlight w:val="none"/>
              </w:rPr>
            </w:pPr>
          </w:p>
        </w:tc>
        <w:tc>
          <w:tcPr>
            <w:tcW w:w="1392" w:type="dxa"/>
            <w:vAlign w:val="center"/>
          </w:tcPr>
          <w:p w14:paraId="2DA219B5">
            <w:pPr>
              <w:spacing w:before="120"/>
              <w:jc w:val="center"/>
              <w:rPr>
                <w:rFonts w:cs="Arial" w:asciiTheme="minorEastAsia" w:hAnsiTheme="minorEastAsia"/>
                <w:highlight w:val="none"/>
              </w:rPr>
            </w:pPr>
          </w:p>
        </w:tc>
        <w:tc>
          <w:tcPr>
            <w:tcW w:w="1485" w:type="dxa"/>
            <w:vAlign w:val="center"/>
          </w:tcPr>
          <w:p w14:paraId="60964CDB">
            <w:pPr>
              <w:spacing w:before="120"/>
              <w:jc w:val="center"/>
              <w:rPr>
                <w:rFonts w:cs="Arial" w:asciiTheme="minorEastAsia" w:hAnsiTheme="minorEastAsia"/>
                <w:highlight w:val="none"/>
              </w:rPr>
            </w:pPr>
          </w:p>
        </w:tc>
        <w:tc>
          <w:tcPr>
            <w:tcW w:w="1470" w:type="dxa"/>
            <w:vAlign w:val="center"/>
          </w:tcPr>
          <w:p w14:paraId="61B640D0">
            <w:pPr>
              <w:spacing w:before="120"/>
              <w:jc w:val="center"/>
              <w:rPr>
                <w:rFonts w:cs="Arial" w:asciiTheme="minorEastAsia" w:hAnsiTheme="minorEastAsia"/>
                <w:highlight w:val="none"/>
              </w:rPr>
            </w:pPr>
          </w:p>
        </w:tc>
        <w:tc>
          <w:tcPr>
            <w:tcW w:w="1365" w:type="dxa"/>
            <w:vAlign w:val="center"/>
          </w:tcPr>
          <w:p w14:paraId="536881BB">
            <w:pPr>
              <w:spacing w:before="120"/>
              <w:jc w:val="center"/>
              <w:rPr>
                <w:rFonts w:cs="Arial" w:asciiTheme="minorEastAsia" w:hAnsiTheme="minorEastAsia"/>
                <w:highlight w:val="none"/>
              </w:rPr>
            </w:pPr>
          </w:p>
        </w:tc>
        <w:tc>
          <w:tcPr>
            <w:tcW w:w="1365" w:type="dxa"/>
            <w:vAlign w:val="center"/>
          </w:tcPr>
          <w:p w14:paraId="2C3F9359">
            <w:pPr>
              <w:spacing w:before="120"/>
              <w:jc w:val="center"/>
              <w:rPr>
                <w:rFonts w:cs="Arial" w:asciiTheme="minorEastAsia" w:hAnsiTheme="minorEastAsia"/>
                <w:highlight w:val="none"/>
              </w:rPr>
            </w:pPr>
          </w:p>
        </w:tc>
        <w:tc>
          <w:tcPr>
            <w:tcW w:w="1395" w:type="dxa"/>
            <w:vAlign w:val="center"/>
          </w:tcPr>
          <w:p w14:paraId="104FB69F">
            <w:pPr>
              <w:spacing w:before="120"/>
              <w:jc w:val="center"/>
              <w:rPr>
                <w:rFonts w:cs="Arial" w:asciiTheme="minorEastAsia" w:hAnsiTheme="minorEastAsia"/>
                <w:highlight w:val="none"/>
              </w:rPr>
            </w:pPr>
          </w:p>
        </w:tc>
      </w:tr>
      <w:tr w14:paraId="48E9D7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5237FDB6">
            <w:pPr>
              <w:spacing w:before="120"/>
              <w:jc w:val="center"/>
              <w:rPr>
                <w:rFonts w:cs="Arial" w:asciiTheme="minorEastAsia" w:hAnsiTheme="minorEastAsia"/>
                <w:highlight w:val="none"/>
              </w:rPr>
            </w:pPr>
          </w:p>
        </w:tc>
        <w:tc>
          <w:tcPr>
            <w:tcW w:w="1392" w:type="dxa"/>
            <w:vAlign w:val="center"/>
          </w:tcPr>
          <w:p w14:paraId="0EC68B0F">
            <w:pPr>
              <w:spacing w:before="120"/>
              <w:jc w:val="center"/>
              <w:rPr>
                <w:rFonts w:cs="Arial" w:asciiTheme="minorEastAsia" w:hAnsiTheme="minorEastAsia"/>
                <w:highlight w:val="none"/>
              </w:rPr>
            </w:pPr>
          </w:p>
        </w:tc>
        <w:tc>
          <w:tcPr>
            <w:tcW w:w="1485" w:type="dxa"/>
            <w:vAlign w:val="center"/>
          </w:tcPr>
          <w:p w14:paraId="6264E41A">
            <w:pPr>
              <w:spacing w:before="120"/>
              <w:jc w:val="center"/>
              <w:rPr>
                <w:rFonts w:cs="Arial" w:asciiTheme="minorEastAsia" w:hAnsiTheme="minorEastAsia"/>
                <w:highlight w:val="none"/>
              </w:rPr>
            </w:pPr>
          </w:p>
        </w:tc>
        <w:tc>
          <w:tcPr>
            <w:tcW w:w="1470" w:type="dxa"/>
            <w:vAlign w:val="center"/>
          </w:tcPr>
          <w:p w14:paraId="07450E34">
            <w:pPr>
              <w:spacing w:before="120"/>
              <w:jc w:val="center"/>
              <w:rPr>
                <w:rFonts w:cs="Arial" w:asciiTheme="minorEastAsia" w:hAnsiTheme="minorEastAsia"/>
                <w:highlight w:val="none"/>
              </w:rPr>
            </w:pPr>
          </w:p>
        </w:tc>
        <w:tc>
          <w:tcPr>
            <w:tcW w:w="1365" w:type="dxa"/>
            <w:vAlign w:val="center"/>
          </w:tcPr>
          <w:p w14:paraId="4C553C60">
            <w:pPr>
              <w:spacing w:before="120"/>
              <w:jc w:val="center"/>
              <w:rPr>
                <w:rFonts w:cs="Arial" w:asciiTheme="minorEastAsia" w:hAnsiTheme="minorEastAsia"/>
                <w:highlight w:val="none"/>
              </w:rPr>
            </w:pPr>
          </w:p>
        </w:tc>
        <w:tc>
          <w:tcPr>
            <w:tcW w:w="1365" w:type="dxa"/>
            <w:vAlign w:val="center"/>
          </w:tcPr>
          <w:p w14:paraId="1A92A840">
            <w:pPr>
              <w:spacing w:before="120"/>
              <w:jc w:val="center"/>
              <w:rPr>
                <w:rFonts w:cs="Arial" w:asciiTheme="minorEastAsia" w:hAnsiTheme="minorEastAsia"/>
                <w:highlight w:val="none"/>
              </w:rPr>
            </w:pPr>
          </w:p>
        </w:tc>
        <w:tc>
          <w:tcPr>
            <w:tcW w:w="1395" w:type="dxa"/>
            <w:vAlign w:val="center"/>
          </w:tcPr>
          <w:p w14:paraId="4ED4F07A">
            <w:pPr>
              <w:spacing w:before="120"/>
              <w:jc w:val="center"/>
              <w:rPr>
                <w:rFonts w:cs="Arial" w:asciiTheme="minorEastAsia" w:hAnsiTheme="minorEastAsia"/>
                <w:highlight w:val="none"/>
              </w:rPr>
            </w:pPr>
          </w:p>
        </w:tc>
      </w:tr>
      <w:tr w14:paraId="7496B3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7CBAE2E1">
            <w:pPr>
              <w:spacing w:before="120"/>
              <w:jc w:val="center"/>
              <w:rPr>
                <w:rFonts w:cs="Arial" w:asciiTheme="minorEastAsia" w:hAnsiTheme="minorEastAsia"/>
                <w:highlight w:val="none"/>
              </w:rPr>
            </w:pPr>
          </w:p>
        </w:tc>
        <w:tc>
          <w:tcPr>
            <w:tcW w:w="1392" w:type="dxa"/>
            <w:vAlign w:val="center"/>
          </w:tcPr>
          <w:p w14:paraId="1B2F6ED2">
            <w:pPr>
              <w:spacing w:before="120"/>
              <w:jc w:val="center"/>
              <w:rPr>
                <w:rFonts w:cs="Arial" w:asciiTheme="minorEastAsia" w:hAnsiTheme="minorEastAsia"/>
                <w:highlight w:val="none"/>
              </w:rPr>
            </w:pPr>
          </w:p>
        </w:tc>
        <w:tc>
          <w:tcPr>
            <w:tcW w:w="1485" w:type="dxa"/>
            <w:vAlign w:val="center"/>
          </w:tcPr>
          <w:p w14:paraId="2D2D2FEC">
            <w:pPr>
              <w:spacing w:before="120"/>
              <w:jc w:val="center"/>
              <w:rPr>
                <w:rFonts w:cs="Arial" w:asciiTheme="minorEastAsia" w:hAnsiTheme="minorEastAsia"/>
                <w:highlight w:val="none"/>
              </w:rPr>
            </w:pPr>
          </w:p>
        </w:tc>
        <w:tc>
          <w:tcPr>
            <w:tcW w:w="1470" w:type="dxa"/>
            <w:vAlign w:val="center"/>
          </w:tcPr>
          <w:p w14:paraId="190C8459">
            <w:pPr>
              <w:spacing w:before="120"/>
              <w:jc w:val="center"/>
              <w:rPr>
                <w:rFonts w:cs="Arial" w:asciiTheme="minorEastAsia" w:hAnsiTheme="minorEastAsia"/>
                <w:highlight w:val="none"/>
              </w:rPr>
            </w:pPr>
          </w:p>
        </w:tc>
        <w:tc>
          <w:tcPr>
            <w:tcW w:w="1365" w:type="dxa"/>
            <w:vAlign w:val="center"/>
          </w:tcPr>
          <w:p w14:paraId="5C1E72EF">
            <w:pPr>
              <w:spacing w:before="120"/>
              <w:jc w:val="center"/>
              <w:rPr>
                <w:rFonts w:cs="Arial" w:asciiTheme="minorEastAsia" w:hAnsiTheme="minorEastAsia"/>
                <w:highlight w:val="none"/>
              </w:rPr>
            </w:pPr>
          </w:p>
        </w:tc>
        <w:tc>
          <w:tcPr>
            <w:tcW w:w="1365" w:type="dxa"/>
            <w:vAlign w:val="center"/>
          </w:tcPr>
          <w:p w14:paraId="5A6E5E8B">
            <w:pPr>
              <w:spacing w:before="120"/>
              <w:jc w:val="center"/>
              <w:rPr>
                <w:rFonts w:cs="Arial" w:asciiTheme="minorEastAsia" w:hAnsiTheme="minorEastAsia"/>
                <w:highlight w:val="none"/>
              </w:rPr>
            </w:pPr>
          </w:p>
        </w:tc>
        <w:tc>
          <w:tcPr>
            <w:tcW w:w="1395" w:type="dxa"/>
            <w:vAlign w:val="center"/>
          </w:tcPr>
          <w:p w14:paraId="2D89B567">
            <w:pPr>
              <w:spacing w:before="120"/>
              <w:jc w:val="center"/>
              <w:rPr>
                <w:rFonts w:cs="Arial" w:asciiTheme="minorEastAsia" w:hAnsiTheme="minorEastAsia"/>
                <w:highlight w:val="none"/>
              </w:rPr>
            </w:pPr>
          </w:p>
        </w:tc>
      </w:tr>
      <w:tr w14:paraId="0E92E6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443FA176">
            <w:pPr>
              <w:spacing w:before="120"/>
              <w:jc w:val="center"/>
              <w:rPr>
                <w:rFonts w:cs="Arial" w:asciiTheme="minorEastAsia" w:hAnsiTheme="minorEastAsia"/>
                <w:highlight w:val="none"/>
              </w:rPr>
            </w:pPr>
          </w:p>
        </w:tc>
        <w:tc>
          <w:tcPr>
            <w:tcW w:w="1392" w:type="dxa"/>
            <w:vAlign w:val="center"/>
          </w:tcPr>
          <w:p w14:paraId="6EC5F5FE">
            <w:pPr>
              <w:spacing w:before="120"/>
              <w:jc w:val="center"/>
              <w:rPr>
                <w:rFonts w:cs="Arial" w:asciiTheme="minorEastAsia" w:hAnsiTheme="minorEastAsia"/>
                <w:highlight w:val="none"/>
              </w:rPr>
            </w:pPr>
          </w:p>
        </w:tc>
        <w:tc>
          <w:tcPr>
            <w:tcW w:w="1485" w:type="dxa"/>
            <w:vAlign w:val="center"/>
          </w:tcPr>
          <w:p w14:paraId="1226E7A2">
            <w:pPr>
              <w:spacing w:before="120"/>
              <w:jc w:val="center"/>
              <w:rPr>
                <w:rFonts w:cs="Arial" w:asciiTheme="minorEastAsia" w:hAnsiTheme="minorEastAsia"/>
                <w:highlight w:val="none"/>
              </w:rPr>
            </w:pPr>
          </w:p>
        </w:tc>
        <w:tc>
          <w:tcPr>
            <w:tcW w:w="1470" w:type="dxa"/>
            <w:vAlign w:val="center"/>
          </w:tcPr>
          <w:p w14:paraId="4369E923">
            <w:pPr>
              <w:spacing w:before="120"/>
              <w:jc w:val="center"/>
              <w:rPr>
                <w:rFonts w:cs="Arial" w:asciiTheme="minorEastAsia" w:hAnsiTheme="minorEastAsia"/>
                <w:highlight w:val="none"/>
              </w:rPr>
            </w:pPr>
          </w:p>
        </w:tc>
        <w:tc>
          <w:tcPr>
            <w:tcW w:w="1365" w:type="dxa"/>
            <w:vAlign w:val="center"/>
          </w:tcPr>
          <w:p w14:paraId="06A63D0D">
            <w:pPr>
              <w:spacing w:before="120"/>
              <w:jc w:val="center"/>
              <w:rPr>
                <w:rFonts w:cs="Arial" w:asciiTheme="minorEastAsia" w:hAnsiTheme="minorEastAsia"/>
                <w:highlight w:val="none"/>
              </w:rPr>
            </w:pPr>
          </w:p>
        </w:tc>
        <w:tc>
          <w:tcPr>
            <w:tcW w:w="1365" w:type="dxa"/>
            <w:vAlign w:val="center"/>
          </w:tcPr>
          <w:p w14:paraId="2EE9EADA">
            <w:pPr>
              <w:spacing w:before="120"/>
              <w:jc w:val="center"/>
              <w:rPr>
                <w:rFonts w:cs="Arial" w:asciiTheme="minorEastAsia" w:hAnsiTheme="minorEastAsia"/>
                <w:highlight w:val="none"/>
              </w:rPr>
            </w:pPr>
          </w:p>
        </w:tc>
        <w:tc>
          <w:tcPr>
            <w:tcW w:w="1395" w:type="dxa"/>
            <w:vAlign w:val="center"/>
          </w:tcPr>
          <w:p w14:paraId="2827C9D7">
            <w:pPr>
              <w:spacing w:before="120"/>
              <w:jc w:val="center"/>
              <w:rPr>
                <w:rFonts w:cs="Arial" w:asciiTheme="minorEastAsia" w:hAnsiTheme="minorEastAsia"/>
                <w:highlight w:val="none"/>
              </w:rPr>
            </w:pPr>
          </w:p>
        </w:tc>
      </w:tr>
      <w:tr w14:paraId="14B195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73627E7B">
            <w:pPr>
              <w:spacing w:before="120"/>
              <w:jc w:val="center"/>
              <w:rPr>
                <w:rFonts w:cs="Arial" w:asciiTheme="minorEastAsia" w:hAnsiTheme="minorEastAsia"/>
                <w:highlight w:val="none"/>
              </w:rPr>
            </w:pPr>
          </w:p>
        </w:tc>
        <w:tc>
          <w:tcPr>
            <w:tcW w:w="1392" w:type="dxa"/>
            <w:vAlign w:val="center"/>
          </w:tcPr>
          <w:p w14:paraId="3904317C">
            <w:pPr>
              <w:spacing w:before="120"/>
              <w:jc w:val="center"/>
              <w:rPr>
                <w:rFonts w:cs="Arial" w:asciiTheme="minorEastAsia" w:hAnsiTheme="minorEastAsia"/>
                <w:highlight w:val="none"/>
              </w:rPr>
            </w:pPr>
          </w:p>
        </w:tc>
        <w:tc>
          <w:tcPr>
            <w:tcW w:w="1485" w:type="dxa"/>
            <w:vAlign w:val="center"/>
          </w:tcPr>
          <w:p w14:paraId="2B41D14C">
            <w:pPr>
              <w:spacing w:before="120"/>
              <w:jc w:val="center"/>
              <w:rPr>
                <w:rFonts w:cs="Arial" w:asciiTheme="minorEastAsia" w:hAnsiTheme="minorEastAsia"/>
                <w:highlight w:val="none"/>
              </w:rPr>
            </w:pPr>
          </w:p>
        </w:tc>
        <w:tc>
          <w:tcPr>
            <w:tcW w:w="1470" w:type="dxa"/>
            <w:vAlign w:val="center"/>
          </w:tcPr>
          <w:p w14:paraId="45CFC41B">
            <w:pPr>
              <w:spacing w:before="120"/>
              <w:jc w:val="center"/>
              <w:rPr>
                <w:rFonts w:cs="Arial" w:asciiTheme="minorEastAsia" w:hAnsiTheme="minorEastAsia"/>
                <w:highlight w:val="none"/>
              </w:rPr>
            </w:pPr>
          </w:p>
        </w:tc>
        <w:tc>
          <w:tcPr>
            <w:tcW w:w="1365" w:type="dxa"/>
            <w:vAlign w:val="center"/>
          </w:tcPr>
          <w:p w14:paraId="32CFA217">
            <w:pPr>
              <w:spacing w:before="120"/>
              <w:jc w:val="center"/>
              <w:rPr>
                <w:rFonts w:cs="Arial" w:asciiTheme="minorEastAsia" w:hAnsiTheme="minorEastAsia"/>
                <w:highlight w:val="none"/>
              </w:rPr>
            </w:pPr>
          </w:p>
        </w:tc>
        <w:tc>
          <w:tcPr>
            <w:tcW w:w="1365" w:type="dxa"/>
            <w:vAlign w:val="center"/>
          </w:tcPr>
          <w:p w14:paraId="3797DB3D">
            <w:pPr>
              <w:spacing w:before="120"/>
              <w:jc w:val="center"/>
              <w:rPr>
                <w:rFonts w:cs="Arial" w:asciiTheme="minorEastAsia" w:hAnsiTheme="minorEastAsia"/>
                <w:highlight w:val="none"/>
              </w:rPr>
            </w:pPr>
          </w:p>
        </w:tc>
        <w:tc>
          <w:tcPr>
            <w:tcW w:w="1395" w:type="dxa"/>
            <w:vAlign w:val="center"/>
          </w:tcPr>
          <w:p w14:paraId="54B94AE8">
            <w:pPr>
              <w:spacing w:before="120"/>
              <w:jc w:val="center"/>
              <w:rPr>
                <w:rFonts w:cs="Arial" w:asciiTheme="minorEastAsia" w:hAnsiTheme="minorEastAsia"/>
                <w:highlight w:val="none"/>
              </w:rPr>
            </w:pPr>
          </w:p>
        </w:tc>
      </w:tr>
      <w:tr w14:paraId="10B556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07DE1F7E">
            <w:pPr>
              <w:spacing w:before="120"/>
              <w:jc w:val="center"/>
              <w:rPr>
                <w:rFonts w:cs="Arial" w:asciiTheme="minorEastAsia" w:hAnsiTheme="minorEastAsia"/>
                <w:highlight w:val="none"/>
              </w:rPr>
            </w:pPr>
          </w:p>
        </w:tc>
        <w:tc>
          <w:tcPr>
            <w:tcW w:w="1392" w:type="dxa"/>
            <w:vAlign w:val="center"/>
          </w:tcPr>
          <w:p w14:paraId="1313E78D">
            <w:pPr>
              <w:spacing w:before="120"/>
              <w:jc w:val="center"/>
              <w:rPr>
                <w:rFonts w:cs="Arial" w:asciiTheme="minorEastAsia" w:hAnsiTheme="minorEastAsia"/>
                <w:highlight w:val="none"/>
              </w:rPr>
            </w:pPr>
          </w:p>
        </w:tc>
        <w:tc>
          <w:tcPr>
            <w:tcW w:w="1485" w:type="dxa"/>
            <w:vAlign w:val="center"/>
          </w:tcPr>
          <w:p w14:paraId="1B7314DE">
            <w:pPr>
              <w:spacing w:before="120"/>
              <w:jc w:val="center"/>
              <w:rPr>
                <w:rFonts w:cs="Arial" w:asciiTheme="minorEastAsia" w:hAnsiTheme="minorEastAsia"/>
                <w:highlight w:val="none"/>
              </w:rPr>
            </w:pPr>
          </w:p>
        </w:tc>
        <w:tc>
          <w:tcPr>
            <w:tcW w:w="1470" w:type="dxa"/>
            <w:vAlign w:val="center"/>
          </w:tcPr>
          <w:p w14:paraId="3DF6CFC0">
            <w:pPr>
              <w:spacing w:before="120"/>
              <w:jc w:val="center"/>
              <w:rPr>
                <w:rFonts w:cs="Arial" w:asciiTheme="minorEastAsia" w:hAnsiTheme="minorEastAsia"/>
                <w:highlight w:val="none"/>
              </w:rPr>
            </w:pPr>
          </w:p>
        </w:tc>
        <w:tc>
          <w:tcPr>
            <w:tcW w:w="1365" w:type="dxa"/>
            <w:vAlign w:val="center"/>
          </w:tcPr>
          <w:p w14:paraId="755F2A9A">
            <w:pPr>
              <w:spacing w:before="120"/>
              <w:jc w:val="center"/>
              <w:rPr>
                <w:rFonts w:cs="Arial" w:asciiTheme="minorEastAsia" w:hAnsiTheme="minorEastAsia"/>
                <w:highlight w:val="none"/>
              </w:rPr>
            </w:pPr>
          </w:p>
        </w:tc>
        <w:tc>
          <w:tcPr>
            <w:tcW w:w="1365" w:type="dxa"/>
            <w:vAlign w:val="center"/>
          </w:tcPr>
          <w:p w14:paraId="2E509206">
            <w:pPr>
              <w:spacing w:before="120"/>
              <w:jc w:val="center"/>
              <w:rPr>
                <w:rFonts w:cs="Arial" w:asciiTheme="minorEastAsia" w:hAnsiTheme="minorEastAsia"/>
                <w:highlight w:val="none"/>
              </w:rPr>
            </w:pPr>
          </w:p>
        </w:tc>
        <w:tc>
          <w:tcPr>
            <w:tcW w:w="1395" w:type="dxa"/>
            <w:vAlign w:val="center"/>
          </w:tcPr>
          <w:p w14:paraId="79E06EF4">
            <w:pPr>
              <w:spacing w:before="120"/>
              <w:jc w:val="center"/>
              <w:rPr>
                <w:rFonts w:cs="Arial" w:asciiTheme="minorEastAsia" w:hAnsiTheme="minorEastAsia"/>
                <w:highlight w:val="none"/>
              </w:rPr>
            </w:pPr>
          </w:p>
        </w:tc>
      </w:tr>
      <w:tr w14:paraId="1CFF2A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62B57E21">
            <w:pPr>
              <w:spacing w:before="120"/>
              <w:jc w:val="center"/>
              <w:rPr>
                <w:rFonts w:cs="Arial" w:asciiTheme="minorEastAsia" w:hAnsiTheme="minorEastAsia"/>
                <w:highlight w:val="none"/>
              </w:rPr>
            </w:pPr>
          </w:p>
        </w:tc>
        <w:tc>
          <w:tcPr>
            <w:tcW w:w="1392" w:type="dxa"/>
            <w:vAlign w:val="center"/>
          </w:tcPr>
          <w:p w14:paraId="561AB2CF">
            <w:pPr>
              <w:spacing w:before="120"/>
              <w:jc w:val="center"/>
              <w:rPr>
                <w:rFonts w:cs="Arial" w:asciiTheme="minorEastAsia" w:hAnsiTheme="minorEastAsia"/>
                <w:highlight w:val="none"/>
              </w:rPr>
            </w:pPr>
          </w:p>
        </w:tc>
        <w:tc>
          <w:tcPr>
            <w:tcW w:w="1485" w:type="dxa"/>
            <w:vAlign w:val="center"/>
          </w:tcPr>
          <w:p w14:paraId="4DC497D5">
            <w:pPr>
              <w:spacing w:before="120"/>
              <w:jc w:val="center"/>
              <w:rPr>
                <w:rFonts w:cs="Arial" w:asciiTheme="minorEastAsia" w:hAnsiTheme="minorEastAsia"/>
                <w:highlight w:val="none"/>
              </w:rPr>
            </w:pPr>
          </w:p>
        </w:tc>
        <w:tc>
          <w:tcPr>
            <w:tcW w:w="1470" w:type="dxa"/>
            <w:vAlign w:val="center"/>
          </w:tcPr>
          <w:p w14:paraId="6F07EB69">
            <w:pPr>
              <w:spacing w:before="120"/>
              <w:jc w:val="center"/>
              <w:rPr>
                <w:rFonts w:cs="Arial" w:asciiTheme="minorEastAsia" w:hAnsiTheme="minorEastAsia"/>
                <w:highlight w:val="none"/>
              </w:rPr>
            </w:pPr>
          </w:p>
        </w:tc>
        <w:tc>
          <w:tcPr>
            <w:tcW w:w="1365" w:type="dxa"/>
            <w:vAlign w:val="center"/>
          </w:tcPr>
          <w:p w14:paraId="67F571B3">
            <w:pPr>
              <w:spacing w:before="120"/>
              <w:jc w:val="center"/>
              <w:rPr>
                <w:rFonts w:cs="Arial" w:asciiTheme="minorEastAsia" w:hAnsiTheme="minorEastAsia"/>
                <w:highlight w:val="none"/>
              </w:rPr>
            </w:pPr>
          </w:p>
        </w:tc>
        <w:tc>
          <w:tcPr>
            <w:tcW w:w="1365" w:type="dxa"/>
            <w:vAlign w:val="center"/>
          </w:tcPr>
          <w:p w14:paraId="0E56BECE">
            <w:pPr>
              <w:spacing w:before="120"/>
              <w:jc w:val="center"/>
              <w:rPr>
                <w:rFonts w:cs="Arial" w:asciiTheme="minorEastAsia" w:hAnsiTheme="minorEastAsia"/>
                <w:highlight w:val="none"/>
              </w:rPr>
            </w:pPr>
          </w:p>
        </w:tc>
        <w:tc>
          <w:tcPr>
            <w:tcW w:w="1395" w:type="dxa"/>
            <w:vAlign w:val="center"/>
          </w:tcPr>
          <w:p w14:paraId="4147F08F">
            <w:pPr>
              <w:spacing w:before="120"/>
              <w:jc w:val="center"/>
              <w:rPr>
                <w:rFonts w:cs="Arial" w:asciiTheme="minorEastAsia" w:hAnsiTheme="minorEastAsia"/>
                <w:highlight w:val="none"/>
              </w:rPr>
            </w:pPr>
          </w:p>
        </w:tc>
      </w:tr>
    </w:tbl>
    <w:p w14:paraId="5016CED6">
      <w:pPr>
        <w:spacing w:line="380" w:lineRule="exact"/>
        <w:rPr>
          <w:rFonts w:hint="default" w:eastAsia="宋体" w:asciiTheme="minorEastAsia" w:hAnsiTheme="minorEastAsia"/>
          <w:b/>
          <w:color w:val="FF0000"/>
          <w:szCs w:val="21"/>
          <w:highlight w:val="none"/>
          <w:lang w:val="en-US" w:eastAsia="zh-CN"/>
        </w:rPr>
      </w:pPr>
      <w:r>
        <w:rPr>
          <w:rFonts w:hint="eastAsia" w:asciiTheme="minorEastAsia" w:hAnsiTheme="minorEastAsia"/>
          <w:b/>
          <w:color w:val="FF0000"/>
          <w:szCs w:val="21"/>
          <w:highlight w:val="none"/>
        </w:rPr>
        <w:t>注：供应商需在本表后附</w:t>
      </w:r>
      <w:r>
        <w:rPr>
          <w:rFonts w:hint="eastAsia" w:asciiTheme="minorEastAsia" w:hAnsiTheme="minorEastAsia"/>
          <w:b/>
          <w:color w:val="FF0000"/>
          <w:szCs w:val="21"/>
          <w:highlight w:val="none"/>
          <w:lang w:val="en-US" w:eastAsia="zh-CN"/>
        </w:rPr>
        <w:t>销售业绩</w:t>
      </w:r>
      <w:r>
        <w:rPr>
          <w:rFonts w:hint="eastAsia" w:asciiTheme="minorEastAsia" w:hAnsiTheme="minorEastAsia"/>
          <w:b/>
          <w:color w:val="FF0000"/>
          <w:szCs w:val="21"/>
          <w:highlight w:val="none"/>
        </w:rPr>
        <w:t>合同</w:t>
      </w:r>
      <w:r>
        <w:rPr>
          <w:rFonts w:hint="eastAsia" w:asciiTheme="minorEastAsia" w:hAnsiTheme="minorEastAsia"/>
          <w:b/>
          <w:color w:val="FF0000"/>
          <w:szCs w:val="21"/>
          <w:highlight w:val="none"/>
          <w:lang w:val="en-US" w:eastAsia="zh-CN"/>
        </w:rPr>
        <w:t>。</w:t>
      </w:r>
    </w:p>
    <w:p w14:paraId="017273DD">
      <w:pPr>
        <w:pStyle w:val="13"/>
        <w:spacing w:beforeAutospacing="0" w:afterAutospacing="0" w:line="480" w:lineRule="auto"/>
        <w:ind w:firstLine="495" w:firstLineChars="224"/>
        <w:jc w:val="both"/>
        <w:rPr>
          <w:rFonts w:hint="eastAsia" w:ascii="宋体" w:hAnsi="宋体" w:eastAsia="宋体" w:cs="宋体"/>
          <w:b/>
          <w:bCs w:val="0"/>
          <w:color w:val="auto"/>
          <w:sz w:val="22"/>
          <w:szCs w:val="22"/>
          <w:highlight w:val="none"/>
        </w:rPr>
      </w:pPr>
    </w:p>
    <w:p w14:paraId="335E608E">
      <w:pPr>
        <w:pStyle w:val="13"/>
        <w:spacing w:beforeAutospacing="0" w:afterAutospacing="0" w:line="480" w:lineRule="auto"/>
        <w:ind w:firstLine="495" w:firstLineChars="224"/>
        <w:jc w:val="both"/>
        <w:rPr>
          <w:rFonts w:hint="eastAsia" w:ascii="宋体" w:hAnsi="宋体" w:eastAsia="宋体" w:cs="宋体"/>
          <w:b/>
          <w:bCs/>
          <w:color w:val="auto"/>
          <w:highlight w:val="none"/>
        </w:rPr>
      </w:pPr>
      <w:r>
        <w:rPr>
          <w:rFonts w:hint="eastAsia" w:ascii="宋体" w:hAnsi="宋体" w:eastAsia="宋体" w:cs="宋体"/>
          <w:b/>
          <w:bCs w:val="0"/>
          <w:color w:val="auto"/>
          <w:sz w:val="22"/>
          <w:szCs w:val="22"/>
          <w:highlight w:val="none"/>
        </w:rPr>
        <w:t>9.</w:t>
      </w:r>
      <w:r>
        <w:rPr>
          <w:rFonts w:hint="eastAsia" w:cs="宋体"/>
          <w:b/>
          <w:bCs w:val="0"/>
          <w:color w:val="auto"/>
          <w:sz w:val="22"/>
          <w:szCs w:val="22"/>
          <w:highlight w:val="none"/>
          <w:lang w:val="en-US" w:eastAsia="zh-CN"/>
        </w:rPr>
        <w:t>5</w:t>
      </w:r>
      <w:r>
        <w:rPr>
          <w:rFonts w:hint="eastAsia" w:ascii="宋体" w:hAnsi="宋体" w:eastAsia="宋体" w:cs="宋体"/>
          <w:b/>
          <w:bCs w:val="0"/>
          <w:color w:val="auto"/>
          <w:sz w:val="22"/>
          <w:szCs w:val="22"/>
          <w:highlight w:val="none"/>
          <w:lang w:val="en-US" w:eastAsia="zh-CN"/>
        </w:rPr>
        <w:t xml:space="preserve"> 供应商认为其他应提供的证明材料</w:t>
      </w:r>
      <w:bookmarkEnd w:id="78"/>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B798757-670C-4513-83F7-F12CB3A52145}"/>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公文小标宋">
    <w:panose1 w:val="02000500000000000000"/>
    <w:charset w:val="86"/>
    <w:family w:val="auto"/>
    <w:pitch w:val="default"/>
    <w:sig w:usb0="A00002BF" w:usb1="38CF7CFA" w:usb2="00000016" w:usb3="00000000" w:csb0="00040001" w:csb1="00000000"/>
    <w:embedRegular r:id="rId2" w:fontKey="{AC8D8614-8D50-41A5-A59D-D63A01346BD9}"/>
  </w:font>
  <w:font w:name="仿宋">
    <w:panose1 w:val="02010609060101010101"/>
    <w:charset w:val="86"/>
    <w:family w:val="auto"/>
    <w:pitch w:val="default"/>
    <w:sig w:usb0="800002BF" w:usb1="38CF7CFA" w:usb2="00000016" w:usb3="00000000" w:csb0="00040001" w:csb1="00000000"/>
    <w:embedRegular r:id="rId3" w:fontKey="{DF759EA0-95B8-4781-A488-CED494278B08}"/>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4" w:fontKey="{46A2619A-E501-42B4-8849-FB439A8DBE7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5"/>
      <w:jc w:val="right"/>
      <w:rPr>
        <w:rFonts w:hint="eastAsia"/>
      </w:rPr>
    </w:pPr>
    <w:r>
      <w:rPr>
        <w:rFonts w:hint="eastAsia" w:ascii="宋体" w:hAnsi="宋体" w:cs="宋体"/>
        <w:color w:val="auto"/>
        <w:szCs w:val="21"/>
        <w:highlight w:val="none"/>
        <w:u w:val="none"/>
        <w:shd w:val="clear" w:color="auto" w:fill="FFFFFF"/>
        <w:lang w:val="en-US" w:eastAsia="zh-CN"/>
      </w:rPr>
      <w:t>驻马店市中心医院一氧化氮治疗仪采购项目采购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41E276"/>
    <w:multiLevelType w:val="singleLevel"/>
    <w:tmpl w:val="AC41E276"/>
    <w:lvl w:ilvl="0" w:tentative="0">
      <w:start w:val="5"/>
      <w:numFmt w:val="chineseCounting"/>
      <w:suff w:val="nothing"/>
      <w:lvlText w:val="%1、"/>
      <w:lvlJc w:val="left"/>
      <w:rPr>
        <w:rFonts w:hint="eastAsia"/>
      </w:rPr>
    </w:lvl>
  </w:abstractNum>
  <w:abstractNum w:abstractNumId="1">
    <w:nsid w:val="CA829215"/>
    <w:multiLevelType w:val="singleLevel"/>
    <w:tmpl w:val="CA829215"/>
    <w:lvl w:ilvl="0" w:tentative="0">
      <w:start w:val="2"/>
      <w:numFmt w:val="chineseCounting"/>
      <w:suff w:val="nothing"/>
      <w:lvlText w:val="%1、"/>
      <w:lvlJc w:val="left"/>
      <w:rPr>
        <w:rFonts w:hint="eastAsia"/>
      </w:rPr>
    </w:lvl>
  </w:abstractNum>
  <w:abstractNum w:abstractNumId="2">
    <w:nsid w:val="CF092B84"/>
    <w:multiLevelType w:val="multilevel"/>
    <w:tmpl w:val="CF092B84"/>
    <w:lvl w:ilvl="0" w:tentative="0">
      <w:start w:val="1"/>
      <w:numFmt w:val="decimal"/>
      <w:suff w:val="space"/>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47DE1"/>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024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2F76"/>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626374"/>
    <w:rsid w:val="01745FBF"/>
    <w:rsid w:val="017E6D95"/>
    <w:rsid w:val="018D0058"/>
    <w:rsid w:val="019376D8"/>
    <w:rsid w:val="01976717"/>
    <w:rsid w:val="019F1377"/>
    <w:rsid w:val="01D715BE"/>
    <w:rsid w:val="01EB45BC"/>
    <w:rsid w:val="01F04981"/>
    <w:rsid w:val="01F9035B"/>
    <w:rsid w:val="01FA63A5"/>
    <w:rsid w:val="02011C7D"/>
    <w:rsid w:val="02035523"/>
    <w:rsid w:val="021653B1"/>
    <w:rsid w:val="02184C85"/>
    <w:rsid w:val="021B0444"/>
    <w:rsid w:val="021C6E40"/>
    <w:rsid w:val="02222FF2"/>
    <w:rsid w:val="023615AF"/>
    <w:rsid w:val="02384FF4"/>
    <w:rsid w:val="023D0B8F"/>
    <w:rsid w:val="023F67A9"/>
    <w:rsid w:val="0247575A"/>
    <w:rsid w:val="025235B1"/>
    <w:rsid w:val="0261030A"/>
    <w:rsid w:val="0262674D"/>
    <w:rsid w:val="02747B01"/>
    <w:rsid w:val="027619AC"/>
    <w:rsid w:val="02890D36"/>
    <w:rsid w:val="02B97DFD"/>
    <w:rsid w:val="02C866AB"/>
    <w:rsid w:val="02CB7F49"/>
    <w:rsid w:val="02D92EF7"/>
    <w:rsid w:val="02DA4665"/>
    <w:rsid w:val="02ED6112"/>
    <w:rsid w:val="02F178FE"/>
    <w:rsid w:val="02F40325"/>
    <w:rsid w:val="02FA082F"/>
    <w:rsid w:val="031126C4"/>
    <w:rsid w:val="031C0676"/>
    <w:rsid w:val="0323019C"/>
    <w:rsid w:val="034733B8"/>
    <w:rsid w:val="03475E56"/>
    <w:rsid w:val="0353518A"/>
    <w:rsid w:val="035E4919"/>
    <w:rsid w:val="036056EE"/>
    <w:rsid w:val="03675F31"/>
    <w:rsid w:val="036A009A"/>
    <w:rsid w:val="037A734D"/>
    <w:rsid w:val="03844805"/>
    <w:rsid w:val="03845791"/>
    <w:rsid w:val="03A011E9"/>
    <w:rsid w:val="03AE7F27"/>
    <w:rsid w:val="03BC3316"/>
    <w:rsid w:val="03BD2BCD"/>
    <w:rsid w:val="03CC058D"/>
    <w:rsid w:val="03E017D2"/>
    <w:rsid w:val="03F447E2"/>
    <w:rsid w:val="03F77068"/>
    <w:rsid w:val="03FB660C"/>
    <w:rsid w:val="042E37DB"/>
    <w:rsid w:val="04416C20"/>
    <w:rsid w:val="047012BB"/>
    <w:rsid w:val="04732647"/>
    <w:rsid w:val="047968B1"/>
    <w:rsid w:val="04870542"/>
    <w:rsid w:val="04B30F7A"/>
    <w:rsid w:val="050E236F"/>
    <w:rsid w:val="0512137B"/>
    <w:rsid w:val="05121E5F"/>
    <w:rsid w:val="054C0111"/>
    <w:rsid w:val="05545DD3"/>
    <w:rsid w:val="056E2AD6"/>
    <w:rsid w:val="05720B50"/>
    <w:rsid w:val="05806815"/>
    <w:rsid w:val="058251D3"/>
    <w:rsid w:val="058C28F1"/>
    <w:rsid w:val="05945CCE"/>
    <w:rsid w:val="059652F0"/>
    <w:rsid w:val="059D05A4"/>
    <w:rsid w:val="059D5E17"/>
    <w:rsid w:val="059E1E1A"/>
    <w:rsid w:val="05AB0A28"/>
    <w:rsid w:val="05AB0F81"/>
    <w:rsid w:val="05B93D6B"/>
    <w:rsid w:val="05C23EEE"/>
    <w:rsid w:val="05C313AC"/>
    <w:rsid w:val="05CA4074"/>
    <w:rsid w:val="05D53002"/>
    <w:rsid w:val="05D75738"/>
    <w:rsid w:val="05EB110D"/>
    <w:rsid w:val="05EB4481"/>
    <w:rsid w:val="05EB48F5"/>
    <w:rsid w:val="05F17CC7"/>
    <w:rsid w:val="05FC520E"/>
    <w:rsid w:val="061E7D14"/>
    <w:rsid w:val="0627193B"/>
    <w:rsid w:val="06446B44"/>
    <w:rsid w:val="06560AED"/>
    <w:rsid w:val="066469C9"/>
    <w:rsid w:val="066646A1"/>
    <w:rsid w:val="066A7CAA"/>
    <w:rsid w:val="066E164D"/>
    <w:rsid w:val="068E7B23"/>
    <w:rsid w:val="06983B20"/>
    <w:rsid w:val="069A3B66"/>
    <w:rsid w:val="06A869D6"/>
    <w:rsid w:val="06A9264E"/>
    <w:rsid w:val="06B31420"/>
    <w:rsid w:val="06B91765"/>
    <w:rsid w:val="06CA2AD2"/>
    <w:rsid w:val="06CB0D68"/>
    <w:rsid w:val="06CD24E2"/>
    <w:rsid w:val="06CE3071"/>
    <w:rsid w:val="06D33DBA"/>
    <w:rsid w:val="06D73361"/>
    <w:rsid w:val="06E13F9F"/>
    <w:rsid w:val="06FB0AC5"/>
    <w:rsid w:val="06FE7278"/>
    <w:rsid w:val="070D2D5D"/>
    <w:rsid w:val="07104A12"/>
    <w:rsid w:val="07111B8D"/>
    <w:rsid w:val="07260519"/>
    <w:rsid w:val="072916E2"/>
    <w:rsid w:val="072C5514"/>
    <w:rsid w:val="0737768A"/>
    <w:rsid w:val="074A5B92"/>
    <w:rsid w:val="075D0147"/>
    <w:rsid w:val="075E3193"/>
    <w:rsid w:val="078E18EB"/>
    <w:rsid w:val="07AA2823"/>
    <w:rsid w:val="07B02D9F"/>
    <w:rsid w:val="07B10EA5"/>
    <w:rsid w:val="07C510CB"/>
    <w:rsid w:val="07CD6512"/>
    <w:rsid w:val="07CE3FA1"/>
    <w:rsid w:val="07EC2ECB"/>
    <w:rsid w:val="07FE66CB"/>
    <w:rsid w:val="080B4D47"/>
    <w:rsid w:val="08144141"/>
    <w:rsid w:val="081B727D"/>
    <w:rsid w:val="081D2FF5"/>
    <w:rsid w:val="08321601"/>
    <w:rsid w:val="08326375"/>
    <w:rsid w:val="083D5C91"/>
    <w:rsid w:val="0847191F"/>
    <w:rsid w:val="08591DC3"/>
    <w:rsid w:val="085B58CB"/>
    <w:rsid w:val="08672793"/>
    <w:rsid w:val="08695E80"/>
    <w:rsid w:val="087C4541"/>
    <w:rsid w:val="087E5595"/>
    <w:rsid w:val="08955281"/>
    <w:rsid w:val="08BC0A60"/>
    <w:rsid w:val="08C52D6F"/>
    <w:rsid w:val="08E42BE4"/>
    <w:rsid w:val="08EB30F3"/>
    <w:rsid w:val="08EF0201"/>
    <w:rsid w:val="08F41DE8"/>
    <w:rsid w:val="093D1475"/>
    <w:rsid w:val="094840A2"/>
    <w:rsid w:val="09491BC8"/>
    <w:rsid w:val="09644C54"/>
    <w:rsid w:val="09737462"/>
    <w:rsid w:val="098B21E0"/>
    <w:rsid w:val="099156C3"/>
    <w:rsid w:val="099A0675"/>
    <w:rsid w:val="09A33F5B"/>
    <w:rsid w:val="09A53F39"/>
    <w:rsid w:val="09A60E13"/>
    <w:rsid w:val="09A82D92"/>
    <w:rsid w:val="09AB2883"/>
    <w:rsid w:val="09C35E1E"/>
    <w:rsid w:val="09CD0A4B"/>
    <w:rsid w:val="09D206F0"/>
    <w:rsid w:val="09D27E0F"/>
    <w:rsid w:val="0A287A2F"/>
    <w:rsid w:val="0A321AC2"/>
    <w:rsid w:val="0A343D4E"/>
    <w:rsid w:val="0A344626"/>
    <w:rsid w:val="0A357AEC"/>
    <w:rsid w:val="0A3E6D2E"/>
    <w:rsid w:val="0A402FCB"/>
    <w:rsid w:val="0A4232E4"/>
    <w:rsid w:val="0A4F145F"/>
    <w:rsid w:val="0A5F6988"/>
    <w:rsid w:val="0A8455AD"/>
    <w:rsid w:val="0A8729A8"/>
    <w:rsid w:val="0ABA2D7D"/>
    <w:rsid w:val="0AD13A85"/>
    <w:rsid w:val="0AE0655C"/>
    <w:rsid w:val="0AF65D7F"/>
    <w:rsid w:val="0B091954"/>
    <w:rsid w:val="0B195776"/>
    <w:rsid w:val="0B1A7CC0"/>
    <w:rsid w:val="0B224DC6"/>
    <w:rsid w:val="0B34773E"/>
    <w:rsid w:val="0B3B7D65"/>
    <w:rsid w:val="0B434C20"/>
    <w:rsid w:val="0B5F0822"/>
    <w:rsid w:val="0B6035C4"/>
    <w:rsid w:val="0B637D77"/>
    <w:rsid w:val="0B6B6A4F"/>
    <w:rsid w:val="0B7006C4"/>
    <w:rsid w:val="0B726646"/>
    <w:rsid w:val="0B7606E8"/>
    <w:rsid w:val="0B8B471A"/>
    <w:rsid w:val="0B924545"/>
    <w:rsid w:val="0BAC324F"/>
    <w:rsid w:val="0BB40DF1"/>
    <w:rsid w:val="0BC11EE9"/>
    <w:rsid w:val="0BCC62FA"/>
    <w:rsid w:val="0BF16C73"/>
    <w:rsid w:val="0BF72F1E"/>
    <w:rsid w:val="0C0A7D34"/>
    <w:rsid w:val="0C230DF6"/>
    <w:rsid w:val="0C3152C1"/>
    <w:rsid w:val="0C3957A5"/>
    <w:rsid w:val="0C4E6409"/>
    <w:rsid w:val="0C507E2F"/>
    <w:rsid w:val="0C600D66"/>
    <w:rsid w:val="0C626DA7"/>
    <w:rsid w:val="0C6876AE"/>
    <w:rsid w:val="0C71390F"/>
    <w:rsid w:val="0C720EC8"/>
    <w:rsid w:val="0C820A5E"/>
    <w:rsid w:val="0C880C59"/>
    <w:rsid w:val="0C942042"/>
    <w:rsid w:val="0C9D50DC"/>
    <w:rsid w:val="0CA5271D"/>
    <w:rsid w:val="0CAC4D10"/>
    <w:rsid w:val="0CC53C5B"/>
    <w:rsid w:val="0CC72121"/>
    <w:rsid w:val="0CEE5A21"/>
    <w:rsid w:val="0D05268E"/>
    <w:rsid w:val="0D0646E7"/>
    <w:rsid w:val="0D0C38CA"/>
    <w:rsid w:val="0D206810"/>
    <w:rsid w:val="0D4861FD"/>
    <w:rsid w:val="0D735465"/>
    <w:rsid w:val="0D9D0734"/>
    <w:rsid w:val="0DC577E0"/>
    <w:rsid w:val="0DD30978"/>
    <w:rsid w:val="0DDC6319"/>
    <w:rsid w:val="0DE1181F"/>
    <w:rsid w:val="0DFA5B87"/>
    <w:rsid w:val="0DFE4F67"/>
    <w:rsid w:val="0E0C0D4C"/>
    <w:rsid w:val="0E115DA1"/>
    <w:rsid w:val="0E1409F6"/>
    <w:rsid w:val="0E162D6D"/>
    <w:rsid w:val="0E325320"/>
    <w:rsid w:val="0E460DCC"/>
    <w:rsid w:val="0E4B63E2"/>
    <w:rsid w:val="0E541CA2"/>
    <w:rsid w:val="0E576B35"/>
    <w:rsid w:val="0E594756"/>
    <w:rsid w:val="0E95596D"/>
    <w:rsid w:val="0EAE6205"/>
    <w:rsid w:val="0EAE6579"/>
    <w:rsid w:val="0EAF71BF"/>
    <w:rsid w:val="0ECE6257"/>
    <w:rsid w:val="0EE24651"/>
    <w:rsid w:val="0EE4129D"/>
    <w:rsid w:val="0F171032"/>
    <w:rsid w:val="0F1D7D7F"/>
    <w:rsid w:val="0F335E69"/>
    <w:rsid w:val="0F372614"/>
    <w:rsid w:val="0F3D59C9"/>
    <w:rsid w:val="0F515A6B"/>
    <w:rsid w:val="0F516D5A"/>
    <w:rsid w:val="0F565B36"/>
    <w:rsid w:val="0F684933"/>
    <w:rsid w:val="0F6E2388"/>
    <w:rsid w:val="0F821E7D"/>
    <w:rsid w:val="0FB3423F"/>
    <w:rsid w:val="0FC91CB4"/>
    <w:rsid w:val="0FCA42ED"/>
    <w:rsid w:val="0FDB5F4F"/>
    <w:rsid w:val="0FE7592C"/>
    <w:rsid w:val="0FFC17A5"/>
    <w:rsid w:val="0FFD20F0"/>
    <w:rsid w:val="10142F30"/>
    <w:rsid w:val="10352857"/>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131439"/>
    <w:rsid w:val="111D7BC2"/>
    <w:rsid w:val="11250F40"/>
    <w:rsid w:val="113329E7"/>
    <w:rsid w:val="113F294C"/>
    <w:rsid w:val="11437C85"/>
    <w:rsid w:val="11575085"/>
    <w:rsid w:val="116021A5"/>
    <w:rsid w:val="1166372C"/>
    <w:rsid w:val="11700D10"/>
    <w:rsid w:val="1178125A"/>
    <w:rsid w:val="118441E0"/>
    <w:rsid w:val="1196056D"/>
    <w:rsid w:val="11B85B3D"/>
    <w:rsid w:val="11BC0FBF"/>
    <w:rsid w:val="11CD20A0"/>
    <w:rsid w:val="11D34654"/>
    <w:rsid w:val="11E61731"/>
    <w:rsid w:val="12010480"/>
    <w:rsid w:val="12062D4C"/>
    <w:rsid w:val="120E707F"/>
    <w:rsid w:val="121D0051"/>
    <w:rsid w:val="12413D84"/>
    <w:rsid w:val="126D16E4"/>
    <w:rsid w:val="127A7D1C"/>
    <w:rsid w:val="12836D8B"/>
    <w:rsid w:val="12993BC0"/>
    <w:rsid w:val="12AB0349"/>
    <w:rsid w:val="12B66520"/>
    <w:rsid w:val="12CD57F1"/>
    <w:rsid w:val="12CE5941"/>
    <w:rsid w:val="12CE7AFA"/>
    <w:rsid w:val="12D67466"/>
    <w:rsid w:val="12DA08F3"/>
    <w:rsid w:val="13036052"/>
    <w:rsid w:val="13272A5D"/>
    <w:rsid w:val="132A2A6A"/>
    <w:rsid w:val="133B6A25"/>
    <w:rsid w:val="133C40E3"/>
    <w:rsid w:val="133F4BFF"/>
    <w:rsid w:val="13410069"/>
    <w:rsid w:val="13477178"/>
    <w:rsid w:val="13493108"/>
    <w:rsid w:val="134A4EBA"/>
    <w:rsid w:val="13713CFE"/>
    <w:rsid w:val="13733928"/>
    <w:rsid w:val="13741F37"/>
    <w:rsid w:val="13857CA0"/>
    <w:rsid w:val="138F10FE"/>
    <w:rsid w:val="13920D68"/>
    <w:rsid w:val="139C16C9"/>
    <w:rsid w:val="13A401D6"/>
    <w:rsid w:val="13A5238E"/>
    <w:rsid w:val="13B63CE1"/>
    <w:rsid w:val="13BC6684"/>
    <w:rsid w:val="13C72B3A"/>
    <w:rsid w:val="13D12EE6"/>
    <w:rsid w:val="13DF575E"/>
    <w:rsid w:val="13E470BD"/>
    <w:rsid w:val="13EE3A98"/>
    <w:rsid w:val="13F3280A"/>
    <w:rsid w:val="140D6614"/>
    <w:rsid w:val="142123F7"/>
    <w:rsid w:val="142A11D8"/>
    <w:rsid w:val="144B544C"/>
    <w:rsid w:val="145B7B45"/>
    <w:rsid w:val="14627FE2"/>
    <w:rsid w:val="14717443"/>
    <w:rsid w:val="14825F8A"/>
    <w:rsid w:val="148C70AD"/>
    <w:rsid w:val="148D52E3"/>
    <w:rsid w:val="14992B90"/>
    <w:rsid w:val="149F10C7"/>
    <w:rsid w:val="14AF1856"/>
    <w:rsid w:val="14AF19A3"/>
    <w:rsid w:val="14B22D17"/>
    <w:rsid w:val="14B53957"/>
    <w:rsid w:val="14BF5DB6"/>
    <w:rsid w:val="14C53ECE"/>
    <w:rsid w:val="14CF6CB0"/>
    <w:rsid w:val="14D10E8D"/>
    <w:rsid w:val="14DB04C0"/>
    <w:rsid w:val="14DC5FE6"/>
    <w:rsid w:val="14E002E6"/>
    <w:rsid w:val="14FC36BD"/>
    <w:rsid w:val="14FF5EA7"/>
    <w:rsid w:val="15127C5A"/>
    <w:rsid w:val="15192D96"/>
    <w:rsid w:val="151E3A0F"/>
    <w:rsid w:val="152534E9"/>
    <w:rsid w:val="152A4FA3"/>
    <w:rsid w:val="153A36AA"/>
    <w:rsid w:val="15477903"/>
    <w:rsid w:val="1557566D"/>
    <w:rsid w:val="1565422D"/>
    <w:rsid w:val="156E0971"/>
    <w:rsid w:val="15785B3E"/>
    <w:rsid w:val="15811F1B"/>
    <w:rsid w:val="15A30135"/>
    <w:rsid w:val="15A34015"/>
    <w:rsid w:val="15A703A2"/>
    <w:rsid w:val="15BB487B"/>
    <w:rsid w:val="15CE086D"/>
    <w:rsid w:val="15E2236F"/>
    <w:rsid w:val="16005D04"/>
    <w:rsid w:val="161517B0"/>
    <w:rsid w:val="161D09ED"/>
    <w:rsid w:val="162323A3"/>
    <w:rsid w:val="162F30B1"/>
    <w:rsid w:val="1650762F"/>
    <w:rsid w:val="16510F12"/>
    <w:rsid w:val="166448F9"/>
    <w:rsid w:val="1677211D"/>
    <w:rsid w:val="16774218"/>
    <w:rsid w:val="167954F9"/>
    <w:rsid w:val="169311EC"/>
    <w:rsid w:val="169C5A2D"/>
    <w:rsid w:val="169F7296"/>
    <w:rsid w:val="16A060BA"/>
    <w:rsid w:val="16A57EAF"/>
    <w:rsid w:val="16A918E4"/>
    <w:rsid w:val="16AC6E3F"/>
    <w:rsid w:val="16AE652A"/>
    <w:rsid w:val="16B56AEF"/>
    <w:rsid w:val="16B74615"/>
    <w:rsid w:val="16C872D5"/>
    <w:rsid w:val="16D54FA3"/>
    <w:rsid w:val="16D84D9F"/>
    <w:rsid w:val="16E94D3E"/>
    <w:rsid w:val="16EB279A"/>
    <w:rsid w:val="170D06E0"/>
    <w:rsid w:val="17233E03"/>
    <w:rsid w:val="17263548"/>
    <w:rsid w:val="17332185"/>
    <w:rsid w:val="17475951"/>
    <w:rsid w:val="175B7696"/>
    <w:rsid w:val="175C542D"/>
    <w:rsid w:val="175D0ED4"/>
    <w:rsid w:val="1767428D"/>
    <w:rsid w:val="17793FC0"/>
    <w:rsid w:val="179D33A9"/>
    <w:rsid w:val="179F2E61"/>
    <w:rsid w:val="17A06264"/>
    <w:rsid w:val="17BE19D3"/>
    <w:rsid w:val="17C227C0"/>
    <w:rsid w:val="17D66D7C"/>
    <w:rsid w:val="17DE0EDF"/>
    <w:rsid w:val="17EE5BFF"/>
    <w:rsid w:val="17FA6EAF"/>
    <w:rsid w:val="18097740"/>
    <w:rsid w:val="18136133"/>
    <w:rsid w:val="184055B9"/>
    <w:rsid w:val="184A2082"/>
    <w:rsid w:val="185A16FC"/>
    <w:rsid w:val="185D3C42"/>
    <w:rsid w:val="185F38AF"/>
    <w:rsid w:val="18826EA4"/>
    <w:rsid w:val="18864631"/>
    <w:rsid w:val="188F0211"/>
    <w:rsid w:val="18AD1BEB"/>
    <w:rsid w:val="18B3004A"/>
    <w:rsid w:val="18B31B6D"/>
    <w:rsid w:val="18B83CF9"/>
    <w:rsid w:val="18B96080"/>
    <w:rsid w:val="18CB43A7"/>
    <w:rsid w:val="18CE20EA"/>
    <w:rsid w:val="18DB2CD8"/>
    <w:rsid w:val="18F67868"/>
    <w:rsid w:val="18FD7122"/>
    <w:rsid w:val="190B2D88"/>
    <w:rsid w:val="190E6B63"/>
    <w:rsid w:val="19123928"/>
    <w:rsid w:val="19153926"/>
    <w:rsid w:val="19194264"/>
    <w:rsid w:val="19283048"/>
    <w:rsid w:val="192B3098"/>
    <w:rsid w:val="19420786"/>
    <w:rsid w:val="19427EC0"/>
    <w:rsid w:val="195711D7"/>
    <w:rsid w:val="195D2A3F"/>
    <w:rsid w:val="198310E9"/>
    <w:rsid w:val="198D747A"/>
    <w:rsid w:val="19A15638"/>
    <w:rsid w:val="19A74DFE"/>
    <w:rsid w:val="19A753EF"/>
    <w:rsid w:val="19B117EF"/>
    <w:rsid w:val="1A125525"/>
    <w:rsid w:val="1A5F4342"/>
    <w:rsid w:val="1A616E2C"/>
    <w:rsid w:val="1A715D02"/>
    <w:rsid w:val="1A7F369B"/>
    <w:rsid w:val="1A8C5D82"/>
    <w:rsid w:val="1A994988"/>
    <w:rsid w:val="1A9B546C"/>
    <w:rsid w:val="1A9E141F"/>
    <w:rsid w:val="1AA3511F"/>
    <w:rsid w:val="1AAE3B54"/>
    <w:rsid w:val="1AC10987"/>
    <w:rsid w:val="1AD81468"/>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DA6D68"/>
    <w:rsid w:val="1BF14125"/>
    <w:rsid w:val="1C002CEE"/>
    <w:rsid w:val="1C180F75"/>
    <w:rsid w:val="1C27223D"/>
    <w:rsid w:val="1C3861F8"/>
    <w:rsid w:val="1C4032FE"/>
    <w:rsid w:val="1C424981"/>
    <w:rsid w:val="1C4E77C9"/>
    <w:rsid w:val="1C555978"/>
    <w:rsid w:val="1C6554A1"/>
    <w:rsid w:val="1C705992"/>
    <w:rsid w:val="1C7971B7"/>
    <w:rsid w:val="1C8036FB"/>
    <w:rsid w:val="1C917D91"/>
    <w:rsid w:val="1CAB1D11"/>
    <w:rsid w:val="1CAB2820"/>
    <w:rsid w:val="1CBA4E5F"/>
    <w:rsid w:val="1CD402EC"/>
    <w:rsid w:val="1CDF6F49"/>
    <w:rsid w:val="1CED16EF"/>
    <w:rsid w:val="1CF02333"/>
    <w:rsid w:val="1D036806"/>
    <w:rsid w:val="1D047E88"/>
    <w:rsid w:val="1D0C33A2"/>
    <w:rsid w:val="1D0C4F8F"/>
    <w:rsid w:val="1D113E6E"/>
    <w:rsid w:val="1D114E5E"/>
    <w:rsid w:val="1D1F0050"/>
    <w:rsid w:val="1D214EDE"/>
    <w:rsid w:val="1D2222DC"/>
    <w:rsid w:val="1D3544E5"/>
    <w:rsid w:val="1D5144F7"/>
    <w:rsid w:val="1D5B3CDE"/>
    <w:rsid w:val="1D5D0701"/>
    <w:rsid w:val="1D6E2950"/>
    <w:rsid w:val="1D79298C"/>
    <w:rsid w:val="1D98209B"/>
    <w:rsid w:val="1DA23746"/>
    <w:rsid w:val="1DAA14B9"/>
    <w:rsid w:val="1DD04513"/>
    <w:rsid w:val="1DD8524D"/>
    <w:rsid w:val="1DDD2BCB"/>
    <w:rsid w:val="1E0345E3"/>
    <w:rsid w:val="1E04324C"/>
    <w:rsid w:val="1E1B7B7F"/>
    <w:rsid w:val="1E443370"/>
    <w:rsid w:val="1E546BED"/>
    <w:rsid w:val="1E656063"/>
    <w:rsid w:val="1E6B06A5"/>
    <w:rsid w:val="1E7554E1"/>
    <w:rsid w:val="1E7F7D9E"/>
    <w:rsid w:val="1E840DA4"/>
    <w:rsid w:val="1E9B2A6E"/>
    <w:rsid w:val="1EA00084"/>
    <w:rsid w:val="1EA5444C"/>
    <w:rsid w:val="1EA5569B"/>
    <w:rsid w:val="1EB350EF"/>
    <w:rsid w:val="1EB95AD0"/>
    <w:rsid w:val="1EC21749"/>
    <w:rsid w:val="1EEB7C4E"/>
    <w:rsid w:val="1EFE0DA3"/>
    <w:rsid w:val="1F072441"/>
    <w:rsid w:val="1F171B83"/>
    <w:rsid w:val="1F2D4691"/>
    <w:rsid w:val="1F2D491A"/>
    <w:rsid w:val="1F354D1B"/>
    <w:rsid w:val="1F3F789D"/>
    <w:rsid w:val="1F4E5D32"/>
    <w:rsid w:val="1F503858"/>
    <w:rsid w:val="1F66355F"/>
    <w:rsid w:val="1F6B41EE"/>
    <w:rsid w:val="1F7369C7"/>
    <w:rsid w:val="1F9113A9"/>
    <w:rsid w:val="1F94547B"/>
    <w:rsid w:val="1FA47700"/>
    <w:rsid w:val="1FAF308C"/>
    <w:rsid w:val="1FB64FF9"/>
    <w:rsid w:val="1FC11109"/>
    <w:rsid w:val="1FDA3223"/>
    <w:rsid w:val="1FDE2C12"/>
    <w:rsid w:val="1FEF08C8"/>
    <w:rsid w:val="1FF72E6A"/>
    <w:rsid w:val="1FFB6F12"/>
    <w:rsid w:val="200A3A07"/>
    <w:rsid w:val="201B3ED4"/>
    <w:rsid w:val="20230F6D"/>
    <w:rsid w:val="20310B02"/>
    <w:rsid w:val="20344F28"/>
    <w:rsid w:val="206F0406"/>
    <w:rsid w:val="207417C9"/>
    <w:rsid w:val="20784063"/>
    <w:rsid w:val="207E346A"/>
    <w:rsid w:val="208E12C3"/>
    <w:rsid w:val="209502A3"/>
    <w:rsid w:val="20EA3839"/>
    <w:rsid w:val="2100305C"/>
    <w:rsid w:val="210F579E"/>
    <w:rsid w:val="21163FF0"/>
    <w:rsid w:val="211B39F2"/>
    <w:rsid w:val="21224762"/>
    <w:rsid w:val="212550B5"/>
    <w:rsid w:val="21592B62"/>
    <w:rsid w:val="2172049B"/>
    <w:rsid w:val="21747CD2"/>
    <w:rsid w:val="219263AA"/>
    <w:rsid w:val="219E5782"/>
    <w:rsid w:val="21A41C3A"/>
    <w:rsid w:val="21C1459A"/>
    <w:rsid w:val="21D10545"/>
    <w:rsid w:val="21E72B0B"/>
    <w:rsid w:val="21E76A4A"/>
    <w:rsid w:val="21EE607E"/>
    <w:rsid w:val="21F229A5"/>
    <w:rsid w:val="21F66F4C"/>
    <w:rsid w:val="221F2D96"/>
    <w:rsid w:val="22246DB1"/>
    <w:rsid w:val="22440067"/>
    <w:rsid w:val="225A6017"/>
    <w:rsid w:val="22631AF5"/>
    <w:rsid w:val="22655D1C"/>
    <w:rsid w:val="22745AB0"/>
    <w:rsid w:val="227A5532"/>
    <w:rsid w:val="22837AA1"/>
    <w:rsid w:val="22843A03"/>
    <w:rsid w:val="228E5C2C"/>
    <w:rsid w:val="229C0B63"/>
    <w:rsid w:val="22A338AB"/>
    <w:rsid w:val="22AD37A2"/>
    <w:rsid w:val="22AE0FC2"/>
    <w:rsid w:val="22B31E8A"/>
    <w:rsid w:val="22C05285"/>
    <w:rsid w:val="22C5630B"/>
    <w:rsid w:val="22C72083"/>
    <w:rsid w:val="22C735BD"/>
    <w:rsid w:val="22CF0F38"/>
    <w:rsid w:val="22D36C7A"/>
    <w:rsid w:val="22D729A8"/>
    <w:rsid w:val="22D97444"/>
    <w:rsid w:val="22F06957"/>
    <w:rsid w:val="23057681"/>
    <w:rsid w:val="23122833"/>
    <w:rsid w:val="23137077"/>
    <w:rsid w:val="231D4917"/>
    <w:rsid w:val="23223458"/>
    <w:rsid w:val="23225D32"/>
    <w:rsid w:val="23357BE6"/>
    <w:rsid w:val="23360B93"/>
    <w:rsid w:val="2342574E"/>
    <w:rsid w:val="2355143D"/>
    <w:rsid w:val="236D1BFA"/>
    <w:rsid w:val="236D331D"/>
    <w:rsid w:val="2377331D"/>
    <w:rsid w:val="237D43DE"/>
    <w:rsid w:val="23940114"/>
    <w:rsid w:val="239A1546"/>
    <w:rsid w:val="23AE4FF1"/>
    <w:rsid w:val="23B57016"/>
    <w:rsid w:val="23C16AD3"/>
    <w:rsid w:val="23C4797E"/>
    <w:rsid w:val="23CD5478"/>
    <w:rsid w:val="23D4764B"/>
    <w:rsid w:val="23E66539"/>
    <w:rsid w:val="23EC3718"/>
    <w:rsid w:val="23EE304F"/>
    <w:rsid w:val="23FD7010"/>
    <w:rsid w:val="240243FC"/>
    <w:rsid w:val="24044EF2"/>
    <w:rsid w:val="2407139D"/>
    <w:rsid w:val="240B04F4"/>
    <w:rsid w:val="240E369A"/>
    <w:rsid w:val="241C1F5B"/>
    <w:rsid w:val="241E2177"/>
    <w:rsid w:val="242A0646"/>
    <w:rsid w:val="242B2542"/>
    <w:rsid w:val="2435301D"/>
    <w:rsid w:val="243A0633"/>
    <w:rsid w:val="243D6E1A"/>
    <w:rsid w:val="24453D05"/>
    <w:rsid w:val="244A2F6C"/>
    <w:rsid w:val="24607F91"/>
    <w:rsid w:val="246C581B"/>
    <w:rsid w:val="247C52A2"/>
    <w:rsid w:val="248A3369"/>
    <w:rsid w:val="24942917"/>
    <w:rsid w:val="24AE34FB"/>
    <w:rsid w:val="24CC106B"/>
    <w:rsid w:val="24D00598"/>
    <w:rsid w:val="24D34D10"/>
    <w:rsid w:val="24D377A4"/>
    <w:rsid w:val="24D725E9"/>
    <w:rsid w:val="24EC31CF"/>
    <w:rsid w:val="25045F70"/>
    <w:rsid w:val="250474F1"/>
    <w:rsid w:val="25056E93"/>
    <w:rsid w:val="25092EBA"/>
    <w:rsid w:val="250E5D48"/>
    <w:rsid w:val="25241020"/>
    <w:rsid w:val="25243DC8"/>
    <w:rsid w:val="25302410"/>
    <w:rsid w:val="255B6AB3"/>
    <w:rsid w:val="25647C5C"/>
    <w:rsid w:val="257572C3"/>
    <w:rsid w:val="25790E85"/>
    <w:rsid w:val="25823C3E"/>
    <w:rsid w:val="25856F37"/>
    <w:rsid w:val="25965D3D"/>
    <w:rsid w:val="25972C60"/>
    <w:rsid w:val="25974C6F"/>
    <w:rsid w:val="259A75DB"/>
    <w:rsid w:val="259D1676"/>
    <w:rsid w:val="25A353EB"/>
    <w:rsid w:val="25A93CC2"/>
    <w:rsid w:val="25B111B0"/>
    <w:rsid w:val="25B87B65"/>
    <w:rsid w:val="25CB78C3"/>
    <w:rsid w:val="25D54390"/>
    <w:rsid w:val="25D6438C"/>
    <w:rsid w:val="25E60A73"/>
    <w:rsid w:val="261879A7"/>
    <w:rsid w:val="261A071C"/>
    <w:rsid w:val="26395046"/>
    <w:rsid w:val="264B0BA4"/>
    <w:rsid w:val="264F4111"/>
    <w:rsid w:val="265E0AEC"/>
    <w:rsid w:val="2661459D"/>
    <w:rsid w:val="26865DB2"/>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232743"/>
    <w:rsid w:val="27374912"/>
    <w:rsid w:val="274E2228"/>
    <w:rsid w:val="27517A93"/>
    <w:rsid w:val="27565784"/>
    <w:rsid w:val="275E53AF"/>
    <w:rsid w:val="27606603"/>
    <w:rsid w:val="276658E8"/>
    <w:rsid w:val="276F6846"/>
    <w:rsid w:val="277E30D2"/>
    <w:rsid w:val="27803F2A"/>
    <w:rsid w:val="278A18D2"/>
    <w:rsid w:val="27983FEE"/>
    <w:rsid w:val="27A34941"/>
    <w:rsid w:val="27A97FAA"/>
    <w:rsid w:val="27EE3A7B"/>
    <w:rsid w:val="27FA25B3"/>
    <w:rsid w:val="28033B5E"/>
    <w:rsid w:val="28100029"/>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8DC7F0B"/>
    <w:rsid w:val="28E60D8A"/>
    <w:rsid w:val="29020C46"/>
    <w:rsid w:val="290240C7"/>
    <w:rsid w:val="291713AF"/>
    <w:rsid w:val="291A2B97"/>
    <w:rsid w:val="29274EE0"/>
    <w:rsid w:val="294F692F"/>
    <w:rsid w:val="295029E3"/>
    <w:rsid w:val="29543A59"/>
    <w:rsid w:val="29670ED3"/>
    <w:rsid w:val="2969197F"/>
    <w:rsid w:val="29746E87"/>
    <w:rsid w:val="297939AC"/>
    <w:rsid w:val="297C03C2"/>
    <w:rsid w:val="299573AB"/>
    <w:rsid w:val="29B05804"/>
    <w:rsid w:val="29BD1AEA"/>
    <w:rsid w:val="29BE5BD0"/>
    <w:rsid w:val="29C01572"/>
    <w:rsid w:val="29C25353"/>
    <w:rsid w:val="29C966E1"/>
    <w:rsid w:val="29CA4207"/>
    <w:rsid w:val="29D82DC8"/>
    <w:rsid w:val="29DA08EE"/>
    <w:rsid w:val="29DB6414"/>
    <w:rsid w:val="29E74CE2"/>
    <w:rsid w:val="2A133E00"/>
    <w:rsid w:val="2A236931"/>
    <w:rsid w:val="2A241B69"/>
    <w:rsid w:val="2A2B114A"/>
    <w:rsid w:val="2A306A36"/>
    <w:rsid w:val="2A457300"/>
    <w:rsid w:val="2A5372C6"/>
    <w:rsid w:val="2A5A558B"/>
    <w:rsid w:val="2A5B03D8"/>
    <w:rsid w:val="2A6F6D07"/>
    <w:rsid w:val="2A852253"/>
    <w:rsid w:val="2A882500"/>
    <w:rsid w:val="2AA35184"/>
    <w:rsid w:val="2AAB228B"/>
    <w:rsid w:val="2AAB4E76"/>
    <w:rsid w:val="2AB63ABC"/>
    <w:rsid w:val="2AB63D0A"/>
    <w:rsid w:val="2AC31382"/>
    <w:rsid w:val="2AD0584D"/>
    <w:rsid w:val="2AD549F8"/>
    <w:rsid w:val="2ADD6D4E"/>
    <w:rsid w:val="2AEA74E5"/>
    <w:rsid w:val="2AF91248"/>
    <w:rsid w:val="2AFB4FC0"/>
    <w:rsid w:val="2B003D00"/>
    <w:rsid w:val="2B074D5E"/>
    <w:rsid w:val="2B0A6991"/>
    <w:rsid w:val="2B100BA9"/>
    <w:rsid w:val="2B1B5825"/>
    <w:rsid w:val="2B1E3AFC"/>
    <w:rsid w:val="2B303E8B"/>
    <w:rsid w:val="2B400742"/>
    <w:rsid w:val="2B4A5600"/>
    <w:rsid w:val="2B574FD9"/>
    <w:rsid w:val="2B642979"/>
    <w:rsid w:val="2B681F2A"/>
    <w:rsid w:val="2B7408CF"/>
    <w:rsid w:val="2B7A2497"/>
    <w:rsid w:val="2B88534B"/>
    <w:rsid w:val="2B8D373E"/>
    <w:rsid w:val="2B9E4F56"/>
    <w:rsid w:val="2BD96984"/>
    <w:rsid w:val="2BDB5A88"/>
    <w:rsid w:val="2BDB6BA0"/>
    <w:rsid w:val="2BE91C37"/>
    <w:rsid w:val="2BEC3F72"/>
    <w:rsid w:val="2C083572"/>
    <w:rsid w:val="2C185F94"/>
    <w:rsid w:val="2C1F1AC4"/>
    <w:rsid w:val="2C2945BA"/>
    <w:rsid w:val="2C2E71FC"/>
    <w:rsid w:val="2C3167C0"/>
    <w:rsid w:val="2C3F3A41"/>
    <w:rsid w:val="2C4431C4"/>
    <w:rsid w:val="2C55747C"/>
    <w:rsid w:val="2C5D1363"/>
    <w:rsid w:val="2C62059F"/>
    <w:rsid w:val="2C6634FA"/>
    <w:rsid w:val="2C7566AC"/>
    <w:rsid w:val="2C7843EE"/>
    <w:rsid w:val="2C9C00DD"/>
    <w:rsid w:val="2CA25191"/>
    <w:rsid w:val="2CAC022C"/>
    <w:rsid w:val="2CC11807"/>
    <w:rsid w:val="2CC66CD6"/>
    <w:rsid w:val="2CE327BC"/>
    <w:rsid w:val="2CF16074"/>
    <w:rsid w:val="2CF81D1B"/>
    <w:rsid w:val="2D3F2453"/>
    <w:rsid w:val="2D4743E0"/>
    <w:rsid w:val="2D536CB5"/>
    <w:rsid w:val="2D6F134E"/>
    <w:rsid w:val="2D835174"/>
    <w:rsid w:val="2D9331F9"/>
    <w:rsid w:val="2D99461C"/>
    <w:rsid w:val="2DA541FC"/>
    <w:rsid w:val="2DD90B7B"/>
    <w:rsid w:val="2DD92C6B"/>
    <w:rsid w:val="2DDD3FC1"/>
    <w:rsid w:val="2DE531B8"/>
    <w:rsid w:val="2DEA131C"/>
    <w:rsid w:val="2DF701D8"/>
    <w:rsid w:val="2DF970A1"/>
    <w:rsid w:val="2DFC185E"/>
    <w:rsid w:val="2E0665A9"/>
    <w:rsid w:val="2E085834"/>
    <w:rsid w:val="2E1034F8"/>
    <w:rsid w:val="2E112405"/>
    <w:rsid w:val="2E120D8E"/>
    <w:rsid w:val="2E310CF9"/>
    <w:rsid w:val="2E443652"/>
    <w:rsid w:val="2E505773"/>
    <w:rsid w:val="2E586286"/>
    <w:rsid w:val="2E5C0A3D"/>
    <w:rsid w:val="2E742F70"/>
    <w:rsid w:val="2E9077CD"/>
    <w:rsid w:val="2E9574DA"/>
    <w:rsid w:val="2E9A689E"/>
    <w:rsid w:val="2ED61D9E"/>
    <w:rsid w:val="2EDC2A13"/>
    <w:rsid w:val="2EFD7DB9"/>
    <w:rsid w:val="2F1A081D"/>
    <w:rsid w:val="2F1C72B3"/>
    <w:rsid w:val="2F1E1306"/>
    <w:rsid w:val="2F1E3DC0"/>
    <w:rsid w:val="2F225B2E"/>
    <w:rsid w:val="2F2D326E"/>
    <w:rsid w:val="2F3112DE"/>
    <w:rsid w:val="2F3B6922"/>
    <w:rsid w:val="2F3D7B25"/>
    <w:rsid w:val="2F480119"/>
    <w:rsid w:val="2F506C6D"/>
    <w:rsid w:val="2F512253"/>
    <w:rsid w:val="2F51291F"/>
    <w:rsid w:val="2F55758A"/>
    <w:rsid w:val="2F68074A"/>
    <w:rsid w:val="2F7F15AE"/>
    <w:rsid w:val="2F912594"/>
    <w:rsid w:val="2FA54796"/>
    <w:rsid w:val="2FA674E2"/>
    <w:rsid w:val="2FD271D9"/>
    <w:rsid w:val="2FEE6EA1"/>
    <w:rsid w:val="2FFE7D49"/>
    <w:rsid w:val="3002294D"/>
    <w:rsid w:val="3011153D"/>
    <w:rsid w:val="30142680"/>
    <w:rsid w:val="30183F1E"/>
    <w:rsid w:val="302567CF"/>
    <w:rsid w:val="302A11B1"/>
    <w:rsid w:val="302A5C42"/>
    <w:rsid w:val="30340091"/>
    <w:rsid w:val="30534F57"/>
    <w:rsid w:val="305D4027"/>
    <w:rsid w:val="30662043"/>
    <w:rsid w:val="306D3B35"/>
    <w:rsid w:val="307153DD"/>
    <w:rsid w:val="3083092C"/>
    <w:rsid w:val="30930D2E"/>
    <w:rsid w:val="30B8125D"/>
    <w:rsid w:val="30B87D63"/>
    <w:rsid w:val="30BF439A"/>
    <w:rsid w:val="30CF6A37"/>
    <w:rsid w:val="30D250CF"/>
    <w:rsid w:val="30D3355A"/>
    <w:rsid w:val="30E7260A"/>
    <w:rsid w:val="30ED7159"/>
    <w:rsid w:val="31002970"/>
    <w:rsid w:val="311016AD"/>
    <w:rsid w:val="31220DA0"/>
    <w:rsid w:val="31253A1B"/>
    <w:rsid w:val="312D39F9"/>
    <w:rsid w:val="3136622A"/>
    <w:rsid w:val="31393501"/>
    <w:rsid w:val="3139422E"/>
    <w:rsid w:val="31496359"/>
    <w:rsid w:val="314D19A6"/>
    <w:rsid w:val="31580A38"/>
    <w:rsid w:val="316177A4"/>
    <w:rsid w:val="31700E4B"/>
    <w:rsid w:val="3172683C"/>
    <w:rsid w:val="318F773E"/>
    <w:rsid w:val="31A359FC"/>
    <w:rsid w:val="31A67308"/>
    <w:rsid w:val="31AD0D61"/>
    <w:rsid w:val="31AF440F"/>
    <w:rsid w:val="31C42968"/>
    <w:rsid w:val="31CD297B"/>
    <w:rsid w:val="31CD73BD"/>
    <w:rsid w:val="31D245A1"/>
    <w:rsid w:val="31D66571"/>
    <w:rsid w:val="31DB4220"/>
    <w:rsid w:val="31DC56CD"/>
    <w:rsid w:val="31E63B94"/>
    <w:rsid w:val="31F27AF7"/>
    <w:rsid w:val="31FA74CA"/>
    <w:rsid w:val="32176602"/>
    <w:rsid w:val="322A7699"/>
    <w:rsid w:val="322B25C6"/>
    <w:rsid w:val="32422E70"/>
    <w:rsid w:val="325E56C6"/>
    <w:rsid w:val="3275698A"/>
    <w:rsid w:val="327C0679"/>
    <w:rsid w:val="32870EE7"/>
    <w:rsid w:val="32943B86"/>
    <w:rsid w:val="32A93829"/>
    <w:rsid w:val="32B943EC"/>
    <w:rsid w:val="32B9519B"/>
    <w:rsid w:val="32BB6DE3"/>
    <w:rsid w:val="32D22AAA"/>
    <w:rsid w:val="32D3237F"/>
    <w:rsid w:val="32DC63A0"/>
    <w:rsid w:val="32E429C1"/>
    <w:rsid w:val="32F56799"/>
    <w:rsid w:val="330503EE"/>
    <w:rsid w:val="33274478"/>
    <w:rsid w:val="333948D8"/>
    <w:rsid w:val="333E1EEE"/>
    <w:rsid w:val="334045BE"/>
    <w:rsid w:val="334A3B2A"/>
    <w:rsid w:val="334E5EA9"/>
    <w:rsid w:val="335133F7"/>
    <w:rsid w:val="335D0B51"/>
    <w:rsid w:val="3365592E"/>
    <w:rsid w:val="336A31F3"/>
    <w:rsid w:val="336F5D12"/>
    <w:rsid w:val="336F6533"/>
    <w:rsid w:val="337E5E2F"/>
    <w:rsid w:val="3384610D"/>
    <w:rsid w:val="33886F33"/>
    <w:rsid w:val="33AA5979"/>
    <w:rsid w:val="33C03E90"/>
    <w:rsid w:val="33C96649"/>
    <w:rsid w:val="33CC3D88"/>
    <w:rsid w:val="33D939C5"/>
    <w:rsid w:val="33DD0306"/>
    <w:rsid w:val="33FD3B57"/>
    <w:rsid w:val="33FD722F"/>
    <w:rsid w:val="3400362D"/>
    <w:rsid w:val="340B09C5"/>
    <w:rsid w:val="341E4CAB"/>
    <w:rsid w:val="34205B4A"/>
    <w:rsid w:val="342235BE"/>
    <w:rsid w:val="34346E4D"/>
    <w:rsid w:val="34584EE2"/>
    <w:rsid w:val="347A1C51"/>
    <w:rsid w:val="347D373F"/>
    <w:rsid w:val="34922A93"/>
    <w:rsid w:val="34956481"/>
    <w:rsid w:val="34A35871"/>
    <w:rsid w:val="34AB66CA"/>
    <w:rsid w:val="34C06C9D"/>
    <w:rsid w:val="34C71A6F"/>
    <w:rsid w:val="34C93A39"/>
    <w:rsid w:val="34DF24AE"/>
    <w:rsid w:val="351C4931"/>
    <w:rsid w:val="351C4EAC"/>
    <w:rsid w:val="351D4C26"/>
    <w:rsid w:val="351F3659"/>
    <w:rsid w:val="352B46F4"/>
    <w:rsid w:val="352E7D40"/>
    <w:rsid w:val="353510CF"/>
    <w:rsid w:val="35361A77"/>
    <w:rsid w:val="35461A22"/>
    <w:rsid w:val="35483CC9"/>
    <w:rsid w:val="354B08F2"/>
    <w:rsid w:val="35571045"/>
    <w:rsid w:val="356E46AA"/>
    <w:rsid w:val="357235B0"/>
    <w:rsid w:val="3578502D"/>
    <w:rsid w:val="3586192A"/>
    <w:rsid w:val="358625C7"/>
    <w:rsid w:val="359A53D6"/>
    <w:rsid w:val="35A815CB"/>
    <w:rsid w:val="35A85BD0"/>
    <w:rsid w:val="35AA1B9C"/>
    <w:rsid w:val="35D501BC"/>
    <w:rsid w:val="35D94150"/>
    <w:rsid w:val="35DB09A6"/>
    <w:rsid w:val="35DE52C2"/>
    <w:rsid w:val="36080591"/>
    <w:rsid w:val="3609472F"/>
    <w:rsid w:val="3619454C"/>
    <w:rsid w:val="36203B2D"/>
    <w:rsid w:val="363E0457"/>
    <w:rsid w:val="365B4B65"/>
    <w:rsid w:val="36687282"/>
    <w:rsid w:val="368F65D6"/>
    <w:rsid w:val="369B4CF0"/>
    <w:rsid w:val="36A93B22"/>
    <w:rsid w:val="36D62629"/>
    <w:rsid w:val="36D76172"/>
    <w:rsid w:val="36D84407"/>
    <w:rsid w:val="36E833BB"/>
    <w:rsid w:val="36EB1E1B"/>
    <w:rsid w:val="36F17F0D"/>
    <w:rsid w:val="36FB00F6"/>
    <w:rsid w:val="37103BA1"/>
    <w:rsid w:val="37224581"/>
    <w:rsid w:val="3735197D"/>
    <w:rsid w:val="373756A2"/>
    <w:rsid w:val="374A416C"/>
    <w:rsid w:val="375E0DA6"/>
    <w:rsid w:val="377639AE"/>
    <w:rsid w:val="377E111B"/>
    <w:rsid w:val="378142CB"/>
    <w:rsid w:val="378B61A6"/>
    <w:rsid w:val="37920A5A"/>
    <w:rsid w:val="37B90F0B"/>
    <w:rsid w:val="37BA1D5F"/>
    <w:rsid w:val="37CD3F98"/>
    <w:rsid w:val="37DF75BA"/>
    <w:rsid w:val="37E148E2"/>
    <w:rsid w:val="37F34577"/>
    <w:rsid w:val="37F848EE"/>
    <w:rsid w:val="37F912FC"/>
    <w:rsid w:val="37FB65FF"/>
    <w:rsid w:val="380D59EE"/>
    <w:rsid w:val="38304889"/>
    <w:rsid w:val="3836588A"/>
    <w:rsid w:val="38382675"/>
    <w:rsid w:val="383B7B0D"/>
    <w:rsid w:val="3848553B"/>
    <w:rsid w:val="3851700B"/>
    <w:rsid w:val="385246B6"/>
    <w:rsid w:val="385E6B8E"/>
    <w:rsid w:val="3876113B"/>
    <w:rsid w:val="38A53DB7"/>
    <w:rsid w:val="38BF3388"/>
    <w:rsid w:val="38CC268D"/>
    <w:rsid w:val="38DF1FDA"/>
    <w:rsid w:val="38EC2960"/>
    <w:rsid w:val="390069DD"/>
    <w:rsid w:val="3902603A"/>
    <w:rsid w:val="39030CF9"/>
    <w:rsid w:val="39091F35"/>
    <w:rsid w:val="392536E2"/>
    <w:rsid w:val="393D0552"/>
    <w:rsid w:val="39465F15"/>
    <w:rsid w:val="39505209"/>
    <w:rsid w:val="396453C5"/>
    <w:rsid w:val="39922CCF"/>
    <w:rsid w:val="39A24859"/>
    <w:rsid w:val="39A65327"/>
    <w:rsid w:val="39A65C9B"/>
    <w:rsid w:val="39BC5ED6"/>
    <w:rsid w:val="39BD78E5"/>
    <w:rsid w:val="39D0586A"/>
    <w:rsid w:val="39D27231"/>
    <w:rsid w:val="39E82BB3"/>
    <w:rsid w:val="39EB39E0"/>
    <w:rsid w:val="39EE7A9E"/>
    <w:rsid w:val="39EF02D4"/>
    <w:rsid w:val="3A08699C"/>
    <w:rsid w:val="3A11342A"/>
    <w:rsid w:val="3A153110"/>
    <w:rsid w:val="3A2149EA"/>
    <w:rsid w:val="3A2507C0"/>
    <w:rsid w:val="3A26541E"/>
    <w:rsid w:val="3A285AD8"/>
    <w:rsid w:val="3A393FA7"/>
    <w:rsid w:val="3A3A5A22"/>
    <w:rsid w:val="3A524858"/>
    <w:rsid w:val="3A64203E"/>
    <w:rsid w:val="3A663D00"/>
    <w:rsid w:val="3A7428D0"/>
    <w:rsid w:val="3A747EDD"/>
    <w:rsid w:val="3A8F302F"/>
    <w:rsid w:val="3A923AE4"/>
    <w:rsid w:val="3A9A304E"/>
    <w:rsid w:val="3AA50E25"/>
    <w:rsid w:val="3AC566E3"/>
    <w:rsid w:val="3AD6747A"/>
    <w:rsid w:val="3AD95C48"/>
    <w:rsid w:val="3ADF5D0A"/>
    <w:rsid w:val="3B0F23C2"/>
    <w:rsid w:val="3B1D4ADF"/>
    <w:rsid w:val="3B312338"/>
    <w:rsid w:val="3B3C5B77"/>
    <w:rsid w:val="3B3D0FF2"/>
    <w:rsid w:val="3B44206B"/>
    <w:rsid w:val="3B501351"/>
    <w:rsid w:val="3B521A18"/>
    <w:rsid w:val="3B741699"/>
    <w:rsid w:val="3B8D2B96"/>
    <w:rsid w:val="3B90705F"/>
    <w:rsid w:val="3B923660"/>
    <w:rsid w:val="3BB16FD5"/>
    <w:rsid w:val="3BCA44BE"/>
    <w:rsid w:val="3C017F5D"/>
    <w:rsid w:val="3C061F3A"/>
    <w:rsid w:val="3C0A04F9"/>
    <w:rsid w:val="3C1C6B44"/>
    <w:rsid w:val="3C491519"/>
    <w:rsid w:val="3C495480"/>
    <w:rsid w:val="3C4C3A42"/>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B12FD"/>
    <w:rsid w:val="3D7B4622"/>
    <w:rsid w:val="3D8C5F4C"/>
    <w:rsid w:val="3D8E5820"/>
    <w:rsid w:val="3D931088"/>
    <w:rsid w:val="3D942E29"/>
    <w:rsid w:val="3DA53531"/>
    <w:rsid w:val="3DA70690"/>
    <w:rsid w:val="3DB039E8"/>
    <w:rsid w:val="3DB54E0C"/>
    <w:rsid w:val="3DB900C1"/>
    <w:rsid w:val="3DE03BA2"/>
    <w:rsid w:val="3DE51866"/>
    <w:rsid w:val="3DE91725"/>
    <w:rsid w:val="3DF159B1"/>
    <w:rsid w:val="3E135D25"/>
    <w:rsid w:val="3E1A106E"/>
    <w:rsid w:val="3E36303B"/>
    <w:rsid w:val="3E3F4D6C"/>
    <w:rsid w:val="3E526044"/>
    <w:rsid w:val="3E5A3954"/>
    <w:rsid w:val="3E5C591E"/>
    <w:rsid w:val="3E6C2B3A"/>
    <w:rsid w:val="3E832EAB"/>
    <w:rsid w:val="3E8C5311"/>
    <w:rsid w:val="3E8E7E55"/>
    <w:rsid w:val="3EB61473"/>
    <w:rsid w:val="3EC66011"/>
    <w:rsid w:val="3ED25BE0"/>
    <w:rsid w:val="3ED75B7F"/>
    <w:rsid w:val="3EF9316D"/>
    <w:rsid w:val="3F222DB1"/>
    <w:rsid w:val="3F315E6B"/>
    <w:rsid w:val="3F5175E2"/>
    <w:rsid w:val="3F56276A"/>
    <w:rsid w:val="3F6C10E0"/>
    <w:rsid w:val="3F963015"/>
    <w:rsid w:val="3F964D35"/>
    <w:rsid w:val="3FA327ED"/>
    <w:rsid w:val="3FB11738"/>
    <w:rsid w:val="3FB5581B"/>
    <w:rsid w:val="3FC33D05"/>
    <w:rsid w:val="3FF46B18"/>
    <w:rsid w:val="3FF74A2E"/>
    <w:rsid w:val="3FFC36E2"/>
    <w:rsid w:val="4005572D"/>
    <w:rsid w:val="40104B97"/>
    <w:rsid w:val="402833BA"/>
    <w:rsid w:val="40283C2B"/>
    <w:rsid w:val="40394FD1"/>
    <w:rsid w:val="403A3A3D"/>
    <w:rsid w:val="40425879"/>
    <w:rsid w:val="405C1C05"/>
    <w:rsid w:val="405E3BCF"/>
    <w:rsid w:val="406B3DDC"/>
    <w:rsid w:val="40765D15"/>
    <w:rsid w:val="407B4FC1"/>
    <w:rsid w:val="407F2DE9"/>
    <w:rsid w:val="40866C82"/>
    <w:rsid w:val="40920B61"/>
    <w:rsid w:val="40953369"/>
    <w:rsid w:val="40991379"/>
    <w:rsid w:val="409B3C3D"/>
    <w:rsid w:val="409F1D81"/>
    <w:rsid w:val="40A35A86"/>
    <w:rsid w:val="40E66965"/>
    <w:rsid w:val="40F701DF"/>
    <w:rsid w:val="40FC3D9D"/>
    <w:rsid w:val="40FD480A"/>
    <w:rsid w:val="411B59C4"/>
    <w:rsid w:val="412A32F8"/>
    <w:rsid w:val="417F433E"/>
    <w:rsid w:val="418A1D66"/>
    <w:rsid w:val="418A4550"/>
    <w:rsid w:val="419C4043"/>
    <w:rsid w:val="41AA074E"/>
    <w:rsid w:val="41B7239D"/>
    <w:rsid w:val="41C95079"/>
    <w:rsid w:val="41D852BC"/>
    <w:rsid w:val="41DF2AEE"/>
    <w:rsid w:val="41EC6FB9"/>
    <w:rsid w:val="41FF3845"/>
    <w:rsid w:val="420A743F"/>
    <w:rsid w:val="420E33D3"/>
    <w:rsid w:val="42101488"/>
    <w:rsid w:val="421104A9"/>
    <w:rsid w:val="42143B88"/>
    <w:rsid w:val="42164586"/>
    <w:rsid w:val="422936B2"/>
    <w:rsid w:val="422E75D1"/>
    <w:rsid w:val="424566C9"/>
    <w:rsid w:val="42475850"/>
    <w:rsid w:val="424C7A58"/>
    <w:rsid w:val="424E1A22"/>
    <w:rsid w:val="425B5DD1"/>
    <w:rsid w:val="4260300C"/>
    <w:rsid w:val="42621029"/>
    <w:rsid w:val="42755200"/>
    <w:rsid w:val="42772802"/>
    <w:rsid w:val="427C799E"/>
    <w:rsid w:val="427F607F"/>
    <w:rsid w:val="42800B9B"/>
    <w:rsid w:val="4281223D"/>
    <w:rsid w:val="428E1E1E"/>
    <w:rsid w:val="428E62C2"/>
    <w:rsid w:val="42A06B6C"/>
    <w:rsid w:val="42A27996"/>
    <w:rsid w:val="42A45E72"/>
    <w:rsid w:val="42AA04E2"/>
    <w:rsid w:val="42C972FA"/>
    <w:rsid w:val="42D737C5"/>
    <w:rsid w:val="42EA5650"/>
    <w:rsid w:val="431408DA"/>
    <w:rsid w:val="431B7C78"/>
    <w:rsid w:val="4331401E"/>
    <w:rsid w:val="433805EC"/>
    <w:rsid w:val="433B0F29"/>
    <w:rsid w:val="43486FC5"/>
    <w:rsid w:val="43526885"/>
    <w:rsid w:val="43591DDA"/>
    <w:rsid w:val="435A0DF2"/>
    <w:rsid w:val="436C42E1"/>
    <w:rsid w:val="437102E7"/>
    <w:rsid w:val="437C210F"/>
    <w:rsid w:val="43847F02"/>
    <w:rsid w:val="438F113C"/>
    <w:rsid w:val="439E7EFB"/>
    <w:rsid w:val="43B1568A"/>
    <w:rsid w:val="43B64E08"/>
    <w:rsid w:val="43BD7F58"/>
    <w:rsid w:val="43D43ECA"/>
    <w:rsid w:val="43D60064"/>
    <w:rsid w:val="43DD452F"/>
    <w:rsid w:val="43DE6CD4"/>
    <w:rsid w:val="43E51150"/>
    <w:rsid w:val="43EF28BB"/>
    <w:rsid w:val="43EF56D3"/>
    <w:rsid w:val="43F47D80"/>
    <w:rsid w:val="43F565F9"/>
    <w:rsid w:val="43F839F3"/>
    <w:rsid w:val="44095C00"/>
    <w:rsid w:val="440A6FD2"/>
    <w:rsid w:val="440E1469"/>
    <w:rsid w:val="442A1797"/>
    <w:rsid w:val="443216AD"/>
    <w:rsid w:val="44366C11"/>
    <w:rsid w:val="444946CA"/>
    <w:rsid w:val="444B3F54"/>
    <w:rsid w:val="445B0426"/>
    <w:rsid w:val="44611430"/>
    <w:rsid w:val="4476661F"/>
    <w:rsid w:val="447E3AC5"/>
    <w:rsid w:val="44805ED4"/>
    <w:rsid w:val="448E5DEE"/>
    <w:rsid w:val="449C4CC6"/>
    <w:rsid w:val="449E4142"/>
    <w:rsid w:val="44A90BAA"/>
    <w:rsid w:val="44B24A20"/>
    <w:rsid w:val="44BC0BEE"/>
    <w:rsid w:val="44BF6C07"/>
    <w:rsid w:val="44C24001"/>
    <w:rsid w:val="44C55A88"/>
    <w:rsid w:val="44FB1C9C"/>
    <w:rsid w:val="45014B29"/>
    <w:rsid w:val="450C05A0"/>
    <w:rsid w:val="45392A13"/>
    <w:rsid w:val="453E3FCF"/>
    <w:rsid w:val="454F1836"/>
    <w:rsid w:val="45637592"/>
    <w:rsid w:val="45887B45"/>
    <w:rsid w:val="458B66DF"/>
    <w:rsid w:val="45940F0E"/>
    <w:rsid w:val="45AC5DBA"/>
    <w:rsid w:val="45B002FD"/>
    <w:rsid w:val="45C647AF"/>
    <w:rsid w:val="45CF3374"/>
    <w:rsid w:val="45DD529D"/>
    <w:rsid w:val="45E57886"/>
    <w:rsid w:val="45E945CC"/>
    <w:rsid w:val="45FE618C"/>
    <w:rsid w:val="46003076"/>
    <w:rsid w:val="46026F63"/>
    <w:rsid w:val="46113492"/>
    <w:rsid w:val="46164604"/>
    <w:rsid w:val="46177E29"/>
    <w:rsid w:val="46205B7F"/>
    <w:rsid w:val="462A00B0"/>
    <w:rsid w:val="462A4554"/>
    <w:rsid w:val="462A6010"/>
    <w:rsid w:val="462F1B6A"/>
    <w:rsid w:val="465D501C"/>
    <w:rsid w:val="466367DB"/>
    <w:rsid w:val="46686D18"/>
    <w:rsid w:val="466D15DA"/>
    <w:rsid w:val="467232DF"/>
    <w:rsid w:val="46767799"/>
    <w:rsid w:val="4691012F"/>
    <w:rsid w:val="46BF7E28"/>
    <w:rsid w:val="46C3037C"/>
    <w:rsid w:val="46CB1893"/>
    <w:rsid w:val="46EF26BD"/>
    <w:rsid w:val="46FF15E0"/>
    <w:rsid w:val="4700581C"/>
    <w:rsid w:val="4702516A"/>
    <w:rsid w:val="4724600B"/>
    <w:rsid w:val="472E597E"/>
    <w:rsid w:val="474A4B33"/>
    <w:rsid w:val="47543636"/>
    <w:rsid w:val="47665A15"/>
    <w:rsid w:val="47677941"/>
    <w:rsid w:val="477F1660"/>
    <w:rsid w:val="4788232A"/>
    <w:rsid w:val="478B0398"/>
    <w:rsid w:val="478F5D0B"/>
    <w:rsid w:val="479D5A47"/>
    <w:rsid w:val="47A11E6C"/>
    <w:rsid w:val="47A31F5F"/>
    <w:rsid w:val="47A345BE"/>
    <w:rsid w:val="47A84BA6"/>
    <w:rsid w:val="47B52444"/>
    <w:rsid w:val="47B8724E"/>
    <w:rsid w:val="47ED7BCA"/>
    <w:rsid w:val="47F46BC7"/>
    <w:rsid w:val="48016F34"/>
    <w:rsid w:val="480556DB"/>
    <w:rsid w:val="48185C56"/>
    <w:rsid w:val="481F6B77"/>
    <w:rsid w:val="48254C34"/>
    <w:rsid w:val="48450F81"/>
    <w:rsid w:val="48455675"/>
    <w:rsid w:val="484E729D"/>
    <w:rsid w:val="48566773"/>
    <w:rsid w:val="485A23C2"/>
    <w:rsid w:val="48623B31"/>
    <w:rsid w:val="48691107"/>
    <w:rsid w:val="48741AB6"/>
    <w:rsid w:val="48895289"/>
    <w:rsid w:val="48A16B62"/>
    <w:rsid w:val="48AE0D54"/>
    <w:rsid w:val="48BC6222"/>
    <w:rsid w:val="48C245E9"/>
    <w:rsid w:val="48DB312A"/>
    <w:rsid w:val="48DF49D9"/>
    <w:rsid w:val="492108CC"/>
    <w:rsid w:val="492928A1"/>
    <w:rsid w:val="49413F52"/>
    <w:rsid w:val="494F6304"/>
    <w:rsid w:val="49792B95"/>
    <w:rsid w:val="49F11610"/>
    <w:rsid w:val="4A01681E"/>
    <w:rsid w:val="4A05334F"/>
    <w:rsid w:val="4A060864"/>
    <w:rsid w:val="4A244932"/>
    <w:rsid w:val="4A2922C8"/>
    <w:rsid w:val="4A344C24"/>
    <w:rsid w:val="4A4117B2"/>
    <w:rsid w:val="4A4A6F73"/>
    <w:rsid w:val="4A712751"/>
    <w:rsid w:val="4A7A4350"/>
    <w:rsid w:val="4A7B1703"/>
    <w:rsid w:val="4A7E2497"/>
    <w:rsid w:val="4A896826"/>
    <w:rsid w:val="4A8E50B1"/>
    <w:rsid w:val="4A993A56"/>
    <w:rsid w:val="4ABF5E17"/>
    <w:rsid w:val="4ACB00B3"/>
    <w:rsid w:val="4ACF7478"/>
    <w:rsid w:val="4AD52CE0"/>
    <w:rsid w:val="4AD5594C"/>
    <w:rsid w:val="4AE01A66"/>
    <w:rsid w:val="4AE03433"/>
    <w:rsid w:val="4AE104D6"/>
    <w:rsid w:val="4AE724D1"/>
    <w:rsid w:val="4AE77140"/>
    <w:rsid w:val="4AEA4061"/>
    <w:rsid w:val="4AEB3612"/>
    <w:rsid w:val="4AED707B"/>
    <w:rsid w:val="4AFA2F07"/>
    <w:rsid w:val="4B015D61"/>
    <w:rsid w:val="4B0B7979"/>
    <w:rsid w:val="4B1530DD"/>
    <w:rsid w:val="4B3D2633"/>
    <w:rsid w:val="4B3E3B79"/>
    <w:rsid w:val="4B520DF4"/>
    <w:rsid w:val="4B555BCF"/>
    <w:rsid w:val="4B603107"/>
    <w:rsid w:val="4B773D97"/>
    <w:rsid w:val="4B7A5635"/>
    <w:rsid w:val="4B8E10E1"/>
    <w:rsid w:val="4B9802B0"/>
    <w:rsid w:val="4B9E65BE"/>
    <w:rsid w:val="4B9F33A8"/>
    <w:rsid w:val="4BA80AFD"/>
    <w:rsid w:val="4BB033BA"/>
    <w:rsid w:val="4BB469AD"/>
    <w:rsid w:val="4BC06040"/>
    <w:rsid w:val="4BC66ACD"/>
    <w:rsid w:val="4BCF5981"/>
    <w:rsid w:val="4BD846DB"/>
    <w:rsid w:val="4BF441D2"/>
    <w:rsid w:val="4C0513A3"/>
    <w:rsid w:val="4C1C2A09"/>
    <w:rsid w:val="4C284AD9"/>
    <w:rsid w:val="4C423098"/>
    <w:rsid w:val="4C694192"/>
    <w:rsid w:val="4C7964D9"/>
    <w:rsid w:val="4C8229F4"/>
    <w:rsid w:val="4C891FD4"/>
    <w:rsid w:val="4C8C5620"/>
    <w:rsid w:val="4C9269F6"/>
    <w:rsid w:val="4CB75F07"/>
    <w:rsid w:val="4CC4733F"/>
    <w:rsid w:val="4CC84335"/>
    <w:rsid w:val="4CD22B0F"/>
    <w:rsid w:val="4CDA3E72"/>
    <w:rsid w:val="4CE4545C"/>
    <w:rsid w:val="4CE9350A"/>
    <w:rsid w:val="4D014937"/>
    <w:rsid w:val="4D1E2466"/>
    <w:rsid w:val="4D2256CD"/>
    <w:rsid w:val="4D225F85"/>
    <w:rsid w:val="4D297BF3"/>
    <w:rsid w:val="4D2D0EAF"/>
    <w:rsid w:val="4D795A49"/>
    <w:rsid w:val="4D7F0082"/>
    <w:rsid w:val="4D910B7E"/>
    <w:rsid w:val="4D952FD9"/>
    <w:rsid w:val="4D970662"/>
    <w:rsid w:val="4D9A1FBF"/>
    <w:rsid w:val="4D9F40B3"/>
    <w:rsid w:val="4DB33393"/>
    <w:rsid w:val="4DB90B8C"/>
    <w:rsid w:val="4DBC3CE3"/>
    <w:rsid w:val="4DCB51C5"/>
    <w:rsid w:val="4DCF1E0D"/>
    <w:rsid w:val="4DD632D9"/>
    <w:rsid w:val="4DD94895"/>
    <w:rsid w:val="4DE05D9E"/>
    <w:rsid w:val="4DE05DF9"/>
    <w:rsid w:val="4DE44800"/>
    <w:rsid w:val="4DE90850"/>
    <w:rsid w:val="4DEE0709"/>
    <w:rsid w:val="4DF26A56"/>
    <w:rsid w:val="4DF47921"/>
    <w:rsid w:val="4DFC14EA"/>
    <w:rsid w:val="4DFF6815"/>
    <w:rsid w:val="4E0A3427"/>
    <w:rsid w:val="4E2423AC"/>
    <w:rsid w:val="4E261AA5"/>
    <w:rsid w:val="4E287F63"/>
    <w:rsid w:val="4E304B5D"/>
    <w:rsid w:val="4E3F66C2"/>
    <w:rsid w:val="4E611B8B"/>
    <w:rsid w:val="4E6279D7"/>
    <w:rsid w:val="4E682F8C"/>
    <w:rsid w:val="4E6A7BB7"/>
    <w:rsid w:val="4E6C5D89"/>
    <w:rsid w:val="4E9133C2"/>
    <w:rsid w:val="4EB23220"/>
    <w:rsid w:val="4EC866B8"/>
    <w:rsid w:val="4ED46303"/>
    <w:rsid w:val="4EE661F8"/>
    <w:rsid w:val="4EF27A04"/>
    <w:rsid w:val="4F0773B4"/>
    <w:rsid w:val="4F0C69BB"/>
    <w:rsid w:val="4F241019"/>
    <w:rsid w:val="4F307BB1"/>
    <w:rsid w:val="4F336227"/>
    <w:rsid w:val="4F3C3EF2"/>
    <w:rsid w:val="4F3D562D"/>
    <w:rsid w:val="4F5C4EE0"/>
    <w:rsid w:val="4F681AF1"/>
    <w:rsid w:val="4F6E1972"/>
    <w:rsid w:val="4F943166"/>
    <w:rsid w:val="4F9C19A5"/>
    <w:rsid w:val="4FB01203"/>
    <w:rsid w:val="4FB42A77"/>
    <w:rsid w:val="4FBA02A1"/>
    <w:rsid w:val="4FC275AB"/>
    <w:rsid w:val="4FD86DCF"/>
    <w:rsid w:val="4FE7106E"/>
    <w:rsid w:val="4FF82FCD"/>
    <w:rsid w:val="4FFC288D"/>
    <w:rsid w:val="50053943"/>
    <w:rsid w:val="50260569"/>
    <w:rsid w:val="50374A3C"/>
    <w:rsid w:val="5039786D"/>
    <w:rsid w:val="50487AB0"/>
    <w:rsid w:val="50550E55"/>
    <w:rsid w:val="5064114A"/>
    <w:rsid w:val="50901457"/>
    <w:rsid w:val="509F43E4"/>
    <w:rsid w:val="50A54D3E"/>
    <w:rsid w:val="50B82E88"/>
    <w:rsid w:val="50BB32A7"/>
    <w:rsid w:val="50CC5CB2"/>
    <w:rsid w:val="50ED1473"/>
    <w:rsid w:val="50F1402B"/>
    <w:rsid w:val="50FD2AD9"/>
    <w:rsid w:val="51081E85"/>
    <w:rsid w:val="51097D9A"/>
    <w:rsid w:val="511A650F"/>
    <w:rsid w:val="51237D2E"/>
    <w:rsid w:val="51295DBA"/>
    <w:rsid w:val="514229EF"/>
    <w:rsid w:val="515B06D0"/>
    <w:rsid w:val="51764AF1"/>
    <w:rsid w:val="51996737"/>
    <w:rsid w:val="51B408B8"/>
    <w:rsid w:val="51B80848"/>
    <w:rsid w:val="51CC0868"/>
    <w:rsid w:val="51D5340F"/>
    <w:rsid w:val="52287B99"/>
    <w:rsid w:val="52382F2A"/>
    <w:rsid w:val="52386E3D"/>
    <w:rsid w:val="523A7DD1"/>
    <w:rsid w:val="523B7711"/>
    <w:rsid w:val="5257222D"/>
    <w:rsid w:val="5271774C"/>
    <w:rsid w:val="527A416D"/>
    <w:rsid w:val="528D5323"/>
    <w:rsid w:val="528D7B65"/>
    <w:rsid w:val="5299416C"/>
    <w:rsid w:val="52AA11D3"/>
    <w:rsid w:val="52B21B59"/>
    <w:rsid w:val="52DE008D"/>
    <w:rsid w:val="52EE341E"/>
    <w:rsid w:val="52F37FE6"/>
    <w:rsid w:val="52FC1CAF"/>
    <w:rsid w:val="52FE08FA"/>
    <w:rsid w:val="52FF22FE"/>
    <w:rsid w:val="53004672"/>
    <w:rsid w:val="530B071F"/>
    <w:rsid w:val="531A330F"/>
    <w:rsid w:val="532B6CAF"/>
    <w:rsid w:val="53350D91"/>
    <w:rsid w:val="53412644"/>
    <w:rsid w:val="53433903"/>
    <w:rsid w:val="534E7AD3"/>
    <w:rsid w:val="53517A72"/>
    <w:rsid w:val="5361549D"/>
    <w:rsid w:val="536220DA"/>
    <w:rsid w:val="53650637"/>
    <w:rsid w:val="536A5F90"/>
    <w:rsid w:val="536C61AC"/>
    <w:rsid w:val="537155BE"/>
    <w:rsid w:val="53757C6B"/>
    <w:rsid w:val="537E1075"/>
    <w:rsid w:val="538452A3"/>
    <w:rsid w:val="539A4AC7"/>
    <w:rsid w:val="53A44D07"/>
    <w:rsid w:val="53A46AC8"/>
    <w:rsid w:val="53AB7F1F"/>
    <w:rsid w:val="53AC6F7B"/>
    <w:rsid w:val="53C01F4F"/>
    <w:rsid w:val="53C421A6"/>
    <w:rsid w:val="53E15798"/>
    <w:rsid w:val="53EB297B"/>
    <w:rsid w:val="53EC4BF7"/>
    <w:rsid w:val="53F671DE"/>
    <w:rsid w:val="53F758A1"/>
    <w:rsid w:val="540D5A7F"/>
    <w:rsid w:val="542E2BC2"/>
    <w:rsid w:val="54352A96"/>
    <w:rsid w:val="54381561"/>
    <w:rsid w:val="54447390"/>
    <w:rsid w:val="544B514D"/>
    <w:rsid w:val="545E1D01"/>
    <w:rsid w:val="54674051"/>
    <w:rsid w:val="54705828"/>
    <w:rsid w:val="5472334E"/>
    <w:rsid w:val="54935B8F"/>
    <w:rsid w:val="54996B2C"/>
    <w:rsid w:val="549D3677"/>
    <w:rsid w:val="54B03E76"/>
    <w:rsid w:val="54BB2F47"/>
    <w:rsid w:val="54BF230B"/>
    <w:rsid w:val="54CC6227"/>
    <w:rsid w:val="54D10F9B"/>
    <w:rsid w:val="54D97871"/>
    <w:rsid w:val="54DB4AA8"/>
    <w:rsid w:val="54DC4C6B"/>
    <w:rsid w:val="54F2623D"/>
    <w:rsid w:val="550B5550"/>
    <w:rsid w:val="551D586C"/>
    <w:rsid w:val="55200298"/>
    <w:rsid w:val="55335E1B"/>
    <w:rsid w:val="5536079B"/>
    <w:rsid w:val="554B7EF0"/>
    <w:rsid w:val="556F3D99"/>
    <w:rsid w:val="556F788D"/>
    <w:rsid w:val="55720837"/>
    <w:rsid w:val="55860894"/>
    <w:rsid w:val="558F6181"/>
    <w:rsid w:val="55B02DF1"/>
    <w:rsid w:val="55C4407D"/>
    <w:rsid w:val="55D47A00"/>
    <w:rsid w:val="55D5456D"/>
    <w:rsid w:val="55DC290C"/>
    <w:rsid w:val="55E71B19"/>
    <w:rsid w:val="55EA5D64"/>
    <w:rsid w:val="55F01FA1"/>
    <w:rsid w:val="55FC19B9"/>
    <w:rsid w:val="56130B60"/>
    <w:rsid w:val="56234F28"/>
    <w:rsid w:val="562C1C22"/>
    <w:rsid w:val="564E71EA"/>
    <w:rsid w:val="56586573"/>
    <w:rsid w:val="56666B5B"/>
    <w:rsid w:val="56717635"/>
    <w:rsid w:val="56764C4B"/>
    <w:rsid w:val="56990B7C"/>
    <w:rsid w:val="569E1126"/>
    <w:rsid w:val="56A8690E"/>
    <w:rsid w:val="56B51C18"/>
    <w:rsid w:val="56B679AB"/>
    <w:rsid w:val="56B80DEB"/>
    <w:rsid w:val="56D976B4"/>
    <w:rsid w:val="56E0560F"/>
    <w:rsid w:val="56E06E61"/>
    <w:rsid w:val="56E9366F"/>
    <w:rsid w:val="56EF3C74"/>
    <w:rsid w:val="56F653FE"/>
    <w:rsid w:val="57007337"/>
    <w:rsid w:val="57272B15"/>
    <w:rsid w:val="574448FC"/>
    <w:rsid w:val="57561D39"/>
    <w:rsid w:val="575B7AFD"/>
    <w:rsid w:val="576176AA"/>
    <w:rsid w:val="57660D3F"/>
    <w:rsid w:val="5774562F"/>
    <w:rsid w:val="5785783C"/>
    <w:rsid w:val="578F06BB"/>
    <w:rsid w:val="57A469A0"/>
    <w:rsid w:val="57CC4BC2"/>
    <w:rsid w:val="57D10760"/>
    <w:rsid w:val="57D1153D"/>
    <w:rsid w:val="57D77297"/>
    <w:rsid w:val="57FA3774"/>
    <w:rsid w:val="58084A3C"/>
    <w:rsid w:val="582772A7"/>
    <w:rsid w:val="5847689F"/>
    <w:rsid w:val="58531B77"/>
    <w:rsid w:val="58564D34"/>
    <w:rsid w:val="585D2975"/>
    <w:rsid w:val="585D4315"/>
    <w:rsid w:val="585E3492"/>
    <w:rsid w:val="585F64F9"/>
    <w:rsid w:val="587E3341"/>
    <w:rsid w:val="587F428B"/>
    <w:rsid w:val="58843A9C"/>
    <w:rsid w:val="5895585D"/>
    <w:rsid w:val="58B31855"/>
    <w:rsid w:val="58C6004A"/>
    <w:rsid w:val="58CF56D8"/>
    <w:rsid w:val="58D31010"/>
    <w:rsid w:val="58D6741E"/>
    <w:rsid w:val="58DA5965"/>
    <w:rsid w:val="58DB0535"/>
    <w:rsid w:val="58E467E4"/>
    <w:rsid w:val="58E62E0E"/>
    <w:rsid w:val="58EA3D0E"/>
    <w:rsid w:val="58F24A5D"/>
    <w:rsid w:val="58F71269"/>
    <w:rsid w:val="58FE045E"/>
    <w:rsid w:val="58FE78A6"/>
    <w:rsid w:val="59014CEF"/>
    <w:rsid w:val="59017396"/>
    <w:rsid w:val="593C03CE"/>
    <w:rsid w:val="59442D7E"/>
    <w:rsid w:val="59561946"/>
    <w:rsid w:val="59670F51"/>
    <w:rsid w:val="596A44F9"/>
    <w:rsid w:val="596C19BB"/>
    <w:rsid w:val="59790BDB"/>
    <w:rsid w:val="597E3F42"/>
    <w:rsid w:val="598653AC"/>
    <w:rsid w:val="599942FB"/>
    <w:rsid w:val="59AC10B0"/>
    <w:rsid w:val="59AC3C86"/>
    <w:rsid w:val="59B461B6"/>
    <w:rsid w:val="59B817D3"/>
    <w:rsid w:val="59C11856"/>
    <w:rsid w:val="59C153AB"/>
    <w:rsid w:val="59D42FDA"/>
    <w:rsid w:val="59D70DF6"/>
    <w:rsid w:val="59DA4E01"/>
    <w:rsid w:val="59DC1FE1"/>
    <w:rsid w:val="59F64E82"/>
    <w:rsid w:val="5A0A5DD6"/>
    <w:rsid w:val="5A10435C"/>
    <w:rsid w:val="5A111C53"/>
    <w:rsid w:val="5A2654CC"/>
    <w:rsid w:val="5A292701"/>
    <w:rsid w:val="5A323A44"/>
    <w:rsid w:val="5A395E66"/>
    <w:rsid w:val="5A476FBE"/>
    <w:rsid w:val="5A484352"/>
    <w:rsid w:val="5A5321A5"/>
    <w:rsid w:val="5A5D684E"/>
    <w:rsid w:val="5A783688"/>
    <w:rsid w:val="5A845B89"/>
    <w:rsid w:val="5A8734AF"/>
    <w:rsid w:val="5A955FE8"/>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24736C"/>
    <w:rsid w:val="5B585171"/>
    <w:rsid w:val="5B585B78"/>
    <w:rsid w:val="5B6D62B9"/>
    <w:rsid w:val="5B746CFA"/>
    <w:rsid w:val="5B9A2B59"/>
    <w:rsid w:val="5BA652E6"/>
    <w:rsid w:val="5BB406F0"/>
    <w:rsid w:val="5BC0085A"/>
    <w:rsid w:val="5BC326E1"/>
    <w:rsid w:val="5BE03293"/>
    <w:rsid w:val="5BF03D58"/>
    <w:rsid w:val="5BF20AFB"/>
    <w:rsid w:val="5C1A6BB2"/>
    <w:rsid w:val="5C284A34"/>
    <w:rsid w:val="5C306D31"/>
    <w:rsid w:val="5C37233A"/>
    <w:rsid w:val="5C4557EC"/>
    <w:rsid w:val="5C5355FE"/>
    <w:rsid w:val="5C5A49A5"/>
    <w:rsid w:val="5C6519EA"/>
    <w:rsid w:val="5C6715FE"/>
    <w:rsid w:val="5C6F4105"/>
    <w:rsid w:val="5C71038F"/>
    <w:rsid w:val="5CBB7F6F"/>
    <w:rsid w:val="5CC248CE"/>
    <w:rsid w:val="5CC826A5"/>
    <w:rsid w:val="5CF1327E"/>
    <w:rsid w:val="5D042FB1"/>
    <w:rsid w:val="5D3A2E77"/>
    <w:rsid w:val="5D442CB4"/>
    <w:rsid w:val="5D4C6846"/>
    <w:rsid w:val="5D7C3F11"/>
    <w:rsid w:val="5D971C5A"/>
    <w:rsid w:val="5D9D49E0"/>
    <w:rsid w:val="5DA01E9E"/>
    <w:rsid w:val="5DAD3649"/>
    <w:rsid w:val="5DC310BE"/>
    <w:rsid w:val="5DC32E6C"/>
    <w:rsid w:val="5DDF1821"/>
    <w:rsid w:val="5DE2656A"/>
    <w:rsid w:val="5DEA2F91"/>
    <w:rsid w:val="5DF94AE0"/>
    <w:rsid w:val="5DFA5883"/>
    <w:rsid w:val="5E224037"/>
    <w:rsid w:val="5E3146A3"/>
    <w:rsid w:val="5E442F62"/>
    <w:rsid w:val="5E6C2C5B"/>
    <w:rsid w:val="5E6E2DD8"/>
    <w:rsid w:val="5E7251A2"/>
    <w:rsid w:val="5E793766"/>
    <w:rsid w:val="5E7C3591"/>
    <w:rsid w:val="5E8A637B"/>
    <w:rsid w:val="5E9842F9"/>
    <w:rsid w:val="5E9D0E18"/>
    <w:rsid w:val="5EA26F25"/>
    <w:rsid w:val="5EA341D7"/>
    <w:rsid w:val="5EA755DE"/>
    <w:rsid w:val="5EAE7678"/>
    <w:rsid w:val="5ED35F0E"/>
    <w:rsid w:val="5EDF7832"/>
    <w:rsid w:val="5EE66E12"/>
    <w:rsid w:val="5EFC1390"/>
    <w:rsid w:val="5EFC3EB6"/>
    <w:rsid w:val="5F00622C"/>
    <w:rsid w:val="5F03335D"/>
    <w:rsid w:val="5F0368C7"/>
    <w:rsid w:val="5F1544E7"/>
    <w:rsid w:val="5F197EE8"/>
    <w:rsid w:val="5F312D8D"/>
    <w:rsid w:val="5F3C4923"/>
    <w:rsid w:val="5F4160B0"/>
    <w:rsid w:val="5F426012"/>
    <w:rsid w:val="5F5A7800"/>
    <w:rsid w:val="5F6368E9"/>
    <w:rsid w:val="5F6D12E1"/>
    <w:rsid w:val="5F7811D3"/>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4B1BEB"/>
    <w:rsid w:val="60522285"/>
    <w:rsid w:val="605537A4"/>
    <w:rsid w:val="605D2617"/>
    <w:rsid w:val="60616CDC"/>
    <w:rsid w:val="60624E53"/>
    <w:rsid w:val="606319E5"/>
    <w:rsid w:val="607A77D8"/>
    <w:rsid w:val="607B3C50"/>
    <w:rsid w:val="608B6567"/>
    <w:rsid w:val="60902A4E"/>
    <w:rsid w:val="60AA3E6F"/>
    <w:rsid w:val="60BB607C"/>
    <w:rsid w:val="60FF21D9"/>
    <w:rsid w:val="610C0686"/>
    <w:rsid w:val="611063C8"/>
    <w:rsid w:val="611E37D0"/>
    <w:rsid w:val="613021B3"/>
    <w:rsid w:val="61306A6A"/>
    <w:rsid w:val="613253FD"/>
    <w:rsid w:val="61421F29"/>
    <w:rsid w:val="61521F2D"/>
    <w:rsid w:val="615F221E"/>
    <w:rsid w:val="61637D56"/>
    <w:rsid w:val="61712185"/>
    <w:rsid w:val="618B7207"/>
    <w:rsid w:val="61907E69"/>
    <w:rsid w:val="61A90D68"/>
    <w:rsid w:val="61B43A15"/>
    <w:rsid w:val="61DA0425"/>
    <w:rsid w:val="62015D11"/>
    <w:rsid w:val="62065A1D"/>
    <w:rsid w:val="6213792C"/>
    <w:rsid w:val="621775E2"/>
    <w:rsid w:val="621C0D9D"/>
    <w:rsid w:val="62225261"/>
    <w:rsid w:val="622F7552"/>
    <w:rsid w:val="6250406E"/>
    <w:rsid w:val="626369CC"/>
    <w:rsid w:val="6267666C"/>
    <w:rsid w:val="627D6831"/>
    <w:rsid w:val="62811B1C"/>
    <w:rsid w:val="62900B2E"/>
    <w:rsid w:val="62A20409"/>
    <w:rsid w:val="62AC0373"/>
    <w:rsid w:val="62B54B44"/>
    <w:rsid w:val="62CE02E9"/>
    <w:rsid w:val="62E045DA"/>
    <w:rsid w:val="62E23D94"/>
    <w:rsid w:val="62E454A1"/>
    <w:rsid w:val="62E95123"/>
    <w:rsid w:val="62EF025F"/>
    <w:rsid w:val="62F36E4C"/>
    <w:rsid w:val="62F47F8F"/>
    <w:rsid w:val="62F7233F"/>
    <w:rsid w:val="631B2E02"/>
    <w:rsid w:val="631F3FB4"/>
    <w:rsid w:val="63273E9D"/>
    <w:rsid w:val="63364F75"/>
    <w:rsid w:val="6340438B"/>
    <w:rsid w:val="63416D0D"/>
    <w:rsid w:val="6353238E"/>
    <w:rsid w:val="63612AB8"/>
    <w:rsid w:val="63652A09"/>
    <w:rsid w:val="6379289B"/>
    <w:rsid w:val="637B1AF3"/>
    <w:rsid w:val="637D0978"/>
    <w:rsid w:val="638906B4"/>
    <w:rsid w:val="638968B0"/>
    <w:rsid w:val="638A282C"/>
    <w:rsid w:val="6393508F"/>
    <w:rsid w:val="639A3568"/>
    <w:rsid w:val="63A75341"/>
    <w:rsid w:val="63A85E90"/>
    <w:rsid w:val="63A962DB"/>
    <w:rsid w:val="63AB1A91"/>
    <w:rsid w:val="63B75221"/>
    <w:rsid w:val="63B82D47"/>
    <w:rsid w:val="63C74D38"/>
    <w:rsid w:val="63E5460A"/>
    <w:rsid w:val="63EA73A4"/>
    <w:rsid w:val="63EE4692"/>
    <w:rsid w:val="63FD622D"/>
    <w:rsid w:val="64177A6E"/>
    <w:rsid w:val="641F42FB"/>
    <w:rsid w:val="643F32F9"/>
    <w:rsid w:val="64582686"/>
    <w:rsid w:val="64673C87"/>
    <w:rsid w:val="64852C29"/>
    <w:rsid w:val="64877733"/>
    <w:rsid w:val="64925346"/>
    <w:rsid w:val="64A170D2"/>
    <w:rsid w:val="64A251DD"/>
    <w:rsid w:val="64BC182A"/>
    <w:rsid w:val="64D67929"/>
    <w:rsid w:val="64F46001"/>
    <w:rsid w:val="650242F0"/>
    <w:rsid w:val="65365B2B"/>
    <w:rsid w:val="653F447E"/>
    <w:rsid w:val="654F4FE5"/>
    <w:rsid w:val="65542778"/>
    <w:rsid w:val="655829AF"/>
    <w:rsid w:val="656B70C3"/>
    <w:rsid w:val="657038D9"/>
    <w:rsid w:val="65711400"/>
    <w:rsid w:val="658F4798"/>
    <w:rsid w:val="659B1EBA"/>
    <w:rsid w:val="659C3AAC"/>
    <w:rsid w:val="65A11CE5"/>
    <w:rsid w:val="65A83379"/>
    <w:rsid w:val="65B461E9"/>
    <w:rsid w:val="65BE39A8"/>
    <w:rsid w:val="65C23A09"/>
    <w:rsid w:val="65FB3FBE"/>
    <w:rsid w:val="660109D5"/>
    <w:rsid w:val="66101A71"/>
    <w:rsid w:val="66171FA7"/>
    <w:rsid w:val="66247D11"/>
    <w:rsid w:val="66326DE1"/>
    <w:rsid w:val="663A5C95"/>
    <w:rsid w:val="663B3EC9"/>
    <w:rsid w:val="663F505A"/>
    <w:rsid w:val="665A1E94"/>
    <w:rsid w:val="66736112"/>
    <w:rsid w:val="667F5B5B"/>
    <w:rsid w:val="6694262A"/>
    <w:rsid w:val="66990381"/>
    <w:rsid w:val="66996E60"/>
    <w:rsid w:val="66A870A3"/>
    <w:rsid w:val="66B31B01"/>
    <w:rsid w:val="66B45A48"/>
    <w:rsid w:val="66CE1E80"/>
    <w:rsid w:val="66E362F9"/>
    <w:rsid w:val="66E47FD9"/>
    <w:rsid w:val="66E520A5"/>
    <w:rsid w:val="66F04175"/>
    <w:rsid w:val="66F127F8"/>
    <w:rsid w:val="67071922"/>
    <w:rsid w:val="673B73C0"/>
    <w:rsid w:val="674743C8"/>
    <w:rsid w:val="674E19F8"/>
    <w:rsid w:val="675608B6"/>
    <w:rsid w:val="6760172C"/>
    <w:rsid w:val="67754402"/>
    <w:rsid w:val="677D54ED"/>
    <w:rsid w:val="678B726C"/>
    <w:rsid w:val="67B25E27"/>
    <w:rsid w:val="67B4646D"/>
    <w:rsid w:val="67B464CA"/>
    <w:rsid w:val="67C4383B"/>
    <w:rsid w:val="67D35E1A"/>
    <w:rsid w:val="67D839B8"/>
    <w:rsid w:val="67DB0DB2"/>
    <w:rsid w:val="67F35317"/>
    <w:rsid w:val="67F73E3E"/>
    <w:rsid w:val="67FA61C2"/>
    <w:rsid w:val="68016A6B"/>
    <w:rsid w:val="680201B7"/>
    <w:rsid w:val="68040309"/>
    <w:rsid w:val="68060525"/>
    <w:rsid w:val="68362BFB"/>
    <w:rsid w:val="683D085A"/>
    <w:rsid w:val="683F1130"/>
    <w:rsid w:val="684456A1"/>
    <w:rsid w:val="684C2838"/>
    <w:rsid w:val="685E1363"/>
    <w:rsid w:val="687731D1"/>
    <w:rsid w:val="6878475E"/>
    <w:rsid w:val="688B4E68"/>
    <w:rsid w:val="688E1089"/>
    <w:rsid w:val="68993219"/>
    <w:rsid w:val="689E250C"/>
    <w:rsid w:val="689E42BA"/>
    <w:rsid w:val="68A026F3"/>
    <w:rsid w:val="68AF6C13"/>
    <w:rsid w:val="68F25680"/>
    <w:rsid w:val="68FB795E"/>
    <w:rsid w:val="69074555"/>
    <w:rsid w:val="690E07C7"/>
    <w:rsid w:val="69140A20"/>
    <w:rsid w:val="69236A65"/>
    <w:rsid w:val="692E469B"/>
    <w:rsid w:val="69315C48"/>
    <w:rsid w:val="694019EC"/>
    <w:rsid w:val="694841AF"/>
    <w:rsid w:val="69584DB4"/>
    <w:rsid w:val="695B5B89"/>
    <w:rsid w:val="696C3D80"/>
    <w:rsid w:val="696D7E94"/>
    <w:rsid w:val="697D0373"/>
    <w:rsid w:val="69821E2D"/>
    <w:rsid w:val="69863787"/>
    <w:rsid w:val="698A5EE4"/>
    <w:rsid w:val="69A27DD9"/>
    <w:rsid w:val="69B30239"/>
    <w:rsid w:val="69C811ED"/>
    <w:rsid w:val="69D33070"/>
    <w:rsid w:val="69E97E75"/>
    <w:rsid w:val="69EF33C0"/>
    <w:rsid w:val="69FB5D9E"/>
    <w:rsid w:val="69FF6FDA"/>
    <w:rsid w:val="6A09542B"/>
    <w:rsid w:val="6A143C4B"/>
    <w:rsid w:val="6A1A3007"/>
    <w:rsid w:val="6A1E645E"/>
    <w:rsid w:val="6A325601"/>
    <w:rsid w:val="6A3C6480"/>
    <w:rsid w:val="6A417049"/>
    <w:rsid w:val="6A4B221F"/>
    <w:rsid w:val="6A576E16"/>
    <w:rsid w:val="6A7903E5"/>
    <w:rsid w:val="6A8219B9"/>
    <w:rsid w:val="6A822A1B"/>
    <w:rsid w:val="6A8641F2"/>
    <w:rsid w:val="6A8B6AC0"/>
    <w:rsid w:val="6A9701A5"/>
    <w:rsid w:val="6AA03032"/>
    <w:rsid w:val="6AA86FEC"/>
    <w:rsid w:val="6AB06526"/>
    <w:rsid w:val="6ACB20F7"/>
    <w:rsid w:val="6AD54E94"/>
    <w:rsid w:val="6ADA6AC4"/>
    <w:rsid w:val="6ADB11D6"/>
    <w:rsid w:val="6B162534"/>
    <w:rsid w:val="6B1A2C3C"/>
    <w:rsid w:val="6B221F4E"/>
    <w:rsid w:val="6B31644D"/>
    <w:rsid w:val="6B486C86"/>
    <w:rsid w:val="6B546244"/>
    <w:rsid w:val="6B554C72"/>
    <w:rsid w:val="6B680BAF"/>
    <w:rsid w:val="6B774DF2"/>
    <w:rsid w:val="6B7834E8"/>
    <w:rsid w:val="6B847AD7"/>
    <w:rsid w:val="6B961F07"/>
    <w:rsid w:val="6B9A2DF9"/>
    <w:rsid w:val="6BA56BC7"/>
    <w:rsid w:val="6BAA11C7"/>
    <w:rsid w:val="6BAA566B"/>
    <w:rsid w:val="6BAC4619"/>
    <w:rsid w:val="6BB118FD"/>
    <w:rsid w:val="6BC60150"/>
    <w:rsid w:val="6BCD2823"/>
    <w:rsid w:val="6BD526E8"/>
    <w:rsid w:val="6BDD15DD"/>
    <w:rsid w:val="6BDF2966"/>
    <w:rsid w:val="6BE86A5F"/>
    <w:rsid w:val="6C053C7D"/>
    <w:rsid w:val="6C0D357A"/>
    <w:rsid w:val="6C186A79"/>
    <w:rsid w:val="6C2076DB"/>
    <w:rsid w:val="6C234DED"/>
    <w:rsid w:val="6C29198B"/>
    <w:rsid w:val="6C3A67D1"/>
    <w:rsid w:val="6C3D2157"/>
    <w:rsid w:val="6C3D2D5C"/>
    <w:rsid w:val="6C4800AA"/>
    <w:rsid w:val="6C4C04D0"/>
    <w:rsid w:val="6C4D28F8"/>
    <w:rsid w:val="6C573E9C"/>
    <w:rsid w:val="6C5C23DC"/>
    <w:rsid w:val="6C6D1126"/>
    <w:rsid w:val="6C7672FB"/>
    <w:rsid w:val="6C986334"/>
    <w:rsid w:val="6C9C4FB4"/>
    <w:rsid w:val="6CA35B3A"/>
    <w:rsid w:val="6CA41A5D"/>
    <w:rsid w:val="6CA479DF"/>
    <w:rsid w:val="6CAF588C"/>
    <w:rsid w:val="6CB4638E"/>
    <w:rsid w:val="6CBF3C6A"/>
    <w:rsid w:val="6CBF5306"/>
    <w:rsid w:val="6CD7423E"/>
    <w:rsid w:val="6CD930DF"/>
    <w:rsid w:val="6CDC1854"/>
    <w:rsid w:val="6CE70FA1"/>
    <w:rsid w:val="6CF05300"/>
    <w:rsid w:val="6CFA6351"/>
    <w:rsid w:val="6CFC3C40"/>
    <w:rsid w:val="6D231231"/>
    <w:rsid w:val="6D266F73"/>
    <w:rsid w:val="6D2F6F7D"/>
    <w:rsid w:val="6D480984"/>
    <w:rsid w:val="6D8079F9"/>
    <w:rsid w:val="6D8C5028"/>
    <w:rsid w:val="6D9B526C"/>
    <w:rsid w:val="6DB13E57"/>
    <w:rsid w:val="6DC245A2"/>
    <w:rsid w:val="6DC71662"/>
    <w:rsid w:val="6DCD5126"/>
    <w:rsid w:val="6DDB6CB0"/>
    <w:rsid w:val="6DE21877"/>
    <w:rsid w:val="6DE52ACD"/>
    <w:rsid w:val="6DF36E56"/>
    <w:rsid w:val="6DFC0B44"/>
    <w:rsid w:val="6E0458E7"/>
    <w:rsid w:val="6E212037"/>
    <w:rsid w:val="6E25722B"/>
    <w:rsid w:val="6E263D90"/>
    <w:rsid w:val="6E3B221B"/>
    <w:rsid w:val="6E475779"/>
    <w:rsid w:val="6E51424D"/>
    <w:rsid w:val="6E663C68"/>
    <w:rsid w:val="6E7764EF"/>
    <w:rsid w:val="6E8403F6"/>
    <w:rsid w:val="6E952B9A"/>
    <w:rsid w:val="6EA75E92"/>
    <w:rsid w:val="6EAD447C"/>
    <w:rsid w:val="6EAE5472"/>
    <w:rsid w:val="6EBC069A"/>
    <w:rsid w:val="6ECD7F59"/>
    <w:rsid w:val="6ECF449B"/>
    <w:rsid w:val="6ED975CA"/>
    <w:rsid w:val="6EED7C80"/>
    <w:rsid w:val="6EF03395"/>
    <w:rsid w:val="6EF773A4"/>
    <w:rsid w:val="6EFE1F56"/>
    <w:rsid w:val="6F03756C"/>
    <w:rsid w:val="6F174DC6"/>
    <w:rsid w:val="6F1A48B6"/>
    <w:rsid w:val="6F1E2E65"/>
    <w:rsid w:val="6F26325B"/>
    <w:rsid w:val="6F286FD3"/>
    <w:rsid w:val="6F2F2D9E"/>
    <w:rsid w:val="6F3A05FC"/>
    <w:rsid w:val="6F4147D9"/>
    <w:rsid w:val="6F455D89"/>
    <w:rsid w:val="6F5002D8"/>
    <w:rsid w:val="6F524050"/>
    <w:rsid w:val="6F581F47"/>
    <w:rsid w:val="6F5B0D5A"/>
    <w:rsid w:val="6F5C35EA"/>
    <w:rsid w:val="6F63625D"/>
    <w:rsid w:val="6F6B6A15"/>
    <w:rsid w:val="6F947E4B"/>
    <w:rsid w:val="6F9957DB"/>
    <w:rsid w:val="6FA30BDA"/>
    <w:rsid w:val="6FB21D4C"/>
    <w:rsid w:val="6FB80698"/>
    <w:rsid w:val="6FBA3D44"/>
    <w:rsid w:val="6FD9207B"/>
    <w:rsid w:val="6FF173C5"/>
    <w:rsid w:val="6FFD5E0F"/>
    <w:rsid w:val="70076BE8"/>
    <w:rsid w:val="701021F4"/>
    <w:rsid w:val="701C29A6"/>
    <w:rsid w:val="7024611F"/>
    <w:rsid w:val="702F7EED"/>
    <w:rsid w:val="7038498C"/>
    <w:rsid w:val="703F45D4"/>
    <w:rsid w:val="7053576D"/>
    <w:rsid w:val="70637B96"/>
    <w:rsid w:val="70797317"/>
    <w:rsid w:val="707E201F"/>
    <w:rsid w:val="7099044B"/>
    <w:rsid w:val="709A06E1"/>
    <w:rsid w:val="709D518F"/>
    <w:rsid w:val="709E387E"/>
    <w:rsid w:val="70B76860"/>
    <w:rsid w:val="70C268FE"/>
    <w:rsid w:val="70C759D3"/>
    <w:rsid w:val="70CD7E32"/>
    <w:rsid w:val="70CF2B23"/>
    <w:rsid w:val="70CF74E9"/>
    <w:rsid w:val="70D70CB1"/>
    <w:rsid w:val="70D80585"/>
    <w:rsid w:val="70FA674D"/>
    <w:rsid w:val="710952C1"/>
    <w:rsid w:val="713420C5"/>
    <w:rsid w:val="71347EB1"/>
    <w:rsid w:val="713954C7"/>
    <w:rsid w:val="713F70AB"/>
    <w:rsid w:val="71452CD8"/>
    <w:rsid w:val="71583F2D"/>
    <w:rsid w:val="7158683A"/>
    <w:rsid w:val="715B2F52"/>
    <w:rsid w:val="7167680B"/>
    <w:rsid w:val="716B1D9A"/>
    <w:rsid w:val="71764F23"/>
    <w:rsid w:val="71881188"/>
    <w:rsid w:val="71946576"/>
    <w:rsid w:val="71967E84"/>
    <w:rsid w:val="7197629F"/>
    <w:rsid w:val="71A61873"/>
    <w:rsid w:val="71AF4936"/>
    <w:rsid w:val="71B12351"/>
    <w:rsid w:val="71BB4E1E"/>
    <w:rsid w:val="71CD79BE"/>
    <w:rsid w:val="71D07496"/>
    <w:rsid w:val="71D75D0F"/>
    <w:rsid w:val="71F437A4"/>
    <w:rsid w:val="721919B3"/>
    <w:rsid w:val="72192C03"/>
    <w:rsid w:val="721A6098"/>
    <w:rsid w:val="721D18D3"/>
    <w:rsid w:val="72310D1A"/>
    <w:rsid w:val="7252306F"/>
    <w:rsid w:val="725D6B54"/>
    <w:rsid w:val="7294672D"/>
    <w:rsid w:val="7295497F"/>
    <w:rsid w:val="72986FA0"/>
    <w:rsid w:val="729B7ABC"/>
    <w:rsid w:val="72A17C99"/>
    <w:rsid w:val="72A2709C"/>
    <w:rsid w:val="72A5093A"/>
    <w:rsid w:val="72AD7197"/>
    <w:rsid w:val="72AF6F7E"/>
    <w:rsid w:val="72B15531"/>
    <w:rsid w:val="72BD2C86"/>
    <w:rsid w:val="72CD226C"/>
    <w:rsid w:val="72D27981"/>
    <w:rsid w:val="73047407"/>
    <w:rsid w:val="73047904"/>
    <w:rsid w:val="731A4E85"/>
    <w:rsid w:val="73253EFA"/>
    <w:rsid w:val="73353A6C"/>
    <w:rsid w:val="734C1A6A"/>
    <w:rsid w:val="73555EBD"/>
    <w:rsid w:val="735663B7"/>
    <w:rsid w:val="735C5949"/>
    <w:rsid w:val="73671287"/>
    <w:rsid w:val="736D1458"/>
    <w:rsid w:val="73737DA5"/>
    <w:rsid w:val="73740A39"/>
    <w:rsid w:val="73783823"/>
    <w:rsid w:val="737A61A6"/>
    <w:rsid w:val="73887B3E"/>
    <w:rsid w:val="73892412"/>
    <w:rsid w:val="738E13CF"/>
    <w:rsid w:val="73AF2114"/>
    <w:rsid w:val="73AF381F"/>
    <w:rsid w:val="73D47729"/>
    <w:rsid w:val="73E96BCA"/>
    <w:rsid w:val="73EE4A6E"/>
    <w:rsid w:val="741048BC"/>
    <w:rsid w:val="7419513C"/>
    <w:rsid w:val="742E78D4"/>
    <w:rsid w:val="74317498"/>
    <w:rsid w:val="74335A84"/>
    <w:rsid w:val="74367A9C"/>
    <w:rsid w:val="743A6A13"/>
    <w:rsid w:val="74676A28"/>
    <w:rsid w:val="747131CA"/>
    <w:rsid w:val="74714F78"/>
    <w:rsid w:val="747E40B6"/>
    <w:rsid w:val="74AA2238"/>
    <w:rsid w:val="74AC3224"/>
    <w:rsid w:val="74B21065"/>
    <w:rsid w:val="74BB2C83"/>
    <w:rsid w:val="74C01A5C"/>
    <w:rsid w:val="74C0380A"/>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1D9B"/>
    <w:rsid w:val="7561323F"/>
    <w:rsid w:val="756F17F9"/>
    <w:rsid w:val="757E5B9F"/>
    <w:rsid w:val="75825461"/>
    <w:rsid w:val="75907680"/>
    <w:rsid w:val="75916599"/>
    <w:rsid w:val="759926FC"/>
    <w:rsid w:val="75A24276"/>
    <w:rsid w:val="75AA231D"/>
    <w:rsid w:val="75AD6340"/>
    <w:rsid w:val="75B90985"/>
    <w:rsid w:val="75DF5F11"/>
    <w:rsid w:val="75E8633A"/>
    <w:rsid w:val="75ED062E"/>
    <w:rsid w:val="763224E5"/>
    <w:rsid w:val="76360227"/>
    <w:rsid w:val="76366479"/>
    <w:rsid w:val="76393874"/>
    <w:rsid w:val="763F09AA"/>
    <w:rsid w:val="764F12E9"/>
    <w:rsid w:val="764F3FCC"/>
    <w:rsid w:val="7650339F"/>
    <w:rsid w:val="76595CC4"/>
    <w:rsid w:val="76603C9A"/>
    <w:rsid w:val="766B00E5"/>
    <w:rsid w:val="7680773A"/>
    <w:rsid w:val="76832D41"/>
    <w:rsid w:val="768B2C28"/>
    <w:rsid w:val="76BB1CAB"/>
    <w:rsid w:val="76C04050"/>
    <w:rsid w:val="76D67314"/>
    <w:rsid w:val="76E00193"/>
    <w:rsid w:val="76E65049"/>
    <w:rsid w:val="76FA74A7"/>
    <w:rsid w:val="77076007"/>
    <w:rsid w:val="770F77AA"/>
    <w:rsid w:val="77183DD1"/>
    <w:rsid w:val="771A36A5"/>
    <w:rsid w:val="772B3B04"/>
    <w:rsid w:val="77413F7E"/>
    <w:rsid w:val="77464076"/>
    <w:rsid w:val="7758241F"/>
    <w:rsid w:val="777A7D22"/>
    <w:rsid w:val="777E28EC"/>
    <w:rsid w:val="77835654"/>
    <w:rsid w:val="7797109C"/>
    <w:rsid w:val="779A2A38"/>
    <w:rsid w:val="77B4450A"/>
    <w:rsid w:val="77B46E73"/>
    <w:rsid w:val="77E37A12"/>
    <w:rsid w:val="77F42148"/>
    <w:rsid w:val="77FE3468"/>
    <w:rsid w:val="780B1240"/>
    <w:rsid w:val="782347DB"/>
    <w:rsid w:val="78250553"/>
    <w:rsid w:val="7836450F"/>
    <w:rsid w:val="783B17B1"/>
    <w:rsid w:val="783B7D77"/>
    <w:rsid w:val="784E2046"/>
    <w:rsid w:val="78546F0C"/>
    <w:rsid w:val="786778FE"/>
    <w:rsid w:val="786F5A4D"/>
    <w:rsid w:val="789D588A"/>
    <w:rsid w:val="78B65E3A"/>
    <w:rsid w:val="78C95383"/>
    <w:rsid w:val="78D87374"/>
    <w:rsid w:val="78E0091E"/>
    <w:rsid w:val="78EB11BD"/>
    <w:rsid w:val="78EE1C79"/>
    <w:rsid w:val="78F85605"/>
    <w:rsid w:val="78FA66FA"/>
    <w:rsid w:val="79345B6A"/>
    <w:rsid w:val="79424F6E"/>
    <w:rsid w:val="794F33AE"/>
    <w:rsid w:val="795F3706"/>
    <w:rsid w:val="797239CC"/>
    <w:rsid w:val="797F54AB"/>
    <w:rsid w:val="79831473"/>
    <w:rsid w:val="79983E9C"/>
    <w:rsid w:val="7999527A"/>
    <w:rsid w:val="79AF76C5"/>
    <w:rsid w:val="79C25EE1"/>
    <w:rsid w:val="79CE2967"/>
    <w:rsid w:val="79E30EE8"/>
    <w:rsid w:val="79E34934"/>
    <w:rsid w:val="79EA664C"/>
    <w:rsid w:val="79F9627A"/>
    <w:rsid w:val="79FC3536"/>
    <w:rsid w:val="79FF6948"/>
    <w:rsid w:val="7A044199"/>
    <w:rsid w:val="7A0657CF"/>
    <w:rsid w:val="7A2F3BBF"/>
    <w:rsid w:val="7A2F459A"/>
    <w:rsid w:val="7A322A39"/>
    <w:rsid w:val="7A517022"/>
    <w:rsid w:val="7A6F5001"/>
    <w:rsid w:val="7A7720A0"/>
    <w:rsid w:val="7A846E66"/>
    <w:rsid w:val="7A8F7F06"/>
    <w:rsid w:val="7A9635B3"/>
    <w:rsid w:val="7AA2343E"/>
    <w:rsid w:val="7AD60EB8"/>
    <w:rsid w:val="7ADA73A4"/>
    <w:rsid w:val="7AE55396"/>
    <w:rsid w:val="7AE66B99"/>
    <w:rsid w:val="7AF34646"/>
    <w:rsid w:val="7AFE508C"/>
    <w:rsid w:val="7B0A3BCA"/>
    <w:rsid w:val="7B1C0EF4"/>
    <w:rsid w:val="7B1E510C"/>
    <w:rsid w:val="7B212805"/>
    <w:rsid w:val="7B234AF2"/>
    <w:rsid w:val="7B31720F"/>
    <w:rsid w:val="7B345AA9"/>
    <w:rsid w:val="7B4048C1"/>
    <w:rsid w:val="7B4C4049"/>
    <w:rsid w:val="7B4C5DF7"/>
    <w:rsid w:val="7B73082F"/>
    <w:rsid w:val="7B7B492E"/>
    <w:rsid w:val="7B98728E"/>
    <w:rsid w:val="7B9A3D1D"/>
    <w:rsid w:val="7BB46FBD"/>
    <w:rsid w:val="7BC02341"/>
    <w:rsid w:val="7BC62E00"/>
    <w:rsid w:val="7BC73B55"/>
    <w:rsid w:val="7BCD518A"/>
    <w:rsid w:val="7BD04C7A"/>
    <w:rsid w:val="7BE35E2A"/>
    <w:rsid w:val="7BF538C2"/>
    <w:rsid w:val="7BF66C24"/>
    <w:rsid w:val="7BFA1CC7"/>
    <w:rsid w:val="7BFB70B3"/>
    <w:rsid w:val="7C0251DA"/>
    <w:rsid w:val="7C0C0E4A"/>
    <w:rsid w:val="7C0E41D1"/>
    <w:rsid w:val="7C1052F2"/>
    <w:rsid w:val="7C21292C"/>
    <w:rsid w:val="7C2154D6"/>
    <w:rsid w:val="7C2668D9"/>
    <w:rsid w:val="7C32497F"/>
    <w:rsid w:val="7C3C69AE"/>
    <w:rsid w:val="7C43544C"/>
    <w:rsid w:val="7C631577"/>
    <w:rsid w:val="7C691974"/>
    <w:rsid w:val="7C8A6570"/>
    <w:rsid w:val="7C8B7390"/>
    <w:rsid w:val="7C9B0D0E"/>
    <w:rsid w:val="7CA42B03"/>
    <w:rsid w:val="7CBB76D8"/>
    <w:rsid w:val="7CC55E61"/>
    <w:rsid w:val="7CCC5441"/>
    <w:rsid w:val="7CD2318A"/>
    <w:rsid w:val="7CD2702A"/>
    <w:rsid w:val="7CD34C42"/>
    <w:rsid w:val="7CD46B29"/>
    <w:rsid w:val="7CDE3FF9"/>
    <w:rsid w:val="7CE26EBF"/>
    <w:rsid w:val="7CEE3130"/>
    <w:rsid w:val="7CFC08E8"/>
    <w:rsid w:val="7D0448EF"/>
    <w:rsid w:val="7D0E5A5A"/>
    <w:rsid w:val="7D1E1A15"/>
    <w:rsid w:val="7D1F6674"/>
    <w:rsid w:val="7D475E29"/>
    <w:rsid w:val="7D480B34"/>
    <w:rsid w:val="7D741635"/>
    <w:rsid w:val="7D777A3E"/>
    <w:rsid w:val="7D883F06"/>
    <w:rsid w:val="7D8E6457"/>
    <w:rsid w:val="7D9005BC"/>
    <w:rsid w:val="7D983576"/>
    <w:rsid w:val="7D9F0AD0"/>
    <w:rsid w:val="7DB22BDF"/>
    <w:rsid w:val="7DBA173E"/>
    <w:rsid w:val="7DD12BB7"/>
    <w:rsid w:val="7DF223A2"/>
    <w:rsid w:val="7DFF0955"/>
    <w:rsid w:val="7E0B750E"/>
    <w:rsid w:val="7E1939E8"/>
    <w:rsid w:val="7E1D3A7B"/>
    <w:rsid w:val="7E2400E7"/>
    <w:rsid w:val="7E2822EA"/>
    <w:rsid w:val="7E2A20CE"/>
    <w:rsid w:val="7E355A7B"/>
    <w:rsid w:val="7E455322"/>
    <w:rsid w:val="7E682F48"/>
    <w:rsid w:val="7E6E3E85"/>
    <w:rsid w:val="7E7C7B82"/>
    <w:rsid w:val="7E8F4979"/>
    <w:rsid w:val="7E991353"/>
    <w:rsid w:val="7E9C184B"/>
    <w:rsid w:val="7EA72948"/>
    <w:rsid w:val="7EB31EDB"/>
    <w:rsid w:val="7ED61132"/>
    <w:rsid w:val="7EE70CC0"/>
    <w:rsid w:val="7EEB48DB"/>
    <w:rsid w:val="7EF27444"/>
    <w:rsid w:val="7F185A04"/>
    <w:rsid w:val="7F265C58"/>
    <w:rsid w:val="7F3B240A"/>
    <w:rsid w:val="7F4C4618"/>
    <w:rsid w:val="7F4D13A6"/>
    <w:rsid w:val="7F582CF2"/>
    <w:rsid w:val="7F63430C"/>
    <w:rsid w:val="7F951B40"/>
    <w:rsid w:val="7FA501CC"/>
    <w:rsid w:val="7FA820A8"/>
    <w:rsid w:val="7FAF2DF8"/>
    <w:rsid w:val="7FB54C4E"/>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8">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autoRedefine/>
    <w:qFormat/>
    <w:uiPriority w:val="0"/>
    <w:pPr>
      <w:keepNext/>
      <w:keepLines/>
      <w:spacing w:before="260" w:after="260" w:line="416" w:lineRule="auto"/>
      <w:outlineLvl w:val="2"/>
    </w:pPr>
    <w:rPr>
      <w:b/>
      <w:bCs/>
      <w:sz w:val="32"/>
      <w:szCs w:val="32"/>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5"/>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
    <w:name w:val="大标题"/>
    <w:basedOn w:val="1"/>
    <w:next w:val="6"/>
    <w:autoRedefine/>
    <w:qFormat/>
    <w:uiPriority w:val="0"/>
    <w:pPr>
      <w:jc w:val="center"/>
    </w:pPr>
    <w:rPr>
      <w:rFonts w:ascii="Arial" w:hAnsi="Arial"/>
      <w:b/>
      <w:sz w:val="28"/>
    </w:rPr>
  </w:style>
  <w:style w:type="paragraph" w:styleId="6">
    <w:name w:val="Body Text First Indent 2"/>
    <w:basedOn w:val="7"/>
    <w:autoRedefine/>
    <w:qFormat/>
    <w:uiPriority w:val="0"/>
    <w:pPr>
      <w:ind w:firstLine="420" w:firstLineChars="200"/>
    </w:pPr>
  </w:style>
  <w:style w:type="paragraph" w:styleId="7">
    <w:name w:val="Body Text Indent"/>
    <w:basedOn w:val="1"/>
    <w:next w:val="6"/>
    <w:autoRedefine/>
    <w:qFormat/>
    <w:uiPriority w:val="0"/>
    <w:pPr>
      <w:widowControl/>
      <w:spacing w:beforeAutospacing="1" w:afterAutospacing="1"/>
      <w:jc w:val="left"/>
    </w:pPr>
    <w:rPr>
      <w:rFonts w:ascii="宋体" w:hAnsi="宋体" w:cs="宋体"/>
      <w:kern w:val="0"/>
      <w:sz w:val="24"/>
    </w:rPr>
  </w:style>
  <w:style w:type="paragraph" w:styleId="12">
    <w:name w:val="List Number"/>
    <w:basedOn w:val="1"/>
    <w:autoRedefine/>
    <w:qFormat/>
    <w:uiPriority w:val="0"/>
    <w:pPr>
      <w:widowControl/>
      <w:spacing w:beforeAutospacing="1" w:afterAutospacing="1"/>
      <w:jc w:val="left"/>
    </w:pPr>
    <w:rPr>
      <w:rFonts w:ascii="宋体" w:hAnsi="宋体" w:cs="宋体"/>
      <w:kern w:val="0"/>
      <w:sz w:val="24"/>
    </w:rPr>
  </w:style>
  <w:style w:type="paragraph" w:styleId="13">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4">
    <w:name w:val="Document Map"/>
    <w:basedOn w:val="1"/>
    <w:link w:val="77"/>
    <w:autoRedefine/>
    <w:qFormat/>
    <w:uiPriority w:val="0"/>
    <w:rPr>
      <w:rFonts w:ascii="宋体" w:hAnsi="Calibri"/>
      <w:sz w:val="18"/>
      <w:szCs w:val="18"/>
    </w:rPr>
  </w:style>
  <w:style w:type="paragraph" w:styleId="15">
    <w:name w:val="annotation text"/>
    <w:basedOn w:val="1"/>
    <w:autoRedefine/>
    <w:qFormat/>
    <w:uiPriority w:val="0"/>
    <w:pPr>
      <w:jc w:val="left"/>
    </w:pPr>
  </w:style>
  <w:style w:type="paragraph" w:styleId="16">
    <w:name w:val="Body Text 3"/>
    <w:basedOn w:val="1"/>
    <w:autoRedefine/>
    <w:qFormat/>
    <w:uiPriority w:val="0"/>
    <w:rPr>
      <w:sz w:val="16"/>
      <w:szCs w:val="16"/>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3"/>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3"/>
    <w:next w:val="6"/>
    <w:autoRedefine/>
    <w:qFormat/>
    <w:uiPriority w:val="0"/>
    <w:pPr>
      <w:spacing w:line="360" w:lineRule="auto"/>
      <w:ind w:firstLine="420" w:firstLineChars="100"/>
    </w:pPr>
    <w:rPr>
      <w:szCs w:val="21"/>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6"/>
    <w:link w:val="3"/>
    <w:autoRedefine/>
    <w:qFormat/>
    <w:uiPriority w:val="0"/>
  </w:style>
  <w:style w:type="character" w:customStyle="1" w:styleId="76">
    <w:name w:val="apple-converted-space"/>
    <w:basedOn w:val="36"/>
    <w:autoRedefine/>
    <w:qFormat/>
    <w:uiPriority w:val="0"/>
  </w:style>
  <w:style w:type="character" w:customStyle="1" w:styleId="77">
    <w:name w:val="文档结构图 Char"/>
    <w:link w:val="14"/>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 w:type="paragraph" w:customStyle="1" w:styleId="97">
    <w:name w:val="正文-标准"/>
    <w:basedOn w:val="1"/>
    <w:qFormat/>
    <w:uiPriority w:val="0"/>
    <w:pPr>
      <w:autoSpaceDE w:val="0"/>
      <w:autoSpaceDN w:val="0"/>
      <w:adjustRightInd w:val="0"/>
      <w:spacing w:line="360" w:lineRule="exact"/>
      <w:jc w:val="left"/>
    </w:pPr>
    <w:rPr>
      <w:kern w:val="21"/>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40</Pages>
  <Words>11689</Words>
  <Characters>12349</Characters>
  <Lines>50</Lines>
  <Paragraphs>68</Paragraphs>
  <TotalTime>0</TotalTime>
  <ScaleCrop>false</ScaleCrop>
  <LinksUpToDate>false</LinksUpToDate>
  <CharactersWithSpaces>12629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2026-06-23T09:36:39Z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6B4FDCA957CB4E82998C2E32247B97ED_13</vt:lpwstr>
  </property>
  <property fmtid="{D5CDD505-2E9C-101B-9397-08002B2CF9AE}" pid="4" name="KSOTemplateDocerSaveRecord">
    <vt:lpwstr>eyJoZGlkIjoiMzU0MTZjMjFkMjFjOGMwYTIzNWEzZDljNjYxZWI0MmYiLCJ1c2VySWQiOiIxNjg0NTc5MjM2In0=</vt:lpwstr>
  </property>
</Properties>
</file>