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E8487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p>
    <w:p w14:paraId="0C735D19">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黑体" w:hAnsi="黑体" w:eastAsia="黑体" w:cs="黑体"/>
          <w:b/>
          <w:bCs/>
          <w:color w:val="auto"/>
          <w:sz w:val="48"/>
          <w:szCs w:val="48"/>
          <w:highlight w:val="none"/>
          <w:lang w:val="en-US" w:eastAsia="zh-CN"/>
        </w:rPr>
      </w:pPr>
      <w:r>
        <w:rPr>
          <w:rFonts w:hint="eastAsia" w:ascii="黑体" w:hAnsi="黑体" w:eastAsia="黑体" w:cs="黑体"/>
          <w:b/>
          <w:bCs/>
          <w:color w:val="auto"/>
          <w:sz w:val="48"/>
          <w:szCs w:val="48"/>
          <w:highlight w:val="none"/>
          <w:lang w:val="en-US" w:eastAsia="zh-CN"/>
        </w:rPr>
        <w:t>驻马店市中心医院YAG眼科激光治疗仪、眼科超声雾化器采购项目</w:t>
      </w:r>
    </w:p>
    <w:p w14:paraId="43B7407E">
      <w:pPr>
        <w:pStyle w:val="20"/>
        <w:bidi w:val="0"/>
        <w:jc w:val="center"/>
        <w:rPr>
          <w:rStyle w:val="45"/>
          <w:rFonts w:hint="eastAsia" w:ascii="黑体" w:hAnsi="黑体" w:eastAsia="黑体" w:cs="黑体"/>
          <w:b/>
          <w:bCs/>
          <w:color w:val="auto"/>
          <w:sz w:val="44"/>
          <w:szCs w:val="44"/>
          <w:highlight w:val="none"/>
          <w:lang w:val="en-US" w:eastAsia="zh-CN"/>
        </w:rPr>
      </w:pPr>
    </w:p>
    <w:p w14:paraId="3041D311">
      <w:pPr>
        <w:pStyle w:val="20"/>
        <w:bidi w:val="0"/>
        <w:jc w:val="center"/>
        <w:rPr>
          <w:rStyle w:val="45"/>
          <w:rFonts w:hint="eastAsia" w:ascii="黑体" w:hAnsi="黑体" w:eastAsia="黑体" w:cs="黑体"/>
          <w:b/>
          <w:bCs/>
          <w:color w:val="auto"/>
          <w:sz w:val="44"/>
          <w:szCs w:val="44"/>
          <w:highlight w:val="none"/>
          <w:lang w:val="en-US" w:eastAsia="zh-CN"/>
        </w:rPr>
      </w:pPr>
    </w:p>
    <w:p w14:paraId="19B6CFE4">
      <w:pPr>
        <w:pStyle w:val="20"/>
        <w:bidi w:val="0"/>
        <w:jc w:val="center"/>
        <w:rPr>
          <w:rStyle w:val="45"/>
          <w:rFonts w:hint="eastAsia" w:ascii="黑体" w:hAnsi="黑体" w:eastAsia="黑体" w:cs="黑体"/>
          <w:b/>
          <w:bCs/>
          <w:color w:val="auto"/>
          <w:sz w:val="44"/>
          <w:szCs w:val="44"/>
          <w:highlight w:val="none"/>
          <w:lang w:val="en-US" w:eastAsia="zh-CN"/>
        </w:rPr>
      </w:pPr>
    </w:p>
    <w:p w14:paraId="72164425">
      <w:pPr>
        <w:pStyle w:val="20"/>
        <w:bidi w:val="0"/>
        <w:jc w:val="center"/>
        <w:rPr>
          <w:rStyle w:val="45"/>
          <w:rFonts w:hint="eastAsia" w:ascii="黑体" w:hAnsi="黑体" w:eastAsia="黑体" w:cs="黑体"/>
          <w:b/>
          <w:bCs/>
          <w:color w:val="auto"/>
          <w:sz w:val="56"/>
          <w:szCs w:val="56"/>
          <w:highlight w:val="none"/>
        </w:rPr>
      </w:pPr>
      <w:r>
        <w:rPr>
          <w:rStyle w:val="45"/>
          <w:rFonts w:hint="eastAsia" w:ascii="黑体" w:hAnsi="黑体" w:eastAsia="黑体" w:cs="黑体"/>
          <w:b/>
          <w:bCs/>
          <w:color w:val="auto"/>
          <w:sz w:val="56"/>
          <w:szCs w:val="56"/>
          <w:highlight w:val="none"/>
          <w:lang w:val="en-US" w:eastAsia="zh-CN"/>
        </w:rPr>
        <w:t>竞争性磋商</w:t>
      </w:r>
      <w:r>
        <w:rPr>
          <w:rStyle w:val="45"/>
          <w:rFonts w:hint="eastAsia" w:ascii="黑体" w:hAnsi="黑体" w:eastAsia="黑体" w:cs="黑体"/>
          <w:b/>
          <w:bCs/>
          <w:color w:val="auto"/>
          <w:sz w:val="56"/>
          <w:szCs w:val="56"/>
          <w:highlight w:val="none"/>
        </w:rPr>
        <w:t>文件</w:t>
      </w:r>
    </w:p>
    <w:p w14:paraId="44E388B3">
      <w:pPr>
        <w:pStyle w:val="20"/>
        <w:bidi w:val="0"/>
        <w:jc w:val="center"/>
        <w:rPr>
          <w:rStyle w:val="45"/>
          <w:rFonts w:hint="eastAsia" w:ascii="黑体" w:hAnsi="黑体" w:eastAsia="黑体" w:cs="黑体"/>
          <w:b/>
          <w:bCs/>
          <w:color w:val="auto"/>
          <w:sz w:val="48"/>
          <w:szCs w:val="48"/>
          <w:highlight w:val="none"/>
        </w:rPr>
      </w:pPr>
    </w:p>
    <w:p w14:paraId="158E927F">
      <w:pPr>
        <w:pStyle w:val="20"/>
        <w:bidi w:val="0"/>
        <w:jc w:val="center"/>
        <w:rPr>
          <w:rStyle w:val="45"/>
          <w:rFonts w:hint="eastAsia" w:ascii="黑体" w:hAnsi="黑体" w:eastAsia="黑体" w:cs="黑体"/>
          <w:b/>
          <w:bCs/>
          <w:color w:val="auto"/>
          <w:sz w:val="48"/>
          <w:szCs w:val="48"/>
          <w:highlight w:val="none"/>
        </w:rPr>
      </w:pPr>
    </w:p>
    <w:p w14:paraId="5ABC8E99">
      <w:pPr>
        <w:pStyle w:val="20"/>
        <w:bidi w:val="0"/>
        <w:jc w:val="center"/>
        <w:rPr>
          <w:rStyle w:val="45"/>
          <w:rFonts w:hint="eastAsia" w:ascii="黑体" w:hAnsi="黑体" w:eastAsia="黑体" w:cs="黑体"/>
          <w:b/>
          <w:bCs/>
          <w:color w:val="auto"/>
          <w:sz w:val="48"/>
          <w:szCs w:val="48"/>
          <w:highlight w:val="none"/>
        </w:rPr>
      </w:pPr>
    </w:p>
    <w:p w14:paraId="7B1AF9DD">
      <w:pPr>
        <w:tabs>
          <w:tab w:val="left" w:pos="2700"/>
          <w:tab w:val="left" w:pos="2880"/>
          <w:tab w:val="left" w:pos="3060"/>
          <w:tab w:val="left" w:pos="7560"/>
        </w:tabs>
        <w:snapToGrid w:val="0"/>
        <w:spacing w:line="480" w:lineRule="auto"/>
        <w:rPr>
          <w:rFonts w:hint="eastAsia" w:ascii="黑体" w:hAnsi="黑体" w:eastAsia="黑体" w:cs="黑体"/>
          <w:b/>
          <w:bCs/>
          <w:color w:val="auto"/>
          <w:spacing w:val="-10"/>
          <w:sz w:val="34"/>
          <w:szCs w:val="34"/>
          <w:highlight w:val="none"/>
          <w:lang w:val="en-US" w:eastAsia="zh-CN"/>
        </w:rPr>
      </w:pPr>
    </w:p>
    <w:p w14:paraId="658E6190">
      <w:pPr>
        <w:tabs>
          <w:tab w:val="left" w:pos="2700"/>
          <w:tab w:val="left" w:pos="2880"/>
          <w:tab w:val="left" w:pos="3060"/>
          <w:tab w:val="left" w:pos="7560"/>
        </w:tabs>
        <w:snapToGrid w:val="0"/>
        <w:spacing w:line="480" w:lineRule="auto"/>
        <w:ind w:firstLine="1928" w:firstLineChars="600"/>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采购代理机构：铭信工程咨询有限公司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eastAsia" w:ascii="黑体" w:hAnsi="黑体" w:eastAsia="黑体" w:cs="黑体"/>
          <w:b/>
          <w:bCs/>
          <w:color w:val="auto"/>
          <w:spacing w:val="-10"/>
          <w:sz w:val="34"/>
          <w:szCs w:val="34"/>
          <w:highlight w:val="none"/>
          <w:lang w:val="en-US" w:eastAsia="zh-CN"/>
        </w:rPr>
      </w:pPr>
      <w:r>
        <w:rPr>
          <w:rFonts w:hint="eastAsia" w:ascii="黑体" w:hAnsi="黑体" w:eastAsia="黑体" w:cs="黑体"/>
          <w:b/>
          <w:bCs/>
          <w:color w:val="auto"/>
          <w:spacing w:val="-10"/>
          <w:sz w:val="34"/>
          <w:szCs w:val="34"/>
          <w:highlight w:val="none"/>
          <w:lang w:val="en-US" w:eastAsia="zh-CN"/>
        </w:rPr>
        <w:t>日        期：2026年06月</w:t>
      </w:r>
    </w:p>
    <w:p w14:paraId="11E7A050">
      <w:pPr>
        <w:tabs>
          <w:tab w:val="left" w:pos="2505"/>
          <w:tab w:val="center" w:pos="4535"/>
        </w:tabs>
        <w:snapToGrid w:val="0"/>
        <w:spacing w:line="480" w:lineRule="auto"/>
        <w:jc w:val="center"/>
        <w:rPr>
          <w:rFonts w:hint="eastAsia" w:ascii="黑体" w:hAnsi="黑体" w:eastAsia="黑体" w:cs="黑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_Toc26528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第一章  </w:t>
      </w:r>
      <w:r>
        <w:rPr>
          <w:rFonts w:hint="eastAsia" w:ascii="宋体" w:hAnsi="宋体" w:eastAsia="宋体" w:cs="宋体"/>
          <w:color w:val="auto"/>
          <w:sz w:val="24"/>
          <w:szCs w:val="40"/>
          <w:highlight w:val="none"/>
          <w:lang w:val="en-US" w:eastAsia="zh-CN"/>
        </w:rPr>
        <w:t>竞争性磋商</w:t>
      </w:r>
      <w:r>
        <w:rPr>
          <w:rFonts w:hint="eastAsia" w:ascii="宋体" w:hAnsi="宋体" w:eastAsia="宋体" w:cs="宋体"/>
          <w:color w:val="auto"/>
          <w:sz w:val="24"/>
          <w:szCs w:val="40"/>
          <w:highlight w:val="none"/>
        </w:rPr>
        <w:t>公告</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_Toc26528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_Toc19124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第二章  </w:t>
      </w:r>
      <w:r>
        <w:rPr>
          <w:rFonts w:hint="eastAsia" w:ascii="宋体" w:hAnsi="宋体" w:eastAsia="宋体" w:cs="宋体"/>
          <w:color w:val="auto"/>
          <w:sz w:val="24"/>
          <w:szCs w:val="40"/>
          <w:highlight w:val="none"/>
          <w:lang w:eastAsia="zh-CN"/>
        </w:rPr>
        <w:t>采购</w:t>
      </w:r>
      <w:r>
        <w:rPr>
          <w:rFonts w:hint="eastAsia" w:ascii="宋体" w:hAnsi="宋体" w:eastAsia="宋体" w:cs="宋体"/>
          <w:color w:val="auto"/>
          <w:sz w:val="24"/>
          <w:szCs w:val="40"/>
          <w:highlight w:val="none"/>
        </w:rPr>
        <w:t>需求</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_Toc19124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5</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_Toc8501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sz w:val="24"/>
          <w:szCs w:val="40"/>
          <w:highlight w:val="none"/>
        </w:rPr>
        <w:t xml:space="preserve">第三章  </w:t>
      </w:r>
      <w:r>
        <w:rPr>
          <w:rFonts w:hint="eastAsia" w:ascii="宋体" w:hAnsi="宋体" w:eastAsia="宋体" w:cs="宋体"/>
          <w:bCs/>
          <w:color w:val="auto"/>
          <w:sz w:val="24"/>
          <w:szCs w:val="40"/>
          <w:highlight w:val="none"/>
          <w:lang w:eastAsia="zh-CN"/>
        </w:rPr>
        <w:t>供应商</w:t>
      </w:r>
      <w:r>
        <w:rPr>
          <w:rFonts w:hint="eastAsia" w:ascii="宋体" w:hAnsi="宋体" w:eastAsia="宋体" w:cs="宋体"/>
          <w:bCs/>
          <w:color w:val="auto"/>
          <w:sz w:val="24"/>
          <w:szCs w:val="40"/>
          <w:highlight w:val="none"/>
        </w:rPr>
        <w:t>须知</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_Toc8501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9</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_Toc31399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bCs/>
          <w:color w:val="auto"/>
          <w:kern w:val="0"/>
          <w:sz w:val="24"/>
          <w:szCs w:val="40"/>
          <w:highlight w:val="none"/>
        </w:rPr>
        <w:t>第四章  评标办法及评分标准</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_Toc31399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18</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32"/>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_Toc11904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36"/>
          <w:highlight w:val="none"/>
        </w:rPr>
        <w:t>第五章  采购合同</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_Toc11904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20</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highlight w:val="none"/>
        </w:rPr>
      </w:pPr>
      <w:r>
        <w:rPr>
          <w:rFonts w:hint="eastAsia" w:ascii="宋体" w:hAnsi="宋体" w:eastAsia="宋体" w:cs="宋体"/>
          <w:bCs/>
          <w:color w:val="auto"/>
          <w:sz w:val="24"/>
          <w:szCs w:val="40"/>
          <w:highlight w:val="none"/>
        </w:rPr>
        <w:fldChar w:fldCharType="begin"/>
      </w:r>
      <w:r>
        <w:rPr>
          <w:rFonts w:hint="eastAsia" w:ascii="宋体" w:hAnsi="宋体" w:eastAsia="宋体" w:cs="宋体"/>
          <w:bCs/>
          <w:color w:val="auto"/>
          <w:sz w:val="24"/>
          <w:szCs w:val="40"/>
          <w:highlight w:val="none"/>
        </w:rPr>
        <w:instrText xml:space="preserve"> HYPERLINK \l _Toc18702 </w:instrText>
      </w:r>
      <w:r>
        <w:rPr>
          <w:rFonts w:hint="eastAsia" w:ascii="宋体" w:hAnsi="宋体" w:eastAsia="宋体" w:cs="宋体"/>
          <w:bCs/>
          <w:color w:val="auto"/>
          <w:sz w:val="24"/>
          <w:szCs w:val="40"/>
          <w:highlight w:val="none"/>
        </w:rPr>
        <w:fldChar w:fldCharType="separate"/>
      </w:r>
      <w:r>
        <w:rPr>
          <w:rFonts w:hint="eastAsia" w:ascii="宋体" w:hAnsi="宋体" w:eastAsia="宋体" w:cs="宋体"/>
          <w:color w:val="auto"/>
          <w:sz w:val="24"/>
          <w:szCs w:val="40"/>
          <w:highlight w:val="none"/>
        </w:rPr>
        <w:t xml:space="preserve">第六章  </w:t>
      </w:r>
      <w:r>
        <w:rPr>
          <w:rFonts w:hint="eastAsia" w:ascii="宋体" w:hAnsi="宋体" w:eastAsia="宋体" w:cs="宋体"/>
          <w:color w:val="auto"/>
          <w:sz w:val="24"/>
          <w:szCs w:val="40"/>
          <w:highlight w:val="none"/>
          <w:lang w:val="en-US" w:eastAsia="zh-CN"/>
        </w:rPr>
        <w:t>响应</w:t>
      </w:r>
      <w:r>
        <w:rPr>
          <w:rFonts w:hint="eastAsia" w:ascii="宋体" w:hAnsi="宋体" w:eastAsia="宋体" w:cs="宋体"/>
          <w:color w:val="auto"/>
          <w:sz w:val="24"/>
          <w:szCs w:val="40"/>
          <w:highlight w:val="none"/>
        </w:rPr>
        <w:t>文件格式</w:t>
      </w:r>
      <w:r>
        <w:rPr>
          <w:rFonts w:hint="eastAsia" w:ascii="宋体" w:hAnsi="宋体" w:eastAsia="宋体" w:cs="宋体"/>
          <w:color w:val="auto"/>
          <w:sz w:val="24"/>
          <w:szCs w:val="32"/>
          <w:highlight w:val="none"/>
        </w:rPr>
        <w:tab/>
      </w:r>
      <w:r>
        <w:rPr>
          <w:rFonts w:hint="eastAsia" w:ascii="宋体" w:hAnsi="宋体" w:eastAsia="宋体" w:cs="宋体"/>
          <w:color w:val="auto"/>
          <w:sz w:val="24"/>
          <w:szCs w:val="32"/>
          <w:highlight w:val="none"/>
        </w:rPr>
        <w:fldChar w:fldCharType="begin"/>
      </w:r>
      <w:r>
        <w:rPr>
          <w:rFonts w:hint="eastAsia" w:ascii="宋体" w:hAnsi="宋体" w:eastAsia="宋体" w:cs="宋体"/>
          <w:color w:val="auto"/>
          <w:sz w:val="24"/>
          <w:szCs w:val="32"/>
          <w:highlight w:val="none"/>
        </w:rPr>
        <w:instrText xml:space="preserve"> PAGEREF _Toc18702 \h </w:instrText>
      </w:r>
      <w:r>
        <w:rPr>
          <w:rFonts w:hint="eastAsia" w:ascii="宋体" w:hAnsi="宋体" w:eastAsia="宋体" w:cs="宋体"/>
          <w:color w:val="auto"/>
          <w:sz w:val="24"/>
          <w:szCs w:val="32"/>
          <w:highlight w:val="none"/>
        </w:rPr>
        <w:fldChar w:fldCharType="separate"/>
      </w:r>
      <w:r>
        <w:rPr>
          <w:rFonts w:hint="eastAsia" w:ascii="宋体" w:hAnsi="宋体" w:eastAsia="宋体" w:cs="宋体"/>
          <w:color w:val="auto"/>
          <w:sz w:val="24"/>
          <w:szCs w:val="32"/>
          <w:highlight w:val="none"/>
        </w:rPr>
        <w:t>27</w:t>
      </w:r>
      <w:r>
        <w:rPr>
          <w:rFonts w:hint="eastAsia" w:ascii="宋体" w:hAnsi="宋体" w:eastAsia="宋体" w:cs="宋体"/>
          <w:color w:val="auto"/>
          <w:sz w:val="24"/>
          <w:szCs w:val="32"/>
          <w:highlight w:val="none"/>
        </w:rPr>
        <w:fldChar w:fldCharType="end"/>
      </w:r>
      <w:r>
        <w:rPr>
          <w:rFonts w:hint="eastAsia" w:ascii="宋体" w:hAnsi="宋体" w:eastAsia="宋体" w:cs="宋体"/>
          <w:bCs/>
          <w:color w:val="auto"/>
          <w:sz w:val="24"/>
          <w:szCs w:val="40"/>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0"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0"/>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驻马店市中心医院YAG眼科激光治疗仪、眼科超声雾化器采购项目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驻马店市中心医院现对</w:t>
      </w:r>
      <w:r>
        <w:rPr>
          <w:rFonts w:hint="eastAsia" w:ascii="宋体" w:hAnsi="宋体" w:eastAsia="宋体" w:cs="宋体"/>
          <w:color w:val="auto"/>
          <w:sz w:val="24"/>
          <w:szCs w:val="32"/>
          <w:highlight w:val="none"/>
          <w:u w:val="single"/>
          <w:lang w:val="en-US" w:eastAsia="zh-CN"/>
        </w:rPr>
        <w:t>YAG眼科激光治疗仪、眼科超声雾化器采购项目</w:t>
      </w:r>
      <w:r>
        <w:rPr>
          <w:rFonts w:hint="eastAsia" w:ascii="宋体" w:hAnsi="宋体" w:eastAsia="宋体" w:cs="宋体"/>
          <w:color w:val="auto"/>
          <w:sz w:val="24"/>
          <w:szCs w:val="32"/>
          <w:highlight w:val="none"/>
        </w:rPr>
        <w:t>进行院内</w:t>
      </w:r>
      <w:r>
        <w:rPr>
          <w:rFonts w:hint="eastAsia" w:ascii="宋体" w:hAnsi="宋体" w:eastAsia="宋体" w:cs="宋体"/>
          <w:color w:val="auto"/>
          <w:sz w:val="24"/>
          <w:szCs w:val="32"/>
          <w:highlight w:val="none"/>
          <w:lang w:val="en-US" w:eastAsia="zh-CN"/>
        </w:rPr>
        <w:t>竞争性磋商</w:t>
      </w:r>
      <w:r>
        <w:rPr>
          <w:rFonts w:hint="eastAsia" w:ascii="宋体" w:hAnsi="宋体" w:eastAsia="宋体" w:cs="宋体"/>
          <w:color w:val="auto"/>
          <w:sz w:val="24"/>
          <w:szCs w:val="32"/>
          <w:highlight w:val="none"/>
        </w:rPr>
        <w:t>采购，欢迎符合资格条件的供应商前来</w:t>
      </w:r>
      <w:r>
        <w:rPr>
          <w:rFonts w:hint="eastAsia" w:ascii="宋体" w:hAnsi="宋体" w:eastAsia="宋体" w:cs="宋体"/>
          <w:color w:val="auto"/>
          <w:sz w:val="24"/>
          <w:szCs w:val="32"/>
          <w:highlight w:val="none"/>
          <w:lang w:val="en-US" w:eastAsia="zh-CN"/>
        </w:rPr>
        <w:t>报名并</w:t>
      </w:r>
      <w:r>
        <w:rPr>
          <w:rFonts w:hint="eastAsia" w:ascii="宋体" w:hAnsi="宋体" w:eastAsia="宋体" w:cs="宋体"/>
          <w:color w:val="auto"/>
          <w:sz w:val="24"/>
          <w:szCs w:val="24"/>
          <w:highlight w:val="none"/>
        </w:rPr>
        <w:t>获取</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val="en-US" w:eastAsia="zh-CN"/>
        </w:rPr>
        <w:t>驻马店市中心医院YAG眼科激光治疗仪、眼科超声雾化器采购项目</w:t>
      </w:r>
      <w:r>
        <w:rPr>
          <w:rFonts w:hint="eastAsia" w:ascii="宋体" w:hAnsi="宋体" w:eastAsia="宋体" w:cs="宋体"/>
          <w:color w:val="auto"/>
          <w:sz w:val="24"/>
          <w:szCs w:val="24"/>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color w:val="auto"/>
          <w:sz w:val="24"/>
          <w:szCs w:val="24"/>
          <w:highlight w:val="none"/>
          <w:shd w:val="clear" w:color="auto" w:fill="FFFFFF"/>
          <w:lang w:eastAsia="zh-CN"/>
        </w:rPr>
        <w:t>：本项目共划分为两个标包，</w:t>
      </w:r>
      <w:r>
        <w:rPr>
          <w:rFonts w:hint="eastAsia" w:ascii="宋体" w:hAnsi="宋体" w:eastAsia="宋体" w:cs="宋体"/>
          <w:color w:val="auto"/>
          <w:sz w:val="24"/>
          <w:szCs w:val="24"/>
          <w:highlight w:val="none"/>
          <w:shd w:val="clear" w:color="auto" w:fill="FFFFFF"/>
          <w:lang w:val="en-US" w:eastAsia="zh-CN"/>
        </w:rPr>
        <w:t>包1为YAG眼科激光治疗仪，包2为眼科超声雾化器，</w:t>
      </w:r>
      <w:r>
        <w:rPr>
          <w:rFonts w:hint="eastAsia" w:ascii="宋体" w:hAnsi="宋体" w:eastAsia="宋体" w:cs="宋体"/>
          <w:color w:val="auto"/>
          <w:sz w:val="24"/>
          <w:szCs w:val="24"/>
          <w:highlight w:val="none"/>
          <w:shd w:val="clear" w:color="auto" w:fill="FFFFFF"/>
          <w:lang w:eastAsia="zh-CN"/>
        </w:rPr>
        <w:t>具体详见磋商文件第二章采购需求；</w:t>
      </w:r>
    </w:p>
    <w:p w14:paraId="10473C0A">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3</w:t>
      </w:r>
      <w:bookmarkStart w:id="1"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41万元；其中</w:t>
      </w:r>
      <w:r>
        <w:rPr>
          <w:rFonts w:hint="eastAsia" w:ascii="宋体" w:hAnsi="宋体" w:eastAsia="宋体" w:cs="宋体"/>
          <w:color w:val="auto"/>
          <w:sz w:val="24"/>
          <w:szCs w:val="24"/>
          <w:highlight w:val="none"/>
          <w:shd w:val="clear" w:color="auto" w:fill="FFFFFF"/>
        </w:rPr>
        <w:t>包1预算：</w:t>
      </w:r>
      <w:r>
        <w:rPr>
          <w:rFonts w:hint="eastAsia" w:ascii="宋体" w:hAnsi="宋体" w:eastAsia="宋体" w:cs="宋体"/>
          <w:color w:val="auto"/>
          <w:sz w:val="24"/>
          <w:szCs w:val="24"/>
          <w:highlight w:val="none"/>
          <w:shd w:val="clear" w:color="auto" w:fill="FFFFFF"/>
          <w:lang w:val="en-US" w:eastAsia="zh-CN"/>
        </w:rPr>
        <w:t>32万</w:t>
      </w:r>
      <w:r>
        <w:rPr>
          <w:rFonts w:hint="eastAsia" w:ascii="宋体" w:hAnsi="宋体" w:eastAsia="宋体" w:cs="宋体"/>
          <w:color w:val="auto"/>
          <w:sz w:val="24"/>
          <w:szCs w:val="24"/>
          <w:highlight w:val="none"/>
          <w:shd w:val="clear" w:color="auto" w:fill="FFFFFF"/>
        </w:rPr>
        <w:t>元</w:t>
      </w:r>
      <w:r>
        <w:rPr>
          <w:rFonts w:hint="eastAsia" w:ascii="宋体" w:hAnsi="宋体" w:cs="宋体"/>
          <w:color w:val="auto"/>
          <w:sz w:val="24"/>
          <w:szCs w:val="24"/>
          <w:highlight w:val="none"/>
          <w:shd w:val="clear" w:color="auto" w:fill="FFFFFF"/>
          <w:lang w:eastAsia="zh-CN"/>
        </w:rPr>
        <w:t>；</w:t>
      </w:r>
      <w:r>
        <w:rPr>
          <w:rFonts w:hint="eastAsia" w:ascii="宋体" w:hAnsi="宋体" w:eastAsia="宋体" w:cs="宋体"/>
          <w:color w:val="auto"/>
          <w:sz w:val="24"/>
          <w:szCs w:val="24"/>
          <w:highlight w:val="none"/>
          <w:shd w:val="clear" w:color="auto" w:fill="FFFFFF"/>
        </w:rPr>
        <w:t>包2预算：</w:t>
      </w:r>
      <w:r>
        <w:rPr>
          <w:rFonts w:hint="eastAsia" w:ascii="宋体" w:hAnsi="宋体" w:eastAsia="宋体" w:cs="宋体"/>
          <w:color w:val="auto"/>
          <w:sz w:val="24"/>
          <w:szCs w:val="24"/>
          <w:highlight w:val="none"/>
          <w:shd w:val="clear" w:color="auto" w:fill="FFFFFF"/>
          <w:lang w:val="en-US" w:eastAsia="zh-CN"/>
        </w:rPr>
        <w:t>9万</w:t>
      </w:r>
      <w:r>
        <w:rPr>
          <w:rFonts w:hint="eastAsia" w:ascii="宋体" w:hAnsi="宋体" w:eastAsia="宋体" w:cs="宋体"/>
          <w:color w:val="auto"/>
          <w:sz w:val="24"/>
          <w:szCs w:val="24"/>
          <w:highlight w:val="none"/>
          <w:shd w:val="clear" w:color="auto" w:fill="FFFFFF"/>
        </w:rPr>
        <w:t>元</w:t>
      </w:r>
      <w:r>
        <w:rPr>
          <w:rFonts w:hint="eastAsia" w:ascii="宋体" w:hAnsi="宋体" w:eastAsia="宋体" w:cs="宋体"/>
          <w:color w:val="auto"/>
          <w:sz w:val="24"/>
          <w:szCs w:val="24"/>
          <w:highlight w:val="none"/>
          <w:shd w:val="clear" w:color="auto" w:fill="FFFFFF"/>
          <w:lang w:eastAsia="zh-CN"/>
        </w:rPr>
        <w:t>。</w:t>
      </w:r>
    </w:p>
    <w:p w14:paraId="20C4296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4、交货期：合同签订后30日内交货。</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shd w:val="clear" w:color="auto" w:fill="FFFFFF"/>
          <w:lang w:val="en-US" w:eastAsia="zh-CN" w:bidi="ar-SA"/>
        </w:rPr>
      </w:pPr>
      <w:bookmarkStart w:id="2" w:name="_Toc27704"/>
      <w:bookmarkStart w:id="3" w:name="_Toc16639"/>
      <w:bookmarkStart w:id="4" w:name="_Toc18607"/>
      <w:bookmarkStart w:id="5" w:name="_Toc23626"/>
      <w:r>
        <w:rPr>
          <w:rFonts w:hint="eastAsia" w:ascii="宋体" w:hAnsi="宋体" w:eastAsia="宋体" w:cs="宋体"/>
          <w:b/>
          <w:bCs/>
          <w:color w:val="auto"/>
          <w:kern w:val="2"/>
          <w:sz w:val="24"/>
          <w:szCs w:val="24"/>
          <w:highlight w:val="none"/>
          <w:shd w:val="clear" w:color="auto" w:fill="FFFFFF"/>
          <w:lang w:val="en-US" w:eastAsia="zh-CN" w:bidi="ar-SA"/>
        </w:rPr>
        <w:t>二、</w:t>
      </w:r>
      <w:bookmarkEnd w:id="1"/>
      <w:bookmarkEnd w:id="2"/>
      <w:bookmarkEnd w:id="3"/>
      <w:bookmarkEnd w:id="4"/>
      <w:bookmarkEnd w:id="5"/>
      <w:r>
        <w:rPr>
          <w:rFonts w:hint="eastAsia" w:ascii="宋体" w:hAnsi="宋体" w:eastAsia="宋体" w:cs="宋体"/>
          <w:b/>
          <w:bCs/>
          <w:color w:val="auto"/>
          <w:kern w:val="2"/>
          <w:sz w:val="24"/>
          <w:szCs w:val="24"/>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bookmarkStart w:id="6" w:name="_Toc9562"/>
      <w:bookmarkStart w:id="7" w:name="_Toc30643"/>
      <w:bookmarkStart w:id="8" w:name="_Toc23395"/>
      <w:bookmarkStart w:id="9" w:name="_Toc7823"/>
      <w:bookmarkStart w:id="10" w:name="_Toc30971"/>
      <w:r>
        <w:rPr>
          <w:rFonts w:hint="eastAsia" w:ascii="宋体" w:hAnsi="宋体" w:eastAsia="宋体" w:cs="宋体"/>
          <w:color w:val="auto"/>
          <w:sz w:val="24"/>
          <w:szCs w:val="24"/>
          <w:highlight w:val="none"/>
          <w:shd w:val="clear" w:color="auto" w:fill="FFFFFF"/>
          <w:lang w:val="en-US" w:eastAsia="zh-CN"/>
        </w:rPr>
        <w:t>1、具有独立承担民事责任的能力（提供营业执照或其他证明材料）；</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2、具有良好的商业信誉和健全的财务会计制度（提供经审计的2024年或2025年度财务报告或者其基本开户银行出具的资信证明）；</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4、具有履行合同所必需的设备和专业技术能力（提供书面承诺函）；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24"/>
          <w:highlight w:val="none"/>
          <w:shd w:val="clear" w:color="auto" w:fill="FFFFFF"/>
          <w:lang w:val="en-US" w:eastAsia="zh-CN"/>
        </w:rPr>
        <w:t>5、参加本采购活动前三年内，在经营活动中没有重大违法记录（提供书面承诺函）；</w:t>
      </w:r>
    </w:p>
    <w:p w14:paraId="3F8D40C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7、单位负责人为同一人或者存在直接控股、管理关系的不同供应商，不得参加同一合同项下的磋商（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提供承诺函</w:t>
      </w:r>
      <w:r>
        <w:rPr>
          <w:rFonts w:hint="eastAsia" w:ascii="宋体" w:hAnsi="宋体" w:eastAsia="宋体" w:cs="宋体"/>
          <w:color w:val="auto"/>
          <w:sz w:val="24"/>
          <w:szCs w:val="24"/>
          <w:highlight w:val="none"/>
          <w:shd w:val="clear" w:color="auto" w:fill="FFFFFF"/>
          <w:lang w:val="en-US" w:eastAsia="zh-CN"/>
        </w:rPr>
        <w:t>）。</w:t>
      </w:r>
    </w:p>
    <w:p w14:paraId="1BD55662">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8、本项目特定资格要求：</w:t>
      </w:r>
    </w:p>
    <w:p w14:paraId="3F04E5E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8.1</w:t>
      </w:r>
      <w:r>
        <w:rPr>
          <w:rFonts w:hint="eastAsia" w:ascii="宋体" w:hAnsi="宋体" w:eastAsia="宋体" w:cs="宋体"/>
          <w:color w:val="auto"/>
          <w:kern w:val="2"/>
          <w:sz w:val="24"/>
          <w:szCs w:val="24"/>
          <w:highlight w:val="none"/>
          <w:lang w:val="en-US" w:eastAsia="zh-CN" w:bidi="ar-SA"/>
        </w:rPr>
        <w:t>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 w:val="24"/>
          <w:szCs w:val="24"/>
          <w:highlight w:val="none"/>
          <w:shd w:val="clear" w:color="auto" w:fill="FFFFFF"/>
          <w:lang w:val="en-US" w:eastAsia="zh-CN"/>
        </w:rPr>
        <w:t xml:space="preserve">                                  </w:t>
      </w:r>
    </w:p>
    <w:p w14:paraId="7AC8FE6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8.2供应商如为代理商的并所投产品如为进口产品的，需提供拟投产品制造商或中国境内办事处或中国总代理经销商针对本项目的授权书。</w:t>
      </w:r>
      <w:r>
        <w:rPr>
          <w:rFonts w:hint="eastAsia" w:ascii="宋体" w:hAnsi="宋体" w:cs="宋体"/>
          <w:color w:val="auto"/>
          <w:sz w:val="24"/>
          <w:szCs w:val="24"/>
          <w:highlight w:val="none"/>
          <w:shd w:val="clear" w:color="auto" w:fill="FFFFFF"/>
          <w:lang w:val="en-US" w:eastAsia="zh-CN"/>
        </w:rPr>
        <w:t>（该要求仅针对包1）</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80" w:firstLineChars="200"/>
        <w:jc w:val="left"/>
        <w:textAlignment w:val="auto"/>
        <w:outlineLvl w:val="1"/>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9、不接受联合体磋商。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三、获取采购文件</w:t>
      </w:r>
      <w:bookmarkEnd w:id="6"/>
      <w:bookmarkEnd w:id="7"/>
      <w:bookmarkEnd w:id="8"/>
      <w:bookmarkEnd w:id="9"/>
      <w:bookmarkEnd w:id="10"/>
    </w:p>
    <w:p w14:paraId="638A410B">
      <w:pPr>
        <w:keepNext w:val="0"/>
        <w:keepLines w:val="0"/>
        <w:pageBreakBefore w:val="0"/>
        <w:widowControl/>
        <w:kinsoku/>
        <w:overflowPunct/>
        <w:topLinePunct w:val="0"/>
        <w:autoSpaceDE/>
        <w:autoSpaceDN/>
        <w:bidi w:val="0"/>
        <w:adjustRightInd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 报名</w:t>
      </w:r>
      <w:r>
        <w:rPr>
          <w:rFonts w:hint="eastAsia" w:ascii="宋体" w:hAnsi="宋体" w:eastAsia="宋体" w:cs="宋体"/>
          <w:color w:val="auto"/>
          <w:sz w:val="24"/>
          <w:szCs w:val="24"/>
          <w:highlight w:val="none"/>
          <w:shd w:val="clear" w:color="auto" w:fill="FFFFFF"/>
        </w:rPr>
        <w:t>时间：202</w:t>
      </w: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1</w:t>
      </w:r>
      <w:r>
        <w:rPr>
          <w:rFonts w:hint="eastAsia" w:ascii="宋体" w:hAnsi="宋体" w:eastAsia="宋体" w:cs="宋体"/>
          <w:color w:val="auto"/>
          <w:sz w:val="24"/>
          <w:szCs w:val="24"/>
          <w:highlight w:val="none"/>
          <w:shd w:val="clear" w:color="auto" w:fill="FFFFFF"/>
        </w:rPr>
        <w:t>日-202</w:t>
      </w:r>
      <w:r>
        <w:rPr>
          <w:rFonts w:hint="eastAsia" w:ascii="宋体" w:hAnsi="宋体" w:eastAsia="宋体" w:cs="宋体"/>
          <w:color w:val="auto"/>
          <w:sz w:val="24"/>
          <w:szCs w:val="24"/>
          <w:highlight w:val="none"/>
          <w:shd w:val="clear" w:color="auto" w:fill="FFFFFF"/>
          <w:lang w:val="en-US" w:eastAsia="zh-CN"/>
        </w:rPr>
        <w:t>6</w:t>
      </w:r>
      <w:r>
        <w:rPr>
          <w:rFonts w:hint="eastAsia" w:ascii="宋体" w:hAnsi="宋体" w:eastAsia="宋体" w:cs="宋体"/>
          <w:color w:val="auto"/>
          <w:sz w:val="24"/>
          <w:szCs w:val="24"/>
          <w:highlight w:val="none"/>
          <w:shd w:val="clear" w:color="auto" w:fill="FFFFFF"/>
        </w:rPr>
        <w:t>年</w:t>
      </w:r>
      <w:r>
        <w:rPr>
          <w:rFonts w:hint="eastAsia" w:ascii="宋体" w:hAnsi="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月</w:t>
      </w:r>
      <w:r>
        <w:rPr>
          <w:rFonts w:hint="eastAsia" w:ascii="宋体" w:hAnsi="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日</w:t>
      </w:r>
      <w:r>
        <w:rPr>
          <w:rFonts w:hint="eastAsia" w:ascii="宋体" w:hAnsi="宋体" w:eastAsia="宋体" w:cs="宋体"/>
          <w:color w:val="auto"/>
          <w:sz w:val="24"/>
          <w:szCs w:val="24"/>
          <w:highlight w:val="none"/>
          <w:shd w:val="clear" w:color="auto" w:fill="FFFFFF"/>
        </w:rPr>
        <w:t>，上午</w:t>
      </w:r>
      <w:r>
        <w:rPr>
          <w:rFonts w:hint="eastAsia" w:ascii="宋体" w:hAnsi="宋体" w:eastAsia="宋体" w:cs="宋体"/>
          <w:color w:val="auto"/>
          <w:sz w:val="24"/>
          <w:szCs w:val="24"/>
          <w:highlight w:val="none"/>
          <w:shd w:val="clear" w:color="auto" w:fill="FFFFFF"/>
          <w:lang w:val="en-US" w:eastAsia="zh-CN"/>
        </w:rPr>
        <w:t>0</w:t>
      </w:r>
      <w:r>
        <w:rPr>
          <w:rFonts w:hint="eastAsia" w:ascii="宋体" w:hAnsi="宋体" w:eastAsia="宋体" w:cs="宋体"/>
          <w:color w:val="auto"/>
          <w:sz w:val="24"/>
          <w:szCs w:val="24"/>
          <w:highlight w:val="none"/>
          <w:shd w:val="clear" w:color="auto" w:fill="FFFFFF"/>
        </w:rPr>
        <w:t>8：</w:t>
      </w:r>
      <w:r>
        <w:rPr>
          <w:rFonts w:hint="eastAsia" w:ascii="宋体" w:hAnsi="宋体" w:eastAsia="宋体" w:cs="宋体"/>
          <w:color w:val="auto"/>
          <w:sz w:val="24"/>
          <w:szCs w:val="24"/>
          <w:highlight w:val="none"/>
          <w:shd w:val="clear" w:color="auto" w:fill="FFFFFF"/>
          <w:lang w:val="en-US" w:eastAsia="zh-CN"/>
        </w:rPr>
        <w:t>00</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下午</w:t>
      </w: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7</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shd w:val="clear" w:color="auto" w:fill="FFFFFF"/>
          <w:lang w:val="en-US" w:eastAsia="zh-CN"/>
        </w:rPr>
        <w:t>3</w:t>
      </w:r>
      <w:r>
        <w:rPr>
          <w:rFonts w:hint="eastAsia" w:ascii="宋体" w:hAnsi="宋体" w:eastAsia="宋体" w:cs="宋体"/>
          <w:color w:val="auto"/>
          <w:sz w:val="24"/>
          <w:szCs w:val="24"/>
          <w:highlight w:val="none"/>
          <w:shd w:val="clear" w:color="auto" w:fill="FFFFFF"/>
        </w:rPr>
        <w:t>0（北京时间，法定节假日除外）</w:t>
      </w:r>
      <w:r>
        <w:rPr>
          <w:rFonts w:hint="eastAsia" w:ascii="宋体" w:hAnsi="宋体" w:eastAsia="宋体" w:cs="宋体"/>
          <w:color w:val="auto"/>
          <w:sz w:val="24"/>
          <w:szCs w:val="24"/>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凡报名成功的供应商无故不来参与投标的，列入我院黑名单，一年内不得参与我院任何采购活动。</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80" w:firstLineChars="200"/>
        <w:jc w:val="left"/>
        <w:textAlignment w:val="auto"/>
        <w:rPr>
          <w:rFonts w:hint="eastAsia" w:ascii="宋体" w:hAnsi="宋体" w:eastAsia="宋体" w:cs="宋体"/>
          <w:color w:val="auto"/>
          <w:kern w:val="0"/>
          <w:sz w:val="24"/>
          <w:szCs w:val="24"/>
          <w:highlight w:val="none"/>
          <w:u w:val="singl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4"/>
          <w:szCs w:val="24"/>
          <w:highlight w:val="none"/>
          <w:shd w:val="clear" w:color="auto" w:fill="FFFFFF"/>
          <w:lang w:val="en-US" w:eastAsia="zh-CN" w:bidi="ar-SA"/>
        </w:rPr>
        <w:fldChar w:fldCharType="begin"/>
      </w:r>
      <w:r>
        <w:rPr>
          <w:rFonts w:hint="eastAsia" w:ascii="宋体" w:hAnsi="宋体" w:eastAsia="宋体" w:cs="宋体"/>
          <w:color w:val="auto"/>
          <w:kern w:val="0"/>
          <w:sz w:val="24"/>
          <w:szCs w:val="24"/>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highlight w:val="none"/>
          <w:shd w:val="clear" w:color="auto" w:fill="FFFFFF"/>
          <w:lang w:val="en-US" w:eastAsia="zh-CN" w:bidi="ar-SA"/>
        </w:rPr>
        <w:fldChar w:fldCharType="separate"/>
      </w:r>
      <w:r>
        <w:rPr>
          <w:rFonts w:hint="eastAsia" w:ascii="宋体" w:hAnsi="宋体" w:eastAsia="宋体" w:cs="宋体"/>
          <w:color w:val="auto"/>
          <w:kern w:val="0"/>
          <w:sz w:val="24"/>
          <w:szCs w:val="24"/>
          <w:highlight w:val="none"/>
          <w:shd w:val="clear" w:color="auto" w:fill="FFFFFF"/>
          <w:lang w:val="en-US" w:eastAsia="zh-CN" w:bidi="ar-SA"/>
        </w:rPr>
        <w:t>1434088236@qq.com,并标明“XX公司XX</w:t>
      </w:r>
      <w:r>
        <w:rPr>
          <w:rFonts w:hint="eastAsia" w:ascii="宋体" w:hAnsi="宋体" w:eastAsia="宋体" w:cs="宋体"/>
          <w:color w:val="auto"/>
          <w:kern w:val="0"/>
          <w:sz w:val="24"/>
          <w:szCs w:val="24"/>
          <w:highlight w:val="none"/>
          <w:shd w:val="clear" w:color="auto" w:fill="FFFFFF"/>
          <w:lang w:val="en-US" w:eastAsia="zh-CN" w:bidi="ar-SA"/>
        </w:rPr>
        <w:fldChar w:fldCharType="end"/>
      </w:r>
      <w:r>
        <w:rPr>
          <w:rFonts w:hint="eastAsia" w:ascii="宋体" w:hAnsi="宋体" w:eastAsia="宋体" w:cs="宋体"/>
          <w:color w:val="auto"/>
          <w:kern w:val="0"/>
          <w:sz w:val="24"/>
          <w:szCs w:val="24"/>
          <w:highlight w:val="none"/>
          <w:shd w:val="clear" w:color="auto" w:fill="FFFFFF"/>
          <w:lang w:val="en-US" w:eastAsia="zh-CN" w:bidi="ar-SA"/>
        </w:rPr>
        <w:t>项目+联系人及电话”</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4. 报名表：请从附件中下载。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1" w:name="_Toc25869"/>
      <w:bookmarkStart w:id="12" w:name="_Toc15111"/>
      <w:bookmarkStart w:id="13" w:name="_Toc27480"/>
      <w:bookmarkStart w:id="14" w:name="_Toc10738"/>
      <w:bookmarkStart w:id="15" w:name="_Toc15135"/>
      <w:r>
        <w:rPr>
          <w:rFonts w:hint="eastAsia" w:ascii="宋体" w:hAnsi="宋体" w:eastAsia="宋体" w:cs="宋体"/>
          <w:b/>
          <w:bCs/>
          <w:color w:val="auto"/>
          <w:kern w:val="2"/>
          <w:sz w:val="24"/>
          <w:szCs w:val="24"/>
          <w:highlight w:val="none"/>
          <w:shd w:val="clear" w:color="auto" w:fill="FFFFFF"/>
          <w:lang w:val="en-US" w:eastAsia="zh-CN" w:bidi="ar-SA"/>
        </w:rPr>
        <w:t>四、磋商截止时间及地点</w:t>
      </w:r>
      <w:bookmarkEnd w:id="11"/>
      <w:bookmarkEnd w:id="12"/>
      <w:bookmarkEnd w:id="13"/>
      <w:bookmarkEnd w:id="14"/>
      <w:bookmarkEnd w:id="15"/>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 时间：</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 地点：</w:t>
      </w:r>
      <w:r>
        <w:rPr>
          <w:rFonts w:hint="eastAsia" w:ascii="宋体" w:hAnsi="宋体" w:eastAsia="宋体" w:cs="宋体"/>
          <w:color w:val="auto"/>
          <w:sz w:val="24"/>
          <w:szCs w:val="24"/>
          <w:highlight w:val="none"/>
          <w:shd w:val="clear" w:color="auto" w:fill="auto"/>
          <w:lang w:val="en-US" w:eastAsia="zh-CN"/>
        </w:rPr>
        <w:t>另行通知</w:t>
      </w:r>
      <w:r>
        <w:rPr>
          <w:rFonts w:hint="eastAsia" w:ascii="宋体" w:hAnsi="宋体" w:eastAsia="宋体" w:cs="宋体"/>
          <w:color w:val="auto"/>
          <w:kern w:val="0"/>
          <w:sz w:val="24"/>
          <w:szCs w:val="24"/>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16" w:name="_Toc29784"/>
      <w:bookmarkStart w:id="17" w:name="_Toc6523"/>
      <w:bookmarkStart w:id="18" w:name="_Toc30918"/>
      <w:bookmarkStart w:id="19" w:name="_Toc20287"/>
      <w:r>
        <w:rPr>
          <w:rFonts w:hint="eastAsia" w:ascii="宋体" w:hAnsi="宋体" w:eastAsia="宋体" w:cs="宋体"/>
          <w:b/>
          <w:bCs/>
          <w:color w:val="auto"/>
          <w:kern w:val="2"/>
          <w:sz w:val="24"/>
          <w:szCs w:val="24"/>
          <w:highlight w:val="none"/>
          <w:shd w:val="clear" w:color="auto" w:fill="FFFFFF"/>
          <w:lang w:val="en-US" w:eastAsia="zh-CN" w:bidi="ar-SA"/>
        </w:rPr>
        <w:t>六、发布公告的媒介及</w:t>
      </w:r>
      <w:r>
        <w:rPr>
          <w:rFonts w:hint="eastAsia" w:ascii="宋体" w:hAnsi="宋体" w:eastAsia="宋体" w:cs="宋体"/>
          <w:b/>
          <w:bCs/>
          <w:color w:val="auto"/>
          <w:sz w:val="24"/>
          <w:szCs w:val="24"/>
          <w:highlight w:val="none"/>
          <w:shd w:val="clear" w:color="auto" w:fill="auto"/>
          <w:lang w:val="en-US" w:eastAsia="zh-CN"/>
        </w:rPr>
        <w:t>采购</w:t>
      </w:r>
      <w:r>
        <w:rPr>
          <w:rFonts w:hint="eastAsia" w:ascii="宋体" w:hAnsi="宋体" w:eastAsia="宋体" w:cs="宋体"/>
          <w:b/>
          <w:bCs/>
          <w:color w:val="auto"/>
          <w:kern w:val="2"/>
          <w:sz w:val="24"/>
          <w:szCs w:val="24"/>
          <w:highlight w:val="none"/>
          <w:shd w:val="clear" w:color="auto" w:fill="FFFFFF"/>
          <w:lang w:val="en-US" w:eastAsia="zh-CN" w:bidi="ar-SA"/>
        </w:rPr>
        <w:t>公告期限</w:t>
      </w:r>
      <w:bookmarkEnd w:id="16"/>
      <w:bookmarkEnd w:id="17"/>
      <w:bookmarkEnd w:id="18"/>
      <w:bookmarkEnd w:id="19"/>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本次</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kern w:val="0"/>
          <w:sz w:val="24"/>
          <w:szCs w:val="24"/>
          <w:highlight w:val="none"/>
          <w:shd w:val="clear" w:color="auto" w:fill="FFFFFF"/>
          <w:lang w:val="en-US" w:eastAsia="zh-CN" w:bidi="ar-SA"/>
        </w:rPr>
        <w:t>公告在《驻马店市中心医院》院内网</w:t>
      </w:r>
      <w:r>
        <w:rPr>
          <w:rFonts w:hint="eastAsia" w:ascii="宋体" w:hAnsi="宋体" w:eastAsia="宋体" w:cs="宋体"/>
          <w:color w:val="auto"/>
          <w:sz w:val="24"/>
          <w:szCs w:val="24"/>
          <w:highlight w:val="none"/>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0" w:name="_Toc35393626"/>
      <w:bookmarkStart w:id="21" w:name="_Toc35393795"/>
    </w:p>
    <w:bookmarkEnd w:id="20"/>
    <w:bookmarkEnd w:id="21"/>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2" w:name="_Toc24274"/>
      <w:bookmarkStart w:id="23" w:name="_Toc16291"/>
      <w:bookmarkStart w:id="24" w:name="_Toc31928"/>
      <w:bookmarkStart w:id="25" w:name="_Toc3604"/>
      <w:bookmarkStart w:id="26" w:name="_Toc27370"/>
      <w:r>
        <w:rPr>
          <w:rFonts w:hint="eastAsia" w:ascii="宋体" w:hAnsi="宋体" w:eastAsia="宋体" w:cs="宋体"/>
          <w:b/>
          <w:bCs/>
          <w:color w:val="auto"/>
          <w:kern w:val="2"/>
          <w:sz w:val="24"/>
          <w:szCs w:val="24"/>
          <w:highlight w:val="none"/>
          <w:shd w:val="clear" w:color="auto" w:fill="FFFFFF"/>
          <w:lang w:val="en-US" w:eastAsia="zh-CN" w:bidi="ar-SA"/>
        </w:rPr>
        <w:t>七、</w:t>
      </w:r>
      <w:bookmarkEnd w:id="22"/>
      <w:bookmarkEnd w:id="23"/>
      <w:bookmarkEnd w:id="24"/>
      <w:bookmarkEnd w:id="25"/>
      <w:bookmarkEnd w:id="26"/>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2.采购代理机构：铭信工程咨询有限公司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地址：郑州市郑东新区平安大道201号博雅广场4号楼1006室</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联系人：米先生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联系方式：18239603376</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3.监督部门：驻马店市中心医院纪检监察室</w:t>
      </w:r>
      <w:bookmarkStart w:id="77" w:name="_GoBack"/>
      <w:bookmarkEnd w:id="77"/>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righ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80" w:firstLineChars="200"/>
        <w:jc w:val="center"/>
        <w:textAlignment w:val="auto"/>
        <w:rPr>
          <w:rFonts w:hint="eastAsia" w:ascii="宋体" w:hAnsi="宋体" w:eastAsia="宋体" w:cs="宋体"/>
          <w:color w:val="0000FF"/>
          <w:kern w:val="2"/>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 xml:space="preserve">                                                 </w:t>
      </w:r>
      <w:r>
        <w:rPr>
          <w:rFonts w:hint="eastAsia" w:ascii="宋体" w:hAnsi="宋体" w:eastAsia="宋体" w:cs="宋体"/>
          <w:color w:val="0000FF"/>
          <w:kern w:val="2"/>
          <w:sz w:val="24"/>
          <w:szCs w:val="24"/>
          <w:highlight w:val="none"/>
          <w:shd w:val="clear" w:color="auto" w:fill="FFFFFF"/>
          <w:lang w:val="en-US" w:eastAsia="zh-CN" w:bidi="ar-SA"/>
        </w:rPr>
        <w:t xml:space="preserve"> </w:t>
      </w:r>
      <w:r>
        <w:rPr>
          <w:rFonts w:hint="eastAsia" w:ascii="宋体" w:hAnsi="宋体" w:eastAsia="宋体" w:cs="宋体"/>
          <w:color w:val="auto"/>
          <w:kern w:val="2"/>
          <w:sz w:val="24"/>
          <w:szCs w:val="24"/>
          <w:highlight w:val="none"/>
          <w:shd w:val="clear" w:color="auto" w:fill="FFFFFF"/>
          <w:lang w:val="en-US" w:eastAsia="zh-CN" w:bidi="ar-SA"/>
        </w:rPr>
        <w:t>2026年</w:t>
      </w:r>
      <w:r>
        <w:rPr>
          <w:rFonts w:hint="eastAsia" w:ascii="宋体" w:hAnsi="宋体" w:cs="宋体"/>
          <w:color w:val="auto"/>
          <w:kern w:val="2"/>
          <w:sz w:val="24"/>
          <w:szCs w:val="24"/>
          <w:highlight w:val="none"/>
          <w:shd w:val="clear" w:color="auto" w:fill="FFFFFF"/>
          <w:lang w:val="en-US" w:eastAsia="zh-CN" w:bidi="ar-SA"/>
        </w:rPr>
        <w:t>6</w:t>
      </w:r>
      <w:r>
        <w:rPr>
          <w:rFonts w:hint="eastAsia" w:ascii="宋体" w:hAnsi="宋体" w:eastAsia="宋体" w:cs="宋体"/>
          <w:color w:val="auto"/>
          <w:kern w:val="2"/>
          <w:sz w:val="24"/>
          <w:szCs w:val="24"/>
          <w:highlight w:val="none"/>
          <w:shd w:val="clear" w:color="auto" w:fill="FFFFFF"/>
          <w:lang w:val="en-US" w:eastAsia="zh-CN" w:bidi="ar-SA"/>
        </w:rPr>
        <w:t>月</w:t>
      </w:r>
      <w:r>
        <w:rPr>
          <w:rFonts w:hint="eastAsia" w:ascii="宋体" w:hAnsi="宋体" w:cs="宋体"/>
          <w:color w:val="auto"/>
          <w:kern w:val="2"/>
          <w:sz w:val="24"/>
          <w:szCs w:val="24"/>
          <w:highlight w:val="none"/>
          <w:shd w:val="clear" w:color="auto" w:fill="FFFFFF"/>
          <w:lang w:val="en-US" w:eastAsia="zh-CN" w:bidi="ar-SA"/>
        </w:rPr>
        <w:t>30</w:t>
      </w:r>
      <w:r>
        <w:rPr>
          <w:rFonts w:hint="eastAsia" w:ascii="宋体" w:hAnsi="宋体" w:eastAsia="宋体" w:cs="宋体"/>
          <w:color w:val="auto"/>
          <w:kern w:val="2"/>
          <w:sz w:val="24"/>
          <w:szCs w:val="24"/>
          <w:highlight w:val="none"/>
          <w:shd w:val="clear" w:color="auto" w:fill="FFFFFF"/>
          <w:lang w:val="en-US" w:eastAsia="zh-CN" w:bidi="ar-SA"/>
        </w:rPr>
        <w:t>日</w:t>
      </w:r>
    </w:p>
    <w:p w14:paraId="1C0E0222">
      <w:pPr>
        <w:rPr>
          <w:rFonts w:hint="eastAsia" w:ascii="宋体" w:hAnsi="宋体" w:eastAsia="宋体" w:cs="宋体"/>
          <w:b/>
          <w:color w:val="auto"/>
          <w:sz w:val="32"/>
          <w:szCs w:val="32"/>
          <w:highlight w:val="none"/>
        </w:rPr>
      </w:pPr>
      <w:bookmarkStart w:id="27" w:name="_Toc29890"/>
      <w:bookmarkStart w:id="28" w:name="_Toc23793"/>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29"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29"/>
      <w:bookmarkStart w:id="30" w:name="_Toc31536"/>
      <w:bookmarkStart w:id="31" w:name="_Toc9989"/>
      <w:bookmarkStart w:id="32" w:name="_Toc23610"/>
    </w:p>
    <w:bookmarkEnd w:id="27"/>
    <w:bookmarkEnd w:id="28"/>
    <w:bookmarkEnd w:id="30"/>
    <w:bookmarkEnd w:id="31"/>
    <w:bookmarkEnd w:id="32"/>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4"/>
          <w:szCs w:val="24"/>
          <w:highlight w:val="none"/>
          <w:u w:val="none"/>
          <w:lang w:val="en-US" w:eastAsia="zh-CN"/>
        </w:rPr>
      </w:pPr>
      <w:r>
        <w:rPr>
          <w:rFonts w:hint="eastAsia" w:ascii="宋体" w:hAnsi="宋体" w:eastAsia="宋体" w:cs="宋体"/>
          <w:b/>
          <w:bCs/>
          <w:i w:val="0"/>
          <w:iCs/>
          <w:color w:val="auto"/>
          <w:sz w:val="24"/>
          <w:szCs w:val="24"/>
          <w:highlight w:val="none"/>
          <w:u w:val="none"/>
          <w:lang w:val="en-US" w:eastAsia="zh-CN"/>
        </w:rPr>
        <w:t>项目名称：</w:t>
      </w:r>
      <w:r>
        <w:rPr>
          <w:rFonts w:hint="eastAsia" w:ascii="宋体" w:hAnsi="宋体" w:eastAsia="宋体" w:cs="宋体"/>
          <w:b w:val="0"/>
          <w:bCs w:val="0"/>
          <w:i w:val="0"/>
          <w:iCs/>
          <w:color w:val="auto"/>
          <w:sz w:val="24"/>
          <w:szCs w:val="24"/>
          <w:highlight w:val="none"/>
          <w:u w:val="none"/>
          <w:lang w:val="en-US" w:eastAsia="zh-CN"/>
        </w:rPr>
        <w:t>驻马店市中心医院YAG眼科激光治疗仪、眼科超声雾化器采购项目</w:t>
      </w:r>
    </w:p>
    <w:p w14:paraId="774013EF">
      <w:pPr>
        <w:pStyle w:val="7"/>
        <w:keepNext w:val="0"/>
        <w:keepLines w:val="0"/>
        <w:pageBreakBefore w:val="0"/>
        <w:widowControl/>
        <w:numPr>
          <w:ilvl w:val="0"/>
          <w:numId w:val="1"/>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采购标的清单：</w:t>
      </w:r>
    </w:p>
    <w:tbl>
      <w:tblPr>
        <w:tblStyle w:val="35"/>
        <w:tblW w:w="86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2329"/>
        <w:gridCol w:w="850"/>
        <w:gridCol w:w="967"/>
        <w:gridCol w:w="1384"/>
        <w:gridCol w:w="1110"/>
        <w:gridCol w:w="1240"/>
        <w:gridCol w:w="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800"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eastAsia="zh-CN"/>
              </w:rPr>
              <w:t>包号</w:t>
            </w:r>
          </w:p>
        </w:tc>
        <w:tc>
          <w:tcPr>
            <w:tcW w:w="2329"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设备</w:t>
            </w:r>
            <w:r>
              <w:rPr>
                <w:rFonts w:hint="eastAsia" w:ascii="宋体" w:hAnsi="宋体" w:eastAsia="宋体" w:cs="宋体"/>
                <w:b/>
                <w:bCs/>
                <w:color w:val="auto"/>
                <w:sz w:val="24"/>
                <w:szCs w:val="24"/>
                <w:highlight w:val="none"/>
              </w:rPr>
              <w:t>名称</w:t>
            </w:r>
          </w:p>
        </w:tc>
        <w:tc>
          <w:tcPr>
            <w:tcW w:w="8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单位</w:t>
            </w:r>
          </w:p>
        </w:tc>
        <w:tc>
          <w:tcPr>
            <w:tcW w:w="967"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数量</w:t>
            </w:r>
          </w:p>
        </w:tc>
        <w:tc>
          <w:tcPr>
            <w:tcW w:w="1384" w:type="dxa"/>
            <w:vAlign w:val="center"/>
          </w:tcPr>
          <w:p w14:paraId="665A7C5C">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资金</w:t>
            </w:r>
          </w:p>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rPr>
              <w:t>预算</w:t>
            </w:r>
          </w:p>
        </w:tc>
        <w:tc>
          <w:tcPr>
            <w:tcW w:w="1110" w:type="dxa"/>
            <w:vAlign w:val="center"/>
          </w:tcPr>
          <w:p w14:paraId="0C32BA6B">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资金</w:t>
            </w:r>
          </w:p>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性质</w:t>
            </w:r>
          </w:p>
        </w:tc>
        <w:tc>
          <w:tcPr>
            <w:tcW w:w="1245" w:type="dxa"/>
            <w:gridSpan w:val="2"/>
            <w:vAlign w:val="center"/>
          </w:tcPr>
          <w:p w14:paraId="0D5173FD">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国产/</w:t>
            </w:r>
          </w:p>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包1</w:t>
            </w:r>
          </w:p>
        </w:tc>
        <w:tc>
          <w:tcPr>
            <w:tcW w:w="2329"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both"/>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YAG眼科激光治疗仪</w:t>
            </w:r>
          </w:p>
        </w:tc>
        <w:tc>
          <w:tcPr>
            <w:tcW w:w="8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67"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1384"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32万元</w:t>
            </w:r>
          </w:p>
        </w:tc>
        <w:tc>
          <w:tcPr>
            <w:tcW w:w="1110"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自筹</w:t>
            </w:r>
          </w:p>
        </w:tc>
        <w:tc>
          <w:tcPr>
            <w:tcW w:w="1245" w:type="dxa"/>
            <w:gridSpan w:val="2"/>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cs="宋体"/>
                <w:color w:val="auto"/>
                <w:sz w:val="24"/>
                <w:szCs w:val="24"/>
                <w:highlight w:val="none"/>
                <w:vertAlign w:val="baseline"/>
                <w:lang w:val="en-US" w:eastAsia="zh-CN"/>
              </w:rPr>
              <w:t>接受</w:t>
            </w:r>
            <w:r>
              <w:rPr>
                <w:rFonts w:hint="eastAsia" w:ascii="宋体" w:hAnsi="宋体" w:eastAsia="宋体" w:cs="宋体"/>
                <w:color w:val="auto"/>
                <w:sz w:val="24"/>
                <w:szCs w:val="24"/>
                <w:highlight w:val="none"/>
                <w:vertAlign w:val="baseline"/>
                <w:lang w:val="en-US" w:eastAsia="zh-CN"/>
              </w:rPr>
              <w:t>进口</w:t>
            </w:r>
          </w:p>
        </w:tc>
      </w:tr>
      <w:tr w14:paraId="3E0E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0" w:type="dxa"/>
            <w:shd w:val="clear" w:color="auto" w:fill="auto"/>
            <w:vAlign w:val="center"/>
          </w:tcPr>
          <w:p w14:paraId="6416713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包2</w:t>
            </w:r>
          </w:p>
        </w:tc>
        <w:tc>
          <w:tcPr>
            <w:tcW w:w="2329" w:type="dxa"/>
            <w:shd w:val="clear" w:color="auto" w:fill="auto"/>
            <w:vAlign w:val="center"/>
          </w:tcPr>
          <w:p w14:paraId="38DB08A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left"/>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眼科超声雾化器</w:t>
            </w:r>
          </w:p>
        </w:tc>
        <w:tc>
          <w:tcPr>
            <w:tcW w:w="850" w:type="dxa"/>
            <w:shd w:val="clear" w:color="auto" w:fill="auto"/>
            <w:vAlign w:val="center"/>
          </w:tcPr>
          <w:p w14:paraId="197BA99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台</w:t>
            </w:r>
          </w:p>
        </w:tc>
        <w:tc>
          <w:tcPr>
            <w:tcW w:w="967" w:type="dxa"/>
            <w:shd w:val="clear" w:color="auto" w:fill="auto"/>
            <w:vAlign w:val="center"/>
          </w:tcPr>
          <w:p w14:paraId="4EF069A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1384" w:type="dxa"/>
            <w:shd w:val="clear" w:color="auto" w:fill="auto"/>
            <w:vAlign w:val="center"/>
          </w:tcPr>
          <w:p w14:paraId="18C2AE4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9万元</w:t>
            </w:r>
          </w:p>
        </w:tc>
        <w:tc>
          <w:tcPr>
            <w:tcW w:w="1110" w:type="dxa"/>
            <w:shd w:val="clear" w:color="auto" w:fill="auto"/>
            <w:vAlign w:val="center"/>
          </w:tcPr>
          <w:p w14:paraId="0AC976E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自筹</w:t>
            </w:r>
          </w:p>
        </w:tc>
        <w:tc>
          <w:tcPr>
            <w:tcW w:w="1245" w:type="dxa"/>
            <w:gridSpan w:val="2"/>
            <w:shd w:val="clear" w:color="auto" w:fill="auto"/>
            <w:vAlign w:val="center"/>
          </w:tcPr>
          <w:p w14:paraId="31DF1F1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800" w:type="dxa"/>
            <w:vAlign w:val="center"/>
          </w:tcPr>
          <w:p w14:paraId="14EDC7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合计</w:t>
            </w:r>
          </w:p>
        </w:tc>
        <w:tc>
          <w:tcPr>
            <w:tcW w:w="7880" w:type="dxa"/>
            <w:gridSpan w:val="6"/>
            <w:vAlign w:val="center"/>
          </w:tcPr>
          <w:p w14:paraId="777C43F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41万元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 w:type="dxa"/>
          <w:jc w:val="center"/>
        </w:trPr>
        <w:tc>
          <w:tcPr>
            <w:tcW w:w="800" w:type="dxa"/>
            <w:vAlign w:val="center"/>
          </w:tcPr>
          <w:p w14:paraId="217B087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备注</w:t>
            </w:r>
          </w:p>
        </w:tc>
        <w:tc>
          <w:tcPr>
            <w:tcW w:w="7880" w:type="dxa"/>
            <w:gridSpan w:val="6"/>
            <w:vAlign w:val="center"/>
          </w:tcPr>
          <w:p w14:paraId="7E6757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vertAlign w:val="baseline"/>
                <w:lang w:val="en-US" w:eastAsia="zh-CN"/>
              </w:rPr>
              <w:t>/</w:t>
            </w:r>
          </w:p>
        </w:tc>
      </w:tr>
    </w:tbl>
    <w:p w14:paraId="54173A23">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二、技术要求：</w:t>
      </w:r>
    </w:p>
    <w:p w14:paraId="754313E3">
      <w:pPr>
        <w:numPr>
          <w:ilvl w:val="0"/>
          <w:numId w:val="0"/>
        </w:numPr>
        <w:spacing w:line="48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包</w:t>
      </w:r>
      <w:r>
        <w:rPr>
          <w:rFonts w:hint="eastAsia" w:ascii="宋体" w:hAnsi="宋体" w:cs="宋体"/>
          <w:b/>
          <w:bCs/>
          <w:color w:val="auto"/>
          <w:kern w:val="2"/>
          <w:sz w:val="24"/>
          <w:szCs w:val="24"/>
          <w:highlight w:val="none"/>
          <w:lang w:val="en-US" w:eastAsia="zh-CN" w:bidi="ar-SA"/>
        </w:rPr>
        <w:t>1</w:t>
      </w:r>
      <w:r>
        <w:rPr>
          <w:rFonts w:hint="eastAsia" w:ascii="宋体" w:hAnsi="宋体" w:eastAsia="宋体" w:cs="宋体"/>
          <w:b/>
          <w:bCs/>
          <w:color w:val="auto"/>
          <w:kern w:val="2"/>
          <w:sz w:val="24"/>
          <w:szCs w:val="24"/>
          <w:highlight w:val="none"/>
          <w:lang w:val="en-US" w:eastAsia="zh-CN" w:bidi="ar-SA"/>
        </w:rPr>
        <w:t>：YAG眼科激光治疗仪技术参数</w:t>
      </w:r>
    </w:p>
    <w:p w14:paraId="17FC6CA7">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1. 基本要求：适用于眼科后囊膜切开术以及周边虹膜切开术（必须提供证明文件）</w:t>
      </w:r>
    </w:p>
    <w:p w14:paraId="7A6F5675">
      <w:pPr>
        <w:numPr>
          <w:ilvl w:val="0"/>
          <w:numId w:val="0"/>
        </w:num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2. 激光参数 </w:t>
      </w:r>
    </w:p>
    <w:p w14:paraId="1D63CA10">
      <w:pPr>
        <w:numPr>
          <w:ilvl w:val="0"/>
          <w:numId w:val="0"/>
        </w:num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2.1激光类型：Q开关Nd:YAG半导体激光，激光波长1064nm </w:t>
      </w:r>
    </w:p>
    <w:p w14:paraId="5356D91A">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2.2 激光分布：超高斯模式（或其他能确保能量分布均匀的技术）</w:t>
      </w:r>
    </w:p>
    <w:p w14:paraId="7025A77B">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2.3瞄准方式：多点瞄准模式</w:t>
      </w:r>
    </w:p>
    <w:p w14:paraId="2C399F7F">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2.4爆破能量：空气≤2.5mJ</w:t>
      </w:r>
    </w:p>
    <w:p w14:paraId="517464D3">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2.5 能量等级：能量级别≥22级，可进行细微调节</w:t>
      </w:r>
    </w:p>
    <w:p w14:paraId="23E8B122">
      <w:pPr>
        <w:ind w:firstLine="720" w:firstLineChars="3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脉冲能量：0.3-10 mJ，连续可调，初始能量低至0.3mJ</w:t>
      </w:r>
    </w:p>
    <w:p w14:paraId="5550DAFA">
      <w:pPr>
        <w:numPr>
          <w:ilvl w:val="0"/>
          <w:numId w:val="0"/>
        </w:num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2.6能量参数：单脉冲最大能量：≥10mJ（需提供检测报告证明）双脉冲最大能量：≥25mJ。三脉冲最大能量：≥35mJ。</w:t>
      </w:r>
    </w:p>
    <w:p w14:paraId="6B9F6371">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2.7光路设计：激光与裂隙灯一体化内耦合设计</w:t>
      </w:r>
    </w:p>
    <w:p w14:paraId="65BBE8AF">
      <w:pPr>
        <w:numPr>
          <w:ilvl w:val="0"/>
          <w:numId w:val="0"/>
        </w:num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2.8 聚焦性能：焦点光斑直径≤10μm，光束汇聚角≥16°。</w:t>
      </w:r>
    </w:p>
    <w:p w14:paraId="32866095">
      <w:pPr>
        <w:numPr>
          <w:ilvl w:val="0"/>
          <w:numId w:val="0"/>
        </w:num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2.9 安全爆破点位移：至少有三种可调，-150um～150um</w:t>
      </w:r>
    </w:p>
    <w:p w14:paraId="2D75CAD5">
      <w:pPr>
        <w:numPr>
          <w:ilvl w:val="0"/>
          <w:numId w:val="0"/>
        </w:numP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  3. 裂隙灯参数</w:t>
      </w:r>
    </w:p>
    <w:p w14:paraId="67C63413">
      <w:pPr>
        <w:numPr>
          <w:ilvl w:val="0"/>
          <w:numId w:val="0"/>
        </w:num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3.1 采用原厂进口同一品牌。</w:t>
      </w:r>
    </w:p>
    <w:p w14:paraId="1865DEB1">
      <w:pPr>
        <w:numPr>
          <w:ilvl w:val="0"/>
          <w:numId w:val="0"/>
        </w:num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3.2 照明方式：采用底置式光源，确保操作视野无遮挡。</w:t>
      </w:r>
    </w:p>
    <w:p w14:paraId="7C874423">
      <w:pPr>
        <w:numPr>
          <w:ilvl w:val="0"/>
          <w:numId w:val="0"/>
        </w:num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3.3 放大倍率：≥5档（10×目镜下需包含5×, 8×, 12×, 20×, 32×）。</w:t>
      </w:r>
    </w:p>
    <w:p w14:paraId="443EC826">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3.4 镜筒：f= 140mm镜筒，瞳距55mm－78mm可调；</w:t>
      </w:r>
    </w:p>
    <w:p w14:paraId="7CB37492">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3.5 目镜：±8.00D的屈光补偿；12.5×</w:t>
      </w:r>
    </w:p>
    <w:p w14:paraId="0F24EDD0">
      <w:pPr>
        <w:ind w:firstLine="240" w:firstLineChars="1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3.6 裂隙宽度：0～14mm连续可调；裂隙长度：1/3/5/9/14mm可调</w:t>
      </w:r>
    </w:p>
    <w:p w14:paraId="35E0E9CC">
      <w:pPr>
        <w:numPr>
          <w:ilvl w:val="0"/>
          <w:numId w:val="0"/>
        </w:numPr>
        <w:spacing w:line="480" w:lineRule="auto"/>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包</w:t>
      </w:r>
      <w:r>
        <w:rPr>
          <w:rFonts w:hint="eastAsia" w:ascii="宋体" w:hAnsi="宋体" w:cs="宋体"/>
          <w:b/>
          <w:bCs/>
          <w:color w:val="auto"/>
          <w:kern w:val="2"/>
          <w:sz w:val="24"/>
          <w:szCs w:val="24"/>
          <w:highlight w:val="none"/>
          <w:lang w:val="en-US" w:eastAsia="zh-CN" w:bidi="ar-SA"/>
        </w:rPr>
        <w:t>2</w:t>
      </w:r>
      <w:r>
        <w:rPr>
          <w:rFonts w:hint="eastAsia" w:ascii="宋体" w:hAnsi="宋体" w:eastAsia="宋体" w:cs="宋体"/>
          <w:b/>
          <w:bCs/>
          <w:color w:val="auto"/>
          <w:kern w:val="2"/>
          <w:sz w:val="24"/>
          <w:szCs w:val="24"/>
          <w:highlight w:val="none"/>
          <w:lang w:val="en-US" w:eastAsia="zh-CN" w:bidi="ar-SA"/>
        </w:rPr>
        <w:t>：眼科超声雾化器技术参数</w:t>
      </w:r>
    </w:p>
    <w:p w14:paraId="26222273">
      <w:pP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（一）</w:t>
      </w:r>
      <w:r>
        <w:rPr>
          <w:rFonts w:hint="eastAsia" w:ascii="宋体" w:hAnsi="宋体" w:eastAsia="宋体" w:cs="宋体"/>
          <w:b/>
          <w:bCs/>
          <w:sz w:val="24"/>
          <w:szCs w:val="24"/>
          <w:lang w:val="en-US" w:eastAsia="zh-CN"/>
        </w:rPr>
        <w:t>设备用途：</w:t>
      </w:r>
    </w:p>
    <w:p w14:paraId="07DDCAAD">
      <w:pPr>
        <w:jc w:val="left"/>
        <w:rPr>
          <w:rFonts w:hint="eastAsia" w:ascii="宋体" w:hAnsi="宋体" w:eastAsia="宋体" w:cs="宋体"/>
          <w:kern w:val="2"/>
          <w:sz w:val="24"/>
          <w:szCs w:val="24"/>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眼科超声雾化器，集超声雾化、中药熏蒸、热敷睑板腺等多种功能，再配合睑板腺按摩及睑缘清洁，可有效缓解治疗干眼症。</w:t>
      </w:r>
    </w:p>
    <w:p w14:paraId="13B32641">
      <w:pPr>
        <w:numPr>
          <w:ilvl w:val="0"/>
          <w:numId w:val="0"/>
        </w:numPr>
        <w:bidi w:val="0"/>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val="en-US" w:eastAsia="zh-CN"/>
        </w:rPr>
        <w:t>技术参数：</w:t>
      </w:r>
    </w:p>
    <w:p w14:paraId="1944C623">
      <w:pPr>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1、适用范围：用于将液体雾化、加热并输送雾化气体至眼部，以达治疗干眼症的目的；                                             </w:t>
      </w:r>
    </w:p>
    <w:p w14:paraId="4E478937">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★2、保温功能：具有保温按键；  </w:t>
      </w:r>
    </w:p>
    <w:p w14:paraId="42E8E356">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★3、超声雾化总量：≥4g；              </w:t>
      </w:r>
    </w:p>
    <w:p w14:paraId="56A236F4">
      <w:pPr>
        <w:numPr>
          <w:ilvl w:val="0"/>
          <w:numId w:val="0"/>
        </w:numPr>
        <w:ind w:leftChars="0"/>
        <w:jc w:val="left"/>
        <w:rPr>
          <w:rFonts w:hint="eastAsia" w:ascii="宋体" w:hAnsi="宋体" w:eastAsia="宋体" w:cs="宋体"/>
          <w:b w:val="0"/>
          <w:bCs w:val="0"/>
          <w:sz w:val="24"/>
          <w:szCs w:val="24"/>
          <w:lang w:val="en-US" w:eastAsia="zh-CN"/>
        </w:rPr>
      </w:pPr>
      <w:r>
        <w:rPr>
          <w:rFonts w:hint="eastAsia" w:ascii="宋体" w:hAnsi="宋体" w:eastAsia="宋体" w:cs="宋体"/>
          <w:sz w:val="24"/>
          <w:szCs w:val="24"/>
          <w:lang w:val="en-US" w:eastAsia="zh-CN"/>
        </w:rPr>
        <w:t>★4、加热锅气体最高温度不高于55℃；</w:t>
      </w:r>
      <w:r>
        <w:rPr>
          <w:rFonts w:hint="eastAsia" w:ascii="宋体" w:hAnsi="宋体" w:eastAsia="宋体" w:cs="宋体"/>
          <w:b w:val="0"/>
          <w:bCs w:val="0"/>
          <w:sz w:val="24"/>
          <w:szCs w:val="24"/>
          <w:lang w:val="en-US" w:eastAsia="zh-CN"/>
        </w:rPr>
        <w:t xml:space="preserve">    </w:t>
      </w:r>
    </w:p>
    <w:p w14:paraId="7D0A5D28">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5、温度范围：30-42℃；                                     </w:t>
      </w:r>
    </w:p>
    <w:p w14:paraId="0AE34F6E">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6、雾化颗粒分布特性：额定体积中位粒径4μm  误差±25%；       </w:t>
      </w:r>
    </w:p>
    <w:p w14:paraId="7E7477B9">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7、主机超声工作频率：2.4MHz   误差±10%；                  </w:t>
      </w:r>
    </w:p>
    <w:p w14:paraId="08F168A4">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8、最大雾化率：≥1ml/min；                                </w:t>
      </w:r>
    </w:p>
    <w:p w14:paraId="52695837">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9、整机噪声：≤50dB（A）（距离主机1m）；                     </w:t>
      </w:r>
    </w:p>
    <w:p w14:paraId="402E2195">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10、连续工作及水槽水温：开机连续工作4h水槽水温≤60℃；  </w:t>
      </w:r>
    </w:p>
    <w:p w14:paraId="1A48A3CC">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11、定时功能：5min至30min，步进为5min，定时误差±30s，长按定时进入连续工作模式。当设备治疗完成自动停止工作，并有相应的提示信息；     </w:t>
      </w:r>
    </w:p>
    <w:p w14:paraId="097F238B">
      <w:pPr>
        <w:numPr>
          <w:ilvl w:val="0"/>
          <w:numId w:val="0"/>
        </w:numPr>
        <w:ind w:leftChars="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12、低水位停机功能：加热锅或水槽内水位过低时，设备发出缺水提示，并停止雾化；                                                   </w:t>
      </w:r>
    </w:p>
    <w:p w14:paraId="4B87D086">
      <w:pPr>
        <w:numPr>
          <w:ilvl w:val="0"/>
          <w:numId w:val="0"/>
        </w:numPr>
        <w:ind w:left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★13、可以加中药、也可以加西药，机器内部自主升温降温，无需外置加热管路（加热丝等）；</w:t>
      </w:r>
    </w:p>
    <w:p w14:paraId="52146886">
      <w:pPr>
        <w:pStyle w:val="24"/>
        <w:rPr>
          <w:rFonts w:hint="eastAsia" w:ascii="宋体" w:hAnsi="宋体" w:eastAsia="宋体" w:cs="宋体"/>
          <w:color w:val="FF0000"/>
          <w:lang w:val="en-US" w:eastAsia="zh-CN"/>
        </w:rPr>
      </w:pPr>
    </w:p>
    <w:p w14:paraId="698CD440">
      <w:pPr>
        <w:jc w:val="center"/>
        <w:rPr>
          <w:rFonts w:hint="eastAsia" w:ascii="宋体" w:hAnsi="宋体" w:eastAsia="宋体" w:cs="宋体"/>
          <w:b/>
          <w:bCs/>
          <w:color w:val="auto"/>
          <w:sz w:val="30"/>
          <w:szCs w:val="30"/>
          <w:highlight w:val="none"/>
        </w:rPr>
      </w:pPr>
    </w:p>
    <w:p w14:paraId="05F7CDF2">
      <w:pPr>
        <w:jc w:val="center"/>
        <w:rPr>
          <w:rFonts w:hint="eastAsia" w:ascii="宋体" w:hAnsi="宋体" w:eastAsia="宋体" w:cs="宋体"/>
          <w:b/>
          <w:bCs/>
          <w:color w:val="auto"/>
          <w:sz w:val="30"/>
          <w:szCs w:val="30"/>
          <w:highlight w:val="none"/>
        </w:rPr>
      </w:pPr>
    </w:p>
    <w:p w14:paraId="330C29AB">
      <w:pPr>
        <w:jc w:val="center"/>
        <w:rPr>
          <w:rFonts w:hint="eastAsia" w:ascii="宋体" w:hAnsi="宋体" w:eastAsia="宋体" w:cs="宋体"/>
          <w:b/>
          <w:bCs/>
          <w:color w:val="auto"/>
          <w:sz w:val="30"/>
          <w:szCs w:val="30"/>
          <w:highlight w:val="none"/>
        </w:rPr>
      </w:pPr>
    </w:p>
    <w:p w14:paraId="0B6B8D5C">
      <w:pPr>
        <w:jc w:val="center"/>
        <w:rPr>
          <w:rFonts w:hint="eastAsia" w:ascii="宋体" w:hAnsi="宋体" w:eastAsia="宋体" w:cs="宋体"/>
          <w:b/>
          <w:bCs/>
          <w:color w:val="auto"/>
          <w:sz w:val="30"/>
          <w:szCs w:val="30"/>
          <w:highlight w:val="none"/>
        </w:rPr>
      </w:pPr>
    </w:p>
    <w:p w14:paraId="27A51922">
      <w:pPr>
        <w:jc w:val="center"/>
        <w:rPr>
          <w:rFonts w:hint="eastAsia" w:ascii="宋体" w:hAnsi="宋体" w:eastAsia="宋体" w:cs="宋体"/>
          <w:b/>
          <w:bCs/>
          <w:color w:val="auto"/>
          <w:sz w:val="30"/>
          <w:szCs w:val="30"/>
          <w:highlight w:val="none"/>
        </w:rPr>
      </w:pPr>
    </w:p>
    <w:p w14:paraId="2A200DCC">
      <w:pPr>
        <w:jc w:val="center"/>
        <w:rPr>
          <w:rFonts w:hint="eastAsia" w:ascii="宋体" w:hAnsi="宋体" w:eastAsia="宋体" w:cs="宋体"/>
          <w:b/>
          <w:bCs/>
          <w:color w:val="auto"/>
          <w:sz w:val="30"/>
          <w:szCs w:val="30"/>
          <w:highlight w:val="none"/>
        </w:rPr>
      </w:pPr>
    </w:p>
    <w:p w14:paraId="7EA980B0">
      <w:pPr>
        <w:jc w:val="center"/>
        <w:rPr>
          <w:rFonts w:hint="eastAsia" w:ascii="宋体" w:hAnsi="宋体" w:eastAsia="宋体" w:cs="宋体"/>
          <w:b/>
          <w:bCs/>
          <w:color w:val="auto"/>
          <w:sz w:val="30"/>
          <w:szCs w:val="30"/>
          <w:highlight w:val="none"/>
        </w:rPr>
      </w:pPr>
    </w:p>
    <w:p w14:paraId="5C541C79">
      <w:pPr>
        <w:jc w:val="center"/>
        <w:rPr>
          <w:rFonts w:hint="eastAsia" w:ascii="宋体" w:hAnsi="宋体" w:eastAsia="宋体" w:cs="宋体"/>
          <w:b/>
          <w:bCs/>
          <w:color w:val="auto"/>
          <w:sz w:val="30"/>
          <w:szCs w:val="30"/>
          <w:highlight w:val="none"/>
        </w:rPr>
      </w:pPr>
    </w:p>
    <w:p w14:paraId="0A55EF04">
      <w:pPr>
        <w:jc w:val="center"/>
        <w:rPr>
          <w:rFonts w:hint="eastAsia" w:ascii="宋体" w:hAnsi="宋体" w:eastAsia="宋体" w:cs="宋体"/>
          <w:b/>
          <w:bCs/>
          <w:color w:val="auto"/>
          <w:sz w:val="30"/>
          <w:szCs w:val="30"/>
          <w:highlight w:val="none"/>
        </w:rPr>
      </w:pPr>
    </w:p>
    <w:p w14:paraId="21B96925">
      <w:pPr>
        <w:jc w:val="center"/>
        <w:rPr>
          <w:rFonts w:hint="eastAsia" w:ascii="宋体" w:hAnsi="宋体" w:eastAsia="宋体" w:cs="宋体"/>
          <w:b/>
          <w:bCs/>
          <w:color w:val="auto"/>
          <w:sz w:val="30"/>
          <w:szCs w:val="30"/>
          <w:highlight w:val="none"/>
        </w:rPr>
      </w:pPr>
    </w:p>
    <w:p w14:paraId="41B2F478">
      <w:pPr>
        <w:jc w:val="center"/>
        <w:rPr>
          <w:rFonts w:hint="eastAsia" w:ascii="宋体" w:hAnsi="宋体" w:eastAsia="宋体" w:cs="宋体"/>
          <w:b/>
          <w:bCs/>
          <w:color w:val="auto"/>
          <w:sz w:val="30"/>
          <w:szCs w:val="30"/>
          <w:highlight w:val="none"/>
        </w:rPr>
      </w:pPr>
    </w:p>
    <w:p w14:paraId="33606612">
      <w:pPr>
        <w:jc w:val="center"/>
        <w:rPr>
          <w:rFonts w:hint="eastAsia" w:ascii="宋体" w:hAnsi="宋体" w:eastAsia="宋体" w:cs="宋体"/>
          <w:b/>
          <w:bCs/>
          <w:color w:val="auto"/>
          <w:sz w:val="30"/>
          <w:szCs w:val="30"/>
          <w:highlight w:val="none"/>
        </w:rPr>
      </w:pPr>
    </w:p>
    <w:p w14:paraId="3BDE6697">
      <w:pPr>
        <w:jc w:val="center"/>
        <w:rPr>
          <w:rFonts w:hint="eastAsia" w:ascii="宋体" w:hAnsi="宋体" w:eastAsia="宋体" w:cs="宋体"/>
          <w:b/>
          <w:bCs/>
          <w:color w:val="auto"/>
          <w:sz w:val="30"/>
          <w:szCs w:val="30"/>
          <w:highlight w:val="none"/>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4"/>
                <w:szCs w:val="24"/>
                <w:highlight w:val="none"/>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7"/>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合同签订后30日内交货。</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4"/>
                <w:szCs w:val="24"/>
                <w:highlight w:val="none"/>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采购人指定地点。</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4"/>
                <w:szCs w:val="24"/>
                <w:highlight w:val="none"/>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4"/>
                <w:szCs w:val="24"/>
                <w:highlight w:val="none"/>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符合国家质量标准、部颁标准、行业标准，满足磋商文件规定标准。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kern w:val="2"/>
                <w:sz w:val="24"/>
                <w:szCs w:val="24"/>
                <w:highlight w:val="none"/>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1FC2095">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质保期内应当为采购人提供以下技术支持和服务：</w:t>
            </w:r>
          </w:p>
          <w:p w14:paraId="3AAFC994">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a、现场响应：供应商应保证在12小时内对用户提出的问题或故障予以响应及处理。可提供备用设备或核心部件应急使用。</w:t>
            </w:r>
          </w:p>
          <w:p w14:paraId="6350509D">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b、中标人应当应每季度对该设备进行保养不少于一次,并出具保养报告，具体保养内容见合同。</w:t>
            </w:r>
          </w:p>
          <w:p w14:paraId="7A539BA3">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c、质保期内该设备应保证大于95%（含）的开机率，如达不到要求，每少于一天质保期顺延7天，如造成严重损失需赔偿用户经济损失或换货或退货。</w:t>
            </w:r>
          </w:p>
          <w:p w14:paraId="2E5A559A">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d、技术升级，如果制造商的产品技术升级，中标人应及时通知采购人，如采购人有相应要求，中标人和制造商应对采购人购买的产品进行免费升级服务。</w:t>
            </w:r>
          </w:p>
          <w:p w14:paraId="2DD99615">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e、投标人交付设备时，应按照《国家食品药品监督管理总局》第18号令第17条的要求提供相应的维护手册、维修手册、软件备份、故障代码表、备件清单、零部件、维修密码等维护维修必需的材料和信息。</w:t>
            </w:r>
          </w:p>
          <w:p w14:paraId="426DD86E">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f、除火灾、洪水、地震等天灾外，在保修期内，由于货物故障所产生的所有费用均由供应商负责。</w:t>
            </w:r>
          </w:p>
          <w:p w14:paraId="68CA3C7C">
            <w:pPr>
              <w:pStyle w:val="8"/>
              <w:pageBreakBefore w:val="0"/>
              <w:kinsoku/>
              <w:wordWrap/>
              <w:overflowPunct/>
              <w:topLinePunct w:val="0"/>
              <w:autoSpaceDE/>
              <w:autoSpaceDN/>
              <w:bidi w:val="0"/>
              <w:adjustRightInd/>
              <w:spacing w:before="0" w:after="0"/>
              <w:textAlignment w:val="auto"/>
              <w:rPr>
                <w:rFonts w:hint="eastAsia"/>
                <w:lang w:val="en-US" w:eastAsia="zh-CN"/>
              </w:rPr>
            </w:pPr>
            <w:r>
              <w:rPr>
                <w:rFonts w:hint="eastAsia" w:ascii="宋体" w:hAnsi="宋体" w:eastAsia="宋体" w:cs="宋体"/>
                <w:b w:val="0"/>
                <w:bCs w:val="0"/>
                <w:color w:val="auto"/>
                <w:kern w:val="2"/>
                <w:sz w:val="24"/>
                <w:szCs w:val="24"/>
                <w:highlight w:val="none"/>
                <w:lang w:val="en-US" w:eastAsia="zh-CN" w:bidi="ar-SA"/>
              </w:rPr>
              <w:t>2.所有设备按照医院实际要求免费开放端口，免费为医院对接院内信息系统。质保期内免费进行软件升级。</w:t>
            </w:r>
          </w:p>
        </w:tc>
      </w:tr>
      <w:tr w14:paraId="7C0B1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3B35CF">
            <w:pPr>
              <w:pStyle w:val="7"/>
              <w:spacing w:line="360" w:lineRule="auto"/>
              <w:jc w:val="center"/>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56B875EA">
            <w:pPr>
              <w:pStyle w:val="7"/>
              <w:ind w:left="0" w:left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免费提供操作培训和维修培训</w:t>
            </w:r>
          </w:p>
        </w:tc>
      </w:tr>
      <w:tr w14:paraId="7F46A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5B0E420">
            <w:pPr>
              <w:pStyle w:val="7"/>
              <w:spacing w:line="360" w:lineRule="auto"/>
              <w:jc w:val="center"/>
              <w:rPr>
                <w:rFonts w:hint="eastAsia" w:ascii="宋体" w:hAnsi="宋体" w:eastAsia="宋体" w:cs="宋体"/>
                <w:kern w:val="2"/>
                <w:sz w:val="24"/>
                <w:szCs w:val="24"/>
                <w:highlight w:val="none"/>
              </w:rPr>
            </w:pPr>
            <w:r>
              <w:rPr>
                <w:rFonts w:hint="eastAsia" w:ascii="宋体" w:hAnsi="宋体" w:eastAsia="宋体" w:cs="宋体"/>
                <w:sz w:val="24"/>
                <w:szCs w:val="24"/>
                <w:highlight w:val="none"/>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61C7073">
            <w:pPr>
              <w:keepNext w:val="0"/>
              <w:keepLines w:val="0"/>
              <w:pageBreakBefore w:val="0"/>
              <w:widowControl/>
              <w:numPr>
                <w:ilvl w:val="0"/>
                <w:numId w:val="0"/>
              </w:numPr>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要求设备为最新出厂设备，出厂日期不得早于招标日期6个月。 </w:t>
            </w:r>
          </w:p>
        </w:tc>
      </w:tr>
    </w:tbl>
    <w:p w14:paraId="66F194D0">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numPr>
                <w:ilvl w:val="0"/>
                <w:numId w:val="0"/>
              </w:numPr>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204B6284">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7E6169D9">
            <w:pPr>
              <w:keepNext w:val="0"/>
              <w:keepLines w:val="0"/>
              <w:pageBreakBefore w:val="0"/>
              <w:widowControl/>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认证产品）的，该产品应具有有认证机构颁发给制造商的该产品强制性认证证书。</w:t>
            </w:r>
          </w:p>
          <w:p w14:paraId="56290533">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77224DAC">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Chars="0" w:firstLine="480"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4.商品包装和快递包装应符合《商品包装政府采购需求标准（试行）》和《快递包装政府采购需求标准（试行）》规定。</w:t>
            </w:r>
          </w:p>
        </w:tc>
      </w:tr>
    </w:tbl>
    <w:p w14:paraId="4FB1ED2F">
      <w:pPr>
        <w:rPr>
          <w:rFonts w:hint="eastAsia" w:ascii="宋体" w:hAnsi="宋体" w:eastAsia="宋体" w:cs="宋体"/>
          <w:b/>
          <w:bCs/>
          <w:color w:val="auto"/>
          <w:sz w:val="32"/>
          <w:szCs w:val="32"/>
          <w:highlight w:val="none"/>
        </w:rPr>
      </w:pPr>
    </w:p>
    <w:p w14:paraId="03BC5C4B">
      <w:pPr>
        <w:jc w:val="center"/>
        <w:outlineLvl w:val="0"/>
        <w:rPr>
          <w:rFonts w:hint="eastAsia" w:ascii="宋体" w:hAnsi="宋体" w:eastAsia="宋体" w:cs="宋体"/>
          <w:b/>
          <w:bCs/>
          <w:color w:val="auto"/>
          <w:sz w:val="32"/>
          <w:szCs w:val="32"/>
          <w:highlight w:val="none"/>
        </w:rPr>
      </w:pPr>
      <w:bookmarkStart w:id="33" w:name="_Toc8501"/>
    </w:p>
    <w:p w14:paraId="10BBB3FF">
      <w:pPr>
        <w:jc w:val="center"/>
        <w:outlineLvl w:val="0"/>
        <w:rPr>
          <w:rFonts w:hint="eastAsia" w:ascii="宋体" w:hAnsi="宋体" w:eastAsia="宋体" w:cs="宋体"/>
          <w:b/>
          <w:bCs/>
          <w:color w:val="auto"/>
          <w:sz w:val="32"/>
          <w:szCs w:val="32"/>
          <w:highlight w:val="none"/>
        </w:rPr>
      </w:pPr>
    </w:p>
    <w:p w14:paraId="1F361CD5">
      <w:pPr>
        <w:jc w:val="center"/>
        <w:outlineLvl w:val="0"/>
        <w:rPr>
          <w:rFonts w:hint="eastAsia" w:ascii="宋体" w:hAnsi="宋体" w:eastAsia="宋体" w:cs="宋体"/>
          <w:b/>
          <w:bCs/>
          <w:color w:val="auto"/>
          <w:sz w:val="32"/>
          <w:szCs w:val="32"/>
          <w:highlight w:val="none"/>
        </w:rPr>
      </w:pPr>
    </w:p>
    <w:p w14:paraId="6F60EA61">
      <w:pPr>
        <w:jc w:val="center"/>
        <w:outlineLvl w:val="0"/>
        <w:rPr>
          <w:rFonts w:hint="eastAsia" w:ascii="宋体" w:hAnsi="宋体" w:eastAsia="宋体" w:cs="宋体"/>
          <w:b/>
          <w:bCs/>
          <w:color w:val="auto"/>
          <w:sz w:val="32"/>
          <w:szCs w:val="32"/>
          <w:highlight w:val="none"/>
        </w:rPr>
      </w:pPr>
    </w:p>
    <w:p w14:paraId="51B896CB">
      <w:pPr>
        <w:jc w:val="center"/>
        <w:outlineLvl w:val="0"/>
        <w:rPr>
          <w:rFonts w:hint="eastAsia" w:ascii="宋体" w:hAnsi="宋体" w:eastAsia="宋体" w:cs="宋体"/>
          <w:b/>
          <w:bCs/>
          <w:color w:val="auto"/>
          <w:sz w:val="32"/>
          <w:szCs w:val="32"/>
          <w:highlight w:val="none"/>
        </w:rPr>
      </w:pPr>
    </w:p>
    <w:p w14:paraId="62A5700E">
      <w:pPr>
        <w:jc w:val="center"/>
        <w:outlineLvl w:val="0"/>
        <w:rPr>
          <w:rFonts w:hint="eastAsia" w:ascii="宋体" w:hAnsi="宋体" w:eastAsia="宋体" w:cs="宋体"/>
          <w:b/>
          <w:bCs/>
          <w:color w:val="auto"/>
          <w:sz w:val="32"/>
          <w:szCs w:val="32"/>
          <w:highlight w:val="none"/>
        </w:rPr>
      </w:pPr>
    </w:p>
    <w:p w14:paraId="1970418D">
      <w:pPr>
        <w:jc w:val="center"/>
        <w:outlineLvl w:val="0"/>
        <w:rPr>
          <w:rFonts w:hint="eastAsia" w:ascii="宋体" w:hAnsi="宋体" w:eastAsia="宋体" w:cs="宋体"/>
          <w:b/>
          <w:bCs/>
          <w:color w:val="auto"/>
          <w:sz w:val="32"/>
          <w:szCs w:val="32"/>
          <w:highlight w:val="none"/>
        </w:rPr>
      </w:pPr>
    </w:p>
    <w:p w14:paraId="5850CAA7">
      <w:pPr>
        <w:jc w:val="center"/>
        <w:outlineLvl w:val="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3"/>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内容、要求</w:t>
            </w:r>
          </w:p>
        </w:tc>
      </w:tr>
      <w:tr w14:paraId="165CED55">
        <w:tblPrEx>
          <w:tblCellMar>
            <w:top w:w="0" w:type="dxa"/>
            <w:left w:w="0" w:type="dxa"/>
            <w:bottom w:w="0" w:type="dxa"/>
            <w:right w:w="0" w:type="dxa"/>
          </w:tblCellMar>
        </w:tblPrEx>
        <w:trPr>
          <w:trHeight w:val="434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采购预算：</w:t>
            </w:r>
            <w:r>
              <w:rPr>
                <w:rFonts w:hint="eastAsia" w:ascii="宋体" w:hAnsi="宋体" w:eastAsia="宋体" w:cs="宋体"/>
                <w:color w:val="auto"/>
                <w:kern w:val="0"/>
                <w:sz w:val="24"/>
                <w:szCs w:val="24"/>
                <w:highlight w:val="none"/>
                <w:lang w:val="en-US" w:eastAsia="zh-CN"/>
              </w:rPr>
              <w:t>41万元</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最高投标限价</w:t>
            </w:r>
            <w:r>
              <w:rPr>
                <w:rFonts w:hint="eastAsia" w:ascii="宋体" w:hAnsi="宋体" w:eastAsia="宋体" w:cs="宋体"/>
                <w:color w:val="auto"/>
                <w:kern w:val="0"/>
                <w:sz w:val="24"/>
                <w:szCs w:val="24"/>
                <w:highlight w:val="none"/>
                <w:lang w:val="en-US" w:eastAsia="zh-CN"/>
              </w:rPr>
              <w:t xml:space="preserve">: 包1：32万元、包2：9 </w:t>
            </w:r>
            <w:r>
              <w:rPr>
                <w:rFonts w:hint="eastAsia" w:ascii="宋体" w:hAnsi="宋体" w:eastAsia="宋体" w:cs="宋体"/>
                <w:color w:val="auto"/>
                <w:sz w:val="24"/>
                <w:szCs w:val="32"/>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以人民币报价。</w:t>
            </w:r>
          </w:p>
          <w:p w14:paraId="25F0BC31">
            <w:pPr>
              <w:widowControl/>
              <w:snapToGrid w:val="0"/>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rPr>
              <w:t>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由成交供应商缴纳</w:t>
            </w:r>
            <w:r>
              <w:rPr>
                <w:rFonts w:hint="eastAsia" w:ascii="宋体" w:hAnsi="宋体" w:eastAsia="宋体" w:cs="宋体"/>
                <w:color w:val="auto"/>
                <w:kern w:val="0"/>
                <w:sz w:val="24"/>
                <w:szCs w:val="24"/>
                <w:highlight w:val="none"/>
              </w:rPr>
              <w:t>招标代理服务费。</w:t>
            </w:r>
            <w:r>
              <w:rPr>
                <w:rFonts w:hint="eastAsia" w:ascii="宋体" w:hAnsi="宋体" w:eastAsia="宋体" w:cs="宋体"/>
                <w:color w:val="auto"/>
                <w:kern w:val="0"/>
                <w:sz w:val="24"/>
                <w:szCs w:val="24"/>
                <w:highlight w:val="none"/>
                <w:lang w:val="en-US" w:eastAsia="zh-CN"/>
              </w:rPr>
              <w:t>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sz w:val="21"/>
                      <w:highlight w:val="none"/>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1BA1962A">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货物招标</w:t>
                  </w:r>
                </w:p>
              </w:tc>
              <w:tc>
                <w:tcPr>
                  <w:tcW w:w="1560" w:type="dxa"/>
                  <w:vAlign w:val="center"/>
                </w:tcPr>
                <w:p w14:paraId="5BE93A16">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服务招标</w:t>
                  </w:r>
                </w:p>
              </w:tc>
              <w:tc>
                <w:tcPr>
                  <w:tcW w:w="1380" w:type="dxa"/>
                  <w:vAlign w:val="center"/>
                </w:tcPr>
                <w:p w14:paraId="3ECB263F">
                  <w:pPr>
                    <w:widowControl/>
                    <w:snapToGrid w:val="0"/>
                    <w:spacing w:line="440" w:lineRule="exact"/>
                    <w:jc w:val="center"/>
                    <w:rPr>
                      <w:rFonts w:hint="eastAsia" w:ascii="宋体" w:hAnsi="宋体" w:eastAsia="宋体" w:cs="宋体"/>
                      <w:b/>
                      <w:bCs/>
                      <w:color w:val="auto"/>
                      <w:kern w:val="0"/>
                      <w:szCs w:val="21"/>
                      <w:highlight w:val="none"/>
                      <w:vertAlign w:val="baseline"/>
                      <w:lang w:val="en-US" w:eastAsia="zh-CN"/>
                    </w:rPr>
                  </w:pPr>
                  <w:r>
                    <w:rPr>
                      <w:rFonts w:hint="eastAsia" w:ascii="宋体" w:hAnsi="宋体" w:eastAsia="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559" w:type="dxa"/>
                  <w:vAlign w:val="center"/>
                </w:tcPr>
                <w:p w14:paraId="0EF43D2E">
                  <w:pPr>
                    <w:widowControl/>
                    <w:snapToGrid w:val="0"/>
                    <w:spacing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100万元以下</w:t>
                  </w:r>
                </w:p>
              </w:tc>
              <w:tc>
                <w:tcPr>
                  <w:tcW w:w="1605" w:type="dxa"/>
                  <w:vAlign w:val="center"/>
                </w:tcPr>
                <w:p w14:paraId="0F8F8092">
                  <w:pPr>
                    <w:widowControl/>
                    <w:snapToGrid w:val="0"/>
                    <w:spacing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1.5%</w:t>
                  </w:r>
                </w:p>
              </w:tc>
              <w:tc>
                <w:tcPr>
                  <w:tcW w:w="1560" w:type="dxa"/>
                  <w:vAlign w:val="center"/>
                </w:tcPr>
                <w:p w14:paraId="64DFB595">
                  <w:pPr>
                    <w:widowControl/>
                    <w:snapToGrid w:val="0"/>
                    <w:spacing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1.5%</w:t>
                  </w:r>
                </w:p>
              </w:tc>
              <w:tc>
                <w:tcPr>
                  <w:tcW w:w="1380" w:type="dxa"/>
                  <w:vAlign w:val="center"/>
                </w:tcPr>
                <w:p w14:paraId="6E9F31B9">
                  <w:pPr>
                    <w:widowControl/>
                    <w:snapToGrid w:val="0"/>
                    <w:spacing w:line="440" w:lineRule="exact"/>
                    <w:jc w:val="center"/>
                    <w:rPr>
                      <w:rFonts w:hint="eastAsia" w:ascii="宋体" w:hAnsi="宋体" w:eastAsia="宋体" w:cs="宋体"/>
                      <w:color w:val="auto"/>
                      <w:kern w:val="0"/>
                      <w:sz w:val="24"/>
                      <w:szCs w:val="24"/>
                      <w:highlight w:val="none"/>
                      <w:vertAlign w:val="baseline"/>
                      <w:lang w:val="en-US" w:eastAsia="zh-CN"/>
                    </w:rPr>
                  </w:pPr>
                  <w:r>
                    <w:rPr>
                      <w:rFonts w:hint="eastAsia" w:ascii="宋体" w:hAnsi="宋体" w:eastAsia="宋体" w:cs="宋体"/>
                      <w:color w:val="auto"/>
                      <w:kern w:val="0"/>
                      <w:sz w:val="24"/>
                      <w:szCs w:val="24"/>
                      <w:highlight w:val="none"/>
                      <w:vertAlign w:val="baseline"/>
                      <w:lang w:val="en-US" w:eastAsia="zh-CN"/>
                    </w:rPr>
                    <w:t>1.0%</w:t>
                  </w:r>
                </w:p>
              </w:tc>
            </w:tr>
          </w:tbl>
          <w:p w14:paraId="1B44AAE4">
            <w:pPr>
              <w:widowControl/>
              <w:snapToGrid w:val="0"/>
              <w:spacing w:line="440" w:lineRule="exact"/>
              <w:jc w:val="left"/>
              <w:rPr>
                <w:rFonts w:hint="eastAsia" w:ascii="宋体" w:hAnsi="宋体" w:eastAsia="宋体" w:cs="宋体"/>
                <w:color w:val="auto"/>
                <w:kern w:val="0"/>
                <w:szCs w:val="21"/>
                <w:highlight w:val="none"/>
                <w:lang w:val="en-US" w:eastAsia="zh-CN"/>
              </w:rPr>
            </w:pPr>
          </w:p>
        </w:tc>
      </w:tr>
      <w:tr w14:paraId="7A2AFB1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52A4231">
            <w:pPr>
              <w:widowControl/>
              <w:snapToGri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848C77D">
            <w:pPr>
              <w:widowControl/>
              <w:snapToGrid w:val="0"/>
              <w:spacing w:line="440" w:lineRule="exact"/>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rPr>
              <w:t>在原公告发布媒体上发布澄清或修改公告，供应商在提交响应文件截止时间前须自行查看在原公告发布媒体上发布的澄清或修改公告，因供应商未及时查看而造成的后果自负</w:t>
            </w:r>
            <w:r>
              <w:rPr>
                <w:rFonts w:hint="eastAsia" w:ascii="宋体" w:hAnsi="宋体" w:eastAsia="宋体" w:cs="宋体"/>
                <w:color w:val="auto"/>
                <w:sz w:val="24"/>
                <w:szCs w:val="32"/>
                <w:highlight w:val="none"/>
                <w:lang w:eastAsia="zh-CN"/>
              </w:rPr>
              <w:t>。</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文件组成：纸质</w:t>
            </w:r>
            <w:r>
              <w:rPr>
                <w:rFonts w:hint="eastAsia" w:ascii="宋体" w:hAnsi="宋体" w:eastAsia="宋体" w:cs="宋体"/>
                <w:color w:val="auto"/>
                <w:sz w:val="24"/>
                <w:szCs w:val="32"/>
                <w:highlight w:val="none"/>
                <w:lang w:val="en-US" w:eastAsia="zh-CN"/>
              </w:rPr>
              <w:t>响应</w:t>
            </w:r>
            <w:r>
              <w:rPr>
                <w:rFonts w:hint="eastAsia" w:ascii="宋体" w:hAnsi="宋体" w:eastAsia="宋体" w:cs="宋体"/>
                <w:color w:val="auto"/>
                <w:sz w:val="24"/>
                <w:szCs w:val="32"/>
                <w:highlight w:val="none"/>
              </w:rPr>
              <w:t>文件正本1份</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sz w:val="24"/>
                <w:szCs w:val="32"/>
                <w:highlight w:val="none"/>
                <w:lang w:val="en-US" w:eastAsia="zh-CN"/>
              </w:rPr>
              <w:t>副本2份</w:t>
            </w:r>
            <w:r>
              <w:rPr>
                <w:rFonts w:hint="eastAsia" w:ascii="宋体" w:hAnsi="宋体" w:eastAsia="宋体" w:cs="宋体"/>
                <w:color w:val="auto"/>
                <w:sz w:val="24"/>
                <w:szCs w:val="32"/>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w:t>
            </w:r>
            <w:r>
              <w:rPr>
                <w:rFonts w:hint="eastAsia" w:ascii="宋体" w:hAnsi="宋体" w:eastAsia="宋体" w:cs="宋体"/>
                <w:color w:val="auto"/>
                <w:kern w:val="0"/>
                <w:sz w:val="24"/>
                <w:szCs w:val="24"/>
                <w:highlight w:val="none"/>
              </w:rPr>
              <w:t>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32"/>
                <w:highlight w:val="none"/>
              </w:rPr>
              <w:t>人</w:t>
            </w:r>
            <w:r>
              <w:rPr>
                <w:rFonts w:hint="eastAsia" w:ascii="宋体" w:hAnsi="宋体" w:eastAsia="宋体" w:cs="宋体"/>
                <w:color w:val="auto"/>
                <w:sz w:val="24"/>
                <w:szCs w:val="32"/>
                <w:highlight w:val="none"/>
                <w:lang w:val="en-US" w:eastAsia="zh-CN"/>
              </w:rPr>
              <w:t>及以上单数</w:t>
            </w:r>
            <w:r>
              <w:rPr>
                <w:rFonts w:hint="eastAsia" w:ascii="宋体" w:hAnsi="宋体" w:eastAsia="宋体" w:cs="宋体"/>
                <w:color w:val="auto"/>
                <w:kern w:val="0"/>
                <w:sz w:val="24"/>
                <w:szCs w:val="24"/>
                <w:highlight w:val="none"/>
              </w:rPr>
              <w:t>。</w:t>
            </w:r>
          </w:p>
          <w:p w14:paraId="05D582FC">
            <w:pPr>
              <w:widowControl/>
              <w:spacing w:line="44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专家确定方式：</w:t>
            </w:r>
            <w:r>
              <w:rPr>
                <w:rFonts w:hint="eastAsia" w:ascii="宋体" w:hAnsi="宋体" w:eastAsia="宋体" w:cs="宋体"/>
                <w:color w:val="auto"/>
                <w:kern w:val="0"/>
                <w:sz w:val="24"/>
                <w:szCs w:val="24"/>
                <w:highlight w:val="none"/>
              </w:rPr>
              <w:t>由评审专家、采购人代表</w:t>
            </w:r>
            <w:r>
              <w:rPr>
                <w:rFonts w:hint="eastAsia" w:ascii="宋体" w:hAnsi="宋体" w:eastAsia="宋体" w:cs="宋体"/>
                <w:color w:val="auto"/>
                <w:kern w:val="0"/>
                <w:sz w:val="24"/>
                <w:szCs w:val="24"/>
                <w:highlight w:val="none"/>
                <w:lang w:val="en-US" w:eastAsia="zh-CN"/>
              </w:rPr>
              <w:t>组成。</w:t>
            </w:r>
          </w:p>
        </w:tc>
      </w:tr>
      <w:tr w14:paraId="0A1264A6">
        <w:tblPrEx>
          <w:tblCellMar>
            <w:top w:w="0" w:type="dxa"/>
            <w:left w:w="0" w:type="dxa"/>
            <w:bottom w:w="0" w:type="dxa"/>
            <w:right w:w="0" w:type="dxa"/>
          </w:tblCellMar>
        </w:tblPrEx>
        <w:trPr>
          <w:trHeight w:val="587"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kern w:val="0"/>
                <w:sz w:val="24"/>
                <w:szCs w:val="24"/>
                <w:highlight w:val="none"/>
              </w:rPr>
              <w:t>本项目采用</w:t>
            </w:r>
            <w:r>
              <w:rPr>
                <w:rFonts w:hint="eastAsia" w:ascii="宋体" w:hAnsi="宋体" w:eastAsia="宋体" w:cs="宋体"/>
                <w:color w:val="auto"/>
                <w:sz w:val="24"/>
                <w:szCs w:val="24"/>
                <w:highlight w:val="none"/>
              </w:rPr>
              <w:t>综合评分法</w:t>
            </w:r>
            <w:r>
              <w:rPr>
                <w:rFonts w:hint="eastAsia" w:ascii="宋体" w:hAnsi="宋体" w:eastAsia="宋体" w:cs="宋体"/>
                <w:color w:val="auto"/>
                <w:kern w:val="0"/>
                <w:sz w:val="24"/>
                <w:szCs w:val="24"/>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公告及</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通知书：由采购人授权磋商小组确定一名</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并推荐</w:t>
            </w:r>
            <w:r>
              <w:rPr>
                <w:rFonts w:hint="eastAsia" w:ascii="宋体" w:hAnsi="宋体" w:eastAsia="宋体" w:cs="宋体"/>
                <w:color w:val="auto"/>
                <w:kern w:val="0"/>
                <w:sz w:val="24"/>
                <w:szCs w:val="24"/>
                <w:highlight w:val="none"/>
                <w:lang w:val="en-US" w:eastAsia="zh-CN"/>
              </w:rPr>
              <w:t>一</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。评审结束后在《驻马店市中心医院》官网上发布成交公告，公示期结束后向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发出成交通知书。</w:t>
            </w:r>
          </w:p>
        </w:tc>
      </w:tr>
      <w:tr w14:paraId="7394CB78">
        <w:tblPrEx>
          <w:tblCellMar>
            <w:top w:w="0" w:type="dxa"/>
            <w:left w:w="0" w:type="dxa"/>
            <w:bottom w:w="0" w:type="dxa"/>
            <w:right w:w="0" w:type="dxa"/>
          </w:tblCellMar>
        </w:tblPrEx>
        <w:trPr>
          <w:trHeight w:val="58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采购资金来源：自筹资金。</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有效期：</w:t>
            </w:r>
            <w:r>
              <w:rPr>
                <w:rFonts w:hint="eastAsia" w:ascii="宋体" w:hAnsi="宋体" w:eastAsia="宋体" w:cs="宋体"/>
                <w:color w:val="auto"/>
                <w:kern w:val="0"/>
                <w:sz w:val="24"/>
                <w:szCs w:val="24"/>
                <w:highlight w:val="none"/>
                <w:lang w:val="en-US" w:eastAsia="zh-CN"/>
              </w:rPr>
              <w:t>响应文件递交</w:t>
            </w:r>
            <w:r>
              <w:rPr>
                <w:rFonts w:hint="eastAsia" w:ascii="宋体" w:hAnsi="宋体" w:eastAsia="宋体" w:cs="宋体"/>
                <w:color w:val="auto"/>
                <w:kern w:val="0"/>
                <w:sz w:val="24"/>
                <w:szCs w:val="24"/>
                <w:highlight w:val="none"/>
              </w:rPr>
              <w:t>截止期结束后</w:t>
            </w:r>
            <w:r>
              <w:rPr>
                <w:rFonts w:hint="eastAsia" w:ascii="宋体" w:hAnsi="宋体" w:eastAsia="宋体" w:cs="宋体"/>
                <w:color w:val="auto"/>
                <w:kern w:val="0"/>
                <w:sz w:val="24"/>
                <w:szCs w:val="24"/>
                <w:highlight w:val="none"/>
                <w:lang w:val="en-US" w:eastAsia="zh-CN"/>
              </w:rPr>
              <w:t>90</w:t>
            </w:r>
            <w:r>
              <w:rPr>
                <w:rFonts w:hint="eastAsia" w:ascii="宋体" w:hAnsi="宋体" w:eastAsia="宋体" w:cs="宋体"/>
                <w:color w:val="auto"/>
                <w:kern w:val="0"/>
                <w:sz w:val="24"/>
                <w:szCs w:val="24"/>
                <w:highlight w:val="none"/>
              </w:rPr>
              <w:t>日。</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文件是合同的组成部分,有效期至合同完全履行止。</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szCs w:val="24"/>
          <w:highlight w:val="none"/>
        </w:rPr>
      </w:pPr>
      <w:bookmarkStart w:id="34" w:name="_Toc4700"/>
      <w:bookmarkStart w:id="35" w:name="_Toc16669"/>
      <w:r>
        <w:rPr>
          <w:rFonts w:hint="eastAsia" w:ascii="宋体" w:hAnsi="宋体" w:eastAsia="宋体" w:cs="宋体"/>
          <w:b/>
          <w:bCs/>
          <w:color w:val="auto"/>
          <w:kern w:val="0"/>
          <w:sz w:val="24"/>
          <w:szCs w:val="24"/>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文件仅适用于</w:t>
      </w:r>
      <w:r>
        <w:rPr>
          <w:rFonts w:hint="eastAsia" w:ascii="宋体" w:hAnsi="宋体" w:eastAsia="宋体" w:cs="宋体"/>
          <w:color w:val="auto"/>
          <w:kern w:val="0"/>
          <w:sz w:val="24"/>
          <w:szCs w:val="24"/>
          <w:highlight w:val="none"/>
          <w:lang w:val="en-US" w:eastAsia="zh-CN"/>
        </w:rPr>
        <w:t>驻马店市中心医院采购的</w:t>
      </w:r>
      <w:r>
        <w:rPr>
          <w:rFonts w:hint="eastAsia" w:ascii="宋体" w:hAnsi="宋体" w:eastAsia="宋体" w:cs="宋体"/>
          <w:color w:val="auto"/>
          <w:kern w:val="0"/>
          <w:sz w:val="24"/>
          <w:szCs w:val="24"/>
          <w:highlight w:val="none"/>
          <w:lang w:eastAsia="zh-CN"/>
        </w:rPr>
        <w:t>货物</w:t>
      </w:r>
      <w:r>
        <w:rPr>
          <w:rFonts w:hint="eastAsia" w:ascii="宋体" w:hAnsi="宋体" w:eastAsia="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2.定义</w:t>
      </w:r>
    </w:p>
    <w:p w14:paraId="4EB832A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lang w:val="en-US" w:eastAsia="zh-CN"/>
        </w:rPr>
        <w:t>领取</w:t>
      </w:r>
      <w:r>
        <w:rPr>
          <w:rFonts w:hint="eastAsia" w:ascii="宋体" w:hAnsi="宋体" w:eastAsia="宋体" w:cs="宋体"/>
          <w:color w:val="auto"/>
          <w:kern w:val="0"/>
          <w:sz w:val="24"/>
          <w:szCs w:val="24"/>
          <w:highlight w:val="none"/>
        </w:rPr>
        <w:t>了本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文件，且已经提交本次</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p>
    <w:p w14:paraId="77F757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代表</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参加本次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活动的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 货物：供应商按采购文件规定向采购人提供的一切设备、机械、仪器仪表、备品备件、工具、手册及其它有关技术资料和材料。</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应提交的证明文件</w:t>
      </w:r>
    </w:p>
    <w:p w14:paraId="6AB0B637">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3.1具有独立承担民事责任的能力（提供营业执照或其他证明材料）；</w:t>
      </w:r>
    </w:p>
    <w:p w14:paraId="393A8139">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3.2具有良好的商业信誉和健全的财务会计制度（提供经审计的2024年或2025年度财务报告或者其基本开户银行出具的资信证明）；</w:t>
      </w:r>
    </w:p>
    <w:p w14:paraId="309AAFFB">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6815B0D3">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3.4具有履行合同所必需的设备和专业技术能力（提供书面承诺函）；</w:t>
      </w:r>
    </w:p>
    <w:p w14:paraId="63A78A75">
      <w:pPr>
        <w:keepNext w:val="0"/>
        <w:keepLines w:val="0"/>
        <w:pageBreakBefore w:val="0"/>
        <w:widowControl/>
        <w:tabs>
          <w:tab w:val="left" w:pos="840"/>
        </w:tabs>
        <w:kinsoku/>
        <w:overflowPunct/>
        <w:topLinePunct w:val="0"/>
        <w:autoSpaceDE/>
        <w:autoSpaceDN/>
        <w:bidi w:val="0"/>
        <w:snapToGrid w:val="0"/>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lang w:val="en-US" w:eastAsia="zh-CN"/>
        </w:rPr>
        <w:t>3.5参加本采购活动前三年内，在经营活动中没有重大违法记录（提供书面承诺函）；</w:t>
      </w:r>
    </w:p>
    <w:p w14:paraId="18593BC4">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查询内容为在“信用中国”网站及其跳转网站中查询“失信被执行人”和“重大税收违法失信主体名单”，在“中国政府采购网”查询“政府采购严重违法失信行为记录名单”，无以上记录的供应商方可参加本次磋商活动）；供应商提供的仅做为信用参考，以采购人或采购代理机构查询结果为准。</w:t>
      </w:r>
    </w:p>
    <w:p w14:paraId="1720C555">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3.7单位负责人为同一人或者存在直接控股、管理关系的不同供应商，不得参加同一合同项下的磋商（</w:t>
      </w:r>
      <w:r>
        <w:rPr>
          <w:rFonts w:hint="eastAsia" w:ascii="宋体" w:hAnsi="宋体" w:eastAsia="宋体" w:cs="宋体"/>
          <w:color w:val="auto"/>
          <w:kern w:val="0"/>
          <w:sz w:val="24"/>
          <w:szCs w:val="24"/>
          <w:highlight w:val="none"/>
          <w:lang w:val="en-US" w:eastAsia="zh-CN"/>
        </w:rPr>
        <w:t>提供承诺函</w:t>
      </w:r>
      <w:r>
        <w:rPr>
          <w:rFonts w:hint="eastAsia" w:ascii="宋体" w:hAnsi="宋体" w:eastAsia="宋体" w:cs="宋体"/>
          <w:color w:val="auto"/>
          <w:sz w:val="24"/>
          <w:szCs w:val="24"/>
          <w:highlight w:val="none"/>
          <w:shd w:val="clear" w:color="auto" w:fill="FFFFFF"/>
          <w:lang w:val="en-US" w:eastAsia="zh-CN"/>
        </w:rPr>
        <w:t>）。</w:t>
      </w:r>
    </w:p>
    <w:p w14:paraId="4470B8CF">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3.8本项目特定资格要求：</w:t>
      </w:r>
    </w:p>
    <w:p w14:paraId="0D0FCDB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3.8.1</w:t>
      </w:r>
      <w:r>
        <w:rPr>
          <w:rFonts w:hint="eastAsia" w:ascii="宋体" w:hAnsi="宋体" w:eastAsia="宋体" w:cs="宋体"/>
          <w:color w:val="auto"/>
          <w:kern w:val="2"/>
          <w:sz w:val="24"/>
          <w:szCs w:val="24"/>
          <w:highlight w:val="none"/>
          <w:lang w:val="en-US" w:eastAsia="zh-CN" w:bidi="ar-SA"/>
        </w:rPr>
        <w:t>投标人为代理商（经销商）时，须具有医疗器械经营许可证或医疗器械经营备案凭证（从事第一类医疗器械经营活动的除外）；投标人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eastAsia="宋体" w:cs="宋体"/>
          <w:color w:val="auto"/>
          <w:sz w:val="24"/>
          <w:szCs w:val="24"/>
          <w:highlight w:val="none"/>
          <w:shd w:val="clear" w:color="auto" w:fill="FFFFFF"/>
          <w:lang w:val="en-US" w:eastAsia="zh-CN"/>
        </w:rPr>
        <w:t xml:space="preserve">                                   </w:t>
      </w:r>
    </w:p>
    <w:p w14:paraId="655B7531">
      <w:pPr>
        <w:keepNext w:val="0"/>
        <w:keepLines w:val="0"/>
        <w:pageBreakBefore w:val="0"/>
        <w:widowControl/>
        <w:tabs>
          <w:tab w:val="left" w:pos="840"/>
        </w:tabs>
        <w:kinsoku/>
        <w:overflowPunct/>
        <w:topLinePunct w:val="0"/>
        <w:autoSpaceDE/>
        <w:autoSpaceDN/>
        <w:bidi w:val="0"/>
        <w:snapToGrid w:val="0"/>
        <w:spacing w:line="324" w:lineRule="auto"/>
        <w:ind w:firstLine="480" w:firstLineChars="200"/>
        <w:jc w:val="lef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3.8.2供应商如为代理商的并所投产品如为进口产品的，需提供拟投产品制造商或中国境内办事处或中国总代理经销商针对本项目的授权书。</w:t>
      </w:r>
      <w:r>
        <w:rPr>
          <w:rFonts w:hint="eastAsia" w:ascii="宋体" w:hAnsi="宋体" w:cs="宋体"/>
          <w:color w:val="auto"/>
          <w:sz w:val="24"/>
          <w:szCs w:val="24"/>
          <w:highlight w:val="none"/>
          <w:shd w:val="clear" w:color="auto" w:fill="FFFFFF"/>
          <w:lang w:val="en-US" w:eastAsia="zh-CN"/>
        </w:rPr>
        <w:t>（该要求仅针对包1）</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4</w:t>
      </w:r>
      <w:r>
        <w:rPr>
          <w:rFonts w:hint="eastAsia" w:ascii="宋体" w:hAnsi="宋体" w:eastAsia="宋体" w:cs="宋体"/>
          <w:b/>
          <w:bCs/>
          <w:color w:val="auto"/>
          <w:kern w:val="0"/>
          <w:sz w:val="24"/>
          <w:szCs w:val="24"/>
          <w:highlight w:val="none"/>
        </w:rPr>
        <w:t>.投标费用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不论投标结果如何，</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均应自行承担所有与投标有关的全部费用。</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5.1</w:t>
      </w:r>
      <w:r>
        <w:rPr>
          <w:rFonts w:hint="eastAsia" w:ascii="宋体" w:hAnsi="宋体" w:eastAsia="宋体" w:cs="宋体"/>
          <w:color w:val="auto"/>
          <w:kern w:val="0"/>
          <w:sz w:val="24"/>
          <w:szCs w:val="24"/>
          <w:highlight w:val="none"/>
        </w:rPr>
        <w:t xml:space="preserve"> 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5.2</w:t>
      </w:r>
      <w:r>
        <w:rPr>
          <w:rFonts w:hint="eastAsia" w:ascii="宋体" w:hAnsi="宋体" w:eastAsia="宋体" w:cs="宋体"/>
          <w:color w:val="auto"/>
          <w:kern w:val="0"/>
          <w:sz w:val="24"/>
          <w:szCs w:val="24"/>
          <w:highlight w:val="none"/>
        </w:rPr>
        <w:t xml:space="preserve">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 w:val="24"/>
          <w:szCs w:val="24"/>
          <w:highlight w:val="none"/>
          <w:lang w:eastAsia="zh-CN"/>
        </w:rPr>
        <w:t>。</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6.</w:t>
      </w:r>
      <w:r>
        <w:rPr>
          <w:rFonts w:hint="eastAsia" w:ascii="宋体" w:hAnsi="宋体" w:eastAsia="宋体" w:cs="宋体"/>
          <w:b/>
          <w:bCs/>
          <w:color w:val="auto"/>
          <w:kern w:val="0"/>
          <w:sz w:val="24"/>
          <w:szCs w:val="24"/>
          <w:highlight w:val="none"/>
        </w:rPr>
        <w:t>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6.1</w:t>
      </w:r>
      <w:r>
        <w:rPr>
          <w:rFonts w:hint="eastAsia" w:ascii="宋体" w:hAnsi="宋体" w:eastAsia="宋体" w:cs="宋体"/>
          <w:color w:val="auto"/>
          <w:kern w:val="0"/>
          <w:sz w:val="24"/>
          <w:szCs w:val="24"/>
          <w:highlight w:val="none"/>
        </w:rPr>
        <w:t>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6.2</w:t>
      </w:r>
      <w:r>
        <w:rPr>
          <w:rFonts w:hint="eastAsia" w:ascii="宋体" w:hAnsi="宋体" w:eastAsia="宋体" w:cs="宋体"/>
          <w:color w:val="auto"/>
          <w:kern w:val="0"/>
          <w:sz w:val="24"/>
          <w:szCs w:val="24"/>
          <w:highlight w:val="none"/>
        </w:rPr>
        <w:t>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7.</w:t>
      </w:r>
      <w:r>
        <w:rPr>
          <w:rFonts w:hint="eastAsia" w:ascii="宋体" w:hAnsi="宋体" w:eastAsia="宋体" w:cs="宋体"/>
          <w:b/>
          <w:bCs/>
          <w:color w:val="auto"/>
          <w:kern w:val="0"/>
          <w:sz w:val="24"/>
          <w:szCs w:val="24"/>
          <w:highlight w:val="none"/>
        </w:rPr>
        <w:t>特别说明：</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7.1</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代表只能接受一个</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的委托参加投标。</w:t>
      </w:r>
    </w:p>
    <w:p w14:paraId="4AA06270">
      <w:pPr>
        <w:snapToGrid w:val="0"/>
        <w:spacing w:line="360" w:lineRule="auto"/>
        <w:ind w:firstLine="48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7.2</w:t>
      </w:r>
      <w:r>
        <w:rPr>
          <w:rFonts w:hint="eastAsia" w:ascii="宋体" w:hAnsi="宋体" w:eastAsia="宋体" w:cs="宋体"/>
          <w:kern w:val="0"/>
          <w:sz w:val="24"/>
          <w:szCs w:val="24"/>
          <w:highlight w:val="none"/>
        </w:rPr>
        <w:t xml:space="preserve">《政府采购法》第二十二条第五款“参加政府采购活动前三年内，在经营活动中没有重大违法记录”，《政府采购法》实施条例第十九条 </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重大违法记录是指供应商因违法经营受到刑事处罚或者责令停产停业、吊销许可证或者执照、较大数额罚款等行政处罚。</w:t>
      </w:r>
      <w:r>
        <w:rPr>
          <w:rFonts w:hint="eastAsia" w:ascii="宋体" w:hAnsi="宋体" w:eastAsia="宋体" w:cs="宋体"/>
          <w:kern w:val="0"/>
          <w:sz w:val="24"/>
          <w:szCs w:val="24"/>
          <w:highlight w:val="none"/>
          <w:lang w:eastAsia="zh-CN"/>
        </w:rPr>
        <w:t>”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w:t>
      </w:r>
      <w:r>
        <w:rPr>
          <w:rFonts w:hint="eastAsia" w:ascii="宋体" w:hAnsi="宋体" w:eastAsia="宋体" w:cs="宋体"/>
          <w:kern w:val="0"/>
          <w:sz w:val="24"/>
          <w:szCs w:val="24"/>
          <w:highlight w:val="none"/>
        </w:rPr>
        <w:t>“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7.3</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8.</w:t>
      </w:r>
      <w:r>
        <w:rPr>
          <w:rFonts w:hint="eastAsia" w:ascii="宋体" w:hAnsi="宋体" w:eastAsia="宋体" w:cs="宋体"/>
          <w:b/>
          <w:bCs/>
          <w:color w:val="auto"/>
          <w:kern w:val="0"/>
          <w:sz w:val="24"/>
          <w:szCs w:val="24"/>
          <w:highlight w:val="none"/>
        </w:rPr>
        <w:t>质疑和投诉</w:t>
      </w:r>
    </w:p>
    <w:p w14:paraId="0C544B71">
      <w:pPr>
        <w:keepNext w:val="0"/>
        <w:keepLines w:val="0"/>
        <w:pageBreakBefore w:val="0"/>
        <w:widowControl w:val="0"/>
        <w:kinsoku/>
        <w:wordWrap/>
        <w:overflowPunct/>
        <w:topLinePunct w:val="0"/>
        <w:bidi w:val="0"/>
        <w:snapToGrid w:val="0"/>
        <w:spacing w:line="360" w:lineRule="auto"/>
        <w:ind w:firstLine="470" w:firstLineChars="196"/>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bCs/>
          <w:color w:val="auto"/>
          <w:kern w:val="0"/>
          <w:sz w:val="24"/>
          <w:szCs w:val="24"/>
          <w:highlight w:val="none"/>
        </w:rPr>
        <w:t>供应商认为</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文件使自己的合法权益受到损害的，</w:t>
      </w:r>
      <w:r>
        <w:rPr>
          <w:rFonts w:hint="eastAsia" w:ascii="宋体" w:hAnsi="宋体" w:eastAsia="宋体" w:cs="宋体"/>
          <w:color w:val="auto"/>
          <w:kern w:val="0"/>
          <w:sz w:val="24"/>
          <w:szCs w:val="24"/>
          <w:highlight w:val="none"/>
        </w:rPr>
        <w:t>应当在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公告期限届满之日(或收到</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文件之日)起</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个工作日之内向</w:t>
      </w:r>
      <w:r>
        <w:rPr>
          <w:rFonts w:hint="eastAsia" w:ascii="宋体" w:hAnsi="宋体" w:eastAsia="宋体" w:cs="宋体"/>
          <w:bCs/>
          <w:color w:val="auto"/>
          <w:kern w:val="0"/>
          <w:sz w:val="24"/>
          <w:szCs w:val="24"/>
          <w:highlight w:val="none"/>
        </w:rPr>
        <w:t>采购人提出质疑；供应商认为</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eastAsia="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结果使自己的合法权益受到损害的，应当在知道或者应知其权益受到损害之日起</w:t>
      </w: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个工作日内提出质疑。</w:t>
      </w:r>
      <w:r>
        <w:rPr>
          <w:rFonts w:hint="eastAsia" w:ascii="宋体" w:hAnsi="宋体" w:eastAsia="宋体" w:cs="宋体"/>
          <w:color w:val="auto"/>
          <w:kern w:val="0"/>
          <w:sz w:val="24"/>
          <w:szCs w:val="24"/>
          <w:highlight w:val="none"/>
        </w:rPr>
        <w:t>逾期不再受理,</w:t>
      </w:r>
      <w:r>
        <w:rPr>
          <w:rFonts w:hint="eastAsia" w:ascii="宋体" w:hAnsi="宋体" w:eastAsia="宋体" w:cs="宋体"/>
          <w:bCs/>
          <w:color w:val="auto"/>
          <w:kern w:val="0"/>
          <w:sz w:val="24"/>
          <w:szCs w:val="24"/>
          <w:highlight w:val="none"/>
        </w:rPr>
        <w:t>供应商在法定质疑期内应一次性提出针对同一采购环节的质疑。</w:t>
      </w:r>
      <w:r>
        <w:rPr>
          <w:rFonts w:hint="eastAsia" w:ascii="宋体" w:hAnsi="宋体" w:eastAsia="宋体" w:cs="宋体"/>
          <w:color w:val="auto"/>
          <w:kern w:val="0"/>
          <w:sz w:val="24"/>
          <w:szCs w:val="24"/>
          <w:highlight w:val="none"/>
        </w:rPr>
        <w:t>供应商对</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的质疑答复不满意,或</w:t>
      </w:r>
      <w:r>
        <w:rPr>
          <w:rFonts w:hint="eastAsia" w:ascii="宋体" w:hAnsi="宋体" w:eastAsia="宋体" w:cs="宋体"/>
          <w:bCs/>
          <w:color w:val="auto"/>
          <w:kern w:val="0"/>
          <w:sz w:val="24"/>
          <w:szCs w:val="24"/>
          <w:highlight w:val="none"/>
        </w:rPr>
        <w:t>采购人</w:t>
      </w:r>
      <w:r>
        <w:rPr>
          <w:rFonts w:hint="eastAsia" w:ascii="宋体" w:hAnsi="宋体" w:eastAsia="宋体" w:cs="宋体"/>
          <w:color w:val="auto"/>
          <w:kern w:val="0"/>
          <w:sz w:val="24"/>
          <w:szCs w:val="24"/>
          <w:highlight w:val="none"/>
        </w:rPr>
        <w:t>未在规定时间内作出答复的，可以在答复期满后15个工作日内向</w:t>
      </w:r>
      <w:r>
        <w:rPr>
          <w:rFonts w:hint="eastAsia" w:ascii="宋体" w:hAnsi="宋体" w:eastAsia="宋体" w:cs="宋体"/>
          <w:color w:val="auto"/>
          <w:kern w:val="0"/>
          <w:sz w:val="24"/>
          <w:szCs w:val="24"/>
          <w:highlight w:val="none"/>
          <w:lang w:val="en-US" w:eastAsia="zh-CN"/>
        </w:rPr>
        <w:t>医院纪检</w:t>
      </w:r>
      <w:r>
        <w:rPr>
          <w:rFonts w:hint="eastAsia" w:ascii="宋体" w:hAnsi="宋体" w:eastAsia="宋体" w:cs="宋体"/>
          <w:color w:val="auto"/>
          <w:kern w:val="0"/>
          <w:sz w:val="24"/>
          <w:szCs w:val="24"/>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8.2 </w:t>
      </w:r>
      <w:r>
        <w:rPr>
          <w:rFonts w:hint="eastAsia" w:ascii="宋体" w:hAnsi="宋体" w:eastAsia="宋体" w:cs="宋体"/>
          <w:bCs/>
          <w:color w:val="auto"/>
          <w:kern w:val="0"/>
          <w:sz w:val="24"/>
          <w:szCs w:val="24"/>
          <w:highlight w:val="none"/>
        </w:rPr>
        <w:t>质疑、投诉应当采用书面形式，质疑书、投诉书均应明确阐述</w:t>
      </w:r>
      <w:r>
        <w:rPr>
          <w:rFonts w:hint="eastAsia" w:ascii="宋体" w:hAnsi="宋体" w:eastAsia="宋体" w:cs="宋体"/>
          <w:bCs/>
          <w:color w:val="auto"/>
          <w:kern w:val="0"/>
          <w:sz w:val="24"/>
          <w:szCs w:val="24"/>
          <w:highlight w:val="none"/>
          <w:lang w:val="en-US" w:eastAsia="zh-CN"/>
        </w:rPr>
        <w:t>采购</w:t>
      </w:r>
      <w:r>
        <w:rPr>
          <w:rFonts w:hint="eastAsia" w:ascii="宋体" w:hAnsi="宋体" w:eastAsia="宋体" w:cs="宋体"/>
          <w:bCs/>
          <w:color w:val="auto"/>
          <w:kern w:val="0"/>
          <w:sz w:val="24"/>
          <w:szCs w:val="24"/>
          <w:highlight w:val="none"/>
        </w:rPr>
        <w:t>文件、</w:t>
      </w:r>
      <w:r>
        <w:rPr>
          <w:rFonts w:hint="eastAsia" w:ascii="宋体" w:hAnsi="宋体" w:eastAsia="宋体" w:cs="宋体"/>
          <w:bCs/>
          <w:color w:val="auto"/>
          <w:kern w:val="0"/>
          <w:sz w:val="24"/>
          <w:szCs w:val="24"/>
          <w:highlight w:val="none"/>
          <w:lang w:eastAsia="zh-CN"/>
        </w:rPr>
        <w:t>磋商</w:t>
      </w:r>
      <w:r>
        <w:rPr>
          <w:rFonts w:hint="eastAsia" w:ascii="宋体" w:hAnsi="宋体" w:eastAsia="宋体" w:cs="宋体"/>
          <w:bCs/>
          <w:color w:val="auto"/>
          <w:kern w:val="0"/>
          <w:sz w:val="24"/>
          <w:szCs w:val="24"/>
          <w:highlight w:val="none"/>
        </w:rPr>
        <w:t>过程和</w:t>
      </w:r>
      <w:r>
        <w:rPr>
          <w:rFonts w:hint="eastAsia" w:ascii="宋体" w:hAnsi="宋体" w:eastAsia="宋体" w:cs="宋体"/>
          <w:bCs/>
          <w:color w:val="auto"/>
          <w:kern w:val="0"/>
          <w:sz w:val="24"/>
          <w:szCs w:val="24"/>
          <w:highlight w:val="none"/>
          <w:lang w:eastAsia="zh-CN"/>
        </w:rPr>
        <w:t>成交</w:t>
      </w:r>
      <w:r>
        <w:rPr>
          <w:rFonts w:hint="eastAsia" w:ascii="宋体" w:hAnsi="宋体" w:eastAsia="宋体" w:cs="宋体"/>
          <w:bCs/>
          <w:color w:val="auto"/>
          <w:kern w:val="0"/>
          <w:sz w:val="24"/>
          <w:szCs w:val="24"/>
          <w:highlight w:val="none"/>
        </w:rPr>
        <w:t>结果中使自己合法权益受到损害的实质性内容，提供相关事实、依据和证据及其来源或线索，便于有关单位调查、答复和处理。</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w:t>
      </w:r>
    </w:p>
    <w:p w14:paraId="1B68A14C">
      <w:pPr>
        <w:tabs>
          <w:tab w:val="left" w:pos="720"/>
        </w:tabs>
        <w:spacing w:line="360" w:lineRule="auto"/>
        <w:ind w:firstLine="482" w:firstLineChars="200"/>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9.采购文件构成</w:t>
      </w:r>
    </w:p>
    <w:p w14:paraId="00C9D0C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文件中供应商须知、条款、格式等所有事项，按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文件的要求制作并提交响应文件，并保证所提供的全部资料的真实性，以使其投标对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文件做出实质性响应，否则，将承担其投标被拒绝的风险。</w:t>
      </w:r>
    </w:p>
    <w:p w14:paraId="073B3FE2">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对已发出的</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文件进行必要澄清、修改或补充的，应当在</w:t>
      </w:r>
      <w:r>
        <w:rPr>
          <w:rFonts w:hint="eastAsia" w:ascii="宋体" w:hAnsi="宋体" w:eastAsia="宋体" w:cs="宋体"/>
          <w:color w:val="auto"/>
          <w:kern w:val="0"/>
          <w:sz w:val="24"/>
          <w:szCs w:val="24"/>
          <w:highlight w:val="none"/>
          <w:lang w:val="en-US" w:eastAsia="zh-CN"/>
        </w:rPr>
        <w:t>原采购公告发布</w:t>
      </w:r>
      <w:r>
        <w:rPr>
          <w:rFonts w:hint="eastAsia" w:ascii="宋体" w:hAnsi="宋体" w:eastAsia="宋体" w:cs="宋体"/>
          <w:color w:val="auto"/>
          <w:kern w:val="0"/>
          <w:sz w:val="24"/>
          <w:szCs w:val="24"/>
          <w:highlight w:val="none"/>
        </w:rPr>
        <w:t>媒体上发布更正公告或变更公告。</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文件澄清、修改或补充的内容为</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文件的组成部分。</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.要求</w:t>
      </w:r>
    </w:p>
    <w:p w14:paraId="7F4EF235">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应仔细阅读</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文件的所有内容，按照</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文件提供的格式编写</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文件，不得缺少或留空任何</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文件要求填写的表格或提交的资料。</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文件提供格式的按格式填列，未提供格式的可自行拟定。</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文件应对</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文件的要求作出实质性响应（包括</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资格要求、技术要求、商务要求和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文件格式中对</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的要求），</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对所提供的全部资料的合法性、真实性负责。</w:t>
      </w:r>
    </w:p>
    <w:p w14:paraId="417073B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文件的语言和计量单位</w:t>
      </w:r>
    </w:p>
    <w:p w14:paraId="609BDD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 xml:space="preserve"> 响应</w:t>
      </w:r>
      <w:r>
        <w:rPr>
          <w:rFonts w:hint="eastAsia" w:ascii="宋体" w:hAnsi="宋体" w:eastAsia="宋体" w:cs="宋体"/>
          <w:color w:val="auto"/>
          <w:kern w:val="0"/>
          <w:sz w:val="24"/>
          <w:szCs w:val="24"/>
          <w:highlight w:val="none"/>
        </w:rPr>
        <w:t>文件以及</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与采购人就有关</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事宜的所有来往函电均应使用简体中文书写。供应商提供的外文资料应附有相应的中文译本，并以中文译本为准。</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关于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文件已有明确规定的，使用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文件规定的计量单位；</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文件没有规定的，应采用中华人民共和国法定计量单位。</w:t>
      </w:r>
    </w:p>
    <w:p w14:paraId="27843369">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文件的组成</w:t>
      </w:r>
      <w:r>
        <w:rPr>
          <w:rFonts w:hint="eastAsia" w:ascii="宋体" w:hAnsi="宋体" w:eastAsia="宋体" w:cs="宋体"/>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文件应包括下列部分：</w:t>
      </w:r>
    </w:p>
    <w:p w14:paraId="170FE95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13.2初次报价</w:t>
      </w:r>
      <w:r>
        <w:rPr>
          <w:rFonts w:hint="eastAsia" w:ascii="宋体" w:hAnsi="宋体" w:eastAsia="宋体" w:cs="宋体"/>
          <w:color w:val="auto"/>
          <w:kern w:val="0"/>
          <w:sz w:val="24"/>
          <w:szCs w:val="24"/>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13.3</w:t>
      </w:r>
      <w:r>
        <w:rPr>
          <w:rFonts w:hint="eastAsia" w:ascii="宋体" w:hAnsi="宋体" w:eastAsia="宋体" w:cs="宋体"/>
          <w:color w:val="auto"/>
          <w:kern w:val="0"/>
          <w:sz w:val="24"/>
          <w:szCs w:val="24"/>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证明文件</w:t>
      </w:r>
    </w:p>
    <w:p w14:paraId="3B3C118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w:t>
      </w:r>
      <w:r>
        <w:rPr>
          <w:rFonts w:hint="eastAsia" w:ascii="宋体" w:hAnsi="宋体" w:eastAsia="宋体" w:cs="宋体"/>
          <w:b/>
          <w:color w:val="auto"/>
          <w:kern w:val="0"/>
          <w:sz w:val="24"/>
          <w:szCs w:val="24"/>
          <w:highlight w:val="none"/>
          <w:lang w:val="en-US" w:eastAsia="zh-CN"/>
        </w:rPr>
        <w:t>4</w:t>
      </w:r>
      <w:r>
        <w:rPr>
          <w:rFonts w:hint="eastAsia" w:ascii="宋体" w:hAnsi="宋体" w:eastAsia="宋体" w:cs="宋体"/>
          <w:b/>
          <w:color w:val="auto"/>
          <w:kern w:val="0"/>
          <w:sz w:val="24"/>
          <w:szCs w:val="24"/>
          <w:highlight w:val="none"/>
        </w:rPr>
        <w:t>.</w:t>
      </w:r>
      <w:r>
        <w:rPr>
          <w:rFonts w:hint="eastAsia" w:ascii="宋体" w:hAnsi="宋体" w:eastAsia="宋体" w:cs="宋体"/>
          <w:b/>
          <w:color w:val="auto"/>
          <w:kern w:val="0"/>
          <w:sz w:val="24"/>
          <w:szCs w:val="24"/>
          <w:highlight w:val="none"/>
          <w:lang w:val="en-US" w:eastAsia="zh-CN"/>
        </w:rPr>
        <w:t>响应文件</w:t>
      </w:r>
      <w:r>
        <w:rPr>
          <w:rFonts w:hint="eastAsia" w:ascii="宋体" w:hAnsi="宋体" w:eastAsia="宋体" w:cs="宋体"/>
          <w:b/>
          <w:color w:val="auto"/>
          <w:kern w:val="0"/>
          <w:sz w:val="24"/>
          <w:szCs w:val="24"/>
          <w:highlight w:val="none"/>
        </w:rPr>
        <w:t>有效期</w:t>
      </w:r>
    </w:p>
    <w:p w14:paraId="0BE5B1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响应文件应自规定的磋商之日起，在“供应商须知”规定的时间内保持有效。磋商有效期不足的投标将被视为非实质性响应，并予以拒绝。</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5</w:t>
      </w:r>
      <w:r>
        <w:rPr>
          <w:rFonts w:hint="eastAsia" w:ascii="宋体" w:hAnsi="宋体" w:eastAsia="宋体" w:cs="宋体"/>
          <w:b/>
          <w:bCs/>
          <w:color w:val="auto"/>
          <w:kern w:val="0"/>
          <w:sz w:val="24"/>
          <w:szCs w:val="24"/>
          <w:highlight w:val="none"/>
        </w:rPr>
        <w:t>.投标报价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.1 所有</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要按</w:t>
      </w:r>
      <w:r>
        <w:rPr>
          <w:rFonts w:hint="eastAsia" w:ascii="宋体" w:hAnsi="宋体" w:eastAsia="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.3 </w:t>
      </w:r>
      <w:r>
        <w:rPr>
          <w:rFonts w:hint="eastAsia" w:ascii="宋体" w:hAnsi="宋体" w:eastAsia="宋体" w:cs="宋体"/>
          <w:color w:val="auto"/>
          <w:spacing w:val="10"/>
          <w:kern w:val="0"/>
          <w:sz w:val="24"/>
          <w:szCs w:val="24"/>
          <w:highlight w:val="none"/>
          <w:lang w:eastAsia="zh-CN"/>
        </w:rPr>
        <w:t>供应商</w:t>
      </w:r>
      <w:r>
        <w:rPr>
          <w:rFonts w:hint="eastAsia" w:ascii="宋体" w:hAnsi="宋体" w:eastAsia="宋体" w:cs="宋体"/>
          <w:color w:val="auto"/>
          <w:spacing w:val="10"/>
          <w:kern w:val="0"/>
          <w:sz w:val="24"/>
          <w:szCs w:val="24"/>
          <w:highlight w:val="none"/>
        </w:rPr>
        <w:t>投报多标包的，应对每标包分别报价并分别填报</w:t>
      </w:r>
      <w:r>
        <w:rPr>
          <w:rFonts w:hint="eastAsia" w:ascii="宋体" w:hAnsi="宋体" w:eastAsia="宋体" w:cs="宋体"/>
          <w:color w:val="auto"/>
          <w:kern w:val="0"/>
          <w:sz w:val="24"/>
          <w:szCs w:val="24"/>
          <w:highlight w:val="none"/>
          <w:lang w:val="en-US" w:eastAsia="zh-CN"/>
        </w:rPr>
        <w:t>初次报价</w:t>
      </w:r>
      <w:r>
        <w:rPr>
          <w:rFonts w:hint="eastAsia" w:ascii="宋体" w:hAnsi="宋体" w:eastAsia="宋体" w:cs="宋体"/>
          <w:color w:val="auto"/>
          <w:kern w:val="0"/>
          <w:sz w:val="24"/>
          <w:szCs w:val="24"/>
          <w:highlight w:val="none"/>
        </w:rPr>
        <w:t>一览表</w:t>
      </w:r>
      <w:r>
        <w:rPr>
          <w:rFonts w:hint="eastAsia" w:ascii="宋体" w:hAnsi="宋体" w:eastAsia="宋体" w:cs="宋体"/>
          <w:color w:val="auto"/>
          <w:spacing w:val="10"/>
          <w:kern w:val="0"/>
          <w:sz w:val="24"/>
          <w:szCs w:val="24"/>
          <w:highlight w:val="none"/>
        </w:rPr>
        <w:t>。</w:t>
      </w:r>
    </w:p>
    <w:p w14:paraId="4CE9644D">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.4 </w:t>
      </w:r>
      <w:r>
        <w:rPr>
          <w:rFonts w:hint="eastAsia" w:ascii="宋体" w:hAnsi="宋体" w:eastAsia="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中标明的价格在政府采购合同执行过程中是固定不变的，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 xml:space="preserve">.5 </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.6 对于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eastAsia="zh-CN"/>
        </w:rPr>
        <w:t>初次报价一览表</w:t>
      </w:r>
      <w:r>
        <w:rPr>
          <w:rFonts w:hint="eastAsia" w:ascii="宋体" w:hAnsi="宋体" w:eastAsia="宋体" w:cs="宋体"/>
          <w:color w:val="auto"/>
          <w:kern w:val="0"/>
          <w:sz w:val="24"/>
          <w:szCs w:val="24"/>
          <w:highlight w:val="none"/>
        </w:rPr>
        <w:t>和</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文件中列出的赠送条款，在评审时不得作为价格评分因素或者调整评标价格的依据。</w:t>
      </w:r>
    </w:p>
    <w:p w14:paraId="5BDEFEBB">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16</w:t>
      </w:r>
      <w:r>
        <w:rPr>
          <w:rFonts w:hint="eastAsia" w:ascii="宋体" w:hAnsi="宋体" w:eastAsia="宋体" w:cs="宋体"/>
          <w:b/>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文件的签署</w:t>
      </w:r>
      <w:r>
        <w:rPr>
          <w:rFonts w:hint="eastAsia" w:ascii="宋体" w:hAnsi="宋体" w:eastAsia="宋体" w:cs="宋体"/>
          <w:b/>
          <w:color w:val="auto"/>
          <w:kern w:val="0"/>
          <w:sz w:val="24"/>
          <w:szCs w:val="24"/>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文件应按第六章“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文件格式”进行编写，如有必要，可以增加附页，作为</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的组成部分。其中，</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报价一览表在满足</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文件实质性要求的基础上，可以提出比</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文件要求更有利于采购人的承诺。</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2响应</w:t>
      </w:r>
      <w:r>
        <w:rPr>
          <w:rFonts w:hint="eastAsia" w:ascii="宋体" w:hAnsi="宋体" w:eastAsia="宋体" w:cs="宋体"/>
          <w:color w:val="auto"/>
          <w:kern w:val="0"/>
          <w:sz w:val="24"/>
          <w:szCs w:val="24"/>
          <w:highlight w:val="none"/>
        </w:rPr>
        <w:t>文件应用不褪色的材料书写或打印，并由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的法定代表人盖章或盖单位公章；</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文件应尽量避免涂改、行间插字或删除，如果出现上述情况，改动之处应加盖单位公章或由</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的法定代表人盖章确认。</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75" w:firstLineChars="198"/>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3响应</w:t>
      </w:r>
      <w:r>
        <w:rPr>
          <w:rFonts w:hint="eastAsia" w:ascii="宋体" w:hAnsi="宋体" w:eastAsia="宋体" w:cs="宋体"/>
          <w:color w:val="auto"/>
          <w:kern w:val="0"/>
          <w:sz w:val="24"/>
          <w:szCs w:val="24"/>
          <w:highlight w:val="none"/>
        </w:rPr>
        <w:t>文件份数见</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须知前附表。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文件正本和副本的封面上应清楚地标记“正本”或“副本”的字样。</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四、</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77" w:firstLineChars="198"/>
        <w:textAlignment w:val="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17.</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84" w:firstLineChars="202"/>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17</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17.2</w:t>
      </w:r>
      <w:r>
        <w:rPr>
          <w:rFonts w:hint="eastAsia" w:ascii="宋体" w:hAnsi="宋体" w:eastAsia="宋体" w:cs="宋体"/>
          <w:color w:val="auto"/>
          <w:sz w:val="24"/>
          <w:szCs w:val="24"/>
          <w:highlight w:val="none"/>
          <w:lang w:eastAsia="zh-CN"/>
        </w:rPr>
        <w:t xml:space="preserve"> 未按本章第</w:t>
      </w:r>
      <w:r>
        <w:rPr>
          <w:rFonts w:hint="eastAsia" w:ascii="宋体" w:hAnsi="宋体" w:eastAsia="宋体" w:cs="宋体"/>
          <w:color w:val="auto"/>
          <w:sz w:val="24"/>
          <w:szCs w:val="24"/>
          <w:highlight w:val="none"/>
          <w:lang w:val="en-US" w:eastAsia="zh-CN"/>
        </w:rPr>
        <w:t>17.1</w:t>
      </w:r>
      <w:r>
        <w:rPr>
          <w:rFonts w:hint="eastAsia" w:ascii="宋体" w:hAnsi="宋体" w:eastAsia="宋体" w:cs="宋体"/>
          <w:color w:val="auto"/>
          <w:sz w:val="24"/>
          <w:szCs w:val="24"/>
          <w:highlight w:val="none"/>
          <w:lang w:eastAsia="zh-CN"/>
        </w:rPr>
        <w:t>项要求密封的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sz w:val="24"/>
          <w:szCs w:val="24"/>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lang w:val="en-US" w:eastAsia="zh-CN"/>
        </w:rPr>
        <w:t>18</w:t>
      </w:r>
      <w:r>
        <w:rPr>
          <w:rFonts w:hint="eastAsia" w:ascii="宋体" w:hAnsi="宋体" w:eastAsia="宋体" w:cs="宋体"/>
          <w:b/>
          <w:bCs w:val="0"/>
          <w:color w:val="auto"/>
          <w:kern w:val="0"/>
          <w:sz w:val="24"/>
          <w:szCs w:val="24"/>
          <w:highlight w:val="none"/>
        </w:rPr>
        <w:t xml:space="preserve">. </w:t>
      </w:r>
      <w:r>
        <w:rPr>
          <w:rFonts w:hint="eastAsia" w:ascii="宋体" w:hAnsi="宋体" w:eastAsia="宋体" w:cs="宋体"/>
          <w:b/>
          <w:bCs w:val="0"/>
          <w:color w:val="auto"/>
          <w:kern w:val="0"/>
          <w:sz w:val="24"/>
          <w:szCs w:val="24"/>
          <w:highlight w:val="none"/>
          <w:lang w:val="en-US" w:eastAsia="zh-CN"/>
        </w:rPr>
        <w:t>响应</w:t>
      </w:r>
      <w:r>
        <w:rPr>
          <w:rFonts w:hint="eastAsia" w:ascii="宋体" w:hAnsi="宋体" w:eastAsia="宋体" w:cs="宋体"/>
          <w:b/>
          <w:bCs w:val="0"/>
          <w:color w:val="auto"/>
          <w:kern w:val="0"/>
          <w:sz w:val="24"/>
          <w:szCs w:val="24"/>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应在规定的</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截止时间前</w:t>
      </w:r>
      <w:r>
        <w:rPr>
          <w:rFonts w:hint="eastAsia" w:ascii="宋体" w:hAnsi="宋体" w:eastAsia="宋体" w:cs="宋体"/>
          <w:color w:val="auto"/>
          <w:kern w:val="0"/>
          <w:sz w:val="24"/>
          <w:szCs w:val="24"/>
          <w:highlight w:val="none"/>
          <w:lang w:eastAsia="zh-CN"/>
        </w:rPr>
        <w:t>递交</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18.2</w:t>
      </w:r>
      <w:r>
        <w:rPr>
          <w:rFonts w:hint="eastAsia" w:ascii="宋体" w:hAnsi="宋体" w:eastAsia="宋体" w:cs="宋体"/>
          <w:color w:val="auto"/>
          <w:kern w:val="0"/>
          <w:sz w:val="24"/>
          <w:szCs w:val="24"/>
          <w:highlight w:val="none"/>
        </w:rPr>
        <w:t xml:space="preserve"> 逾期送达的或者未送达指定地点的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77" w:firstLineChars="198"/>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19</w:t>
      </w:r>
      <w:r>
        <w:rPr>
          <w:rFonts w:hint="eastAsia" w:ascii="宋体" w:hAnsi="宋体" w:eastAsia="宋体" w:cs="宋体"/>
          <w:b/>
          <w:color w:val="auto"/>
          <w:kern w:val="0"/>
          <w:sz w:val="24"/>
          <w:szCs w:val="24"/>
          <w:highlight w:val="none"/>
        </w:rPr>
        <w:t xml:space="preserve">. </w:t>
      </w:r>
      <w:r>
        <w:rPr>
          <w:rFonts w:hint="eastAsia" w:ascii="宋体" w:hAnsi="宋体" w:eastAsia="宋体" w:cs="宋体"/>
          <w:b/>
          <w:color w:val="auto"/>
          <w:kern w:val="0"/>
          <w:sz w:val="24"/>
          <w:szCs w:val="24"/>
          <w:highlight w:val="none"/>
          <w:lang w:val="en-US" w:eastAsia="zh-CN"/>
        </w:rPr>
        <w:t>响应</w:t>
      </w:r>
      <w:r>
        <w:rPr>
          <w:rFonts w:hint="eastAsia" w:ascii="宋体" w:hAnsi="宋体" w:eastAsia="宋体" w:cs="宋体"/>
          <w:b/>
          <w:color w:val="auto"/>
          <w:kern w:val="0"/>
          <w:sz w:val="24"/>
          <w:szCs w:val="24"/>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.1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在投标截止时间前，可以对所提交的</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文件进行补充、修改或者撤回，并书面通知</w:t>
      </w:r>
      <w:r>
        <w:rPr>
          <w:rFonts w:hint="eastAsia" w:ascii="宋体" w:hAnsi="宋体" w:eastAsia="宋体" w:cs="宋体"/>
          <w:color w:val="auto"/>
          <w:kern w:val="0"/>
          <w:sz w:val="24"/>
          <w:szCs w:val="24"/>
          <w:highlight w:val="none"/>
          <w:lang w:eastAsia="zh-CN"/>
        </w:rPr>
        <w:t>采购人</w:t>
      </w:r>
      <w:r>
        <w:rPr>
          <w:rFonts w:hint="eastAsia" w:ascii="宋体" w:hAnsi="宋体" w:eastAsia="宋体" w:cs="宋体"/>
          <w:color w:val="auto"/>
          <w:kern w:val="0"/>
          <w:sz w:val="24"/>
          <w:szCs w:val="24"/>
          <w:highlight w:val="none"/>
        </w:rPr>
        <w:t>。补充、修改的内容和撤回通知应当按本须知要求签署、盖章、密封，并作为</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19</w:t>
      </w:r>
      <w:r>
        <w:rPr>
          <w:rFonts w:hint="eastAsia" w:ascii="宋体" w:hAnsi="宋体" w:eastAsia="宋体" w:cs="宋体"/>
          <w:color w:val="auto"/>
          <w:kern w:val="0"/>
          <w:sz w:val="24"/>
          <w:szCs w:val="24"/>
          <w:highlight w:val="none"/>
        </w:rPr>
        <w:t xml:space="preserve">.2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截止期后不得修改、撤回</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在投标截止期后修改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五</w:t>
      </w:r>
      <w:r>
        <w:rPr>
          <w:rFonts w:hint="eastAsia" w:ascii="宋体" w:hAnsi="宋体" w:eastAsia="宋体" w:cs="宋体"/>
          <w:b/>
          <w:bCs/>
          <w:color w:val="auto"/>
          <w:kern w:val="0"/>
          <w:sz w:val="24"/>
          <w:szCs w:val="24"/>
          <w:highlight w:val="none"/>
        </w:rPr>
        <w:t>、评</w:t>
      </w:r>
      <w:r>
        <w:rPr>
          <w:rFonts w:hint="eastAsia" w:ascii="宋体" w:hAnsi="宋体" w:cs="宋体"/>
          <w:b/>
          <w:bCs/>
          <w:color w:val="auto"/>
          <w:kern w:val="0"/>
          <w:sz w:val="24"/>
          <w:szCs w:val="24"/>
          <w:highlight w:val="none"/>
          <w:lang w:eastAsia="zh-CN"/>
        </w:rPr>
        <w:t>审</w:t>
      </w:r>
    </w:p>
    <w:p w14:paraId="520C506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组建</w:t>
      </w:r>
      <w:r>
        <w:rPr>
          <w:rFonts w:hint="eastAsia" w:ascii="宋体" w:hAnsi="宋体" w:eastAsia="宋体" w:cs="宋体"/>
          <w:b/>
          <w:bCs/>
          <w:color w:val="auto"/>
          <w:kern w:val="0"/>
          <w:sz w:val="24"/>
          <w:szCs w:val="24"/>
          <w:highlight w:val="none"/>
          <w:lang w:eastAsia="zh-CN"/>
        </w:rPr>
        <w:t>磋商小组</w:t>
      </w:r>
    </w:p>
    <w:p w14:paraId="78EE007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.1 磋商由评审小组负责。评审小组由采购人的代表和有关技术、经济等方面的专家组成，成员人数应当为3人及以上单数。其中，技术、经济等方面的专家不得少于成员总数的三分之二。评审小组应当推选组长，但采购人代表不得担任组长。</w:t>
      </w:r>
    </w:p>
    <w:p w14:paraId="784A1239">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0</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成员要依法独立评审，并对评审意见承担个人责任。</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成员对需要共同认定的事项存在争议的，按照少数服从多数的原则</w:t>
      </w:r>
      <w:r>
        <w:rPr>
          <w:rFonts w:hint="eastAsia" w:ascii="宋体" w:hAnsi="宋体" w:eastAsia="宋体" w:cs="宋体"/>
          <w:color w:val="auto"/>
          <w:kern w:val="0"/>
          <w:sz w:val="24"/>
          <w:szCs w:val="24"/>
          <w:highlight w:val="none"/>
        </w:rPr>
        <w:t>做</w:t>
      </w:r>
      <w:r>
        <w:rPr>
          <w:rFonts w:hint="eastAsia" w:ascii="宋体" w:hAnsi="宋体" w:eastAsia="宋体" w:cs="宋体"/>
          <w:color w:val="auto"/>
          <w:sz w:val="24"/>
          <w:szCs w:val="24"/>
          <w:highlight w:val="none"/>
        </w:rPr>
        <w:t>出结论。持不同意见的</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成员应当在评</w:t>
      </w:r>
      <w:r>
        <w:rPr>
          <w:rFonts w:hint="eastAsia" w:ascii="宋体" w:hAnsi="宋体" w:eastAsia="宋体" w:cs="宋体"/>
          <w:color w:val="auto"/>
          <w:sz w:val="24"/>
          <w:szCs w:val="24"/>
          <w:highlight w:val="none"/>
          <w:lang w:val="en-US" w:eastAsia="zh-CN"/>
        </w:rPr>
        <w:t>审</w:t>
      </w:r>
      <w:r>
        <w:rPr>
          <w:rFonts w:hint="eastAsia" w:ascii="宋体" w:hAnsi="宋体" w:eastAsia="宋体" w:cs="宋体"/>
          <w:color w:val="auto"/>
          <w:sz w:val="24"/>
          <w:szCs w:val="24"/>
          <w:highlight w:val="none"/>
        </w:rPr>
        <w:t>报告上签署不同意见</w:t>
      </w:r>
      <w:r>
        <w:rPr>
          <w:rFonts w:hint="eastAsia" w:ascii="宋体" w:hAnsi="宋体" w:eastAsia="宋体" w:cs="宋体"/>
          <w:color w:val="auto"/>
          <w:kern w:val="0"/>
          <w:sz w:val="24"/>
          <w:szCs w:val="24"/>
          <w:highlight w:val="none"/>
        </w:rPr>
        <w:t>并说明</w:t>
      </w:r>
      <w:r>
        <w:rPr>
          <w:rFonts w:hint="eastAsia" w:ascii="宋体" w:hAnsi="宋体" w:eastAsia="宋体" w:cs="宋体"/>
          <w:color w:val="auto"/>
          <w:sz w:val="24"/>
          <w:szCs w:val="24"/>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sz w:val="24"/>
          <w:szCs w:val="24"/>
          <w:highlight w:val="none"/>
        </w:rPr>
        <w:t>文件的初审</w:t>
      </w:r>
    </w:p>
    <w:p w14:paraId="0EA49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响应文件</w:t>
      </w:r>
      <w:r>
        <w:rPr>
          <w:rFonts w:hint="eastAsia" w:ascii="宋体" w:hAnsi="宋体" w:eastAsia="宋体" w:cs="宋体"/>
          <w:color w:val="auto"/>
          <w:kern w:val="0"/>
          <w:sz w:val="24"/>
          <w:szCs w:val="24"/>
          <w:highlight w:val="none"/>
        </w:rPr>
        <w:t>报价出现前后不一致的，除</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21.1.1响应文件</w:t>
      </w:r>
      <w:r>
        <w:rPr>
          <w:rFonts w:hint="eastAsia" w:ascii="宋体" w:hAnsi="宋体" w:eastAsia="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（报价表）内容与</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shd w:val="clear" w:color="auto" w:fill="FFFFFF"/>
        </w:rPr>
        <w:t>中相应内容不一致的，以</w:t>
      </w:r>
      <w:r>
        <w:rPr>
          <w:rFonts w:hint="eastAsia" w:ascii="宋体" w:hAnsi="宋体" w:eastAsia="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shd w:val="clear" w:color="auto" w:fill="FFFFFF"/>
        </w:rPr>
        <w:t>大写金额</w:t>
      </w:r>
      <w:r>
        <w:rPr>
          <w:rFonts w:hint="eastAsia" w:ascii="宋体" w:hAnsi="宋体" w:eastAsia="宋体" w:cs="宋体"/>
          <w:color w:val="auto"/>
          <w:sz w:val="24"/>
          <w:szCs w:val="24"/>
          <w:highlight w:val="none"/>
        </w:rPr>
        <w:t>与</w:t>
      </w:r>
      <w:r>
        <w:rPr>
          <w:rFonts w:hint="eastAsia" w:ascii="宋体" w:hAnsi="宋体" w:eastAsia="宋体" w:cs="宋体"/>
          <w:color w:val="auto"/>
          <w:sz w:val="24"/>
          <w:szCs w:val="24"/>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shd w:val="clear" w:color="auto" w:fill="FFFFFF"/>
        </w:rPr>
        <w:t>单价金额小数点或者百分比有明显错位的，以</w:t>
      </w:r>
      <w:r>
        <w:rPr>
          <w:rFonts w:hint="eastAsia" w:ascii="宋体" w:hAnsi="宋体" w:eastAsia="宋体" w:cs="宋体"/>
          <w:color w:val="auto"/>
          <w:sz w:val="24"/>
          <w:szCs w:val="24"/>
          <w:highlight w:val="none"/>
          <w:shd w:val="clear" w:color="auto" w:fill="FFFFFF"/>
          <w:lang w:eastAsia="zh-CN"/>
        </w:rPr>
        <w:t>初次报价一览表</w:t>
      </w:r>
      <w:r>
        <w:rPr>
          <w:rFonts w:hint="eastAsia" w:ascii="宋体" w:hAnsi="宋体" w:eastAsia="宋体" w:cs="宋体"/>
          <w:color w:val="auto"/>
          <w:sz w:val="24"/>
          <w:szCs w:val="24"/>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.5对不同文字文本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.6同时出现两种以上不一致的，按照前款规定的顺序修正。修正后的报价按照财政部87号令第五十一条第二款的规定经</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确认后产生约束力，</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 资格性检查和符合性检查。</w:t>
      </w:r>
    </w:p>
    <w:p w14:paraId="16DDBDD7">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.1</w:t>
      </w:r>
      <w:r>
        <w:rPr>
          <w:rFonts w:hint="eastAsia" w:ascii="宋体" w:hAnsi="宋体" w:eastAsia="宋体" w:cs="宋体"/>
          <w:color w:val="auto"/>
          <w:sz w:val="24"/>
          <w:szCs w:val="24"/>
          <w:highlight w:val="none"/>
        </w:rPr>
        <w:t>资格性检查。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en-US" w:eastAsia="zh-CN"/>
        </w:rPr>
        <w:t>委托代购代理机构</w:t>
      </w:r>
      <w:r>
        <w:rPr>
          <w:rFonts w:hint="eastAsia" w:ascii="宋体" w:hAnsi="宋体" w:eastAsia="宋体" w:cs="宋体"/>
          <w:color w:val="auto"/>
          <w:sz w:val="24"/>
          <w:szCs w:val="24"/>
          <w:highlight w:val="none"/>
        </w:rPr>
        <w:t>按</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公告第二项和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文件第三章</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应提交的证明文件所述的资格标准对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进行资格审查,以确定其是否具备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资格。如果</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资格、不满足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文件所规定的资格标准或提供资格证明文件不全,其投标将被作为无效</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6A6B5FCA">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.2 资格审查后合格的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.3 符合性检查。依据</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文件的规定，</w:t>
      </w:r>
      <w:r>
        <w:rPr>
          <w:rFonts w:hint="eastAsia" w:ascii="宋体" w:hAnsi="宋体" w:eastAsia="宋体" w:cs="宋体"/>
          <w:b/>
          <w:bCs/>
          <w:color w:val="auto"/>
          <w:kern w:val="0"/>
          <w:sz w:val="24"/>
          <w:szCs w:val="24"/>
          <w:highlight w:val="none"/>
          <w:lang w:eastAsia="zh-CN"/>
        </w:rPr>
        <w:t>磋商小组</w:t>
      </w:r>
      <w:r>
        <w:rPr>
          <w:rFonts w:hint="eastAsia" w:ascii="宋体" w:hAnsi="宋体" w:eastAsia="宋体" w:cs="宋体"/>
          <w:b/>
          <w:bCs/>
          <w:color w:val="auto"/>
          <w:kern w:val="0"/>
          <w:sz w:val="24"/>
          <w:szCs w:val="24"/>
          <w:highlight w:val="none"/>
        </w:rPr>
        <w:t>将从</w:t>
      </w:r>
      <w:r>
        <w:rPr>
          <w:rFonts w:hint="eastAsia" w:ascii="宋体" w:hAnsi="宋体" w:eastAsia="宋体" w:cs="宋体"/>
          <w:b/>
          <w:bCs/>
          <w:color w:val="auto"/>
          <w:sz w:val="24"/>
          <w:szCs w:val="24"/>
          <w:highlight w:val="none"/>
          <w:shd w:val="clear" w:color="auto" w:fill="FFFFFF"/>
          <w:lang w:val="en-US" w:eastAsia="zh-CN"/>
        </w:rPr>
        <w:t>响应文件</w:t>
      </w:r>
      <w:r>
        <w:rPr>
          <w:rFonts w:hint="eastAsia" w:ascii="宋体" w:hAnsi="宋体" w:eastAsia="宋体" w:cs="宋体"/>
          <w:b/>
          <w:bCs/>
          <w:color w:val="auto"/>
          <w:kern w:val="0"/>
          <w:sz w:val="24"/>
          <w:szCs w:val="24"/>
          <w:highlight w:val="none"/>
        </w:rPr>
        <w:t>的有效性、完整性和对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文件的响应程度进行审查，以确定是否符合对</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文件的实质性要求作出响应。对没有实质性响应的</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文件将不进行评估，其投标被作为无效</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。凡有下列情况之一者，</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文件也将被视为未实质性响应</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文件要求：</w:t>
      </w:r>
    </w:p>
    <w:p w14:paraId="1C23A94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（1）</w:t>
      </w:r>
      <w:r>
        <w:rPr>
          <w:rFonts w:hint="eastAsia" w:ascii="宋体" w:hAnsi="宋体" w:eastAsia="宋体" w:cs="宋体"/>
          <w:b/>
          <w:bCs/>
          <w:color w:val="auto"/>
          <w:kern w:val="0"/>
          <w:sz w:val="24"/>
          <w:szCs w:val="24"/>
          <w:highlight w:val="none"/>
          <w:lang w:val="en-US" w:eastAsia="zh-CN"/>
        </w:rPr>
        <w:t>响应文件</w:t>
      </w:r>
      <w:r>
        <w:rPr>
          <w:rFonts w:hint="eastAsia" w:ascii="宋体" w:hAnsi="宋体" w:eastAsia="宋体" w:cs="宋体"/>
          <w:b/>
          <w:bCs/>
          <w:color w:val="auto"/>
          <w:kern w:val="0"/>
          <w:sz w:val="24"/>
          <w:szCs w:val="24"/>
          <w:highlight w:val="none"/>
        </w:rPr>
        <w:t>未按规定签字、盖章的。</w:t>
      </w:r>
    </w:p>
    <w:p w14:paraId="05C53A1D">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未按</w:t>
      </w:r>
      <w:r>
        <w:rPr>
          <w:rFonts w:hint="eastAsia" w:ascii="宋体" w:hAnsi="宋体" w:eastAsia="宋体" w:cs="宋体"/>
          <w:b/>
          <w:bCs/>
          <w:color w:val="auto"/>
          <w:kern w:val="0"/>
          <w:sz w:val="24"/>
          <w:szCs w:val="24"/>
          <w:highlight w:val="none"/>
          <w:lang w:val="en-US" w:eastAsia="zh-CN"/>
        </w:rPr>
        <w:t>磋商</w:t>
      </w:r>
      <w:r>
        <w:rPr>
          <w:rFonts w:hint="eastAsia" w:ascii="宋体" w:hAnsi="宋体" w:eastAsia="宋体" w:cs="宋体"/>
          <w:b/>
          <w:bCs/>
          <w:color w:val="auto"/>
          <w:kern w:val="0"/>
          <w:sz w:val="24"/>
          <w:szCs w:val="24"/>
          <w:highlight w:val="none"/>
        </w:rPr>
        <w:t>文件规定报价，报价均超过采购预算或最高限价的。</w:t>
      </w:r>
    </w:p>
    <w:p w14:paraId="01BAF513">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）不符合</w:t>
      </w:r>
      <w:r>
        <w:rPr>
          <w:rFonts w:hint="eastAsia" w:ascii="宋体" w:hAnsi="宋体" w:eastAsia="宋体" w:cs="宋体"/>
          <w:b/>
          <w:bCs/>
          <w:color w:val="auto"/>
          <w:kern w:val="0"/>
          <w:sz w:val="24"/>
          <w:szCs w:val="24"/>
          <w:highlight w:val="none"/>
          <w:lang w:val="en-US" w:eastAsia="zh-CN"/>
        </w:rPr>
        <w:t>采购</w:t>
      </w:r>
      <w:r>
        <w:rPr>
          <w:rFonts w:hint="eastAsia" w:ascii="宋体" w:hAnsi="宋体" w:eastAsia="宋体" w:cs="宋体"/>
          <w:b/>
          <w:bCs/>
          <w:color w:val="auto"/>
          <w:kern w:val="0"/>
          <w:sz w:val="24"/>
          <w:szCs w:val="24"/>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80" w:firstLineChars="20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决定投标的响应性只根据</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.4 对资格性检查和符合性检查不合格的</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应当面</w:t>
      </w:r>
      <w:r>
        <w:rPr>
          <w:rFonts w:hint="eastAsia" w:ascii="宋体" w:hAnsi="宋体" w:eastAsia="宋体" w:cs="宋体"/>
          <w:color w:val="auto"/>
          <w:kern w:val="0"/>
          <w:sz w:val="24"/>
          <w:szCs w:val="24"/>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在评审过程中，</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发现</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有下列情形之一的，视为</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串通投标，其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.1不同</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.2不同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.3不同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.4不同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60" w:firstLineChars="15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.5不同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相互混装；</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456" w:firstLineChars="190"/>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 xml:space="preserve"> 有证据证明</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串通投标的其他情形的；</w:t>
      </w:r>
    </w:p>
    <w:p w14:paraId="265D305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认定的其他串通投标情形。</w:t>
      </w:r>
    </w:p>
    <w:p w14:paraId="42C3E08A">
      <w:pPr>
        <w:keepNext w:val="0"/>
        <w:keepLines w:val="0"/>
        <w:pageBreakBefore w:val="0"/>
        <w:widowControl w:val="0"/>
        <w:tabs>
          <w:tab w:val="left" w:pos="0"/>
        </w:tabs>
        <w:kinsoku/>
        <w:wordWrap/>
        <w:overflowPunct/>
        <w:topLinePunct w:val="0"/>
        <w:bidi w:val="0"/>
        <w:snapToGrid w:val="0"/>
        <w:spacing w:line="360" w:lineRule="auto"/>
        <w:ind w:left="105" w:leftChars="50" w:firstLine="361" w:firstLineChars="150"/>
        <w:contextualSpacing/>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21.4磋商</w:t>
      </w:r>
    </w:p>
    <w:p w14:paraId="64E8A3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对资格性检查和符合性检查合格的供应商，进入本次磋商程序。</w:t>
      </w:r>
    </w:p>
    <w:p w14:paraId="23E8D3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 xml:space="preserve">21.4.1 </w:t>
      </w:r>
      <w:r>
        <w:rPr>
          <w:rFonts w:hint="eastAsia" w:ascii="宋体" w:hAnsi="宋体" w:eastAsia="宋体" w:cs="宋体"/>
          <w:b w:val="0"/>
          <w:bCs w:val="0"/>
          <w:color w:val="auto"/>
          <w:sz w:val="24"/>
          <w:szCs w:val="24"/>
          <w:highlight w:val="none"/>
        </w:rPr>
        <w:t>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79AB5E2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21.4.2 本次竞争性磋商进行</w:t>
      </w:r>
      <w:r>
        <w:rPr>
          <w:rFonts w:hint="eastAsia" w:ascii="宋体" w:hAnsi="宋体" w:eastAsia="宋体" w:cs="宋体"/>
          <w:b w:val="0"/>
          <w:bCs w:val="0"/>
          <w:color w:val="auto"/>
          <w:sz w:val="24"/>
          <w:szCs w:val="24"/>
          <w:highlight w:val="none"/>
          <w:u w:val="single"/>
          <w:lang w:val="en-US" w:eastAsia="zh-CN"/>
        </w:rPr>
        <w:t xml:space="preserve"> 多 </w:t>
      </w:r>
      <w:r>
        <w:rPr>
          <w:rFonts w:hint="eastAsia" w:ascii="宋体" w:hAnsi="宋体" w:eastAsia="宋体" w:cs="宋体"/>
          <w:b w:val="0"/>
          <w:bCs w:val="0"/>
          <w:color w:val="auto"/>
          <w:sz w:val="24"/>
          <w:szCs w:val="24"/>
          <w:highlight w:val="none"/>
          <w:lang w:val="en-US" w:eastAsia="zh-CN"/>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45E8A6B7">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文件的澄清</w:t>
      </w:r>
    </w:p>
    <w:p w14:paraId="29924CB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A3C27E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22.2评审小组要求供应商澄清、说明或者更正响应文件应当以书面形式作出。供应商的澄清、说明或者更正应当由法定代表人或其授权代表签字或者加盖公章。</w:t>
      </w:r>
    </w:p>
    <w:p w14:paraId="3A86F42C">
      <w:pPr>
        <w:keepNext w:val="0"/>
        <w:keepLines w:val="0"/>
        <w:pageBreakBefore w:val="0"/>
        <w:widowControl w:val="0"/>
        <w:kinsoku/>
        <w:wordWrap/>
        <w:overflowPunct/>
        <w:topLinePunct w:val="0"/>
        <w:bidi w:val="0"/>
        <w:snapToGrid w:val="0"/>
        <w:spacing w:line="360" w:lineRule="auto"/>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2</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rPr>
        <w:t xml:space="preserve"> 评标过程及保密原则</w:t>
      </w:r>
    </w:p>
    <w:p w14:paraId="26B5CC76">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.1 凡与本次</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有关人员对属于审查、澄清、评价和比较</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的有关资料以及定标意向等，均不得向</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 在评标期间，</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试图影响或干预评审的任何行为，将导致其</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被作为无效</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，并承担相应的法律责任。</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六</w:t>
      </w:r>
      <w:r>
        <w:rPr>
          <w:rFonts w:hint="eastAsia" w:ascii="宋体" w:hAnsi="宋体" w:eastAsia="宋体" w:cs="宋体"/>
          <w:b/>
          <w:bCs/>
          <w:color w:val="auto"/>
          <w:kern w:val="0"/>
          <w:sz w:val="24"/>
          <w:szCs w:val="24"/>
          <w:highlight w:val="none"/>
        </w:rPr>
        <w:t>、</w:t>
      </w:r>
      <w:r>
        <w:rPr>
          <w:rFonts w:hint="eastAsia" w:ascii="宋体" w:hAnsi="宋体" w:eastAsia="宋体" w:cs="宋体"/>
          <w:b/>
          <w:bCs/>
          <w:color w:val="auto"/>
          <w:kern w:val="0"/>
          <w:sz w:val="24"/>
          <w:szCs w:val="24"/>
          <w:highlight w:val="none"/>
          <w:lang w:val="en-US" w:eastAsia="zh-CN"/>
        </w:rPr>
        <w:t>成交结果</w:t>
      </w:r>
    </w:p>
    <w:p w14:paraId="470BA4A0">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24</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成交</w:t>
      </w:r>
      <w:r>
        <w:rPr>
          <w:rFonts w:hint="eastAsia" w:ascii="宋体" w:hAnsi="宋体" w:eastAsia="宋体" w:cs="宋体"/>
          <w:b/>
          <w:bCs/>
          <w:color w:val="auto"/>
          <w:kern w:val="0"/>
          <w:sz w:val="24"/>
          <w:szCs w:val="24"/>
          <w:highlight w:val="none"/>
        </w:rPr>
        <w:t>原则</w:t>
      </w:r>
    </w:p>
    <w:p w14:paraId="7B136907">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采用综合评分法的，评标结果按评审后得分由高到低顺序排列。</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为排名第一的</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，以此类推。得分相同的，按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color w:val="auto"/>
          <w:kern w:val="0"/>
          <w:sz w:val="24"/>
          <w:szCs w:val="24"/>
          <w:highlight w:val="none"/>
          <w:lang w:eastAsia="zh-CN"/>
        </w:rPr>
      </w:pPr>
      <w:r>
        <w:rPr>
          <w:rFonts w:hint="eastAsia" w:ascii="宋体" w:hAnsi="宋体" w:eastAsia="宋体" w:cs="宋体"/>
          <w:b/>
          <w:bCs/>
          <w:color w:val="auto"/>
          <w:kern w:val="0"/>
          <w:sz w:val="24"/>
          <w:szCs w:val="24"/>
          <w:highlight w:val="none"/>
          <w:lang w:val="en-US" w:eastAsia="zh-CN"/>
        </w:rPr>
        <w:t>25</w:t>
      </w:r>
      <w:r>
        <w:rPr>
          <w:rFonts w:hint="eastAsia" w:ascii="宋体" w:hAnsi="宋体" w:eastAsia="宋体" w:cs="宋体"/>
          <w:b/>
          <w:bCs/>
          <w:color w:val="auto"/>
          <w:kern w:val="0"/>
          <w:sz w:val="24"/>
          <w:szCs w:val="24"/>
          <w:highlight w:val="none"/>
        </w:rPr>
        <w:t>. 确定</w:t>
      </w:r>
      <w:r>
        <w:rPr>
          <w:rFonts w:hint="eastAsia" w:ascii="宋体" w:hAnsi="宋体" w:eastAsia="宋体" w:cs="宋体"/>
          <w:b/>
          <w:bCs/>
          <w:color w:val="auto"/>
          <w:kern w:val="0"/>
          <w:sz w:val="24"/>
          <w:szCs w:val="24"/>
          <w:highlight w:val="none"/>
          <w:lang w:eastAsia="zh-CN"/>
        </w:rPr>
        <w:t>成交供应商</w:t>
      </w:r>
      <w:r>
        <w:rPr>
          <w:rFonts w:hint="eastAsia" w:ascii="宋体" w:hAnsi="宋体" w:eastAsia="宋体" w:cs="宋体"/>
          <w:b/>
          <w:bCs/>
          <w:color w:val="auto"/>
          <w:kern w:val="0"/>
          <w:sz w:val="24"/>
          <w:szCs w:val="24"/>
          <w:highlight w:val="none"/>
        </w:rPr>
        <w:t>和</w:t>
      </w:r>
      <w:r>
        <w:rPr>
          <w:rFonts w:hint="eastAsia" w:ascii="宋体" w:hAnsi="宋体" w:eastAsia="宋体" w:cs="宋体"/>
          <w:b/>
          <w:bCs/>
          <w:color w:val="auto"/>
          <w:kern w:val="0"/>
          <w:sz w:val="24"/>
          <w:szCs w:val="24"/>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bCs/>
          <w:color w:val="auto"/>
          <w:kern w:val="0"/>
          <w:sz w:val="24"/>
          <w:szCs w:val="24"/>
          <w:highlight w:val="none"/>
        </w:rPr>
        <w:t>本项目由采购人授权</w:t>
      </w:r>
      <w:r>
        <w:rPr>
          <w:rFonts w:hint="eastAsia" w:ascii="宋体" w:hAnsi="宋体" w:eastAsia="宋体" w:cs="宋体"/>
          <w:bCs/>
          <w:color w:val="auto"/>
          <w:kern w:val="0"/>
          <w:sz w:val="24"/>
          <w:szCs w:val="24"/>
          <w:highlight w:val="none"/>
          <w:lang w:eastAsia="zh-CN"/>
        </w:rPr>
        <w:t>磋商小组</w:t>
      </w:r>
      <w:r>
        <w:rPr>
          <w:rFonts w:hint="eastAsia" w:ascii="宋体" w:hAnsi="宋体" w:eastAsia="宋体" w:cs="宋体"/>
          <w:bCs/>
          <w:color w:val="auto"/>
          <w:kern w:val="0"/>
          <w:sz w:val="24"/>
          <w:szCs w:val="24"/>
          <w:highlight w:val="none"/>
        </w:rPr>
        <w:t>确定一名</w:t>
      </w:r>
      <w:r>
        <w:rPr>
          <w:rFonts w:hint="eastAsia" w:ascii="宋体" w:hAnsi="宋体" w:eastAsia="宋体" w:cs="宋体"/>
          <w:bCs/>
          <w:color w:val="auto"/>
          <w:kern w:val="0"/>
          <w:sz w:val="24"/>
          <w:szCs w:val="24"/>
          <w:highlight w:val="none"/>
          <w:lang w:eastAsia="zh-CN"/>
        </w:rPr>
        <w:t>成交供应商</w:t>
      </w:r>
      <w:r>
        <w:rPr>
          <w:rFonts w:hint="eastAsia" w:ascii="宋体" w:hAnsi="宋体" w:eastAsia="宋体" w:cs="宋体"/>
          <w:bCs/>
          <w:color w:val="auto"/>
          <w:kern w:val="0"/>
          <w:sz w:val="24"/>
          <w:szCs w:val="24"/>
          <w:highlight w:val="none"/>
        </w:rPr>
        <w:t>并推荐</w:t>
      </w:r>
      <w:r>
        <w:rPr>
          <w:rFonts w:hint="eastAsia" w:ascii="宋体" w:hAnsi="宋体" w:eastAsia="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rPr>
        <w:t>名</w:t>
      </w:r>
      <w:r>
        <w:rPr>
          <w:rFonts w:hint="eastAsia" w:ascii="宋体" w:hAnsi="宋体" w:eastAsia="宋体" w:cs="宋体"/>
          <w:bCs/>
          <w:color w:val="auto"/>
          <w:kern w:val="0"/>
          <w:sz w:val="24"/>
          <w:szCs w:val="24"/>
          <w:highlight w:val="none"/>
          <w:lang w:eastAsia="zh-CN"/>
        </w:rPr>
        <w:t>成交候选供应商</w:t>
      </w:r>
      <w:r>
        <w:rPr>
          <w:rFonts w:hint="eastAsia" w:ascii="宋体" w:hAnsi="宋体" w:eastAsia="宋体" w:cs="宋体"/>
          <w:color w:val="auto"/>
          <w:kern w:val="0"/>
          <w:sz w:val="24"/>
          <w:szCs w:val="24"/>
          <w:highlight w:val="none"/>
        </w:rPr>
        <w:t>。</w:t>
      </w:r>
    </w:p>
    <w:p w14:paraId="68B24569">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26</w:t>
      </w: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eastAsia="zh-CN"/>
        </w:rPr>
        <w:t>成交通知书</w:t>
      </w:r>
      <w:r>
        <w:rPr>
          <w:rFonts w:hint="eastAsia" w:ascii="宋体" w:hAnsi="宋体" w:eastAsia="宋体" w:cs="宋体"/>
          <w:b/>
          <w:bCs/>
          <w:color w:val="auto"/>
          <w:kern w:val="0"/>
          <w:sz w:val="24"/>
          <w:szCs w:val="24"/>
          <w:highlight w:val="none"/>
        </w:rPr>
        <w:t>及</w:t>
      </w:r>
      <w:r>
        <w:rPr>
          <w:rFonts w:hint="eastAsia" w:ascii="宋体" w:hAnsi="宋体" w:eastAsia="宋体" w:cs="宋体"/>
          <w:b/>
          <w:bCs/>
          <w:color w:val="auto"/>
          <w:kern w:val="0"/>
          <w:sz w:val="24"/>
          <w:szCs w:val="24"/>
          <w:highlight w:val="none"/>
          <w:lang w:eastAsia="zh-CN"/>
        </w:rPr>
        <w:t>成交</w:t>
      </w:r>
      <w:r>
        <w:rPr>
          <w:rFonts w:hint="eastAsia" w:ascii="宋体" w:hAnsi="宋体" w:eastAsia="宋体" w:cs="宋体"/>
          <w:b/>
          <w:bCs/>
          <w:color w:val="auto"/>
          <w:kern w:val="0"/>
          <w:sz w:val="24"/>
          <w:szCs w:val="24"/>
          <w:highlight w:val="none"/>
          <w:lang w:val="en-US" w:eastAsia="zh-CN"/>
        </w:rPr>
        <w:t>结果</w:t>
      </w:r>
      <w:r>
        <w:rPr>
          <w:rFonts w:hint="eastAsia" w:ascii="宋体" w:hAnsi="宋体" w:eastAsia="宋体" w:cs="宋体"/>
          <w:b/>
          <w:bCs/>
          <w:color w:val="auto"/>
          <w:kern w:val="0"/>
          <w:sz w:val="24"/>
          <w:szCs w:val="24"/>
          <w:highlight w:val="none"/>
        </w:rPr>
        <w:t>公告</w:t>
      </w:r>
    </w:p>
    <w:p w14:paraId="74627CA2">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.1评审结束后，</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人将</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lang w:val="en-US" w:eastAsia="zh-CN"/>
        </w:rPr>
        <w:t>供应商</w:t>
      </w:r>
      <w:r>
        <w:rPr>
          <w:rFonts w:hint="eastAsia" w:ascii="宋体" w:hAnsi="宋体" w:eastAsia="宋体" w:cs="宋体"/>
          <w:color w:val="auto"/>
          <w:kern w:val="0"/>
          <w:sz w:val="24"/>
          <w:szCs w:val="24"/>
          <w:highlight w:val="none"/>
        </w:rPr>
        <w:t>的情况在本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项目</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公告发布的同一媒介予以公示，公示</w:t>
      </w:r>
      <w:r>
        <w:rPr>
          <w:rFonts w:hint="eastAsia" w:ascii="宋体" w:hAnsi="宋体" w:eastAsia="宋体" w:cs="宋体"/>
          <w:color w:val="auto"/>
          <w:kern w:val="0"/>
          <w:sz w:val="24"/>
          <w:szCs w:val="24"/>
          <w:highlight w:val="none"/>
          <w:lang w:eastAsia="zh-CN"/>
        </w:rPr>
        <w:t>期限</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个工作日</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公示期结束后</w:t>
      </w:r>
      <w:r>
        <w:rPr>
          <w:rFonts w:hint="eastAsia" w:ascii="宋体" w:hAnsi="宋体" w:eastAsia="宋体" w:cs="宋体"/>
          <w:color w:val="auto"/>
          <w:kern w:val="0"/>
          <w:sz w:val="24"/>
          <w:szCs w:val="24"/>
          <w:highlight w:val="none"/>
        </w:rPr>
        <w:t>向</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发出</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w:t>
      </w:r>
    </w:p>
    <w:p w14:paraId="7AE15A0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lang w:eastAsia="zh-CN"/>
        </w:rPr>
        <w:t>.2采购人与成交供应商应当在成交通知书发出之日起 30 日内，按照磋商文件确定的合同文本以及磋商标的、规格型号、磋商金额、磋商数量、技术和服务要求等事项签订采购合同。</w:t>
      </w:r>
    </w:p>
    <w:p w14:paraId="247B0E14">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对采购人和</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具有同等法律效力。</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发出后，采购人改变</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结果，或者</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放弃</w:t>
      </w:r>
      <w:r>
        <w:rPr>
          <w:rFonts w:hint="eastAsia" w:ascii="宋体" w:hAnsi="宋体" w:eastAsia="宋体" w:cs="宋体"/>
          <w:color w:val="auto"/>
          <w:kern w:val="0"/>
          <w:sz w:val="24"/>
          <w:szCs w:val="24"/>
          <w:highlight w:val="none"/>
          <w:lang w:eastAsia="zh-CN"/>
        </w:rPr>
        <w:t>成交</w:t>
      </w:r>
      <w:r>
        <w:rPr>
          <w:rFonts w:hint="eastAsia" w:ascii="宋体" w:hAnsi="宋体" w:eastAsia="宋体" w:cs="宋体"/>
          <w:color w:val="auto"/>
          <w:kern w:val="0"/>
          <w:sz w:val="24"/>
          <w:szCs w:val="24"/>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lang w:val="en-US" w:eastAsia="zh-CN"/>
        </w:rPr>
        <w:t>26</w:t>
      </w:r>
      <w:r>
        <w:rPr>
          <w:rFonts w:hint="eastAsia" w:ascii="宋体" w:hAnsi="宋体" w:eastAsia="宋体" w:cs="宋体"/>
          <w:bCs/>
          <w:color w:val="auto"/>
          <w:kern w:val="0"/>
          <w:sz w:val="24"/>
          <w:szCs w:val="24"/>
          <w:highlight w:val="none"/>
        </w:rPr>
        <w:t>.4</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将作为签订合同的依据。合同签订后，</w:t>
      </w:r>
      <w:r>
        <w:rPr>
          <w:rFonts w:hint="eastAsia" w:ascii="宋体" w:hAnsi="宋体" w:eastAsia="宋体" w:cs="宋体"/>
          <w:bCs/>
          <w:color w:val="auto"/>
          <w:kern w:val="0"/>
          <w:sz w:val="24"/>
          <w:szCs w:val="24"/>
          <w:highlight w:val="none"/>
          <w:lang w:eastAsia="zh-CN"/>
        </w:rPr>
        <w:t>成交通知书</w:t>
      </w:r>
      <w:r>
        <w:rPr>
          <w:rFonts w:hint="eastAsia" w:ascii="宋体" w:hAnsi="宋体" w:eastAsia="宋体" w:cs="宋体"/>
          <w:bCs/>
          <w:color w:val="auto"/>
          <w:kern w:val="0"/>
          <w:sz w:val="24"/>
          <w:szCs w:val="24"/>
          <w:highlight w:val="none"/>
        </w:rPr>
        <w:t>成为合同的一部分。</w:t>
      </w:r>
    </w:p>
    <w:p w14:paraId="61008C98">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sz w:val="24"/>
          <w:szCs w:val="24"/>
          <w:highlight w:val="none"/>
        </w:rPr>
      </w:pPr>
      <w:r>
        <w:rPr>
          <w:rFonts w:hint="eastAsia" w:ascii="宋体" w:hAnsi="宋体" w:eastAsia="宋体" w:cs="宋体"/>
          <w:color w:val="auto"/>
          <w:kern w:val="0"/>
          <w:sz w:val="24"/>
          <w:szCs w:val="24"/>
          <w:highlight w:val="none"/>
          <w:lang w:val="en-US" w:eastAsia="zh-CN"/>
        </w:rPr>
        <w:t>26.5</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文件的修改文件、</w:t>
      </w:r>
      <w:r>
        <w:rPr>
          <w:rFonts w:hint="eastAsia" w:ascii="宋体" w:hAnsi="宋体" w:eastAsia="宋体" w:cs="宋体"/>
          <w:color w:val="auto"/>
          <w:kern w:val="0"/>
          <w:sz w:val="24"/>
          <w:szCs w:val="24"/>
          <w:highlight w:val="none"/>
          <w:lang w:eastAsia="zh-CN"/>
        </w:rPr>
        <w:t>成交供应商</w:t>
      </w:r>
      <w:r>
        <w:rPr>
          <w:rFonts w:hint="eastAsia" w:ascii="宋体" w:hAnsi="宋体" w:eastAsia="宋体" w:cs="宋体"/>
          <w:color w:val="auto"/>
          <w:kern w:val="0"/>
          <w:sz w:val="24"/>
          <w:szCs w:val="24"/>
          <w:highlight w:val="none"/>
        </w:rPr>
        <w:t>的</w:t>
      </w:r>
      <w:r>
        <w:rPr>
          <w:rFonts w:hint="eastAsia" w:ascii="宋体" w:hAnsi="宋体" w:eastAsia="宋体" w:cs="宋体"/>
          <w:color w:val="auto"/>
          <w:sz w:val="24"/>
          <w:szCs w:val="24"/>
          <w:highlight w:val="none"/>
          <w:shd w:val="clear" w:color="auto" w:fill="FFFFFF"/>
          <w:lang w:val="en-US" w:eastAsia="zh-CN"/>
        </w:rPr>
        <w:t>响应文件</w:t>
      </w:r>
      <w:r>
        <w:rPr>
          <w:rFonts w:hint="eastAsia" w:ascii="宋体" w:hAnsi="宋体" w:eastAsia="宋体" w:cs="宋体"/>
          <w:color w:val="auto"/>
          <w:kern w:val="0"/>
          <w:sz w:val="24"/>
          <w:szCs w:val="24"/>
          <w:highlight w:val="none"/>
        </w:rPr>
        <w:t>、补充或修改的文件及澄清或承诺文件等，均为双方签订合同的组成部分，并与合同一并作为本</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文件所列采购项目的互补性法律文件，与合同具有同等法律效力。</w:t>
      </w:r>
    </w:p>
    <w:p w14:paraId="3650A538">
      <w:pPr>
        <w:keepNext w:val="0"/>
        <w:keepLines w:val="0"/>
        <w:pageBreakBefore w:val="0"/>
        <w:widowControl w:val="0"/>
        <w:kinsoku/>
        <w:wordWrap/>
        <w:overflowPunct/>
        <w:topLinePunct w:val="0"/>
        <w:bidi w:val="0"/>
        <w:snapToGrid w:val="0"/>
        <w:spacing w:line="360" w:lineRule="auto"/>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27</w:t>
      </w:r>
      <w:r>
        <w:rPr>
          <w:rFonts w:hint="eastAsia" w:ascii="宋体" w:hAnsi="宋体" w:eastAsia="宋体" w:cs="宋体"/>
          <w:b/>
          <w:bCs/>
          <w:color w:val="auto"/>
          <w:kern w:val="0"/>
          <w:sz w:val="24"/>
          <w:szCs w:val="24"/>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出现下列情况之一时，采购人有权宣布废标，并将理由通知所有</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w:t>
      </w:r>
    </w:p>
    <w:p w14:paraId="60B7851C">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（1）</w:t>
      </w:r>
      <w:r>
        <w:rPr>
          <w:rFonts w:hint="eastAsia" w:ascii="宋体" w:hAnsi="宋体" w:eastAsia="宋体" w:cs="宋体"/>
          <w:bCs/>
          <w:color w:val="auto"/>
          <w:kern w:val="0"/>
          <w:sz w:val="24"/>
          <w:szCs w:val="24"/>
          <w:highlight w:val="none"/>
        </w:rPr>
        <w:t>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（2）</w:t>
      </w:r>
      <w:r>
        <w:rPr>
          <w:rFonts w:hint="eastAsia" w:ascii="宋体" w:hAnsi="宋体" w:eastAsia="宋体" w:cs="宋体"/>
          <w:bCs/>
          <w:color w:val="auto"/>
          <w:kern w:val="0"/>
          <w:sz w:val="24"/>
          <w:szCs w:val="24"/>
          <w:highlight w:val="none"/>
          <w:lang w:eastAsia="zh-CN"/>
        </w:rPr>
        <w:t>供应商</w:t>
      </w:r>
      <w:r>
        <w:rPr>
          <w:rFonts w:hint="eastAsia" w:ascii="宋体" w:hAnsi="宋体" w:eastAsia="宋体" w:cs="宋体"/>
          <w:bCs/>
          <w:color w:val="auto"/>
          <w:kern w:val="0"/>
          <w:sz w:val="24"/>
          <w:szCs w:val="24"/>
          <w:highlight w:val="none"/>
        </w:rPr>
        <w:t>的报价均超过了</w:t>
      </w:r>
      <w:r>
        <w:rPr>
          <w:rFonts w:hint="eastAsia" w:ascii="宋体" w:hAnsi="宋体" w:eastAsia="宋体" w:cs="宋体"/>
          <w:bCs/>
          <w:color w:val="auto"/>
          <w:kern w:val="0"/>
          <w:sz w:val="24"/>
          <w:szCs w:val="24"/>
          <w:highlight w:val="none"/>
          <w:lang w:val="en-US" w:eastAsia="zh-CN"/>
        </w:rPr>
        <w:t>采购预算金额</w:t>
      </w:r>
      <w:r>
        <w:rPr>
          <w:rFonts w:hint="eastAsia" w:ascii="宋体" w:hAnsi="宋体" w:eastAsia="宋体" w:cs="宋体"/>
          <w:bCs/>
          <w:color w:val="auto"/>
          <w:kern w:val="0"/>
          <w:sz w:val="24"/>
          <w:szCs w:val="24"/>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80" w:firstLineChars="200"/>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val="en-US" w:eastAsia="zh-CN"/>
        </w:rPr>
        <w:t>（3）</w:t>
      </w:r>
      <w:r>
        <w:rPr>
          <w:rFonts w:hint="eastAsia" w:ascii="宋体" w:hAnsi="宋体" w:eastAsia="宋体" w:cs="宋体"/>
          <w:bCs/>
          <w:color w:val="auto"/>
          <w:kern w:val="0"/>
          <w:sz w:val="24"/>
          <w:szCs w:val="24"/>
          <w:highlight w:val="none"/>
        </w:rPr>
        <w:t>因重大变故，采购任务取消的。</w:t>
      </w:r>
    </w:p>
    <w:p w14:paraId="569FAD42">
      <w:pPr>
        <w:keepNext w:val="0"/>
        <w:keepLines w:val="0"/>
        <w:pageBreakBefore w:val="0"/>
        <w:widowControl w:val="0"/>
        <w:kinsoku/>
        <w:wordWrap/>
        <w:overflowPunct/>
        <w:topLinePunct w:val="0"/>
        <w:bidi w:val="0"/>
        <w:snapToGrid w:val="0"/>
        <w:spacing w:line="360" w:lineRule="auto"/>
        <w:ind w:firstLine="480" w:firstLineChars="200"/>
        <w:rPr>
          <w:rFonts w:hint="eastAsia" w:ascii="宋体" w:hAnsi="宋体" w:eastAsia="宋体" w:cs="宋体"/>
          <w:b/>
          <w:color w:val="auto"/>
          <w:kern w:val="0"/>
          <w:sz w:val="24"/>
          <w:szCs w:val="24"/>
          <w:highlight w:val="none"/>
          <w:lang w:eastAsia="zh-CN"/>
        </w:rPr>
      </w:pPr>
      <w:r>
        <w:rPr>
          <w:rFonts w:hint="eastAsia" w:ascii="宋体" w:hAnsi="宋体" w:eastAsia="宋体" w:cs="宋体"/>
          <w:bCs/>
          <w:color w:val="auto"/>
          <w:kern w:val="0"/>
          <w:sz w:val="24"/>
          <w:szCs w:val="24"/>
          <w:highlight w:val="none"/>
          <w:lang w:val="en-US" w:eastAsia="zh-CN"/>
        </w:rPr>
        <w:t>（4）</w:t>
      </w:r>
      <w:r>
        <w:rPr>
          <w:rFonts w:hint="eastAsia" w:ascii="宋体" w:hAnsi="宋体" w:eastAsia="宋体" w:cs="宋体"/>
          <w:color w:val="auto"/>
          <w:sz w:val="24"/>
          <w:szCs w:val="24"/>
          <w:highlight w:val="none"/>
        </w:rPr>
        <w:t>投标截止后</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不足3家或通过资格性检查或符合性检查的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w:t>
      </w:r>
      <w:r>
        <w:rPr>
          <w:rFonts w:hint="eastAsia" w:ascii="宋体" w:hAnsi="宋体" w:eastAsia="宋体" w:cs="宋体"/>
          <w:color w:val="auto"/>
          <w:sz w:val="24"/>
          <w:szCs w:val="24"/>
          <w:highlight w:val="none"/>
          <w:lang w:eastAsia="zh-CN"/>
        </w:rPr>
        <w:t>。</w:t>
      </w:r>
    </w:p>
    <w:p w14:paraId="5EC13C8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36" w:name="_Toc31399"/>
      <w:r>
        <w:rPr>
          <w:rFonts w:hint="eastAsia" w:ascii="宋体" w:hAnsi="宋体" w:eastAsia="宋体" w:cs="宋体"/>
          <w:b/>
          <w:bCs/>
          <w:color w:val="auto"/>
          <w:kern w:val="0"/>
          <w:sz w:val="32"/>
          <w:szCs w:val="32"/>
          <w:highlight w:val="none"/>
        </w:rPr>
        <w:t>第四章  评标办法及评分标准</w:t>
      </w:r>
      <w:bookmarkEnd w:id="34"/>
      <w:bookmarkEnd w:id="36"/>
    </w:p>
    <w:p w14:paraId="5FA8D29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（一）评标原则</w:t>
      </w:r>
    </w:p>
    <w:p w14:paraId="5A6B0AB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按照“公平、公正”的原则对待所有</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文件的相关规定进行评标、定标。</w:t>
      </w:r>
    </w:p>
    <w:p w14:paraId="2CA30BDB">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）评标办法</w:t>
      </w:r>
    </w:p>
    <w:p w14:paraId="5807D4BC">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1．本项目采用综合评分法，总分为100分。</w:t>
      </w:r>
    </w:p>
    <w:p w14:paraId="3CDF010F">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按照</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文件中规定的评标方法和标准，对</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文件进行综合比较与评价。</w:t>
      </w:r>
    </w:p>
    <w:p w14:paraId="4CECA875">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widowControl w:val="0"/>
        <w:tabs>
          <w:tab w:val="left" w:pos="1620"/>
        </w:tabs>
        <w:kinsoku/>
        <w:wordWrap/>
        <w:overflowPunct/>
        <w:topLinePunct w:val="0"/>
        <w:autoSpaceDE/>
        <w:autoSpaceDN/>
        <w:bidi w:val="0"/>
        <w:adjustRightInd/>
        <w:snapToGrid w:val="0"/>
        <w:spacing w:line="400" w:lineRule="exact"/>
        <w:ind w:firstLine="528" w:firstLineChars="22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b w:val="0"/>
          <w:bCs w:val="0"/>
          <w:color w:val="auto"/>
          <w:sz w:val="24"/>
          <w:szCs w:val="24"/>
          <w:highlight w:val="none"/>
        </w:rPr>
        <w:t>文件满足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文件全部实质性要求，且评审得分最高的</w:t>
      </w:r>
      <w:r>
        <w:rPr>
          <w:rFonts w:hint="eastAsia" w:ascii="宋体" w:hAnsi="宋体" w:eastAsia="宋体" w:cs="宋体"/>
          <w:b w:val="0"/>
          <w:bCs w:val="0"/>
          <w:color w:val="auto"/>
          <w:sz w:val="24"/>
          <w:szCs w:val="24"/>
          <w:highlight w:val="none"/>
          <w:lang w:eastAsia="zh-CN"/>
        </w:rPr>
        <w:t>供应商</w:t>
      </w:r>
      <w:r>
        <w:rPr>
          <w:rFonts w:hint="eastAsia" w:ascii="宋体" w:hAnsi="宋体" w:eastAsia="宋体" w:cs="宋体"/>
          <w:b w:val="0"/>
          <w:bCs w:val="0"/>
          <w:color w:val="auto"/>
          <w:sz w:val="24"/>
          <w:szCs w:val="24"/>
          <w:highlight w:val="none"/>
        </w:rPr>
        <w:t>为</w:t>
      </w:r>
      <w:r>
        <w:rPr>
          <w:rFonts w:hint="eastAsia" w:ascii="宋体" w:hAnsi="宋体" w:eastAsia="宋体" w:cs="宋体"/>
          <w:b w:val="0"/>
          <w:bCs w:val="0"/>
          <w:color w:val="auto"/>
          <w:sz w:val="24"/>
          <w:szCs w:val="24"/>
          <w:highlight w:val="none"/>
          <w:lang w:eastAsia="zh-CN"/>
        </w:rPr>
        <w:t>成交供应商</w:t>
      </w:r>
      <w:r>
        <w:rPr>
          <w:rFonts w:hint="eastAsia" w:ascii="宋体" w:hAnsi="宋体" w:eastAsia="宋体" w:cs="宋体"/>
          <w:b w:val="0"/>
          <w:bCs w:val="0"/>
          <w:color w:val="auto"/>
          <w:sz w:val="24"/>
          <w:szCs w:val="24"/>
          <w:highlight w:val="none"/>
        </w:rPr>
        <w:t>。</w:t>
      </w:r>
    </w:p>
    <w:p w14:paraId="328CEB9D">
      <w:pPr>
        <w:keepNext w:val="0"/>
        <w:keepLines w:val="0"/>
        <w:pageBreakBefore w:val="0"/>
        <w:widowControl w:val="0"/>
        <w:tabs>
          <w:tab w:val="left" w:pos="1620"/>
        </w:tabs>
        <w:kinsoku/>
        <w:wordWrap/>
        <w:overflowPunct/>
        <w:topLinePunct w:val="0"/>
        <w:autoSpaceDE/>
        <w:autoSpaceDN/>
        <w:bidi w:val="0"/>
        <w:adjustRightInd/>
        <w:snapToGrid w:val="0"/>
        <w:spacing w:line="40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）评标程序</w:t>
      </w:r>
    </w:p>
    <w:tbl>
      <w:tblPr>
        <w:tblStyle w:val="34"/>
        <w:tblpPr w:leftFromText="180" w:rightFromText="180" w:vertAnchor="text" w:horzAnchor="page" w:tblpX="1301" w:tblpY="445"/>
        <w:tblOverlap w:val="never"/>
        <w:tblW w:w="94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5AFB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482" w:type="dxa"/>
            <w:gridSpan w:val="3"/>
            <w:noWrap w:val="0"/>
            <w:vAlign w:val="center"/>
          </w:tcPr>
          <w:p w14:paraId="134DF53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评审内容</w:t>
            </w:r>
          </w:p>
        </w:tc>
      </w:tr>
      <w:tr w14:paraId="59950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trPr>
        <w:tc>
          <w:tcPr>
            <w:tcW w:w="1239" w:type="dxa"/>
            <w:noWrap w:val="0"/>
            <w:vAlign w:val="center"/>
          </w:tcPr>
          <w:p w14:paraId="10D8338E">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价格标部分 (3</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c>
          <w:tcPr>
            <w:tcW w:w="8243" w:type="dxa"/>
            <w:gridSpan w:val="2"/>
            <w:noWrap w:val="0"/>
            <w:vAlign w:val="center"/>
          </w:tcPr>
          <w:p w14:paraId="609B722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说明：当</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发现</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的</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报价明显低于其他</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报价，使其</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报价可能低于其个别成本的，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可对其质询，并要求该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做出书面说明和提供相关的证明材料；该</w:t>
            </w:r>
            <w:r>
              <w:rPr>
                <w:rFonts w:hint="eastAsia" w:ascii="宋体" w:hAnsi="宋体" w:eastAsia="宋体" w:cs="宋体"/>
                <w:b w:val="0"/>
                <w:bCs w:val="0"/>
                <w:color w:val="auto"/>
                <w:sz w:val="24"/>
                <w:szCs w:val="24"/>
                <w:highlight w:val="none"/>
                <w:u w:val="none"/>
                <w:lang w:eastAsia="zh-CN"/>
              </w:rPr>
              <w:t>供应商</w:t>
            </w:r>
            <w:r>
              <w:rPr>
                <w:rFonts w:hint="eastAsia" w:ascii="宋体" w:hAnsi="宋体" w:eastAsia="宋体" w:cs="宋体"/>
                <w:b w:val="0"/>
                <w:bCs w:val="0"/>
                <w:color w:val="auto"/>
                <w:sz w:val="24"/>
                <w:szCs w:val="24"/>
                <w:highlight w:val="none"/>
                <w:u w:val="none"/>
              </w:rPr>
              <w:t>不能合理说明或提供证明材料的，</w:t>
            </w:r>
            <w:r>
              <w:rPr>
                <w:rFonts w:hint="eastAsia" w:ascii="宋体" w:hAnsi="宋体" w:eastAsia="宋体" w:cs="宋体"/>
                <w:b w:val="0"/>
                <w:bCs w:val="0"/>
                <w:color w:val="auto"/>
                <w:sz w:val="24"/>
                <w:szCs w:val="24"/>
                <w:highlight w:val="none"/>
                <w:u w:val="none"/>
                <w:lang w:eastAsia="zh-CN"/>
              </w:rPr>
              <w:t>磋商小组</w:t>
            </w:r>
            <w:r>
              <w:rPr>
                <w:rFonts w:hint="eastAsia" w:ascii="宋体" w:hAnsi="宋体" w:eastAsia="宋体" w:cs="宋体"/>
                <w:b w:val="0"/>
                <w:bCs w:val="0"/>
                <w:color w:val="auto"/>
                <w:sz w:val="24"/>
                <w:szCs w:val="24"/>
                <w:highlight w:val="none"/>
                <w:u w:val="none"/>
              </w:rPr>
              <w:t>应按无效</w:t>
            </w:r>
            <w:r>
              <w:rPr>
                <w:rFonts w:hint="eastAsia" w:ascii="宋体" w:hAnsi="宋体" w:eastAsia="宋体" w:cs="宋体"/>
                <w:b w:val="0"/>
                <w:bCs w:val="0"/>
                <w:color w:val="auto"/>
                <w:sz w:val="24"/>
                <w:szCs w:val="24"/>
                <w:highlight w:val="none"/>
                <w:u w:val="none"/>
                <w:lang w:val="en-US" w:eastAsia="zh-CN"/>
              </w:rPr>
              <w:t>磋商</w:t>
            </w:r>
            <w:r>
              <w:rPr>
                <w:rFonts w:hint="eastAsia" w:ascii="宋体" w:hAnsi="宋体" w:eastAsia="宋体" w:cs="宋体"/>
                <w:b w:val="0"/>
                <w:bCs w:val="0"/>
                <w:color w:val="auto"/>
                <w:sz w:val="24"/>
                <w:szCs w:val="24"/>
                <w:highlight w:val="none"/>
                <w:u w:val="none"/>
              </w:rPr>
              <w:t>处理。</w:t>
            </w:r>
          </w:p>
          <w:p w14:paraId="205629E0">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r>
              <w:rPr>
                <w:rFonts w:hint="eastAsia" w:ascii="宋体" w:hAnsi="宋体" w:eastAsia="宋体" w:cs="宋体"/>
                <w:b w:val="0"/>
                <w:bCs w:val="0"/>
                <w:color w:val="auto"/>
                <w:sz w:val="24"/>
                <w:szCs w:val="24"/>
                <w:highlight w:val="none"/>
                <w:lang w:val="en-US" w:eastAsia="zh-CN"/>
              </w:rPr>
              <w:t>不高于</w:t>
            </w:r>
            <w:r>
              <w:rPr>
                <w:rFonts w:hint="eastAsia" w:ascii="宋体" w:hAnsi="宋体" w:eastAsia="宋体" w:cs="宋体"/>
                <w:b w:val="0"/>
                <w:bCs w:val="0"/>
                <w:color w:val="auto"/>
                <w:sz w:val="24"/>
                <w:szCs w:val="24"/>
                <w:highlight w:val="none"/>
              </w:rPr>
              <w:t>采购预算价的为有效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w:t>
            </w:r>
          </w:p>
          <w:p w14:paraId="3406E84E">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评标基准值的确定：满足</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文件要求且</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价格最低的有效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报价为评标基准价。</w:t>
            </w:r>
          </w:p>
          <w:p w14:paraId="4B0365D5">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报价得分=（评标基准价/有效</w:t>
            </w:r>
            <w:r>
              <w:rPr>
                <w:rFonts w:hint="eastAsia" w:ascii="宋体" w:hAnsi="宋体" w:eastAsia="宋体" w:cs="宋体"/>
                <w:b w:val="0"/>
                <w:bCs w:val="0"/>
                <w:color w:val="auto"/>
                <w:sz w:val="24"/>
                <w:szCs w:val="24"/>
                <w:highlight w:val="none"/>
                <w:lang w:val="en-US" w:eastAsia="zh-CN"/>
              </w:rPr>
              <w:t>磋商</w:t>
            </w:r>
            <w:r>
              <w:rPr>
                <w:rFonts w:hint="eastAsia" w:ascii="宋体" w:hAnsi="宋体" w:eastAsia="宋体" w:cs="宋体"/>
                <w:b w:val="0"/>
                <w:bCs w:val="0"/>
                <w:color w:val="auto"/>
                <w:sz w:val="24"/>
                <w:szCs w:val="24"/>
                <w:highlight w:val="none"/>
              </w:rPr>
              <w:t>报价）×3</w:t>
            </w:r>
            <w:r>
              <w:rPr>
                <w:rFonts w:hint="eastAsia" w:ascii="宋体" w:hAnsi="宋体" w:eastAsia="宋体" w:cs="宋体"/>
                <w:b w:val="0"/>
                <w:bCs w:val="0"/>
                <w:color w:val="auto"/>
                <w:sz w:val="24"/>
                <w:szCs w:val="24"/>
                <w:highlight w:val="none"/>
                <w:lang w:val="en-US" w:eastAsia="zh-CN"/>
              </w:rPr>
              <w:t>0</w:t>
            </w:r>
            <w:r>
              <w:rPr>
                <w:rFonts w:hint="eastAsia" w:ascii="宋体" w:hAnsi="宋体" w:eastAsia="宋体" w:cs="宋体"/>
                <w:b w:val="0"/>
                <w:bCs w:val="0"/>
                <w:color w:val="auto"/>
                <w:sz w:val="24"/>
                <w:szCs w:val="24"/>
                <w:highlight w:val="none"/>
              </w:rPr>
              <w:t>分</w:t>
            </w:r>
          </w:p>
        </w:tc>
      </w:tr>
      <w:tr w14:paraId="1A6A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239" w:type="dxa"/>
            <w:vMerge w:val="restart"/>
            <w:noWrap w:val="0"/>
            <w:vAlign w:val="center"/>
          </w:tcPr>
          <w:p w14:paraId="1252EC8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技术部分</w:t>
            </w:r>
            <w:r>
              <w:rPr>
                <w:rFonts w:hint="eastAsia" w:ascii="宋体" w:hAnsi="宋体" w:eastAsia="宋体" w:cs="宋体"/>
                <w:b w:val="0"/>
                <w:bCs w:val="0"/>
                <w:color w:val="auto"/>
                <w:sz w:val="24"/>
                <w:szCs w:val="24"/>
                <w:highlight w:val="none"/>
                <w:lang w:eastAsia="zh-CN"/>
              </w:rPr>
              <w:t>（</w:t>
            </w:r>
            <w:r>
              <w:rPr>
                <w:rFonts w:hint="eastAsia" w:ascii="宋体" w:hAnsi="宋体" w:cs="宋体"/>
                <w:b w:val="0"/>
                <w:bCs w:val="0"/>
                <w:color w:val="auto"/>
                <w:sz w:val="24"/>
                <w:szCs w:val="24"/>
                <w:highlight w:val="none"/>
                <w:lang w:val="en-US" w:eastAsia="zh-CN"/>
              </w:rPr>
              <w:t>46</w:t>
            </w:r>
            <w:r>
              <w:rPr>
                <w:rFonts w:hint="eastAsia" w:ascii="宋体" w:hAnsi="宋体" w:eastAsia="宋体" w:cs="宋体"/>
                <w:b w:val="0"/>
                <w:bCs w:val="0"/>
                <w:color w:val="auto"/>
                <w:sz w:val="24"/>
                <w:szCs w:val="24"/>
                <w:highlight w:val="none"/>
                <w:lang w:eastAsia="zh-CN"/>
              </w:rPr>
              <w:t>分）</w:t>
            </w:r>
          </w:p>
        </w:tc>
        <w:tc>
          <w:tcPr>
            <w:tcW w:w="1473" w:type="dxa"/>
            <w:noWrap w:val="0"/>
            <w:vAlign w:val="center"/>
          </w:tcPr>
          <w:p w14:paraId="236DE65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1.产品技术参数（</w:t>
            </w:r>
            <w:r>
              <w:rPr>
                <w:rFonts w:hint="eastAsia" w:ascii="宋体" w:hAnsi="宋体" w:cs="宋体"/>
                <w:b w:val="0"/>
                <w:bCs w:val="0"/>
                <w:color w:val="auto"/>
                <w:sz w:val="24"/>
                <w:szCs w:val="24"/>
                <w:highlight w:val="none"/>
                <w:lang w:val="en-US" w:eastAsia="zh-CN"/>
              </w:rPr>
              <w:t>40</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1F4275A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供应商对“第二章 采购需求 </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、技术要求”技术参数、性能及产品功能等的响应，所投产品全部满足磋商文件要求得</w:t>
            </w:r>
            <w:r>
              <w:rPr>
                <w:rFonts w:hint="eastAsia" w:ascii="宋体" w:hAnsi="宋体" w:cs="宋体"/>
                <w:color w:val="auto"/>
                <w:sz w:val="24"/>
                <w:szCs w:val="24"/>
                <w:highlight w:val="none"/>
                <w:lang w:val="en-US" w:eastAsia="zh-CN"/>
              </w:rPr>
              <w:t>40</w:t>
            </w:r>
            <w:r>
              <w:rPr>
                <w:rFonts w:hint="eastAsia" w:ascii="宋体" w:hAnsi="宋体" w:eastAsia="宋体" w:cs="宋体"/>
                <w:color w:val="auto"/>
                <w:sz w:val="24"/>
                <w:szCs w:val="24"/>
                <w:highlight w:val="none"/>
                <w:lang w:val="en-US" w:eastAsia="zh-CN"/>
              </w:rPr>
              <w:t>分，带“★”号的技术参数为重要技术参数，有一项不满足的扣</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分；不带“★”号的技术参数为一般性技术参数，有一项不满足的扣2分；如得分为0，则磋商无效。 </w:t>
            </w:r>
          </w:p>
          <w:p w14:paraId="4039B1CC">
            <w:pPr>
              <w:widowControl/>
              <w:snapToGrid w:val="0"/>
              <w:spacing w:line="360" w:lineRule="exact"/>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1）供应商需如实填写技术偏离表，并标注偏离情况。</w:t>
            </w:r>
          </w:p>
          <w:p w14:paraId="0BDD03A3">
            <w:pPr>
              <w:widowControl/>
              <w:snapToGrid w:val="0"/>
              <w:spacing w:line="3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2）供应商需提供所投设备</w:t>
            </w:r>
            <w:r>
              <w:rPr>
                <w:rFonts w:hint="eastAsia" w:ascii="宋体" w:hAnsi="宋体" w:eastAsia="宋体" w:cs="宋体"/>
                <w:b/>
                <w:bCs/>
                <w:sz w:val="24"/>
                <w:szCs w:val="24"/>
                <w:highlight w:val="none"/>
                <w:lang w:val="en-US" w:eastAsia="zh-CN"/>
              </w:rPr>
              <w:t>的</w:t>
            </w:r>
            <w:r>
              <w:rPr>
                <w:rFonts w:hint="eastAsia" w:ascii="宋体" w:hAnsi="宋体" w:eastAsia="宋体" w:cs="宋体"/>
                <w:b/>
                <w:bCs/>
                <w:sz w:val="24"/>
                <w:szCs w:val="24"/>
                <w:highlight w:val="none"/>
              </w:rPr>
              <w:t>医疗器械注册证【含附件：产品技术要求（如有）】</w:t>
            </w:r>
            <w:r>
              <w:rPr>
                <w:rFonts w:hint="eastAsia" w:ascii="宋体" w:hAnsi="宋体" w:eastAsia="宋体" w:cs="宋体"/>
                <w:b/>
                <w:bCs/>
                <w:sz w:val="24"/>
                <w:szCs w:val="24"/>
                <w:highlight w:val="none"/>
                <w:lang w:val="en-US" w:eastAsia="zh-CN"/>
              </w:rPr>
              <w:t>或备案凭证</w:t>
            </w:r>
            <w:r>
              <w:rPr>
                <w:rFonts w:hint="eastAsia" w:ascii="宋体" w:hAnsi="宋体" w:eastAsia="宋体" w:cs="宋体"/>
                <w:b/>
                <w:bCs/>
                <w:sz w:val="24"/>
                <w:szCs w:val="24"/>
                <w:highlight w:val="none"/>
              </w:rPr>
              <w:t>，如未按要求提供，则投标无效。</w:t>
            </w:r>
          </w:p>
          <w:p w14:paraId="4B6A797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3）需提供产品注册检验报告</w:t>
            </w:r>
            <w:r>
              <w:rPr>
                <w:rFonts w:hint="eastAsia" w:ascii="宋体" w:hAnsi="宋体" w:eastAsia="宋体" w:cs="宋体"/>
                <w:b/>
                <w:bCs/>
                <w:sz w:val="24"/>
                <w:szCs w:val="24"/>
                <w:highlight w:val="none"/>
              </w:rPr>
              <w:t>（其中检验报告照片页必须提供）</w:t>
            </w:r>
            <w:r>
              <w:rPr>
                <w:rFonts w:hint="eastAsia" w:ascii="宋体" w:hAnsi="宋体" w:eastAsia="宋体" w:cs="宋体"/>
                <w:sz w:val="24"/>
                <w:szCs w:val="24"/>
                <w:highlight w:val="none"/>
              </w:rPr>
              <w:t>及响应技术参数条款的技术白皮书和彩页等相关文件，并对响应技术参数部分做出明显标注</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b/>
                <w:bCs/>
                <w:color w:val="000000" w:themeColor="text1"/>
                <w:sz w:val="24"/>
                <w:szCs w:val="24"/>
                <w:highlight w:val="none"/>
                <w14:textFill>
                  <w14:solidFill>
                    <w14:schemeClr w14:val="tx1"/>
                  </w14:solidFill>
                </w14:textFill>
              </w:rPr>
              <w:t>未提供对应证明材料的，视为不满足该项参数要求，做扣分处理。</w:t>
            </w:r>
          </w:p>
        </w:tc>
      </w:tr>
      <w:tr w14:paraId="02A3C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1239" w:type="dxa"/>
            <w:vMerge w:val="continue"/>
            <w:noWrap w:val="0"/>
            <w:vAlign w:val="center"/>
          </w:tcPr>
          <w:p w14:paraId="48595AA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noWrap w:val="0"/>
            <w:vAlign w:val="center"/>
          </w:tcPr>
          <w:p w14:paraId="32840560">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2.产品综合评议（</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lang w:val="en-US" w:eastAsia="zh-CN"/>
              </w:rPr>
              <w:t>分）</w:t>
            </w:r>
          </w:p>
        </w:tc>
        <w:tc>
          <w:tcPr>
            <w:tcW w:w="6770" w:type="dxa"/>
            <w:noWrap w:val="0"/>
            <w:vAlign w:val="center"/>
          </w:tcPr>
          <w:p w14:paraId="563705A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根据供应商所投产品整体性能量化指标进行评价，产品技术指标能够最大程度满足采购需求，使用的材料耐用可靠、配套设备齐全且适配性强、生产技术先进、稳定性及耐用性强，能有效保障治疗效果的得6分；</w:t>
            </w:r>
          </w:p>
          <w:p w14:paraId="205FC5B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配套设备齐全且适配性较强、生产技术较先进、稳定性及耐用性较强的得3分；</w:t>
            </w:r>
          </w:p>
          <w:p w14:paraId="20A6A52C">
            <w:pPr>
              <w:jc w:val="lef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配套设备齐全且适配性一般、技术保守、稳定性及耐用性一般的得1分；</w:t>
            </w:r>
          </w:p>
        </w:tc>
      </w:tr>
      <w:tr w14:paraId="2F64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239" w:type="dxa"/>
            <w:vMerge w:val="restart"/>
            <w:noWrap w:val="0"/>
            <w:vAlign w:val="center"/>
          </w:tcPr>
          <w:p w14:paraId="40AF6F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商务评价</w:t>
            </w:r>
          </w:p>
          <w:p w14:paraId="68D3D9E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eastAsia="zh-CN"/>
              </w:rPr>
              <w:t>分)</w:t>
            </w:r>
          </w:p>
        </w:tc>
        <w:tc>
          <w:tcPr>
            <w:tcW w:w="1473" w:type="dxa"/>
            <w:tcBorders>
              <w:top w:val="single" w:color="auto" w:sz="4" w:space="0"/>
            </w:tcBorders>
            <w:noWrap w:val="0"/>
            <w:vAlign w:val="center"/>
          </w:tcPr>
          <w:p w14:paraId="6D4B96A7">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1.质保期</w:t>
            </w:r>
          </w:p>
          <w:p w14:paraId="4A559F4F">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分）</w:t>
            </w:r>
          </w:p>
        </w:tc>
        <w:tc>
          <w:tcPr>
            <w:tcW w:w="6770" w:type="dxa"/>
            <w:noWrap w:val="0"/>
            <w:vAlign w:val="top"/>
          </w:tcPr>
          <w:p w14:paraId="0FAE2FC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kern w:val="2"/>
                <w:sz w:val="24"/>
                <w:szCs w:val="24"/>
                <w:highlight w:val="none"/>
                <w:lang w:val="en-US" w:eastAsia="zh-CN" w:bidi="ar-SA"/>
              </w:rPr>
              <w:t>保</w:t>
            </w:r>
            <w:r>
              <w:rPr>
                <w:rFonts w:hint="eastAsia" w:ascii="宋体" w:hAnsi="宋体" w:eastAsia="宋体" w:cs="宋体"/>
                <w:b w:val="0"/>
                <w:bCs w:val="0"/>
                <w:color w:val="auto"/>
                <w:kern w:val="2"/>
                <w:sz w:val="24"/>
                <w:szCs w:val="24"/>
                <w:highlight w:val="none"/>
                <w:lang w:val="en-US" w:eastAsia="zh-CN" w:bidi="ar-SA"/>
              </w:rPr>
              <w:t>期在满足采购文件的基础上，每增加一年加</w:t>
            </w:r>
            <w:r>
              <w:rPr>
                <w:rFonts w:hint="eastAsia" w:ascii="宋体" w:hAnsi="宋体" w:cs="宋体"/>
                <w:b w:val="0"/>
                <w:bCs w:val="0"/>
                <w:color w:val="auto"/>
                <w:kern w:val="2"/>
                <w:sz w:val="24"/>
                <w:szCs w:val="24"/>
                <w:highlight w:val="none"/>
                <w:lang w:val="en-US" w:eastAsia="zh-CN" w:bidi="ar-SA"/>
              </w:rPr>
              <w:t>2</w:t>
            </w:r>
            <w:r>
              <w:rPr>
                <w:rFonts w:hint="eastAsia" w:ascii="宋体" w:hAnsi="宋体" w:eastAsia="宋体" w:cs="宋体"/>
                <w:b w:val="0"/>
                <w:bCs w:val="0"/>
                <w:color w:val="auto"/>
                <w:kern w:val="2"/>
                <w:sz w:val="24"/>
                <w:szCs w:val="24"/>
                <w:highlight w:val="none"/>
                <w:lang w:val="en-US" w:eastAsia="zh-CN" w:bidi="ar-SA"/>
              </w:rPr>
              <w:t>分,最多加</w:t>
            </w:r>
            <w:r>
              <w:rPr>
                <w:rFonts w:hint="eastAsia" w:ascii="宋体" w:hAnsi="宋体" w:cs="宋体"/>
                <w:b w:val="0"/>
                <w:bCs w:val="0"/>
                <w:color w:val="auto"/>
                <w:kern w:val="2"/>
                <w:sz w:val="24"/>
                <w:szCs w:val="24"/>
                <w:highlight w:val="none"/>
                <w:lang w:val="en-US" w:eastAsia="zh-CN" w:bidi="ar-SA"/>
              </w:rPr>
              <w:t>6</w:t>
            </w:r>
            <w:r>
              <w:rPr>
                <w:rFonts w:hint="eastAsia" w:ascii="宋体" w:hAnsi="宋体" w:eastAsia="宋体" w:cs="宋体"/>
                <w:b w:val="0"/>
                <w:bCs w:val="0"/>
                <w:color w:val="auto"/>
                <w:kern w:val="2"/>
                <w:sz w:val="24"/>
                <w:szCs w:val="24"/>
                <w:highlight w:val="none"/>
                <w:lang w:val="en-US" w:eastAsia="zh-CN" w:bidi="ar-SA"/>
              </w:rPr>
              <w:t>分。（注：延长不足一年不加分。）</w:t>
            </w:r>
          </w:p>
        </w:tc>
      </w:tr>
      <w:tr w14:paraId="7520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239" w:type="dxa"/>
            <w:vMerge w:val="continue"/>
            <w:noWrap w:val="0"/>
            <w:vAlign w:val="center"/>
          </w:tcPr>
          <w:p w14:paraId="108C28B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lang w:eastAsia="zh-CN"/>
              </w:rPr>
            </w:pPr>
          </w:p>
        </w:tc>
        <w:tc>
          <w:tcPr>
            <w:tcW w:w="1473" w:type="dxa"/>
            <w:tcBorders>
              <w:top w:val="single" w:color="auto" w:sz="4" w:space="0"/>
            </w:tcBorders>
            <w:noWrap w:val="0"/>
            <w:vAlign w:val="center"/>
          </w:tcPr>
          <w:p w14:paraId="398D32E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类似业绩（</w:t>
            </w:r>
            <w:r>
              <w:rPr>
                <w:rFonts w:hint="eastAsia" w:ascii="宋体" w:hAnsi="宋体" w:cs="宋体"/>
                <w:b w:val="0"/>
                <w:bCs w:val="0"/>
                <w:color w:val="auto"/>
                <w:sz w:val="24"/>
                <w:szCs w:val="24"/>
                <w:highlight w:val="none"/>
                <w:lang w:val="en-US" w:eastAsia="zh-CN"/>
              </w:rPr>
              <w:t>8</w:t>
            </w:r>
            <w:r>
              <w:rPr>
                <w:rFonts w:hint="eastAsia" w:ascii="宋体" w:hAnsi="宋体" w:eastAsia="宋体" w:cs="宋体"/>
                <w:b w:val="0"/>
                <w:bCs w:val="0"/>
                <w:color w:val="auto"/>
                <w:sz w:val="24"/>
                <w:szCs w:val="24"/>
                <w:highlight w:val="none"/>
                <w:lang w:val="en-US" w:eastAsia="zh-CN"/>
              </w:rPr>
              <w:t>分）</w:t>
            </w:r>
          </w:p>
        </w:tc>
        <w:tc>
          <w:tcPr>
            <w:tcW w:w="6770" w:type="dxa"/>
            <w:noWrap w:val="0"/>
            <w:vAlign w:val="center"/>
          </w:tcPr>
          <w:p w14:paraId="307AC1DF">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提供自2023年1月1日（以合同签订时间为准）以来所投产品（同品牌同型号）销售业绩(合同甲方须为货物使用单位，业绩为生产企业或各经销商均可)，每提供1份业绩证明材料得2分，最多得</w:t>
            </w:r>
            <w:r>
              <w:rPr>
                <w:rFonts w:hint="eastAsia"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分。</w:t>
            </w:r>
          </w:p>
          <w:p w14:paraId="79754E1A">
            <w:pPr>
              <w:pStyle w:val="92"/>
              <w:keepNext w:val="0"/>
              <w:keepLines w:val="0"/>
              <w:pageBreakBefore w:val="0"/>
              <w:widowControl w:val="0"/>
              <w:kinsoku/>
              <w:wordWrap/>
              <w:overflowPunct/>
              <w:topLinePunct w:val="0"/>
              <w:autoSpaceDE/>
              <w:autoSpaceDN/>
              <w:bidi w:val="0"/>
              <w:adjustRightInd/>
              <w:snapToGrid/>
              <w:spacing w:before="70" w:line="288" w:lineRule="auto"/>
              <w:ind w:left="113" w:right="255"/>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注：需提供合同，未按要求提供不得分。</w:t>
            </w:r>
          </w:p>
        </w:tc>
      </w:tr>
      <w:tr w14:paraId="2011E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39" w:type="dxa"/>
            <w:vMerge w:val="continue"/>
            <w:noWrap w:val="0"/>
            <w:vAlign w:val="center"/>
          </w:tcPr>
          <w:p w14:paraId="4DE5B97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p>
        </w:tc>
        <w:tc>
          <w:tcPr>
            <w:tcW w:w="1473" w:type="dxa"/>
            <w:noWrap w:val="0"/>
            <w:vAlign w:val="center"/>
          </w:tcPr>
          <w:p w14:paraId="055C689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kern w:val="2"/>
                <w:sz w:val="24"/>
                <w:szCs w:val="24"/>
                <w:highlight w:val="none"/>
                <w:lang w:val="en-US" w:eastAsia="zh-CN"/>
              </w:rPr>
              <w:t>3.</w:t>
            </w:r>
            <w:r>
              <w:rPr>
                <w:rFonts w:hint="eastAsia" w:ascii="宋体" w:hAnsi="宋体" w:eastAsia="宋体" w:cs="宋体"/>
                <w:b w:val="0"/>
                <w:bCs w:val="0"/>
                <w:color w:val="auto"/>
                <w:kern w:val="2"/>
                <w:sz w:val="24"/>
                <w:szCs w:val="24"/>
                <w:highlight w:val="none"/>
                <w:lang w:val="en-US" w:eastAsia="zh-CN"/>
              </w:rPr>
              <w:t>售后服务（10分）</w:t>
            </w:r>
          </w:p>
        </w:tc>
        <w:tc>
          <w:tcPr>
            <w:tcW w:w="6770" w:type="dxa"/>
            <w:noWrap w:val="0"/>
            <w:vAlign w:val="center"/>
          </w:tcPr>
          <w:p w14:paraId="07DDEB1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根据供应商提供的售后服务网点、售后服务人员配备及专业技术能力说明、设备日常维保方案、故障响应时间、应急维修措施、培训方案等进行打分。</w:t>
            </w:r>
          </w:p>
          <w:p w14:paraId="630FFF6E">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①售后服务符合本项目特点，措施详尽、日常维保措施、故障响应时间极快、应急维修措施合理且可行，有具体的培训方案，得10分。</w:t>
            </w:r>
          </w:p>
          <w:p w14:paraId="49657CB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②售后服务符合本项目特点，故障响应时间快、应急维修措施预案较合理，有较具体的培训方案的得7分；</w:t>
            </w:r>
          </w:p>
          <w:p w14:paraId="77644BEA">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③售后服务符合本项目特点，故障响应时间较长、应急维修措施预案不完备，培训方案不完备的得4分；</w:t>
            </w:r>
          </w:p>
          <w:p w14:paraId="4AA88918">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④售后服务不符合本项目特点，不能满足项目需求的得1分。</w:t>
            </w:r>
          </w:p>
          <w:p w14:paraId="5EBEFBB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⑤缺项得0分</w:t>
            </w:r>
            <w:r>
              <w:rPr>
                <w:rFonts w:hint="eastAsia" w:ascii="宋体" w:hAnsi="宋体" w:eastAsia="宋体" w:cs="宋体"/>
                <w:b w:val="0"/>
                <w:bCs w:val="0"/>
                <w:color w:val="auto"/>
                <w:sz w:val="24"/>
                <w:szCs w:val="24"/>
                <w:highlight w:val="none"/>
                <w:lang w:val="en-US" w:eastAsia="zh-CN"/>
              </w:rPr>
              <w:t>。</w:t>
            </w:r>
          </w:p>
        </w:tc>
      </w:tr>
      <w:tr w14:paraId="0D874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239" w:type="dxa"/>
            <w:noWrap w:val="0"/>
            <w:vAlign w:val="top"/>
          </w:tcPr>
          <w:p w14:paraId="36C1BBD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得分的计算</w:t>
            </w:r>
          </w:p>
        </w:tc>
        <w:tc>
          <w:tcPr>
            <w:tcW w:w="8243" w:type="dxa"/>
            <w:gridSpan w:val="2"/>
            <w:noWrap w:val="0"/>
            <w:vAlign w:val="center"/>
          </w:tcPr>
          <w:p w14:paraId="7DD6099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成员评分=各项评分因素的汇总得分。</w:t>
            </w:r>
          </w:p>
          <w:p w14:paraId="78F55D42">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评标总得分=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所有成员合计评分/</w:t>
            </w:r>
            <w:r>
              <w:rPr>
                <w:rFonts w:hint="eastAsia" w:ascii="宋体" w:hAnsi="宋体" w:eastAsia="宋体" w:cs="宋体"/>
                <w:b w:val="0"/>
                <w:bCs w:val="0"/>
                <w:color w:val="auto"/>
                <w:sz w:val="24"/>
                <w:szCs w:val="24"/>
                <w:highlight w:val="none"/>
                <w:lang w:eastAsia="zh-CN"/>
              </w:rPr>
              <w:t>磋商小组</w:t>
            </w:r>
            <w:r>
              <w:rPr>
                <w:rFonts w:hint="eastAsia" w:ascii="宋体" w:hAnsi="宋体" w:eastAsia="宋体" w:cs="宋体"/>
                <w:b w:val="0"/>
                <w:bCs w:val="0"/>
                <w:color w:val="auto"/>
                <w:sz w:val="24"/>
                <w:szCs w:val="24"/>
                <w:highlight w:val="none"/>
              </w:rPr>
              <w:t>组成人员数。</w:t>
            </w:r>
          </w:p>
        </w:tc>
      </w:tr>
    </w:tbl>
    <w:p w14:paraId="38C63B20">
      <w:pPr>
        <w:rPr>
          <w:rFonts w:hint="eastAsia" w:ascii="宋体" w:hAnsi="宋体" w:eastAsia="宋体" w:cs="宋体"/>
          <w:b/>
          <w:color w:val="auto"/>
          <w:highlight w:val="none"/>
        </w:rPr>
      </w:pPr>
    </w:p>
    <w:bookmarkEnd w:id="35"/>
    <w:p w14:paraId="2F5289F8">
      <w:pPr>
        <w:pStyle w:val="2"/>
        <w:snapToGrid w:val="0"/>
        <w:spacing w:before="0" w:after="0" w:line="480" w:lineRule="auto"/>
        <w:jc w:val="both"/>
        <w:rPr>
          <w:rFonts w:hint="eastAsia" w:ascii="宋体" w:hAnsi="宋体" w:eastAsia="宋体" w:cs="宋体"/>
          <w:color w:val="auto"/>
          <w:sz w:val="28"/>
          <w:szCs w:val="28"/>
          <w:highlight w:val="none"/>
        </w:rPr>
      </w:pPr>
      <w:bookmarkStart w:id="37" w:name="_Toc11904"/>
      <w:bookmarkStart w:id="38" w:name="_Toc1947"/>
      <w:bookmarkStart w:id="39" w:name="_Toc1482"/>
      <w:bookmarkStart w:id="40" w:name="_Toc256519703"/>
      <w:bookmarkStart w:id="41" w:name="_Toc326786897"/>
    </w:p>
    <w:p w14:paraId="10FABE96">
      <w:pPr>
        <w:pStyle w:val="3"/>
        <w:rPr>
          <w:rFonts w:hint="eastAsia" w:ascii="宋体" w:hAnsi="宋体" w:eastAsia="宋体" w:cs="宋体"/>
          <w:color w:val="auto"/>
          <w:sz w:val="28"/>
          <w:szCs w:val="28"/>
          <w:highlight w:val="none"/>
        </w:rPr>
      </w:pPr>
    </w:p>
    <w:p w14:paraId="66C714D3">
      <w:pPr>
        <w:pStyle w:val="4"/>
        <w:rPr>
          <w:rFonts w:hint="eastAsia" w:ascii="宋体" w:hAnsi="宋体" w:eastAsia="宋体" w:cs="宋体"/>
          <w:color w:val="auto"/>
          <w:sz w:val="28"/>
          <w:szCs w:val="28"/>
          <w:highlight w:val="none"/>
        </w:rPr>
      </w:pPr>
    </w:p>
    <w:p w14:paraId="3281EBD0">
      <w:pPr>
        <w:pStyle w:val="5"/>
        <w:rPr>
          <w:rFonts w:hint="eastAsia"/>
        </w:rPr>
      </w:pPr>
    </w:p>
    <w:p w14:paraId="5A0BE0D1">
      <w:pPr>
        <w:pStyle w:val="2"/>
        <w:snapToGrid w:val="0"/>
        <w:spacing w:before="0" w:after="0" w:line="480" w:lineRule="auto"/>
        <w:ind w:firstLine="3373" w:firstLineChars="12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第五章  采购合同</w:t>
      </w:r>
      <w:bookmarkEnd w:id="37"/>
    </w:p>
    <w:p w14:paraId="1EF982A0">
      <w:pPr>
        <w:jc w:val="center"/>
        <w:rPr>
          <w:rFonts w:hint="eastAsia" w:ascii="宋体" w:hAnsi="宋体" w:eastAsia="宋体" w:cs="宋体"/>
          <w:b/>
        </w:rPr>
      </w:pPr>
      <w:r>
        <w:rPr>
          <w:rFonts w:hint="eastAsia" w:ascii="宋体" w:hAnsi="宋体" w:eastAsia="宋体" w:cs="宋体"/>
          <w:b/>
        </w:rPr>
        <w:t>医疗器械买卖合同</w:t>
      </w:r>
    </w:p>
    <w:p w14:paraId="7AA469D5">
      <w:pPr>
        <w:ind w:firstLine="480" w:firstLineChars="200"/>
        <w:rPr>
          <w:rFonts w:hint="eastAsia" w:ascii="宋体" w:hAnsi="宋体" w:eastAsia="宋体" w:cs="宋体"/>
          <w:sz w:val="24"/>
          <w:szCs w:val="24"/>
        </w:rPr>
      </w:pPr>
    </w:p>
    <w:p w14:paraId="1011507A">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合同编号： </w:t>
      </w:r>
    </w:p>
    <w:p w14:paraId="04EC3B9E">
      <w:pPr>
        <w:ind w:firstLine="420" w:firstLineChars="200"/>
        <w:rPr>
          <w:rFonts w:hint="eastAsia" w:ascii="宋体" w:hAnsi="宋体" w:eastAsia="宋体" w:cs="宋体"/>
          <w:sz w:val="21"/>
          <w:szCs w:val="21"/>
        </w:rPr>
      </w:pPr>
      <w:r>
        <w:rPr>
          <w:rFonts w:hint="eastAsia" w:ascii="宋体" w:hAnsi="宋体" w:eastAsia="宋体" w:cs="宋体"/>
          <w:sz w:val="21"/>
          <w:szCs w:val="21"/>
        </w:rPr>
        <w:t>签订地点： 河南省驻马店市中华路西段747号</w:t>
      </w:r>
    </w:p>
    <w:p w14:paraId="6BB86F3E">
      <w:pPr>
        <w:ind w:firstLine="420" w:firstLineChars="200"/>
        <w:rPr>
          <w:rFonts w:hint="eastAsia" w:ascii="宋体" w:hAnsi="宋体" w:eastAsia="宋体" w:cs="宋体"/>
          <w:sz w:val="21"/>
          <w:szCs w:val="21"/>
        </w:rPr>
      </w:pPr>
      <w:r>
        <w:rPr>
          <w:rFonts w:hint="eastAsia" w:ascii="宋体" w:hAnsi="宋体" w:eastAsia="宋体" w:cs="宋体"/>
          <w:sz w:val="21"/>
          <w:szCs w:val="21"/>
        </w:rPr>
        <w:t>买受人（甲方）： 驻马店市中心医院</w:t>
      </w:r>
    </w:p>
    <w:p w14:paraId="2BB9DFC1">
      <w:pPr>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出卖人（乙方）： </w:t>
      </w:r>
    </w:p>
    <w:p w14:paraId="27845DD2">
      <w:pPr>
        <w:ind w:firstLine="420" w:firstLineChars="200"/>
        <w:rPr>
          <w:rFonts w:hint="eastAsia" w:ascii="宋体" w:hAnsi="宋体" w:eastAsia="宋体" w:cs="宋体"/>
          <w:sz w:val="21"/>
          <w:szCs w:val="21"/>
        </w:rPr>
      </w:pPr>
      <w:r>
        <w:rPr>
          <w:rFonts w:hint="eastAsia" w:ascii="宋体" w:hAnsi="宋体" w:eastAsia="宋体" w:cs="宋体"/>
          <w:sz w:val="21"/>
          <w:szCs w:val="21"/>
        </w:rPr>
        <w:t>根据《中华人民共和国政府采购法》、《中华人民共和国</w:t>
      </w:r>
      <w:r>
        <w:rPr>
          <w:rFonts w:hint="eastAsia" w:ascii="宋体" w:hAnsi="宋体" w:eastAsia="宋体" w:cs="宋体"/>
          <w:sz w:val="21"/>
          <w:szCs w:val="21"/>
          <w:lang w:eastAsia="zh-CN"/>
        </w:rPr>
        <w:t>民法典</w:t>
      </w:r>
      <w:r>
        <w:rPr>
          <w:rFonts w:hint="eastAsia" w:ascii="宋体" w:hAnsi="宋体" w:eastAsia="宋体" w:cs="宋体"/>
          <w:sz w:val="21"/>
          <w:szCs w:val="21"/>
        </w:rPr>
        <w:t>》及</w:t>
      </w:r>
      <w:r>
        <w:rPr>
          <w:rFonts w:hint="eastAsia" w:ascii="宋体" w:hAnsi="宋体" w:eastAsia="宋体" w:cs="宋体"/>
          <w:b/>
          <w:sz w:val="21"/>
          <w:szCs w:val="21"/>
          <w:u w:val="single"/>
        </w:rPr>
        <w:t xml:space="preserve">                      </w:t>
      </w:r>
      <w:r>
        <w:rPr>
          <w:rFonts w:hint="eastAsia" w:ascii="宋体" w:hAnsi="宋体" w:eastAsia="宋体" w:cs="宋体"/>
          <w:sz w:val="21"/>
          <w:szCs w:val="21"/>
        </w:rPr>
        <w:t>项目</w:t>
      </w:r>
      <w:r>
        <w:rPr>
          <w:rFonts w:hint="eastAsia" w:ascii="宋体" w:hAnsi="宋体" w:eastAsia="宋体" w:cs="宋体"/>
          <w:sz w:val="21"/>
          <w:szCs w:val="21"/>
          <w:u w:val="single"/>
        </w:rPr>
        <w:t xml:space="preserve">                               </w:t>
      </w:r>
      <w:r>
        <w:rPr>
          <w:rFonts w:hint="eastAsia" w:ascii="宋体" w:hAnsi="宋体" w:eastAsia="宋体" w:cs="宋体"/>
          <w:sz w:val="21"/>
          <w:szCs w:val="21"/>
        </w:rPr>
        <w:t>（项目编号：            的《招标文件》、乙方的《投标文件》及《中标通知书》），甲、乙双方同意签订本合同。详细技术说明及其它有关合同的特定信息由合同附件予以载明，合同附件及乙方投标文件等均为本合同不可分割的部分。双方签署并共同遵守如下条款：</w:t>
      </w:r>
    </w:p>
    <w:p w14:paraId="4873F3BB">
      <w:pPr>
        <w:ind w:firstLine="422" w:firstLineChars="200"/>
        <w:rPr>
          <w:rFonts w:hint="eastAsia" w:ascii="宋体" w:hAnsi="宋体" w:eastAsia="宋体" w:cs="宋体"/>
          <w:b/>
          <w:sz w:val="21"/>
          <w:szCs w:val="21"/>
        </w:rPr>
      </w:pPr>
      <w:r>
        <w:rPr>
          <w:rFonts w:hint="eastAsia" w:ascii="宋体" w:hAnsi="宋体" w:eastAsia="宋体" w:cs="宋体"/>
          <w:b/>
          <w:sz w:val="21"/>
          <w:szCs w:val="21"/>
        </w:rPr>
        <w:t>一、买卖标的物</w:t>
      </w:r>
    </w:p>
    <w:tbl>
      <w:tblPr>
        <w:tblStyle w:val="34"/>
        <w:tblW w:w="87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636"/>
        <w:gridCol w:w="1211"/>
        <w:gridCol w:w="1236"/>
        <w:gridCol w:w="734"/>
        <w:gridCol w:w="756"/>
        <w:gridCol w:w="1071"/>
        <w:gridCol w:w="1105"/>
      </w:tblGrid>
      <w:tr w14:paraId="0A76C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8" w:hRule="atLeast"/>
          <w:jc w:val="center"/>
        </w:trPr>
        <w:tc>
          <w:tcPr>
            <w:tcW w:w="2636" w:type="dxa"/>
            <w:noWrap w:val="0"/>
            <w:vAlign w:val="center"/>
          </w:tcPr>
          <w:p w14:paraId="740E5E37">
            <w:pPr>
              <w:jc w:val="center"/>
              <w:rPr>
                <w:rFonts w:hint="eastAsia" w:ascii="宋体" w:hAnsi="宋体" w:eastAsia="宋体" w:cs="宋体"/>
                <w:sz w:val="21"/>
                <w:szCs w:val="21"/>
              </w:rPr>
            </w:pPr>
            <w:r>
              <w:rPr>
                <w:rFonts w:hint="eastAsia" w:ascii="宋体" w:hAnsi="宋体" w:eastAsia="宋体" w:cs="宋体"/>
                <w:sz w:val="21"/>
                <w:szCs w:val="21"/>
              </w:rPr>
              <w:t>品    名</w:t>
            </w:r>
          </w:p>
        </w:tc>
        <w:tc>
          <w:tcPr>
            <w:tcW w:w="1211" w:type="dxa"/>
            <w:noWrap w:val="0"/>
            <w:vAlign w:val="center"/>
          </w:tcPr>
          <w:p w14:paraId="59148749">
            <w:pPr>
              <w:jc w:val="center"/>
              <w:rPr>
                <w:rFonts w:hint="eastAsia" w:ascii="宋体" w:hAnsi="宋体" w:eastAsia="宋体" w:cs="宋体"/>
                <w:sz w:val="21"/>
                <w:szCs w:val="21"/>
              </w:rPr>
            </w:pPr>
            <w:r>
              <w:rPr>
                <w:rFonts w:hint="eastAsia" w:ascii="宋体" w:hAnsi="宋体" w:eastAsia="宋体" w:cs="宋体"/>
                <w:sz w:val="21"/>
                <w:szCs w:val="21"/>
              </w:rPr>
              <w:t>品牌</w:t>
            </w:r>
          </w:p>
        </w:tc>
        <w:tc>
          <w:tcPr>
            <w:tcW w:w="1236" w:type="dxa"/>
            <w:noWrap w:val="0"/>
            <w:vAlign w:val="center"/>
          </w:tcPr>
          <w:p w14:paraId="2EF5DD3B">
            <w:pPr>
              <w:jc w:val="center"/>
              <w:rPr>
                <w:rFonts w:hint="eastAsia" w:ascii="宋体" w:hAnsi="宋体" w:eastAsia="宋体" w:cs="宋体"/>
                <w:sz w:val="21"/>
                <w:szCs w:val="21"/>
              </w:rPr>
            </w:pPr>
            <w:r>
              <w:rPr>
                <w:rFonts w:hint="eastAsia" w:ascii="宋体" w:hAnsi="宋体" w:eastAsia="宋体" w:cs="宋体"/>
                <w:sz w:val="21"/>
                <w:szCs w:val="21"/>
              </w:rPr>
              <w:t>规格型号</w:t>
            </w:r>
          </w:p>
        </w:tc>
        <w:tc>
          <w:tcPr>
            <w:tcW w:w="734" w:type="dxa"/>
            <w:noWrap w:val="0"/>
            <w:vAlign w:val="center"/>
          </w:tcPr>
          <w:p w14:paraId="07BA1B85">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756" w:type="dxa"/>
            <w:noWrap w:val="0"/>
            <w:vAlign w:val="center"/>
          </w:tcPr>
          <w:p w14:paraId="4EC88EE8">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1071" w:type="dxa"/>
            <w:noWrap w:val="0"/>
            <w:vAlign w:val="center"/>
          </w:tcPr>
          <w:p w14:paraId="730C01D2">
            <w:pPr>
              <w:jc w:val="center"/>
              <w:rPr>
                <w:rFonts w:hint="eastAsia" w:ascii="宋体" w:hAnsi="宋体" w:eastAsia="宋体" w:cs="宋体"/>
                <w:sz w:val="21"/>
                <w:szCs w:val="21"/>
              </w:rPr>
            </w:pPr>
            <w:r>
              <w:rPr>
                <w:rFonts w:hint="eastAsia" w:ascii="宋体" w:hAnsi="宋体" w:eastAsia="宋体" w:cs="宋体"/>
                <w:sz w:val="21"/>
                <w:szCs w:val="21"/>
              </w:rPr>
              <w:t>单价</w:t>
            </w:r>
          </w:p>
          <w:p w14:paraId="6DF0150A">
            <w:pPr>
              <w:jc w:val="center"/>
              <w:rPr>
                <w:rFonts w:hint="eastAsia" w:ascii="宋体" w:hAnsi="宋体" w:eastAsia="宋体" w:cs="宋体"/>
                <w:sz w:val="21"/>
                <w:szCs w:val="21"/>
              </w:rPr>
            </w:pPr>
            <w:r>
              <w:rPr>
                <w:rFonts w:hint="eastAsia" w:ascii="宋体" w:hAnsi="宋体" w:eastAsia="宋体" w:cs="宋体"/>
                <w:sz w:val="21"/>
                <w:szCs w:val="21"/>
              </w:rPr>
              <w:t>（万元）</w:t>
            </w:r>
          </w:p>
        </w:tc>
        <w:tc>
          <w:tcPr>
            <w:tcW w:w="1105" w:type="dxa"/>
            <w:noWrap w:val="0"/>
            <w:vAlign w:val="center"/>
          </w:tcPr>
          <w:p w14:paraId="13215A4C">
            <w:pPr>
              <w:jc w:val="center"/>
              <w:rPr>
                <w:rFonts w:hint="eastAsia" w:ascii="宋体" w:hAnsi="宋体" w:eastAsia="宋体" w:cs="宋体"/>
                <w:sz w:val="21"/>
                <w:szCs w:val="21"/>
              </w:rPr>
            </w:pPr>
            <w:r>
              <w:rPr>
                <w:rFonts w:hint="eastAsia" w:ascii="宋体" w:hAnsi="宋体" w:eastAsia="宋体" w:cs="宋体"/>
                <w:sz w:val="21"/>
                <w:szCs w:val="21"/>
              </w:rPr>
              <w:t>总价</w:t>
            </w:r>
          </w:p>
          <w:p w14:paraId="6E600D32">
            <w:pPr>
              <w:jc w:val="center"/>
              <w:rPr>
                <w:rFonts w:hint="eastAsia" w:ascii="宋体" w:hAnsi="宋体" w:eastAsia="宋体" w:cs="宋体"/>
                <w:sz w:val="21"/>
                <w:szCs w:val="21"/>
              </w:rPr>
            </w:pPr>
            <w:r>
              <w:rPr>
                <w:rFonts w:hint="eastAsia" w:ascii="宋体" w:hAnsi="宋体" w:eastAsia="宋体" w:cs="宋体"/>
                <w:sz w:val="21"/>
                <w:szCs w:val="21"/>
              </w:rPr>
              <w:t>（万元）</w:t>
            </w:r>
          </w:p>
        </w:tc>
      </w:tr>
      <w:tr w14:paraId="662F3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2636" w:type="dxa"/>
            <w:noWrap w:val="0"/>
            <w:vAlign w:val="center"/>
          </w:tcPr>
          <w:p w14:paraId="6D679288">
            <w:pPr>
              <w:keepNext w:val="0"/>
              <w:keepLines w:val="0"/>
              <w:widowControl/>
              <w:suppressLineNumbers w:val="0"/>
              <w:jc w:val="left"/>
              <w:rPr>
                <w:rFonts w:hint="eastAsia" w:ascii="宋体" w:hAnsi="宋体" w:eastAsia="宋体" w:cs="宋体"/>
                <w:sz w:val="21"/>
                <w:szCs w:val="24"/>
              </w:rPr>
            </w:pPr>
            <w:r>
              <w:rPr>
                <w:rFonts w:hint="eastAsia" w:ascii="宋体" w:hAnsi="宋体" w:eastAsia="宋体" w:cs="宋体"/>
                <w:color w:val="000000"/>
                <w:kern w:val="0"/>
                <w:sz w:val="24"/>
                <w:szCs w:val="24"/>
                <w:lang w:val="en-US" w:eastAsia="zh-CN" w:bidi="ar"/>
              </w:rPr>
              <w:t xml:space="preserve">注册证名称（发布公告 </w:t>
            </w:r>
          </w:p>
          <w:p w14:paraId="1EAEAEE5">
            <w:pPr>
              <w:keepNext w:val="0"/>
              <w:keepLines w:val="0"/>
              <w:widowControl/>
              <w:suppressLineNumbers w:val="0"/>
              <w:jc w:val="left"/>
              <w:rPr>
                <w:rFonts w:hint="eastAsia" w:ascii="宋体" w:hAnsi="宋体" w:eastAsia="宋体" w:cs="宋体"/>
                <w:sz w:val="21"/>
                <w:szCs w:val="21"/>
              </w:rPr>
            </w:pPr>
            <w:r>
              <w:rPr>
                <w:rFonts w:hint="eastAsia" w:ascii="宋体" w:hAnsi="宋体" w:eastAsia="宋体" w:cs="宋体"/>
                <w:color w:val="000000"/>
                <w:kern w:val="0"/>
                <w:sz w:val="24"/>
                <w:szCs w:val="24"/>
                <w:lang w:val="en-US" w:eastAsia="zh-CN" w:bidi="ar"/>
              </w:rPr>
              <w:t>产品名称）</w:t>
            </w:r>
          </w:p>
        </w:tc>
        <w:tc>
          <w:tcPr>
            <w:tcW w:w="1211" w:type="dxa"/>
            <w:noWrap w:val="0"/>
            <w:vAlign w:val="top"/>
          </w:tcPr>
          <w:p w14:paraId="202F391F">
            <w:pPr>
              <w:jc w:val="center"/>
              <w:rPr>
                <w:rFonts w:hint="eastAsia" w:ascii="宋体" w:hAnsi="宋体" w:eastAsia="宋体" w:cs="宋体"/>
                <w:sz w:val="21"/>
                <w:szCs w:val="21"/>
              </w:rPr>
            </w:pPr>
          </w:p>
        </w:tc>
        <w:tc>
          <w:tcPr>
            <w:tcW w:w="1236" w:type="dxa"/>
            <w:noWrap w:val="0"/>
            <w:vAlign w:val="center"/>
          </w:tcPr>
          <w:p w14:paraId="68AD0227">
            <w:pPr>
              <w:jc w:val="center"/>
              <w:rPr>
                <w:rFonts w:hint="eastAsia" w:ascii="宋体" w:hAnsi="宋体" w:eastAsia="宋体" w:cs="宋体"/>
                <w:sz w:val="21"/>
                <w:szCs w:val="21"/>
              </w:rPr>
            </w:pPr>
          </w:p>
        </w:tc>
        <w:tc>
          <w:tcPr>
            <w:tcW w:w="734" w:type="dxa"/>
            <w:noWrap w:val="0"/>
            <w:vAlign w:val="center"/>
          </w:tcPr>
          <w:p w14:paraId="4B11C686">
            <w:pPr>
              <w:jc w:val="center"/>
              <w:rPr>
                <w:rFonts w:hint="eastAsia" w:ascii="宋体" w:hAnsi="宋体" w:eastAsia="宋体" w:cs="宋体"/>
                <w:sz w:val="21"/>
                <w:szCs w:val="21"/>
              </w:rPr>
            </w:pPr>
          </w:p>
        </w:tc>
        <w:tc>
          <w:tcPr>
            <w:tcW w:w="756" w:type="dxa"/>
            <w:noWrap w:val="0"/>
            <w:vAlign w:val="center"/>
          </w:tcPr>
          <w:p w14:paraId="2B21C580">
            <w:pPr>
              <w:jc w:val="center"/>
              <w:rPr>
                <w:rFonts w:hint="eastAsia" w:ascii="宋体" w:hAnsi="宋体" w:eastAsia="宋体" w:cs="宋体"/>
                <w:sz w:val="21"/>
                <w:szCs w:val="21"/>
              </w:rPr>
            </w:pPr>
          </w:p>
        </w:tc>
        <w:tc>
          <w:tcPr>
            <w:tcW w:w="1071" w:type="dxa"/>
            <w:noWrap w:val="0"/>
            <w:vAlign w:val="center"/>
          </w:tcPr>
          <w:p w14:paraId="2A320359">
            <w:pPr>
              <w:jc w:val="center"/>
              <w:rPr>
                <w:rFonts w:hint="eastAsia" w:ascii="宋体" w:hAnsi="宋体" w:eastAsia="宋体" w:cs="宋体"/>
                <w:sz w:val="21"/>
                <w:szCs w:val="21"/>
              </w:rPr>
            </w:pPr>
          </w:p>
        </w:tc>
        <w:tc>
          <w:tcPr>
            <w:tcW w:w="1105" w:type="dxa"/>
            <w:noWrap w:val="0"/>
            <w:vAlign w:val="center"/>
          </w:tcPr>
          <w:p w14:paraId="5AE2449A">
            <w:pPr>
              <w:jc w:val="center"/>
              <w:rPr>
                <w:rFonts w:hint="eastAsia" w:ascii="宋体" w:hAnsi="宋体" w:eastAsia="宋体" w:cs="宋体"/>
                <w:sz w:val="21"/>
                <w:szCs w:val="21"/>
              </w:rPr>
            </w:pPr>
          </w:p>
        </w:tc>
      </w:tr>
    </w:tbl>
    <w:p w14:paraId="0DF977FB">
      <w:pPr>
        <w:ind w:firstLine="422" w:firstLineChars="200"/>
        <w:rPr>
          <w:rFonts w:hint="eastAsia" w:ascii="宋体" w:hAnsi="宋体" w:eastAsia="宋体" w:cs="宋体"/>
          <w:b/>
          <w:sz w:val="21"/>
          <w:szCs w:val="21"/>
        </w:rPr>
      </w:pPr>
      <w:r>
        <w:rPr>
          <w:rFonts w:hint="eastAsia" w:ascii="宋体" w:hAnsi="宋体" w:eastAsia="宋体" w:cs="宋体"/>
          <w:b/>
          <w:sz w:val="21"/>
          <w:szCs w:val="21"/>
        </w:rPr>
        <w:t>二、合同价款</w:t>
      </w:r>
    </w:p>
    <w:p w14:paraId="081EF2BA">
      <w:pPr>
        <w:ind w:firstLine="420" w:firstLineChars="200"/>
        <w:rPr>
          <w:rFonts w:hint="eastAsia" w:ascii="宋体" w:hAnsi="宋体" w:eastAsia="宋体" w:cs="宋体"/>
          <w:sz w:val="21"/>
          <w:szCs w:val="21"/>
        </w:rPr>
      </w:pPr>
      <w:r>
        <w:rPr>
          <w:rFonts w:hint="eastAsia" w:ascii="宋体" w:hAnsi="宋体" w:eastAsia="宋体" w:cs="宋体"/>
          <w:sz w:val="21"/>
          <w:szCs w:val="21"/>
        </w:rPr>
        <w:t>本合同标的物总价款为人民币大写：</w:t>
      </w:r>
      <w:r>
        <w:rPr>
          <w:rFonts w:hint="eastAsia" w:ascii="宋体" w:hAnsi="宋体" w:eastAsia="宋体" w:cs="宋体"/>
          <w:sz w:val="21"/>
          <w:szCs w:val="21"/>
          <w:u w:val="single"/>
        </w:rPr>
        <w:t xml:space="preserve">                                  </w:t>
      </w:r>
      <w:r>
        <w:rPr>
          <w:rFonts w:hint="eastAsia" w:ascii="宋体" w:hAnsi="宋体" w:eastAsia="宋体" w:cs="宋体"/>
          <w:sz w:val="21"/>
          <w:szCs w:val="21"/>
        </w:rPr>
        <w:t>，即RMB</w:t>
      </w:r>
      <w:r>
        <w:rPr>
          <w:rFonts w:hint="eastAsia" w:ascii="宋体" w:hAnsi="宋体" w:eastAsia="宋体" w:cs="宋体"/>
          <w:sz w:val="21"/>
          <w:szCs w:val="21"/>
          <w:u w:val="single"/>
        </w:rPr>
        <w:t xml:space="preserve">￥        </w:t>
      </w:r>
      <w:r>
        <w:rPr>
          <w:rFonts w:hint="eastAsia" w:ascii="宋体" w:hAnsi="宋体" w:eastAsia="宋体" w:cs="宋体"/>
          <w:sz w:val="21"/>
          <w:szCs w:val="21"/>
        </w:rPr>
        <w:t>万元；该价款已包括标的物设计、材料、制造、运输、安装、调试、培训、验收合格交付使用之前及保修期内保修服务与备用物件等所有其他有关各项的含税费用。本合同履行期间该合同总价款不变，甲方无须向乙方支付本合同约定之外的任何其他费用。</w:t>
      </w:r>
    </w:p>
    <w:p w14:paraId="5C12033A">
      <w:pPr>
        <w:ind w:firstLine="422" w:firstLineChars="200"/>
        <w:rPr>
          <w:rFonts w:hint="eastAsia" w:ascii="宋体" w:hAnsi="宋体" w:eastAsia="宋体" w:cs="宋体"/>
          <w:b/>
          <w:sz w:val="21"/>
          <w:szCs w:val="21"/>
        </w:rPr>
      </w:pPr>
      <w:r>
        <w:rPr>
          <w:rFonts w:hint="eastAsia" w:ascii="宋体" w:hAnsi="宋体" w:eastAsia="宋体" w:cs="宋体"/>
          <w:b/>
          <w:sz w:val="21"/>
          <w:szCs w:val="21"/>
        </w:rPr>
        <w:t>三、质量标准及相关质量问题的处理</w:t>
      </w:r>
    </w:p>
    <w:p w14:paraId="33381398">
      <w:pPr>
        <w:ind w:firstLine="420" w:firstLineChars="200"/>
        <w:rPr>
          <w:rFonts w:hint="eastAsia" w:ascii="宋体" w:hAnsi="宋体" w:eastAsia="宋体" w:cs="宋体"/>
          <w:sz w:val="21"/>
          <w:szCs w:val="21"/>
        </w:rPr>
      </w:pPr>
      <w:r>
        <w:rPr>
          <w:rFonts w:hint="eastAsia" w:ascii="宋体" w:hAnsi="宋体" w:eastAsia="宋体" w:cs="宋体"/>
          <w:sz w:val="21"/>
          <w:szCs w:val="21"/>
        </w:rPr>
        <w:t>1、乙方提供的标的物必须是合格出厂的全新（含零部件、配件等）产品，全部外观表面无划伤、无碰撞痕迹，产品所有权及自身涉及的各项知识产权权属清楚，不得存在侵害他人知识产权和其他权益的情形。</w:t>
      </w:r>
    </w:p>
    <w:p w14:paraId="3ACB097F">
      <w:pPr>
        <w:ind w:firstLine="420" w:firstLineChars="200"/>
        <w:rPr>
          <w:rFonts w:hint="eastAsia" w:ascii="宋体" w:hAnsi="宋体" w:eastAsia="宋体" w:cs="宋体"/>
          <w:sz w:val="21"/>
          <w:szCs w:val="21"/>
        </w:rPr>
      </w:pPr>
      <w:r>
        <w:rPr>
          <w:rFonts w:hint="eastAsia" w:ascii="宋体" w:hAnsi="宋体" w:eastAsia="宋体" w:cs="宋体"/>
          <w:sz w:val="21"/>
          <w:szCs w:val="21"/>
        </w:rPr>
        <w:t>2、标的物出厂时必须符合或优于国家（没有国标时，以行标）新标准，同时符合本项目招标文件确定的各项质量要求和技术指标及出厂标准。</w:t>
      </w:r>
    </w:p>
    <w:p w14:paraId="67A65ABA">
      <w:pPr>
        <w:ind w:firstLine="420" w:firstLineChars="200"/>
        <w:rPr>
          <w:rFonts w:hint="eastAsia" w:ascii="宋体" w:hAnsi="宋体" w:eastAsia="宋体" w:cs="宋体"/>
          <w:sz w:val="21"/>
          <w:szCs w:val="21"/>
        </w:rPr>
      </w:pPr>
      <w:r>
        <w:rPr>
          <w:rFonts w:hint="eastAsia" w:ascii="宋体" w:hAnsi="宋体" w:eastAsia="宋体" w:cs="宋体"/>
          <w:sz w:val="21"/>
          <w:szCs w:val="21"/>
        </w:rPr>
        <w:t>3、标的物的制造质量存在或出现问题时，乙方必须负责三包（包修、包换、包退），费用由乙方负担，甲方有权亲自派员或委托第三方到乙方生产或仓储现场查验标的物质量或生产进度。</w:t>
      </w:r>
    </w:p>
    <w:p w14:paraId="0AC5D7C5">
      <w:pPr>
        <w:ind w:firstLine="420" w:firstLineChars="200"/>
        <w:rPr>
          <w:rFonts w:hint="eastAsia" w:ascii="宋体" w:hAnsi="宋体" w:eastAsia="宋体" w:cs="宋体"/>
          <w:sz w:val="21"/>
          <w:szCs w:val="21"/>
        </w:rPr>
      </w:pPr>
      <w:r>
        <w:rPr>
          <w:rFonts w:hint="eastAsia" w:ascii="宋体" w:hAnsi="宋体" w:eastAsia="宋体" w:cs="宋体"/>
          <w:sz w:val="21"/>
          <w:szCs w:val="21"/>
        </w:rPr>
        <w:t>4、标的物交付后由于甲方保管不当造成的质量问题，乙方应负责修理，费用由甲方负担。</w:t>
      </w:r>
    </w:p>
    <w:p w14:paraId="476D5348">
      <w:pPr>
        <w:ind w:firstLine="422" w:firstLineChars="200"/>
        <w:rPr>
          <w:rFonts w:hint="eastAsia" w:ascii="宋体" w:hAnsi="宋体" w:eastAsia="宋体" w:cs="宋体"/>
          <w:b/>
          <w:sz w:val="21"/>
          <w:szCs w:val="21"/>
        </w:rPr>
      </w:pPr>
      <w:r>
        <w:rPr>
          <w:rFonts w:hint="eastAsia" w:ascii="宋体" w:hAnsi="宋体" w:eastAsia="宋体" w:cs="宋体"/>
          <w:b/>
          <w:sz w:val="21"/>
          <w:szCs w:val="21"/>
        </w:rPr>
        <w:t>四、交货及验收</w:t>
      </w:r>
    </w:p>
    <w:p w14:paraId="222FB33F">
      <w:pPr>
        <w:ind w:firstLine="420" w:firstLineChars="200"/>
        <w:rPr>
          <w:rFonts w:hint="eastAsia" w:ascii="宋体" w:hAnsi="宋体" w:eastAsia="宋体" w:cs="宋体"/>
          <w:sz w:val="21"/>
          <w:szCs w:val="21"/>
        </w:rPr>
      </w:pPr>
      <w:r>
        <w:rPr>
          <w:rFonts w:hint="eastAsia" w:ascii="宋体" w:hAnsi="宋体" w:eastAsia="宋体" w:cs="宋体"/>
          <w:sz w:val="21"/>
          <w:szCs w:val="21"/>
        </w:rPr>
        <w:t>1、乙方交货期限为合同签订生效后的</w:t>
      </w:r>
      <w:r>
        <w:rPr>
          <w:rFonts w:hint="eastAsia" w:ascii="宋体" w:hAnsi="宋体" w:eastAsia="宋体" w:cs="宋体"/>
          <w:sz w:val="21"/>
          <w:szCs w:val="21"/>
          <w:u w:val="single"/>
        </w:rPr>
        <w:t xml:space="preserve">      </w:t>
      </w:r>
      <w:r>
        <w:rPr>
          <w:rFonts w:hint="eastAsia" w:ascii="宋体" w:hAnsi="宋体" w:eastAsia="宋体" w:cs="宋体"/>
          <w:sz w:val="21"/>
          <w:szCs w:val="21"/>
        </w:rPr>
        <w:t>日内，交货到甲方指定地点，并由乙方随即在</w:t>
      </w:r>
      <w:r>
        <w:rPr>
          <w:rFonts w:hint="eastAsia" w:ascii="宋体" w:hAnsi="宋体" w:eastAsia="宋体" w:cs="宋体"/>
          <w:sz w:val="21"/>
          <w:szCs w:val="21"/>
          <w:u w:val="single"/>
        </w:rPr>
        <w:t xml:space="preserve">      </w:t>
      </w:r>
      <w:r>
        <w:rPr>
          <w:rFonts w:hint="eastAsia" w:ascii="宋体" w:hAnsi="宋体" w:eastAsia="宋体" w:cs="宋体"/>
          <w:sz w:val="21"/>
          <w:szCs w:val="21"/>
        </w:rPr>
        <w:t>日内全部完成安装调试验收合格，并交付使用（如由于甲方的原因造成合同延迟签订或验收的，交付使用时间顺延）。乙方交货验收时必须要提供该产品的法定质检部门从同类产品中检查合</w:t>
      </w:r>
      <w:r>
        <w:rPr>
          <w:rFonts w:hint="eastAsia" w:ascii="宋体" w:hAnsi="宋体" w:eastAsia="宋体" w:cs="宋体"/>
          <w:sz w:val="21"/>
          <w:szCs w:val="21"/>
          <w:lang w:eastAsia="zh-CN"/>
        </w:rPr>
        <w:t>格</w:t>
      </w:r>
      <w:r>
        <w:rPr>
          <w:rFonts w:hint="eastAsia" w:ascii="宋体" w:hAnsi="宋体" w:eastAsia="宋体" w:cs="宋体"/>
          <w:sz w:val="21"/>
          <w:szCs w:val="21"/>
        </w:rPr>
        <w:t>的检测报告。</w:t>
      </w:r>
    </w:p>
    <w:p w14:paraId="2F555B21">
      <w:pPr>
        <w:ind w:firstLine="420" w:firstLineChars="200"/>
        <w:rPr>
          <w:rFonts w:hint="eastAsia" w:ascii="宋体" w:hAnsi="宋体" w:eastAsia="宋体" w:cs="宋体"/>
          <w:sz w:val="21"/>
          <w:szCs w:val="21"/>
        </w:rPr>
      </w:pPr>
      <w:r>
        <w:rPr>
          <w:rFonts w:hint="eastAsia" w:ascii="宋体" w:hAnsi="宋体" w:eastAsia="宋体" w:cs="宋体"/>
          <w:sz w:val="21"/>
          <w:szCs w:val="21"/>
        </w:rPr>
        <w:t>2、验收由甲方组织，乙方配合进行：</w:t>
      </w:r>
    </w:p>
    <w:p w14:paraId="21391F3B">
      <w:pPr>
        <w:ind w:firstLine="420" w:firstLineChars="200"/>
        <w:rPr>
          <w:rFonts w:hint="eastAsia" w:ascii="宋体" w:hAnsi="宋体" w:eastAsia="宋体" w:cs="宋体"/>
          <w:sz w:val="21"/>
          <w:szCs w:val="21"/>
        </w:rPr>
      </w:pPr>
      <w:r>
        <w:rPr>
          <w:rFonts w:hint="eastAsia" w:ascii="宋体" w:hAnsi="宋体" w:eastAsia="宋体" w:cs="宋体"/>
          <w:sz w:val="21"/>
          <w:szCs w:val="21"/>
        </w:rPr>
        <w:t>（1）标的物在乙方通知安装调试完毕后</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lang w:eastAsia="zh-CN"/>
        </w:rPr>
        <w:t>三</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 xml:space="preserve"> 日内进行初步验收。初步验收合格后，开始进入</w:t>
      </w:r>
      <w:r>
        <w:rPr>
          <w:rFonts w:hint="eastAsia" w:ascii="宋体" w:hAnsi="宋体" w:eastAsia="宋体" w:cs="宋体"/>
          <w:sz w:val="21"/>
          <w:szCs w:val="21"/>
          <w:u w:val="single"/>
          <w:lang w:val="en-US" w:eastAsia="zh-CN"/>
        </w:rPr>
        <w:t xml:space="preserve">  七  </w:t>
      </w:r>
      <w:r>
        <w:rPr>
          <w:rFonts w:hint="eastAsia" w:ascii="宋体" w:hAnsi="宋体" w:eastAsia="宋体" w:cs="宋体"/>
          <w:sz w:val="21"/>
          <w:szCs w:val="21"/>
        </w:rPr>
        <w:t xml:space="preserve"> 天试用期；试用期间发生重大质量问题，乙方应</w:t>
      </w:r>
      <w:r>
        <w:rPr>
          <w:rFonts w:hint="eastAsia" w:ascii="宋体" w:hAnsi="宋体" w:eastAsia="宋体" w:cs="宋体"/>
          <w:sz w:val="21"/>
          <w:szCs w:val="21"/>
          <w:lang w:eastAsia="zh-CN"/>
        </w:rPr>
        <w:t>重新</w:t>
      </w:r>
      <w:r>
        <w:rPr>
          <w:rFonts w:hint="eastAsia" w:ascii="宋体" w:hAnsi="宋体" w:eastAsia="宋体" w:cs="宋体"/>
          <w:sz w:val="21"/>
          <w:szCs w:val="21"/>
        </w:rPr>
        <w:t>提供符合标准的新设备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由甲方组织重新进行初步验收，开始进入</w:t>
      </w:r>
      <w:r>
        <w:rPr>
          <w:rFonts w:hint="eastAsia" w:ascii="宋体" w:hAnsi="宋体" w:eastAsia="宋体" w:cs="宋体"/>
          <w:sz w:val="21"/>
          <w:szCs w:val="21"/>
          <w:u w:val="single"/>
          <w:lang w:val="en-US" w:eastAsia="zh-CN"/>
        </w:rPr>
        <w:t xml:space="preserve"> 七 </w:t>
      </w:r>
      <w:r>
        <w:rPr>
          <w:rFonts w:hint="eastAsia" w:ascii="宋体" w:hAnsi="宋体" w:eastAsia="宋体" w:cs="宋体"/>
          <w:sz w:val="21"/>
          <w:szCs w:val="21"/>
          <w:lang w:val="en-US" w:eastAsia="zh-CN"/>
        </w:rPr>
        <w:t>天试用期</w:t>
      </w:r>
      <w:r>
        <w:rPr>
          <w:rFonts w:hint="eastAsia" w:ascii="宋体" w:hAnsi="宋体" w:eastAsia="宋体" w:cs="宋体"/>
          <w:sz w:val="21"/>
          <w:szCs w:val="21"/>
        </w:rPr>
        <w:t>；试用期结束后</w:t>
      </w:r>
      <w:r>
        <w:rPr>
          <w:rFonts w:hint="eastAsia" w:ascii="宋体" w:hAnsi="宋体" w:eastAsia="宋体" w:cs="宋体"/>
          <w:sz w:val="21"/>
          <w:szCs w:val="21"/>
          <w:u w:val="single"/>
          <w:lang w:val="en-US" w:eastAsia="zh-CN"/>
        </w:rPr>
        <w:t xml:space="preserve">  三  </w:t>
      </w:r>
      <w:r>
        <w:rPr>
          <w:rFonts w:hint="eastAsia" w:ascii="宋体" w:hAnsi="宋体" w:eastAsia="宋体" w:cs="宋体"/>
          <w:sz w:val="21"/>
          <w:szCs w:val="21"/>
        </w:rPr>
        <w:t>日内完成最终验收。</w:t>
      </w:r>
    </w:p>
    <w:p w14:paraId="24A4DC91">
      <w:pPr>
        <w:ind w:firstLine="420" w:firstLineChars="200"/>
        <w:rPr>
          <w:rFonts w:hint="eastAsia" w:ascii="宋体" w:hAnsi="宋体" w:eastAsia="宋体" w:cs="宋体"/>
          <w:sz w:val="21"/>
          <w:szCs w:val="21"/>
        </w:rPr>
      </w:pPr>
      <w:r>
        <w:rPr>
          <w:rFonts w:hint="eastAsia" w:ascii="宋体" w:hAnsi="宋体" w:eastAsia="宋体" w:cs="宋体"/>
          <w:sz w:val="21"/>
          <w:szCs w:val="21"/>
        </w:rPr>
        <w:t>（2）验收标准：按国家有关规定以及甲方招标文件的质量要求和技术指标、乙方的投标文件及承诺及合同约定标准进行验收；甲乙双方如对质量要求和技术指标的约定标准有相互抵触或异议的事项，由甲方在招标文件中按质量要求和技术指标比较优胜的原则确定标准进行验收。</w:t>
      </w:r>
    </w:p>
    <w:p w14:paraId="1E3D576F">
      <w:pPr>
        <w:ind w:firstLine="420" w:firstLineChars="200"/>
        <w:rPr>
          <w:rFonts w:hint="eastAsia" w:ascii="宋体" w:hAnsi="宋体" w:eastAsia="宋体" w:cs="宋体"/>
          <w:sz w:val="21"/>
          <w:szCs w:val="21"/>
        </w:rPr>
      </w:pPr>
      <w:r>
        <w:rPr>
          <w:rFonts w:hint="eastAsia" w:ascii="宋体" w:hAnsi="宋体" w:eastAsia="宋体" w:cs="宋体"/>
          <w:sz w:val="21"/>
          <w:szCs w:val="21"/>
        </w:rPr>
        <w:t>（3）验收时如发现所交付的标的物有短装、次品、损坏或其它不符合标准及本合同规定之情形者，验收方应做出详尽的现场记录，或由双方签署备忘录，因此产生时间延误和有关费用由乙方承担，验收期限相应顺延。</w:t>
      </w:r>
    </w:p>
    <w:p w14:paraId="4B0D305D">
      <w:pPr>
        <w:ind w:firstLine="420" w:firstLineChars="2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4</w:t>
      </w:r>
      <w:r>
        <w:rPr>
          <w:rFonts w:hint="eastAsia" w:ascii="宋体" w:hAnsi="宋体" w:eastAsia="宋体" w:cs="宋体"/>
          <w:sz w:val="21"/>
          <w:szCs w:val="21"/>
        </w:rPr>
        <w:t>）甲方组织联合验收</w:t>
      </w:r>
      <w:r>
        <w:rPr>
          <w:rFonts w:hint="eastAsia" w:ascii="宋体" w:hAnsi="宋体" w:eastAsia="宋体" w:cs="宋体"/>
          <w:sz w:val="21"/>
          <w:szCs w:val="21"/>
          <w:lang w:eastAsia="zh-CN"/>
        </w:rPr>
        <w:t>，</w:t>
      </w:r>
      <w:r>
        <w:rPr>
          <w:rFonts w:hint="eastAsia" w:ascii="宋体" w:hAnsi="宋体" w:eastAsia="宋体" w:cs="宋体"/>
          <w:sz w:val="21"/>
          <w:szCs w:val="21"/>
        </w:rPr>
        <w:t>验收严格按照招标文件中的配置、质量、技术要求进行，验收通过的，双方签署书面验收报告</w:t>
      </w:r>
      <w:r>
        <w:rPr>
          <w:rFonts w:hint="eastAsia" w:ascii="宋体" w:hAnsi="宋体" w:eastAsia="宋体" w:cs="宋体"/>
          <w:sz w:val="21"/>
          <w:szCs w:val="21"/>
          <w:lang w:eastAsia="zh-CN"/>
        </w:rPr>
        <w:t>；</w:t>
      </w:r>
      <w:r>
        <w:rPr>
          <w:rFonts w:hint="eastAsia" w:ascii="宋体" w:hAnsi="宋体" w:eastAsia="宋体" w:cs="宋体"/>
          <w:sz w:val="21"/>
          <w:szCs w:val="21"/>
        </w:rPr>
        <w:t>如乙方提供的产品不能通过验收，按退货处理，乙方负责无条件退货。</w:t>
      </w:r>
    </w:p>
    <w:p w14:paraId="2A181BDE">
      <w:pPr>
        <w:ind w:firstLine="420" w:firstLineChars="200"/>
        <w:rPr>
          <w:rFonts w:hint="eastAsia" w:ascii="宋体" w:hAnsi="宋体" w:eastAsia="宋体" w:cs="宋体"/>
          <w:sz w:val="21"/>
          <w:szCs w:val="21"/>
        </w:rPr>
      </w:pPr>
      <w:r>
        <w:rPr>
          <w:rFonts w:hint="eastAsia" w:ascii="宋体" w:hAnsi="宋体" w:eastAsia="宋体" w:cs="宋体"/>
          <w:sz w:val="21"/>
          <w:szCs w:val="21"/>
        </w:rPr>
        <w:t>3、标的物安装完成后，甲方无故不进行验收工作并已使用标的物的，视同已安装调试完成并验收合格。</w:t>
      </w:r>
    </w:p>
    <w:p w14:paraId="79BEA18E">
      <w:pPr>
        <w:ind w:firstLine="420" w:firstLineChars="200"/>
        <w:rPr>
          <w:rFonts w:hint="eastAsia" w:ascii="宋体" w:hAnsi="宋体" w:eastAsia="宋体" w:cs="宋体"/>
          <w:sz w:val="21"/>
          <w:szCs w:val="21"/>
        </w:rPr>
      </w:pPr>
      <w:r>
        <w:rPr>
          <w:rFonts w:hint="eastAsia" w:ascii="宋体" w:hAnsi="宋体" w:eastAsia="宋体" w:cs="宋体"/>
          <w:sz w:val="21"/>
          <w:szCs w:val="21"/>
        </w:rPr>
        <w:t>4、乙方应将所提供标的物的装箱清单、配件、随机工具、用户使用手册、原厂保修卡等资料交付给甲方；乙方不能完整交付标的物及本款规定的单证和工具的，必须负责补齐，否则视为未按合同约定交货。</w:t>
      </w:r>
    </w:p>
    <w:p w14:paraId="6DEA8070">
      <w:pPr>
        <w:ind w:firstLine="420" w:firstLineChars="200"/>
        <w:rPr>
          <w:rFonts w:hint="eastAsia" w:ascii="宋体" w:hAnsi="宋体" w:eastAsia="宋体" w:cs="宋体"/>
          <w:sz w:val="21"/>
          <w:szCs w:val="21"/>
        </w:rPr>
      </w:pPr>
      <w:r>
        <w:rPr>
          <w:rFonts w:hint="eastAsia" w:ascii="宋体" w:hAnsi="宋体" w:eastAsia="宋体" w:cs="宋体"/>
          <w:sz w:val="21"/>
          <w:szCs w:val="21"/>
        </w:rPr>
        <w:t>5、如标的物经乙方</w:t>
      </w:r>
      <w:r>
        <w:rPr>
          <w:rFonts w:hint="eastAsia" w:ascii="宋体" w:hAnsi="宋体" w:eastAsia="宋体" w:cs="宋体"/>
          <w:sz w:val="21"/>
          <w:szCs w:val="21"/>
          <w:u w:val="single"/>
        </w:rPr>
        <w:t xml:space="preserve"> 二 </w:t>
      </w:r>
      <w:r>
        <w:rPr>
          <w:rFonts w:hint="eastAsia" w:ascii="宋体" w:hAnsi="宋体" w:eastAsia="宋体" w:cs="宋体"/>
          <w:sz w:val="21"/>
          <w:szCs w:val="21"/>
        </w:rPr>
        <w:t>次维修仍不能达到合同约定的质量标准，甲方有权退货，并视作乙方不能交付标的物</w:t>
      </w:r>
      <w:r>
        <w:rPr>
          <w:rFonts w:hint="eastAsia" w:ascii="宋体" w:hAnsi="宋体" w:eastAsia="宋体" w:cs="宋体"/>
          <w:sz w:val="21"/>
          <w:szCs w:val="21"/>
          <w:lang w:val="en-US" w:eastAsia="zh-CN"/>
        </w:rPr>
        <w:t>,乙方应支付货款总额30%的违约赔偿金给甲方</w:t>
      </w:r>
      <w:r>
        <w:rPr>
          <w:rFonts w:hint="eastAsia" w:ascii="宋体" w:hAnsi="宋体" w:eastAsia="宋体" w:cs="宋体"/>
          <w:sz w:val="21"/>
          <w:szCs w:val="21"/>
        </w:rPr>
        <w:t>，甲方还可以依法追究乙方的相关法律责任。</w:t>
      </w:r>
    </w:p>
    <w:p w14:paraId="39A9B4C1">
      <w:pPr>
        <w:ind w:firstLine="420" w:firstLineChars="200"/>
        <w:rPr>
          <w:rFonts w:hint="eastAsia" w:ascii="宋体" w:hAnsi="宋体" w:eastAsia="宋体" w:cs="宋体"/>
          <w:sz w:val="21"/>
          <w:szCs w:val="21"/>
        </w:rPr>
      </w:pPr>
      <w:r>
        <w:rPr>
          <w:rFonts w:hint="eastAsia" w:ascii="宋体" w:hAnsi="宋体" w:eastAsia="宋体" w:cs="宋体"/>
          <w:sz w:val="21"/>
          <w:szCs w:val="21"/>
        </w:rPr>
        <w:t>6、其他未尽事宜应严格按照《中华人民共和国政府采购法》及相关法律法规规定的要求进行。</w:t>
      </w:r>
    </w:p>
    <w:p w14:paraId="3BBB9FCC">
      <w:pPr>
        <w:ind w:firstLine="422" w:firstLineChars="200"/>
        <w:rPr>
          <w:rFonts w:hint="eastAsia" w:ascii="宋体" w:hAnsi="宋体" w:eastAsia="宋体" w:cs="宋体"/>
          <w:b/>
          <w:sz w:val="21"/>
          <w:szCs w:val="21"/>
        </w:rPr>
      </w:pPr>
      <w:r>
        <w:rPr>
          <w:rFonts w:hint="eastAsia" w:ascii="宋体" w:hAnsi="宋体" w:eastAsia="宋体" w:cs="宋体"/>
          <w:b/>
          <w:sz w:val="21"/>
          <w:szCs w:val="21"/>
        </w:rPr>
        <w:t>五、付款方式</w:t>
      </w:r>
    </w:p>
    <w:p w14:paraId="31D6B381">
      <w:pPr>
        <w:ind w:firstLine="420" w:firstLineChars="200"/>
        <w:rPr>
          <w:rFonts w:hint="eastAsia" w:ascii="宋体" w:hAnsi="宋体" w:eastAsia="宋体" w:cs="宋体"/>
          <w:color w:val="auto"/>
          <w:sz w:val="21"/>
          <w:szCs w:val="21"/>
          <w:lang w:val="en-US"/>
        </w:rPr>
      </w:pPr>
      <w:r>
        <w:rPr>
          <w:rFonts w:hint="eastAsia" w:ascii="宋体" w:hAnsi="宋体" w:eastAsia="宋体" w:cs="宋体"/>
          <w:sz w:val="21"/>
          <w:szCs w:val="21"/>
        </w:rPr>
        <w:t>全部标的物经安装调试完毕并</w:t>
      </w:r>
      <w:r>
        <w:rPr>
          <w:rFonts w:hint="eastAsia" w:ascii="宋体" w:hAnsi="宋体" w:eastAsia="宋体" w:cs="宋体"/>
          <w:sz w:val="21"/>
          <w:szCs w:val="21"/>
          <w:lang w:eastAsia="zh-CN"/>
        </w:rPr>
        <w:t>验收入库</w:t>
      </w:r>
      <w:r>
        <w:rPr>
          <w:rFonts w:hint="eastAsia" w:ascii="宋体" w:hAnsi="宋体" w:eastAsia="宋体" w:cs="宋体"/>
          <w:sz w:val="21"/>
          <w:szCs w:val="21"/>
        </w:rPr>
        <w:t>之日起，甲方接到乙方付款通知和有关票据凭证资料以后，由甲方核付合同总价的百分之</w:t>
      </w:r>
      <w:r>
        <w:rPr>
          <w:rFonts w:hint="eastAsia" w:ascii="宋体" w:hAnsi="宋体" w:eastAsia="宋体" w:cs="宋体"/>
          <w:sz w:val="21"/>
          <w:szCs w:val="21"/>
          <w:u w:val="single"/>
          <w:lang w:val="en-US" w:eastAsia="zh-CN"/>
        </w:rPr>
        <w:t xml:space="preserve"> 八十五 </w:t>
      </w:r>
      <w:r>
        <w:rPr>
          <w:rFonts w:hint="eastAsia" w:ascii="宋体" w:hAnsi="宋体" w:eastAsia="宋体" w:cs="宋体"/>
          <w:sz w:val="21"/>
          <w:szCs w:val="21"/>
        </w:rPr>
        <w:t>款项：￥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万</w:t>
      </w:r>
      <w:r>
        <w:rPr>
          <w:rFonts w:hint="eastAsia" w:ascii="宋体" w:hAnsi="宋体" w:eastAsia="宋体" w:cs="宋体"/>
          <w:sz w:val="21"/>
          <w:szCs w:val="21"/>
        </w:rPr>
        <w:t>元，人民币大写</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。一年后</w:t>
      </w:r>
      <w:r>
        <w:rPr>
          <w:rFonts w:hint="eastAsia" w:ascii="宋体" w:hAnsi="宋体" w:eastAsia="宋体" w:cs="宋体"/>
          <w:sz w:val="21"/>
          <w:szCs w:val="21"/>
        </w:rPr>
        <w:t>由甲方核付合同总价的百分之</w:t>
      </w:r>
      <w:r>
        <w:rPr>
          <w:rFonts w:hint="eastAsia" w:ascii="宋体" w:hAnsi="宋体" w:eastAsia="宋体" w:cs="宋体"/>
          <w:sz w:val="21"/>
          <w:szCs w:val="21"/>
          <w:u w:val="single"/>
          <w:lang w:val="en-US" w:eastAsia="zh-CN"/>
        </w:rPr>
        <w:t xml:space="preserve"> 十 </w:t>
      </w:r>
      <w:r>
        <w:rPr>
          <w:rFonts w:hint="eastAsia" w:ascii="宋体" w:hAnsi="宋体" w:eastAsia="宋体" w:cs="宋体"/>
          <w:sz w:val="21"/>
          <w:szCs w:val="21"/>
        </w:rPr>
        <w:t>款项：￥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万</w:t>
      </w:r>
      <w:r>
        <w:rPr>
          <w:rFonts w:hint="eastAsia" w:ascii="宋体" w:hAnsi="宋体" w:eastAsia="宋体" w:cs="宋体"/>
          <w:sz w:val="21"/>
          <w:szCs w:val="21"/>
        </w:rPr>
        <w:t>元，人民币大写</w:t>
      </w:r>
      <w:r>
        <w:rPr>
          <w:rFonts w:hint="eastAsia" w:ascii="宋体" w:hAnsi="宋体" w:eastAsia="宋体" w:cs="宋体"/>
          <w:sz w:val="21"/>
          <w:szCs w:val="21"/>
          <w:u w:val="single"/>
        </w:rPr>
        <w:t xml:space="preserve">                     </w:t>
      </w:r>
      <w:r>
        <w:rPr>
          <w:rFonts w:hint="eastAsia" w:ascii="宋体" w:hAnsi="宋体" w:eastAsia="宋体" w:cs="宋体"/>
          <w:sz w:val="21"/>
          <w:szCs w:val="21"/>
          <w:lang w:eastAsia="zh-CN"/>
        </w:rPr>
        <w:t>。</w:t>
      </w:r>
      <w:r>
        <w:rPr>
          <w:rFonts w:hint="eastAsia" w:ascii="宋体" w:hAnsi="宋体" w:eastAsia="宋体" w:cs="宋体"/>
          <w:color w:val="auto"/>
          <w:sz w:val="21"/>
          <w:szCs w:val="21"/>
          <w:lang w:val="en-US" w:eastAsia="zh-CN"/>
        </w:rPr>
        <w:t>三年后</w:t>
      </w:r>
      <w:r>
        <w:rPr>
          <w:rFonts w:hint="eastAsia" w:ascii="宋体" w:hAnsi="宋体" w:eastAsia="宋体" w:cs="宋体"/>
          <w:color w:val="auto"/>
          <w:sz w:val="21"/>
          <w:szCs w:val="21"/>
        </w:rPr>
        <w:t>，由甲方核付合同总价的百分之</w:t>
      </w:r>
      <w:r>
        <w:rPr>
          <w:rFonts w:hint="eastAsia" w:ascii="宋体" w:hAnsi="宋体" w:eastAsia="宋体" w:cs="宋体"/>
          <w:color w:val="auto"/>
          <w:sz w:val="21"/>
          <w:szCs w:val="21"/>
          <w:u w:val="single"/>
          <w:lang w:val="en-US" w:eastAsia="zh-CN"/>
        </w:rPr>
        <w:t xml:space="preserve">  五 </w:t>
      </w:r>
      <w:r>
        <w:rPr>
          <w:rFonts w:hint="eastAsia" w:ascii="宋体" w:hAnsi="宋体" w:eastAsia="宋体" w:cs="宋体"/>
          <w:color w:val="auto"/>
          <w:sz w:val="21"/>
          <w:szCs w:val="21"/>
        </w:rPr>
        <w:t>款项：￥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万</w:t>
      </w:r>
      <w:r>
        <w:rPr>
          <w:rFonts w:hint="eastAsia" w:ascii="宋体" w:hAnsi="宋体" w:eastAsia="宋体" w:cs="宋体"/>
          <w:color w:val="auto"/>
          <w:sz w:val="21"/>
          <w:szCs w:val="21"/>
        </w:rPr>
        <w:t>元，人民币大写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lang w:eastAsia="zh-CN"/>
        </w:rPr>
        <w:t>。每次付款前均需由乙方提供符合甲方要求的相关资料后，甲方再予以核付；如果乙方不按要求提供相关资料，甲方有权拒付款项。</w:t>
      </w:r>
    </w:p>
    <w:p w14:paraId="25CE8DE3">
      <w:pPr>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六、售后服务</w:t>
      </w:r>
    </w:p>
    <w:p w14:paraId="00BF6AE7">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1、质保期为</w:t>
      </w:r>
      <w:r>
        <w:rPr>
          <w:rFonts w:hint="eastAsia" w:ascii="宋体" w:hAnsi="宋体" w:eastAsia="宋体" w:cs="宋体"/>
          <w:color w:val="auto"/>
          <w:sz w:val="21"/>
          <w:szCs w:val="21"/>
          <w:lang w:eastAsia="zh-CN"/>
        </w:rPr>
        <w:t>甲方入库之日起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年，质保期内出现质量问题，乙方在接到甲方通知后 两小时内响应，十二小时内到达现场完成维修或更换，并承担修理更换的费用,维修期间提供备用机；如标的物经乙方</w:t>
      </w:r>
      <w:r>
        <w:rPr>
          <w:rFonts w:hint="eastAsia" w:ascii="宋体" w:hAnsi="宋体" w:eastAsia="宋体" w:cs="宋体"/>
          <w:color w:val="auto"/>
          <w:sz w:val="21"/>
          <w:szCs w:val="21"/>
          <w:u w:val="single"/>
        </w:rPr>
        <w:t xml:space="preserve"> 两 </w:t>
      </w:r>
      <w:r>
        <w:rPr>
          <w:rFonts w:hint="eastAsia" w:ascii="宋体" w:hAnsi="宋体" w:eastAsia="宋体" w:cs="宋体"/>
          <w:color w:val="auto"/>
          <w:sz w:val="21"/>
          <w:szCs w:val="21"/>
        </w:rPr>
        <w:t>次维修仍不能达到本合同约定的质量标准，甲方有权退货并追究乙方的违约责任。标的物到达甲方指定现场后因甲方保管不当造成的数量短缺或质量损害，乙方负责补齐或修复，费用由甲方负担。</w:t>
      </w:r>
    </w:p>
    <w:p w14:paraId="1FB152CC">
      <w:pPr>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2、乙方须指派专人负责与甲方联系售后服务事宜。</w:t>
      </w:r>
    </w:p>
    <w:p w14:paraId="3A111393">
      <w:pPr>
        <w:ind w:firstLine="420" w:firstLineChars="2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3、本合同履行过程中因乙方无法完成设备的维修与更换，导致甲方产生的额外支出由甲方从未向乙方支付的款项中扣除，甲方的额外支出超过未向乙方支付的款项时，乙方应承担额外的维修与更换费用。</w:t>
      </w:r>
    </w:p>
    <w:p w14:paraId="43458801">
      <w:pPr>
        <w:ind w:firstLine="422" w:firstLineChars="200"/>
        <w:rPr>
          <w:rFonts w:hint="eastAsia" w:ascii="宋体" w:hAnsi="宋体" w:eastAsia="宋体" w:cs="宋体"/>
          <w:b/>
          <w:sz w:val="21"/>
          <w:szCs w:val="21"/>
        </w:rPr>
      </w:pPr>
      <w:r>
        <w:rPr>
          <w:rFonts w:hint="eastAsia" w:ascii="宋体" w:hAnsi="宋体" w:eastAsia="宋体" w:cs="宋体"/>
          <w:b/>
          <w:sz w:val="21"/>
          <w:szCs w:val="21"/>
        </w:rPr>
        <w:t>七、违约责任</w:t>
      </w:r>
    </w:p>
    <w:p w14:paraId="6EF03825">
      <w:pPr>
        <w:ind w:firstLine="420" w:firstLineChars="200"/>
        <w:rPr>
          <w:rFonts w:hint="eastAsia" w:ascii="宋体" w:hAnsi="宋体" w:eastAsia="宋体" w:cs="宋体"/>
          <w:sz w:val="21"/>
          <w:szCs w:val="21"/>
        </w:rPr>
      </w:pPr>
      <w:r>
        <w:rPr>
          <w:rFonts w:hint="eastAsia" w:ascii="宋体" w:hAnsi="宋体" w:eastAsia="宋体" w:cs="宋体"/>
          <w:sz w:val="21"/>
          <w:szCs w:val="21"/>
        </w:rPr>
        <w:t>1、甲方的违约责任</w:t>
      </w:r>
    </w:p>
    <w:p w14:paraId="582AE4E6">
      <w:pPr>
        <w:ind w:firstLine="420" w:firstLineChars="200"/>
        <w:rPr>
          <w:rFonts w:hint="eastAsia" w:ascii="宋体" w:hAnsi="宋体" w:eastAsia="宋体" w:cs="宋体"/>
          <w:sz w:val="21"/>
          <w:szCs w:val="21"/>
        </w:rPr>
      </w:pPr>
      <w:r>
        <w:rPr>
          <w:rFonts w:hint="eastAsia" w:ascii="宋体" w:hAnsi="宋体" w:eastAsia="宋体" w:cs="宋体"/>
          <w:sz w:val="21"/>
          <w:szCs w:val="21"/>
        </w:rPr>
        <w:t>甲方无正当理由拒收标的物的，甲方应偿付合同总价的</w:t>
      </w:r>
      <w:r>
        <w:rPr>
          <w:rFonts w:hint="eastAsia" w:ascii="宋体" w:hAnsi="宋体" w:eastAsia="宋体" w:cs="宋体"/>
          <w:sz w:val="21"/>
          <w:szCs w:val="21"/>
          <w:u w:val="single"/>
        </w:rPr>
        <w:t xml:space="preserve"> 百分之三 </w:t>
      </w:r>
      <w:r>
        <w:rPr>
          <w:rFonts w:hint="eastAsia" w:ascii="宋体" w:hAnsi="宋体" w:eastAsia="宋体" w:cs="宋体"/>
          <w:sz w:val="21"/>
          <w:szCs w:val="21"/>
        </w:rPr>
        <w:t>的违约金；</w:t>
      </w:r>
    </w:p>
    <w:p w14:paraId="1C86877D">
      <w:pPr>
        <w:ind w:firstLine="420" w:firstLineChars="200"/>
        <w:rPr>
          <w:rFonts w:hint="eastAsia" w:ascii="宋体" w:hAnsi="宋体" w:eastAsia="宋体" w:cs="宋体"/>
          <w:sz w:val="21"/>
          <w:szCs w:val="21"/>
        </w:rPr>
      </w:pPr>
      <w:r>
        <w:rPr>
          <w:rFonts w:hint="eastAsia" w:ascii="宋体" w:hAnsi="宋体" w:eastAsia="宋体" w:cs="宋体"/>
          <w:sz w:val="21"/>
          <w:szCs w:val="21"/>
        </w:rPr>
        <w:t>2、乙方违约责任</w:t>
      </w:r>
    </w:p>
    <w:p w14:paraId="0F6E3216">
      <w:pPr>
        <w:ind w:firstLine="420" w:firstLineChars="200"/>
        <w:rPr>
          <w:rFonts w:hint="eastAsia" w:ascii="宋体" w:hAnsi="宋体" w:eastAsia="宋体" w:cs="宋体"/>
          <w:sz w:val="21"/>
          <w:szCs w:val="21"/>
        </w:rPr>
      </w:pPr>
      <w:r>
        <w:rPr>
          <w:rFonts w:hint="eastAsia" w:ascii="宋体" w:hAnsi="宋体" w:eastAsia="宋体" w:cs="宋体"/>
          <w:sz w:val="21"/>
          <w:szCs w:val="21"/>
        </w:rPr>
        <w:t>（1）乙方交付的标的物质量不符合合同约定的，乙方应向甲方支付合同总价的百分之</w:t>
      </w:r>
      <w:r>
        <w:rPr>
          <w:rFonts w:hint="eastAsia" w:ascii="宋体" w:hAnsi="宋体" w:eastAsia="宋体" w:cs="宋体"/>
          <w:sz w:val="21"/>
          <w:szCs w:val="21"/>
          <w:u w:val="single"/>
        </w:rPr>
        <w:t xml:space="preserve"> 三 </w:t>
      </w:r>
      <w:r>
        <w:rPr>
          <w:rFonts w:hint="eastAsia" w:ascii="宋体" w:hAnsi="宋体" w:eastAsia="宋体" w:cs="宋体"/>
          <w:sz w:val="21"/>
          <w:szCs w:val="21"/>
        </w:rPr>
        <w:t>的违约金，并须在合同约定的交货时间内更换合格的标的物给甲方，否则，视作乙方不能交付标的物而违约，按本条本款下述第“（2）”项规定由乙方支付违约赔偿金给甲方。</w:t>
      </w:r>
    </w:p>
    <w:p w14:paraId="35E013FF">
      <w:pPr>
        <w:ind w:firstLine="420" w:firstLineChars="200"/>
        <w:rPr>
          <w:rFonts w:hint="eastAsia" w:ascii="宋体" w:hAnsi="宋体" w:eastAsia="宋体" w:cs="宋体"/>
          <w:sz w:val="21"/>
          <w:szCs w:val="21"/>
        </w:rPr>
      </w:pPr>
      <w:r>
        <w:rPr>
          <w:rFonts w:hint="eastAsia" w:ascii="宋体" w:hAnsi="宋体" w:eastAsia="宋体" w:cs="宋体"/>
          <w:sz w:val="21"/>
          <w:szCs w:val="21"/>
        </w:rPr>
        <w:t>（2）乙方不能交付标的物或逾期交付标的物而违约的，除应及时交足标的物外，应向甲方支付逾期交货部分货款总额的万分之</w:t>
      </w:r>
      <w:r>
        <w:rPr>
          <w:rFonts w:hint="eastAsia" w:ascii="宋体" w:hAnsi="宋体" w:eastAsia="宋体" w:cs="宋体"/>
          <w:sz w:val="21"/>
          <w:szCs w:val="21"/>
          <w:u w:val="single"/>
        </w:rPr>
        <w:t xml:space="preserve">五 </w:t>
      </w:r>
      <w:r>
        <w:rPr>
          <w:rFonts w:hint="eastAsia" w:ascii="宋体" w:hAnsi="宋体" w:eastAsia="宋体" w:cs="宋体"/>
          <w:sz w:val="21"/>
          <w:szCs w:val="21"/>
        </w:rPr>
        <w:t>/日的违约金；逾期交货超过</w:t>
      </w:r>
      <w:r>
        <w:rPr>
          <w:rFonts w:hint="eastAsia" w:ascii="宋体" w:hAnsi="宋体" w:eastAsia="宋体" w:cs="宋体"/>
          <w:sz w:val="21"/>
          <w:szCs w:val="21"/>
          <w:u w:val="single"/>
        </w:rPr>
        <w:t xml:space="preserve"> 七 </w:t>
      </w:r>
      <w:r>
        <w:rPr>
          <w:rFonts w:hint="eastAsia" w:ascii="宋体" w:hAnsi="宋体" w:eastAsia="宋体" w:cs="宋体"/>
          <w:sz w:val="21"/>
          <w:szCs w:val="21"/>
        </w:rPr>
        <w:t>天，甲方有权解除合同，乙方则应按合同总价的百分之</w:t>
      </w:r>
      <w:r>
        <w:rPr>
          <w:rFonts w:hint="eastAsia" w:ascii="宋体" w:hAnsi="宋体" w:eastAsia="宋体" w:cs="宋体"/>
          <w:sz w:val="21"/>
          <w:szCs w:val="21"/>
          <w:u w:val="single"/>
        </w:rPr>
        <w:t xml:space="preserve"> 三 </w:t>
      </w:r>
      <w:r>
        <w:rPr>
          <w:rFonts w:hint="eastAsia" w:ascii="宋体" w:hAnsi="宋体" w:eastAsia="宋体" w:cs="宋体"/>
          <w:sz w:val="21"/>
          <w:szCs w:val="21"/>
        </w:rPr>
        <w:t>的款额向甲方支付赔偿金，并须全额退还甲方已经付给乙方的货款及自甲方付款至退款期间的利息（按同期银行贷款利率）。</w:t>
      </w:r>
    </w:p>
    <w:p w14:paraId="405258F7">
      <w:pPr>
        <w:ind w:firstLine="420" w:firstLineChars="200"/>
        <w:rPr>
          <w:rFonts w:hint="eastAsia" w:ascii="宋体" w:hAnsi="宋体" w:eastAsia="宋体" w:cs="宋体"/>
          <w:sz w:val="21"/>
          <w:szCs w:val="21"/>
        </w:rPr>
      </w:pPr>
      <w:r>
        <w:rPr>
          <w:rFonts w:hint="eastAsia" w:ascii="宋体" w:hAnsi="宋体" w:eastAsia="宋体" w:cs="宋体"/>
          <w:sz w:val="21"/>
          <w:szCs w:val="21"/>
        </w:rPr>
        <w:t>（3）乙方标的物经甲方送交具有法定资格条件的质量技术监督机构检测后，如检测结果认定标的物质量不符合本合同规定标准的，则视为乙方没有按时交货而违约，乙方须在</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eastAsia="zh-CN"/>
        </w:rPr>
        <w:t>三</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天内无条件更换合格标的物，如逾期不能更换合格的标的物，甲方有权终止本合同，乙方应另付合同总价的百分之</w:t>
      </w:r>
      <w:r>
        <w:rPr>
          <w:rFonts w:hint="eastAsia" w:ascii="宋体" w:hAnsi="宋体" w:eastAsia="宋体" w:cs="宋体"/>
          <w:sz w:val="21"/>
          <w:szCs w:val="21"/>
          <w:u w:val="single"/>
        </w:rPr>
        <w:t xml:space="preserve"> 三 </w:t>
      </w:r>
      <w:r>
        <w:rPr>
          <w:rFonts w:hint="eastAsia" w:ascii="宋体" w:hAnsi="宋体" w:eastAsia="宋体" w:cs="宋体"/>
          <w:sz w:val="21"/>
          <w:szCs w:val="21"/>
        </w:rPr>
        <w:t>的赔偿金给甲方。</w:t>
      </w:r>
    </w:p>
    <w:p w14:paraId="0BF78B47">
      <w:pPr>
        <w:ind w:firstLine="420" w:firstLineChars="200"/>
        <w:rPr>
          <w:rFonts w:hint="eastAsia" w:ascii="宋体" w:hAnsi="宋体" w:eastAsia="宋体" w:cs="宋体"/>
          <w:sz w:val="21"/>
          <w:szCs w:val="21"/>
        </w:rPr>
      </w:pPr>
      <w:r>
        <w:rPr>
          <w:rFonts w:hint="eastAsia" w:ascii="宋体" w:hAnsi="宋体" w:eastAsia="宋体" w:cs="宋体"/>
          <w:sz w:val="21"/>
          <w:szCs w:val="21"/>
        </w:rPr>
        <w:t>（4）乙方保证本合同标的物的权利无瑕疵，包括标的物所有权及知识产权等权利无瑕疵。如任何第三方经法院（或仲裁机构）裁决有权对上述标的物主张权利或国家机关依法对标的物进行没收查处的，乙方除应向甲方返还已收款项外，还应另按合同总价的百分之</w:t>
      </w:r>
      <w:r>
        <w:rPr>
          <w:rFonts w:hint="eastAsia" w:ascii="宋体" w:hAnsi="宋体" w:eastAsia="宋体" w:cs="宋体"/>
          <w:sz w:val="21"/>
          <w:szCs w:val="21"/>
          <w:u w:val="single"/>
        </w:rPr>
        <w:t>五</w:t>
      </w:r>
      <w:r>
        <w:rPr>
          <w:rFonts w:hint="eastAsia" w:ascii="宋体" w:hAnsi="宋体" w:eastAsia="宋体" w:cs="宋体"/>
          <w:sz w:val="21"/>
          <w:szCs w:val="21"/>
        </w:rPr>
        <w:t>向甲方支付违约金并赔偿因此给甲方造成的一切损失。</w:t>
      </w:r>
    </w:p>
    <w:p w14:paraId="3C3C4CA4">
      <w:pPr>
        <w:ind w:firstLine="420" w:firstLineChars="200"/>
        <w:rPr>
          <w:rFonts w:hint="eastAsia" w:ascii="宋体" w:hAnsi="宋体" w:eastAsia="宋体" w:cs="宋体"/>
          <w:sz w:val="21"/>
          <w:szCs w:val="21"/>
        </w:rPr>
      </w:pPr>
      <w:r>
        <w:rPr>
          <w:rFonts w:hint="eastAsia" w:ascii="宋体" w:hAnsi="宋体" w:eastAsia="宋体" w:cs="宋体"/>
          <w:sz w:val="21"/>
          <w:szCs w:val="21"/>
        </w:rPr>
        <w:t>（5）乙方偿付的违约金不足以弥补甲方损失的，还应按甲方损失尚未弥补的部分，支付赔偿金给甲方。</w:t>
      </w:r>
    </w:p>
    <w:p w14:paraId="78D25BC2">
      <w:pPr>
        <w:ind w:firstLine="422" w:firstLineChars="200"/>
        <w:rPr>
          <w:rFonts w:hint="eastAsia" w:ascii="宋体" w:hAnsi="宋体" w:eastAsia="宋体" w:cs="宋体"/>
          <w:b/>
          <w:sz w:val="21"/>
          <w:szCs w:val="21"/>
        </w:rPr>
      </w:pPr>
      <w:r>
        <w:rPr>
          <w:rFonts w:hint="eastAsia" w:ascii="宋体" w:hAnsi="宋体" w:eastAsia="宋体" w:cs="宋体"/>
          <w:b/>
          <w:sz w:val="21"/>
          <w:szCs w:val="21"/>
        </w:rPr>
        <w:t>八、争议解决方法</w:t>
      </w:r>
    </w:p>
    <w:p w14:paraId="70DE7D94">
      <w:pPr>
        <w:ind w:firstLine="420" w:firstLineChars="200"/>
        <w:rPr>
          <w:rFonts w:hint="eastAsia" w:ascii="宋体" w:hAnsi="宋体" w:eastAsia="宋体" w:cs="宋体"/>
          <w:sz w:val="21"/>
          <w:szCs w:val="21"/>
        </w:rPr>
      </w:pPr>
      <w:r>
        <w:rPr>
          <w:rFonts w:hint="eastAsia" w:ascii="宋体" w:hAnsi="宋体" w:eastAsia="宋体" w:cs="宋体"/>
          <w:sz w:val="21"/>
          <w:szCs w:val="21"/>
        </w:rPr>
        <w:t>1、因标的物的质量发生争议，由甲方委托法定的质量技术监督部门或监督部门指定的质量鉴定机构进行质量鉴定或检测，鉴定费由乙方承担。</w:t>
      </w:r>
    </w:p>
    <w:p w14:paraId="6FE73926">
      <w:pPr>
        <w:ind w:firstLine="420" w:firstLineChars="200"/>
        <w:rPr>
          <w:rFonts w:hint="eastAsia" w:ascii="宋体" w:hAnsi="宋体" w:eastAsia="宋体" w:cs="宋体"/>
          <w:sz w:val="21"/>
          <w:szCs w:val="21"/>
        </w:rPr>
      </w:pPr>
      <w:r>
        <w:rPr>
          <w:rFonts w:hint="eastAsia" w:ascii="宋体" w:hAnsi="宋体" w:eastAsia="宋体" w:cs="宋体"/>
          <w:sz w:val="21"/>
          <w:szCs w:val="21"/>
        </w:rPr>
        <w:t>2、因本合同发生争议，双方可协商或由有关部门调解解决；协商或调解不成的，应向甲方住所地有管辖权的人民法院提起诉讼。</w:t>
      </w:r>
    </w:p>
    <w:p w14:paraId="2315F47B">
      <w:pPr>
        <w:ind w:firstLine="422" w:firstLineChars="200"/>
        <w:rPr>
          <w:rFonts w:hint="eastAsia" w:ascii="宋体" w:hAnsi="宋体" w:eastAsia="宋体" w:cs="宋体"/>
          <w:b/>
          <w:sz w:val="21"/>
          <w:szCs w:val="21"/>
        </w:rPr>
      </w:pPr>
      <w:r>
        <w:rPr>
          <w:rFonts w:hint="eastAsia" w:ascii="宋体" w:hAnsi="宋体" w:eastAsia="宋体" w:cs="宋体"/>
          <w:b/>
          <w:sz w:val="21"/>
          <w:szCs w:val="21"/>
        </w:rPr>
        <w:t>九、其他</w:t>
      </w:r>
    </w:p>
    <w:p w14:paraId="7D99794B">
      <w:pPr>
        <w:ind w:firstLine="420" w:firstLineChars="200"/>
        <w:rPr>
          <w:rFonts w:hint="eastAsia" w:ascii="宋体" w:hAnsi="宋体" w:eastAsia="宋体" w:cs="宋体"/>
          <w:sz w:val="21"/>
          <w:szCs w:val="21"/>
        </w:rPr>
      </w:pPr>
      <w:r>
        <w:rPr>
          <w:rFonts w:hint="eastAsia" w:ascii="宋体" w:hAnsi="宋体" w:eastAsia="宋体" w:cs="宋体"/>
          <w:sz w:val="21"/>
          <w:szCs w:val="21"/>
        </w:rPr>
        <w:t>1、合同未尽事宜，由双方另行协商订立补充合同。</w:t>
      </w:r>
    </w:p>
    <w:p w14:paraId="3A30DD16">
      <w:pPr>
        <w:ind w:firstLine="420" w:firstLineChars="200"/>
        <w:rPr>
          <w:rFonts w:hint="eastAsia" w:ascii="宋体" w:hAnsi="宋体" w:eastAsia="宋体" w:cs="宋体"/>
          <w:sz w:val="21"/>
          <w:szCs w:val="21"/>
        </w:rPr>
      </w:pPr>
      <w:r>
        <w:rPr>
          <w:rFonts w:hint="eastAsia" w:ascii="宋体" w:hAnsi="宋体" w:eastAsia="宋体" w:cs="宋体"/>
          <w:sz w:val="21"/>
          <w:szCs w:val="21"/>
        </w:rPr>
        <w:t>2、本合同一式</w:t>
      </w:r>
      <w:r>
        <w:rPr>
          <w:rFonts w:hint="eastAsia" w:ascii="宋体" w:hAnsi="宋体" w:eastAsia="宋体" w:cs="宋体"/>
          <w:sz w:val="21"/>
          <w:szCs w:val="21"/>
          <w:lang w:eastAsia="zh-CN"/>
        </w:rPr>
        <w:t>四</w:t>
      </w:r>
      <w:r>
        <w:rPr>
          <w:rFonts w:hint="eastAsia" w:ascii="宋体" w:hAnsi="宋体" w:eastAsia="宋体" w:cs="宋体"/>
          <w:sz w:val="21"/>
          <w:szCs w:val="21"/>
        </w:rPr>
        <w:t>份，自双方签章之日起生效。甲方</w:t>
      </w:r>
      <w:r>
        <w:rPr>
          <w:rFonts w:hint="eastAsia" w:ascii="宋体" w:hAnsi="宋体" w:eastAsia="宋体" w:cs="宋体"/>
          <w:sz w:val="21"/>
          <w:szCs w:val="21"/>
          <w:lang w:eastAsia="zh-CN"/>
        </w:rPr>
        <w:t>三</w:t>
      </w:r>
      <w:r>
        <w:rPr>
          <w:rFonts w:hint="eastAsia" w:ascii="宋体" w:hAnsi="宋体" w:eastAsia="宋体" w:cs="宋体"/>
          <w:sz w:val="21"/>
          <w:szCs w:val="21"/>
        </w:rPr>
        <w:t>份，乙方一份。</w:t>
      </w:r>
    </w:p>
    <w:p w14:paraId="1F37D73C">
      <w:pPr>
        <w:ind w:firstLine="420" w:firstLineChars="200"/>
        <w:rPr>
          <w:rFonts w:hint="eastAsia" w:ascii="宋体" w:hAnsi="宋体" w:eastAsia="宋体" w:cs="宋体"/>
          <w:b/>
          <w:bCs/>
          <w:sz w:val="21"/>
          <w:szCs w:val="21"/>
        </w:rPr>
      </w:pPr>
      <w:r>
        <w:rPr>
          <w:rFonts w:hint="eastAsia" w:ascii="宋体" w:hAnsi="宋体" w:eastAsia="宋体" w:cs="宋体"/>
          <w:sz w:val="21"/>
          <w:szCs w:val="21"/>
        </w:rPr>
        <w:t>3、</w:t>
      </w:r>
      <w:r>
        <w:rPr>
          <w:rFonts w:hint="eastAsia" w:ascii="宋体" w:hAnsi="宋体" w:eastAsia="宋体" w:cs="宋体"/>
          <w:b/>
          <w:bCs/>
          <w:sz w:val="21"/>
          <w:szCs w:val="21"/>
        </w:rPr>
        <w:t>附件</w:t>
      </w: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中标通知书</w:t>
      </w:r>
    </w:p>
    <w:p w14:paraId="7A0D927E">
      <w:pPr>
        <w:ind w:firstLine="422" w:firstLineChars="200"/>
        <w:rPr>
          <w:rFonts w:hint="eastAsia" w:ascii="宋体" w:hAnsi="宋体" w:eastAsia="宋体" w:cs="宋体"/>
          <w:b/>
          <w:bCs/>
          <w:sz w:val="21"/>
          <w:szCs w:val="21"/>
        </w:rPr>
      </w:pPr>
      <w:r>
        <w:rPr>
          <w:rFonts w:hint="eastAsia" w:ascii="宋体" w:hAnsi="宋体" w:eastAsia="宋体" w:cs="宋体"/>
          <w:b/>
          <w:bCs/>
          <w:sz w:val="21"/>
          <w:szCs w:val="21"/>
          <w:lang w:val="en-US" w:eastAsia="zh-CN"/>
        </w:rPr>
        <w:t xml:space="preserve">   附件2：</w:t>
      </w:r>
      <w:r>
        <w:rPr>
          <w:rFonts w:hint="eastAsia" w:ascii="宋体" w:hAnsi="宋体" w:eastAsia="宋体" w:cs="宋体"/>
          <w:b/>
          <w:bCs/>
          <w:sz w:val="21"/>
          <w:szCs w:val="21"/>
        </w:rPr>
        <w:t>配置清单</w:t>
      </w:r>
    </w:p>
    <w:p w14:paraId="0EF95AAE">
      <w:pPr>
        <w:ind w:firstLine="422" w:firstLineChars="200"/>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 xml:space="preserve">   附件3：</w:t>
      </w:r>
      <w:r>
        <w:rPr>
          <w:rFonts w:hint="eastAsia" w:ascii="宋体" w:hAnsi="宋体" w:eastAsia="宋体" w:cs="宋体"/>
          <w:b/>
          <w:bCs/>
          <w:sz w:val="21"/>
          <w:szCs w:val="21"/>
          <w:lang w:eastAsia="zh-CN"/>
        </w:rPr>
        <w:t>售后服务承诺书</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83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1" w:type="dxa"/>
            <w:tcBorders>
              <w:top w:val="nil"/>
              <w:left w:val="nil"/>
              <w:bottom w:val="nil"/>
              <w:right w:val="nil"/>
            </w:tcBorders>
            <w:noWrap w:val="0"/>
            <w:vAlign w:val="top"/>
          </w:tcPr>
          <w:p w14:paraId="018A32C1">
            <w:pPr>
              <w:jc w:val="left"/>
              <w:rPr>
                <w:rFonts w:hint="eastAsia" w:ascii="宋体" w:hAnsi="宋体" w:eastAsia="宋体" w:cs="宋体"/>
                <w:b/>
                <w:bCs/>
                <w:sz w:val="21"/>
                <w:szCs w:val="21"/>
                <w:vertAlign w:val="baseline"/>
                <w:lang w:eastAsia="zh-CN"/>
              </w:rPr>
            </w:pPr>
            <w:r>
              <w:rPr>
                <w:rFonts w:hint="eastAsia" w:ascii="宋体" w:hAnsi="宋体" w:eastAsia="宋体" w:cs="宋体"/>
                <w:sz w:val="21"/>
                <w:szCs w:val="21"/>
              </w:rPr>
              <w:t>甲    方：（盖章）</w:t>
            </w:r>
          </w:p>
        </w:tc>
        <w:tc>
          <w:tcPr>
            <w:tcW w:w="4261" w:type="dxa"/>
            <w:tcBorders>
              <w:top w:val="nil"/>
              <w:left w:val="nil"/>
              <w:bottom w:val="nil"/>
              <w:right w:val="nil"/>
            </w:tcBorders>
            <w:noWrap w:val="0"/>
            <w:vAlign w:val="top"/>
          </w:tcPr>
          <w:p w14:paraId="532A4B5D">
            <w:pPr>
              <w:jc w:val="left"/>
              <w:rPr>
                <w:rFonts w:hint="eastAsia" w:ascii="宋体" w:hAnsi="宋体" w:eastAsia="宋体" w:cs="宋体"/>
                <w:sz w:val="21"/>
                <w:szCs w:val="21"/>
              </w:rPr>
            </w:pPr>
            <w:r>
              <w:rPr>
                <w:rFonts w:hint="eastAsia" w:ascii="宋体" w:hAnsi="宋体" w:eastAsia="宋体" w:cs="宋体"/>
                <w:sz w:val="21"/>
                <w:szCs w:val="21"/>
              </w:rPr>
              <w:t>乙    方：（盖章）</w:t>
            </w:r>
          </w:p>
          <w:p w14:paraId="0BBF5617">
            <w:pPr>
              <w:jc w:val="left"/>
              <w:rPr>
                <w:rFonts w:hint="eastAsia" w:ascii="宋体" w:hAnsi="宋体" w:eastAsia="宋体" w:cs="宋体"/>
                <w:b/>
                <w:bCs/>
                <w:sz w:val="21"/>
                <w:szCs w:val="21"/>
                <w:vertAlign w:val="baseline"/>
                <w:lang w:eastAsia="zh-CN"/>
              </w:rPr>
            </w:pPr>
          </w:p>
        </w:tc>
      </w:tr>
      <w:tr w14:paraId="6501C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trPr>
        <w:tc>
          <w:tcPr>
            <w:tcW w:w="4261" w:type="dxa"/>
            <w:tcBorders>
              <w:top w:val="nil"/>
              <w:left w:val="nil"/>
              <w:bottom w:val="nil"/>
              <w:right w:val="nil"/>
            </w:tcBorders>
            <w:noWrap w:val="0"/>
            <w:vAlign w:val="center"/>
          </w:tcPr>
          <w:p w14:paraId="646FC1D3">
            <w:pPr>
              <w:jc w:val="both"/>
              <w:rPr>
                <w:rFonts w:hint="eastAsia" w:ascii="宋体" w:hAnsi="宋体" w:eastAsia="宋体" w:cs="宋体"/>
                <w:b/>
                <w:bCs/>
                <w:sz w:val="21"/>
                <w:szCs w:val="21"/>
                <w:vertAlign w:val="baseline"/>
                <w:lang w:val="en-US" w:eastAsia="zh-CN"/>
              </w:rPr>
            </w:pPr>
            <w:r>
              <w:rPr>
                <w:rFonts w:hint="eastAsia" w:ascii="宋体" w:hAnsi="宋体" w:eastAsia="宋体" w:cs="宋体"/>
                <w:sz w:val="21"/>
                <w:szCs w:val="21"/>
              </w:rPr>
              <w:t>授权代表：</w:t>
            </w:r>
            <w:r>
              <w:rPr>
                <w:rFonts w:hint="eastAsia" w:ascii="宋体" w:hAnsi="宋体" w:eastAsia="宋体" w:cs="宋体"/>
                <w:sz w:val="21"/>
                <w:szCs w:val="21"/>
                <w:lang w:val="en-US" w:eastAsia="zh-CN"/>
              </w:rPr>
              <w:t xml:space="preserve">         </w:t>
            </w:r>
          </w:p>
        </w:tc>
        <w:tc>
          <w:tcPr>
            <w:tcW w:w="4261" w:type="dxa"/>
            <w:tcBorders>
              <w:top w:val="nil"/>
              <w:left w:val="nil"/>
              <w:bottom w:val="nil"/>
              <w:right w:val="nil"/>
            </w:tcBorders>
            <w:noWrap w:val="0"/>
            <w:vAlign w:val="top"/>
          </w:tcPr>
          <w:p w14:paraId="6CB3B8E8">
            <w:pPr>
              <w:jc w:val="left"/>
              <w:rPr>
                <w:rFonts w:hint="eastAsia" w:ascii="宋体" w:hAnsi="宋体" w:eastAsia="宋体" w:cs="宋体"/>
                <w:b/>
                <w:bCs/>
                <w:sz w:val="21"/>
                <w:szCs w:val="21"/>
                <w:vertAlign w:val="baseline"/>
                <w:lang w:eastAsia="zh-CN"/>
              </w:rPr>
            </w:pPr>
            <w:r>
              <w:rPr>
                <w:rFonts w:hint="eastAsia" w:ascii="宋体" w:hAnsi="宋体" w:eastAsia="宋体" w:cs="宋体"/>
                <w:sz w:val="21"/>
                <w:szCs w:val="21"/>
              </w:rPr>
              <w:t>法定代表人：</w:t>
            </w:r>
          </w:p>
        </w:tc>
      </w:tr>
      <w:tr w14:paraId="52B8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4261" w:type="dxa"/>
            <w:tcBorders>
              <w:top w:val="nil"/>
              <w:left w:val="nil"/>
              <w:bottom w:val="nil"/>
              <w:right w:val="nil"/>
            </w:tcBorders>
            <w:noWrap w:val="0"/>
            <w:vAlign w:val="top"/>
          </w:tcPr>
          <w:p w14:paraId="09781775">
            <w:pPr>
              <w:jc w:val="left"/>
              <w:rPr>
                <w:rFonts w:hint="eastAsia" w:ascii="宋体" w:hAnsi="宋体" w:eastAsia="宋体" w:cs="宋体"/>
                <w:b/>
                <w:bCs/>
                <w:sz w:val="21"/>
                <w:szCs w:val="21"/>
                <w:vertAlign w:val="baseline"/>
                <w:lang w:eastAsia="zh-CN"/>
              </w:rPr>
            </w:pPr>
          </w:p>
        </w:tc>
        <w:tc>
          <w:tcPr>
            <w:tcW w:w="4261" w:type="dxa"/>
            <w:tcBorders>
              <w:top w:val="nil"/>
              <w:left w:val="nil"/>
              <w:bottom w:val="nil"/>
              <w:right w:val="nil"/>
            </w:tcBorders>
            <w:noWrap w:val="0"/>
            <w:vAlign w:val="top"/>
          </w:tcPr>
          <w:p w14:paraId="68F20CF1">
            <w:pPr>
              <w:jc w:val="left"/>
              <w:rPr>
                <w:rFonts w:hint="eastAsia" w:ascii="宋体" w:hAnsi="宋体" w:eastAsia="宋体" w:cs="宋体"/>
                <w:b/>
                <w:bCs/>
                <w:sz w:val="21"/>
                <w:szCs w:val="21"/>
                <w:vertAlign w:val="baseline"/>
                <w:lang w:eastAsia="zh-CN"/>
              </w:rPr>
            </w:pPr>
            <w:r>
              <w:rPr>
                <w:rFonts w:hint="eastAsia" w:ascii="宋体" w:hAnsi="宋体" w:eastAsia="宋体" w:cs="宋体"/>
                <w:sz w:val="21"/>
                <w:szCs w:val="21"/>
              </w:rPr>
              <w:t>授权代表</w:t>
            </w:r>
            <w:r>
              <w:rPr>
                <w:rFonts w:hint="eastAsia" w:ascii="宋体" w:hAnsi="宋体" w:eastAsia="宋体" w:cs="宋体"/>
                <w:sz w:val="21"/>
                <w:szCs w:val="21"/>
                <w:lang w:eastAsia="zh-CN"/>
              </w:rPr>
              <w:t>人：</w:t>
            </w:r>
          </w:p>
        </w:tc>
      </w:tr>
      <w:tr w14:paraId="6A26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1" w:type="dxa"/>
            <w:tcBorders>
              <w:top w:val="nil"/>
              <w:left w:val="nil"/>
              <w:bottom w:val="nil"/>
              <w:right w:val="nil"/>
            </w:tcBorders>
            <w:noWrap w:val="0"/>
            <w:vAlign w:val="top"/>
          </w:tcPr>
          <w:p w14:paraId="1D9D9A59">
            <w:pPr>
              <w:jc w:val="left"/>
              <w:rPr>
                <w:rFonts w:hint="eastAsia" w:ascii="宋体" w:hAnsi="宋体" w:eastAsia="宋体" w:cs="宋体"/>
                <w:b/>
                <w:bCs/>
                <w:sz w:val="21"/>
                <w:szCs w:val="21"/>
                <w:vertAlign w:val="baseline"/>
                <w:lang w:eastAsia="zh-CN"/>
              </w:rPr>
            </w:pPr>
          </w:p>
        </w:tc>
        <w:tc>
          <w:tcPr>
            <w:tcW w:w="4261" w:type="dxa"/>
            <w:tcBorders>
              <w:top w:val="nil"/>
              <w:left w:val="nil"/>
              <w:bottom w:val="nil"/>
              <w:right w:val="nil"/>
            </w:tcBorders>
            <w:noWrap w:val="0"/>
            <w:vAlign w:val="top"/>
          </w:tcPr>
          <w:p w14:paraId="4EA2B6FF">
            <w:pPr>
              <w:jc w:val="left"/>
              <w:rPr>
                <w:rFonts w:hint="eastAsia" w:ascii="宋体" w:hAnsi="宋体" w:eastAsia="宋体" w:cs="宋体"/>
                <w:b/>
                <w:bCs/>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纳税人识别号：此项必填</w:t>
            </w:r>
          </w:p>
        </w:tc>
      </w:tr>
      <w:tr w14:paraId="7F14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1" w:type="dxa"/>
            <w:tcBorders>
              <w:top w:val="nil"/>
              <w:left w:val="nil"/>
              <w:bottom w:val="nil"/>
              <w:right w:val="nil"/>
            </w:tcBorders>
            <w:noWrap w:val="0"/>
            <w:vAlign w:val="top"/>
          </w:tcPr>
          <w:p w14:paraId="0910F7A2">
            <w:pPr>
              <w:jc w:val="left"/>
              <w:rPr>
                <w:rFonts w:hint="eastAsia" w:ascii="宋体" w:hAnsi="宋体" w:eastAsia="宋体" w:cs="宋体"/>
                <w:b/>
                <w:bCs/>
                <w:sz w:val="21"/>
                <w:szCs w:val="21"/>
                <w:vertAlign w:val="baseline"/>
                <w:lang w:eastAsia="zh-CN"/>
              </w:rPr>
            </w:pPr>
            <w:r>
              <w:rPr>
                <w:rFonts w:hint="eastAsia" w:ascii="宋体" w:hAnsi="宋体" w:eastAsia="宋体" w:cs="宋体"/>
                <w:sz w:val="21"/>
                <w:szCs w:val="21"/>
              </w:rPr>
              <w:t>地    址：</w:t>
            </w:r>
          </w:p>
        </w:tc>
        <w:tc>
          <w:tcPr>
            <w:tcW w:w="4261" w:type="dxa"/>
            <w:tcBorders>
              <w:top w:val="nil"/>
              <w:left w:val="nil"/>
              <w:bottom w:val="nil"/>
              <w:right w:val="nil"/>
            </w:tcBorders>
            <w:noWrap w:val="0"/>
            <w:vAlign w:val="top"/>
          </w:tcPr>
          <w:p w14:paraId="6339CAAC">
            <w:pPr>
              <w:jc w:val="left"/>
              <w:rPr>
                <w:rFonts w:hint="eastAsia" w:ascii="宋体" w:hAnsi="宋体" w:eastAsia="宋体" w:cs="宋体"/>
                <w:b/>
                <w:bCs/>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    址：</w:t>
            </w:r>
          </w:p>
        </w:tc>
      </w:tr>
      <w:tr w14:paraId="699F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1" w:type="dxa"/>
            <w:tcBorders>
              <w:top w:val="nil"/>
              <w:left w:val="nil"/>
              <w:bottom w:val="nil"/>
              <w:right w:val="nil"/>
            </w:tcBorders>
            <w:noWrap w:val="0"/>
            <w:vAlign w:val="top"/>
          </w:tcPr>
          <w:p w14:paraId="14DBA29D">
            <w:pPr>
              <w:jc w:val="left"/>
              <w:rPr>
                <w:rFonts w:hint="eastAsia" w:ascii="宋体" w:hAnsi="宋体" w:eastAsia="宋体" w:cs="宋体"/>
                <w:b/>
                <w:bCs/>
                <w:sz w:val="21"/>
                <w:szCs w:val="21"/>
                <w:vertAlign w:val="baseline"/>
                <w:lang w:eastAsia="zh-CN"/>
              </w:rPr>
            </w:pPr>
            <w:r>
              <w:rPr>
                <w:rFonts w:hint="eastAsia" w:ascii="宋体" w:hAnsi="宋体" w:eastAsia="宋体" w:cs="宋体"/>
                <w:sz w:val="21"/>
                <w:szCs w:val="21"/>
              </w:rPr>
              <w:t>开户银行：</w:t>
            </w:r>
          </w:p>
        </w:tc>
        <w:tc>
          <w:tcPr>
            <w:tcW w:w="4261" w:type="dxa"/>
            <w:tcBorders>
              <w:top w:val="nil"/>
              <w:left w:val="nil"/>
              <w:bottom w:val="nil"/>
              <w:right w:val="nil"/>
            </w:tcBorders>
            <w:noWrap w:val="0"/>
            <w:vAlign w:val="top"/>
          </w:tcPr>
          <w:p w14:paraId="5F2C9B7D">
            <w:pPr>
              <w:jc w:val="left"/>
              <w:rPr>
                <w:rFonts w:hint="eastAsia" w:ascii="宋体" w:hAnsi="宋体" w:eastAsia="宋体" w:cs="宋体"/>
                <w:b/>
                <w:bCs/>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开户银行： </w:t>
            </w:r>
          </w:p>
        </w:tc>
      </w:tr>
      <w:tr w14:paraId="18AC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1" w:type="dxa"/>
            <w:tcBorders>
              <w:top w:val="nil"/>
              <w:left w:val="nil"/>
              <w:bottom w:val="nil"/>
              <w:right w:val="nil"/>
            </w:tcBorders>
            <w:noWrap w:val="0"/>
            <w:vAlign w:val="top"/>
          </w:tcPr>
          <w:p w14:paraId="1AEABF46">
            <w:pPr>
              <w:jc w:val="left"/>
              <w:rPr>
                <w:rFonts w:hint="eastAsia" w:ascii="宋体" w:hAnsi="宋体" w:eastAsia="宋体" w:cs="宋体"/>
                <w:b/>
                <w:bCs/>
                <w:sz w:val="21"/>
                <w:szCs w:val="21"/>
                <w:vertAlign w:val="baseline"/>
                <w:lang w:eastAsia="zh-CN"/>
              </w:rPr>
            </w:pPr>
            <w:r>
              <w:rPr>
                <w:rFonts w:hint="eastAsia" w:ascii="宋体" w:hAnsi="宋体" w:eastAsia="宋体" w:cs="宋体"/>
                <w:sz w:val="21"/>
                <w:szCs w:val="21"/>
              </w:rPr>
              <w:t>账    号：</w:t>
            </w:r>
          </w:p>
        </w:tc>
        <w:tc>
          <w:tcPr>
            <w:tcW w:w="4261" w:type="dxa"/>
            <w:tcBorders>
              <w:top w:val="nil"/>
              <w:left w:val="nil"/>
              <w:bottom w:val="nil"/>
              <w:right w:val="nil"/>
            </w:tcBorders>
            <w:noWrap w:val="0"/>
            <w:vAlign w:val="top"/>
          </w:tcPr>
          <w:p w14:paraId="15F5D108">
            <w:pPr>
              <w:jc w:val="left"/>
              <w:rPr>
                <w:rFonts w:hint="eastAsia" w:ascii="宋体" w:hAnsi="宋体" w:eastAsia="宋体" w:cs="宋体"/>
                <w:b/>
                <w:bCs/>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账    号：</w:t>
            </w:r>
          </w:p>
        </w:tc>
      </w:tr>
      <w:tr w14:paraId="568AF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261" w:type="dxa"/>
            <w:tcBorders>
              <w:top w:val="nil"/>
              <w:left w:val="nil"/>
              <w:bottom w:val="nil"/>
              <w:right w:val="nil"/>
            </w:tcBorders>
            <w:noWrap w:val="0"/>
            <w:vAlign w:val="top"/>
          </w:tcPr>
          <w:p w14:paraId="6928C820">
            <w:pPr>
              <w:jc w:val="left"/>
              <w:rPr>
                <w:rFonts w:hint="eastAsia" w:ascii="宋体" w:hAnsi="宋体" w:eastAsia="宋体" w:cs="宋体"/>
                <w:b/>
                <w:bCs/>
                <w:sz w:val="21"/>
                <w:szCs w:val="21"/>
                <w:vertAlign w:val="baseline"/>
                <w:lang w:eastAsia="zh-CN"/>
              </w:rPr>
            </w:pPr>
            <w:r>
              <w:rPr>
                <w:rFonts w:hint="eastAsia" w:ascii="宋体" w:hAnsi="宋体" w:eastAsia="宋体" w:cs="宋体"/>
                <w:sz w:val="21"/>
                <w:szCs w:val="21"/>
              </w:rPr>
              <w:t>电    话：</w:t>
            </w:r>
          </w:p>
        </w:tc>
        <w:tc>
          <w:tcPr>
            <w:tcW w:w="4261" w:type="dxa"/>
            <w:tcBorders>
              <w:top w:val="nil"/>
              <w:left w:val="nil"/>
              <w:bottom w:val="nil"/>
              <w:right w:val="nil"/>
            </w:tcBorders>
            <w:noWrap w:val="0"/>
            <w:vAlign w:val="top"/>
          </w:tcPr>
          <w:p w14:paraId="1A32DAB4">
            <w:pPr>
              <w:jc w:val="left"/>
              <w:rPr>
                <w:rFonts w:hint="eastAsia" w:ascii="宋体" w:hAnsi="宋体" w:eastAsia="宋体" w:cs="宋体"/>
                <w:b/>
                <w:bCs/>
                <w:color w:val="000000" w:themeColor="text1"/>
                <w:sz w:val="21"/>
                <w:szCs w:val="21"/>
                <w:vertAlign w:val="baseline"/>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电    话：</w:t>
            </w:r>
            <w:r>
              <w:rPr>
                <w:rFonts w:hint="eastAsia" w:ascii="宋体" w:hAnsi="宋体" w:eastAsia="宋体" w:cs="宋体"/>
                <w:color w:val="000000" w:themeColor="text1"/>
                <w:sz w:val="21"/>
                <w:szCs w:val="21"/>
                <w:lang w:val="en-US" w:eastAsia="zh-CN"/>
                <w14:textFill>
                  <w14:solidFill>
                    <w14:schemeClr w14:val="tx1"/>
                  </w14:solidFill>
                </w14:textFill>
              </w:rPr>
              <w:t>此项必填</w:t>
            </w:r>
          </w:p>
        </w:tc>
      </w:tr>
    </w:tbl>
    <w:p w14:paraId="5593FB62">
      <w:pPr>
        <w:rPr>
          <w:rFonts w:hint="eastAsia" w:ascii="宋体" w:hAnsi="宋体" w:eastAsia="宋体" w:cs="宋体"/>
          <w:b/>
          <w:bCs/>
          <w:sz w:val="21"/>
          <w:szCs w:val="21"/>
          <w:lang w:val="en-US" w:eastAsia="zh-CN"/>
        </w:rPr>
      </w:pPr>
    </w:p>
    <w:p w14:paraId="0D28759A">
      <w:pPr>
        <w:jc w:val="left"/>
        <w:rPr>
          <w:rFonts w:hint="eastAsia" w:ascii="宋体" w:hAnsi="宋体" w:eastAsia="宋体" w:cs="宋体"/>
          <w:sz w:val="21"/>
          <w:szCs w:val="21"/>
        </w:rPr>
      </w:pPr>
      <w:r>
        <w:rPr>
          <w:rFonts w:hint="eastAsia" w:ascii="宋体" w:hAnsi="宋体" w:eastAsia="宋体" w:cs="宋体"/>
          <w:sz w:val="21"/>
          <w:szCs w:val="21"/>
        </w:rPr>
        <w:t xml:space="preserve">签约日期：      年     月     日          </w:t>
      </w:r>
    </w:p>
    <w:p w14:paraId="0CF2816E">
      <w:pPr>
        <w:jc w:val="left"/>
        <w:rPr>
          <w:rFonts w:hint="eastAsia" w:ascii="宋体" w:hAnsi="宋体" w:eastAsia="宋体" w:cs="宋体"/>
          <w:sz w:val="21"/>
          <w:szCs w:val="21"/>
        </w:rPr>
      </w:pPr>
    </w:p>
    <w:p w14:paraId="1F18C571">
      <w:pPr>
        <w:jc w:val="left"/>
        <w:rPr>
          <w:rFonts w:hint="eastAsia" w:ascii="宋体" w:hAnsi="宋体" w:eastAsia="宋体" w:cs="宋体"/>
          <w:spacing w:val="-4"/>
          <w:kern w:val="0"/>
        </w:rPr>
      </w:pPr>
      <w:r>
        <w:rPr>
          <w:rFonts w:hint="eastAsia" w:ascii="宋体" w:hAnsi="宋体" w:eastAsia="宋体" w:cs="宋体"/>
          <w:sz w:val="21"/>
          <w:szCs w:val="21"/>
          <w:lang w:val="en-US" w:eastAsia="zh-CN"/>
        </w:rPr>
        <w:t>医学装备部合同审核人：</w:t>
      </w:r>
      <w:r>
        <w:rPr>
          <w:rFonts w:hint="eastAsia" w:ascii="宋体" w:hAnsi="宋体" w:eastAsia="宋体" w:cs="宋体"/>
          <w:spacing w:val="-4"/>
          <w:kern w:val="0"/>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p>
    <w:p w14:paraId="16246FDB">
      <w:pPr>
        <w:spacing w:line="600" w:lineRule="exact"/>
        <w:jc w:val="center"/>
        <w:rPr>
          <w:rFonts w:hint="eastAsia" w:ascii="宋体" w:hAnsi="宋体" w:eastAsia="宋体" w:cs="宋体"/>
          <w:bCs/>
          <w:sz w:val="44"/>
          <w:szCs w:val="44"/>
        </w:rPr>
        <w:sectPr>
          <w:footerReference r:id="rId5" w:type="default"/>
          <w:pgSz w:w="11906" w:h="16838"/>
          <w:pgMar w:top="1417" w:right="1474" w:bottom="1417" w:left="1474" w:header="851" w:footer="624" w:gutter="0"/>
          <w:pgNumType w:fmt="decimal"/>
          <w:cols w:space="720" w:num="1"/>
          <w:docGrid w:type="lines" w:linePitch="319" w:charSpace="0"/>
        </w:sectPr>
      </w:pPr>
    </w:p>
    <w:p w14:paraId="353281FE">
      <w:pPr>
        <w:spacing w:line="600" w:lineRule="exact"/>
        <w:jc w:val="center"/>
        <w:rPr>
          <w:rFonts w:hint="eastAsia" w:ascii="宋体" w:hAnsi="宋体" w:eastAsia="宋体" w:cs="宋体"/>
          <w:bCs/>
          <w:sz w:val="44"/>
          <w:szCs w:val="44"/>
        </w:rPr>
      </w:pPr>
      <w:r>
        <w:rPr>
          <w:rFonts w:hint="eastAsia" w:ascii="宋体" w:hAnsi="宋体" w:eastAsia="宋体" w:cs="宋体"/>
          <w:bCs/>
          <w:sz w:val="44"/>
          <w:szCs w:val="44"/>
        </w:rPr>
        <w:t>安全生产承诺书</w:t>
      </w:r>
    </w:p>
    <w:p w14:paraId="0F25144E">
      <w:pPr>
        <w:spacing w:line="240" w:lineRule="auto"/>
        <w:rPr>
          <w:rFonts w:hint="eastAsia" w:ascii="宋体" w:hAnsi="宋体" w:eastAsia="宋体" w:cs="宋体"/>
          <w:sz w:val="21"/>
          <w:szCs w:val="21"/>
        </w:rPr>
      </w:pPr>
      <w:r>
        <w:rPr>
          <w:rFonts w:hint="eastAsia" w:ascii="宋体" w:hAnsi="宋体" w:eastAsia="宋体" w:cs="宋体"/>
          <w:sz w:val="21"/>
          <w:szCs w:val="21"/>
        </w:rPr>
        <w:t>致驻马店市中心医院：</w:t>
      </w:r>
    </w:p>
    <w:p w14:paraId="3E8D8D84">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切实做好安全生产和消防工作，防止和减少各类安全事故发生，维护良好的劳动关系，依据《中华人民共和国安全生产法》等相关法律法规，在与贵院签订原生产、施工、外包、外租、经营合同的基础上，我单位郑重作出如下安全生产承诺：</w:t>
      </w:r>
    </w:p>
    <w:p w14:paraId="01E6BA43">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一、遵守法规制度</w:t>
      </w:r>
    </w:p>
    <w:p w14:paraId="0EAA1E80">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严格遵守国家有关安全生产的法律、法规、安全标准以及贵院的安全管理制度和操作规范，杜绝违规指挥、操作和违反劳动纪律的行为。</w:t>
      </w:r>
    </w:p>
    <w:p w14:paraId="62410892">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结合自身实际，制定并切实实施各项安全管理制度和操作规程，同时将相关制度和规程报贵院备案。积极接受贵院的监督检查，对检查中发现的安全隐患，立即举一反三，主动整改到位。</w:t>
      </w:r>
    </w:p>
    <w:p w14:paraId="31488AA6">
      <w:pPr>
        <w:numPr>
          <w:ilvl w:val="0"/>
          <w:numId w:val="2"/>
        </w:num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人员安全管理</w:t>
      </w:r>
    </w:p>
    <w:p w14:paraId="2A1750FF">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向现场作业人员如实告知作业场所和工作岗位存在的危险危害因素、防范措施以及事故应急措施。</w:t>
      </w:r>
    </w:p>
    <w:p w14:paraId="23AD885C">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确保作业人员正确使用贵院提供的设施、设备、工具等，并定期进行检查，坚决杜绝使用存在安全隐患的设施、设备、工具。</w:t>
      </w:r>
    </w:p>
    <w:p w14:paraId="2F87CF35">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做好预防职业危害的防范措施，为现场作业人员配备符合国家标准的劳动保护用品，并监督、教育作业人员正确使用和佩戴。</w:t>
      </w:r>
    </w:p>
    <w:p w14:paraId="6693DEE5">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配备具有资质的安全生产管理人员，强化现场安全管理。严禁强令人员冒险作业和疲劳作业，杜绝违章指挥行为。每周至少进行一次安全隐患排查整治，在施工作业前、节假日、重大活动等关键节点，也开展相应排查，并及时告知贵院联合整改。</w:t>
      </w:r>
    </w:p>
    <w:p w14:paraId="6053155A">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对作业人员进行全面的安全生产教育和培训，保证未经安全生产教育和培训合格的作业人员不安排上岗作业。特种作业人员必须持证上岗，并将相关证件报贵院备案。</w:t>
      </w:r>
    </w:p>
    <w:p w14:paraId="688C6969">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向贵院报备公司营业执照、所有作业人员花名册、特种作业人员资格证。若中途人员有变动，及时向贵院报告备案。</w:t>
      </w:r>
    </w:p>
    <w:p w14:paraId="2EF49326">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派遣人员入场前安排进行体检，体检合格后将结果报贵院备案。同时，确保派遣人员全部参加工伤保险，并向贵院提供相应证明文件。</w:t>
      </w:r>
    </w:p>
    <w:p w14:paraId="0B4BBEE4">
      <w:pPr>
        <w:spacing w:line="240" w:lineRule="auto"/>
        <w:rPr>
          <w:rFonts w:hint="eastAsia" w:ascii="宋体" w:hAnsi="宋体" w:eastAsia="宋体" w:cs="宋体"/>
          <w:sz w:val="21"/>
          <w:szCs w:val="21"/>
        </w:rPr>
      </w:pPr>
      <w:r>
        <w:rPr>
          <w:rFonts w:hint="eastAsia" w:ascii="宋体" w:hAnsi="宋体" w:eastAsia="宋体" w:cs="宋体"/>
          <w:sz w:val="21"/>
          <w:szCs w:val="21"/>
        </w:rPr>
        <w:t xml:space="preserve">   三、设施设备管理</w:t>
      </w:r>
    </w:p>
    <w:p w14:paraId="716E0DA8">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自行配备的设施、设备、工具等严格符合国家安全标准。</w:t>
      </w:r>
    </w:p>
    <w:p w14:paraId="1AE4AAC4">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在有危险危害因素的作业区域和有关设施、设备上，设置明显的安全警示标志。</w:t>
      </w:r>
    </w:p>
    <w:p w14:paraId="0510B52C">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对设施设备进行定期维护保养和检测，确保其始终处于良好运行状态，杜绝设备带病作业。</w:t>
      </w:r>
    </w:p>
    <w:p w14:paraId="51C128C3">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四、环境与作业管理</w:t>
      </w:r>
    </w:p>
    <w:p w14:paraId="02337F0B">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按照贵院要求保持作业区域的环境卫生，做到现场环境整洁，符合安全、文明生产要求，及时设置明显的警示标识，防止人员绊倒、滑倒、砸伤等事故的发生。</w:t>
      </w:r>
    </w:p>
    <w:p w14:paraId="27ADEECC">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涉及动火、高处、有限空间等危险作业时，严格遵循危险作业审批流程，落实各项安全防护措施，在确保安全的前提下进行作业。</w:t>
      </w:r>
    </w:p>
    <w:p w14:paraId="7BF041A0">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在生产作业过程中若存在交叉作业的情况，无条件服从贵院的统一协调、指挥。</w:t>
      </w:r>
    </w:p>
    <w:p w14:paraId="409604D1">
      <w:pPr>
        <w:numPr>
          <w:ilvl w:val="0"/>
          <w:numId w:val="3"/>
        </w:num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应急处置与报告</w:t>
      </w:r>
    </w:p>
    <w:p w14:paraId="274EA1AF">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建立安全生产台账，对安全生产工作进行详细记录。在协议履行过程中，一旦发现任何安全生产问题，立即处理，并及时告知贵院，同时做好书面记录。</w:t>
      </w:r>
    </w:p>
    <w:p w14:paraId="225C5882">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一旦在项目实施过程中发现存在危险因素或者发生安全事故，立即停止与该项工程相关的所有施工活动，防止事故扩大。同时，迅速采取紧急救援措施，配合贵院对伤员进行及时救治，避免二次伤害。</w:t>
      </w:r>
    </w:p>
    <w:p w14:paraId="5653C287">
      <w:pPr>
        <w:spacing w:line="240" w:lineRule="auto"/>
        <w:rPr>
          <w:rFonts w:hint="eastAsia" w:ascii="宋体" w:hAnsi="宋体" w:eastAsia="宋体" w:cs="宋体"/>
          <w:sz w:val="21"/>
          <w:szCs w:val="21"/>
        </w:rPr>
      </w:pPr>
      <w:r>
        <w:rPr>
          <w:rFonts w:hint="eastAsia" w:ascii="宋体" w:hAnsi="宋体" w:eastAsia="宋体" w:cs="宋体"/>
          <w:sz w:val="21"/>
          <w:szCs w:val="21"/>
        </w:rPr>
        <w:t>主动向本地有关部门报备事故情况，并积极配合有关部门的调查和处理工作。</w:t>
      </w:r>
    </w:p>
    <w:p w14:paraId="0DBC1D20">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对于发生的事故，接受贵院派员参与或督促事故调查。主动承担相应的赔偿责任，全力做好善后处理工作，确保事故现场尽快清理，消除安全隐患，尽快恢复正常生产秩序。</w:t>
      </w:r>
    </w:p>
    <w:p w14:paraId="30E052C4">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六、其他承诺</w:t>
      </w:r>
    </w:p>
    <w:p w14:paraId="37FF2A6F">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因我单位过失等造成人员伤害和财产损失的，我司承担全部责任。涉及治安事件的，按照治安管理相关法规处理。</w:t>
      </w:r>
    </w:p>
    <w:p w14:paraId="3E48B82A">
      <w:pPr>
        <w:spacing w:line="24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若因我司原因导致安全事故的发生或对贵院造成严重影响，贵院有权终止合作合同，因此所产生的全部损失，由我司承担。</w:t>
      </w:r>
    </w:p>
    <w:p w14:paraId="06C42F60">
      <w:pPr>
        <w:spacing w:line="240" w:lineRule="auto"/>
        <w:ind w:left="420" w:leftChars="200"/>
        <w:rPr>
          <w:rFonts w:hint="eastAsia" w:ascii="宋体" w:hAnsi="宋体" w:eastAsia="宋体" w:cs="宋体"/>
          <w:sz w:val="21"/>
          <w:szCs w:val="21"/>
        </w:rPr>
      </w:pPr>
      <w:r>
        <w:rPr>
          <w:rFonts w:hint="eastAsia" w:ascii="宋体" w:hAnsi="宋体" w:eastAsia="宋体" w:cs="宋体"/>
          <w:sz w:val="21"/>
          <w:szCs w:val="21"/>
        </w:rPr>
        <w:t>其他未尽事项：</w:t>
      </w:r>
    </w:p>
    <w:p w14:paraId="62AFE4F8">
      <w:pPr>
        <w:spacing w:line="240" w:lineRule="auto"/>
        <w:ind w:left="420" w:leftChars="20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48BFF19B">
      <w:pPr>
        <w:spacing w:line="240" w:lineRule="auto"/>
        <w:ind w:left="420" w:leftChars="20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14:paraId="5B3E0BF4">
      <w:pPr>
        <w:spacing w:line="240" w:lineRule="auto"/>
        <w:ind w:left="420" w:leftChars="200"/>
        <w:rPr>
          <w:rFonts w:hint="eastAsia" w:ascii="宋体" w:hAnsi="宋体" w:eastAsia="宋体" w:cs="宋体"/>
          <w:sz w:val="21"/>
          <w:szCs w:val="21"/>
        </w:rPr>
      </w:pPr>
      <w:r>
        <w:rPr>
          <w:rFonts w:hint="eastAsia" w:ascii="宋体" w:hAnsi="宋体" w:eastAsia="宋体" w:cs="宋体"/>
          <w:sz w:val="21"/>
          <w:szCs w:val="21"/>
          <w:u w:val="single"/>
        </w:rPr>
        <w:t xml:space="preserve">                                                        </w:t>
      </w:r>
    </w:p>
    <w:p w14:paraId="54D2D730">
      <w:pPr>
        <w:spacing w:line="240" w:lineRule="auto"/>
        <w:jc w:val="right"/>
        <w:rPr>
          <w:rFonts w:hint="eastAsia" w:ascii="宋体" w:hAnsi="宋体" w:eastAsia="宋体" w:cs="宋体"/>
          <w:sz w:val="21"/>
          <w:szCs w:val="21"/>
        </w:rPr>
      </w:pPr>
      <w:r>
        <w:rPr>
          <w:rFonts w:hint="eastAsia" w:ascii="宋体" w:hAnsi="宋体" w:eastAsia="宋体" w:cs="宋体"/>
          <w:sz w:val="21"/>
          <w:szCs w:val="21"/>
        </w:rPr>
        <w:t>承诺单位(盖章):__________________</w:t>
      </w:r>
    </w:p>
    <w:p w14:paraId="4C900395">
      <w:pPr>
        <w:spacing w:line="240" w:lineRule="auto"/>
        <w:jc w:val="right"/>
        <w:rPr>
          <w:rFonts w:hint="eastAsia" w:ascii="宋体" w:hAnsi="宋体" w:eastAsia="宋体" w:cs="宋体"/>
          <w:sz w:val="21"/>
          <w:szCs w:val="21"/>
        </w:rPr>
      </w:pPr>
      <w:r>
        <w:rPr>
          <w:rFonts w:hint="eastAsia" w:ascii="宋体" w:hAnsi="宋体" w:eastAsia="宋体" w:cs="宋体"/>
          <w:sz w:val="21"/>
          <w:szCs w:val="21"/>
        </w:rPr>
        <w:t>代表(签名):____________________</w:t>
      </w:r>
    </w:p>
    <w:p w14:paraId="6CBFFE97">
      <w:pPr>
        <w:spacing w:line="240" w:lineRule="auto"/>
        <w:jc w:val="right"/>
        <w:rPr>
          <w:rFonts w:hint="eastAsia" w:ascii="宋体" w:hAnsi="宋体" w:eastAsia="宋体" w:cs="宋体"/>
          <w:sz w:val="21"/>
          <w:szCs w:val="21"/>
        </w:rPr>
      </w:pPr>
      <w:r>
        <w:rPr>
          <w:rFonts w:hint="eastAsia" w:ascii="宋体" w:hAnsi="宋体" w:eastAsia="宋体" w:cs="宋体"/>
          <w:sz w:val="21"/>
          <w:szCs w:val="21"/>
        </w:rPr>
        <w:t>时间：____年____月____日</w:t>
      </w:r>
    </w:p>
    <w:p w14:paraId="6DA59F06">
      <w:pPr>
        <w:rPr>
          <w:rFonts w:hint="eastAsia" w:ascii="宋体" w:hAnsi="宋体" w:eastAsia="宋体" w:cs="宋体"/>
          <w:spacing w:val="-4"/>
          <w:kern w:val="0"/>
        </w:rPr>
      </w:pPr>
    </w:p>
    <w:p w14:paraId="7985AE8B">
      <w:pPr>
        <w:rPr>
          <w:rFonts w:hint="eastAsia" w:ascii="宋体" w:hAnsi="宋体" w:eastAsia="宋体" w:cs="宋体"/>
          <w:spacing w:val="-4"/>
          <w:kern w:val="0"/>
        </w:rPr>
      </w:pPr>
    </w:p>
    <w:p w14:paraId="583328BC">
      <w:pPr>
        <w:rPr>
          <w:rFonts w:hint="eastAsia" w:ascii="宋体" w:hAnsi="宋体" w:eastAsia="宋体" w:cs="宋体"/>
          <w:spacing w:val="-4"/>
          <w:kern w:val="0"/>
        </w:rPr>
      </w:pPr>
    </w:p>
    <w:p w14:paraId="775223C7">
      <w:pPr>
        <w:rPr>
          <w:rFonts w:hint="eastAsia" w:ascii="宋体" w:hAnsi="宋体" w:eastAsia="宋体" w:cs="宋体"/>
          <w:spacing w:val="-4"/>
          <w:kern w:val="0"/>
        </w:rPr>
        <w:sectPr>
          <w:pgSz w:w="11906" w:h="16838"/>
          <w:pgMar w:top="1417" w:right="1474" w:bottom="1417" w:left="1474" w:header="851" w:footer="624" w:gutter="0"/>
          <w:pgNumType w:fmt="decimal"/>
          <w:cols w:space="720" w:num="1"/>
          <w:docGrid w:type="lines" w:linePitch="319" w:charSpace="0"/>
        </w:sectPr>
      </w:pPr>
    </w:p>
    <w:p w14:paraId="7F0D9770">
      <w:pPr>
        <w:rPr>
          <w:rFonts w:hint="eastAsia" w:ascii="宋体" w:hAnsi="宋体" w:eastAsia="宋体" w:cs="宋体"/>
          <w:b/>
          <w:bCs/>
          <w:spacing w:val="-4"/>
          <w:kern w:val="0"/>
          <w:sz w:val="24"/>
          <w:szCs w:val="32"/>
          <w:lang w:val="en-US" w:eastAsia="zh-CN"/>
        </w:rPr>
      </w:pPr>
      <w:r>
        <w:rPr>
          <w:rFonts w:hint="eastAsia" w:ascii="宋体" w:hAnsi="宋体" w:eastAsia="宋体" w:cs="宋体"/>
          <w:b/>
          <w:bCs/>
          <w:spacing w:val="-4"/>
          <w:kern w:val="0"/>
          <w:sz w:val="24"/>
          <w:szCs w:val="32"/>
          <w:lang w:eastAsia="zh-CN"/>
        </w:rPr>
        <w:t>附件</w:t>
      </w:r>
      <w:r>
        <w:rPr>
          <w:rFonts w:hint="eastAsia" w:ascii="宋体" w:hAnsi="宋体" w:eastAsia="宋体" w:cs="宋体"/>
          <w:b/>
          <w:bCs/>
          <w:spacing w:val="-4"/>
          <w:kern w:val="0"/>
          <w:sz w:val="24"/>
          <w:szCs w:val="32"/>
          <w:lang w:val="en-US" w:eastAsia="zh-CN"/>
        </w:rPr>
        <w:t>2：</w:t>
      </w:r>
    </w:p>
    <w:p w14:paraId="4E4217A6">
      <w:pPr>
        <w:rPr>
          <w:rFonts w:hint="eastAsia" w:ascii="宋体" w:hAnsi="宋体" w:eastAsia="宋体" w:cs="宋体"/>
          <w:b/>
          <w:bCs/>
          <w:spacing w:val="-4"/>
          <w:kern w:val="0"/>
          <w:lang w:val="en-US" w:eastAsia="zh-CN"/>
        </w:rPr>
      </w:pPr>
    </w:p>
    <w:p w14:paraId="012A152F">
      <w:pPr>
        <w:jc w:val="center"/>
        <w:rPr>
          <w:rFonts w:hint="eastAsia" w:ascii="宋体" w:hAnsi="宋体" w:eastAsia="宋体" w:cs="宋体"/>
          <w:b/>
          <w:bCs/>
          <w:spacing w:val="-4"/>
          <w:kern w:val="0"/>
          <w:sz w:val="24"/>
          <w:szCs w:val="32"/>
          <w:lang w:val="en-US" w:eastAsia="zh-CN"/>
        </w:rPr>
      </w:pPr>
      <w:r>
        <w:rPr>
          <w:rFonts w:hint="eastAsia" w:ascii="宋体" w:hAnsi="宋体" w:eastAsia="宋体" w:cs="宋体"/>
          <w:b/>
          <w:bCs/>
          <w:spacing w:val="-4"/>
          <w:kern w:val="0"/>
          <w:sz w:val="24"/>
          <w:szCs w:val="32"/>
          <w:lang w:val="en-US" w:eastAsia="zh-CN"/>
        </w:rPr>
        <w:t>驻马店市中心医院</w:t>
      </w:r>
    </w:p>
    <w:p w14:paraId="01689925">
      <w:pPr>
        <w:jc w:val="center"/>
        <w:rPr>
          <w:rFonts w:hint="eastAsia" w:ascii="宋体" w:hAnsi="宋体" w:eastAsia="宋体" w:cs="宋体"/>
          <w:b w:val="0"/>
          <w:bCs w:val="0"/>
          <w:spacing w:val="-4"/>
          <w:kern w:val="0"/>
          <w:sz w:val="24"/>
          <w:szCs w:val="24"/>
          <w:lang w:val="en-US" w:eastAsia="zh-CN"/>
        </w:rPr>
      </w:pPr>
      <w:r>
        <w:rPr>
          <w:rFonts w:hint="eastAsia" w:ascii="宋体" w:hAnsi="宋体" w:eastAsia="宋体" w:cs="宋体"/>
          <w:b w:val="0"/>
          <w:bCs w:val="0"/>
          <w:spacing w:val="-4"/>
          <w:kern w:val="0"/>
          <w:sz w:val="24"/>
          <w:szCs w:val="24"/>
          <w:lang w:val="en-US" w:eastAsia="zh-CN"/>
        </w:rPr>
        <w:t>（产品注册证名称）配置清单</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1330"/>
        <w:gridCol w:w="935"/>
        <w:gridCol w:w="1195"/>
        <w:gridCol w:w="1065"/>
        <w:gridCol w:w="1065"/>
        <w:gridCol w:w="1066"/>
        <w:gridCol w:w="1066"/>
      </w:tblGrid>
      <w:tr w14:paraId="4940F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35044150">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序号</w:t>
            </w:r>
          </w:p>
        </w:tc>
        <w:tc>
          <w:tcPr>
            <w:tcW w:w="1330" w:type="dxa"/>
            <w:noWrap w:val="0"/>
            <w:vAlign w:val="center"/>
          </w:tcPr>
          <w:p w14:paraId="5C425ADB">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物品名称</w:t>
            </w:r>
          </w:p>
        </w:tc>
        <w:tc>
          <w:tcPr>
            <w:tcW w:w="935" w:type="dxa"/>
            <w:noWrap w:val="0"/>
            <w:vAlign w:val="center"/>
          </w:tcPr>
          <w:p w14:paraId="4B630E4A">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品牌</w:t>
            </w:r>
          </w:p>
        </w:tc>
        <w:tc>
          <w:tcPr>
            <w:tcW w:w="1195" w:type="dxa"/>
            <w:noWrap w:val="0"/>
            <w:vAlign w:val="center"/>
          </w:tcPr>
          <w:p w14:paraId="3C2A2B62">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规格型号</w:t>
            </w:r>
          </w:p>
        </w:tc>
        <w:tc>
          <w:tcPr>
            <w:tcW w:w="1065" w:type="dxa"/>
            <w:noWrap w:val="0"/>
            <w:vAlign w:val="center"/>
          </w:tcPr>
          <w:p w14:paraId="0C159ED9">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产地</w:t>
            </w:r>
          </w:p>
        </w:tc>
        <w:tc>
          <w:tcPr>
            <w:tcW w:w="1065" w:type="dxa"/>
            <w:noWrap w:val="0"/>
            <w:vAlign w:val="center"/>
          </w:tcPr>
          <w:p w14:paraId="3D26462B">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数量</w:t>
            </w:r>
          </w:p>
        </w:tc>
        <w:tc>
          <w:tcPr>
            <w:tcW w:w="1066" w:type="dxa"/>
            <w:noWrap w:val="0"/>
            <w:vAlign w:val="center"/>
          </w:tcPr>
          <w:p w14:paraId="2860B666">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单位</w:t>
            </w:r>
          </w:p>
        </w:tc>
        <w:tc>
          <w:tcPr>
            <w:tcW w:w="1066" w:type="dxa"/>
            <w:noWrap w:val="0"/>
            <w:vAlign w:val="center"/>
          </w:tcPr>
          <w:p w14:paraId="0A2C07E8">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备注</w:t>
            </w:r>
          </w:p>
        </w:tc>
      </w:tr>
      <w:tr w14:paraId="4F8E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301E2B67">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1</w:t>
            </w:r>
          </w:p>
        </w:tc>
        <w:tc>
          <w:tcPr>
            <w:tcW w:w="1330" w:type="dxa"/>
            <w:noWrap w:val="0"/>
            <w:vAlign w:val="center"/>
          </w:tcPr>
          <w:p w14:paraId="49431C49">
            <w:pPr>
              <w:jc w:val="center"/>
              <w:rPr>
                <w:rFonts w:hint="eastAsia" w:ascii="宋体" w:hAnsi="宋体" w:eastAsia="宋体" w:cs="宋体"/>
                <w:b w:val="0"/>
                <w:bCs w:val="0"/>
                <w:spacing w:val="-4"/>
                <w:kern w:val="0"/>
                <w:sz w:val="24"/>
                <w:szCs w:val="24"/>
                <w:vertAlign w:val="baseline"/>
                <w:lang w:val="en-US" w:eastAsia="zh-CN"/>
              </w:rPr>
            </w:pPr>
          </w:p>
        </w:tc>
        <w:tc>
          <w:tcPr>
            <w:tcW w:w="935" w:type="dxa"/>
            <w:noWrap w:val="0"/>
            <w:vAlign w:val="center"/>
          </w:tcPr>
          <w:p w14:paraId="0941FE2D">
            <w:pPr>
              <w:jc w:val="center"/>
              <w:rPr>
                <w:rFonts w:hint="eastAsia" w:ascii="宋体" w:hAnsi="宋体" w:eastAsia="宋体" w:cs="宋体"/>
                <w:b w:val="0"/>
                <w:bCs w:val="0"/>
                <w:spacing w:val="-4"/>
                <w:kern w:val="0"/>
                <w:sz w:val="24"/>
                <w:szCs w:val="24"/>
                <w:vertAlign w:val="baseline"/>
                <w:lang w:val="en-US" w:eastAsia="zh-CN"/>
              </w:rPr>
            </w:pPr>
          </w:p>
        </w:tc>
        <w:tc>
          <w:tcPr>
            <w:tcW w:w="1195" w:type="dxa"/>
            <w:noWrap w:val="0"/>
            <w:vAlign w:val="center"/>
          </w:tcPr>
          <w:p w14:paraId="2B92ECAE">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360B8369">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15F46E61">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1B81C98E">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7F049C91">
            <w:pPr>
              <w:jc w:val="center"/>
              <w:rPr>
                <w:rFonts w:hint="eastAsia" w:ascii="宋体" w:hAnsi="宋体" w:eastAsia="宋体" w:cs="宋体"/>
                <w:b w:val="0"/>
                <w:bCs w:val="0"/>
                <w:spacing w:val="-4"/>
                <w:kern w:val="0"/>
                <w:sz w:val="24"/>
                <w:szCs w:val="24"/>
                <w:vertAlign w:val="baseline"/>
                <w:lang w:val="en-US" w:eastAsia="zh-CN"/>
              </w:rPr>
            </w:pPr>
          </w:p>
        </w:tc>
      </w:tr>
      <w:tr w14:paraId="78FCF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5E6D76E1">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2</w:t>
            </w:r>
          </w:p>
        </w:tc>
        <w:tc>
          <w:tcPr>
            <w:tcW w:w="1330" w:type="dxa"/>
            <w:noWrap w:val="0"/>
            <w:vAlign w:val="center"/>
          </w:tcPr>
          <w:p w14:paraId="03B22817">
            <w:pPr>
              <w:jc w:val="center"/>
              <w:rPr>
                <w:rFonts w:hint="eastAsia" w:ascii="宋体" w:hAnsi="宋体" w:eastAsia="宋体" w:cs="宋体"/>
                <w:b w:val="0"/>
                <w:bCs w:val="0"/>
                <w:spacing w:val="-4"/>
                <w:kern w:val="0"/>
                <w:sz w:val="24"/>
                <w:szCs w:val="24"/>
                <w:vertAlign w:val="baseline"/>
                <w:lang w:val="en-US" w:eastAsia="zh-CN"/>
              </w:rPr>
            </w:pPr>
          </w:p>
        </w:tc>
        <w:tc>
          <w:tcPr>
            <w:tcW w:w="935" w:type="dxa"/>
            <w:noWrap w:val="0"/>
            <w:vAlign w:val="center"/>
          </w:tcPr>
          <w:p w14:paraId="0BA51408">
            <w:pPr>
              <w:jc w:val="center"/>
              <w:rPr>
                <w:rFonts w:hint="eastAsia" w:ascii="宋体" w:hAnsi="宋体" w:eastAsia="宋体" w:cs="宋体"/>
                <w:b w:val="0"/>
                <w:bCs w:val="0"/>
                <w:spacing w:val="-4"/>
                <w:kern w:val="0"/>
                <w:sz w:val="24"/>
                <w:szCs w:val="24"/>
                <w:vertAlign w:val="baseline"/>
                <w:lang w:val="en-US" w:eastAsia="zh-CN"/>
              </w:rPr>
            </w:pPr>
          </w:p>
        </w:tc>
        <w:tc>
          <w:tcPr>
            <w:tcW w:w="1195" w:type="dxa"/>
            <w:noWrap w:val="0"/>
            <w:vAlign w:val="center"/>
          </w:tcPr>
          <w:p w14:paraId="703D28C3">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64400D73">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1D63C657">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6C71B536">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5DE2D0AC">
            <w:pPr>
              <w:jc w:val="center"/>
              <w:rPr>
                <w:rFonts w:hint="eastAsia" w:ascii="宋体" w:hAnsi="宋体" w:eastAsia="宋体" w:cs="宋体"/>
                <w:b w:val="0"/>
                <w:bCs w:val="0"/>
                <w:spacing w:val="-4"/>
                <w:kern w:val="0"/>
                <w:sz w:val="24"/>
                <w:szCs w:val="24"/>
                <w:vertAlign w:val="baseline"/>
                <w:lang w:val="en-US" w:eastAsia="zh-CN"/>
              </w:rPr>
            </w:pPr>
          </w:p>
        </w:tc>
      </w:tr>
      <w:tr w14:paraId="39EE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6E7B12D1">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3</w:t>
            </w:r>
          </w:p>
        </w:tc>
        <w:tc>
          <w:tcPr>
            <w:tcW w:w="1330" w:type="dxa"/>
            <w:noWrap w:val="0"/>
            <w:vAlign w:val="center"/>
          </w:tcPr>
          <w:p w14:paraId="298D8F62">
            <w:pPr>
              <w:jc w:val="center"/>
              <w:rPr>
                <w:rFonts w:hint="eastAsia" w:ascii="宋体" w:hAnsi="宋体" w:eastAsia="宋体" w:cs="宋体"/>
                <w:b w:val="0"/>
                <w:bCs w:val="0"/>
                <w:spacing w:val="-4"/>
                <w:kern w:val="0"/>
                <w:sz w:val="24"/>
                <w:szCs w:val="24"/>
                <w:vertAlign w:val="baseline"/>
                <w:lang w:val="en-US" w:eastAsia="zh-CN"/>
              </w:rPr>
            </w:pPr>
          </w:p>
        </w:tc>
        <w:tc>
          <w:tcPr>
            <w:tcW w:w="935" w:type="dxa"/>
            <w:noWrap w:val="0"/>
            <w:vAlign w:val="center"/>
          </w:tcPr>
          <w:p w14:paraId="07E95920">
            <w:pPr>
              <w:jc w:val="center"/>
              <w:rPr>
                <w:rFonts w:hint="eastAsia" w:ascii="宋体" w:hAnsi="宋体" w:eastAsia="宋体" w:cs="宋体"/>
                <w:b w:val="0"/>
                <w:bCs w:val="0"/>
                <w:spacing w:val="-4"/>
                <w:kern w:val="0"/>
                <w:sz w:val="24"/>
                <w:szCs w:val="24"/>
                <w:vertAlign w:val="baseline"/>
                <w:lang w:val="en-US" w:eastAsia="zh-CN"/>
              </w:rPr>
            </w:pPr>
          </w:p>
        </w:tc>
        <w:tc>
          <w:tcPr>
            <w:tcW w:w="1195" w:type="dxa"/>
            <w:noWrap w:val="0"/>
            <w:vAlign w:val="center"/>
          </w:tcPr>
          <w:p w14:paraId="624C59A2">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3A2B2CEB">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48FA0346">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042C969D">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7629DB35">
            <w:pPr>
              <w:jc w:val="center"/>
              <w:rPr>
                <w:rFonts w:hint="eastAsia" w:ascii="宋体" w:hAnsi="宋体" w:eastAsia="宋体" w:cs="宋体"/>
                <w:b w:val="0"/>
                <w:bCs w:val="0"/>
                <w:spacing w:val="-4"/>
                <w:kern w:val="0"/>
                <w:sz w:val="24"/>
                <w:szCs w:val="24"/>
                <w:vertAlign w:val="baseline"/>
                <w:lang w:val="en-US" w:eastAsia="zh-CN"/>
              </w:rPr>
            </w:pPr>
          </w:p>
        </w:tc>
      </w:tr>
      <w:tr w14:paraId="3EA0C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405088BB">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4</w:t>
            </w:r>
          </w:p>
        </w:tc>
        <w:tc>
          <w:tcPr>
            <w:tcW w:w="1330" w:type="dxa"/>
            <w:noWrap w:val="0"/>
            <w:vAlign w:val="center"/>
          </w:tcPr>
          <w:p w14:paraId="1DBC3236">
            <w:pPr>
              <w:jc w:val="center"/>
              <w:rPr>
                <w:rFonts w:hint="eastAsia" w:ascii="宋体" w:hAnsi="宋体" w:eastAsia="宋体" w:cs="宋体"/>
                <w:b w:val="0"/>
                <w:bCs w:val="0"/>
                <w:spacing w:val="-4"/>
                <w:kern w:val="0"/>
                <w:sz w:val="24"/>
                <w:szCs w:val="24"/>
                <w:vertAlign w:val="baseline"/>
                <w:lang w:val="en-US" w:eastAsia="zh-CN"/>
              </w:rPr>
            </w:pPr>
          </w:p>
        </w:tc>
        <w:tc>
          <w:tcPr>
            <w:tcW w:w="935" w:type="dxa"/>
            <w:noWrap w:val="0"/>
            <w:vAlign w:val="center"/>
          </w:tcPr>
          <w:p w14:paraId="6562C31D">
            <w:pPr>
              <w:jc w:val="center"/>
              <w:rPr>
                <w:rFonts w:hint="eastAsia" w:ascii="宋体" w:hAnsi="宋体" w:eastAsia="宋体" w:cs="宋体"/>
                <w:b w:val="0"/>
                <w:bCs w:val="0"/>
                <w:spacing w:val="-4"/>
                <w:kern w:val="0"/>
                <w:sz w:val="24"/>
                <w:szCs w:val="24"/>
                <w:vertAlign w:val="baseline"/>
                <w:lang w:val="en-US" w:eastAsia="zh-CN"/>
              </w:rPr>
            </w:pPr>
          </w:p>
        </w:tc>
        <w:tc>
          <w:tcPr>
            <w:tcW w:w="1195" w:type="dxa"/>
            <w:noWrap w:val="0"/>
            <w:vAlign w:val="center"/>
          </w:tcPr>
          <w:p w14:paraId="28F2B57A">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68CD61FE">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3E160222">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51AC8781">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4D4B1AC0">
            <w:pPr>
              <w:jc w:val="center"/>
              <w:rPr>
                <w:rFonts w:hint="eastAsia" w:ascii="宋体" w:hAnsi="宋体" w:eastAsia="宋体" w:cs="宋体"/>
                <w:b w:val="0"/>
                <w:bCs w:val="0"/>
                <w:spacing w:val="-4"/>
                <w:kern w:val="0"/>
                <w:sz w:val="24"/>
                <w:szCs w:val="24"/>
                <w:vertAlign w:val="baseline"/>
                <w:lang w:val="en-US" w:eastAsia="zh-CN"/>
              </w:rPr>
            </w:pPr>
          </w:p>
        </w:tc>
      </w:tr>
      <w:tr w14:paraId="4094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2C41C108">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5</w:t>
            </w:r>
          </w:p>
        </w:tc>
        <w:tc>
          <w:tcPr>
            <w:tcW w:w="1330" w:type="dxa"/>
            <w:noWrap w:val="0"/>
            <w:vAlign w:val="center"/>
          </w:tcPr>
          <w:p w14:paraId="4BD7F29E">
            <w:pPr>
              <w:jc w:val="center"/>
              <w:rPr>
                <w:rFonts w:hint="eastAsia" w:ascii="宋体" w:hAnsi="宋体" w:eastAsia="宋体" w:cs="宋体"/>
                <w:b w:val="0"/>
                <w:bCs w:val="0"/>
                <w:spacing w:val="-4"/>
                <w:kern w:val="0"/>
                <w:sz w:val="24"/>
                <w:szCs w:val="24"/>
                <w:vertAlign w:val="baseline"/>
                <w:lang w:val="en-US" w:eastAsia="zh-CN"/>
              </w:rPr>
            </w:pPr>
          </w:p>
        </w:tc>
        <w:tc>
          <w:tcPr>
            <w:tcW w:w="935" w:type="dxa"/>
            <w:noWrap w:val="0"/>
            <w:vAlign w:val="center"/>
          </w:tcPr>
          <w:p w14:paraId="660A462E">
            <w:pPr>
              <w:jc w:val="center"/>
              <w:rPr>
                <w:rFonts w:hint="eastAsia" w:ascii="宋体" w:hAnsi="宋体" w:eastAsia="宋体" w:cs="宋体"/>
                <w:b w:val="0"/>
                <w:bCs w:val="0"/>
                <w:spacing w:val="-4"/>
                <w:kern w:val="0"/>
                <w:sz w:val="24"/>
                <w:szCs w:val="24"/>
                <w:vertAlign w:val="baseline"/>
                <w:lang w:val="en-US" w:eastAsia="zh-CN"/>
              </w:rPr>
            </w:pPr>
          </w:p>
        </w:tc>
        <w:tc>
          <w:tcPr>
            <w:tcW w:w="1195" w:type="dxa"/>
            <w:noWrap w:val="0"/>
            <w:vAlign w:val="center"/>
          </w:tcPr>
          <w:p w14:paraId="611F78B7">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3454AD01">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42EDDD5E">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45B1AFEC">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23B0CE22">
            <w:pPr>
              <w:jc w:val="center"/>
              <w:rPr>
                <w:rFonts w:hint="eastAsia" w:ascii="宋体" w:hAnsi="宋体" w:eastAsia="宋体" w:cs="宋体"/>
                <w:b w:val="0"/>
                <w:bCs w:val="0"/>
                <w:spacing w:val="-4"/>
                <w:kern w:val="0"/>
                <w:sz w:val="24"/>
                <w:szCs w:val="24"/>
                <w:vertAlign w:val="baseline"/>
                <w:lang w:val="en-US" w:eastAsia="zh-CN"/>
              </w:rPr>
            </w:pPr>
          </w:p>
        </w:tc>
      </w:tr>
      <w:tr w14:paraId="087A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44F72160">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6</w:t>
            </w:r>
          </w:p>
        </w:tc>
        <w:tc>
          <w:tcPr>
            <w:tcW w:w="1330" w:type="dxa"/>
            <w:noWrap w:val="0"/>
            <w:vAlign w:val="center"/>
          </w:tcPr>
          <w:p w14:paraId="683C4DD1">
            <w:pPr>
              <w:jc w:val="center"/>
              <w:rPr>
                <w:rFonts w:hint="eastAsia" w:ascii="宋体" w:hAnsi="宋体" w:eastAsia="宋体" w:cs="宋体"/>
                <w:b w:val="0"/>
                <w:bCs w:val="0"/>
                <w:spacing w:val="-4"/>
                <w:kern w:val="0"/>
                <w:sz w:val="24"/>
                <w:szCs w:val="24"/>
                <w:vertAlign w:val="baseline"/>
                <w:lang w:val="en-US" w:eastAsia="zh-CN"/>
              </w:rPr>
            </w:pPr>
          </w:p>
        </w:tc>
        <w:tc>
          <w:tcPr>
            <w:tcW w:w="935" w:type="dxa"/>
            <w:noWrap w:val="0"/>
            <w:vAlign w:val="center"/>
          </w:tcPr>
          <w:p w14:paraId="29AF9927">
            <w:pPr>
              <w:jc w:val="center"/>
              <w:rPr>
                <w:rFonts w:hint="eastAsia" w:ascii="宋体" w:hAnsi="宋体" w:eastAsia="宋体" w:cs="宋体"/>
                <w:b w:val="0"/>
                <w:bCs w:val="0"/>
                <w:spacing w:val="-4"/>
                <w:kern w:val="0"/>
                <w:sz w:val="24"/>
                <w:szCs w:val="24"/>
                <w:vertAlign w:val="baseline"/>
                <w:lang w:val="en-US" w:eastAsia="zh-CN"/>
              </w:rPr>
            </w:pPr>
          </w:p>
        </w:tc>
        <w:tc>
          <w:tcPr>
            <w:tcW w:w="1195" w:type="dxa"/>
            <w:noWrap w:val="0"/>
            <w:vAlign w:val="center"/>
          </w:tcPr>
          <w:p w14:paraId="601DB864">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617E8645">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3303E055">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46A052AD">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49CD2465">
            <w:pPr>
              <w:jc w:val="center"/>
              <w:rPr>
                <w:rFonts w:hint="eastAsia" w:ascii="宋体" w:hAnsi="宋体" w:eastAsia="宋体" w:cs="宋体"/>
                <w:b w:val="0"/>
                <w:bCs w:val="0"/>
                <w:spacing w:val="-4"/>
                <w:kern w:val="0"/>
                <w:sz w:val="24"/>
                <w:szCs w:val="24"/>
                <w:vertAlign w:val="baseline"/>
                <w:lang w:val="en-US" w:eastAsia="zh-CN"/>
              </w:rPr>
            </w:pPr>
          </w:p>
        </w:tc>
      </w:tr>
      <w:tr w14:paraId="2104F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0" w:type="dxa"/>
            <w:noWrap w:val="0"/>
            <w:vAlign w:val="center"/>
          </w:tcPr>
          <w:p w14:paraId="5DBB2770">
            <w:pPr>
              <w:jc w:val="center"/>
              <w:rPr>
                <w:rFonts w:hint="eastAsia" w:ascii="宋体" w:hAnsi="宋体" w:eastAsia="宋体" w:cs="宋体"/>
                <w:b w:val="0"/>
                <w:bCs w:val="0"/>
                <w:spacing w:val="-4"/>
                <w:kern w:val="0"/>
                <w:sz w:val="24"/>
                <w:szCs w:val="24"/>
                <w:vertAlign w:val="baseline"/>
                <w:lang w:val="en-US" w:eastAsia="zh-CN"/>
              </w:rPr>
            </w:pPr>
            <w:r>
              <w:rPr>
                <w:rFonts w:hint="eastAsia" w:ascii="宋体" w:hAnsi="宋体" w:eastAsia="宋体" w:cs="宋体"/>
                <w:b w:val="0"/>
                <w:bCs w:val="0"/>
                <w:spacing w:val="-4"/>
                <w:kern w:val="0"/>
                <w:sz w:val="24"/>
                <w:szCs w:val="24"/>
                <w:vertAlign w:val="baseline"/>
                <w:lang w:val="en-US" w:eastAsia="zh-CN"/>
              </w:rPr>
              <w:t>7</w:t>
            </w:r>
          </w:p>
        </w:tc>
        <w:tc>
          <w:tcPr>
            <w:tcW w:w="1330" w:type="dxa"/>
            <w:noWrap w:val="0"/>
            <w:vAlign w:val="center"/>
          </w:tcPr>
          <w:p w14:paraId="1F059662">
            <w:pPr>
              <w:jc w:val="center"/>
              <w:rPr>
                <w:rFonts w:hint="eastAsia" w:ascii="宋体" w:hAnsi="宋体" w:eastAsia="宋体" w:cs="宋体"/>
                <w:b w:val="0"/>
                <w:bCs w:val="0"/>
                <w:spacing w:val="-4"/>
                <w:kern w:val="0"/>
                <w:sz w:val="24"/>
                <w:szCs w:val="24"/>
                <w:vertAlign w:val="baseline"/>
                <w:lang w:val="en-US" w:eastAsia="zh-CN"/>
              </w:rPr>
            </w:pPr>
          </w:p>
        </w:tc>
        <w:tc>
          <w:tcPr>
            <w:tcW w:w="935" w:type="dxa"/>
            <w:noWrap w:val="0"/>
            <w:vAlign w:val="center"/>
          </w:tcPr>
          <w:p w14:paraId="7D975851">
            <w:pPr>
              <w:jc w:val="center"/>
              <w:rPr>
                <w:rFonts w:hint="eastAsia" w:ascii="宋体" w:hAnsi="宋体" w:eastAsia="宋体" w:cs="宋体"/>
                <w:b w:val="0"/>
                <w:bCs w:val="0"/>
                <w:spacing w:val="-4"/>
                <w:kern w:val="0"/>
                <w:sz w:val="24"/>
                <w:szCs w:val="24"/>
                <w:vertAlign w:val="baseline"/>
                <w:lang w:val="en-US" w:eastAsia="zh-CN"/>
              </w:rPr>
            </w:pPr>
          </w:p>
        </w:tc>
        <w:tc>
          <w:tcPr>
            <w:tcW w:w="1195" w:type="dxa"/>
            <w:noWrap w:val="0"/>
            <w:vAlign w:val="center"/>
          </w:tcPr>
          <w:p w14:paraId="283C3CEA">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2BEDA9AA">
            <w:pPr>
              <w:jc w:val="center"/>
              <w:rPr>
                <w:rFonts w:hint="eastAsia" w:ascii="宋体" w:hAnsi="宋体" w:eastAsia="宋体" w:cs="宋体"/>
                <w:b w:val="0"/>
                <w:bCs w:val="0"/>
                <w:spacing w:val="-4"/>
                <w:kern w:val="0"/>
                <w:sz w:val="24"/>
                <w:szCs w:val="24"/>
                <w:vertAlign w:val="baseline"/>
                <w:lang w:val="en-US" w:eastAsia="zh-CN"/>
              </w:rPr>
            </w:pPr>
          </w:p>
        </w:tc>
        <w:tc>
          <w:tcPr>
            <w:tcW w:w="1065" w:type="dxa"/>
            <w:noWrap w:val="0"/>
            <w:vAlign w:val="center"/>
          </w:tcPr>
          <w:p w14:paraId="5C9ACB07">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5898180C">
            <w:pPr>
              <w:jc w:val="center"/>
              <w:rPr>
                <w:rFonts w:hint="eastAsia" w:ascii="宋体" w:hAnsi="宋体" w:eastAsia="宋体" w:cs="宋体"/>
                <w:b w:val="0"/>
                <w:bCs w:val="0"/>
                <w:spacing w:val="-4"/>
                <w:kern w:val="0"/>
                <w:sz w:val="24"/>
                <w:szCs w:val="24"/>
                <w:vertAlign w:val="baseline"/>
                <w:lang w:val="en-US" w:eastAsia="zh-CN"/>
              </w:rPr>
            </w:pPr>
          </w:p>
        </w:tc>
        <w:tc>
          <w:tcPr>
            <w:tcW w:w="1066" w:type="dxa"/>
            <w:noWrap w:val="0"/>
            <w:vAlign w:val="center"/>
          </w:tcPr>
          <w:p w14:paraId="2881821C">
            <w:pPr>
              <w:jc w:val="center"/>
              <w:rPr>
                <w:rFonts w:hint="eastAsia" w:ascii="宋体" w:hAnsi="宋体" w:eastAsia="宋体" w:cs="宋体"/>
                <w:b w:val="0"/>
                <w:bCs w:val="0"/>
                <w:spacing w:val="-4"/>
                <w:kern w:val="0"/>
                <w:sz w:val="24"/>
                <w:szCs w:val="24"/>
                <w:vertAlign w:val="baseline"/>
                <w:lang w:val="en-US" w:eastAsia="zh-CN"/>
              </w:rPr>
            </w:pPr>
          </w:p>
        </w:tc>
      </w:tr>
    </w:tbl>
    <w:p w14:paraId="3D5DB07C">
      <w:pPr>
        <w:jc w:val="center"/>
        <w:rPr>
          <w:rFonts w:hint="eastAsia" w:ascii="宋体" w:hAnsi="宋体" w:eastAsia="宋体" w:cs="宋体"/>
          <w:b w:val="0"/>
          <w:bCs w:val="0"/>
          <w:spacing w:val="-4"/>
          <w:kern w:val="0"/>
          <w:sz w:val="24"/>
          <w:szCs w:val="24"/>
          <w:lang w:val="en-US" w:eastAsia="zh-CN"/>
        </w:rPr>
      </w:pPr>
    </w:p>
    <w:p w14:paraId="19CD5838">
      <w:pPr>
        <w:jc w:val="left"/>
        <w:rPr>
          <w:rFonts w:hint="eastAsia" w:ascii="宋体" w:hAnsi="宋体" w:eastAsia="宋体" w:cs="宋体"/>
          <w:b w:val="0"/>
          <w:bCs w:val="0"/>
          <w:spacing w:val="-4"/>
          <w:kern w:val="0"/>
          <w:sz w:val="24"/>
          <w:szCs w:val="24"/>
          <w:lang w:val="en-US" w:eastAsia="zh-CN"/>
        </w:rPr>
      </w:pPr>
      <w:r>
        <w:rPr>
          <w:rFonts w:hint="eastAsia" w:ascii="宋体" w:hAnsi="宋体" w:eastAsia="宋体" w:cs="宋体"/>
          <w:b w:val="0"/>
          <w:bCs w:val="0"/>
          <w:spacing w:val="-4"/>
          <w:kern w:val="0"/>
          <w:sz w:val="24"/>
          <w:szCs w:val="24"/>
          <w:lang w:val="en-US" w:eastAsia="zh-CN"/>
        </w:rPr>
        <w:t>备注：此配置清单按单台配置填写。</w:t>
      </w:r>
    </w:p>
    <w:p w14:paraId="22D7FB0C">
      <w:pPr>
        <w:jc w:val="left"/>
        <w:rPr>
          <w:rFonts w:hint="eastAsia" w:ascii="宋体" w:hAnsi="宋体" w:eastAsia="宋体" w:cs="宋体"/>
          <w:b w:val="0"/>
          <w:bCs w:val="0"/>
          <w:spacing w:val="-4"/>
          <w:kern w:val="0"/>
          <w:sz w:val="24"/>
          <w:szCs w:val="24"/>
          <w:lang w:val="en-US" w:eastAsia="zh-CN"/>
        </w:rPr>
      </w:pPr>
    </w:p>
    <w:p w14:paraId="49A6B9D8">
      <w:pPr>
        <w:jc w:val="left"/>
        <w:rPr>
          <w:rFonts w:hint="eastAsia" w:ascii="宋体" w:hAnsi="宋体" w:eastAsia="宋体" w:cs="宋体"/>
          <w:b w:val="0"/>
          <w:bCs w:val="0"/>
          <w:spacing w:val="-4"/>
          <w:kern w:val="0"/>
          <w:sz w:val="24"/>
          <w:szCs w:val="24"/>
          <w:lang w:val="en-US" w:eastAsia="zh-CN"/>
        </w:rPr>
      </w:pPr>
    </w:p>
    <w:p w14:paraId="6B45603F">
      <w:pPr>
        <w:jc w:val="left"/>
        <w:rPr>
          <w:rFonts w:hint="eastAsia" w:ascii="宋体" w:hAnsi="宋体" w:eastAsia="宋体" w:cs="宋体"/>
          <w:b w:val="0"/>
          <w:bCs w:val="0"/>
          <w:spacing w:val="-4"/>
          <w:kern w:val="0"/>
          <w:sz w:val="24"/>
          <w:szCs w:val="24"/>
          <w:lang w:val="en-US" w:eastAsia="zh-CN"/>
        </w:rPr>
      </w:pPr>
    </w:p>
    <w:p w14:paraId="36D95D13">
      <w:pPr>
        <w:jc w:val="left"/>
        <w:rPr>
          <w:rFonts w:hint="eastAsia" w:ascii="宋体" w:hAnsi="宋体" w:eastAsia="宋体" w:cs="宋体"/>
          <w:b w:val="0"/>
          <w:bCs w:val="0"/>
          <w:spacing w:val="-4"/>
          <w:kern w:val="0"/>
          <w:sz w:val="24"/>
          <w:szCs w:val="24"/>
          <w:lang w:val="en-US" w:eastAsia="zh-CN"/>
        </w:rPr>
      </w:pPr>
    </w:p>
    <w:p w14:paraId="6F2C8DAA">
      <w:pPr>
        <w:jc w:val="left"/>
        <w:rPr>
          <w:rFonts w:hint="eastAsia" w:ascii="宋体" w:hAnsi="宋体" w:eastAsia="宋体" w:cs="宋体"/>
          <w:b w:val="0"/>
          <w:bCs w:val="0"/>
          <w:spacing w:val="-4"/>
          <w:kern w:val="0"/>
          <w:sz w:val="24"/>
          <w:szCs w:val="24"/>
          <w:lang w:val="en-US" w:eastAsia="zh-CN"/>
        </w:rPr>
      </w:pPr>
    </w:p>
    <w:p w14:paraId="1C2B418F">
      <w:pPr>
        <w:jc w:val="left"/>
        <w:rPr>
          <w:rFonts w:hint="eastAsia" w:ascii="宋体" w:hAnsi="宋体" w:eastAsia="宋体" w:cs="宋体"/>
          <w:b w:val="0"/>
          <w:bCs w:val="0"/>
          <w:spacing w:val="-4"/>
          <w:kern w:val="0"/>
          <w:sz w:val="24"/>
          <w:szCs w:val="24"/>
          <w:lang w:val="en-US" w:eastAsia="zh-CN"/>
        </w:rPr>
      </w:pPr>
      <w:r>
        <w:rPr>
          <w:rFonts w:hint="eastAsia" w:ascii="宋体" w:hAnsi="宋体" w:eastAsia="宋体" w:cs="宋体"/>
          <w:b w:val="0"/>
          <w:bCs w:val="0"/>
          <w:spacing w:val="-4"/>
          <w:kern w:val="0"/>
          <w:sz w:val="24"/>
          <w:szCs w:val="24"/>
          <w:lang w:val="en-US" w:eastAsia="zh-CN"/>
        </w:rPr>
        <w:t xml:space="preserve">公司法定代表人或授权代表签字：                 </w:t>
      </w:r>
    </w:p>
    <w:p w14:paraId="5D6FA518">
      <w:pPr>
        <w:jc w:val="left"/>
        <w:rPr>
          <w:rFonts w:hint="eastAsia" w:ascii="宋体" w:hAnsi="宋体" w:eastAsia="宋体" w:cs="宋体"/>
          <w:b w:val="0"/>
          <w:bCs w:val="0"/>
          <w:spacing w:val="-4"/>
          <w:kern w:val="0"/>
          <w:sz w:val="24"/>
          <w:szCs w:val="24"/>
          <w:lang w:val="en-US" w:eastAsia="zh-CN"/>
        </w:rPr>
      </w:pPr>
    </w:p>
    <w:p w14:paraId="4DE62550">
      <w:pPr>
        <w:jc w:val="left"/>
        <w:rPr>
          <w:rFonts w:hint="eastAsia" w:ascii="宋体" w:hAnsi="宋体" w:eastAsia="宋体" w:cs="宋体"/>
          <w:b w:val="0"/>
          <w:bCs w:val="0"/>
          <w:spacing w:val="-4"/>
          <w:kern w:val="0"/>
          <w:sz w:val="24"/>
          <w:szCs w:val="24"/>
          <w:lang w:val="en-US" w:eastAsia="zh-CN"/>
        </w:rPr>
      </w:pPr>
      <w:r>
        <w:rPr>
          <w:rFonts w:hint="eastAsia" w:ascii="宋体" w:hAnsi="宋体" w:eastAsia="宋体" w:cs="宋体"/>
          <w:b w:val="0"/>
          <w:bCs w:val="0"/>
          <w:spacing w:val="-4"/>
          <w:kern w:val="0"/>
          <w:sz w:val="24"/>
          <w:szCs w:val="24"/>
          <w:lang w:val="en-US" w:eastAsia="zh-CN"/>
        </w:rPr>
        <w:t xml:space="preserve">公司盖章：               </w:t>
      </w:r>
    </w:p>
    <w:p w14:paraId="6DA6614D">
      <w:pPr>
        <w:jc w:val="left"/>
        <w:rPr>
          <w:rFonts w:hint="eastAsia" w:ascii="宋体" w:hAnsi="宋体" w:eastAsia="宋体" w:cs="宋体"/>
          <w:b w:val="0"/>
          <w:bCs w:val="0"/>
          <w:spacing w:val="-4"/>
          <w:kern w:val="0"/>
          <w:sz w:val="24"/>
          <w:szCs w:val="24"/>
          <w:lang w:val="en-US" w:eastAsia="zh-CN"/>
        </w:rPr>
      </w:pPr>
    </w:p>
    <w:p w14:paraId="4FB84AC2">
      <w:pPr>
        <w:jc w:val="left"/>
        <w:rPr>
          <w:rFonts w:hint="eastAsia" w:ascii="宋体" w:hAnsi="宋体" w:eastAsia="宋体" w:cs="宋体"/>
          <w:b w:val="0"/>
          <w:bCs w:val="0"/>
          <w:spacing w:val="-4"/>
          <w:kern w:val="0"/>
          <w:sz w:val="24"/>
          <w:szCs w:val="24"/>
          <w:lang w:val="en-US" w:eastAsia="zh-CN"/>
        </w:rPr>
      </w:pPr>
    </w:p>
    <w:p w14:paraId="480B9128">
      <w:pPr>
        <w:jc w:val="left"/>
        <w:rPr>
          <w:rFonts w:hint="eastAsia" w:ascii="宋体" w:hAnsi="宋体" w:eastAsia="宋体" w:cs="宋体"/>
          <w:b w:val="0"/>
          <w:bCs w:val="0"/>
          <w:spacing w:val="-4"/>
          <w:kern w:val="0"/>
          <w:sz w:val="24"/>
          <w:szCs w:val="24"/>
          <w:lang w:val="en-US" w:eastAsia="zh-CN"/>
        </w:rPr>
      </w:pPr>
    </w:p>
    <w:p w14:paraId="4BE9E3E8">
      <w:pPr>
        <w:jc w:val="left"/>
        <w:rPr>
          <w:rFonts w:hint="eastAsia" w:ascii="宋体" w:hAnsi="宋体" w:eastAsia="宋体" w:cs="宋体"/>
          <w:b w:val="0"/>
          <w:bCs w:val="0"/>
          <w:spacing w:val="-4"/>
          <w:kern w:val="0"/>
          <w:sz w:val="24"/>
          <w:szCs w:val="24"/>
          <w:lang w:val="en-US" w:eastAsia="zh-CN"/>
        </w:rPr>
      </w:pPr>
    </w:p>
    <w:p w14:paraId="7D44AF77">
      <w:pPr>
        <w:jc w:val="left"/>
        <w:rPr>
          <w:rFonts w:hint="eastAsia" w:ascii="宋体" w:hAnsi="宋体" w:eastAsia="宋体" w:cs="宋体"/>
          <w:b w:val="0"/>
          <w:bCs w:val="0"/>
          <w:spacing w:val="-4"/>
          <w:kern w:val="0"/>
          <w:sz w:val="24"/>
          <w:szCs w:val="24"/>
          <w:lang w:val="en-US" w:eastAsia="zh-CN"/>
        </w:rPr>
      </w:pPr>
    </w:p>
    <w:p w14:paraId="55658BAE">
      <w:pPr>
        <w:jc w:val="left"/>
        <w:rPr>
          <w:rFonts w:hint="eastAsia" w:ascii="宋体" w:hAnsi="宋体" w:eastAsia="宋体" w:cs="宋体"/>
          <w:b w:val="0"/>
          <w:bCs w:val="0"/>
          <w:spacing w:val="-4"/>
          <w:kern w:val="0"/>
          <w:sz w:val="24"/>
          <w:szCs w:val="24"/>
          <w:lang w:val="en-US" w:eastAsia="zh-CN"/>
        </w:rPr>
      </w:pPr>
    </w:p>
    <w:p w14:paraId="189B1960">
      <w:pPr>
        <w:jc w:val="left"/>
        <w:rPr>
          <w:rFonts w:hint="eastAsia" w:ascii="宋体" w:hAnsi="宋体" w:eastAsia="宋体" w:cs="宋体"/>
          <w:b w:val="0"/>
          <w:bCs w:val="0"/>
          <w:spacing w:val="-4"/>
          <w:kern w:val="0"/>
          <w:sz w:val="24"/>
          <w:szCs w:val="24"/>
          <w:lang w:val="en-US" w:eastAsia="zh-CN"/>
        </w:rPr>
      </w:pPr>
    </w:p>
    <w:p w14:paraId="46347DCC">
      <w:pPr>
        <w:jc w:val="left"/>
        <w:rPr>
          <w:rFonts w:hint="eastAsia" w:ascii="宋体" w:hAnsi="宋体" w:eastAsia="宋体" w:cs="宋体"/>
          <w:b w:val="0"/>
          <w:bCs w:val="0"/>
          <w:spacing w:val="-4"/>
          <w:kern w:val="0"/>
          <w:sz w:val="24"/>
          <w:szCs w:val="24"/>
          <w:lang w:val="en-US" w:eastAsia="zh-CN"/>
        </w:rPr>
      </w:pPr>
    </w:p>
    <w:p w14:paraId="4A3F696B">
      <w:pPr>
        <w:jc w:val="left"/>
        <w:rPr>
          <w:rFonts w:hint="eastAsia" w:ascii="宋体" w:hAnsi="宋体" w:eastAsia="宋体" w:cs="宋体"/>
          <w:b w:val="0"/>
          <w:bCs w:val="0"/>
          <w:spacing w:val="-4"/>
          <w:kern w:val="0"/>
          <w:sz w:val="24"/>
          <w:szCs w:val="24"/>
          <w:lang w:val="en-US" w:eastAsia="zh-CN"/>
        </w:rPr>
      </w:pPr>
    </w:p>
    <w:p w14:paraId="6312EF09">
      <w:pPr>
        <w:jc w:val="left"/>
        <w:rPr>
          <w:rFonts w:hint="eastAsia" w:ascii="宋体" w:hAnsi="宋体" w:eastAsia="宋体" w:cs="宋体"/>
          <w:b w:val="0"/>
          <w:bCs w:val="0"/>
          <w:spacing w:val="-4"/>
          <w:kern w:val="0"/>
          <w:sz w:val="24"/>
          <w:szCs w:val="24"/>
          <w:lang w:val="en-US" w:eastAsia="zh-CN"/>
        </w:rPr>
        <w:sectPr>
          <w:pgSz w:w="11906" w:h="16838"/>
          <w:pgMar w:top="1417" w:right="1474" w:bottom="1417" w:left="1474" w:header="851" w:footer="624" w:gutter="0"/>
          <w:pgNumType w:fmt="decimal"/>
          <w:cols w:space="720" w:num="1"/>
          <w:docGrid w:type="lines" w:linePitch="319" w:charSpace="0"/>
        </w:sectPr>
      </w:pPr>
    </w:p>
    <w:p w14:paraId="3B80EA59">
      <w:pPr>
        <w:jc w:val="left"/>
        <w:rPr>
          <w:rFonts w:hint="eastAsia" w:ascii="宋体" w:hAnsi="宋体" w:eastAsia="宋体" w:cs="宋体"/>
          <w:b/>
          <w:bCs/>
          <w:spacing w:val="-4"/>
          <w:kern w:val="0"/>
          <w:sz w:val="30"/>
          <w:szCs w:val="30"/>
          <w:lang w:val="en-US" w:eastAsia="zh-CN"/>
        </w:rPr>
      </w:pPr>
      <w:r>
        <w:rPr>
          <w:rFonts w:hint="eastAsia" w:ascii="宋体" w:hAnsi="宋体" w:eastAsia="宋体" w:cs="宋体"/>
          <w:b/>
          <w:bCs/>
          <w:spacing w:val="-4"/>
          <w:kern w:val="0"/>
          <w:sz w:val="30"/>
          <w:szCs w:val="30"/>
          <w:lang w:val="en-US" w:eastAsia="zh-CN"/>
        </w:rPr>
        <w:t>附件3</w:t>
      </w:r>
    </w:p>
    <w:p w14:paraId="09B2A667">
      <w:pPr>
        <w:jc w:val="left"/>
        <w:rPr>
          <w:rFonts w:hint="eastAsia" w:ascii="宋体" w:hAnsi="宋体" w:eastAsia="宋体" w:cs="宋体"/>
          <w:b/>
          <w:bCs/>
          <w:spacing w:val="-4"/>
          <w:kern w:val="0"/>
          <w:sz w:val="30"/>
          <w:szCs w:val="30"/>
          <w:lang w:val="en-US" w:eastAsia="zh-CN"/>
        </w:rPr>
      </w:pPr>
      <w:r>
        <w:rPr>
          <w:rFonts w:hint="eastAsia" w:ascii="宋体" w:hAnsi="宋体" w:eastAsia="宋体" w:cs="宋体"/>
          <w:b w:val="0"/>
          <w:bCs w:val="0"/>
          <w:spacing w:val="-4"/>
          <w:kern w:val="0"/>
          <w:sz w:val="24"/>
          <w:szCs w:val="24"/>
          <w:lang w:val="en-US" w:eastAsia="zh-CN"/>
        </w:rPr>
        <w:t xml:space="preserve">                    </w:t>
      </w:r>
      <w:r>
        <w:rPr>
          <w:rFonts w:hint="eastAsia" w:ascii="宋体" w:hAnsi="宋体" w:eastAsia="宋体" w:cs="宋体"/>
          <w:b/>
          <w:bCs/>
          <w:spacing w:val="-4"/>
          <w:kern w:val="0"/>
          <w:sz w:val="30"/>
          <w:szCs w:val="30"/>
          <w:lang w:val="en-US" w:eastAsia="zh-CN"/>
        </w:rPr>
        <w:t xml:space="preserve">  驻马店市中心医院售后服务承诺书</w:t>
      </w:r>
    </w:p>
    <w:p w14:paraId="17028E67">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lang w:val="en-US" w:eastAsia="zh-CN"/>
        </w:rPr>
      </w:pPr>
      <w:r>
        <w:rPr>
          <w:rFonts w:hint="eastAsia" w:ascii="宋体" w:hAnsi="宋体" w:eastAsia="宋体" w:cs="宋体"/>
          <w:b w:val="0"/>
          <w:bCs w:val="0"/>
          <w:spacing w:val="-4"/>
          <w:kern w:val="0"/>
          <w:sz w:val="24"/>
          <w:szCs w:val="24"/>
          <w:lang w:val="en-US" w:eastAsia="zh-CN"/>
        </w:rPr>
        <w:t>针对我方提供的设备，我方做出如下承诺：</w:t>
      </w:r>
    </w:p>
    <w:p w14:paraId="7E5AA8C1">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lang w:val="en-US" w:eastAsia="zh-CN"/>
        </w:rPr>
        <w:t>1、设备整机原厂保修</w:t>
      </w:r>
      <w:r>
        <w:rPr>
          <w:rFonts w:hint="eastAsia" w:ascii="宋体" w:hAnsi="宋体" w:eastAsia="宋体" w:cs="宋体"/>
          <w:b w:val="0"/>
          <w:bCs w:val="0"/>
          <w:spacing w:val="-4"/>
          <w:kern w:val="0"/>
          <w:sz w:val="24"/>
          <w:szCs w:val="24"/>
          <w:u w:val="single"/>
          <w:lang w:val="en-US" w:eastAsia="zh-CN"/>
        </w:rPr>
        <w:t xml:space="preserve">      </w:t>
      </w:r>
      <w:r>
        <w:rPr>
          <w:rFonts w:hint="eastAsia" w:ascii="宋体" w:hAnsi="宋体" w:eastAsia="宋体" w:cs="宋体"/>
          <w:b w:val="0"/>
          <w:bCs w:val="0"/>
          <w:spacing w:val="-4"/>
          <w:kern w:val="0"/>
          <w:sz w:val="24"/>
          <w:szCs w:val="24"/>
          <w:u w:val="none"/>
          <w:lang w:val="en-US" w:eastAsia="zh-CN"/>
        </w:rPr>
        <w:t xml:space="preserve">年，保修时间按甲方入库之日计算，除火灾、洪水、地震等天灾外，保修期内免费更换零配件及工时费，确保开机率为95%（含）以上。设备保修期内，设备维修占用日期每增加一天按保修时间往后顺延七天。 </w:t>
      </w:r>
    </w:p>
    <w:p w14:paraId="7F75A6D4">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2、每年 4 次专业维护保养，详细制定年度维护计划及保养内容，每次维护保养提前一周通知甲方约定保养时间。保养内容按照原厂标准进行，包括设备清洁、性能测试及校准、必要的机械或电气检查，以及非紧急性质的预防性维护，和确保系统能按照制造商的产品规格运行的其他维护，对设备构成的功能单元进行安全、图像质量方面的检测，并提供详细保养报告及年度维修保养服务报告。</w:t>
      </w:r>
    </w:p>
    <w:p w14:paraId="50B14548">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 xml:space="preserve">3、为甲方提供现场维修、零备件更换等服务。 </w:t>
      </w:r>
    </w:p>
    <w:p w14:paraId="57AA5607">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 xml:space="preserve">4、现场维修：乙方为甲方提供无限次免费工时和派工，无限次现场维修，节假日及非工作时间提供紧急维修，20分钟内电话响应，24小时内工程师到达现场，一般故障48小时内维修完毕。如当场不能解决问题，提供备用机，确保不影响医院的正常使用。 </w:t>
      </w:r>
    </w:p>
    <w:p w14:paraId="5BEECCD7">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 xml:space="preserve">5、零备件更换：在合同有效期内，保证提供原厂全新零备件，本合同服务范围内的设备进行合同约定的维修，甲方不再额外支付费用。 </w:t>
      </w:r>
    </w:p>
    <w:p w14:paraId="20A3F44E">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6、质保期满后，负责设备的终身维修并继续提供优质的服务，储备足够的零配件备库，并始终能以市场上最优惠的价格提供优质的配件。</w:t>
      </w:r>
    </w:p>
    <w:p w14:paraId="7262BF00">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 xml:space="preserve">7、设备配套的软件终身免费升级和使用，及时提供设备新功能信息和临床应用资料。 </w:t>
      </w:r>
    </w:p>
    <w:p w14:paraId="7FC61E7A">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 xml:space="preserve">8、投标人、厂家认为其他必要的内容（投标文件中其他售后服务承诺）。 </w:t>
      </w:r>
    </w:p>
    <w:p w14:paraId="59FFDDAC">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val="0"/>
          <w:bCs w:val="0"/>
          <w:spacing w:val="-4"/>
          <w:kern w:val="0"/>
          <w:sz w:val="24"/>
          <w:szCs w:val="24"/>
          <w:u w:val="none"/>
          <w:lang w:val="en-US" w:eastAsia="zh-CN"/>
        </w:rPr>
      </w:pPr>
    </w:p>
    <w:p w14:paraId="5F279846">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p>
    <w:p w14:paraId="1F721077">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 xml:space="preserve">生产厂家（签章）：必填 </w:t>
      </w:r>
    </w:p>
    <w:p w14:paraId="09F9FB14">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 xml:space="preserve">地址：必填 </w:t>
      </w:r>
    </w:p>
    <w:p w14:paraId="20057C08">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 xml:space="preserve">联系人：必填 </w:t>
      </w:r>
    </w:p>
    <w:p w14:paraId="7888FCA6">
      <w:pPr>
        <w:keepNext w:val="0"/>
        <w:keepLines w:val="0"/>
        <w:pageBreakBefore w:val="0"/>
        <w:widowControl w:val="0"/>
        <w:kinsoku/>
        <w:wordWrap/>
        <w:overflowPunct/>
        <w:topLinePunct w:val="0"/>
        <w:autoSpaceDE/>
        <w:autoSpaceDN/>
        <w:bidi w:val="0"/>
        <w:adjustRightInd/>
        <w:snapToGrid/>
        <w:spacing w:line="440" w:lineRule="exact"/>
        <w:ind w:firstLine="464" w:firstLineChars="200"/>
        <w:jc w:val="left"/>
        <w:textAlignment w:val="auto"/>
        <w:rPr>
          <w:rFonts w:hint="eastAsia" w:ascii="宋体" w:hAnsi="宋体" w:eastAsia="宋体" w:cs="宋体"/>
          <w:b w:val="0"/>
          <w:bCs w:val="0"/>
          <w:spacing w:val="-4"/>
          <w:kern w:val="0"/>
          <w:sz w:val="24"/>
          <w:szCs w:val="24"/>
          <w:u w:val="none"/>
          <w:lang w:val="en-US" w:eastAsia="zh-CN"/>
        </w:rPr>
      </w:pPr>
      <w:r>
        <w:rPr>
          <w:rFonts w:hint="eastAsia" w:ascii="宋体" w:hAnsi="宋体" w:eastAsia="宋体" w:cs="宋体"/>
          <w:b w:val="0"/>
          <w:bCs w:val="0"/>
          <w:spacing w:val="-4"/>
          <w:kern w:val="0"/>
          <w:sz w:val="24"/>
          <w:szCs w:val="24"/>
          <w:u w:val="none"/>
          <w:lang w:val="en-US" w:eastAsia="zh-CN"/>
        </w:rPr>
        <w:t>联系方式：必填</w:t>
      </w:r>
    </w:p>
    <w:p w14:paraId="63B0B57D">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jc w:val="center"/>
        <w:rPr>
          <w:rFonts w:hint="eastAsia" w:ascii="宋体" w:hAnsi="宋体" w:eastAsia="宋体" w:cs="宋体"/>
          <w:color w:val="auto"/>
          <w:kern w:val="0"/>
          <w:highlight w:val="none"/>
        </w:rPr>
      </w:pPr>
      <w:bookmarkStart w:id="42"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38"/>
      <w:bookmarkEnd w:id="39"/>
      <w:bookmarkEnd w:id="42"/>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43" w:name="_Toc13604"/>
      <w:r>
        <w:rPr>
          <w:rFonts w:hint="eastAsia" w:ascii="宋体" w:hAnsi="宋体" w:eastAsia="宋体" w:cs="宋体"/>
          <w:b/>
          <w:bCs/>
          <w:color w:val="auto"/>
          <w:sz w:val="32"/>
          <w:szCs w:val="32"/>
          <w:highlight w:val="none"/>
        </w:rPr>
        <w:t>目    录</w:t>
      </w:r>
      <w:bookmarkEnd w:id="43"/>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4" w:name="_Toc11308"/>
      <w:r>
        <w:rPr>
          <w:rFonts w:hint="eastAsia" w:ascii="宋体" w:hAnsi="宋体" w:eastAsia="宋体" w:cs="宋体"/>
          <w:color w:val="auto"/>
          <w:sz w:val="24"/>
          <w:highlight w:val="none"/>
        </w:rPr>
        <w:t>附件1</w:t>
      </w:r>
      <w:r>
        <w:rPr>
          <w:rFonts w:hint="eastAsia" w:ascii="宋体" w:hAnsi="宋体" w:eastAsia="宋体" w:cs="宋体"/>
          <w:color w:val="auto"/>
          <w:sz w:val="24"/>
          <w:highlight w:val="none"/>
          <w:lang w:val="en-US" w:eastAsia="zh-CN"/>
        </w:rPr>
        <w:t xml:space="preserve"> 响应</w:t>
      </w:r>
      <w:r>
        <w:rPr>
          <w:rFonts w:hint="eastAsia" w:ascii="宋体" w:hAnsi="宋体" w:eastAsia="宋体" w:cs="宋体"/>
          <w:color w:val="auto"/>
          <w:sz w:val="24"/>
          <w:highlight w:val="none"/>
        </w:rPr>
        <w:t>文件封面（格式）</w:t>
      </w:r>
      <w:bookmarkEnd w:id="44"/>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5"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45"/>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46"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46"/>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7" w:name="_Toc9579"/>
      <w:r>
        <w:rPr>
          <w:rFonts w:hint="eastAsia" w:ascii="宋体" w:hAnsi="宋体" w:eastAsia="宋体" w:cs="宋体"/>
          <w:color w:val="auto"/>
          <w:sz w:val="24"/>
          <w:highlight w:val="none"/>
        </w:rPr>
        <w:t xml:space="preserve">附件4 </w:t>
      </w:r>
      <w:bookmarkEnd w:id="47"/>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48"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48"/>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49" w:name="_Toc6234"/>
      <w:r>
        <w:rPr>
          <w:rFonts w:hint="eastAsia" w:ascii="宋体" w:hAnsi="宋体" w:eastAsia="宋体" w:cs="宋体"/>
          <w:color w:val="auto"/>
          <w:sz w:val="24"/>
          <w:highlight w:val="none"/>
        </w:rPr>
        <w:t>附件6 商务</w:t>
      </w:r>
      <w:bookmarkEnd w:id="49"/>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0"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50"/>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1"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51"/>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2" w:name="_Toc31857"/>
      <w:r>
        <w:rPr>
          <w:rFonts w:hint="eastAsia" w:ascii="宋体" w:hAnsi="宋体" w:eastAsia="宋体" w:cs="宋体"/>
          <w:color w:val="auto"/>
          <w:sz w:val="24"/>
          <w:highlight w:val="none"/>
        </w:rPr>
        <w:t>附件9 证明文件</w:t>
      </w:r>
      <w:bookmarkEnd w:id="52"/>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53" w:name="_Toc24743"/>
      <w:bookmarkStart w:id="54"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53"/>
      <w:bookmarkEnd w:id="54"/>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default" w:ascii="宋体" w:hAnsi="宋体" w:eastAsia="宋体" w:cs="宋体"/>
          <w:b w:val="0"/>
          <w:bCs/>
          <w:color w:val="FF0000"/>
          <w:spacing w:val="90"/>
          <w:sz w:val="52"/>
          <w:szCs w:val="52"/>
          <w:highlight w:val="none"/>
          <w:lang w:val="en-US"/>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r>
        <w:rPr>
          <w:rFonts w:hint="eastAsia" w:ascii="宋体" w:hAnsi="宋体" w:eastAsia="宋体" w:cs="宋体"/>
          <w:b w:val="0"/>
          <w:bCs/>
          <w:snapToGrid w:val="0"/>
          <w:color w:val="FF0000"/>
          <w:spacing w:val="0"/>
          <w:kern w:val="0"/>
          <w:sz w:val="44"/>
          <w:szCs w:val="44"/>
          <w:highlight w:val="none"/>
          <w:u w:val="single"/>
          <w:lang w:val="en-US" w:eastAsia="zh-CN"/>
        </w:rPr>
        <w:t xml:space="preserve"> （包号）</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3D4C1BCF">
      <w:pPr>
        <w:pStyle w:val="4"/>
        <w:spacing w:line="360" w:lineRule="auto"/>
        <w:rPr>
          <w:rFonts w:hint="eastAsia" w:ascii="宋体" w:hAnsi="宋体" w:eastAsia="宋体" w:cs="宋体"/>
          <w:color w:val="auto"/>
          <w:highlight w:val="none"/>
        </w:rPr>
      </w:pPr>
    </w:p>
    <w:p w14:paraId="51E48B65">
      <w:pPr>
        <w:pStyle w:val="4"/>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  </w:t>
      </w:r>
    </w:p>
    <w:p w14:paraId="79D76E85">
      <w:pPr>
        <w:widowControl/>
        <w:wordWrap w:val="0"/>
        <w:spacing w:line="460" w:lineRule="exact"/>
        <w:ind w:left="0" w:leftChars="0" w:firstLine="1400" w:firstLineChars="5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1400" w:firstLineChars="500"/>
        <w:jc w:val="both"/>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lang w:val="en-US" w:eastAsia="zh-CN"/>
        </w:rPr>
        <w:t xml:space="preserve">日期：     </w:t>
      </w: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5" w:name="_Toc14560"/>
      <w:bookmarkStart w:id="56" w:name="_Toc8818"/>
      <w:r>
        <w:rPr>
          <w:rFonts w:hint="eastAsia" w:ascii="宋体" w:hAnsi="宋体" w:eastAsia="宋体" w:cs="宋体"/>
          <w:color w:val="auto"/>
          <w:sz w:val="28"/>
          <w:szCs w:val="28"/>
          <w:highlight w:val="none"/>
          <w:lang w:val="en-US" w:eastAsia="zh-CN"/>
        </w:rPr>
        <w:t>附件2      竞争性磋商响应书（格式）</w:t>
      </w:r>
      <w:bookmarkEnd w:id="55"/>
      <w:bookmarkEnd w:id="56"/>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驻马店市中心医院</w:t>
      </w:r>
    </w:p>
    <w:p w14:paraId="719699C1">
      <w:pPr>
        <w:pStyle w:val="97"/>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我方仔细研究了</w:t>
      </w:r>
      <w:r>
        <w:rPr>
          <w:rFonts w:hint="eastAsia" w:ascii="宋体" w:hAnsi="宋体" w:eastAsia="宋体" w:cs="宋体"/>
          <w:bCs/>
          <w:color w:val="FF0000"/>
          <w:sz w:val="24"/>
          <w:szCs w:val="24"/>
          <w:highlight w:val="none"/>
          <w:u w:val="single"/>
        </w:rPr>
        <w:t>（项目名称：</w:t>
      </w:r>
      <w:r>
        <w:rPr>
          <w:rFonts w:hint="eastAsia" w:ascii="宋体" w:hAnsi="宋体" w:eastAsia="宋体" w:cs="宋体"/>
          <w:bCs/>
          <w:color w:val="FF0000"/>
          <w:sz w:val="24"/>
          <w:szCs w:val="24"/>
          <w:highlight w:val="none"/>
          <w:u w:val="single"/>
          <w:lang w:val="en-US" w:eastAsia="zh-CN"/>
        </w:rPr>
        <w:t xml:space="preserve">              </w:t>
      </w:r>
      <w:r>
        <w:rPr>
          <w:rFonts w:hint="eastAsia" w:ascii="宋体" w:hAnsi="宋体" w:eastAsia="宋体" w:cs="宋体"/>
          <w:bCs/>
          <w:color w:val="FF0000"/>
          <w:sz w:val="24"/>
          <w:szCs w:val="24"/>
          <w:highlight w:val="none"/>
          <w:u w:val="none"/>
          <w:lang w:val="en-US" w:eastAsia="zh-CN"/>
        </w:rPr>
        <w:t>包号：</w:t>
      </w:r>
      <w:r>
        <w:rPr>
          <w:rFonts w:hint="eastAsia" w:ascii="宋体" w:hAnsi="宋体" w:eastAsia="宋体" w:cs="宋体"/>
          <w:bCs/>
          <w:color w:val="FF0000"/>
          <w:sz w:val="24"/>
          <w:szCs w:val="24"/>
          <w:highlight w:val="none"/>
          <w:u w:val="single"/>
          <w:lang w:val="en-US" w:eastAsia="zh-CN"/>
        </w:rPr>
        <w:t xml:space="preserve">   </w:t>
      </w:r>
      <w:r>
        <w:rPr>
          <w:rFonts w:hint="eastAsia" w:ascii="宋体" w:hAnsi="宋体" w:eastAsia="宋体" w:cs="宋体"/>
          <w:bCs/>
          <w:color w:val="FF0000"/>
          <w:sz w:val="24"/>
          <w:szCs w:val="24"/>
          <w:highlight w:val="none"/>
          <w:u w:val="none"/>
          <w:lang w:val="en-US" w:eastAsia="zh-CN"/>
        </w:rPr>
        <w:t>）</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文件的全部内容，决定参加该项目的磋商活动并按要求提交响应文件。我们郑重声明以下诸点并负法律责任:</w:t>
      </w:r>
    </w:p>
    <w:p w14:paraId="3D38FEFB">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1、我方愿意向贵方提供任何与本竞争性磋商项目有关的数据、情况和技术资料，并保证其真实、合法、有效</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完整</w:t>
      </w:r>
      <w:r>
        <w:rPr>
          <w:rFonts w:hint="eastAsia" w:ascii="宋体" w:hAnsi="宋体" w:eastAsia="宋体" w:cs="宋体"/>
          <w:color w:val="auto"/>
          <w:kern w:val="0"/>
          <w:sz w:val="24"/>
          <w:szCs w:val="24"/>
          <w:highlight w:val="none"/>
        </w:rPr>
        <w:t>。</w:t>
      </w:r>
    </w:p>
    <w:p w14:paraId="77530AF8">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、我方</w:t>
      </w:r>
      <w:r>
        <w:rPr>
          <w:rFonts w:hint="eastAsia" w:ascii="宋体" w:hAnsi="宋体" w:eastAsia="宋体" w:cs="宋体"/>
          <w:sz w:val="24"/>
          <w:szCs w:val="24"/>
          <w:highlight w:val="none"/>
        </w:rPr>
        <w:t>我方响应文件有效期为自磋商之日</w:t>
      </w:r>
      <w:r>
        <w:rPr>
          <w:rFonts w:hint="eastAsia" w:ascii="宋体" w:hAnsi="宋体" w:eastAsia="宋体" w:cs="宋体"/>
          <w:sz w:val="24"/>
          <w:szCs w:val="24"/>
          <w:highlight w:val="none"/>
          <w:u w:val="none"/>
        </w:rPr>
        <w:t>起90天</w:t>
      </w:r>
      <w:r>
        <w:rPr>
          <w:rFonts w:hint="eastAsia" w:ascii="宋体" w:hAnsi="宋体" w:eastAsia="宋体" w:cs="宋体"/>
          <w:sz w:val="24"/>
          <w:szCs w:val="24"/>
          <w:highlight w:val="none"/>
          <w:u w:val="none"/>
          <w:lang w:eastAsia="zh-CN"/>
        </w:rPr>
        <w:t>，</w:t>
      </w:r>
      <w:r>
        <w:rPr>
          <w:rFonts w:hint="eastAsia" w:ascii="宋体" w:hAnsi="宋体" w:eastAsia="宋体" w:cs="宋体"/>
          <w:color w:val="auto"/>
          <w:kern w:val="0"/>
          <w:sz w:val="24"/>
          <w:szCs w:val="24"/>
          <w:highlight w:val="none"/>
        </w:rPr>
        <w:t>同意在</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文件有效期内遵守本</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文件中的承诺且在此期限期满之前均具有约束力。如果我方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响应</w:t>
      </w:r>
      <w:r>
        <w:rPr>
          <w:rFonts w:hint="eastAsia" w:ascii="宋体" w:hAnsi="宋体" w:eastAsia="宋体" w:cs="宋体"/>
          <w:color w:val="auto"/>
          <w:kern w:val="0"/>
          <w:sz w:val="24"/>
          <w:szCs w:val="24"/>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、我方已详细审查全部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文件，包括修改文件（如有的话）和有关附件，将自行承担因对全部</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、我方尊重</w:t>
      </w:r>
      <w:r>
        <w:rPr>
          <w:rFonts w:hint="eastAsia" w:ascii="宋体" w:hAnsi="宋体" w:eastAsia="宋体" w:cs="宋体"/>
          <w:color w:val="auto"/>
          <w:kern w:val="0"/>
          <w:sz w:val="24"/>
          <w:szCs w:val="24"/>
          <w:highlight w:val="none"/>
          <w:lang w:eastAsia="zh-CN"/>
        </w:rPr>
        <w:t>磋商小组</w:t>
      </w:r>
      <w:r>
        <w:rPr>
          <w:rFonts w:hint="eastAsia" w:ascii="宋体" w:hAnsi="宋体" w:eastAsia="宋体" w:cs="宋体"/>
          <w:color w:val="auto"/>
          <w:kern w:val="0"/>
          <w:sz w:val="24"/>
          <w:szCs w:val="24"/>
          <w:highlight w:val="none"/>
        </w:rPr>
        <w:t>的评</w:t>
      </w:r>
      <w:r>
        <w:rPr>
          <w:rFonts w:hint="eastAsia" w:ascii="宋体" w:hAnsi="宋体" w:eastAsia="宋体" w:cs="宋体"/>
          <w:color w:val="auto"/>
          <w:kern w:val="0"/>
          <w:sz w:val="24"/>
          <w:szCs w:val="24"/>
          <w:highlight w:val="none"/>
          <w:lang w:val="en-US" w:eastAsia="zh-CN"/>
        </w:rPr>
        <w:t>审</w:t>
      </w:r>
      <w:r>
        <w:rPr>
          <w:rFonts w:hint="eastAsia" w:ascii="宋体" w:hAnsi="宋体" w:eastAsia="宋体" w:cs="宋体"/>
          <w:color w:val="auto"/>
          <w:kern w:val="0"/>
          <w:sz w:val="24"/>
          <w:szCs w:val="24"/>
          <w:highlight w:val="none"/>
        </w:rPr>
        <w:t>结果，完全理解本</w:t>
      </w:r>
      <w:r>
        <w:rPr>
          <w:rFonts w:hint="eastAsia" w:ascii="宋体" w:hAnsi="宋体" w:eastAsia="宋体" w:cs="宋体"/>
          <w:color w:val="auto"/>
          <w:kern w:val="0"/>
          <w:sz w:val="24"/>
          <w:szCs w:val="24"/>
          <w:highlight w:val="none"/>
          <w:lang w:eastAsia="zh-CN"/>
        </w:rPr>
        <w:t>采购</w:t>
      </w:r>
      <w:r>
        <w:rPr>
          <w:rFonts w:hint="eastAsia" w:ascii="宋体" w:hAnsi="宋体" w:eastAsia="宋体" w:cs="宋体"/>
          <w:color w:val="auto"/>
          <w:kern w:val="0"/>
          <w:sz w:val="24"/>
          <w:szCs w:val="24"/>
          <w:highlight w:val="none"/>
        </w:rPr>
        <w:t>项目最低投标价不作为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的保证。</w:t>
      </w:r>
    </w:p>
    <w:p w14:paraId="16EBA839">
      <w:pPr>
        <w:keepNext w:val="0"/>
        <w:pageBreakBefore w:val="0"/>
        <w:widowControl w:val="0"/>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供应商，我方同意按</w:t>
      </w:r>
      <w:r>
        <w:rPr>
          <w:rFonts w:hint="eastAsia" w:ascii="宋体" w:hAnsi="宋体" w:eastAsia="宋体" w:cs="宋体"/>
          <w:color w:val="auto"/>
          <w:kern w:val="0"/>
          <w:sz w:val="24"/>
          <w:szCs w:val="24"/>
          <w:highlight w:val="none"/>
          <w:lang w:val="en-US" w:eastAsia="zh-CN"/>
        </w:rPr>
        <w:t>采购</w:t>
      </w:r>
      <w:r>
        <w:rPr>
          <w:rFonts w:hint="eastAsia" w:ascii="宋体" w:hAnsi="宋体" w:eastAsia="宋体" w:cs="宋体"/>
          <w:color w:val="auto"/>
          <w:kern w:val="0"/>
          <w:sz w:val="24"/>
          <w:szCs w:val="24"/>
          <w:highlight w:val="none"/>
        </w:rPr>
        <w:t>文件的规定领取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并缴纳服务费。否则，视为我方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后自动放弃</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资格，承担由此引起的一切后果。</w:t>
      </w:r>
    </w:p>
    <w:p w14:paraId="3B795BEB">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、如果被确定为</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供应商，我方同意在领取</w:t>
      </w:r>
      <w:r>
        <w:rPr>
          <w:rFonts w:hint="eastAsia" w:ascii="宋体" w:hAnsi="宋体" w:eastAsia="宋体" w:cs="宋体"/>
          <w:color w:val="auto"/>
          <w:kern w:val="0"/>
          <w:sz w:val="24"/>
          <w:szCs w:val="24"/>
          <w:highlight w:val="none"/>
          <w:lang w:eastAsia="zh-CN"/>
        </w:rPr>
        <w:t>成交通知书</w:t>
      </w:r>
      <w:r>
        <w:rPr>
          <w:rFonts w:hint="eastAsia" w:ascii="宋体" w:hAnsi="宋体" w:eastAsia="宋体" w:cs="宋体"/>
          <w:color w:val="auto"/>
          <w:kern w:val="0"/>
          <w:sz w:val="24"/>
          <w:szCs w:val="24"/>
          <w:highlight w:val="none"/>
        </w:rPr>
        <w:t>之日起</w:t>
      </w:r>
      <w:r>
        <w:rPr>
          <w:rFonts w:hint="eastAsia" w:ascii="宋体" w:hAnsi="宋体" w:eastAsia="宋体" w:cs="宋体"/>
          <w:color w:val="auto"/>
          <w:kern w:val="0"/>
          <w:sz w:val="24"/>
          <w:szCs w:val="24"/>
          <w:highlight w:val="none"/>
          <w:u w:val="none"/>
          <w:lang w:val="en-US" w:eastAsia="zh-CN"/>
        </w:rPr>
        <w:t>30</w:t>
      </w:r>
      <w:r>
        <w:rPr>
          <w:rFonts w:hint="eastAsia" w:ascii="宋体" w:hAnsi="宋体" w:eastAsia="宋体" w:cs="宋体"/>
          <w:color w:val="auto"/>
          <w:kern w:val="0"/>
          <w:sz w:val="24"/>
          <w:szCs w:val="24"/>
          <w:highlight w:val="none"/>
          <w:u w:val="none"/>
        </w:rPr>
        <w:t>日内</w:t>
      </w:r>
      <w:r>
        <w:rPr>
          <w:rFonts w:hint="eastAsia" w:ascii="宋体" w:hAnsi="宋体" w:eastAsia="宋体" w:cs="宋体"/>
          <w:color w:val="auto"/>
          <w:kern w:val="0"/>
          <w:sz w:val="24"/>
          <w:szCs w:val="24"/>
          <w:highlight w:val="none"/>
        </w:rPr>
        <w:t>与采购人签订采购合同。否则，视为我方</w:t>
      </w:r>
      <w:r>
        <w:rPr>
          <w:rFonts w:hint="eastAsia" w:ascii="宋体" w:hAnsi="宋体" w:eastAsia="宋体" w:cs="宋体"/>
          <w:color w:val="auto"/>
          <w:kern w:val="0"/>
          <w:sz w:val="24"/>
          <w:szCs w:val="24"/>
          <w:highlight w:val="none"/>
          <w:lang w:val="en-US" w:eastAsia="zh-CN"/>
        </w:rPr>
        <w:t>成交</w:t>
      </w:r>
      <w:r>
        <w:rPr>
          <w:rFonts w:hint="eastAsia" w:ascii="宋体" w:hAnsi="宋体" w:eastAsia="宋体" w:cs="宋体"/>
          <w:color w:val="auto"/>
          <w:kern w:val="0"/>
          <w:sz w:val="24"/>
          <w:szCs w:val="24"/>
          <w:highlight w:val="none"/>
        </w:rPr>
        <w:t>后无正当理由不与采购人签订合同并承担相应法律责任。</w:t>
      </w:r>
    </w:p>
    <w:p w14:paraId="0D90ED5A">
      <w:pPr>
        <w:keepNext w:val="0"/>
        <w:pageBreakBefore w:val="0"/>
        <w:widowControl w:val="0"/>
        <w:tabs>
          <w:tab w:val="left" w:pos="939"/>
        </w:tabs>
        <w:wordWrap w:val="0"/>
        <w:overflowPunct/>
        <w:topLinePunct w:val="0"/>
        <w:bidi w:val="0"/>
        <w:snapToGrid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、以上事项如有虚假或隐瞒，我方愿意承担一切后果和责任。</w:t>
      </w:r>
    </w:p>
    <w:p w14:paraId="2AA43C61">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、与</w:t>
      </w:r>
      <w:r>
        <w:rPr>
          <w:rFonts w:hint="eastAsia" w:ascii="宋体" w:hAnsi="宋体" w:eastAsia="宋体" w:cs="宋体"/>
          <w:color w:val="auto"/>
          <w:kern w:val="0"/>
          <w:sz w:val="24"/>
          <w:szCs w:val="24"/>
          <w:highlight w:val="none"/>
          <w:lang w:val="en-US" w:eastAsia="zh-CN"/>
        </w:rPr>
        <w:t>磋商</w:t>
      </w:r>
      <w:r>
        <w:rPr>
          <w:rFonts w:hint="eastAsia" w:ascii="宋体" w:hAnsi="宋体" w:eastAsia="宋体" w:cs="宋体"/>
          <w:color w:val="auto"/>
          <w:kern w:val="0"/>
          <w:sz w:val="24"/>
          <w:szCs w:val="24"/>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地址：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邮编：</w:t>
      </w:r>
    </w:p>
    <w:p w14:paraId="44EDD7FD">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 xml:space="preserve">   电话：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传真： </w:t>
      </w:r>
    </w:p>
    <w:p w14:paraId="1B961AD2">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p>
    <w:p w14:paraId="1370EEFF">
      <w:pPr>
        <w:keepNext w:val="0"/>
        <w:pageBreakBefore w:val="0"/>
        <w:widowControl w:val="0"/>
        <w:wordWrap w:val="0"/>
        <w:overflowPunct/>
        <w:topLinePunct w:val="0"/>
        <w:bidi w:val="0"/>
        <w:spacing w:line="460" w:lineRule="exact"/>
        <w:ind w:firstLine="840" w:firstLineChars="350"/>
        <w:jc w:val="left"/>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法定代表人或委托代理人（签字</w:t>
      </w:r>
      <w:r>
        <w:rPr>
          <w:rFonts w:hint="eastAsia" w:ascii="宋体" w:hAnsi="宋体" w:eastAsia="宋体" w:cs="宋体"/>
          <w:color w:val="auto"/>
          <w:kern w:val="0"/>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rPr>
        <w:t xml:space="preserve">： </w:t>
      </w:r>
    </w:p>
    <w:p w14:paraId="2249E6D9">
      <w:pPr>
        <w:keepNext w:val="0"/>
        <w:pageBreakBefore w:val="0"/>
        <w:widowControl w:val="0"/>
        <w:wordWrap w:val="0"/>
        <w:overflowPunct/>
        <w:topLinePunct w:val="0"/>
        <w:bidi w:val="0"/>
        <w:spacing w:line="46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全称并</w:t>
      </w:r>
      <w:r>
        <w:rPr>
          <w:rFonts w:hint="eastAsia" w:ascii="宋体" w:hAnsi="宋体" w:eastAsia="宋体" w:cs="宋体"/>
          <w:color w:val="auto"/>
          <w:kern w:val="0"/>
          <w:sz w:val="24"/>
          <w:szCs w:val="24"/>
          <w:highlight w:val="none"/>
          <w:lang w:val="en-US" w:eastAsia="zh-CN"/>
        </w:rPr>
        <w:t>加</w:t>
      </w:r>
      <w:r>
        <w:rPr>
          <w:rFonts w:hint="eastAsia" w:ascii="宋体" w:hAnsi="宋体" w:eastAsia="宋体"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rPr>
        <w:t>）</w:t>
      </w:r>
    </w:p>
    <w:p w14:paraId="2F6DB91A">
      <w:pPr>
        <w:keepNext w:val="0"/>
        <w:pageBreakBefore w:val="0"/>
        <w:widowControl w:val="0"/>
        <w:wordWrap w:val="0"/>
        <w:overflowPunct/>
        <w:topLinePunct w:val="0"/>
        <w:bidi w:val="0"/>
        <w:spacing w:line="460" w:lineRule="exact"/>
        <w:ind w:firstLine="960" w:firstLineChars="4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 xml:space="preserve">日期：    </w:t>
      </w:r>
      <w:r>
        <w:rPr>
          <w:rFonts w:hint="eastAsia" w:ascii="宋体" w:hAnsi="宋体" w:eastAsia="宋体" w:cs="宋体"/>
          <w:color w:val="auto"/>
          <w:kern w:val="0"/>
          <w:sz w:val="24"/>
          <w:szCs w:val="24"/>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szCs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57" w:name="_Toc7838"/>
      <w:r>
        <w:rPr>
          <w:rFonts w:hint="eastAsia" w:ascii="宋体" w:hAnsi="宋体" w:eastAsia="宋体" w:cs="宋体"/>
          <w:color w:val="auto"/>
          <w:sz w:val="28"/>
          <w:szCs w:val="28"/>
          <w:highlight w:val="none"/>
          <w:lang w:val="en-US" w:eastAsia="zh-CN"/>
        </w:rPr>
        <w:t>附件3     初次报价一览表</w:t>
      </w:r>
      <w:bookmarkEnd w:id="57"/>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highlight w:val="none"/>
          <w:lang w:eastAsia="zh-CN"/>
        </w:rPr>
        <w:t>）</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rPr>
              <w:t>项目名称</w:t>
            </w:r>
          </w:p>
        </w:tc>
        <w:tc>
          <w:tcPr>
            <w:tcW w:w="7708" w:type="dxa"/>
            <w:noWrap/>
            <w:vAlign w:val="center"/>
          </w:tcPr>
          <w:p w14:paraId="29544E6D">
            <w:pPr>
              <w:rPr>
                <w:rFonts w:hint="eastAsia" w:ascii="宋体" w:hAnsi="宋体" w:eastAsia="宋体" w:cs="宋体"/>
                <w:bCs/>
                <w:color w:val="auto"/>
                <w:sz w:val="24"/>
                <w:szCs w:val="24"/>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供应商</w:t>
            </w:r>
            <w:r>
              <w:rPr>
                <w:rFonts w:hint="eastAsia" w:ascii="宋体" w:hAnsi="宋体" w:eastAsia="宋体" w:cs="宋体"/>
                <w:b/>
                <w:bCs/>
                <w:color w:val="auto"/>
                <w:kern w:val="0"/>
                <w:sz w:val="24"/>
                <w:szCs w:val="24"/>
                <w:highlight w:val="none"/>
              </w:rPr>
              <w:t>名称</w:t>
            </w:r>
          </w:p>
        </w:tc>
        <w:tc>
          <w:tcPr>
            <w:tcW w:w="7708" w:type="dxa"/>
            <w:noWrap/>
            <w:vAlign w:val="center"/>
          </w:tcPr>
          <w:p w14:paraId="07B627DC">
            <w:pPr>
              <w:rPr>
                <w:rFonts w:hint="eastAsia" w:ascii="宋体" w:hAnsi="宋体" w:eastAsia="宋体" w:cs="宋体"/>
                <w:color w:val="auto"/>
                <w:sz w:val="24"/>
                <w:szCs w:val="24"/>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978" w:type="dxa"/>
            <w:noWrap/>
            <w:vAlign w:val="center"/>
          </w:tcPr>
          <w:p w14:paraId="2A3EC86B">
            <w:pPr>
              <w:jc w:val="center"/>
              <w:rPr>
                <w:rFonts w:hint="eastAsia" w:ascii="宋体" w:hAnsi="宋体" w:eastAsia="宋体" w:cs="宋体"/>
                <w:b/>
                <w:bCs/>
                <w:color w:val="auto"/>
                <w:spacing w:val="-20"/>
                <w:sz w:val="24"/>
                <w:szCs w:val="24"/>
                <w:highlight w:val="none"/>
                <w:lang w:eastAsia="zh-CN"/>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 w:val="24"/>
                <w:szCs w:val="24"/>
                <w:highlight w:val="none"/>
              </w:rPr>
              <w:t>报价</w:t>
            </w:r>
          </w:p>
        </w:tc>
        <w:tc>
          <w:tcPr>
            <w:tcW w:w="7708" w:type="dxa"/>
            <w:noWrap/>
            <w:vAlign w:val="center"/>
          </w:tcPr>
          <w:p w14:paraId="320832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0CA33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小写：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元（详见报价明细表）</w:t>
            </w:r>
          </w:p>
        </w:tc>
      </w:tr>
      <w:tr w14:paraId="0D97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978" w:type="dxa"/>
            <w:noWrap/>
            <w:vAlign w:val="center"/>
          </w:tcPr>
          <w:p w14:paraId="2240191E">
            <w:pPr>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质保期</w:t>
            </w:r>
          </w:p>
        </w:tc>
        <w:tc>
          <w:tcPr>
            <w:tcW w:w="7708" w:type="dxa"/>
            <w:noWrap/>
            <w:vAlign w:val="center"/>
          </w:tcPr>
          <w:p w14:paraId="4B58382D">
            <w:pPr>
              <w:pStyle w:val="21"/>
              <w:ind w:left="0" w:leftChars="0"/>
              <w:rPr>
                <w:rFonts w:hint="eastAsia" w:ascii="宋体" w:hAnsi="宋体" w:eastAsia="宋体" w:cs="宋体"/>
                <w:color w:val="auto"/>
                <w:sz w:val="24"/>
                <w:szCs w:val="24"/>
                <w:highlight w:val="none"/>
              </w:rPr>
            </w:pP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78" w:type="dxa"/>
            <w:noWrap/>
            <w:vAlign w:val="center"/>
          </w:tcPr>
          <w:p w14:paraId="2D64A98F">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  注</w:t>
            </w:r>
          </w:p>
        </w:tc>
        <w:tc>
          <w:tcPr>
            <w:tcW w:w="7708" w:type="dxa"/>
            <w:noWrap/>
            <w:vAlign w:val="center"/>
          </w:tcPr>
          <w:p w14:paraId="0FDD4FAD">
            <w:pPr>
              <w:pStyle w:val="21"/>
              <w:ind w:left="0" w:leftChars="0"/>
              <w:rPr>
                <w:rFonts w:hint="eastAsia" w:ascii="宋体" w:hAnsi="宋体" w:eastAsia="宋体" w:cs="宋体"/>
                <w:color w:val="auto"/>
                <w:sz w:val="24"/>
                <w:szCs w:val="24"/>
                <w:highlight w:val="none"/>
              </w:rPr>
            </w:pPr>
          </w:p>
        </w:tc>
      </w:tr>
    </w:tbl>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58" w:name="_Toc11620"/>
      <w:bookmarkStart w:id="59" w:name="_Toc20877"/>
    </w:p>
    <w:bookmarkEnd w:id="58"/>
    <w:bookmarkEnd w:id="59"/>
    <w:p w14:paraId="5666998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6AA37C1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3BD2DADC">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p>
    <w:bookmarkEnd w:id="40"/>
    <w:bookmarkEnd w:id="41"/>
    <w:p w14:paraId="32162F70">
      <w:pPr>
        <w:spacing w:before="20" w:after="20"/>
        <w:outlineLvl w:val="9"/>
        <w:rPr>
          <w:rFonts w:hint="eastAsia" w:ascii="宋体" w:hAnsi="宋体" w:eastAsia="宋体" w:cs="宋体"/>
          <w:color w:val="auto"/>
          <w:highlight w:val="none"/>
          <w:lang w:eastAsia="zh-CN"/>
        </w:rPr>
      </w:pPr>
      <w:bookmarkStart w:id="60" w:name="_Toc24984"/>
      <w:bookmarkStart w:id="61"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60"/>
      <w:bookmarkEnd w:id="61"/>
      <w:r>
        <w:rPr>
          <w:rFonts w:hint="eastAsia" w:ascii="宋体" w:hAnsi="宋体" w:eastAsia="宋体" w:cs="宋体"/>
          <w:color w:val="auto"/>
          <w:sz w:val="28"/>
          <w:szCs w:val="28"/>
          <w:highlight w:val="none"/>
          <w:lang w:val="en-US" w:eastAsia="zh-CN"/>
        </w:rPr>
        <w:t>报价明细表（格式）</w:t>
      </w:r>
    </w:p>
    <w:p w14:paraId="79C39A44">
      <w:pPr>
        <w:jc w:val="right"/>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97"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货物名称</w:t>
            </w:r>
          </w:p>
        </w:tc>
        <w:tc>
          <w:tcPr>
            <w:tcW w:w="1424"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品牌</w:t>
            </w:r>
          </w:p>
        </w:tc>
        <w:tc>
          <w:tcPr>
            <w:tcW w:w="1424"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规格型号</w:t>
            </w:r>
          </w:p>
        </w:tc>
        <w:tc>
          <w:tcPr>
            <w:tcW w:w="1447"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产地</w:t>
            </w:r>
          </w:p>
        </w:tc>
        <w:tc>
          <w:tcPr>
            <w:tcW w:w="822"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883"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40"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1</w:t>
            </w:r>
          </w:p>
        </w:tc>
        <w:tc>
          <w:tcPr>
            <w:tcW w:w="2097"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2</w:t>
            </w:r>
          </w:p>
        </w:tc>
        <w:tc>
          <w:tcPr>
            <w:tcW w:w="2097"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3</w:t>
            </w:r>
          </w:p>
        </w:tc>
        <w:tc>
          <w:tcPr>
            <w:tcW w:w="2097"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4</w:t>
            </w:r>
          </w:p>
        </w:tc>
        <w:tc>
          <w:tcPr>
            <w:tcW w:w="2097"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2097"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w:t>
            </w:r>
          </w:p>
        </w:tc>
        <w:tc>
          <w:tcPr>
            <w:tcW w:w="2097"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eastAsia="宋体" w:cs="宋体"/>
                <w:color w:val="auto"/>
                <w:spacing w:val="20"/>
                <w:kern w:val="0"/>
                <w:sz w:val="24"/>
                <w:highlight w:val="none"/>
                <w:lang w:val="en-US" w:eastAsia="zh-CN"/>
              </w:rPr>
              <w:t>总计</w:t>
            </w:r>
          </w:p>
        </w:tc>
        <w:tc>
          <w:tcPr>
            <w:tcW w:w="1424"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24"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447"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22"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883"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c>
          <w:tcPr>
            <w:tcW w:w="1140"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磋商</w:t>
            </w:r>
            <w:r>
              <w:rPr>
                <w:rFonts w:hint="eastAsia" w:ascii="宋体" w:hAnsi="宋体" w:eastAsia="宋体" w:cs="宋体"/>
                <w:color w:val="auto"/>
                <w:spacing w:val="20"/>
                <w:kern w:val="0"/>
                <w:sz w:val="24"/>
                <w:highlight w:val="none"/>
              </w:rPr>
              <w:t>报价(</w:t>
            </w:r>
            <w:r>
              <w:rPr>
                <w:rFonts w:hint="eastAsia" w:ascii="宋体" w:hAnsi="宋体" w:eastAsia="宋体" w:cs="宋体"/>
                <w:color w:val="auto"/>
                <w:kern w:val="0"/>
                <w:sz w:val="24"/>
                <w:szCs w:val="21"/>
                <w:highlight w:val="none"/>
              </w:rPr>
              <w:t>大写)：</w:t>
            </w:r>
          </w:p>
        </w:tc>
      </w:tr>
    </w:tbl>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p w14:paraId="48F290DC">
      <w:pPr>
        <w:pStyle w:val="33"/>
        <w:ind w:firstLine="3990" w:firstLineChars="1900"/>
        <w:rPr>
          <w:rFonts w:hint="eastAsia" w:ascii="宋体" w:hAnsi="宋体" w:eastAsia="宋体" w:cs="宋体"/>
          <w:color w:val="auto"/>
          <w:sz w:val="21"/>
          <w:szCs w:val="21"/>
          <w:highlight w:val="none"/>
          <w:lang w:eastAsia="zh-CN"/>
        </w:rPr>
      </w:pPr>
    </w:p>
    <w:p w14:paraId="6111CC48">
      <w:pPr>
        <w:pStyle w:val="6"/>
        <w:rPr>
          <w:rFonts w:hint="eastAsia" w:ascii="宋体" w:hAnsi="宋体" w:eastAsia="宋体" w:cs="宋体"/>
          <w:highlight w:val="none"/>
          <w:lang w:eastAsia="zh-CN"/>
        </w:rPr>
      </w:pPr>
    </w:p>
    <w:p w14:paraId="6614E09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AB74C8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74BAF702">
      <w:pPr>
        <w:spacing w:line="360" w:lineRule="auto"/>
        <w:ind w:firstLine="1680" w:firstLineChars="800"/>
        <w:jc w:val="both"/>
        <w:rPr>
          <w:rFonts w:hint="eastAsia" w:ascii="宋体" w:hAnsi="宋体" w:eastAsia="宋体" w:cs="宋体"/>
          <w:color w:val="auto"/>
          <w:szCs w:val="21"/>
          <w:highlight w:val="none"/>
          <w:u w:val="single"/>
        </w:rPr>
      </w:pP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62" w:name="_Toc226"/>
      <w:bookmarkStart w:id="63" w:name="_Toc15804"/>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1181"/>
        <w:gridCol w:w="1341"/>
        <w:gridCol w:w="1225"/>
        <w:gridCol w:w="995"/>
        <w:gridCol w:w="995"/>
        <w:gridCol w:w="1107"/>
        <w:gridCol w:w="883"/>
        <w:gridCol w:w="995"/>
        <w:gridCol w:w="1061"/>
        <w:gridCol w:w="1061"/>
        <w:gridCol w:w="1213"/>
        <w:gridCol w:w="1584"/>
      </w:tblGrid>
      <w:tr w14:paraId="1CEED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Align w:val="center"/>
          </w:tcPr>
          <w:p w14:paraId="646E05CB">
            <w:pPr>
              <w:widowControl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1181" w:type="dxa"/>
            <w:vAlign w:val="center"/>
          </w:tcPr>
          <w:p w14:paraId="579EE2D7">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41" w:type="dxa"/>
            <w:vAlign w:val="center"/>
          </w:tcPr>
          <w:p w14:paraId="49B7222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商品名称</w:t>
            </w:r>
          </w:p>
          <w:p w14:paraId="0BC23284">
            <w:pPr>
              <w:keepNext w:val="0"/>
              <w:keepLines w:val="0"/>
              <w:widowControl/>
              <w:suppressLineNumbers w:val="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（通用名）</w:t>
            </w:r>
          </w:p>
        </w:tc>
        <w:tc>
          <w:tcPr>
            <w:tcW w:w="1225" w:type="dxa"/>
            <w:vAlign w:val="center"/>
          </w:tcPr>
          <w:p w14:paraId="7B88569B">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995" w:type="dxa"/>
            <w:vAlign w:val="center"/>
          </w:tcPr>
          <w:p w14:paraId="13975975">
            <w:pPr>
              <w:keepNext w:val="0"/>
              <w:keepLines w:val="0"/>
              <w:widowControl/>
              <w:suppressLineNumbers w:val="0"/>
              <w:jc w:val="center"/>
              <w:rPr>
                <w:rFonts w:hint="eastAsia" w:ascii="宋体" w:hAnsi="宋体" w:eastAsia="宋体" w:cs="宋体"/>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rFonts w:hint="eastAsia" w:ascii="宋体" w:hAnsi="宋体" w:eastAsia="宋体" w:cs="宋体"/>
                <w:color w:val="auto"/>
                <w:sz w:val="21"/>
                <w:szCs w:val="21"/>
                <w:highlight w:val="none"/>
                <w:vertAlign w:val="baseline"/>
              </w:rPr>
            </w:pPr>
          </w:p>
        </w:tc>
        <w:tc>
          <w:tcPr>
            <w:tcW w:w="995" w:type="dxa"/>
            <w:vAlign w:val="center"/>
          </w:tcPr>
          <w:p w14:paraId="135D21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07"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883"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995"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061" w:type="dxa"/>
            <w:vAlign w:val="center"/>
          </w:tcPr>
          <w:p w14:paraId="317961C5">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highlight w:val="none"/>
              </w:rPr>
              <w:t>试验方法</w:t>
            </w:r>
          </w:p>
        </w:tc>
        <w:tc>
          <w:tcPr>
            <w:tcW w:w="1061"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213" w:type="dxa"/>
            <w:vAlign w:val="center"/>
          </w:tcPr>
          <w:p w14:paraId="3BAB2BE9">
            <w:pPr>
              <w:widowControl w:val="0"/>
              <w:spacing w:line="320" w:lineRule="exact"/>
              <w:jc w:val="center"/>
              <w:outlineLvl w:val="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收费项目名称</w:t>
            </w:r>
          </w:p>
        </w:tc>
        <w:tc>
          <w:tcPr>
            <w:tcW w:w="1584" w:type="dxa"/>
            <w:vAlign w:val="center"/>
          </w:tcPr>
          <w:p w14:paraId="35BD6D7D">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434CA188">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收费金额</w:t>
            </w:r>
          </w:p>
        </w:tc>
      </w:tr>
      <w:tr w14:paraId="5034C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58974EFD">
            <w:pPr>
              <w:widowControl w:val="0"/>
              <w:rPr>
                <w:rFonts w:hint="eastAsia" w:ascii="宋体" w:hAnsi="宋体" w:eastAsia="宋体" w:cs="宋体"/>
                <w:color w:val="auto"/>
                <w:highlight w:val="none"/>
                <w:vertAlign w:val="baseline"/>
              </w:rPr>
            </w:pPr>
          </w:p>
        </w:tc>
        <w:tc>
          <w:tcPr>
            <w:tcW w:w="1181" w:type="dxa"/>
            <w:vMerge w:val="restart"/>
          </w:tcPr>
          <w:p w14:paraId="1411B170">
            <w:pPr>
              <w:widowControl w:val="0"/>
              <w:rPr>
                <w:rFonts w:hint="eastAsia" w:ascii="宋体" w:hAnsi="宋体" w:eastAsia="宋体" w:cs="宋体"/>
                <w:color w:val="auto"/>
                <w:highlight w:val="none"/>
                <w:vertAlign w:val="baseline"/>
              </w:rPr>
            </w:pPr>
          </w:p>
        </w:tc>
        <w:tc>
          <w:tcPr>
            <w:tcW w:w="1341" w:type="dxa"/>
          </w:tcPr>
          <w:p w14:paraId="538C956D">
            <w:pPr>
              <w:widowControl w:val="0"/>
              <w:rPr>
                <w:rFonts w:hint="eastAsia" w:ascii="宋体" w:hAnsi="宋体" w:eastAsia="宋体" w:cs="宋体"/>
                <w:color w:val="auto"/>
                <w:highlight w:val="none"/>
                <w:vertAlign w:val="baseline"/>
              </w:rPr>
            </w:pPr>
          </w:p>
        </w:tc>
        <w:tc>
          <w:tcPr>
            <w:tcW w:w="1225" w:type="dxa"/>
          </w:tcPr>
          <w:p w14:paraId="74877ABD">
            <w:pPr>
              <w:widowControl w:val="0"/>
              <w:rPr>
                <w:rFonts w:hint="eastAsia" w:ascii="宋体" w:hAnsi="宋体" w:eastAsia="宋体" w:cs="宋体"/>
                <w:color w:val="auto"/>
                <w:highlight w:val="none"/>
                <w:vertAlign w:val="baseline"/>
              </w:rPr>
            </w:pPr>
          </w:p>
        </w:tc>
        <w:tc>
          <w:tcPr>
            <w:tcW w:w="995" w:type="dxa"/>
          </w:tcPr>
          <w:p w14:paraId="46285D21">
            <w:pPr>
              <w:widowControl w:val="0"/>
              <w:rPr>
                <w:rFonts w:hint="eastAsia" w:ascii="宋体" w:hAnsi="宋体" w:eastAsia="宋体" w:cs="宋体"/>
                <w:color w:val="auto"/>
                <w:highlight w:val="none"/>
                <w:vertAlign w:val="baseline"/>
              </w:rPr>
            </w:pPr>
          </w:p>
        </w:tc>
        <w:tc>
          <w:tcPr>
            <w:tcW w:w="995" w:type="dxa"/>
          </w:tcPr>
          <w:p w14:paraId="30AA1993">
            <w:pPr>
              <w:widowControl w:val="0"/>
              <w:rPr>
                <w:rFonts w:hint="eastAsia" w:ascii="宋体" w:hAnsi="宋体" w:eastAsia="宋体" w:cs="宋体"/>
                <w:color w:val="auto"/>
                <w:highlight w:val="none"/>
                <w:vertAlign w:val="baseline"/>
              </w:rPr>
            </w:pPr>
          </w:p>
        </w:tc>
        <w:tc>
          <w:tcPr>
            <w:tcW w:w="1107" w:type="dxa"/>
          </w:tcPr>
          <w:p w14:paraId="3FDE21BE">
            <w:pPr>
              <w:widowControl w:val="0"/>
              <w:rPr>
                <w:rFonts w:hint="eastAsia" w:ascii="宋体" w:hAnsi="宋体" w:eastAsia="宋体" w:cs="宋体"/>
                <w:color w:val="auto"/>
                <w:highlight w:val="none"/>
                <w:vertAlign w:val="baseline"/>
              </w:rPr>
            </w:pPr>
          </w:p>
        </w:tc>
        <w:tc>
          <w:tcPr>
            <w:tcW w:w="883" w:type="dxa"/>
          </w:tcPr>
          <w:p w14:paraId="2A5C917F">
            <w:pPr>
              <w:widowControl w:val="0"/>
              <w:rPr>
                <w:rFonts w:hint="eastAsia" w:ascii="宋体" w:hAnsi="宋体" w:eastAsia="宋体" w:cs="宋体"/>
                <w:color w:val="auto"/>
                <w:highlight w:val="none"/>
                <w:vertAlign w:val="baseline"/>
              </w:rPr>
            </w:pPr>
          </w:p>
        </w:tc>
        <w:tc>
          <w:tcPr>
            <w:tcW w:w="995" w:type="dxa"/>
          </w:tcPr>
          <w:p w14:paraId="2BC032BB">
            <w:pPr>
              <w:widowControl w:val="0"/>
              <w:rPr>
                <w:rFonts w:hint="eastAsia" w:ascii="宋体" w:hAnsi="宋体" w:eastAsia="宋体" w:cs="宋体"/>
                <w:color w:val="auto"/>
                <w:highlight w:val="none"/>
                <w:vertAlign w:val="baseline"/>
              </w:rPr>
            </w:pPr>
          </w:p>
        </w:tc>
        <w:tc>
          <w:tcPr>
            <w:tcW w:w="1061" w:type="dxa"/>
          </w:tcPr>
          <w:p w14:paraId="43AF7AB5">
            <w:pPr>
              <w:widowControl w:val="0"/>
              <w:rPr>
                <w:rFonts w:hint="eastAsia" w:ascii="宋体" w:hAnsi="宋体" w:eastAsia="宋体" w:cs="宋体"/>
                <w:color w:val="auto"/>
                <w:highlight w:val="none"/>
                <w:vertAlign w:val="baseline"/>
              </w:rPr>
            </w:pPr>
          </w:p>
        </w:tc>
        <w:tc>
          <w:tcPr>
            <w:tcW w:w="1061" w:type="dxa"/>
          </w:tcPr>
          <w:p w14:paraId="3CD0599F">
            <w:pPr>
              <w:widowControl w:val="0"/>
              <w:rPr>
                <w:rFonts w:hint="eastAsia" w:ascii="宋体" w:hAnsi="宋体" w:eastAsia="宋体" w:cs="宋体"/>
                <w:color w:val="auto"/>
                <w:highlight w:val="none"/>
                <w:vertAlign w:val="baseline"/>
              </w:rPr>
            </w:pPr>
          </w:p>
        </w:tc>
        <w:tc>
          <w:tcPr>
            <w:tcW w:w="1213" w:type="dxa"/>
          </w:tcPr>
          <w:p w14:paraId="351E7283">
            <w:pPr>
              <w:widowControl w:val="0"/>
              <w:rPr>
                <w:rFonts w:hint="eastAsia" w:ascii="宋体" w:hAnsi="宋体" w:eastAsia="宋体" w:cs="宋体"/>
                <w:color w:val="auto"/>
                <w:highlight w:val="none"/>
                <w:vertAlign w:val="baseline"/>
              </w:rPr>
            </w:pPr>
          </w:p>
        </w:tc>
        <w:tc>
          <w:tcPr>
            <w:tcW w:w="1584" w:type="dxa"/>
          </w:tcPr>
          <w:p w14:paraId="47A41BCD">
            <w:pPr>
              <w:widowControl w:val="0"/>
              <w:rPr>
                <w:rFonts w:hint="eastAsia" w:ascii="宋体" w:hAnsi="宋体" w:eastAsia="宋体" w:cs="宋体"/>
                <w:color w:val="auto"/>
                <w:highlight w:val="none"/>
                <w:vertAlign w:val="baseline"/>
              </w:rPr>
            </w:pPr>
          </w:p>
        </w:tc>
      </w:tr>
      <w:tr w14:paraId="54419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40F1BFA5">
            <w:pPr>
              <w:widowControl w:val="0"/>
              <w:rPr>
                <w:rFonts w:hint="eastAsia" w:ascii="宋体" w:hAnsi="宋体" w:eastAsia="宋体" w:cs="宋体"/>
                <w:color w:val="auto"/>
                <w:highlight w:val="none"/>
                <w:vertAlign w:val="baseline"/>
              </w:rPr>
            </w:pPr>
          </w:p>
        </w:tc>
        <w:tc>
          <w:tcPr>
            <w:tcW w:w="1181" w:type="dxa"/>
            <w:vMerge w:val="continue"/>
          </w:tcPr>
          <w:p w14:paraId="040A03DA">
            <w:pPr>
              <w:widowControl w:val="0"/>
              <w:rPr>
                <w:rFonts w:hint="eastAsia" w:ascii="宋体" w:hAnsi="宋体" w:eastAsia="宋体" w:cs="宋体"/>
                <w:color w:val="auto"/>
                <w:highlight w:val="none"/>
                <w:vertAlign w:val="baseline"/>
              </w:rPr>
            </w:pPr>
          </w:p>
        </w:tc>
        <w:tc>
          <w:tcPr>
            <w:tcW w:w="1341" w:type="dxa"/>
          </w:tcPr>
          <w:p w14:paraId="6D655FCD">
            <w:pPr>
              <w:widowControl w:val="0"/>
              <w:rPr>
                <w:rFonts w:hint="eastAsia" w:ascii="宋体" w:hAnsi="宋体" w:eastAsia="宋体" w:cs="宋体"/>
                <w:color w:val="auto"/>
                <w:highlight w:val="none"/>
                <w:vertAlign w:val="baseline"/>
              </w:rPr>
            </w:pPr>
          </w:p>
        </w:tc>
        <w:tc>
          <w:tcPr>
            <w:tcW w:w="1225" w:type="dxa"/>
          </w:tcPr>
          <w:p w14:paraId="5E1CE5CD">
            <w:pPr>
              <w:widowControl w:val="0"/>
              <w:rPr>
                <w:rFonts w:hint="eastAsia" w:ascii="宋体" w:hAnsi="宋体" w:eastAsia="宋体" w:cs="宋体"/>
                <w:color w:val="auto"/>
                <w:highlight w:val="none"/>
                <w:vertAlign w:val="baseline"/>
              </w:rPr>
            </w:pPr>
          </w:p>
        </w:tc>
        <w:tc>
          <w:tcPr>
            <w:tcW w:w="995" w:type="dxa"/>
          </w:tcPr>
          <w:p w14:paraId="6FFF8D39">
            <w:pPr>
              <w:widowControl w:val="0"/>
              <w:rPr>
                <w:rFonts w:hint="eastAsia" w:ascii="宋体" w:hAnsi="宋体" w:eastAsia="宋体" w:cs="宋体"/>
                <w:color w:val="auto"/>
                <w:highlight w:val="none"/>
                <w:vertAlign w:val="baseline"/>
              </w:rPr>
            </w:pPr>
          </w:p>
        </w:tc>
        <w:tc>
          <w:tcPr>
            <w:tcW w:w="995" w:type="dxa"/>
          </w:tcPr>
          <w:p w14:paraId="69EFFFF9">
            <w:pPr>
              <w:widowControl w:val="0"/>
              <w:rPr>
                <w:rFonts w:hint="eastAsia" w:ascii="宋体" w:hAnsi="宋体" w:eastAsia="宋体" w:cs="宋体"/>
                <w:color w:val="auto"/>
                <w:highlight w:val="none"/>
                <w:vertAlign w:val="baseline"/>
              </w:rPr>
            </w:pPr>
          </w:p>
        </w:tc>
        <w:tc>
          <w:tcPr>
            <w:tcW w:w="1107" w:type="dxa"/>
          </w:tcPr>
          <w:p w14:paraId="0D9181D5">
            <w:pPr>
              <w:widowControl w:val="0"/>
              <w:rPr>
                <w:rFonts w:hint="eastAsia" w:ascii="宋体" w:hAnsi="宋体" w:eastAsia="宋体" w:cs="宋体"/>
                <w:color w:val="auto"/>
                <w:highlight w:val="none"/>
                <w:vertAlign w:val="baseline"/>
              </w:rPr>
            </w:pPr>
          </w:p>
        </w:tc>
        <w:tc>
          <w:tcPr>
            <w:tcW w:w="883" w:type="dxa"/>
          </w:tcPr>
          <w:p w14:paraId="55638291">
            <w:pPr>
              <w:widowControl w:val="0"/>
              <w:rPr>
                <w:rFonts w:hint="eastAsia" w:ascii="宋体" w:hAnsi="宋体" w:eastAsia="宋体" w:cs="宋体"/>
                <w:color w:val="auto"/>
                <w:highlight w:val="none"/>
                <w:vertAlign w:val="baseline"/>
              </w:rPr>
            </w:pPr>
          </w:p>
        </w:tc>
        <w:tc>
          <w:tcPr>
            <w:tcW w:w="995" w:type="dxa"/>
          </w:tcPr>
          <w:p w14:paraId="18AD76A8">
            <w:pPr>
              <w:widowControl w:val="0"/>
              <w:rPr>
                <w:rFonts w:hint="eastAsia" w:ascii="宋体" w:hAnsi="宋体" w:eastAsia="宋体" w:cs="宋体"/>
                <w:color w:val="auto"/>
                <w:highlight w:val="none"/>
                <w:vertAlign w:val="baseline"/>
              </w:rPr>
            </w:pPr>
          </w:p>
        </w:tc>
        <w:tc>
          <w:tcPr>
            <w:tcW w:w="1061" w:type="dxa"/>
          </w:tcPr>
          <w:p w14:paraId="3E848191">
            <w:pPr>
              <w:widowControl w:val="0"/>
              <w:rPr>
                <w:rFonts w:hint="eastAsia" w:ascii="宋体" w:hAnsi="宋体" w:eastAsia="宋体" w:cs="宋体"/>
                <w:color w:val="auto"/>
                <w:highlight w:val="none"/>
                <w:vertAlign w:val="baseline"/>
              </w:rPr>
            </w:pPr>
          </w:p>
        </w:tc>
        <w:tc>
          <w:tcPr>
            <w:tcW w:w="1061" w:type="dxa"/>
          </w:tcPr>
          <w:p w14:paraId="5A6786BD">
            <w:pPr>
              <w:widowControl w:val="0"/>
              <w:rPr>
                <w:rFonts w:hint="eastAsia" w:ascii="宋体" w:hAnsi="宋体" w:eastAsia="宋体" w:cs="宋体"/>
                <w:color w:val="auto"/>
                <w:highlight w:val="none"/>
                <w:vertAlign w:val="baseline"/>
              </w:rPr>
            </w:pPr>
          </w:p>
        </w:tc>
        <w:tc>
          <w:tcPr>
            <w:tcW w:w="1213" w:type="dxa"/>
          </w:tcPr>
          <w:p w14:paraId="4A951FB8">
            <w:pPr>
              <w:widowControl w:val="0"/>
              <w:rPr>
                <w:rFonts w:hint="eastAsia" w:ascii="宋体" w:hAnsi="宋体" w:eastAsia="宋体" w:cs="宋体"/>
                <w:color w:val="auto"/>
                <w:highlight w:val="none"/>
                <w:vertAlign w:val="baseline"/>
              </w:rPr>
            </w:pPr>
          </w:p>
        </w:tc>
        <w:tc>
          <w:tcPr>
            <w:tcW w:w="1584" w:type="dxa"/>
          </w:tcPr>
          <w:p w14:paraId="554D3838">
            <w:pPr>
              <w:widowControl w:val="0"/>
              <w:rPr>
                <w:rFonts w:hint="eastAsia" w:ascii="宋体" w:hAnsi="宋体" w:eastAsia="宋体" w:cs="宋体"/>
                <w:color w:val="auto"/>
                <w:highlight w:val="none"/>
                <w:vertAlign w:val="baseline"/>
              </w:rPr>
            </w:pPr>
          </w:p>
        </w:tc>
      </w:tr>
      <w:tr w14:paraId="08337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restart"/>
          </w:tcPr>
          <w:p w14:paraId="6D387E14">
            <w:pPr>
              <w:widowControl w:val="0"/>
              <w:rPr>
                <w:rFonts w:hint="eastAsia" w:ascii="宋体" w:hAnsi="宋体" w:eastAsia="宋体" w:cs="宋体"/>
                <w:color w:val="auto"/>
                <w:highlight w:val="none"/>
                <w:vertAlign w:val="baseline"/>
              </w:rPr>
            </w:pPr>
          </w:p>
        </w:tc>
        <w:tc>
          <w:tcPr>
            <w:tcW w:w="1181" w:type="dxa"/>
            <w:vMerge w:val="restart"/>
          </w:tcPr>
          <w:p w14:paraId="0D9E80CF">
            <w:pPr>
              <w:widowControl w:val="0"/>
              <w:rPr>
                <w:rFonts w:hint="eastAsia" w:ascii="宋体" w:hAnsi="宋体" w:eastAsia="宋体" w:cs="宋体"/>
                <w:color w:val="auto"/>
                <w:highlight w:val="none"/>
                <w:vertAlign w:val="baseline"/>
              </w:rPr>
            </w:pPr>
          </w:p>
        </w:tc>
        <w:tc>
          <w:tcPr>
            <w:tcW w:w="1341" w:type="dxa"/>
          </w:tcPr>
          <w:p w14:paraId="1E7399C3">
            <w:pPr>
              <w:widowControl w:val="0"/>
              <w:rPr>
                <w:rFonts w:hint="eastAsia" w:ascii="宋体" w:hAnsi="宋体" w:eastAsia="宋体" w:cs="宋体"/>
                <w:color w:val="auto"/>
                <w:highlight w:val="none"/>
                <w:vertAlign w:val="baseline"/>
              </w:rPr>
            </w:pPr>
          </w:p>
        </w:tc>
        <w:tc>
          <w:tcPr>
            <w:tcW w:w="1225" w:type="dxa"/>
          </w:tcPr>
          <w:p w14:paraId="3F37E071">
            <w:pPr>
              <w:widowControl w:val="0"/>
              <w:rPr>
                <w:rFonts w:hint="eastAsia" w:ascii="宋体" w:hAnsi="宋体" w:eastAsia="宋体" w:cs="宋体"/>
                <w:color w:val="auto"/>
                <w:highlight w:val="none"/>
                <w:vertAlign w:val="baseline"/>
              </w:rPr>
            </w:pPr>
          </w:p>
        </w:tc>
        <w:tc>
          <w:tcPr>
            <w:tcW w:w="995" w:type="dxa"/>
          </w:tcPr>
          <w:p w14:paraId="3C6E9A35">
            <w:pPr>
              <w:widowControl w:val="0"/>
              <w:rPr>
                <w:rFonts w:hint="eastAsia" w:ascii="宋体" w:hAnsi="宋体" w:eastAsia="宋体" w:cs="宋体"/>
                <w:color w:val="auto"/>
                <w:highlight w:val="none"/>
                <w:vertAlign w:val="baseline"/>
              </w:rPr>
            </w:pPr>
          </w:p>
        </w:tc>
        <w:tc>
          <w:tcPr>
            <w:tcW w:w="995" w:type="dxa"/>
          </w:tcPr>
          <w:p w14:paraId="439A493E">
            <w:pPr>
              <w:widowControl w:val="0"/>
              <w:rPr>
                <w:rFonts w:hint="eastAsia" w:ascii="宋体" w:hAnsi="宋体" w:eastAsia="宋体" w:cs="宋体"/>
                <w:color w:val="auto"/>
                <w:highlight w:val="none"/>
                <w:vertAlign w:val="baseline"/>
              </w:rPr>
            </w:pPr>
          </w:p>
        </w:tc>
        <w:tc>
          <w:tcPr>
            <w:tcW w:w="1107" w:type="dxa"/>
          </w:tcPr>
          <w:p w14:paraId="6DA472CA">
            <w:pPr>
              <w:widowControl w:val="0"/>
              <w:rPr>
                <w:rFonts w:hint="eastAsia" w:ascii="宋体" w:hAnsi="宋体" w:eastAsia="宋体" w:cs="宋体"/>
                <w:color w:val="auto"/>
                <w:highlight w:val="none"/>
                <w:vertAlign w:val="baseline"/>
              </w:rPr>
            </w:pPr>
          </w:p>
        </w:tc>
        <w:tc>
          <w:tcPr>
            <w:tcW w:w="883" w:type="dxa"/>
          </w:tcPr>
          <w:p w14:paraId="4B709168">
            <w:pPr>
              <w:widowControl w:val="0"/>
              <w:rPr>
                <w:rFonts w:hint="eastAsia" w:ascii="宋体" w:hAnsi="宋体" w:eastAsia="宋体" w:cs="宋体"/>
                <w:color w:val="auto"/>
                <w:highlight w:val="none"/>
                <w:vertAlign w:val="baseline"/>
              </w:rPr>
            </w:pPr>
          </w:p>
        </w:tc>
        <w:tc>
          <w:tcPr>
            <w:tcW w:w="995" w:type="dxa"/>
          </w:tcPr>
          <w:p w14:paraId="0406CE2F">
            <w:pPr>
              <w:widowControl w:val="0"/>
              <w:rPr>
                <w:rFonts w:hint="eastAsia" w:ascii="宋体" w:hAnsi="宋体" w:eastAsia="宋体" w:cs="宋体"/>
                <w:color w:val="auto"/>
                <w:highlight w:val="none"/>
                <w:vertAlign w:val="baseline"/>
              </w:rPr>
            </w:pPr>
          </w:p>
        </w:tc>
        <w:tc>
          <w:tcPr>
            <w:tcW w:w="1061" w:type="dxa"/>
          </w:tcPr>
          <w:p w14:paraId="51830342">
            <w:pPr>
              <w:widowControl w:val="0"/>
              <w:rPr>
                <w:rFonts w:hint="eastAsia" w:ascii="宋体" w:hAnsi="宋体" w:eastAsia="宋体" w:cs="宋体"/>
                <w:color w:val="auto"/>
                <w:highlight w:val="none"/>
                <w:vertAlign w:val="baseline"/>
              </w:rPr>
            </w:pPr>
          </w:p>
        </w:tc>
        <w:tc>
          <w:tcPr>
            <w:tcW w:w="1061" w:type="dxa"/>
          </w:tcPr>
          <w:p w14:paraId="19B6E307">
            <w:pPr>
              <w:widowControl w:val="0"/>
              <w:rPr>
                <w:rFonts w:hint="eastAsia" w:ascii="宋体" w:hAnsi="宋体" w:eastAsia="宋体" w:cs="宋体"/>
                <w:color w:val="auto"/>
                <w:highlight w:val="none"/>
                <w:vertAlign w:val="baseline"/>
              </w:rPr>
            </w:pPr>
          </w:p>
        </w:tc>
        <w:tc>
          <w:tcPr>
            <w:tcW w:w="1213" w:type="dxa"/>
          </w:tcPr>
          <w:p w14:paraId="3E3FE638">
            <w:pPr>
              <w:widowControl w:val="0"/>
              <w:rPr>
                <w:rFonts w:hint="eastAsia" w:ascii="宋体" w:hAnsi="宋体" w:eastAsia="宋体" w:cs="宋体"/>
                <w:color w:val="auto"/>
                <w:highlight w:val="none"/>
                <w:vertAlign w:val="baseline"/>
              </w:rPr>
            </w:pPr>
          </w:p>
        </w:tc>
        <w:tc>
          <w:tcPr>
            <w:tcW w:w="1584" w:type="dxa"/>
          </w:tcPr>
          <w:p w14:paraId="71BF78D1">
            <w:pPr>
              <w:widowControl w:val="0"/>
              <w:rPr>
                <w:rFonts w:hint="eastAsia" w:ascii="宋体" w:hAnsi="宋体" w:eastAsia="宋体" w:cs="宋体"/>
                <w:color w:val="auto"/>
                <w:highlight w:val="none"/>
                <w:vertAlign w:val="baseline"/>
              </w:rPr>
            </w:pPr>
          </w:p>
        </w:tc>
      </w:tr>
      <w:tr w14:paraId="00679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3" w:type="dxa"/>
            <w:vMerge w:val="continue"/>
          </w:tcPr>
          <w:p w14:paraId="5C983840">
            <w:pPr>
              <w:widowControl w:val="0"/>
              <w:rPr>
                <w:rFonts w:hint="eastAsia" w:ascii="宋体" w:hAnsi="宋体" w:eastAsia="宋体" w:cs="宋体"/>
                <w:color w:val="auto"/>
                <w:highlight w:val="none"/>
                <w:vertAlign w:val="baseline"/>
              </w:rPr>
            </w:pPr>
          </w:p>
        </w:tc>
        <w:tc>
          <w:tcPr>
            <w:tcW w:w="1181" w:type="dxa"/>
            <w:vMerge w:val="continue"/>
          </w:tcPr>
          <w:p w14:paraId="321CC1BD">
            <w:pPr>
              <w:widowControl w:val="0"/>
              <w:rPr>
                <w:rFonts w:hint="eastAsia" w:ascii="宋体" w:hAnsi="宋体" w:eastAsia="宋体" w:cs="宋体"/>
                <w:color w:val="auto"/>
                <w:highlight w:val="none"/>
                <w:vertAlign w:val="baseline"/>
              </w:rPr>
            </w:pPr>
          </w:p>
        </w:tc>
        <w:tc>
          <w:tcPr>
            <w:tcW w:w="1341" w:type="dxa"/>
          </w:tcPr>
          <w:p w14:paraId="177DB5E9">
            <w:pPr>
              <w:widowControl w:val="0"/>
              <w:rPr>
                <w:rFonts w:hint="eastAsia" w:ascii="宋体" w:hAnsi="宋体" w:eastAsia="宋体" w:cs="宋体"/>
                <w:color w:val="auto"/>
                <w:highlight w:val="none"/>
                <w:vertAlign w:val="baseline"/>
              </w:rPr>
            </w:pPr>
          </w:p>
        </w:tc>
        <w:tc>
          <w:tcPr>
            <w:tcW w:w="1225" w:type="dxa"/>
          </w:tcPr>
          <w:p w14:paraId="74208401">
            <w:pPr>
              <w:widowControl w:val="0"/>
              <w:rPr>
                <w:rFonts w:hint="eastAsia" w:ascii="宋体" w:hAnsi="宋体" w:eastAsia="宋体" w:cs="宋体"/>
                <w:color w:val="auto"/>
                <w:highlight w:val="none"/>
                <w:vertAlign w:val="baseline"/>
              </w:rPr>
            </w:pPr>
          </w:p>
        </w:tc>
        <w:tc>
          <w:tcPr>
            <w:tcW w:w="995" w:type="dxa"/>
          </w:tcPr>
          <w:p w14:paraId="1C3E1A61">
            <w:pPr>
              <w:widowControl w:val="0"/>
              <w:rPr>
                <w:rFonts w:hint="eastAsia" w:ascii="宋体" w:hAnsi="宋体" w:eastAsia="宋体" w:cs="宋体"/>
                <w:color w:val="auto"/>
                <w:highlight w:val="none"/>
                <w:vertAlign w:val="baseline"/>
              </w:rPr>
            </w:pPr>
          </w:p>
        </w:tc>
        <w:tc>
          <w:tcPr>
            <w:tcW w:w="995" w:type="dxa"/>
          </w:tcPr>
          <w:p w14:paraId="045B7522">
            <w:pPr>
              <w:widowControl w:val="0"/>
              <w:rPr>
                <w:rFonts w:hint="eastAsia" w:ascii="宋体" w:hAnsi="宋体" w:eastAsia="宋体" w:cs="宋体"/>
                <w:color w:val="auto"/>
                <w:highlight w:val="none"/>
                <w:vertAlign w:val="baseline"/>
              </w:rPr>
            </w:pPr>
          </w:p>
        </w:tc>
        <w:tc>
          <w:tcPr>
            <w:tcW w:w="1107" w:type="dxa"/>
          </w:tcPr>
          <w:p w14:paraId="495D32C7">
            <w:pPr>
              <w:widowControl w:val="0"/>
              <w:rPr>
                <w:rFonts w:hint="eastAsia" w:ascii="宋体" w:hAnsi="宋体" w:eastAsia="宋体" w:cs="宋体"/>
                <w:color w:val="auto"/>
                <w:highlight w:val="none"/>
                <w:vertAlign w:val="baseline"/>
              </w:rPr>
            </w:pPr>
          </w:p>
        </w:tc>
        <w:tc>
          <w:tcPr>
            <w:tcW w:w="883" w:type="dxa"/>
          </w:tcPr>
          <w:p w14:paraId="6707E9BC">
            <w:pPr>
              <w:widowControl w:val="0"/>
              <w:rPr>
                <w:rFonts w:hint="eastAsia" w:ascii="宋体" w:hAnsi="宋体" w:eastAsia="宋体" w:cs="宋体"/>
                <w:color w:val="auto"/>
                <w:highlight w:val="none"/>
                <w:vertAlign w:val="baseline"/>
              </w:rPr>
            </w:pPr>
          </w:p>
        </w:tc>
        <w:tc>
          <w:tcPr>
            <w:tcW w:w="995" w:type="dxa"/>
          </w:tcPr>
          <w:p w14:paraId="3D0459B3">
            <w:pPr>
              <w:widowControl w:val="0"/>
              <w:rPr>
                <w:rFonts w:hint="eastAsia" w:ascii="宋体" w:hAnsi="宋体" w:eastAsia="宋体" w:cs="宋体"/>
                <w:color w:val="auto"/>
                <w:highlight w:val="none"/>
                <w:vertAlign w:val="baseline"/>
              </w:rPr>
            </w:pPr>
          </w:p>
        </w:tc>
        <w:tc>
          <w:tcPr>
            <w:tcW w:w="1061" w:type="dxa"/>
          </w:tcPr>
          <w:p w14:paraId="079689F5">
            <w:pPr>
              <w:widowControl w:val="0"/>
              <w:rPr>
                <w:rFonts w:hint="eastAsia" w:ascii="宋体" w:hAnsi="宋体" w:eastAsia="宋体" w:cs="宋体"/>
                <w:color w:val="auto"/>
                <w:highlight w:val="none"/>
                <w:vertAlign w:val="baseline"/>
              </w:rPr>
            </w:pPr>
          </w:p>
        </w:tc>
        <w:tc>
          <w:tcPr>
            <w:tcW w:w="1061" w:type="dxa"/>
          </w:tcPr>
          <w:p w14:paraId="0417379A">
            <w:pPr>
              <w:widowControl w:val="0"/>
              <w:rPr>
                <w:rFonts w:hint="eastAsia" w:ascii="宋体" w:hAnsi="宋体" w:eastAsia="宋体" w:cs="宋体"/>
                <w:color w:val="auto"/>
                <w:highlight w:val="none"/>
                <w:vertAlign w:val="baseline"/>
              </w:rPr>
            </w:pPr>
          </w:p>
        </w:tc>
        <w:tc>
          <w:tcPr>
            <w:tcW w:w="1213" w:type="dxa"/>
          </w:tcPr>
          <w:p w14:paraId="60DE824B">
            <w:pPr>
              <w:widowControl w:val="0"/>
              <w:rPr>
                <w:rFonts w:hint="eastAsia" w:ascii="宋体" w:hAnsi="宋体" w:eastAsia="宋体" w:cs="宋体"/>
                <w:color w:val="auto"/>
                <w:highlight w:val="none"/>
                <w:vertAlign w:val="baseline"/>
              </w:rPr>
            </w:pPr>
          </w:p>
        </w:tc>
        <w:tc>
          <w:tcPr>
            <w:tcW w:w="1584" w:type="dxa"/>
          </w:tcPr>
          <w:p w14:paraId="544ED074">
            <w:pPr>
              <w:widowControl w:val="0"/>
              <w:rPr>
                <w:rFonts w:hint="eastAsia" w:ascii="宋体" w:hAnsi="宋体" w:eastAsia="宋体" w:cs="宋体"/>
                <w:color w:val="auto"/>
                <w:highlight w:val="none"/>
                <w:vertAlign w:val="baseline"/>
              </w:rPr>
            </w:pPr>
          </w:p>
        </w:tc>
      </w:tr>
    </w:tbl>
    <w:p w14:paraId="5C36BDA2">
      <w:pPr>
        <w:rPr>
          <w:rFonts w:hint="eastAsia" w:ascii="宋体" w:hAnsi="宋体" w:eastAsia="宋体" w:cs="宋体"/>
          <w:color w:val="auto"/>
          <w:highlight w:val="none"/>
        </w:rPr>
      </w:pPr>
    </w:p>
    <w:p w14:paraId="19F2D90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01061A6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43FDC8B3">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此表为产品配套试剂报价表，如没有，无需制作，可自行删除。</w:t>
      </w:r>
    </w:p>
    <w:p w14:paraId="3C312762">
      <w:pPr>
        <w:pStyle w:val="24"/>
        <w:rPr>
          <w:rFonts w:hint="eastAsia" w:ascii="宋体" w:hAnsi="宋体" w:eastAsia="宋体" w:cs="宋体"/>
          <w:color w:val="auto"/>
          <w:kern w:val="0"/>
          <w:sz w:val="24"/>
          <w:highlight w:val="none"/>
        </w:rPr>
      </w:pPr>
    </w:p>
    <w:p w14:paraId="5E4799AD">
      <w:pPr>
        <w:pStyle w:val="24"/>
        <w:rPr>
          <w:rFonts w:hint="eastAsia" w:ascii="宋体" w:hAnsi="宋体" w:eastAsia="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rFonts w:hint="eastAsia" w:ascii="宋体" w:hAnsi="宋体" w:eastAsia="宋体" w:cs="宋体"/>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8"/>
        <w:gridCol w:w="1185"/>
        <w:gridCol w:w="1185"/>
        <w:gridCol w:w="1200"/>
        <w:gridCol w:w="1134"/>
        <w:gridCol w:w="986"/>
        <w:gridCol w:w="986"/>
        <w:gridCol w:w="986"/>
        <w:gridCol w:w="708"/>
        <w:gridCol w:w="1125"/>
        <w:gridCol w:w="1275"/>
        <w:gridCol w:w="1500"/>
        <w:gridCol w:w="1405"/>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Align w:val="center"/>
          </w:tcPr>
          <w:p w14:paraId="446D7DBC">
            <w:pPr>
              <w:widowControl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1185" w:type="dxa"/>
            <w:vAlign w:val="center"/>
          </w:tcPr>
          <w:p w14:paraId="3CC43DE8">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185" w:type="dxa"/>
            <w:vAlign w:val="center"/>
          </w:tcPr>
          <w:p w14:paraId="601779BC">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200" w:type="dxa"/>
            <w:vAlign w:val="center"/>
          </w:tcPr>
          <w:p w14:paraId="32F79E07">
            <w:pPr>
              <w:keepNext w:val="0"/>
              <w:keepLines w:val="0"/>
              <w:widowControl/>
              <w:suppressLineNumbers w:val="0"/>
              <w:jc w:val="center"/>
              <w:rPr>
                <w:rFonts w:hint="eastAsia" w:ascii="宋体" w:hAnsi="宋体" w:eastAsia="宋体" w:cs="宋体"/>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rFonts w:hint="eastAsia" w:ascii="宋体" w:hAnsi="宋体" w:eastAsia="宋体" w:cs="宋体"/>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134" w:type="dxa"/>
            <w:vAlign w:val="center"/>
          </w:tcPr>
          <w:p w14:paraId="3EA06616">
            <w:pPr>
              <w:keepNext w:val="0"/>
              <w:keepLines w:val="0"/>
              <w:widowControl/>
              <w:suppressLineNumbers w:val="0"/>
              <w:jc w:val="center"/>
              <w:rPr>
                <w:rFonts w:hint="eastAsia" w:ascii="宋体" w:hAnsi="宋体" w:eastAsia="宋体" w:cs="宋体"/>
                <w:b/>
                <w:bCs/>
                <w:szCs w:val="21"/>
                <w:highlight w:val="none"/>
              </w:rPr>
            </w:pPr>
            <w:r>
              <w:rPr>
                <w:rFonts w:hint="eastAsia" w:ascii="宋体" w:hAnsi="宋体" w:eastAsia="宋体" w:cs="宋体"/>
                <w:b/>
                <w:bCs/>
                <w:szCs w:val="21"/>
                <w:highlight w:val="none"/>
              </w:rPr>
              <w:t>规格型号</w:t>
            </w:r>
          </w:p>
          <w:p w14:paraId="1BA4FA70">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zCs w:val="21"/>
                <w:highlight w:val="none"/>
                <w:lang w:eastAsia="zh-CN"/>
              </w:rPr>
              <w:t>（</w:t>
            </w:r>
            <w:r>
              <w:rPr>
                <w:rFonts w:hint="eastAsia" w:ascii="宋体" w:hAnsi="宋体" w:eastAsia="宋体" w:cs="宋体"/>
                <w:b/>
                <w:bCs/>
                <w:szCs w:val="21"/>
                <w:highlight w:val="none"/>
              </w:rPr>
              <w:t>按注册证规格型号填写</w:t>
            </w:r>
            <w:r>
              <w:rPr>
                <w:rFonts w:hint="eastAsia" w:ascii="宋体" w:hAnsi="宋体" w:eastAsia="宋体" w:cs="宋体"/>
                <w:b/>
                <w:bCs/>
                <w:szCs w:val="21"/>
                <w:highlight w:val="none"/>
                <w:lang w:eastAsia="zh-CN"/>
              </w:rPr>
              <w:t>）</w:t>
            </w:r>
          </w:p>
        </w:tc>
        <w:tc>
          <w:tcPr>
            <w:tcW w:w="986" w:type="dxa"/>
            <w:vAlign w:val="center"/>
          </w:tcPr>
          <w:p w14:paraId="6334D0FF">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生产企业</w:t>
            </w:r>
          </w:p>
        </w:tc>
        <w:tc>
          <w:tcPr>
            <w:tcW w:w="986" w:type="dxa"/>
            <w:vAlign w:val="center"/>
          </w:tcPr>
          <w:p w14:paraId="472F7579">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品牌</w:t>
            </w:r>
          </w:p>
        </w:tc>
        <w:tc>
          <w:tcPr>
            <w:tcW w:w="986" w:type="dxa"/>
            <w:vAlign w:val="center"/>
          </w:tcPr>
          <w:p w14:paraId="18B1749A">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产地</w:t>
            </w:r>
          </w:p>
        </w:tc>
        <w:tc>
          <w:tcPr>
            <w:tcW w:w="708" w:type="dxa"/>
            <w:vAlign w:val="center"/>
          </w:tcPr>
          <w:p w14:paraId="14110869">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计价单位</w:t>
            </w:r>
          </w:p>
        </w:tc>
        <w:tc>
          <w:tcPr>
            <w:tcW w:w="1125" w:type="dxa"/>
            <w:vAlign w:val="center"/>
          </w:tcPr>
          <w:p w14:paraId="53A80B95">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投标单价</w:t>
            </w:r>
          </w:p>
          <w:p w14:paraId="4B956310">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（元/单位）</w:t>
            </w:r>
          </w:p>
        </w:tc>
        <w:tc>
          <w:tcPr>
            <w:tcW w:w="1275" w:type="dxa"/>
            <w:vAlign w:val="center"/>
          </w:tcPr>
          <w:p w14:paraId="59672E7B">
            <w:pPr>
              <w:keepNext w:val="0"/>
              <w:keepLines w:val="0"/>
              <w:widowControl/>
              <w:suppressLineNumbers w:val="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网采号</w:t>
            </w:r>
          </w:p>
        </w:tc>
        <w:tc>
          <w:tcPr>
            <w:tcW w:w="1500" w:type="dxa"/>
            <w:vAlign w:val="center"/>
          </w:tcPr>
          <w:p w14:paraId="5AC485E5">
            <w:pPr>
              <w:widowControl w:val="0"/>
              <w:spacing w:line="320" w:lineRule="exact"/>
              <w:jc w:val="center"/>
              <w:outlineLvl w:val="0"/>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收费项目名称</w:t>
            </w:r>
          </w:p>
        </w:tc>
        <w:tc>
          <w:tcPr>
            <w:tcW w:w="1405" w:type="dxa"/>
            <w:vAlign w:val="center"/>
          </w:tcPr>
          <w:p w14:paraId="41A0E20A">
            <w:pPr>
              <w:widowControl w:val="0"/>
              <w:spacing w:line="320" w:lineRule="exact"/>
              <w:jc w:val="center"/>
              <w:outlineLvl w:val="0"/>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收费编码、</w:t>
            </w:r>
          </w:p>
          <w:p w14:paraId="750DD40B">
            <w:pPr>
              <w:widowControl w:val="0"/>
              <w:spacing w:line="320" w:lineRule="exact"/>
              <w:jc w:val="center"/>
              <w:outlineLvl w:val="0"/>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color w:val="auto"/>
                <w:sz w:val="21"/>
                <w:szCs w:val="21"/>
                <w:highlight w:val="none"/>
                <w:lang w:val="en-US" w:eastAsia="zh-CN"/>
              </w:rPr>
              <w:t>收费金额</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185" w:type="dxa"/>
            <w:vMerge w:val="restart"/>
          </w:tcPr>
          <w:p w14:paraId="2078D575">
            <w:pPr>
              <w:widowControl w:val="0"/>
              <w:rPr>
                <w:rFonts w:hint="eastAsia" w:ascii="宋体" w:hAnsi="宋体" w:eastAsia="宋体" w:cs="宋体"/>
                <w:color w:val="auto"/>
                <w:highlight w:val="none"/>
                <w:vertAlign w:val="baseline"/>
              </w:rPr>
            </w:pPr>
          </w:p>
        </w:tc>
        <w:tc>
          <w:tcPr>
            <w:tcW w:w="1185" w:type="dxa"/>
          </w:tcPr>
          <w:p w14:paraId="0F341263">
            <w:pPr>
              <w:widowControl w:val="0"/>
              <w:rPr>
                <w:rFonts w:hint="eastAsia" w:ascii="宋体" w:hAnsi="宋体" w:eastAsia="宋体" w:cs="宋体"/>
                <w:color w:val="auto"/>
                <w:highlight w:val="none"/>
                <w:vertAlign w:val="baseline"/>
              </w:rPr>
            </w:pPr>
          </w:p>
        </w:tc>
        <w:tc>
          <w:tcPr>
            <w:tcW w:w="1200" w:type="dxa"/>
          </w:tcPr>
          <w:p w14:paraId="5E2811FC">
            <w:pPr>
              <w:widowControl w:val="0"/>
              <w:rPr>
                <w:rFonts w:hint="eastAsia" w:ascii="宋体" w:hAnsi="宋体" w:eastAsia="宋体" w:cs="宋体"/>
                <w:color w:val="auto"/>
                <w:highlight w:val="none"/>
                <w:vertAlign w:val="baseline"/>
              </w:rPr>
            </w:pPr>
          </w:p>
        </w:tc>
        <w:tc>
          <w:tcPr>
            <w:tcW w:w="1134" w:type="dxa"/>
          </w:tcPr>
          <w:p w14:paraId="4138DDFD">
            <w:pPr>
              <w:widowControl w:val="0"/>
              <w:rPr>
                <w:rFonts w:hint="eastAsia" w:ascii="宋体" w:hAnsi="宋体" w:eastAsia="宋体" w:cs="宋体"/>
                <w:color w:val="auto"/>
                <w:highlight w:val="none"/>
                <w:vertAlign w:val="baseline"/>
              </w:rPr>
            </w:pPr>
          </w:p>
        </w:tc>
        <w:tc>
          <w:tcPr>
            <w:tcW w:w="986" w:type="dxa"/>
          </w:tcPr>
          <w:p w14:paraId="6406ADBC">
            <w:pPr>
              <w:widowControl w:val="0"/>
              <w:rPr>
                <w:rFonts w:hint="eastAsia" w:ascii="宋体" w:hAnsi="宋体" w:eastAsia="宋体" w:cs="宋体"/>
                <w:color w:val="auto"/>
                <w:highlight w:val="none"/>
                <w:vertAlign w:val="baseline"/>
              </w:rPr>
            </w:pPr>
          </w:p>
        </w:tc>
        <w:tc>
          <w:tcPr>
            <w:tcW w:w="986" w:type="dxa"/>
          </w:tcPr>
          <w:p w14:paraId="23110391">
            <w:pPr>
              <w:widowControl w:val="0"/>
              <w:rPr>
                <w:rFonts w:hint="eastAsia" w:ascii="宋体" w:hAnsi="宋体" w:eastAsia="宋体" w:cs="宋体"/>
                <w:color w:val="auto"/>
                <w:highlight w:val="none"/>
                <w:vertAlign w:val="baseline"/>
              </w:rPr>
            </w:pPr>
          </w:p>
        </w:tc>
        <w:tc>
          <w:tcPr>
            <w:tcW w:w="986" w:type="dxa"/>
          </w:tcPr>
          <w:p w14:paraId="403934A1">
            <w:pPr>
              <w:widowControl w:val="0"/>
              <w:rPr>
                <w:rFonts w:hint="eastAsia" w:ascii="宋体" w:hAnsi="宋体" w:eastAsia="宋体" w:cs="宋体"/>
                <w:color w:val="auto"/>
                <w:highlight w:val="none"/>
                <w:vertAlign w:val="baseline"/>
              </w:rPr>
            </w:pPr>
          </w:p>
        </w:tc>
        <w:tc>
          <w:tcPr>
            <w:tcW w:w="708" w:type="dxa"/>
          </w:tcPr>
          <w:p w14:paraId="542CE9FA">
            <w:pPr>
              <w:widowControl w:val="0"/>
              <w:rPr>
                <w:rFonts w:hint="eastAsia" w:ascii="宋体" w:hAnsi="宋体" w:eastAsia="宋体" w:cs="宋体"/>
                <w:color w:val="auto"/>
                <w:highlight w:val="none"/>
                <w:vertAlign w:val="baseline"/>
              </w:rPr>
            </w:pPr>
          </w:p>
        </w:tc>
        <w:tc>
          <w:tcPr>
            <w:tcW w:w="1125" w:type="dxa"/>
          </w:tcPr>
          <w:p w14:paraId="1C229079">
            <w:pPr>
              <w:widowControl w:val="0"/>
              <w:rPr>
                <w:rFonts w:hint="eastAsia" w:ascii="宋体" w:hAnsi="宋体" w:eastAsia="宋体" w:cs="宋体"/>
                <w:color w:val="auto"/>
                <w:highlight w:val="none"/>
                <w:vertAlign w:val="baseline"/>
              </w:rPr>
            </w:pPr>
          </w:p>
        </w:tc>
        <w:tc>
          <w:tcPr>
            <w:tcW w:w="1275" w:type="dxa"/>
          </w:tcPr>
          <w:p w14:paraId="0535F847">
            <w:pPr>
              <w:widowControl w:val="0"/>
              <w:rPr>
                <w:rFonts w:hint="eastAsia" w:ascii="宋体" w:hAnsi="宋体" w:eastAsia="宋体" w:cs="宋体"/>
                <w:color w:val="auto"/>
                <w:highlight w:val="none"/>
                <w:vertAlign w:val="baseline"/>
              </w:rPr>
            </w:pPr>
          </w:p>
        </w:tc>
        <w:tc>
          <w:tcPr>
            <w:tcW w:w="1500" w:type="dxa"/>
          </w:tcPr>
          <w:p w14:paraId="2034F975">
            <w:pPr>
              <w:widowControl w:val="0"/>
              <w:rPr>
                <w:rFonts w:hint="eastAsia" w:ascii="宋体" w:hAnsi="宋体" w:eastAsia="宋体" w:cs="宋体"/>
                <w:color w:val="auto"/>
                <w:highlight w:val="none"/>
                <w:vertAlign w:val="baseline"/>
              </w:rPr>
            </w:pPr>
          </w:p>
        </w:tc>
        <w:tc>
          <w:tcPr>
            <w:tcW w:w="1405" w:type="dxa"/>
          </w:tcPr>
          <w:p w14:paraId="04DE4CC0">
            <w:pPr>
              <w:widowControl w:val="0"/>
              <w:rPr>
                <w:rFonts w:hint="eastAsia" w:ascii="宋体" w:hAnsi="宋体" w:eastAsia="宋体" w:cs="宋体"/>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185" w:type="dxa"/>
            <w:vMerge w:val="continue"/>
          </w:tcPr>
          <w:p w14:paraId="1629D171">
            <w:pPr>
              <w:widowControl w:val="0"/>
              <w:rPr>
                <w:rFonts w:hint="eastAsia" w:ascii="宋体" w:hAnsi="宋体" w:eastAsia="宋体" w:cs="宋体"/>
                <w:color w:val="auto"/>
                <w:highlight w:val="none"/>
                <w:vertAlign w:val="baseline"/>
              </w:rPr>
            </w:pPr>
          </w:p>
        </w:tc>
        <w:tc>
          <w:tcPr>
            <w:tcW w:w="1185" w:type="dxa"/>
          </w:tcPr>
          <w:p w14:paraId="6F728AC8">
            <w:pPr>
              <w:widowControl w:val="0"/>
              <w:rPr>
                <w:rFonts w:hint="eastAsia" w:ascii="宋体" w:hAnsi="宋体" w:eastAsia="宋体" w:cs="宋体"/>
                <w:color w:val="auto"/>
                <w:highlight w:val="none"/>
                <w:vertAlign w:val="baseline"/>
              </w:rPr>
            </w:pPr>
          </w:p>
        </w:tc>
        <w:tc>
          <w:tcPr>
            <w:tcW w:w="1200" w:type="dxa"/>
          </w:tcPr>
          <w:p w14:paraId="5DC1D47F">
            <w:pPr>
              <w:widowControl w:val="0"/>
              <w:rPr>
                <w:rFonts w:hint="eastAsia" w:ascii="宋体" w:hAnsi="宋体" w:eastAsia="宋体" w:cs="宋体"/>
                <w:color w:val="auto"/>
                <w:highlight w:val="none"/>
                <w:vertAlign w:val="baseline"/>
              </w:rPr>
            </w:pPr>
          </w:p>
        </w:tc>
        <w:tc>
          <w:tcPr>
            <w:tcW w:w="1134" w:type="dxa"/>
          </w:tcPr>
          <w:p w14:paraId="0736C76F">
            <w:pPr>
              <w:widowControl w:val="0"/>
              <w:rPr>
                <w:rFonts w:hint="eastAsia" w:ascii="宋体" w:hAnsi="宋体" w:eastAsia="宋体" w:cs="宋体"/>
                <w:color w:val="auto"/>
                <w:highlight w:val="none"/>
                <w:vertAlign w:val="baseline"/>
              </w:rPr>
            </w:pPr>
          </w:p>
        </w:tc>
        <w:tc>
          <w:tcPr>
            <w:tcW w:w="986" w:type="dxa"/>
          </w:tcPr>
          <w:p w14:paraId="4A635A5B">
            <w:pPr>
              <w:widowControl w:val="0"/>
              <w:rPr>
                <w:rFonts w:hint="eastAsia" w:ascii="宋体" w:hAnsi="宋体" w:eastAsia="宋体" w:cs="宋体"/>
                <w:color w:val="auto"/>
                <w:highlight w:val="none"/>
                <w:vertAlign w:val="baseline"/>
              </w:rPr>
            </w:pPr>
          </w:p>
        </w:tc>
        <w:tc>
          <w:tcPr>
            <w:tcW w:w="986" w:type="dxa"/>
          </w:tcPr>
          <w:p w14:paraId="41FF43D8">
            <w:pPr>
              <w:widowControl w:val="0"/>
              <w:rPr>
                <w:rFonts w:hint="eastAsia" w:ascii="宋体" w:hAnsi="宋体" w:eastAsia="宋体" w:cs="宋体"/>
                <w:color w:val="auto"/>
                <w:highlight w:val="none"/>
                <w:vertAlign w:val="baseline"/>
              </w:rPr>
            </w:pPr>
          </w:p>
        </w:tc>
        <w:tc>
          <w:tcPr>
            <w:tcW w:w="986" w:type="dxa"/>
          </w:tcPr>
          <w:p w14:paraId="739BF70B">
            <w:pPr>
              <w:widowControl w:val="0"/>
              <w:rPr>
                <w:rFonts w:hint="eastAsia" w:ascii="宋体" w:hAnsi="宋体" w:eastAsia="宋体" w:cs="宋体"/>
                <w:color w:val="auto"/>
                <w:highlight w:val="none"/>
                <w:vertAlign w:val="baseline"/>
              </w:rPr>
            </w:pPr>
          </w:p>
        </w:tc>
        <w:tc>
          <w:tcPr>
            <w:tcW w:w="708" w:type="dxa"/>
          </w:tcPr>
          <w:p w14:paraId="21217D12">
            <w:pPr>
              <w:widowControl w:val="0"/>
              <w:rPr>
                <w:rFonts w:hint="eastAsia" w:ascii="宋体" w:hAnsi="宋体" w:eastAsia="宋体" w:cs="宋体"/>
                <w:color w:val="auto"/>
                <w:highlight w:val="none"/>
                <w:vertAlign w:val="baseline"/>
              </w:rPr>
            </w:pPr>
          </w:p>
        </w:tc>
        <w:tc>
          <w:tcPr>
            <w:tcW w:w="1125" w:type="dxa"/>
          </w:tcPr>
          <w:p w14:paraId="2D25857A">
            <w:pPr>
              <w:widowControl w:val="0"/>
              <w:rPr>
                <w:rFonts w:hint="eastAsia" w:ascii="宋体" w:hAnsi="宋体" w:eastAsia="宋体" w:cs="宋体"/>
                <w:color w:val="auto"/>
                <w:highlight w:val="none"/>
                <w:vertAlign w:val="baseline"/>
              </w:rPr>
            </w:pPr>
          </w:p>
        </w:tc>
        <w:tc>
          <w:tcPr>
            <w:tcW w:w="1275" w:type="dxa"/>
          </w:tcPr>
          <w:p w14:paraId="4976030C">
            <w:pPr>
              <w:widowControl w:val="0"/>
              <w:rPr>
                <w:rFonts w:hint="eastAsia" w:ascii="宋体" w:hAnsi="宋体" w:eastAsia="宋体" w:cs="宋体"/>
                <w:color w:val="auto"/>
                <w:highlight w:val="none"/>
                <w:vertAlign w:val="baseline"/>
              </w:rPr>
            </w:pPr>
          </w:p>
        </w:tc>
        <w:tc>
          <w:tcPr>
            <w:tcW w:w="1500" w:type="dxa"/>
          </w:tcPr>
          <w:p w14:paraId="5664F5DB">
            <w:pPr>
              <w:widowControl w:val="0"/>
              <w:rPr>
                <w:rFonts w:hint="eastAsia" w:ascii="宋体" w:hAnsi="宋体" w:eastAsia="宋体" w:cs="宋体"/>
                <w:color w:val="auto"/>
                <w:highlight w:val="none"/>
                <w:vertAlign w:val="baseline"/>
              </w:rPr>
            </w:pPr>
          </w:p>
        </w:tc>
        <w:tc>
          <w:tcPr>
            <w:tcW w:w="1405" w:type="dxa"/>
          </w:tcPr>
          <w:p w14:paraId="366DE966">
            <w:pPr>
              <w:widowControl w:val="0"/>
              <w:rPr>
                <w:rFonts w:hint="eastAsia" w:ascii="宋体" w:hAnsi="宋体" w:eastAsia="宋体" w:cs="宋体"/>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185" w:type="dxa"/>
            <w:vMerge w:val="restart"/>
          </w:tcPr>
          <w:p w14:paraId="5F7F009A">
            <w:pPr>
              <w:widowControl w:val="0"/>
              <w:rPr>
                <w:rFonts w:hint="eastAsia" w:ascii="宋体" w:hAnsi="宋体" w:eastAsia="宋体" w:cs="宋体"/>
                <w:color w:val="auto"/>
                <w:highlight w:val="none"/>
                <w:vertAlign w:val="baseline"/>
              </w:rPr>
            </w:pPr>
          </w:p>
        </w:tc>
        <w:tc>
          <w:tcPr>
            <w:tcW w:w="1185" w:type="dxa"/>
          </w:tcPr>
          <w:p w14:paraId="0D8A01B7">
            <w:pPr>
              <w:widowControl w:val="0"/>
              <w:rPr>
                <w:rFonts w:hint="eastAsia" w:ascii="宋体" w:hAnsi="宋体" w:eastAsia="宋体" w:cs="宋体"/>
                <w:color w:val="auto"/>
                <w:highlight w:val="none"/>
                <w:vertAlign w:val="baseline"/>
              </w:rPr>
            </w:pPr>
          </w:p>
        </w:tc>
        <w:tc>
          <w:tcPr>
            <w:tcW w:w="1200" w:type="dxa"/>
          </w:tcPr>
          <w:p w14:paraId="5D2869C6">
            <w:pPr>
              <w:widowControl w:val="0"/>
              <w:rPr>
                <w:rFonts w:hint="eastAsia" w:ascii="宋体" w:hAnsi="宋体" w:eastAsia="宋体" w:cs="宋体"/>
                <w:color w:val="auto"/>
                <w:highlight w:val="none"/>
                <w:vertAlign w:val="baseline"/>
              </w:rPr>
            </w:pPr>
          </w:p>
        </w:tc>
        <w:tc>
          <w:tcPr>
            <w:tcW w:w="1134" w:type="dxa"/>
          </w:tcPr>
          <w:p w14:paraId="1AA351AF">
            <w:pPr>
              <w:widowControl w:val="0"/>
              <w:rPr>
                <w:rFonts w:hint="eastAsia" w:ascii="宋体" w:hAnsi="宋体" w:eastAsia="宋体" w:cs="宋体"/>
                <w:color w:val="auto"/>
                <w:highlight w:val="none"/>
                <w:vertAlign w:val="baseline"/>
              </w:rPr>
            </w:pPr>
          </w:p>
        </w:tc>
        <w:tc>
          <w:tcPr>
            <w:tcW w:w="986" w:type="dxa"/>
          </w:tcPr>
          <w:p w14:paraId="709D356D">
            <w:pPr>
              <w:widowControl w:val="0"/>
              <w:rPr>
                <w:rFonts w:hint="eastAsia" w:ascii="宋体" w:hAnsi="宋体" w:eastAsia="宋体" w:cs="宋体"/>
                <w:color w:val="auto"/>
                <w:highlight w:val="none"/>
                <w:vertAlign w:val="baseline"/>
              </w:rPr>
            </w:pPr>
          </w:p>
        </w:tc>
        <w:tc>
          <w:tcPr>
            <w:tcW w:w="986" w:type="dxa"/>
          </w:tcPr>
          <w:p w14:paraId="140B3B78">
            <w:pPr>
              <w:widowControl w:val="0"/>
              <w:rPr>
                <w:rFonts w:hint="eastAsia" w:ascii="宋体" w:hAnsi="宋体" w:eastAsia="宋体" w:cs="宋体"/>
                <w:color w:val="auto"/>
                <w:highlight w:val="none"/>
                <w:vertAlign w:val="baseline"/>
              </w:rPr>
            </w:pPr>
          </w:p>
        </w:tc>
        <w:tc>
          <w:tcPr>
            <w:tcW w:w="986" w:type="dxa"/>
          </w:tcPr>
          <w:p w14:paraId="7187B6F3">
            <w:pPr>
              <w:widowControl w:val="0"/>
              <w:rPr>
                <w:rFonts w:hint="eastAsia" w:ascii="宋体" w:hAnsi="宋体" w:eastAsia="宋体" w:cs="宋体"/>
                <w:color w:val="auto"/>
                <w:highlight w:val="none"/>
                <w:vertAlign w:val="baseline"/>
              </w:rPr>
            </w:pPr>
          </w:p>
        </w:tc>
        <w:tc>
          <w:tcPr>
            <w:tcW w:w="708" w:type="dxa"/>
          </w:tcPr>
          <w:p w14:paraId="782C0C79">
            <w:pPr>
              <w:widowControl w:val="0"/>
              <w:rPr>
                <w:rFonts w:hint="eastAsia" w:ascii="宋体" w:hAnsi="宋体" w:eastAsia="宋体" w:cs="宋体"/>
                <w:color w:val="auto"/>
                <w:highlight w:val="none"/>
                <w:vertAlign w:val="baseline"/>
              </w:rPr>
            </w:pPr>
          </w:p>
        </w:tc>
        <w:tc>
          <w:tcPr>
            <w:tcW w:w="1125" w:type="dxa"/>
          </w:tcPr>
          <w:p w14:paraId="3BA3AD13">
            <w:pPr>
              <w:widowControl w:val="0"/>
              <w:rPr>
                <w:rFonts w:hint="eastAsia" w:ascii="宋体" w:hAnsi="宋体" w:eastAsia="宋体" w:cs="宋体"/>
                <w:color w:val="auto"/>
                <w:highlight w:val="none"/>
                <w:vertAlign w:val="baseline"/>
              </w:rPr>
            </w:pPr>
          </w:p>
        </w:tc>
        <w:tc>
          <w:tcPr>
            <w:tcW w:w="1275" w:type="dxa"/>
          </w:tcPr>
          <w:p w14:paraId="3F864AE3">
            <w:pPr>
              <w:widowControl w:val="0"/>
              <w:rPr>
                <w:rFonts w:hint="eastAsia" w:ascii="宋体" w:hAnsi="宋体" w:eastAsia="宋体" w:cs="宋体"/>
                <w:color w:val="auto"/>
                <w:highlight w:val="none"/>
                <w:vertAlign w:val="baseline"/>
              </w:rPr>
            </w:pPr>
          </w:p>
        </w:tc>
        <w:tc>
          <w:tcPr>
            <w:tcW w:w="1500" w:type="dxa"/>
          </w:tcPr>
          <w:p w14:paraId="6D48088E">
            <w:pPr>
              <w:widowControl w:val="0"/>
              <w:rPr>
                <w:rFonts w:hint="eastAsia" w:ascii="宋体" w:hAnsi="宋体" w:eastAsia="宋体" w:cs="宋体"/>
                <w:color w:val="auto"/>
                <w:highlight w:val="none"/>
                <w:vertAlign w:val="baseline"/>
              </w:rPr>
            </w:pPr>
          </w:p>
        </w:tc>
        <w:tc>
          <w:tcPr>
            <w:tcW w:w="1405" w:type="dxa"/>
          </w:tcPr>
          <w:p w14:paraId="09F3E95E">
            <w:pPr>
              <w:widowControl w:val="0"/>
              <w:rPr>
                <w:rFonts w:hint="eastAsia" w:ascii="宋体" w:hAnsi="宋体" w:eastAsia="宋体" w:cs="宋体"/>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38" w:type="dxa"/>
            <w:vMerge w:val="continue"/>
          </w:tcPr>
          <w:p w14:paraId="4AD2190F">
            <w:pPr>
              <w:widowControl w:val="0"/>
              <w:rPr>
                <w:rFonts w:hint="eastAsia" w:ascii="宋体" w:hAnsi="宋体" w:eastAsia="宋体" w:cs="宋体"/>
                <w:color w:val="auto"/>
                <w:highlight w:val="none"/>
                <w:vertAlign w:val="baseline"/>
              </w:rPr>
            </w:pPr>
          </w:p>
        </w:tc>
        <w:tc>
          <w:tcPr>
            <w:tcW w:w="1185" w:type="dxa"/>
            <w:vMerge w:val="continue"/>
          </w:tcPr>
          <w:p w14:paraId="4D0CA1FD">
            <w:pPr>
              <w:widowControl w:val="0"/>
              <w:rPr>
                <w:rFonts w:hint="eastAsia" w:ascii="宋体" w:hAnsi="宋体" w:eastAsia="宋体" w:cs="宋体"/>
                <w:color w:val="auto"/>
                <w:highlight w:val="none"/>
                <w:vertAlign w:val="baseline"/>
              </w:rPr>
            </w:pPr>
          </w:p>
        </w:tc>
        <w:tc>
          <w:tcPr>
            <w:tcW w:w="1185" w:type="dxa"/>
          </w:tcPr>
          <w:p w14:paraId="23AB6B66">
            <w:pPr>
              <w:widowControl w:val="0"/>
              <w:rPr>
                <w:rFonts w:hint="eastAsia" w:ascii="宋体" w:hAnsi="宋体" w:eastAsia="宋体" w:cs="宋体"/>
                <w:color w:val="auto"/>
                <w:highlight w:val="none"/>
                <w:vertAlign w:val="baseline"/>
              </w:rPr>
            </w:pPr>
          </w:p>
        </w:tc>
        <w:tc>
          <w:tcPr>
            <w:tcW w:w="1200" w:type="dxa"/>
          </w:tcPr>
          <w:p w14:paraId="6B29D694">
            <w:pPr>
              <w:widowControl w:val="0"/>
              <w:rPr>
                <w:rFonts w:hint="eastAsia" w:ascii="宋体" w:hAnsi="宋体" w:eastAsia="宋体" w:cs="宋体"/>
                <w:color w:val="auto"/>
                <w:highlight w:val="none"/>
                <w:vertAlign w:val="baseline"/>
              </w:rPr>
            </w:pPr>
          </w:p>
        </w:tc>
        <w:tc>
          <w:tcPr>
            <w:tcW w:w="1134" w:type="dxa"/>
          </w:tcPr>
          <w:p w14:paraId="424656BF">
            <w:pPr>
              <w:widowControl w:val="0"/>
              <w:rPr>
                <w:rFonts w:hint="eastAsia" w:ascii="宋体" w:hAnsi="宋体" w:eastAsia="宋体" w:cs="宋体"/>
                <w:color w:val="auto"/>
                <w:highlight w:val="none"/>
                <w:vertAlign w:val="baseline"/>
              </w:rPr>
            </w:pPr>
          </w:p>
        </w:tc>
        <w:tc>
          <w:tcPr>
            <w:tcW w:w="986" w:type="dxa"/>
          </w:tcPr>
          <w:p w14:paraId="7D39357A">
            <w:pPr>
              <w:widowControl w:val="0"/>
              <w:rPr>
                <w:rFonts w:hint="eastAsia" w:ascii="宋体" w:hAnsi="宋体" w:eastAsia="宋体" w:cs="宋体"/>
                <w:color w:val="auto"/>
                <w:highlight w:val="none"/>
                <w:vertAlign w:val="baseline"/>
              </w:rPr>
            </w:pPr>
          </w:p>
        </w:tc>
        <w:tc>
          <w:tcPr>
            <w:tcW w:w="986" w:type="dxa"/>
          </w:tcPr>
          <w:p w14:paraId="747DFEFE">
            <w:pPr>
              <w:widowControl w:val="0"/>
              <w:rPr>
                <w:rFonts w:hint="eastAsia" w:ascii="宋体" w:hAnsi="宋体" w:eastAsia="宋体" w:cs="宋体"/>
                <w:color w:val="auto"/>
                <w:highlight w:val="none"/>
                <w:vertAlign w:val="baseline"/>
              </w:rPr>
            </w:pPr>
          </w:p>
        </w:tc>
        <w:tc>
          <w:tcPr>
            <w:tcW w:w="986" w:type="dxa"/>
          </w:tcPr>
          <w:p w14:paraId="3CDE67A2">
            <w:pPr>
              <w:widowControl w:val="0"/>
              <w:rPr>
                <w:rFonts w:hint="eastAsia" w:ascii="宋体" w:hAnsi="宋体" w:eastAsia="宋体" w:cs="宋体"/>
                <w:color w:val="auto"/>
                <w:highlight w:val="none"/>
                <w:vertAlign w:val="baseline"/>
              </w:rPr>
            </w:pPr>
          </w:p>
        </w:tc>
        <w:tc>
          <w:tcPr>
            <w:tcW w:w="708" w:type="dxa"/>
          </w:tcPr>
          <w:p w14:paraId="5D8AC925">
            <w:pPr>
              <w:widowControl w:val="0"/>
              <w:rPr>
                <w:rFonts w:hint="eastAsia" w:ascii="宋体" w:hAnsi="宋体" w:eastAsia="宋体" w:cs="宋体"/>
                <w:color w:val="auto"/>
                <w:highlight w:val="none"/>
                <w:vertAlign w:val="baseline"/>
              </w:rPr>
            </w:pPr>
          </w:p>
        </w:tc>
        <w:tc>
          <w:tcPr>
            <w:tcW w:w="1125" w:type="dxa"/>
          </w:tcPr>
          <w:p w14:paraId="3D2C7340">
            <w:pPr>
              <w:widowControl w:val="0"/>
              <w:rPr>
                <w:rFonts w:hint="eastAsia" w:ascii="宋体" w:hAnsi="宋体" w:eastAsia="宋体" w:cs="宋体"/>
                <w:color w:val="auto"/>
                <w:highlight w:val="none"/>
                <w:vertAlign w:val="baseline"/>
              </w:rPr>
            </w:pPr>
          </w:p>
        </w:tc>
        <w:tc>
          <w:tcPr>
            <w:tcW w:w="1275" w:type="dxa"/>
          </w:tcPr>
          <w:p w14:paraId="4A016A1F">
            <w:pPr>
              <w:widowControl w:val="0"/>
              <w:rPr>
                <w:rFonts w:hint="eastAsia" w:ascii="宋体" w:hAnsi="宋体" w:eastAsia="宋体" w:cs="宋体"/>
                <w:color w:val="auto"/>
                <w:highlight w:val="none"/>
                <w:vertAlign w:val="baseline"/>
              </w:rPr>
            </w:pPr>
          </w:p>
        </w:tc>
        <w:tc>
          <w:tcPr>
            <w:tcW w:w="1500" w:type="dxa"/>
          </w:tcPr>
          <w:p w14:paraId="6AA74C35">
            <w:pPr>
              <w:widowControl w:val="0"/>
              <w:rPr>
                <w:rFonts w:hint="eastAsia" w:ascii="宋体" w:hAnsi="宋体" w:eastAsia="宋体" w:cs="宋体"/>
                <w:color w:val="auto"/>
                <w:highlight w:val="none"/>
                <w:vertAlign w:val="baseline"/>
              </w:rPr>
            </w:pPr>
          </w:p>
        </w:tc>
        <w:tc>
          <w:tcPr>
            <w:tcW w:w="1405" w:type="dxa"/>
          </w:tcPr>
          <w:p w14:paraId="091E8271">
            <w:pPr>
              <w:widowControl w:val="0"/>
              <w:rPr>
                <w:rFonts w:hint="eastAsia" w:ascii="宋体" w:hAnsi="宋体" w:eastAsia="宋体" w:cs="宋体"/>
                <w:color w:val="auto"/>
                <w:highlight w:val="none"/>
                <w:vertAlign w:val="baseline"/>
              </w:rPr>
            </w:pPr>
          </w:p>
        </w:tc>
      </w:tr>
    </w:tbl>
    <w:p w14:paraId="367C1593">
      <w:pPr>
        <w:rPr>
          <w:rFonts w:hint="eastAsia" w:ascii="宋体" w:hAnsi="宋体" w:eastAsia="宋体" w:cs="宋体"/>
          <w:color w:val="auto"/>
          <w:highlight w:val="none"/>
        </w:rPr>
      </w:pPr>
    </w:p>
    <w:p w14:paraId="5F948E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5CB6035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F3401C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p>
    <w:p w14:paraId="05393A2A">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rFonts w:hint="eastAsia" w:ascii="宋体" w:hAnsi="宋体" w:eastAsia="宋体" w:cs="宋体"/>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此表为产品配套耗材报价表，如没有，无需制作，可自行删除。</w:t>
      </w:r>
    </w:p>
    <w:p w14:paraId="66DBF250">
      <w:pPr>
        <w:pStyle w:val="24"/>
        <w:rPr>
          <w:rFonts w:hint="eastAsia" w:ascii="宋体" w:hAnsi="宋体" w:eastAsia="宋体" w:cs="宋体"/>
          <w:color w:val="auto"/>
          <w:kern w:val="0"/>
          <w:sz w:val="24"/>
          <w:highlight w:val="none"/>
        </w:rPr>
      </w:pPr>
    </w:p>
    <w:p w14:paraId="02699B8D">
      <w:pPr>
        <w:pStyle w:val="24"/>
        <w:rPr>
          <w:rFonts w:hint="eastAsia" w:ascii="宋体" w:hAnsi="宋体" w:eastAsia="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238" w:type="dxa"/>
            <w:vAlign w:val="center"/>
          </w:tcPr>
          <w:p w14:paraId="29752C26">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型号规格</w:t>
            </w:r>
          </w:p>
        </w:tc>
        <w:tc>
          <w:tcPr>
            <w:tcW w:w="1023" w:type="dxa"/>
            <w:vAlign w:val="center"/>
          </w:tcPr>
          <w:p w14:paraId="545160AD">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800" w:type="dxa"/>
            <w:vAlign w:val="center"/>
          </w:tcPr>
          <w:p w14:paraId="6CD84A93">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2B2FB324">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3FFED3C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FC676C2">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25AACED3">
            <w:pPr>
              <w:widowControl w:val="0"/>
              <w:jc w:val="center"/>
              <w:rPr>
                <w:rFonts w:hint="eastAsia" w:ascii="宋体" w:hAnsi="宋体" w:eastAsia="宋体" w:cs="宋体"/>
                <w:color w:val="auto"/>
                <w:highlight w:val="none"/>
                <w:vertAlign w:val="baseline"/>
                <w:lang w:val="en-US" w:eastAsia="zh-CN"/>
              </w:rPr>
            </w:pPr>
          </w:p>
        </w:tc>
        <w:tc>
          <w:tcPr>
            <w:tcW w:w="1023" w:type="dxa"/>
            <w:vAlign w:val="center"/>
          </w:tcPr>
          <w:p w14:paraId="749D014C">
            <w:pPr>
              <w:widowControl w:val="0"/>
              <w:jc w:val="center"/>
              <w:rPr>
                <w:rFonts w:hint="eastAsia" w:ascii="宋体" w:hAnsi="宋体" w:eastAsia="宋体" w:cs="宋体"/>
                <w:color w:val="auto"/>
                <w:highlight w:val="none"/>
                <w:vertAlign w:val="baseline"/>
                <w:lang w:val="en-US" w:eastAsia="zh-CN"/>
              </w:rPr>
            </w:pPr>
          </w:p>
        </w:tc>
        <w:tc>
          <w:tcPr>
            <w:tcW w:w="1800" w:type="dxa"/>
            <w:vAlign w:val="center"/>
          </w:tcPr>
          <w:p w14:paraId="05134611">
            <w:pPr>
              <w:widowControl w:val="0"/>
              <w:jc w:val="center"/>
              <w:rPr>
                <w:rFonts w:hint="eastAsia" w:ascii="宋体" w:hAnsi="宋体" w:eastAsia="宋体" w:cs="宋体"/>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31FB795C">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3DDF1F3E">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AE826AF">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439C5F96">
            <w:pPr>
              <w:widowControl w:val="0"/>
              <w:jc w:val="center"/>
              <w:rPr>
                <w:rFonts w:hint="eastAsia" w:ascii="宋体" w:hAnsi="宋体" w:eastAsia="宋体" w:cs="宋体"/>
                <w:color w:val="auto"/>
                <w:highlight w:val="none"/>
                <w:vertAlign w:val="baseline"/>
                <w:lang w:val="en-US" w:eastAsia="zh-CN"/>
              </w:rPr>
            </w:pPr>
          </w:p>
        </w:tc>
        <w:tc>
          <w:tcPr>
            <w:tcW w:w="1023" w:type="dxa"/>
            <w:vAlign w:val="center"/>
          </w:tcPr>
          <w:p w14:paraId="674CDC80">
            <w:pPr>
              <w:widowControl w:val="0"/>
              <w:jc w:val="center"/>
              <w:rPr>
                <w:rFonts w:hint="eastAsia" w:ascii="宋体" w:hAnsi="宋体" w:eastAsia="宋体" w:cs="宋体"/>
                <w:color w:val="auto"/>
                <w:highlight w:val="none"/>
                <w:vertAlign w:val="baseline"/>
                <w:lang w:val="en-US" w:eastAsia="zh-CN"/>
              </w:rPr>
            </w:pPr>
          </w:p>
        </w:tc>
        <w:tc>
          <w:tcPr>
            <w:tcW w:w="1800" w:type="dxa"/>
            <w:vAlign w:val="center"/>
          </w:tcPr>
          <w:p w14:paraId="1CB5057F">
            <w:pPr>
              <w:widowControl w:val="0"/>
              <w:jc w:val="center"/>
              <w:rPr>
                <w:rFonts w:hint="eastAsia" w:ascii="宋体" w:hAnsi="宋体" w:eastAsia="宋体" w:cs="宋体"/>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4953F941">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60D4163C">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F5D0506">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2E86AD5">
            <w:pPr>
              <w:widowControl w:val="0"/>
              <w:jc w:val="center"/>
              <w:rPr>
                <w:rFonts w:hint="eastAsia" w:ascii="宋体" w:hAnsi="宋体" w:eastAsia="宋体" w:cs="宋体"/>
                <w:color w:val="auto"/>
                <w:highlight w:val="none"/>
                <w:vertAlign w:val="baseline"/>
                <w:lang w:val="en-US" w:eastAsia="zh-CN"/>
              </w:rPr>
            </w:pPr>
          </w:p>
        </w:tc>
        <w:tc>
          <w:tcPr>
            <w:tcW w:w="1023" w:type="dxa"/>
            <w:vAlign w:val="center"/>
          </w:tcPr>
          <w:p w14:paraId="7134BF0D">
            <w:pPr>
              <w:widowControl w:val="0"/>
              <w:jc w:val="center"/>
              <w:rPr>
                <w:rFonts w:hint="eastAsia" w:ascii="宋体" w:hAnsi="宋体" w:eastAsia="宋体" w:cs="宋体"/>
                <w:color w:val="auto"/>
                <w:highlight w:val="none"/>
                <w:vertAlign w:val="baseline"/>
                <w:lang w:val="en-US" w:eastAsia="zh-CN"/>
              </w:rPr>
            </w:pPr>
          </w:p>
        </w:tc>
        <w:tc>
          <w:tcPr>
            <w:tcW w:w="1800" w:type="dxa"/>
            <w:vAlign w:val="center"/>
          </w:tcPr>
          <w:p w14:paraId="0EB3CD05">
            <w:pPr>
              <w:widowControl w:val="0"/>
              <w:jc w:val="center"/>
              <w:rPr>
                <w:rFonts w:hint="eastAsia" w:ascii="宋体" w:hAnsi="宋体" w:eastAsia="宋体" w:cs="宋体"/>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3A245A3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6D057E85">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515422B7">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61FB83F">
            <w:pPr>
              <w:widowControl w:val="0"/>
              <w:jc w:val="center"/>
              <w:rPr>
                <w:rFonts w:hint="eastAsia" w:ascii="宋体" w:hAnsi="宋体" w:eastAsia="宋体" w:cs="宋体"/>
                <w:color w:val="auto"/>
                <w:highlight w:val="none"/>
                <w:vertAlign w:val="baseline"/>
                <w:lang w:val="en-US" w:eastAsia="zh-CN"/>
              </w:rPr>
            </w:pPr>
          </w:p>
        </w:tc>
        <w:tc>
          <w:tcPr>
            <w:tcW w:w="1023" w:type="dxa"/>
            <w:vAlign w:val="center"/>
          </w:tcPr>
          <w:p w14:paraId="77DF5323">
            <w:pPr>
              <w:widowControl w:val="0"/>
              <w:jc w:val="center"/>
              <w:rPr>
                <w:rFonts w:hint="eastAsia" w:ascii="宋体" w:hAnsi="宋体" w:eastAsia="宋体" w:cs="宋体"/>
                <w:color w:val="auto"/>
                <w:highlight w:val="none"/>
                <w:vertAlign w:val="baseline"/>
                <w:lang w:val="en-US" w:eastAsia="zh-CN"/>
              </w:rPr>
            </w:pPr>
          </w:p>
        </w:tc>
        <w:tc>
          <w:tcPr>
            <w:tcW w:w="1800" w:type="dxa"/>
            <w:vAlign w:val="center"/>
          </w:tcPr>
          <w:p w14:paraId="1D8AAC89">
            <w:pPr>
              <w:widowControl w:val="0"/>
              <w:jc w:val="center"/>
              <w:rPr>
                <w:rFonts w:hint="eastAsia" w:ascii="宋体" w:hAnsi="宋体" w:eastAsia="宋体" w:cs="宋体"/>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eastAsia" w:ascii="宋体" w:hAnsi="宋体" w:eastAsia="宋体" w:cs="宋体"/>
                <w:color w:val="auto"/>
                <w:highlight w:val="none"/>
                <w:vertAlign w:val="baseline"/>
                <w:lang w:val="en-US" w:eastAsia="zh-CN"/>
              </w:rPr>
            </w:pPr>
          </w:p>
        </w:tc>
        <w:tc>
          <w:tcPr>
            <w:tcW w:w="1676" w:type="dxa"/>
            <w:vAlign w:val="center"/>
          </w:tcPr>
          <w:p w14:paraId="6E777249">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4DE2A82B">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7C5B0392">
            <w:pPr>
              <w:widowControl w:val="0"/>
              <w:jc w:val="center"/>
              <w:rPr>
                <w:rFonts w:hint="eastAsia" w:ascii="宋体" w:hAnsi="宋体" w:eastAsia="宋体" w:cs="宋体"/>
                <w:color w:val="auto"/>
                <w:highlight w:val="none"/>
                <w:vertAlign w:val="baseline"/>
                <w:lang w:val="en-US" w:eastAsia="zh-CN"/>
              </w:rPr>
            </w:pPr>
          </w:p>
        </w:tc>
        <w:tc>
          <w:tcPr>
            <w:tcW w:w="1238" w:type="dxa"/>
            <w:vAlign w:val="center"/>
          </w:tcPr>
          <w:p w14:paraId="17137530">
            <w:pPr>
              <w:widowControl w:val="0"/>
              <w:jc w:val="center"/>
              <w:rPr>
                <w:rFonts w:hint="eastAsia" w:ascii="宋体" w:hAnsi="宋体" w:eastAsia="宋体" w:cs="宋体"/>
                <w:color w:val="auto"/>
                <w:highlight w:val="none"/>
                <w:vertAlign w:val="baseline"/>
                <w:lang w:val="en-US" w:eastAsia="zh-CN"/>
              </w:rPr>
            </w:pPr>
          </w:p>
        </w:tc>
        <w:tc>
          <w:tcPr>
            <w:tcW w:w="1023" w:type="dxa"/>
            <w:vAlign w:val="center"/>
          </w:tcPr>
          <w:p w14:paraId="1138018C">
            <w:pPr>
              <w:widowControl w:val="0"/>
              <w:jc w:val="center"/>
              <w:rPr>
                <w:rFonts w:hint="eastAsia" w:ascii="宋体" w:hAnsi="宋体" w:eastAsia="宋体" w:cs="宋体"/>
                <w:color w:val="auto"/>
                <w:highlight w:val="none"/>
                <w:vertAlign w:val="baseline"/>
                <w:lang w:val="en-US" w:eastAsia="zh-CN"/>
              </w:rPr>
            </w:pPr>
          </w:p>
        </w:tc>
        <w:tc>
          <w:tcPr>
            <w:tcW w:w="1800" w:type="dxa"/>
            <w:vAlign w:val="center"/>
          </w:tcPr>
          <w:p w14:paraId="4CA32857">
            <w:pPr>
              <w:widowControl w:val="0"/>
              <w:jc w:val="center"/>
              <w:rPr>
                <w:rFonts w:hint="eastAsia" w:ascii="宋体" w:hAnsi="宋体" w:eastAsia="宋体" w:cs="宋体"/>
                <w:color w:val="auto"/>
                <w:highlight w:val="none"/>
                <w:vertAlign w:val="baseline"/>
                <w:lang w:val="en-US" w:eastAsia="zh-CN"/>
              </w:rPr>
            </w:pPr>
          </w:p>
        </w:tc>
      </w:tr>
    </w:tbl>
    <w:p w14:paraId="4690C867">
      <w:pPr>
        <w:rPr>
          <w:rFonts w:hint="eastAsia" w:ascii="宋体" w:hAnsi="宋体" w:eastAsia="宋体" w:cs="宋体"/>
          <w:color w:val="auto"/>
          <w:highlight w:val="none"/>
          <w:lang w:val="en-US" w:eastAsia="zh-CN"/>
        </w:rPr>
      </w:pPr>
    </w:p>
    <w:p w14:paraId="708C5B50">
      <w:pPr>
        <w:bidi w:val="0"/>
        <w:rPr>
          <w:rFonts w:hint="eastAsia" w:ascii="宋体" w:hAnsi="宋体" w:eastAsia="宋体" w:cs="宋体"/>
          <w:color w:val="auto"/>
          <w:highlight w:val="none"/>
          <w:lang w:val="en-US" w:eastAsia="zh-CN"/>
        </w:rPr>
      </w:pPr>
    </w:p>
    <w:p w14:paraId="255DC18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2C4A13A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13A98344">
      <w:pPr>
        <w:bidi w:val="0"/>
        <w:rPr>
          <w:rFonts w:hint="eastAsia" w:ascii="宋体" w:hAnsi="宋体" w:eastAsia="宋体" w:cs="宋体"/>
          <w:color w:val="auto"/>
          <w:highlight w:val="none"/>
          <w:lang w:val="en-US" w:eastAsia="zh-CN"/>
        </w:rPr>
      </w:pPr>
    </w:p>
    <w:p w14:paraId="57412C83">
      <w:pPr>
        <w:rPr>
          <w:rFonts w:hint="eastAsia" w:ascii="宋体" w:hAnsi="宋体" w:eastAsia="宋体" w:cs="宋体"/>
          <w:color w:val="auto"/>
          <w:sz w:val="24"/>
          <w:szCs w:val="24"/>
          <w:highlight w:val="none"/>
          <w:lang w:val="en-US" w:eastAsia="zh-CN"/>
        </w:rPr>
      </w:pPr>
    </w:p>
    <w:p w14:paraId="4D0AC012">
      <w:pPr>
        <w:bidi w:val="0"/>
        <w:rPr>
          <w:rFonts w:hint="eastAsia" w:ascii="宋体" w:hAnsi="宋体" w:eastAsia="宋体" w:cs="宋体"/>
          <w:color w:val="auto"/>
          <w:highlight w:val="none"/>
          <w:lang w:val="en-US" w:eastAsia="zh-CN"/>
        </w:rPr>
      </w:pPr>
    </w:p>
    <w:p w14:paraId="591F39DF">
      <w:pPr>
        <w:pStyle w:val="24"/>
        <w:rPr>
          <w:rFonts w:hint="eastAsia" w:ascii="宋体" w:hAnsi="宋体" w:eastAsia="宋体" w:cs="宋体"/>
          <w:color w:val="auto"/>
          <w:kern w:val="0"/>
          <w:sz w:val="24"/>
          <w:highlight w:val="none"/>
          <w:lang w:val="en-US" w:eastAsia="zh-CN"/>
        </w:rPr>
      </w:pPr>
    </w:p>
    <w:p w14:paraId="0C409640">
      <w:pPr>
        <w:pStyle w:val="24"/>
        <w:rPr>
          <w:rFonts w:hint="eastAsia" w:ascii="宋体" w:hAnsi="宋体" w:eastAsia="宋体" w:cs="宋体"/>
          <w:color w:val="auto"/>
          <w:kern w:val="0"/>
          <w:sz w:val="24"/>
          <w:highlight w:val="none"/>
          <w:lang w:val="en-US" w:eastAsia="zh-CN"/>
        </w:rPr>
      </w:pPr>
    </w:p>
    <w:p w14:paraId="1C9EAA97">
      <w:pPr>
        <w:pStyle w:val="24"/>
        <w:rPr>
          <w:rFonts w:hint="eastAsia" w:ascii="宋体" w:hAnsi="宋体" w:eastAsia="宋体" w:cs="宋体"/>
          <w:color w:val="auto"/>
          <w:kern w:val="0"/>
          <w:sz w:val="24"/>
          <w:highlight w:val="none"/>
          <w:lang w:val="en-US" w:eastAsia="zh-CN"/>
        </w:rPr>
      </w:pPr>
    </w:p>
    <w:p w14:paraId="21B00144">
      <w:pPr>
        <w:pStyle w:val="24"/>
        <w:rPr>
          <w:rFonts w:hint="eastAsia" w:ascii="宋体" w:hAnsi="宋体" w:eastAsia="宋体" w:cs="宋体"/>
          <w:color w:val="auto"/>
          <w:kern w:val="0"/>
          <w:sz w:val="24"/>
          <w:highlight w:val="none"/>
          <w:lang w:val="en-US" w:eastAsia="zh-CN"/>
        </w:rPr>
      </w:pPr>
    </w:p>
    <w:p w14:paraId="2A74BFB0">
      <w:pPr>
        <w:pStyle w:val="24"/>
        <w:rPr>
          <w:rFonts w:hint="eastAsia" w:ascii="宋体" w:hAnsi="宋体" w:eastAsia="宋体" w:cs="宋体"/>
          <w:color w:val="auto"/>
          <w:kern w:val="0"/>
          <w:sz w:val="24"/>
          <w:highlight w:val="none"/>
          <w:lang w:val="en-US" w:eastAsia="zh-CN"/>
        </w:rPr>
      </w:pPr>
    </w:p>
    <w:p w14:paraId="3EF3AB43">
      <w:pPr>
        <w:pStyle w:val="24"/>
        <w:rPr>
          <w:rFonts w:hint="eastAsia" w:ascii="宋体" w:hAnsi="宋体" w:eastAsia="宋体" w:cs="宋体"/>
          <w:color w:val="auto"/>
          <w:kern w:val="0"/>
          <w:sz w:val="24"/>
          <w:highlight w:val="none"/>
          <w:lang w:val="en-US" w:eastAsia="zh-CN"/>
        </w:rPr>
      </w:pPr>
    </w:p>
    <w:p w14:paraId="4AAC2649">
      <w:pPr>
        <w:pStyle w:val="24"/>
        <w:rPr>
          <w:rFonts w:hint="eastAsia" w:ascii="宋体" w:hAnsi="宋体" w:eastAsia="宋体" w:cs="宋体"/>
          <w:color w:val="auto"/>
          <w:kern w:val="0"/>
          <w:sz w:val="24"/>
          <w:highlight w:val="none"/>
          <w:lang w:val="en-US" w:eastAsia="zh-CN"/>
        </w:rPr>
      </w:pPr>
    </w:p>
    <w:p w14:paraId="5C2F6EBC">
      <w:pPr>
        <w:pStyle w:val="24"/>
        <w:rPr>
          <w:rFonts w:hint="eastAsia" w:ascii="宋体" w:hAnsi="宋体" w:eastAsia="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eastAsia" w:ascii="宋体" w:hAnsi="宋体" w:eastAsia="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shd w:val="clear" w:color="auto" w:fill="auto"/>
            <w:vAlign w:val="center"/>
          </w:tcPr>
          <w:p w14:paraId="79742F46">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39" w:type="dxa"/>
            <w:shd w:val="clear" w:color="auto" w:fill="auto"/>
            <w:vAlign w:val="center"/>
          </w:tcPr>
          <w:p w14:paraId="69D63A93">
            <w:pPr>
              <w:widowControl w:val="0"/>
              <w:jc w:val="center"/>
              <w:rPr>
                <w:rFonts w:hint="eastAsia" w:ascii="宋体" w:hAnsi="宋体" w:eastAsia="宋体" w:cs="宋体"/>
                <w:b/>
                <w:bCs/>
                <w:color w:val="auto"/>
                <w:kern w:val="2"/>
                <w:sz w:val="24"/>
                <w:szCs w:val="24"/>
                <w:highlight w:val="none"/>
                <w:vertAlign w:val="baseline"/>
                <w:lang w:val="en-US" w:eastAsia="zh-CN" w:bidi="ar-SA"/>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5AC55FA2">
      <w:pPr>
        <w:rPr>
          <w:rFonts w:hint="eastAsia" w:ascii="宋体" w:hAnsi="宋体" w:eastAsia="宋体" w:cs="宋体"/>
          <w:color w:val="auto"/>
          <w:sz w:val="24"/>
          <w:szCs w:val="24"/>
          <w:highlight w:val="none"/>
          <w:lang w:val="en-US" w:eastAsia="zh-CN"/>
        </w:rPr>
      </w:pPr>
    </w:p>
    <w:p w14:paraId="0F50ACC9">
      <w:pPr>
        <w:bidi w:val="0"/>
        <w:rPr>
          <w:rFonts w:hint="eastAsia" w:ascii="宋体" w:hAnsi="宋体" w:eastAsia="宋体" w:cs="宋体"/>
          <w:color w:val="auto"/>
          <w:highlight w:val="none"/>
          <w:lang w:val="en-US" w:eastAsia="zh-CN"/>
        </w:rPr>
      </w:pP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eastAsia" w:ascii="宋体" w:hAnsi="宋体" w:eastAsia="宋体" w:cs="宋体"/>
          <w:color w:val="auto"/>
          <w:kern w:val="0"/>
          <w:sz w:val="24"/>
          <w:highlight w:val="none"/>
          <w:lang w:val="en-US" w:eastAsia="zh-CN"/>
        </w:rPr>
      </w:pPr>
    </w:p>
    <w:p w14:paraId="1C27DB87">
      <w:pPr>
        <w:pStyle w:val="24"/>
        <w:rPr>
          <w:rFonts w:hint="eastAsia" w:ascii="宋体" w:hAnsi="宋体" w:eastAsia="宋体" w:cs="宋体"/>
          <w:color w:val="auto"/>
          <w:kern w:val="0"/>
          <w:sz w:val="24"/>
          <w:highlight w:val="none"/>
          <w:lang w:val="en-US" w:eastAsia="zh-CN"/>
        </w:rPr>
      </w:pPr>
    </w:p>
    <w:p w14:paraId="43E68354">
      <w:pPr>
        <w:pStyle w:val="24"/>
        <w:rPr>
          <w:rFonts w:hint="eastAsia" w:ascii="宋体" w:hAnsi="宋体" w:eastAsia="宋体" w:cs="宋体"/>
          <w:color w:val="auto"/>
          <w:kern w:val="0"/>
          <w:sz w:val="24"/>
          <w:highlight w:val="none"/>
          <w:lang w:val="en-US" w:eastAsia="zh-CN"/>
        </w:rPr>
      </w:pPr>
    </w:p>
    <w:p w14:paraId="0647EFB8">
      <w:pPr>
        <w:pStyle w:val="24"/>
        <w:rPr>
          <w:rFonts w:hint="eastAsia" w:ascii="宋体" w:hAnsi="宋体" w:eastAsia="宋体" w:cs="宋体"/>
          <w:color w:val="auto"/>
          <w:kern w:val="0"/>
          <w:sz w:val="24"/>
          <w:highlight w:val="none"/>
          <w:lang w:val="en-US" w:eastAsia="zh-CN"/>
        </w:rPr>
      </w:pPr>
    </w:p>
    <w:p w14:paraId="5A5A959A">
      <w:pPr>
        <w:pStyle w:val="24"/>
        <w:rPr>
          <w:rFonts w:hint="eastAsia" w:ascii="宋体" w:hAnsi="宋体" w:eastAsia="宋体" w:cs="宋体"/>
          <w:color w:val="auto"/>
          <w:kern w:val="0"/>
          <w:sz w:val="24"/>
          <w:highlight w:val="none"/>
          <w:lang w:val="en-US" w:eastAsia="zh-CN"/>
        </w:rPr>
      </w:pPr>
    </w:p>
    <w:p w14:paraId="650115AD">
      <w:pPr>
        <w:pStyle w:val="24"/>
        <w:rPr>
          <w:rFonts w:hint="eastAsia" w:ascii="宋体" w:hAnsi="宋体" w:eastAsia="宋体" w:cs="宋体"/>
          <w:color w:val="auto"/>
          <w:kern w:val="0"/>
          <w:sz w:val="24"/>
          <w:highlight w:val="none"/>
          <w:lang w:val="en-US" w:eastAsia="zh-CN"/>
        </w:rPr>
      </w:pPr>
    </w:p>
    <w:p w14:paraId="4A359505">
      <w:pPr>
        <w:pStyle w:val="24"/>
        <w:rPr>
          <w:rFonts w:hint="eastAsia" w:ascii="宋体" w:hAnsi="宋体" w:eastAsia="宋体" w:cs="宋体"/>
          <w:color w:val="auto"/>
          <w:kern w:val="0"/>
          <w:sz w:val="24"/>
          <w:highlight w:val="none"/>
          <w:lang w:val="en-US" w:eastAsia="zh-CN"/>
        </w:rPr>
      </w:pPr>
    </w:p>
    <w:p w14:paraId="40B7289D">
      <w:pPr>
        <w:pStyle w:val="24"/>
        <w:rPr>
          <w:rFonts w:hint="eastAsia" w:ascii="宋体" w:hAnsi="宋体" w:eastAsia="宋体" w:cs="宋体"/>
          <w:color w:val="auto"/>
          <w:kern w:val="0"/>
          <w:sz w:val="24"/>
          <w:highlight w:val="none"/>
          <w:lang w:val="en-US" w:eastAsia="zh-CN"/>
        </w:rPr>
      </w:pPr>
    </w:p>
    <w:p w14:paraId="1B505EE5">
      <w:pPr>
        <w:pStyle w:val="24"/>
        <w:rPr>
          <w:rFonts w:hint="eastAsia" w:ascii="宋体" w:hAnsi="宋体" w:eastAsia="宋体" w:cs="宋体"/>
          <w:color w:val="auto"/>
          <w:kern w:val="0"/>
          <w:sz w:val="24"/>
          <w:highlight w:val="none"/>
          <w:lang w:val="en-US" w:eastAsia="zh-CN"/>
        </w:rPr>
      </w:pPr>
    </w:p>
    <w:p w14:paraId="4CA18EFC">
      <w:pPr>
        <w:pStyle w:val="24"/>
        <w:rPr>
          <w:rFonts w:hint="eastAsia" w:ascii="宋体" w:hAnsi="宋体" w:eastAsia="宋体" w:cs="宋体"/>
          <w:color w:val="auto"/>
          <w:kern w:val="0"/>
          <w:sz w:val="24"/>
          <w:highlight w:val="none"/>
          <w:lang w:val="en-US" w:eastAsia="zh-CN"/>
        </w:rPr>
      </w:pPr>
    </w:p>
    <w:p w14:paraId="56E07BAF">
      <w:pPr>
        <w:pStyle w:val="24"/>
        <w:rPr>
          <w:rFonts w:hint="eastAsia" w:ascii="宋体" w:hAnsi="宋体" w:eastAsia="宋体" w:cs="宋体"/>
          <w:color w:val="auto"/>
          <w:kern w:val="0"/>
          <w:sz w:val="24"/>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62"/>
      <w:bookmarkEnd w:id="63"/>
      <w:r>
        <w:rPr>
          <w:rFonts w:hint="eastAsia" w:ascii="宋体" w:hAnsi="宋体" w:eastAsia="宋体" w:cs="宋体"/>
          <w:color w:val="auto"/>
          <w:sz w:val="28"/>
          <w:szCs w:val="28"/>
          <w:highlight w:val="none"/>
          <w:lang w:val="en-US" w:eastAsia="zh-CN"/>
        </w:rPr>
        <w:t>技术响应表（格式）</w:t>
      </w:r>
    </w:p>
    <w:tbl>
      <w:tblPr>
        <w:tblStyle w:val="91"/>
        <w:tblW w:w="9675" w:type="dxa"/>
        <w:tblInd w:w="-339"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1830"/>
        <w:gridCol w:w="2190"/>
        <w:gridCol w:w="1860"/>
        <w:gridCol w:w="1560"/>
        <w:gridCol w:w="1575"/>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660"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830" w:type="dxa"/>
            <w:noWrap w:val="0"/>
            <w:vAlign w:val="center"/>
          </w:tcPr>
          <w:p w14:paraId="4E1282E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货物名称</w:t>
            </w:r>
          </w:p>
        </w:tc>
        <w:tc>
          <w:tcPr>
            <w:tcW w:w="219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磋商</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860"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响应</w:t>
            </w:r>
            <w:r>
              <w:rPr>
                <w:rFonts w:hint="eastAsia" w:ascii="宋体" w:hAnsi="宋体" w:eastAsia="宋体" w:cs="宋体"/>
                <w:color w:val="000000" w:themeColor="text1"/>
                <w:sz w:val="21"/>
                <w:szCs w:val="21"/>
                <w:highlight w:val="none"/>
                <w14:textFill>
                  <w14:solidFill>
                    <w14:schemeClr w14:val="tx1"/>
                  </w14:solidFill>
                </w14:textFill>
              </w:rPr>
              <w:t>文件响应</w:t>
            </w:r>
          </w:p>
        </w:tc>
        <w:tc>
          <w:tcPr>
            <w:tcW w:w="1560"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偏离情况</w:t>
            </w:r>
          </w:p>
        </w:tc>
        <w:tc>
          <w:tcPr>
            <w:tcW w:w="1575" w:type="dxa"/>
            <w:noWrap w:val="0"/>
            <w:vAlign w:val="center"/>
          </w:tcPr>
          <w:p w14:paraId="3BB47D6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证明材料在响应文件的页码</w:t>
            </w:r>
          </w:p>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（每条参数需做标记）</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660"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830"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19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0"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60"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660"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1830"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19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0"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60"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660"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tc>
        <w:tc>
          <w:tcPr>
            <w:tcW w:w="1830"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219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860"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60"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c>
          <w:tcPr>
            <w:tcW w:w="1575"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14:textFill>
                  <w14:solidFill>
                    <w14:schemeClr w14:val="tx1"/>
                  </w14:solidFill>
                </w14:textFill>
              </w:rPr>
            </w:pPr>
          </w:p>
        </w:tc>
      </w:tr>
    </w:tbl>
    <w:p w14:paraId="42FF9128">
      <w:pPr>
        <w:widowControl/>
        <w:wordWrap w:val="0"/>
        <w:spacing w:line="460" w:lineRule="exact"/>
        <w:ind w:firstLine="422" w:firstLineChars="200"/>
        <w:jc w:val="left"/>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pPr>
    </w:p>
    <w:p w14:paraId="69257B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4"/>
          <w:szCs w:val="32"/>
          <w:highlight w:val="none"/>
          <w:lang w:val="en-US" w:eastAsia="zh-CN"/>
          <w14:textFill>
            <w14:solidFill>
              <w14:schemeClr w14:val="tx1"/>
            </w14:solidFill>
          </w14:textFill>
        </w:rPr>
      </w:pPr>
      <w:r>
        <w:rPr>
          <w:rFonts w:hint="eastAsia" w:ascii="宋体" w:hAnsi="宋体" w:eastAsia="宋体" w:cs="宋体"/>
          <w:b/>
          <w:bCs/>
          <w:color w:val="000000" w:themeColor="text1"/>
          <w:sz w:val="24"/>
          <w:szCs w:val="32"/>
          <w:highlight w:val="none"/>
          <w:lang w:val="en-US" w:eastAsia="zh-CN"/>
          <w14:textFill>
            <w14:solidFill>
              <w14:schemeClr w14:val="tx1"/>
            </w14:solidFill>
          </w14:textFill>
        </w:rPr>
        <w:t>注：</w:t>
      </w:r>
    </w:p>
    <w:p w14:paraId="26579E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32"/>
          <w:highlight w:val="none"/>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32"/>
          <w:highlight w:val="none"/>
          <w14:textFill>
            <w14:solidFill>
              <w14:schemeClr w14:val="tx1"/>
            </w14:solidFill>
          </w14:textFill>
        </w:rPr>
        <w:t>本表中“偏离</w:t>
      </w: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情况</w:t>
      </w:r>
      <w:r>
        <w:rPr>
          <w:rFonts w:hint="eastAsia" w:ascii="宋体" w:hAnsi="宋体" w:eastAsia="宋体" w:cs="宋体"/>
          <w:b w:val="0"/>
          <w:bCs w:val="0"/>
          <w:color w:val="000000" w:themeColor="text1"/>
          <w:sz w:val="24"/>
          <w:szCs w:val="32"/>
          <w:highlight w:val="none"/>
          <w14:textFill>
            <w14:solidFill>
              <w14:schemeClr w14:val="tx1"/>
            </w14:solidFill>
          </w14:textFill>
        </w:rPr>
        <w:t>”只有三种状态（正偏离、无偏离、负偏离）</w:t>
      </w:r>
    </w:p>
    <w:p w14:paraId="13E353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2.评审专家逐项核对技术偏离表及证明材料，评审结合证明材料，若填写“无偏离或正偏离”但证明材料不满足或低于采购文件要求，则视为负偏离，做扣分处理。</w:t>
      </w:r>
    </w:p>
    <w:p w14:paraId="5D4048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pPr>
      <w:r>
        <w:rPr>
          <w:rFonts w:hint="eastAsia" w:ascii="宋体" w:hAnsi="宋体" w:eastAsia="宋体" w:cs="宋体"/>
          <w:b w:val="0"/>
          <w:bCs w:val="0"/>
          <w:color w:val="000000" w:themeColor="text1"/>
          <w:sz w:val="24"/>
          <w:szCs w:val="32"/>
          <w:highlight w:val="none"/>
          <w:lang w:val="en-US" w:eastAsia="zh-CN"/>
          <w14:textFill>
            <w14:solidFill>
              <w14:schemeClr w14:val="tx1"/>
            </w14:solidFill>
          </w14:textFill>
        </w:rPr>
        <w:t>3.验收以“技术偏离表+投标文件证明材料+设备实际功能”为依据进行逐条验收，信息不一致则验收不通过。</w:t>
      </w:r>
    </w:p>
    <w:p w14:paraId="799040F8">
      <w:pPr>
        <w:pageBreakBefore w:val="0"/>
        <w:widowControl/>
        <w:wordWrap/>
        <w:overflowPunct/>
        <w:topLinePunct w:val="0"/>
        <w:bidi w:val="0"/>
        <w:spacing w:line="360" w:lineRule="auto"/>
        <w:textAlignment w:val="baseline"/>
        <w:rPr>
          <w:rFonts w:hint="eastAsia" w:ascii="宋体" w:hAnsi="宋体" w:eastAsia="宋体" w:cs="宋体"/>
          <w:b/>
          <w:bCs/>
          <w:color w:val="000000" w:themeColor="text1"/>
          <w:sz w:val="21"/>
          <w:szCs w:val="21"/>
          <w:highlight w:val="none"/>
          <w14:textFill>
            <w14:solidFill>
              <w14:schemeClr w14:val="tx1"/>
            </w14:solidFill>
          </w14:textFill>
        </w:rPr>
      </w:pP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42BD2A9F">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D42F45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A06DCFB">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4F4F1D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21651D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F03137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 xml:space="preserve">5.1 </w:t>
      </w:r>
      <w:r>
        <w:rPr>
          <w:rFonts w:hint="eastAsia" w:ascii="宋体" w:hAnsi="宋体" w:eastAsia="宋体" w:cs="宋体"/>
          <w:b/>
          <w:bCs/>
          <w:color w:val="auto"/>
          <w:sz w:val="24"/>
          <w:szCs w:val="24"/>
          <w:highlight w:val="none"/>
          <w:lang w:val="en-US" w:eastAsia="zh-CN"/>
        </w:rPr>
        <w:t>投标产品技术参数证明资料：</w:t>
      </w:r>
    </w:p>
    <w:p w14:paraId="511D22E4">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（1）所投产品的医疗器械注册证【含附件：产品技术要求（如有）】或医疗器械备案凭证；</w:t>
      </w:r>
    </w:p>
    <w:p w14:paraId="2CD97EA3">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t>注：医疗器械注册证【含附件：产品技术要求（如有）】是指医疗器械注册证上附件如写产品技术要求，则需同步提供产品技术要求相关的证明材料。</w:t>
      </w:r>
    </w:p>
    <w:p w14:paraId="2BF3AD37">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0" w:firstLineChars="200"/>
        <w:jc w:val="both"/>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p>
    <w:p w14:paraId="4A789B6C">
      <w:pPr>
        <w:pStyle w:val="13"/>
        <w:keepNext w:val="0"/>
        <w:keepLines w:val="0"/>
        <w:pageBreakBefore w:val="0"/>
        <w:widowControl/>
        <w:kinsoku/>
        <w:wordWrap/>
        <w:overflowPunct/>
        <w:topLinePunct w:val="0"/>
        <w:autoSpaceDE/>
        <w:autoSpaceDN/>
        <w:bidi w:val="0"/>
        <w:adjustRightInd/>
        <w:snapToGrid/>
        <w:spacing w:beforeAutospacing="0" w:afterAutospacing="0" w:line="400" w:lineRule="exact"/>
        <w:ind w:firstLine="482" w:firstLineChars="200"/>
        <w:jc w:val="both"/>
        <w:textAlignment w:val="auto"/>
        <w:rPr>
          <w:rFonts w:hint="eastAsia" w:ascii="宋体" w:hAnsi="宋体" w:eastAsia="宋体" w:cs="宋体"/>
          <w:b/>
          <w:bCs w:val="0"/>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（2）按照采购文件“第二章 采购需求 二、技术要求”及“评分标准”中的要求提供产品技术参数证明文件。</w:t>
      </w:r>
    </w:p>
    <w:p w14:paraId="33C0BA8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4" w:name="_Toc20420"/>
      <w:bookmarkStart w:id="65" w:name="_Toc29960"/>
      <w:bookmarkStart w:id="66" w:name="_Toc24168"/>
      <w:r>
        <w:rPr>
          <w:rFonts w:hint="eastAsia" w:ascii="宋体" w:hAnsi="宋体" w:eastAsia="宋体" w:cs="宋体"/>
          <w:color w:val="auto"/>
          <w:sz w:val="28"/>
          <w:szCs w:val="28"/>
          <w:highlight w:val="none"/>
          <w:lang w:val="en-US" w:eastAsia="zh-CN"/>
        </w:rPr>
        <w:t>附件6     商务响应</w:t>
      </w:r>
      <w:bookmarkEnd w:id="64"/>
      <w:bookmarkEnd w:id="65"/>
      <w:bookmarkEnd w:id="66"/>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项目</w:t>
            </w:r>
          </w:p>
        </w:tc>
        <w:tc>
          <w:tcPr>
            <w:tcW w:w="2198"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7F9203F4">
            <w:pPr>
              <w:widowControl/>
              <w:snapToGrid w:val="0"/>
              <w:spacing w:before="156"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4"/>
                <w:highlight w:val="none"/>
                <w:lang w:val="en-US" w:eastAsia="zh-CN"/>
              </w:rPr>
              <w:t>响应文件响应</w:t>
            </w:r>
          </w:p>
        </w:tc>
        <w:tc>
          <w:tcPr>
            <w:tcW w:w="1349" w:type="dxa"/>
            <w:noWrap w:val="0"/>
            <w:vAlign w:val="center"/>
          </w:tcPr>
          <w:p w14:paraId="1CBA3AA3">
            <w:pPr>
              <w:widowControl/>
              <w:snapToGrid w:val="0"/>
              <w:spacing w:before="156" w:beforeLines="50"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4"/>
                <w:highlight w:val="none"/>
                <w:lang w:val="en-US" w:eastAsia="zh-CN"/>
              </w:rPr>
              <w:t>偏离情况</w:t>
            </w:r>
          </w:p>
        </w:tc>
        <w:tc>
          <w:tcPr>
            <w:tcW w:w="1349" w:type="dxa"/>
            <w:noWrap w:val="0"/>
            <w:vAlign w:val="center"/>
          </w:tcPr>
          <w:p w14:paraId="1363C87C">
            <w:pPr>
              <w:widowControl/>
              <w:snapToGrid w:val="0"/>
              <w:spacing w:before="156" w:beforeLines="50"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6DC2849E">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40B5BC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0BED208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50BB9001">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31D51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6182A3E4">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15D97B2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C43BD33">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222C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348FA7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56FFBDC6">
            <w:pPr>
              <w:pStyle w:val="7"/>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5379F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950103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8CEBD1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32BB7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0E85F95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32"/>
          <w:highlight w:val="none"/>
        </w:rPr>
      </w:pPr>
      <w:r>
        <w:rPr>
          <w:rFonts w:hint="eastAsia" w:ascii="宋体" w:hAnsi="宋体" w:eastAsia="宋体" w:cs="宋体"/>
          <w:b/>
          <w:bCs/>
          <w:sz w:val="24"/>
          <w:szCs w:val="32"/>
          <w:highlight w:val="none"/>
          <w:lang w:val="en-US" w:eastAsia="zh-CN"/>
        </w:rPr>
        <w:t>注：</w:t>
      </w:r>
      <w:r>
        <w:rPr>
          <w:rFonts w:hint="eastAsia" w:ascii="宋体" w:hAnsi="宋体" w:eastAsia="宋体" w:cs="宋体"/>
          <w:b/>
          <w:bCs/>
          <w:sz w:val="24"/>
          <w:szCs w:val="32"/>
          <w:highlight w:val="none"/>
        </w:rPr>
        <w:t>本表中“偏离</w:t>
      </w:r>
      <w:r>
        <w:rPr>
          <w:rFonts w:hint="eastAsia" w:ascii="宋体" w:hAnsi="宋体" w:eastAsia="宋体" w:cs="宋体"/>
          <w:b/>
          <w:bCs/>
          <w:sz w:val="24"/>
          <w:szCs w:val="32"/>
          <w:highlight w:val="none"/>
          <w:lang w:val="en-US" w:eastAsia="zh-CN"/>
        </w:rPr>
        <w:t>情况</w:t>
      </w:r>
      <w:r>
        <w:rPr>
          <w:rFonts w:hint="eastAsia" w:ascii="宋体" w:hAnsi="宋体" w:eastAsia="宋体" w:cs="宋体"/>
          <w:b/>
          <w:bCs/>
          <w:sz w:val="24"/>
          <w:szCs w:val="32"/>
          <w:highlight w:val="none"/>
        </w:rPr>
        <w:t>”只有三种状态（正偏离、无偏离、负偏离）</w:t>
      </w:r>
    </w:p>
    <w:p w14:paraId="341DFBA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05E2FDA6">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3360" w:firstLineChars="14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366F2A">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67" w:name="_Toc28621"/>
      <w:bookmarkStart w:id="68"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29406"/>
      <w:r>
        <w:rPr>
          <w:rFonts w:hint="eastAsia" w:ascii="宋体" w:hAnsi="宋体" w:eastAsia="宋体" w:cs="宋体"/>
          <w:color w:val="auto"/>
          <w:sz w:val="28"/>
          <w:szCs w:val="28"/>
          <w:highlight w:val="none"/>
          <w:lang w:val="en-US" w:eastAsia="zh-CN"/>
        </w:rPr>
        <w:t>附件7    法定代表人身份证明（格式）</w:t>
      </w:r>
      <w:bookmarkEnd w:id="67"/>
      <w:bookmarkEnd w:id="68"/>
      <w:bookmarkEnd w:id="69"/>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55E8412A">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880" w:firstLineChars="1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1B4539E">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0" w:name="_Toc13976"/>
      <w:bookmarkStart w:id="71" w:name="_Toc12939"/>
      <w:bookmarkStart w:id="72" w:name="_Toc30519"/>
      <w:r>
        <w:rPr>
          <w:rFonts w:hint="eastAsia" w:ascii="宋体" w:hAnsi="宋体" w:eastAsia="宋体" w:cs="宋体"/>
          <w:color w:val="auto"/>
          <w:sz w:val="28"/>
          <w:szCs w:val="28"/>
          <w:highlight w:val="none"/>
          <w:lang w:val="en-US" w:eastAsia="zh-CN"/>
        </w:rPr>
        <w:t>附件8    法定代表人授权书（格式）</w:t>
      </w:r>
      <w:bookmarkEnd w:id="70"/>
      <w:bookmarkEnd w:id="71"/>
      <w:bookmarkEnd w:id="72"/>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szCs w:val="24"/>
          <w:highlight w:val="none"/>
        </w:rPr>
      </w:pPr>
      <w:r>
        <w:rPr>
          <w:rFonts w:hint="eastAsia" w:ascii="宋体" w:hAnsi="宋体" w:eastAsia="宋体" w:cs="宋体"/>
          <w:bCs/>
          <w:color w:val="auto"/>
          <w:kern w:val="0"/>
          <w:sz w:val="24"/>
          <w:szCs w:val="24"/>
          <w:highlight w:val="none"/>
        </w:rPr>
        <w:t>致：</w:t>
      </w:r>
      <w:r>
        <w:rPr>
          <w:rFonts w:hint="eastAsia" w:ascii="宋体" w:hAnsi="宋体" w:eastAsia="宋体" w:cs="宋体"/>
          <w:color w:val="auto"/>
          <w:kern w:val="0"/>
          <w:sz w:val="24"/>
          <w:szCs w:val="24"/>
          <w:highlight w:val="none"/>
          <w:u w:val="single"/>
          <w:lang w:val="en-US" w:eastAsia="zh-CN"/>
        </w:rPr>
        <w:t xml:space="preserve">  驻马店市中心医院          </w:t>
      </w:r>
      <w:r>
        <w:rPr>
          <w:rFonts w:hint="eastAsia" w:ascii="宋体" w:hAnsi="宋体" w:eastAsia="宋体" w:cs="宋体"/>
          <w:color w:val="auto"/>
          <w:kern w:val="0"/>
          <w:sz w:val="24"/>
          <w:szCs w:val="24"/>
          <w:highlight w:val="none"/>
        </w:rPr>
        <w:t>：</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4667A5B5">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2160" w:firstLineChars="9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29AE2C11">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5EF76FA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bCs/>
          <w:color w:val="auto"/>
          <w:sz w:val="21"/>
          <w:szCs w:val="21"/>
          <w:highlight w:val="none"/>
        </w:rPr>
      </w:pPr>
      <w:bookmarkStart w:id="73" w:name="_Toc18105"/>
      <w:bookmarkStart w:id="74" w:name="_Toc3342"/>
      <w:bookmarkStart w:id="75" w:name="_Toc24693"/>
      <w:r>
        <w:rPr>
          <w:rFonts w:hint="eastAsia" w:ascii="宋体" w:hAnsi="宋体" w:eastAsia="宋体" w:cs="宋体"/>
          <w:color w:val="auto"/>
          <w:sz w:val="28"/>
          <w:szCs w:val="28"/>
          <w:highlight w:val="none"/>
          <w:lang w:val="en-US" w:eastAsia="zh-CN"/>
        </w:rPr>
        <w:t>附件9    证明文件</w:t>
      </w:r>
      <w:bookmarkEnd w:id="73"/>
      <w:bookmarkEnd w:id="74"/>
      <w:bookmarkEnd w:id="75"/>
    </w:p>
    <w:p w14:paraId="61593FAD">
      <w:pPr>
        <w:pStyle w:val="13"/>
        <w:spacing w:beforeAutospacing="0" w:afterAutospacing="0" w:line="480" w:lineRule="auto"/>
        <w:ind w:firstLine="540" w:firstLineChars="224"/>
        <w:jc w:val="both"/>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rPr>
        <w:t>9.1</w:t>
      </w:r>
      <w:r>
        <w:rPr>
          <w:rFonts w:hint="eastAsia" w:ascii="宋体" w:hAnsi="宋体" w:eastAsia="宋体" w:cs="宋体"/>
          <w:b/>
          <w:bCs w:val="0"/>
          <w:color w:val="auto"/>
          <w:sz w:val="24"/>
          <w:szCs w:val="24"/>
          <w:highlight w:val="none"/>
          <w:lang w:val="en-US" w:eastAsia="zh-CN"/>
        </w:rPr>
        <w:t xml:space="preserve"> 供应商资格审查证明材料</w:t>
      </w:r>
    </w:p>
    <w:p w14:paraId="3BF5E483">
      <w:pPr>
        <w:pStyle w:val="13"/>
        <w:spacing w:beforeAutospacing="0" w:afterAutospacing="0" w:line="480" w:lineRule="auto"/>
        <w:jc w:val="both"/>
        <w:rPr>
          <w:rFonts w:hint="eastAsia" w:ascii="宋体" w:hAnsi="宋体" w:eastAsia="宋体" w:cs="宋体"/>
          <w:b/>
          <w:bCs w:val="0"/>
          <w:color w:val="auto"/>
          <w:sz w:val="24"/>
          <w:szCs w:val="24"/>
          <w:highlight w:val="none"/>
          <w:lang w:val="en-US" w:eastAsia="zh-CN"/>
        </w:rPr>
      </w:pPr>
    </w:p>
    <w:p w14:paraId="608EB127">
      <w:pPr>
        <w:pStyle w:val="13"/>
        <w:keepNext w:val="0"/>
        <w:keepLines w:val="0"/>
        <w:pageBreakBefore w:val="0"/>
        <w:widowControl/>
        <w:kinsoku/>
        <w:wordWrap/>
        <w:overflowPunct/>
        <w:topLinePunct w:val="0"/>
        <w:autoSpaceDE/>
        <w:autoSpaceDN/>
        <w:bidi w:val="0"/>
        <w:adjustRightInd/>
        <w:snapToGrid/>
        <w:spacing w:beforeAutospacing="0" w:afterAutospacing="0" w:line="560" w:lineRule="exact"/>
        <w:ind w:firstLine="537" w:firstLineChars="224"/>
        <w:jc w:val="both"/>
        <w:textAlignment w:val="auto"/>
        <w:rPr>
          <w:rFonts w:hint="eastAsia" w:ascii="宋体" w:hAnsi="宋体" w:eastAsia="宋体" w:cs="宋体"/>
          <w:b w:val="0"/>
          <w:bCs/>
          <w:color w:val="000000" w:themeColor="text1"/>
          <w:sz w:val="24"/>
          <w:szCs w:val="24"/>
          <w:highlight w:val="none"/>
          <w:lang w:val="en-US" w:eastAsia="zh-CN"/>
          <w14:textFill>
            <w14:solidFill>
              <w14:schemeClr w14:val="tx1"/>
            </w14:solidFill>
          </w14:textFill>
        </w:rPr>
      </w:pPr>
    </w:p>
    <w:p w14:paraId="52799A6F">
      <w:pPr>
        <w:pStyle w:val="13"/>
        <w:spacing w:beforeAutospacing="0" w:afterAutospacing="0" w:line="480" w:lineRule="auto"/>
        <w:ind w:firstLine="540" w:firstLineChars="224"/>
        <w:jc w:val="both"/>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9.</w:t>
      </w:r>
      <w:r>
        <w:rPr>
          <w:rFonts w:hint="eastAsia" w:cs="宋体"/>
          <w:b/>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评分标准中需提供的证明材料（除技术参数要求外）</w:t>
      </w:r>
    </w:p>
    <w:p w14:paraId="2F51F77D">
      <w:pPr>
        <w:pStyle w:val="13"/>
        <w:spacing w:beforeAutospacing="0" w:afterAutospacing="0" w:line="480" w:lineRule="auto"/>
        <w:jc w:val="both"/>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pPr>
    </w:p>
    <w:p w14:paraId="44D2F11A">
      <w:pPr>
        <w:pStyle w:val="13"/>
        <w:spacing w:beforeAutospacing="0" w:afterAutospacing="0" w:line="480" w:lineRule="auto"/>
        <w:ind w:firstLine="540" w:firstLineChars="224"/>
        <w:jc w:val="both"/>
        <w:rPr>
          <w:rFonts w:hint="eastAsia" w:ascii="宋体" w:hAnsi="宋体" w:eastAsia="宋体" w:cs="宋体"/>
          <w:color w:val="000000" w:themeColor="text1"/>
          <w:sz w:val="24"/>
          <w:szCs w:val="24"/>
          <w:highlight w:val="none"/>
          <w14:textFill>
            <w14:solidFill>
              <w14:schemeClr w14:val="tx1"/>
            </w14:solidFill>
          </w14:textFill>
        </w:rPr>
      </w:pPr>
      <w:bookmarkStart w:id="76" w:name="_Toc17966"/>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9.</w:t>
      </w:r>
      <w:r>
        <w:rPr>
          <w:rFonts w:hint="eastAsia" w:cs="宋体"/>
          <w:b/>
          <w:bCs w:val="0"/>
          <w:color w:val="000000" w:themeColor="text1"/>
          <w:sz w:val="24"/>
          <w:szCs w:val="24"/>
          <w:highlight w:val="none"/>
          <w:lang w:val="en-US" w:eastAsia="zh-CN"/>
          <w14:textFill>
            <w14:solidFill>
              <w14:schemeClr w14:val="tx1"/>
            </w14:solidFill>
          </w14:textFill>
        </w:rPr>
        <w:t>3</w:t>
      </w:r>
      <w:r>
        <w:rPr>
          <w:rFonts w:hint="eastAsia" w:ascii="宋体" w:hAnsi="宋体" w:eastAsia="宋体" w:cs="宋体"/>
          <w:b/>
          <w:color w:val="000000" w:themeColor="text1"/>
          <w:sz w:val="24"/>
          <w:szCs w:val="24"/>
          <w:highlight w:val="none"/>
          <w14:textFill>
            <w14:solidFill>
              <w14:schemeClr w14:val="tx1"/>
            </w14:solidFill>
          </w14:textFill>
        </w:rPr>
        <w:t>销售业绩</w:t>
      </w:r>
    </w:p>
    <w:tbl>
      <w:tblPr>
        <w:tblStyle w:val="34"/>
        <w:tblW w:w="94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392"/>
        <w:gridCol w:w="1485"/>
        <w:gridCol w:w="1470"/>
        <w:gridCol w:w="1365"/>
        <w:gridCol w:w="1365"/>
        <w:gridCol w:w="1395"/>
      </w:tblGrid>
      <w:tr w14:paraId="39B08F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6432738">
            <w:pPr>
              <w:spacing w:before="12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序号</w:t>
            </w:r>
          </w:p>
        </w:tc>
        <w:tc>
          <w:tcPr>
            <w:tcW w:w="1392" w:type="dxa"/>
            <w:vAlign w:val="center"/>
          </w:tcPr>
          <w:p w14:paraId="5D77AEB6">
            <w:pPr>
              <w:spacing w:before="12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销售用户</w:t>
            </w:r>
          </w:p>
        </w:tc>
        <w:tc>
          <w:tcPr>
            <w:tcW w:w="1485" w:type="dxa"/>
            <w:vAlign w:val="center"/>
          </w:tcPr>
          <w:p w14:paraId="4E9B63B6">
            <w:pPr>
              <w:spacing w:before="12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产品名称</w:t>
            </w:r>
          </w:p>
        </w:tc>
        <w:tc>
          <w:tcPr>
            <w:tcW w:w="1470" w:type="dxa"/>
            <w:vAlign w:val="center"/>
          </w:tcPr>
          <w:p w14:paraId="38187210">
            <w:pPr>
              <w:spacing w:before="12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品牌</w:t>
            </w:r>
          </w:p>
        </w:tc>
        <w:tc>
          <w:tcPr>
            <w:tcW w:w="1365" w:type="dxa"/>
            <w:vAlign w:val="center"/>
          </w:tcPr>
          <w:p w14:paraId="02D23B7A">
            <w:pPr>
              <w:spacing w:before="120"/>
              <w:jc w:val="center"/>
              <w:rPr>
                <w:rFonts w:hint="eastAsia" w:ascii="宋体" w:hAnsi="宋体" w:eastAsia="宋体" w:cs="宋体"/>
                <w:color w:val="000000" w:themeColor="text1"/>
                <w:sz w:val="24"/>
                <w:highlight w:val="none"/>
                <w:lang w:val="en-US" w:eastAsia="zh-CN"/>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型号</w:t>
            </w:r>
          </w:p>
        </w:tc>
        <w:tc>
          <w:tcPr>
            <w:tcW w:w="1365" w:type="dxa"/>
            <w:vAlign w:val="center"/>
          </w:tcPr>
          <w:p w14:paraId="788302A4">
            <w:pPr>
              <w:spacing w:before="12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lang w:val="en-US" w:eastAsia="zh-CN"/>
                <w14:textFill>
                  <w14:solidFill>
                    <w14:schemeClr w14:val="tx1"/>
                  </w14:solidFill>
                </w14:textFill>
              </w:rPr>
              <w:t>联系人及</w:t>
            </w:r>
            <w:r>
              <w:rPr>
                <w:rFonts w:hint="eastAsia" w:ascii="宋体" w:hAnsi="宋体" w:eastAsia="宋体" w:cs="宋体"/>
                <w:color w:val="000000" w:themeColor="text1"/>
                <w:sz w:val="24"/>
                <w:highlight w:val="none"/>
                <w14:textFill>
                  <w14:solidFill>
                    <w14:schemeClr w14:val="tx1"/>
                  </w14:solidFill>
                </w14:textFill>
              </w:rPr>
              <w:t>联系电话</w:t>
            </w:r>
          </w:p>
        </w:tc>
        <w:tc>
          <w:tcPr>
            <w:tcW w:w="1395" w:type="dxa"/>
            <w:vAlign w:val="center"/>
          </w:tcPr>
          <w:p w14:paraId="0CD37DB9">
            <w:pPr>
              <w:spacing w:before="120"/>
              <w:jc w:val="center"/>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销售年份</w:t>
            </w:r>
          </w:p>
        </w:tc>
      </w:tr>
      <w:tr w14:paraId="08F270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392D7448">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2" w:type="dxa"/>
            <w:vAlign w:val="center"/>
          </w:tcPr>
          <w:p w14:paraId="0B354FD7">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85" w:type="dxa"/>
            <w:vAlign w:val="center"/>
          </w:tcPr>
          <w:p w14:paraId="37AC1C1D">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70" w:type="dxa"/>
            <w:vAlign w:val="center"/>
          </w:tcPr>
          <w:p w14:paraId="281E28E4">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771BD6AB">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61E60ADA">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5" w:type="dxa"/>
            <w:vAlign w:val="center"/>
          </w:tcPr>
          <w:p w14:paraId="04447730">
            <w:pPr>
              <w:spacing w:before="120"/>
              <w:jc w:val="center"/>
              <w:rPr>
                <w:rFonts w:hint="eastAsia" w:ascii="宋体" w:hAnsi="宋体" w:eastAsia="宋体" w:cs="宋体"/>
                <w:color w:val="000000" w:themeColor="text1"/>
                <w:highlight w:val="none"/>
                <w14:textFill>
                  <w14:solidFill>
                    <w14:schemeClr w14:val="tx1"/>
                  </w14:solidFill>
                </w14:textFill>
              </w:rPr>
            </w:pPr>
          </w:p>
        </w:tc>
      </w:tr>
      <w:tr w14:paraId="742694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B8AF551">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2" w:type="dxa"/>
            <w:vAlign w:val="center"/>
          </w:tcPr>
          <w:p w14:paraId="2DA219B5">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85" w:type="dxa"/>
            <w:vAlign w:val="center"/>
          </w:tcPr>
          <w:p w14:paraId="60964CDB">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70" w:type="dxa"/>
            <w:vAlign w:val="center"/>
          </w:tcPr>
          <w:p w14:paraId="61B640D0">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536881BB">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2C3F9359">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5" w:type="dxa"/>
            <w:vAlign w:val="center"/>
          </w:tcPr>
          <w:p w14:paraId="104FB69F">
            <w:pPr>
              <w:spacing w:before="120"/>
              <w:jc w:val="center"/>
              <w:rPr>
                <w:rFonts w:hint="eastAsia" w:ascii="宋体" w:hAnsi="宋体" w:eastAsia="宋体" w:cs="宋体"/>
                <w:color w:val="000000" w:themeColor="text1"/>
                <w:highlight w:val="none"/>
                <w14:textFill>
                  <w14:solidFill>
                    <w14:schemeClr w14:val="tx1"/>
                  </w14:solidFill>
                </w14:textFill>
              </w:rPr>
            </w:pPr>
          </w:p>
        </w:tc>
      </w:tr>
      <w:tr w14:paraId="48E9D7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5237FDB6">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2" w:type="dxa"/>
            <w:vAlign w:val="center"/>
          </w:tcPr>
          <w:p w14:paraId="0EC68B0F">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85" w:type="dxa"/>
            <w:vAlign w:val="center"/>
          </w:tcPr>
          <w:p w14:paraId="6264E41A">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70" w:type="dxa"/>
            <w:vAlign w:val="center"/>
          </w:tcPr>
          <w:p w14:paraId="07450E34">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4C553C60">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1A92A840">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5" w:type="dxa"/>
            <w:vAlign w:val="center"/>
          </w:tcPr>
          <w:p w14:paraId="4ED4F07A">
            <w:pPr>
              <w:spacing w:before="120"/>
              <w:jc w:val="center"/>
              <w:rPr>
                <w:rFonts w:hint="eastAsia" w:ascii="宋体" w:hAnsi="宋体" w:eastAsia="宋体" w:cs="宋体"/>
                <w:color w:val="000000" w:themeColor="text1"/>
                <w:highlight w:val="none"/>
                <w14:textFill>
                  <w14:solidFill>
                    <w14:schemeClr w14:val="tx1"/>
                  </w14:solidFill>
                </w14:textFill>
              </w:rPr>
            </w:pPr>
          </w:p>
        </w:tc>
      </w:tr>
      <w:tr w14:paraId="7496B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CBAE2E1">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2" w:type="dxa"/>
            <w:vAlign w:val="center"/>
          </w:tcPr>
          <w:p w14:paraId="1B2F6ED2">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85" w:type="dxa"/>
            <w:vAlign w:val="center"/>
          </w:tcPr>
          <w:p w14:paraId="2D2D2FEC">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70" w:type="dxa"/>
            <w:vAlign w:val="center"/>
          </w:tcPr>
          <w:p w14:paraId="190C8459">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5C1E72EF">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5A6E5E8B">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5" w:type="dxa"/>
            <w:vAlign w:val="center"/>
          </w:tcPr>
          <w:p w14:paraId="2D89B567">
            <w:pPr>
              <w:spacing w:before="120"/>
              <w:jc w:val="center"/>
              <w:rPr>
                <w:rFonts w:hint="eastAsia" w:ascii="宋体" w:hAnsi="宋体" w:eastAsia="宋体" w:cs="宋体"/>
                <w:color w:val="000000" w:themeColor="text1"/>
                <w:highlight w:val="none"/>
                <w14:textFill>
                  <w14:solidFill>
                    <w14:schemeClr w14:val="tx1"/>
                  </w14:solidFill>
                </w14:textFill>
              </w:rPr>
            </w:pPr>
          </w:p>
        </w:tc>
      </w:tr>
      <w:tr w14:paraId="0E92E6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443FA176">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2" w:type="dxa"/>
            <w:vAlign w:val="center"/>
          </w:tcPr>
          <w:p w14:paraId="6EC5F5FE">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85" w:type="dxa"/>
            <w:vAlign w:val="center"/>
          </w:tcPr>
          <w:p w14:paraId="1226E7A2">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70" w:type="dxa"/>
            <w:vAlign w:val="center"/>
          </w:tcPr>
          <w:p w14:paraId="4369E923">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06A63D0D">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2EE9EADA">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5" w:type="dxa"/>
            <w:vAlign w:val="center"/>
          </w:tcPr>
          <w:p w14:paraId="2827C9D7">
            <w:pPr>
              <w:spacing w:before="120"/>
              <w:jc w:val="center"/>
              <w:rPr>
                <w:rFonts w:hint="eastAsia" w:ascii="宋体" w:hAnsi="宋体" w:eastAsia="宋体" w:cs="宋体"/>
                <w:color w:val="000000" w:themeColor="text1"/>
                <w:highlight w:val="none"/>
                <w14:textFill>
                  <w14:solidFill>
                    <w14:schemeClr w14:val="tx1"/>
                  </w14:solidFill>
                </w14:textFill>
              </w:rPr>
            </w:pPr>
          </w:p>
        </w:tc>
      </w:tr>
      <w:tr w14:paraId="14B195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73627E7B">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2" w:type="dxa"/>
            <w:vAlign w:val="center"/>
          </w:tcPr>
          <w:p w14:paraId="3904317C">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85" w:type="dxa"/>
            <w:vAlign w:val="center"/>
          </w:tcPr>
          <w:p w14:paraId="2B41D14C">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70" w:type="dxa"/>
            <w:vAlign w:val="center"/>
          </w:tcPr>
          <w:p w14:paraId="45CFC41B">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32CFA217">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3797DB3D">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5" w:type="dxa"/>
            <w:vAlign w:val="center"/>
          </w:tcPr>
          <w:p w14:paraId="54B94AE8">
            <w:pPr>
              <w:spacing w:before="120"/>
              <w:jc w:val="center"/>
              <w:rPr>
                <w:rFonts w:hint="eastAsia" w:ascii="宋体" w:hAnsi="宋体" w:eastAsia="宋体" w:cs="宋体"/>
                <w:color w:val="000000" w:themeColor="text1"/>
                <w:highlight w:val="none"/>
                <w14:textFill>
                  <w14:solidFill>
                    <w14:schemeClr w14:val="tx1"/>
                  </w14:solidFill>
                </w14:textFill>
              </w:rPr>
            </w:pPr>
          </w:p>
        </w:tc>
      </w:tr>
      <w:tr w14:paraId="10B556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07DE1F7E">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2" w:type="dxa"/>
            <w:vAlign w:val="center"/>
          </w:tcPr>
          <w:p w14:paraId="1313E78D">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85" w:type="dxa"/>
            <w:vAlign w:val="center"/>
          </w:tcPr>
          <w:p w14:paraId="1B7314DE">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70" w:type="dxa"/>
            <w:vAlign w:val="center"/>
          </w:tcPr>
          <w:p w14:paraId="3DF6CFC0">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755F2A9A">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2E509206">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5" w:type="dxa"/>
            <w:vAlign w:val="center"/>
          </w:tcPr>
          <w:p w14:paraId="79E06EF4">
            <w:pPr>
              <w:spacing w:before="120"/>
              <w:jc w:val="center"/>
              <w:rPr>
                <w:rFonts w:hint="eastAsia" w:ascii="宋体" w:hAnsi="宋体" w:eastAsia="宋体" w:cs="宋体"/>
                <w:color w:val="000000" w:themeColor="text1"/>
                <w:highlight w:val="none"/>
                <w14:textFill>
                  <w14:solidFill>
                    <w14:schemeClr w14:val="tx1"/>
                  </w14:solidFill>
                </w14:textFill>
              </w:rPr>
            </w:pPr>
          </w:p>
        </w:tc>
      </w:tr>
      <w:tr w14:paraId="1CFF2A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82" w:type="dxa"/>
            <w:vAlign w:val="center"/>
          </w:tcPr>
          <w:p w14:paraId="62B57E21">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2" w:type="dxa"/>
            <w:vAlign w:val="center"/>
          </w:tcPr>
          <w:p w14:paraId="561AB2CF">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85" w:type="dxa"/>
            <w:vAlign w:val="center"/>
          </w:tcPr>
          <w:p w14:paraId="4DC497D5">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470" w:type="dxa"/>
            <w:vAlign w:val="center"/>
          </w:tcPr>
          <w:p w14:paraId="6F07EB69">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67F571B3">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65" w:type="dxa"/>
            <w:vAlign w:val="center"/>
          </w:tcPr>
          <w:p w14:paraId="0E56BECE">
            <w:pPr>
              <w:spacing w:before="120"/>
              <w:jc w:val="center"/>
              <w:rPr>
                <w:rFonts w:hint="eastAsia" w:ascii="宋体" w:hAnsi="宋体" w:eastAsia="宋体" w:cs="宋体"/>
                <w:color w:val="000000" w:themeColor="text1"/>
                <w:highlight w:val="none"/>
                <w14:textFill>
                  <w14:solidFill>
                    <w14:schemeClr w14:val="tx1"/>
                  </w14:solidFill>
                </w14:textFill>
              </w:rPr>
            </w:pPr>
          </w:p>
        </w:tc>
        <w:tc>
          <w:tcPr>
            <w:tcW w:w="1395" w:type="dxa"/>
            <w:vAlign w:val="center"/>
          </w:tcPr>
          <w:p w14:paraId="4147F08F">
            <w:pPr>
              <w:spacing w:before="120"/>
              <w:jc w:val="center"/>
              <w:rPr>
                <w:rFonts w:hint="eastAsia" w:ascii="宋体" w:hAnsi="宋体" w:eastAsia="宋体" w:cs="宋体"/>
                <w:color w:val="000000" w:themeColor="text1"/>
                <w:highlight w:val="none"/>
                <w14:textFill>
                  <w14:solidFill>
                    <w14:schemeClr w14:val="tx1"/>
                  </w14:solidFill>
                </w14:textFill>
              </w:rPr>
            </w:pPr>
          </w:p>
        </w:tc>
      </w:tr>
    </w:tbl>
    <w:p w14:paraId="5016CED6">
      <w:pPr>
        <w:spacing w:line="380" w:lineRule="exact"/>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注：供应商需在本表后附</w:t>
      </w:r>
      <w:r>
        <w:rPr>
          <w:rFonts w:hint="eastAsia" w:ascii="宋体" w:hAnsi="宋体" w:eastAsia="宋体" w:cs="宋体"/>
          <w:b/>
          <w:color w:val="000000" w:themeColor="text1"/>
          <w:szCs w:val="21"/>
          <w:highlight w:val="none"/>
          <w:lang w:val="en-US" w:eastAsia="zh-CN"/>
          <w14:textFill>
            <w14:solidFill>
              <w14:schemeClr w14:val="tx1"/>
            </w14:solidFill>
          </w14:textFill>
        </w:rPr>
        <w:t>销售业绩</w:t>
      </w:r>
      <w:r>
        <w:rPr>
          <w:rFonts w:hint="eastAsia" w:ascii="宋体" w:hAnsi="宋体" w:eastAsia="宋体" w:cs="宋体"/>
          <w:b/>
          <w:color w:val="000000" w:themeColor="text1"/>
          <w:szCs w:val="21"/>
          <w:highlight w:val="none"/>
          <w14:textFill>
            <w14:solidFill>
              <w14:schemeClr w14:val="tx1"/>
            </w14:solidFill>
          </w14:textFill>
        </w:rPr>
        <w:t>合同</w:t>
      </w:r>
      <w:r>
        <w:rPr>
          <w:rFonts w:hint="eastAsia" w:ascii="宋体" w:hAnsi="宋体" w:eastAsia="宋体" w:cs="宋体"/>
          <w:b/>
          <w:color w:val="000000" w:themeColor="text1"/>
          <w:szCs w:val="21"/>
          <w:highlight w:val="none"/>
          <w:lang w:val="en-US" w:eastAsia="zh-CN"/>
          <w14:textFill>
            <w14:solidFill>
              <w14:schemeClr w14:val="tx1"/>
            </w14:solidFill>
          </w14:textFill>
        </w:rPr>
        <w:t>。</w:t>
      </w:r>
    </w:p>
    <w:p w14:paraId="017273DD">
      <w:pPr>
        <w:pStyle w:val="13"/>
        <w:spacing w:beforeAutospacing="0" w:afterAutospacing="0" w:line="480" w:lineRule="auto"/>
        <w:ind w:firstLine="495" w:firstLineChars="224"/>
        <w:jc w:val="both"/>
        <w:rPr>
          <w:rFonts w:hint="eastAsia" w:ascii="宋体" w:hAnsi="宋体" w:eastAsia="宋体" w:cs="宋体"/>
          <w:b/>
          <w:bCs w:val="0"/>
          <w:color w:val="000000" w:themeColor="text1"/>
          <w:sz w:val="22"/>
          <w:szCs w:val="22"/>
          <w:highlight w:val="none"/>
          <w14:textFill>
            <w14:solidFill>
              <w14:schemeClr w14:val="tx1"/>
            </w14:solidFill>
          </w14:textFill>
        </w:rPr>
      </w:pPr>
    </w:p>
    <w:p w14:paraId="71475D82">
      <w:pPr>
        <w:pStyle w:val="13"/>
        <w:spacing w:beforeAutospacing="0" w:afterAutospacing="0" w:line="480" w:lineRule="auto"/>
        <w:ind w:firstLine="495" w:firstLineChars="224"/>
        <w:jc w:val="both"/>
        <w:rPr>
          <w:rFonts w:hint="eastAsia" w:ascii="宋体" w:hAnsi="宋体" w:eastAsia="宋体" w:cs="宋体"/>
          <w:b/>
          <w:bCs w:val="0"/>
          <w:color w:val="000000" w:themeColor="text1"/>
          <w:sz w:val="22"/>
          <w:szCs w:val="22"/>
          <w:highlight w:val="none"/>
          <w14:textFill>
            <w14:solidFill>
              <w14:schemeClr w14:val="tx1"/>
            </w14:solidFill>
          </w14:textFill>
        </w:rPr>
      </w:pPr>
    </w:p>
    <w:p w14:paraId="76C0F186">
      <w:pPr>
        <w:pStyle w:val="13"/>
        <w:spacing w:beforeAutospacing="0" w:afterAutospacing="0" w:line="480" w:lineRule="auto"/>
        <w:ind w:firstLine="495" w:firstLineChars="224"/>
        <w:jc w:val="both"/>
        <w:rPr>
          <w:rFonts w:hint="eastAsia" w:ascii="宋体" w:hAnsi="宋体" w:eastAsia="宋体" w:cs="宋体"/>
          <w:b/>
          <w:bCs/>
          <w:color w:val="auto"/>
          <w:highlight w:val="none"/>
        </w:rPr>
      </w:pPr>
      <w:r>
        <w:rPr>
          <w:rFonts w:hint="eastAsia" w:ascii="宋体" w:hAnsi="宋体" w:eastAsia="宋体" w:cs="宋体"/>
          <w:b/>
          <w:bCs w:val="0"/>
          <w:color w:val="auto"/>
          <w:sz w:val="22"/>
          <w:szCs w:val="22"/>
          <w:highlight w:val="none"/>
        </w:rPr>
        <w:t>9.</w:t>
      </w:r>
      <w:r>
        <w:rPr>
          <w:rFonts w:hint="eastAsia" w:cs="宋体"/>
          <w:b/>
          <w:bCs w:val="0"/>
          <w:color w:val="auto"/>
          <w:sz w:val="22"/>
          <w:szCs w:val="22"/>
          <w:highlight w:val="none"/>
          <w:lang w:val="en-US" w:eastAsia="zh-CN"/>
        </w:rPr>
        <w:t>4</w:t>
      </w:r>
      <w:r>
        <w:rPr>
          <w:rFonts w:hint="eastAsia" w:ascii="宋体" w:hAnsi="宋体" w:eastAsia="宋体" w:cs="宋体"/>
          <w:b/>
          <w:bCs w:val="0"/>
          <w:color w:val="auto"/>
          <w:sz w:val="22"/>
          <w:szCs w:val="22"/>
          <w:highlight w:val="none"/>
          <w:lang w:val="en-US" w:eastAsia="zh-CN"/>
        </w:rPr>
        <w:t xml:space="preserve"> 供应商认为其他应提供的证明材料</w:t>
      </w:r>
      <w:bookmarkEnd w:id="76"/>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1BC9DA-6A48-4B81-B0AB-FE44D33AC37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09834">
    <w:pPr>
      <w:pStyle w:val="25"/>
      <w:jc w:val="right"/>
      <w:rPr>
        <w:rFonts w:hint="eastAsia"/>
        <w:lang w:val="en-US" w:eastAsia="zh-CN"/>
      </w:rPr>
    </w:pPr>
  </w:p>
  <w:p w14:paraId="53CBF78C">
    <w:pPr>
      <w:pStyle w:val="25"/>
      <w:jc w:val="right"/>
      <w:rPr>
        <w:rFonts w:hint="eastAsia"/>
      </w:rPr>
    </w:pPr>
    <w:r>
      <w:rPr>
        <w:rFonts w:hint="eastAsia"/>
        <w:lang w:val="en-US" w:eastAsia="zh-CN"/>
      </w:rPr>
      <w:t>驻马店市中心医院YAG眼科激光治疗仪、眼科超声雾化器采购项目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1E276"/>
    <w:multiLevelType w:val="singleLevel"/>
    <w:tmpl w:val="AC41E276"/>
    <w:lvl w:ilvl="0" w:tentative="0">
      <w:start w:val="5"/>
      <w:numFmt w:val="chineseCounting"/>
      <w:suff w:val="nothing"/>
      <w:lvlText w:val="%1、"/>
      <w:lvlJc w:val="left"/>
      <w:rPr>
        <w:rFonts w:hint="eastAsia"/>
      </w:rPr>
    </w:lvl>
  </w:abstractNum>
  <w:abstractNum w:abstractNumId="1">
    <w:nsid w:val="CA829215"/>
    <w:multiLevelType w:val="singleLevel"/>
    <w:tmpl w:val="CA829215"/>
    <w:lvl w:ilvl="0" w:tentative="0">
      <w:start w:val="2"/>
      <w:numFmt w:val="chineseCounting"/>
      <w:suff w:val="nothing"/>
      <w:lvlText w:val="%1、"/>
      <w:lvlJc w:val="left"/>
      <w:rPr>
        <w:rFonts w:hint="eastAsia"/>
      </w:rPr>
    </w:lvl>
  </w:abstractNum>
  <w:abstractNum w:abstractNumId="2">
    <w:nsid w:val="21C16111"/>
    <w:multiLevelType w:val="singleLevel"/>
    <w:tmpl w:val="21C1611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47DE1"/>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024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2F76"/>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626374"/>
    <w:rsid w:val="01745FBF"/>
    <w:rsid w:val="017E6D95"/>
    <w:rsid w:val="018D0058"/>
    <w:rsid w:val="019376D8"/>
    <w:rsid w:val="01976717"/>
    <w:rsid w:val="019F1377"/>
    <w:rsid w:val="01D715BE"/>
    <w:rsid w:val="01EB45BC"/>
    <w:rsid w:val="01F04981"/>
    <w:rsid w:val="01F9035B"/>
    <w:rsid w:val="01FA63A5"/>
    <w:rsid w:val="02011C7D"/>
    <w:rsid w:val="02035523"/>
    <w:rsid w:val="021653B1"/>
    <w:rsid w:val="02184C85"/>
    <w:rsid w:val="021B0444"/>
    <w:rsid w:val="021C6E40"/>
    <w:rsid w:val="02222FF2"/>
    <w:rsid w:val="023615AF"/>
    <w:rsid w:val="02384FF4"/>
    <w:rsid w:val="023D0B8F"/>
    <w:rsid w:val="023F67A9"/>
    <w:rsid w:val="0247575A"/>
    <w:rsid w:val="025235B1"/>
    <w:rsid w:val="0261030A"/>
    <w:rsid w:val="0262674D"/>
    <w:rsid w:val="02747B01"/>
    <w:rsid w:val="027619AC"/>
    <w:rsid w:val="02890D36"/>
    <w:rsid w:val="02B97DFD"/>
    <w:rsid w:val="02C866AB"/>
    <w:rsid w:val="02CB7F49"/>
    <w:rsid w:val="02D92EF7"/>
    <w:rsid w:val="02DA4665"/>
    <w:rsid w:val="02ED6112"/>
    <w:rsid w:val="02F40325"/>
    <w:rsid w:val="02FA082F"/>
    <w:rsid w:val="031126C4"/>
    <w:rsid w:val="031C0676"/>
    <w:rsid w:val="0323019C"/>
    <w:rsid w:val="034733B8"/>
    <w:rsid w:val="03475E56"/>
    <w:rsid w:val="0353518A"/>
    <w:rsid w:val="035E4919"/>
    <w:rsid w:val="036056EE"/>
    <w:rsid w:val="03675F31"/>
    <w:rsid w:val="036A009A"/>
    <w:rsid w:val="037A734D"/>
    <w:rsid w:val="03844805"/>
    <w:rsid w:val="03845791"/>
    <w:rsid w:val="03A011E9"/>
    <w:rsid w:val="03AE7F27"/>
    <w:rsid w:val="03BC3316"/>
    <w:rsid w:val="03BD2BCD"/>
    <w:rsid w:val="03CC058D"/>
    <w:rsid w:val="03E017D2"/>
    <w:rsid w:val="03F447E2"/>
    <w:rsid w:val="03F77068"/>
    <w:rsid w:val="03FB660C"/>
    <w:rsid w:val="042E37DB"/>
    <w:rsid w:val="04416C20"/>
    <w:rsid w:val="04732647"/>
    <w:rsid w:val="047968B1"/>
    <w:rsid w:val="04870542"/>
    <w:rsid w:val="04B30F7A"/>
    <w:rsid w:val="04D07A99"/>
    <w:rsid w:val="050E236F"/>
    <w:rsid w:val="0512137B"/>
    <w:rsid w:val="05121E5F"/>
    <w:rsid w:val="054C0111"/>
    <w:rsid w:val="05545DD3"/>
    <w:rsid w:val="056E2AD6"/>
    <w:rsid w:val="05720B50"/>
    <w:rsid w:val="05806815"/>
    <w:rsid w:val="058251D3"/>
    <w:rsid w:val="058C28F1"/>
    <w:rsid w:val="05945CCE"/>
    <w:rsid w:val="059652F0"/>
    <w:rsid w:val="059D05A4"/>
    <w:rsid w:val="059D5E17"/>
    <w:rsid w:val="059E1E1A"/>
    <w:rsid w:val="05AB0A28"/>
    <w:rsid w:val="05AB0F81"/>
    <w:rsid w:val="05B93D6B"/>
    <w:rsid w:val="05C23EEE"/>
    <w:rsid w:val="05C313AC"/>
    <w:rsid w:val="05CA4074"/>
    <w:rsid w:val="05D53002"/>
    <w:rsid w:val="05D75738"/>
    <w:rsid w:val="05EB110D"/>
    <w:rsid w:val="05EB4481"/>
    <w:rsid w:val="05EB48F5"/>
    <w:rsid w:val="05F17CC7"/>
    <w:rsid w:val="05FC520E"/>
    <w:rsid w:val="061E7D14"/>
    <w:rsid w:val="0627193B"/>
    <w:rsid w:val="06381EE1"/>
    <w:rsid w:val="06446B44"/>
    <w:rsid w:val="06560AED"/>
    <w:rsid w:val="066469C9"/>
    <w:rsid w:val="066646A1"/>
    <w:rsid w:val="066A7CAA"/>
    <w:rsid w:val="066E164D"/>
    <w:rsid w:val="06791DB6"/>
    <w:rsid w:val="068E7B23"/>
    <w:rsid w:val="06983B20"/>
    <w:rsid w:val="069A3B66"/>
    <w:rsid w:val="06A869D6"/>
    <w:rsid w:val="06A9264E"/>
    <w:rsid w:val="06B31420"/>
    <w:rsid w:val="06B91765"/>
    <w:rsid w:val="06CA2AD2"/>
    <w:rsid w:val="06CB0D68"/>
    <w:rsid w:val="06CD24E2"/>
    <w:rsid w:val="06CE3071"/>
    <w:rsid w:val="06D33DBA"/>
    <w:rsid w:val="06D73361"/>
    <w:rsid w:val="06E13F9F"/>
    <w:rsid w:val="06FB0AC5"/>
    <w:rsid w:val="06FE7278"/>
    <w:rsid w:val="070D2D5D"/>
    <w:rsid w:val="07104A12"/>
    <w:rsid w:val="07111B8D"/>
    <w:rsid w:val="07260519"/>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44141"/>
    <w:rsid w:val="081B727D"/>
    <w:rsid w:val="081D2FF5"/>
    <w:rsid w:val="08321601"/>
    <w:rsid w:val="08326375"/>
    <w:rsid w:val="083D5C91"/>
    <w:rsid w:val="0847191F"/>
    <w:rsid w:val="08591DC3"/>
    <w:rsid w:val="085B58CB"/>
    <w:rsid w:val="08672793"/>
    <w:rsid w:val="08695E80"/>
    <w:rsid w:val="087C4541"/>
    <w:rsid w:val="087E5595"/>
    <w:rsid w:val="08955281"/>
    <w:rsid w:val="08A11354"/>
    <w:rsid w:val="08BC0A60"/>
    <w:rsid w:val="08C52D6F"/>
    <w:rsid w:val="08E42BE4"/>
    <w:rsid w:val="08EB30F3"/>
    <w:rsid w:val="08EF0201"/>
    <w:rsid w:val="08F41DE8"/>
    <w:rsid w:val="093D1475"/>
    <w:rsid w:val="094840A2"/>
    <w:rsid w:val="09491BC8"/>
    <w:rsid w:val="09644C54"/>
    <w:rsid w:val="09737462"/>
    <w:rsid w:val="098B21E0"/>
    <w:rsid w:val="099156C3"/>
    <w:rsid w:val="099A0675"/>
    <w:rsid w:val="09A33F5B"/>
    <w:rsid w:val="09A53F39"/>
    <w:rsid w:val="09A60E13"/>
    <w:rsid w:val="09A82D92"/>
    <w:rsid w:val="09AB2883"/>
    <w:rsid w:val="09C35E1E"/>
    <w:rsid w:val="09CD0A4B"/>
    <w:rsid w:val="09D206F0"/>
    <w:rsid w:val="09D27E0F"/>
    <w:rsid w:val="0A287A2F"/>
    <w:rsid w:val="0A321AC2"/>
    <w:rsid w:val="0A343D4E"/>
    <w:rsid w:val="0A344626"/>
    <w:rsid w:val="0A357AEC"/>
    <w:rsid w:val="0A3E6D2E"/>
    <w:rsid w:val="0A4232E4"/>
    <w:rsid w:val="0A4F145F"/>
    <w:rsid w:val="0A8455AD"/>
    <w:rsid w:val="0A8729A8"/>
    <w:rsid w:val="0ABA2D7D"/>
    <w:rsid w:val="0AD13A85"/>
    <w:rsid w:val="0AE0655C"/>
    <w:rsid w:val="0B091954"/>
    <w:rsid w:val="0B195776"/>
    <w:rsid w:val="0B1A7CC0"/>
    <w:rsid w:val="0B224DC6"/>
    <w:rsid w:val="0B34773E"/>
    <w:rsid w:val="0B3B7D65"/>
    <w:rsid w:val="0B434C20"/>
    <w:rsid w:val="0B5F0822"/>
    <w:rsid w:val="0B637D77"/>
    <w:rsid w:val="0B6B6A4F"/>
    <w:rsid w:val="0B7006C4"/>
    <w:rsid w:val="0B726646"/>
    <w:rsid w:val="0B7606E8"/>
    <w:rsid w:val="0B8B471A"/>
    <w:rsid w:val="0B924545"/>
    <w:rsid w:val="0BAC324F"/>
    <w:rsid w:val="0BB40DF1"/>
    <w:rsid w:val="0BC11EE9"/>
    <w:rsid w:val="0BCC62FA"/>
    <w:rsid w:val="0BF16C73"/>
    <w:rsid w:val="0BF72F1E"/>
    <w:rsid w:val="0C0A7D34"/>
    <w:rsid w:val="0C230DF6"/>
    <w:rsid w:val="0C3152C1"/>
    <w:rsid w:val="0C3957A5"/>
    <w:rsid w:val="0C4E6409"/>
    <w:rsid w:val="0C507E2F"/>
    <w:rsid w:val="0C600D66"/>
    <w:rsid w:val="0C626DA7"/>
    <w:rsid w:val="0C6876AE"/>
    <w:rsid w:val="0C71390F"/>
    <w:rsid w:val="0C720EC8"/>
    <w:rsid w:val="0C820A5E"/>
    <w:rsid w:val="0C880C59"/>
    <w:rsid w:val="0C942042"/>
    <w:rsid w:val="0C9D50DC"/>
    <w:rsid w:val="0CA5271D"/>
    <w:rsid w:val="0CAC4D10"/>
    <w:rsid w:val="0CC53C5B"/>
    <w:rsid w:val="0CC72121"/>
    <w:rsid w:val="0CEE5A21"/>
    <w:rsid w:val="0D05268E"/>
    <w:rsid w:val="0D0646E7"/>
    <w:rsid w:val="0D0C38CA"/>
    <w:rsid w:val="0D206810"/>
    <w:rsid w:val="0D4861FD"/>
    <w:rsid w:val="0D735465"/>
    <w:rsid w:val="0D822CDE"/>
    <w:rsid w:val="0D9D0734"/>
    <w:rsid w:val="0DC577E0"/>
    <w:rsid w:val="0DDC6319"/>
    <w:rsid w:val="0DE1181F"/>
    <w:rsid w:val="0DFA5B87"/>
    <w:rsid w:val="0DFE4F67"/>
    <w:rsid w:val="0E0C0D4C"/>
    <w:rsid w:val="0E115DA1"/>
    <w:rsid w:val="0E1409F6"/>
    <w:rsid w:val="0E162D6D"/>
    <w:rsid w:val="0E460DCC"/>
    <w:rsid w:val="0E4B63E2"/>
    <w:rsid w:val="0E541CA2"/>
    <w:rsid w:val="0E576B35"/>
    <w:rsid w:val="0E594756"/>
    <w:rsid w:val="0E680D42"/>
    <w:rsid w:val="0E95596D"/>
    <w:rsid w:val="0EAE6205"/>
    <w:rsid w:val="0EAE6579"/>
    <w:rsid w:val="0EAF71BF"/>
    <w:rsid w:val="0ECE6257"/>
    <w:rsid w:val="0EE24651"/>
    <w:rsid w:val="0EE4129D"/>
    <w:rsid w:val="0F171032"/>
    <w:rsid w:val="0F1D7D7F"/>
    <w:rsid w:val="0F335E69"/>
    <w:rsid w:val="0F372614"/>
    <w:rsid w:val="0F3D59C9"/>
    <w:rsid w:val="0F515A6B"/>
    <w:rsid w:val="0F516D5A"/>
    <w:rsid w:val="0F565B36"/>
    <w:rsid w:val="0F684933"/>
    <w:rsid w:val="0F6E2388"/>
    <w:rsid w:val="0F821E7D"/>
    <w:rsid w:val="0F8E2A2A"/>
    <w:rsid w:val="0FB3423F"/>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31439"/>
    <w:rsid w:val="111D7BC2"/>
    <w:rsid w:val="11250F40"/>
    <w:rsid w:val="113329E7"/>
    <w:rsid w:val="113F294C"/>
    <w:rsid w:val="11437C85"/>
    <w:rsid w:val="11575085"/>
    <w:rsid w:val="116021A5"/>
    <w:rsid w:val="1166372C"/>
    <w:rsid w:val="11700D10"/>
    <w:rsid w:val="1178125A"/>
    <w:rsid w:val="118441E0"/>
    <w:rsid w:val="1196056D"/>
    <w:rsid w:val="11B85B3D"/>
    <w:rsid w:val="11CD20A0"/>
    <w:rsid w:val="11D34654"/>
    <w:rsid w:val="11E61731"/>
    <w:rsid w:val="12010480"/>
    <w:rsid w:val="12062D4C"/>
    <w:rsid w:val="120E707F"/>
    <w:rsid w:val="121D0051"/>
    <w:rsid w:val="12413D84"/>
    <w:rsid w:val="126D16E4"/>
    <w:rsid w:val="127A7D1C"/>
    <w:rsid w:val="12836D8B"/>
    <w:rsid w:val="12993BC0"/>
    <w:rsid w:val="12AB0349"/>
    <w:rsid w:val="12B66520"/>
    <w:rsid w:val="12CD57F1"/>
    <w:rsid w:val="12CE5941"/>
    <w:rsid w:val="12CE7AFA"/>
    <w:rsid w:val="12D67466"/>
    <w:rsid w:val="12DA08F3"/>
    <w:rsid w:val="13036052"/>
    <w:rsid w:val="13272A5D"/>
    <w:rsid w:val="132A2A6A"/>
    <w:rsid w:val="133B6A25"/>
    <w:rsid w:val="133C40E3"/>
    <w:rsid w:val="133F4BFF"/>
    <w:rsid w:val="13410069"/>
    <w:rsid w:val="13477178"/>
    <w:rsid w:val="13493108"/>
    <w:rsid w:val="134A4EBA"/>
    <w:rsid w:val="13713CFE"/>
    <w:rsid w:val="13733928"/>
    <w:rsid w:val="13741F37"/>
    <w:rsid w:val="13857CA0"/>
    <w:rsid w:val="138F10FE"/>
    <w:rsid w:val="13920D68"/>
    <w:rsid w:val="139C16C9"/>
    <w:rsid w:val="13A5238E"/>
    <w:rsid w:val="13B63CE1"/>
    <w:rsid w:val="13BC6684"/>
    <w:rsid w:val="13C72B3A"/>
    <w:rsid w:val="13D12EE6"/>
    <w:rsid w:val="13DF575E"/>
    <w:rsid w:val="13E470BD"/>
    <w:rsid w:val="13EE3A98"/>
    <w:rsid w:val="13F3280A"/>
    <w:rsid w:val="140D6614"/>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BF5DB6"/>
    <w:rsid w:val="14C53ECE"/>
    <w:rsid w:val="14CF6CB0"/>
    <w:rsid w:val="14D10E8D"/>
    <w:rsid w:val="14DB04C0"/>
    <w:rsid w:val="14DC5FE6"/>
    <w:rsid w:val="14E002E6"/>
    <w:rsid w:val="14FC36BD"/>
    <w:rsid w:val="14FF5EA7"/>
    <w:rsid w:val="15127C5A"/>
    <w:rsid w:val="15192D96"/>
    <w:rsid w:val="151E3A0F"/>
    <w:rsid w:val="152534E9"/>
    <w:rsid w:val="152A4FA3"/>
    <w:rsid w:val="153A36AA"/>
    <w:rsid w:val="15477903"/>
    <w:rsid w:val="1557566D"/>
    <w:rsid w:val="1565422D"/>
    <w:rsid w:val="156E0971"/>
    <w:rsid w:val="15785B3E"/>
    <w:rsid w:val="15811F1B"/>
    <w:rsid w:val="15A30135"/>
    <w:rsid w:val="15A34015"/>
    <w:rsid w:val="15A703A2"/>
    <w:rsid w:val="15BB487B"/>
    <w:rsid w:val="15C01464"/>
    <w:rsid w:val="15CE086D"/>
    <w:rsid w:val="15E2236F"/>
    <w:rsid w:val="16005D04"/>
    <w:rsid w:val="161517B0"/>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B74615"/>
    <w:rsid w:val="16C872D5"/>
    <w:rsid w:val="16D54FA3"/>
    <w:rsid w:val="16D84D9F"/>
    <w:rsid w:val="16E94D3E"/>
    <w:rsid w:val="16EB279A"/>
    <w:rsid w:val="170D06E0"/>
    <w:rsid w:val="17233E03"/>
    <w:rsid w:val="17263548"/>
    <w:rsid w:val="17332185"/>
    <w:rsid w:val="17475951"/>
    <w:rsid w:val="175B7696"/>
    <w:rsid w:val="175C542D"/>
    <w:rsid w:val="175D0ED4"/>
    <w:rsid w:val="1767428D"/>
    <w:rsid w:val="17793FC0"/>
    <w:rsid w:val="179D33A9"/>
    <w:rsid w:val="179F2E61"/>
    <w:rsid w:val="17A06264"/>
    <w:rsid w:val="17BE19D3"/>
    <w:rsid w:val="17C227C0"/>
    <w:rsid w:val="17D66D7C"/>
    <w:rsid w:val="17DE0EDF"/>
    <w:rsid w:val="17EE5BFF"/>
    <w:rsid w:val="17FA6EAF"/>
    <w:rsid w:val="18097740"/>
    <w:rsid w:val="18136133"/>
    <w:rsid w:val="184055B9"/>
    <w:rsid w:val="184A2082"/>
    <w:rsid w:val="185A16FC"/>
    <w:rsid w:val="185D3C42"/>
    <w:rsid w:val="185F38AF"/>
    <w:rsid w:val="18864631"/>
    <w:rsid w:val="188F0211"/>
    <w:rsid w:val="18AD1BEB"/>
    <w:rsid w:val="18B3004A"/>
    <w:rsid w:val="18B31B6D"/>
    <w:rsid w:val="18B83CF9"/>
    <w:rsid w:val="18B96080"/>
    <w:rsid w:val="18CB43A7"/>
    <w:rsid w:val="18CE20EA"/>
    <w:rsid w:val="18DB2CD8"/>
    <w:rsid w:val="18ED670C"/>
    <w:rsid w:val="18F67868"/>
    <w:rsid w:val="190B2D88"/>
    <w:rsid w:val="190E6B63"/>
    <w:rsid w:val="19123928"/>
    <w:rsid w:val="19153926"/>
    <w:rsid w:val="19194264"/>
    <w:rsid w:val="19283048"/>
    <w:rsid w:val="192B3098"/>
    <w:rsid w:val="19420786"/>
    <w:rsid w:val="19427EC0"/>
    <w:rsid w:val="195711D7"/>
    <w:rsid w:val="195D2A3F"/>
    <w:rsid w:val="198310E9"/>
    <w:rsid w:val="198D747A"/>
    <w:rsid w:val="19A15638"/>
    <w:rsid w:val="19A74DFE"/>
    <w:rsid w:val="19A753EF"/>
    <w:rsid w:val="19B117EF"/>
    <w:rsid w:val="1A125525"/>
    <w:rsid w:val="1A5F4342"/>
    <w:rsid w:val="1A616E2C"/>
    <w:rsid w:val="1A715D02"/>
    <w:rsid w:val="1A7F369B"/>
    <w:rsid w:val="1A8C5D82"/>
    <w:rsid w:val="1A994988"/>
    <w:rsid w:val="1A9B546C"/>
    <w:rsid w:val="1A9E141F"/>
    <w:rsid w:val="1AA3511F"/>
    <w:rsid w:val="1AAE3B54"/>
    <w:rsid w:val="1AC10987"/>
    <w:rsid w:val="1AD81468"/>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80F75"/>
    <w:rsid w:val="1C27223D"/>
    <w:rsid w:val="1C3861F8"/>
    <w:rsid w:val="1C4032FE"/>
    <w:rsid w:val="1C424981"/>
    <w:rsid w:val="1C4E77C9"/>
    <w:rsid w:val="1C555978"/>
    <w:rsid w:val="1C6554A1"/>
    <w:rsid w:val="1C705992"/>
    <w:rsid w:val="1C715266"/>
    <w:rsid w:val="1C7971B7"/>
    <w:rsid w:val="1C8036FB"/>
    <w:rsid w:val="1C917D91"/>
    <w:rsid w:val="1CAB1D11"/>
    <w:rsid w:val="1CAB2820"/>
    <w:rsid w:val="1CBA4E5F"/>
    <w:rsid w:val="1CD402EC"/>
    <w:rsid w:val="1CDF6F49"/>
    <w:rsid w:val="1CED16EF"/>
    <w:rsid w:val="1CF02333"/>
    <w:rsid w:val="1D036806"/>
    <w:rsid w:val="1D047E88"/>
    <w:rsid w:val="1D0C33A2"/>
    <w:rsid w:val="1D0C4F8F"/>
    <w:rsid w:val="1D113E6E"/>
    <w:rsid w:val="1D114E5E"/>
    <w:rsid w:val="1D1F0050"/>
    <w:rsid w:val="1D214EDE"/>
    <w:rsid w:val="1D2222DC"/>
    <w:rsid w:val="1D3544E5"/>
    <w:rsid w:val="1D5144F7"/>
    <w:rsid w:val="1D5B3CDE"/>
    <w:rsid w:val="1D5D0701"/>
    <w:rsid w:val="1D6E2950"/>
    <w:rsid w:val="1D79298C"/>
    <w:rsid w:val="1D98209B"/>
    <w:rsid w:val="1DA23746"/>
    <w:rsid w:val="1DAA14B9"/>
    <w:rsid w:val="1DD04513"/>
    <w:rsid w:val="1DD8524D"/>
    <w:rsid w:val="1DDD2BCB"/>
    <w:rsid w:val="1E0345E3"/>
    <w:rsid w:val="1E04324C"/>
    <w:rsid w:val="1E1B7B7F"/>
    <w:rsid w:val="1E443370"/>
    <w:rsid w:val="1E546BED"/>
    <w:rsid w:val="1E656063"/>
    <w:rsid w:val="1E6B06A5"/>
    <w:rsid w:val="1E7554E1"/>
    <w:rsid w:val="1E7F7D9E"/>
    <w:rsid w:val="1E840DA4"/>
    <w:rsid w:val="1E9B2A6E"/>
    <w:rsid w:val="1EA00084"/>
    <w:rsid w:val="1EA5444C"/>
    <w:rsid w:val="1EA5569B"/>
    <w:rsid w:val="1EB350EF"/>
    <w:rsid w:val="1EC21749"/>
    <w:rsid w:val="1EEB7C4E"/>
    <w:rsid w:val="1EFE0DA3"/>
    <w:rsid w:val="1F072441"/>
    <w:rsid w:val="1F171B83"/>
    <w:rsid w:val="1F2D4691"/>
    <w:rsid w:val="1F2D491A"/>
    <w:rsid w:val="1F354D1B"/>
    <w:rsid w:val="1F3F789D"/>
    <w:rsid w:val="1F4E5D32"/>
    <w:rsid w:val="1F503858"/>
    <w:rsid w:val="1F66355F"/>
    <w:rsid w:val="1F6B41EE"/>
    <w:rsid w:val="1F7369C7"/>
    <w:rsid w:val="1F9113A9"/>
    <w:rsid w:val="1F94547B"/>
    <w:rsid w:val="1FA47700"/>
    <w:rsid w:val="1FAF308C"/>
    <w:rsid w:val="1FB64FF9"/>
    <w:rsid w:val="1FC11109"/>
    <w:rsid w:val="1FDA3223"/>
    <w:rsid w:val="1FDE2C12"/>
    <w:rsid w:val="1FEF08C8"/>
    <w:rsid w:val="1FF72E6A"/>
    <w:rsid w:val="1FFB6F12"/>
    <w:rsid w:val="200A3A07"/>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24762"/>
    <w:rsid w:val="212550B5"/>
    <w:rsid w:val="21592B62"/>
    <w:rsid w:val="2172049B"/>
    <w:rsid w:val="21747CD2"/>
    <w:rsid w:val="219263AA"/>
    <w:rsid w:val="219E5782"/>
    <w:rsid w:val="21A41C3A"/>
    <w:rsid w:val="21C1459A"/>
    <w:rsid w:val="21D10545"/>
    <w:rsid w:val="21E72B0B"/>
    <w:rsid w:val="21E76A4A"/>
    <w:rsid w:val="21EE607E"/>
    <w:rsid w:val="21F229A5"/>
    <w:rsid w:val="21F66F4C"/>
    <w:rsid w:val="221F2D96"/>
    <w:rsid w:val="22246DB1"/>
    <w:rsid w:val="22440067"/>
    <w:rsid w:val="225A6017"/>
    <w:rsid w:val="22631AF5"/>
    <w:rsid w:val="22655D1C"/>
    <w:rsid w:val="22745AB0"/>
    <w:rsid w:val="227A5532"/>
    <w:rsid w:val="22837AA1"/>
    <w:rsid w:val="22843A03"/>
    <w:rsid w:val="228E5C2C"/>
    <w:rsid w:val="229C0B63"/>
    <w:rsid w:val="22A338AB"/>
    <w:rsid w:val="22AD37A2"/>
    <w:rsid w:val="22AE0FC2"/>
    <w:rsid w:val="22B31E8A"/>
    <w:rsid w:val="22C05285"/>
    <w:rsid w:val="22C5630B"/>
    <w:rsid w:val="22C72083"/>
    <w:rsid w:val="22C735BD"/>
    <w:rsid w:val="22CF0F38"/>
    <w:rsid w:val="22D36C7A"/>
    <w:rsid w:val="22D729A8"/>
    <w:rsid w:val="22D97444"/>
    <w:rsid w:val="22F06957"/>
    <w:rsid w:val="23057681"/>
    <w:rsid w:val="23122833"/>
    <w:rsid w:val="23137077"/>
    <w:rsid w:val="231D4917"/>
    <w:rsid w:val="23223458"/>
    <w:rsid w:val="23225D32"/>
    <w:rsid w:val="23357BE6"/>
    <w:rsid w:val="2342574E"/>
    <w:rsid w:val="2355143D"/>
    <w:rsid w:val="236D1BFA"/>
    <w:rsid w:val="236D331D"/>
    <w:rsid w:val="2377331D"/>
    <w:rsid w:val="237D43DE"/>
    <w:rsid w:val="238B30B1"/>
    <w:rsid w:val="23940114"/>
    <w:rsid w:val="239A1546"/>
    <w:rsid w:val="23AE4FF1"/>
    <w:rsid w:val="23B57016"/>
    <w:rsid w:val="23C16AD3"/>
    <w:rsid w:val="23C4797E"/>
    <w:rsid w:val="23CD5478"/>
    <w:rsid w:val="23D4764B"/>
    <w:rsid w:val="23E66539"/>
    <w:rsid w:val="23EC3718"/>
    <w:rsid w:val="23EE304F"/>
    <w:rsid w:val="23FD7010"/>
    <w:rsid w:val="240243FC"/>
    <w:rsid w:val="24044EF2"/>
    <w:rsid w:val="2407139D"/>
    <w:rsid w:val="240B04F4"/>
    <w:rsid w:val="240E369A"/>
    <w:rsid w:val="241C1F5B"/>
    <w:rsid w:val="241E2177"/>
    <w:rsid w:val="242A0646"/>
    <w:rsid w:val="242B2542"/>
    <w:rsid w:val="2435301D"/>
    <w:rsid w:val="243A0633"/>
    <w:rsid w:val="243D6E1A"/>
    <w:rsid w:val="24453D05"/>
    <w:rsid w:val="244A2F6C"/>
    <w:rsid w:val="24607F91"/>
    <w:rsid w:val="246C581B"/>
    <w:rsid w:val="247C52A2"/>
    <w:rsid w:val="248A3369"/>
    <w:rsid w:val="24942917"/>
    <w:rsid w:val="24AE34FB"/>
    <w:rsid w:val="24CC106B"/>
    <w:rsid w:val="24D00598"/>
    <w:rsid w:val="24D34D10"/>
    <w:rsid w:val="24D377A4"/>
    <w:rsid w:val="24D725E9"/>
    <w:rsid w:val="24EC31CF"/>
    <w:rsid w:val="24F24B87"/>
    <w:rsid w:val="25045F70"/>
    <w:rsid w:val="250474F1"/>
    <w:rsid w:val="25056E93"/>
    <w:rsid w:val="25092EBA"/>
    <w:rsid w:val="250E5D48"/>
    <w:rsid w:val="25241020"/>
    <w:rsid w:val="25302410"/>
    <w:rsid w:val="255B6AB3"/>
    <w:rsid w:val="25647C5C"/>
    <w:rsid w:val="257572C3"/>
    <w:rsid w:val="25790E85"/>
    <w:rsid w:val="25823C3E"/>
    <w:rsid w:val="25856F37"/>
    <w:rsid w:val="25965D3D"/>
    <w:rsid w:val="25972C60"/>
    <w:rsid w:val="25974C6F"/>
    <w:rsid w:val="259A75DB"/>
    <w:rsid w:val="259D1676"/>
    <w:rsid w:val="25A353EB"/>
    <w:rsid w:val="25A93CC2"/>
    <w:rsid w:val="25B111B0"/>
    <w:rsid w:val="25B87B65"/>
    <w:rsid w:val="25CB78C3"/>
    <w:rsid w:val="25D54390"/>
    <w:rsid w:val="25D6438C"/>
    <w:rsid w:val="25E60A73"/>
    <w:rsid w:val="261879A7"/>
    <w:rsid w:val="261A071C"/>
    <w:rsid w:val="26395046"/>
    <w:rsid w:val="264B0BA4"/>
    <w:rsid w:val="264F4111"/>
    <w:rsid w:val="265E0AEC"/>
    <w:rsid w:val="2661459D"/>
    <w:rsid w:val="26865DB2"/>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232743"/>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2B09BF"/>
    <w:rsid w:val="282B3A3C"/>
    <w:rsid w:val="282E4F00"/>
    <w:rsid w:val="283C23DF"/>
    <w:rsid w:val="283D69F1"/>
    <w:rsid w:val="283F090E"/>
    <w:rsid w:val="284C16F5"/>
    <w:rsid w:val="28570AB5"/>
    <w:rsid w:val="285F2CDC"/>
    <w:rsid w:val="28622C36"/>
    <w:rsid w:val="2869172C"/>
    <w:rsid w:val="288C2D07"/>
    <w:rsid w:val="289E7E22"/>
    <w:rsid w:val="28C2534B"/>
    <w:rsid w:val="28C5525A"/>
    <w:rsid w:val="28D14B96"/>
    <w:rsid w:val="28DC7F0B"/>
    <w:rsid w:val="28E60D8A"/>
    <w:rsid w:val="29020C46"/>
    <w:rsid w:val="290240C7"/>
    <w:rsid w:val="291713AF"/>
    <w:rsid w:val="291A2B97"/>
    <w:rsid w:val="29274EE0"/>
    <w:rsid w:val="294F692F"/>
    <w:rsid w:val="295029E3"/>
    <w:rsid w:val="29543A59"/>
    <w:rsid w:val="29670ED3"/>
    <w:rsid w:val="2969197F"/>
    <w:rsid w:val="29746E87"/>
    <w:rsid w:val="297939AC"/>
    <w:rsid w:val="297C03C2"/>
    <w:rsid w:val="299573AB"/>
    <w:rsid w:val="29B05804"/>
    <w:rsid w:val="29BD1AEA"/>
    <w:rsid w:val="29BE5BD0"/>
    <w:rsid w:val="29C01572"/>
    <w:rsid w:val="29C25353"/>
    <w:rsid w:val="29C966E1"/>
    <w:rsid w:val="29CA4207"/>
    <w:rsid w:val="29D82DC8"/>
    <w:rsid w:val="29DA08EE"/>
    <w:rsid w:val="29DB6414"/>
    <w:rsid w:val="29E74CE2"/>
    <w:rsid w:val="2A133E00"/>
    <w:rsid w:val="2A236931"/>
    <w:rsid w:val="2A241B69"/>
    <w:rsid w:val="2A2B114A"/>
    <w:rsid w:val="2A306A36"/>
    <w:rsid w:val="2A457300"/>
    <w:rsid w:val="2A5372C6"/>
    <w:rsid w:val="2A5A558B"/>
    <w:rsid w:val="2A5B03D8"/>
    <w:rsid w:val="2A6F6D07"/>
    <w:rsid w:val="2A852253"/>
    <w:rsid w:val="2A882500"/>
    <w:rsid w:val="2AA35184"/>
    <w:rsid w:val="2AAB228B"/>
    <w:rsid w:val="2AAB4E76"/>
    <w:rsid w:val="2AB63ABC"/>
    <w:rsid w:val="2AB63D0A"/>
    <w:rsid w:val="2AC31382"/>
    <w:rsid w:val="2AD0584D"/>
    <w:rsid w:val="2AD549F8"/>
    <w:rsid w:val="2ADD6D4E"/>
    <w:rsid w:val="2AEA74E5"/>
    <w:rsid w:val="2AF91248"/>
    <w:rsid w:val="2AFB4FC0"/>
    <w:rsid w:val="2B003D00"/>
    <w:rsid w:val="2B074D5E"/>
    <w:rsid w:val="2B0A6991"/>
    <w:rsid w:val="2B100BA9"/>
    <w:rsid w:val="2B1B5825"/>
    <w:rsid w:val="2B1E3AFC"/>
    <w:rsid w:val="2B303E8B"/>
    <w:rsid w:val="2B400742"/>
    <w:rsid w:val="2B4A5600"/>
    <w:rsid w:val="2B574FD9"/>
    <w:rsid w:val="2B642979"/>
    <w:rsid w:val="2B681F2A"/>
    <w:rsid w:val="2B7408CF"/>
    <w:rsid w:val="2B88534B"/>
    <w:rsid w:val="2B8D373E"/>
    <w:rsid w:val="2B9E4F56"/>
    <w:rsid w:val="2BD81D4D"/>
    <w:rsid w:val="2BD96984"/>
    <w:rsid w:val="2BDB5A88"/>
    <w:rsid w:val="2BDB6BA0"/>
    <w:rsid w:val="2BE91C37"/>
    <w:rsid w:val="2BEC3F72"/>
    <w:rsid w:val="2C083572"/>
    <w:rsid w:val="2C185F94"/>
    <w:rsid w:val="2C1F1AC4"/>
    <w:rsid w:val="2C1F4AF4"/>
    <w:rsid w:val="2C2945BA"/>
    <w:rsid w:val="2C2E71FC"/>
    <w:rsid w:val="2C3167C0"/>
    <w:rsid w:val="2C3F3A41"/>
    <w:rsid w:val="2C4431C4"/>
    <w:rsid w:val="2C55747C"/>
    <w:rsid w:val="2C62059F"/>
    <w:rsid w:val="2C6634FA"/>
    <w:rsid w:val="2C7566AC"/>
    <w:rsid w:val="2C7843EE"/>
    <w:rsid w:val="2C9C00DD"/>
    <w:rsid w:val="2CA25191"/>
    <w:rsid w:val="2CAC022C"/>
    <w:rsid w:val="2CC11807"/>
    <w:rsid w:val="2CC66CD6"/>
    <w:rsid w:val="2CE327BC"/>
    <w:rsid w:val="2CF16074"/>
    <w:rsid w:val="2CF81D1B"/>
    <w:rsid w:val="2D3F2453"/>
    <w:rsid w:val="2D4743E0"/>
    <w:rsid w:val="2D536CB5"/>
    <w:rsid w:val="2D6F134E"/>
    <w:rsid w:val="2D835174"/>
    <w:rsid w:val="2D9331F9"/>
    <w:rsid w:val="2D99461C"/>
    <w:rsid w:val="2DA541FC"/>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86286"/>
    <w:rsid w:val="2E5C0A3D"/>
    <w:rsid w:val="2E742F70"/>
    <w:rsid w:val="2E9077CD"/>
    <w:rsid w:val="2E9574DA"/>
    <w:rsid w:val="2E9A689E"/>
    <w:rsid w:val="2ECB4CA9"/>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D271D9"/>
    <w:rsid w:val="2FD56752"/>
    <w:rsid w:val="2FEE6EA1"/>
    <w:rsid w:val="2FFE7D49"/>
    <w:rsid w:val="3002294D"/>
    <w:rsid w:val="3011153D"/>
    <w:rsid w:val="30142680"/>
    <w:rsid w:val="30183F1E"/>
    <w:rsid w:val="302567CF"/>
    <w:rsid w:val="302A11B1"/>
    <w:rsid w:val="302A5C42"/>
    <w:rsid w:val="30340091"/>
    <w:rsid w:val="30534F57"/>
    <w:rsid w:val="305D4027"/>
    <w:rsid w:val="30662043"/>
    <w:rsid w:val="306D3B35"/>
    <w:rsid w:val="307153DD"/>
    <w:rsid w:val="3083092C"/>
    <w:rsid w:val="30930D2E"/>
    <w:rsid w:val="30B8125D"/>
    <w:rsid w:val="30B87D63"/>
    <w:rsid w:val="30BF439A"/>
    <w:rsid w:val="30CF6A37"/>
    <w:rsid w:val="30D250CF"/>
    <w:rsid w:val="30D3355A"/>
    <w:rsid w:val="30E7260A"/>
    <w:rsid w:val="30ED7159"/>
    <w:rsid w:val="31002970"/>
    <w:rsid w:val="311016AD"/>
    <w:rsid w:val="31220DA0"/>
    <w:rsid w:val="31253A1B"/>
    <w:rsid w:val="312D39F9"/>
    <w:rsid w:val="3136622A"/>
    <w:rsid w:val="31393501"/>
    <w:rsid w:val="3139422E"/>
    <w:rsid w:val="31496359"/>
    <w:rsid w:val="314D19A6"/>
    <w:rsid w:val="31580A38"/>
    <w:rsid w:val="316177A4"/>
    <w:rsid w:val="31700E4B"/>
    <w:rsid w:val="3172683C"/>
    <w:rsid w:val="318F773E"/>
    <w:rsid w:val="31A359FC"/>
    <w:rsid w:val="31A67308"/>
    <w:rsid w:val="31AD0D61"/>
    <w:rsid w:val="31AF440F"/>
    <w:rsid w:val="31C42968"/>
    <w:rsid w:val="31CD297B"/>
    <w:rsid w:val="31CD73BD"/>
    <w:rsid w:val="31D245A1"/>
    <w:rsid w:val="31D66571"/>
    <w:rsid w:val="31DB4220"/>
    <w:rsid w:val="31DC56CD"/>
    <w:rsid w:val="31E63B94"/>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B6DE3"/>
    <w:rsid w:val="32D22AAA"/>
    <w:rsid w:val="32D3237F"/>
    <w:rsid w:val="32DC63A0"/>
    <w:rsid w:val="32E429C1"/>
    <w:rsid w:val="330503EE"/>
    <w:rsid w:val="33274478"/>
    <w:rsid w:val="333948D8"/>
    <w:rsid w:val="333E1EEE"/>
    <w:rsid w:val="334045BE"/>
    <w:rsid w:val="334A3B2A"/>
    <w:rsid w:val="334E5EA9"/>
    <w:rsid w:val="335133F7"/>
    <w:rsid w:val="3365592E"/>
    <w:rsid w:val="336A31F3"/>
    <w:rsid w:val="336F5D12"/>
    <w:rsid w:val="336F6533"/>
    <w:rsid w:val="337E5E2F"/>
    <w:rsid w:val="3384610D"/>
    <w:rsid w:val="33886F33"/>
    <w:rsid w:val="33AA5979"/>
    <w:rsid w:val="33AB32FB"/>
    <w:rsid w:val="33C03E90"/>
    <w:rsid w:val="33C96649"/>
    <w:rsid w:val="33CC3D88"/>
    <w:rsid w:val="33D939C5"/>
    <w:rsid w:val="33DD0306"/>
    <w:rsid w:val="33FD3B57"/>
    <w:rsid w:val="33FD722F"/>
    <w:rsid w:val="3400362D"/>
    <w:rsid w:val="340B09C5"/>
    <w:rsid w:val="341E4CAB"/>
    <w:rsid w:val="34205B4A"/>
    <w:rsid w:val="342235BE"/>
    <w:rsid w:val="34346E4D"/>
    <w:rsid w:val="34584EE2"/>
    <w:rsid w:val="347A1C51"/>
    <w:rsid w:val="347D373F"/>
    <w:rsid w:val="34922A93"/>
    <w:rsid w:val="34956481"/>
    <w:rsid w:val="34A35871"/>
    <w:rsid w:val="34AB66CA"/>
    <w:rsid w:val="34C06C9D"/>
    <w:rsid w:val="34C71A6F"/>
    <w:rsid w:val="34C93A39"/>
    <w:rsid w:val="34DF24AE"/>
    <w:rsid w:val="351C4931"/>
    <w:rsid w:val="351C4EAC"/>
    <w:rsid w:val="351D4C26"/>
    <w:rsid w:val="351F3659"/>
    <w:rsid w:val="352B46F4"/>
    <w:rsid w:val="352E7D40"/>
    <w:rsid w:val="353510CF"/>
    <w:rsid w:val="35361A77"/>
    <w:rsid w:val="35461A22"/>
    <w:rsid w:val="35483CC9"/>
    <w:rsid w:val="354B08F2"/>
    <w:rsid w:val="35571045"/>
    <w:rsid w:val="356E46AA"/>
    <w:rsid w:val="357235B0"/>
    <w:rsid w:val="3578502D"/>
    <w:rsid w:val="3586192A"/>
    <w:rsid w:val="358625C7"/>
    <w:rsid w:val="35A815CB"/>
    <w:rsid w:val="35A85BD0"/>
    <w:rsid w:val="35AA1B9C"/>
    <w:rsid w:val="35D501BC"/>
    <w:rsid w:val="35D94150"/>
    <w:rsid w:val="35DB09A6"/>
    <w:rsid w:val="35DE52C2"/>
    <w:rsid w:val="36080591"/>
    <w:rsid w:val="3609472F"/>
    <w:rsid w:val="3619454C"/>
    <w:rsid w:val="36203B2D"/>
    <w:rsid w:val="363E0457"/>
    <w:rsid w:val="365B4B65"/>
    <w:rsid w:val="36687282"/>
    <w:rsid w:val="368F65D6"/>
    <w:rsid w:val="369B4CF0"/>
    <w:rsid w:val="36A93B2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7E111B"/>
    <w:rsid w:val="378142CB"/>
    <w:rsid w:val="378B61A6"/>
    <w:rsid w:val="37920A5A"/>
    <w:rsid w:val="37B90F0B"/>
    <w:rsid w:val="37BA1D5F"/>
    <w:rsid w:val="37CD3F98"/>
    <w:rsid w:val="37DF75BA"/>
    <w:rsid w:val="37E148E2"/>
    <w:rsid w:val="37F34577"/>
    <w:rsid w:val="37F848EE"/>
    <w:rsid w:val="37F912FC"/>
    <w:rsid w:val="37FB65FF"/>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2603A"/>
    <w:rsid w:val="39030CF9"/>
    <w:rsid w:val="39091F35"/>
    <w:rsid w:val="392536E2"/>
    <w:rsid w:val="393D0552"/>
    <w:rsid w:val="39465F15"/>
    <w:rsid w:val="39505209"/>
    <w:rsid w:val="396453C5"/>
    <w:rsid w:val="39922CCF"/>
    <w:rsid w:val="39A24859"/>
    <w:rsid w:val="39A65327"/>
    <w:rsid w:val="39A65C9B"/>
    <w:rsid w:val="39BC5ED6"/>
    <w:rsid w:val="39BD78E5"/>
    <w:rsid w:val="39D0586A"/>
    <w:rsid w:val="39D27231"/>
    <w:rsid w:val="39E82BB3"/>
    <w:rsid w:val="39EB39E0"/>
    <w:rsid w:val="39EE7A9E"/>
    <w:rsid w:val="39EF02D4"/>
    <w:rsid w:val="3A08699C"/>
    <w:rsid w:val="3A11342A"/>
    <w:rsid w:val="3A153110"/>
    <w:rsid w:val="3A2149EA"/>
    <w:rsid w:val="3A2507C0"/>
    <w:rsid w:val="3A285AD8"/>
    <w:rsid w:val="3A393FA7"/>
    <w:rsid w:val="3A3A5A22"/>
    <w:rsid w:val="3A524858"/>
    <w:rsid w:val="3A64203E"/>
    <w:rsid w:val="3A663D00"/>
    <w:rsid w:val="3A7428D0"/>
    <w:rsid w:val="3A747EDD"/>
    <w:rsid w:val="3A8F302F"/>
    <w:rsid w:val="3A923AE4"/>
    <w:rsid w:val="3A9A304E"/>
    <w:rsid w:val="3AA50E25"/>
    <w:rsid w:val="3AC566E3"/>
    <w:rsid w:val="3AD6747A"/>
    <w:rsid w:val="3AD95C48"/>
    <w:rsid w:val="3ADF5D0A"/>
    <w:rsid w:val="3B0F23C2"/>
    <w:rsid w:val="3B1D4ADF"/>
    <w:rsid w:val="3B2714BA"/>
    <w:rsid w:val="3B312338"/>
    <w:rsid w:val="3B3C5B77"/>
    <w:rsid w:val="3B3D0FF2"/>
    <w:rsid w:val="3B44206B"/>
    <w:rsid w:val="3B501351"/>
    <w:rsid w:val="3B521A18"/>
    <w:rsid w:val="3B741699"/>
    <w:rsid w:val="3B8D2B96"/>
    <w:rsid w:val="3B90705F"/>
    <w:rsid w:val="3B923660"/>
    <w:rsid w:val="3BB16FD5"/>
    <w:rsid w:val="3BCA44BE"/>
    <w:rsid w:val="3C017F5D"/>
    <w:rsid w:val="3C061F3A"/>
    <w:rsid w:val="3C0A04F9"/>
    <w:rsid w:val="3C1C6B44"/>
    <w:rsid w:val="3C49151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C5F4C"/>
    <w:rsid w:val="3D8E5820"/>
    <w:rsid w:val="3D931088"/>
    <w:rsid w:val="3D942E29"/>
    <w:rsid w:val="3DA53531"/>
    <w:rsid w:val="3DA70690"/>
    <w:rsid w:val="3DB039E8"/>
    <w:rsid w:val="3DB54E0C"/>
    <w:rsid w:val="3DB900C1"/>
    <w:rsid w:val="3DE03BA2"/>
    <w:rsid w:val="3DE51866"/>
    <w:rsid w:val="3DE91725"/>
    <w:rsid w:val="3DF159B1"/>
    <w:rsid w:val="3E135D25"/>
    <w:rsid w:val="3E194F30"/>
    <w:rsid w:val="3E1A106E"/>
    <w:rsid w:val="3E36303B"/>
    <w:rsid w:val="3E526044"/>
    <w:rsid w:val="3E5A3954"/>
    <w:rsid w:val="3E5C591E"/>
    <w:rsid w:val="3E6C2B3A"/>
    <w:rsid w:val="3E832EAB"/>
    <w:rsid w:val="3E8C5311"/>
    <w:rsid w:val="3E8E7E55"/>
    <w:rsid w:val="3EB61473"/>
    <w:rsid w:val="3EC66011"/>
    <w:rsid w:val="3ED25BE0"/>
    <w:rsid w:val="3ED75B7F"/>
    <w:rsid w:val="3EF9316D"/>
    <w:rsid w:val="3F222DB1"/>
    <w:rsid w:val="3F315E6B"/>
    <w:rsid w:val="3F5175E2"/>
    <w:rsid w:val="3F56276A"/>
    <w:rsid w:val="3F6C10E0"/>
    <w:rsid w:val="3F963015"/>
    <w:rsid w:val="3F964D35"/>
    <w:rsid w:val="3FA327ED"/>
    <w:rsid w:val="3FB11738"/>
    <w:rsid w:val="3FB5581B"/>
    <w:rsid w:val="3FC33D05"/>
    <w:rsid w:val="3FF46B18"/>
    <w:rsid w:val="3FF74A2E"/>
    <w:rsid w:val="3FFC36E2"/>
    <w:rsid w:val="4005572D"/>
    <w:rsid w:val="401C35B7"/>
    <w:rsid w:val="4020215E"/>
    <w:rsid w:val="402833BA"/>
    <w:rsid w:val="40283C2B"/>
    <w:rsid w:val="40394FD1"/>
    <w:rsid w:val="403A3A3D"/>
    <w:rsid w:val="40425879"/>
    <w:rsid w:val="40550877"/>
    <w:rsid w:val="405C1C05"/>
    <w:rsid w:val="405E3BCF"/>
    <w:rsid w:val="406B3DDC"/>
    <w:rsid w:val="40765D15"/>
    <w:rsid w:val="407B4FC1"/>
    <w:rsid w:val="407F2DE9"/>
    <w:rsid w:val="40866C82"/>
    <w:rsid w:val="40920B61"/>
    <w:rsid w:val="40953369"/>
    <w:rsid w:val="40991379"/>
    <w:rsid w:val="409B3C3D"/>
    <w:rsid w:val="409F1D81"/>
    <w:rsid w:val="40A35A86"/>
    <w:rsid w:val="40E66965"/>
    <w:rsid w:val="40F701DF"/>
    <w:rsid w:val="40FC3D9D"/>
    <w:rsid w:val="40FD480A"/>
    <w:rsid w:val="411B59C4"/>
    <w:rsid w:val="412A32F8"/>
    <w:rsid w:val="417F433E"/>
    <w:rsid w:val="418A1D66"/>
    <w:rsid w:val="418A4550"/>
    <w:rsid w:val="419C4043"/>
    <w:rsid w:val="41B7239D"/>
    <w:rsid w:val="41C95079"/>
    <w:rsid w:val="41D852BC"/>
    <w:rsid w:val="41DF2AEE"/>
    <w:rsid w:val="41EC6FB9"/>
    <w:rsid w:val="41FF3845"/>
    <w:rsid w:val="420A743F"/>
    <w:rsid w:val="420E33D3"/>
    <w:rsid w:val="42101488"/>
    <w:rsid w:val="421104A9"/>
    <w:rsid w:val="42143B88"/>
    <w:rsid w:val="42164586"/>
    <w:rsid w:val="422936B2"/>
    <w:rsid w:val="422E75D1"/>
    <w:rsid w:val="424566C9"/>
    <w:rsid w:val="42475850"/>
    <w:rsid w:val="424C7A58"/>
    <w:rsid w:val="424E1A22"/>
    <w:rsid w:val="425B5DD1"/>
    <w:rsid w:val="4260300C"/>
    <w:rsid w:val="42621029"/>
    <w:rsid w:val="42755200"/>
    <w:rsid w:val="42772802"/>
    <w:rsid w:val="427C799E"/>
    <w:rsid w:val="427F607F"/>
    <w:rsid w:val="42800B9B"/>
    <w:rsid w:val="4281223D"/>
    <w:rsid w:val="428E1E1E"/>
    <w:rsid w:val="428E62C2"/>
    <w:rsid w:val="42A06B6C"/>
    <w:rsid w:val="42A27996"/>
    <w:rsid w:val="42A45E72"/>
    <w:rsid w:val="42A930FC"/>
    <w:rsid w:val="42AA04E2"/>
    <w:rsid w:val="42C972FA"/>
    <w:rsid w:val="42D737C5"/>
    <w:rsid w:val="42EA5650"/>
    <w:rsid w:val="42F83EBC"/>
    <w:rsid w:val="431408DA"/>
    <w:rsid w:val="431B7C78"/>
    <w:rsid w:val="4331401E"/>
    <w:rsid w:val="433805EC"/>
    <w:rsid w:val="433B0F29"/>
    <w:rsid w:val="43486FC5"/>
    <w:rsid w:val="43526885"/>
    <w:rsid w:val="43591DDA"/>
    <w:rsid w:val="435A0DF2"/>
    <w:rsid w:val="436C42E1"/>
    <w:rsid w:val="437102E7"/>
    <w:rsid w:val="437C210F"/>
    <w:rsid w:val="43847F02"/>
    <w:rsid w:val="438F113C"/>
    <w:rsid w:val="439E7EFB"/>
    <w:rsid w:val="43B1568A"/>
    <w:rsid w:val="43B64E08"/>
    <w:rsid w:val="43BD7F58"/>
    <w:rsid w:val="43D43ECA"/>
    <w:rsid w:val="43D60064"/>
    <w:rsid w:val="43DD452F"/>
    <w:rsid w:val="43DE6CD4"/>
    <w:rsid w:val="43E51150"/>
    <w:rsid w:val="43EF28BB"/>
    <w:rsid w:val="43EF56D3"/>
    <w:rsid w:val="43F47D80"/>
    <w:rsid w:val="43F565F9"/>
    <w:rsid w:val="43F839F3"/>
    <w:rsid w:val="44095C00"/>
    <w:rsid w:val="440A6FD2"/>
    <w:rsid w:val="440E1469"/>
    <w:rsid w:val="442A1797"/>
    <w:rsid w:val="44366C11"/>
    <w:rsid w:val="444946CA"/>
    <w:rsid w:val="444B3F54"/>
    <w:rsid w:val="445B0426"/>
    <w:rsid w:val="44611430"/>
    <w:rsid w:val="4476661F"/>
    <w:rsid w:val="447E3AC5"/>
    <w:rsid w:val="44805ED4"/>
    <w:rsid w:val="448E5DEE"/>
    <w:rsid w:val="449C4CC6"/>
    <w:rsid w:val="449E4142"/>
    <w:rsid w:val="44A90BAA"/>
    <w:rsid w:val="44B24A20"/>
    <w:rsid w:val="44BC0BEE"/>
    <w:rsid w:val="44BF6C07"/>
    <w:rsid w:val="44C24001"/>
    <w:rsid w:val="44C55A88"/>
    <w:rsid w:val="44FB1C9C"/>
    <w:rsid w:val="45014B29"/>
    <w:rsid w:val="450C05A0"/>
    <w:rsid w:val="45392A13"/>
    <w:rsid w:val="453E3FCF"/>
    <w:rsid w:val="454F1836"/>
    <w:rsid w:val="45637592"/>
    <w:rsid w:val="45887B45"/>
    <w:rsid w:val="458B66DF"/>
    <w:rsid w:val="45940F0E"/>
    <w:rsid w:val="45AC5DBA"/>
    <w:rsid w:val="45C647AF"/>
    <w:rsid w:val="45CF3374"/>
    <w:rsid w:val="45DD529D"/>
    <w:rsid w:val="45E57886"/>
    <w:rsid w:val="45E945CC"/>
    <w:rsid w:val="46003076"/>
    <w:rsid w:val="46026F63"/>
    <w:rsid w:val="46113492"/>
    <w:rsid w:val="46164604"/>
    <w:rsid w:val="46177E29"/>
    <w:rsid w:val="46205B7F"/>
    <w:rsid w:val="462A00B0"/>
    <w:rsid w:val="462A4554"/>
    <w:rsid w:val="462A6010"/>
    <w:rsid w:val="462F1B6A"/>
    <w:rsid w:val="465D501C"/>
    <w:rsid w:val="466367DB"/>
    <w:rsid w:val="46686D18"/>
    <w:rsid w:val="466C06C8"/>
    <w:rsid w:val="466D15DA"/>
    <w:rsid w:val="46767799"/>
    <w:rsid w:val="4691012F"/>
    <w:rsid w:val="46BF7E28"/>
    <w:rsid w:val="46C3037C"/>
    <w:rsid w:val="46C6427C"/>
    <w:rsid w:val="46CB1893"/>
    <w:rsid w:val="46EF26BD"/>
    <w:rsid w:val="46FF15E0"/>
    <w:rsid w:val="4700581C"/>
    <w:rsid w:val="4702516A"/>
    <w:rsid w:val="4724600B"/>
    <w:rsid w:val="472E597E"/>
    <w:rsid w:val="474A4B33"/>
    <w:rsid w:val="47543636"/>
    <w:rsid w:val="47665A15"/>
    <w:rsid w:val="47677941"/>
    <w:rsid w:val="477F1660"/>
    <w:rsid w:val="4788232A"/>
    <w:rsid w:val="478B0398"/>
    <w:rsid w:val="478F5D0B"/>
    <w:rsid w:val="479D5A47"/>
    <w:rsid w:val="47A11E6C"/>
    <w:rsid w:val="47A31F5F"/>
    <w:rsid w:val="47A345BE"/>
    <w:rsid w:val="47A84BA6"/>
    <w:rsid w:val="47B52444"/>
    <w:rsid w:val="47B8724E"/>
    <w:rsid w:val="47ED7BCA"/>
    <w:rsid w:val="47F46BC7"/>
    <w:rsid w:val="48016F34"/>
    <w:rsid w:val="480556DB"/>
    <w:rsid w:val="48185C56"/>
    <w:rsid w:val="48254C34"/>
    <w:rsid w:val="48450F81"/>
    <w:rsid w:val="48455675"/>
    <w:rsid w:val="484E729D"/>
    <w:rsid w:val="48566773"/>
    <w:rsid w:val="485A23C2"/>
    <w:rsid w:val="48623B31"/>
    <w:rsid w:val="48691107"/>
    <w:rsid w:val="48741AB6"/>
    <w:rsid w:val="48895289"/>
    <w:rsid w:val="48A16B62"/>
    <w:rsid w:val="48AE0D54"/>
    <w:rsid w:val="48BC6222"/>
    <w:rsid w:val="48C245E9"/>
    <w:rsid w:val="48DB312A"/>
    <w:rsid w:val="48DF49D9"/>
    <w:rsid w:val="492108CC"/>
    <w:rsid w:val="492928A1"/>
    <w:rsid w:val="49413F52"/>
    <w:rsid w:val="494F6304"/>
    <w:rsid w:val="49792B95"/>
    <w:rsid w:val="49F11610"/>
    <w:rsid w:val="4A01681E"/>
    <w:rsid w:val="4A05334F"/>
    <w:rsid w:val="4A060864"/>
    <w:rsid w:val="4A244932"/>
    <w:rsid w:val="4A2922C8"/>
    <w:rsid w:val="4A344C24"/>
    <w:rsid w:val="4A4117B2"/>
    <w:rsid w:val="4A4A6F73"/>
    <w:rsid w:val="4A712751"/>
    <w:rsid w:val="4A7A4350"/>
    <w:rsid w:val="4A7B1703"/>
    <w:rsid w:val="4A7E2497"/>
    <w:rsid w:val="4A896826"/>
    <w:rsid w:val="4A8E50B1"/>
    <w:rsid w:val="4A993A56"/>
    <w:rsid w:val="4ABF5E17"/>
    <w:rsid w:val="4ACB00B3"/>
    <w:rsid w:val="4ACF7478"/>
    <w:rsid w:val="4AD52CE0"/>
    <w:rsid w:val="4AD5594C"/>
    <w:rsid w:val="4AE01A66"/>
    <w:rsid w:val="4AE03433"/>
    <w:rsid w:val="4AE104D6"/>
    <w:rsid w:val="4AE724D1"/>
    <w:rsid w:val="4AE77140"/>
    <w:rsid w:val="4AEA4061"/>
    <w:rsid w:val="4AEB3612"/>
    <w:rsid w:val="4AED707B"/>
    <w:rsid w:val="4AFA2F07"/>
    <w:rsid w:val="4B015D61"/>
    <w:rsid w:val="4B0B7979"/>
    <w:rsid w:val="4B1530DD"/>
    <w:rsid w:val="4B3D2633"/>
    <w:rsid w:val="4B3E3B79"/>
    <w:rsid w:val="4B520DF4"/>
    <w:rsid w:val="4B603107"/>
    <w:rsid w:val="4B773D97"/>
    <w:rsid w:val="4B7A5635"/>
    <w:rsid w:val="4B8E10E1"/>
    <w:rsid w:val="4B9802B0"/>
    <w:rsid w:val="4B9E65BE"/>
    <w:rsid w:val="4B9F33A8"/>
    <w:rsid w:val="4BA80AFD"/>
    <w:rsid w:val="4BB033BA"/>
    <w:rsid w:val="4BB469AD"/>
    <w:rsid w:val="4BC06040"/>
    <w:rsid w:val="4BC66ACD"/>
    <w:rsid w:val="4BCF5981"/>
    <w:rsid w:val="4BD846DB"/>
    <w:rsid w:val="4BF441D2"/>
    <w:rsid w:val="4C0513A3"/>
    <w:rsid w:val="4C1C2A09"/>
    <w:rsid w:val="4C284AD9"/>
    <w:rsid w:val="4C423098"/>
    <w:rsid w:val="4C694192"/>
    <w:rsid w:val="4C771B75"/>
    <w:rsid w:val="4C7964D9"/>
    <w:rsid w:val="4C8229F4"/>
    <w:rsid w:val="4C891FD4"/>
    <w:rsid w:val="4C8C5620"/>
    <w:rsid w:val="4C9269F6"/>
    <w:rsid w:val="4CB75F07"/>
    <w:rsid w:val="4CC4733F"/>
    <w:rsid w:val="4CC84335"/>
    <w:rsid w:val="4CD22B0F"/>
    <w:rsid w:val="4CDA3E72"/>
    <w:rsid w:val="4CE0596C"/>
    <w:rsid w:val="4CE4545C"/>
    <w:rsid w:val="4CE9350A"/>
    <w:rsid w:val="4D014937"/>
    <w:rsid w:val="4D1E2466"/>
    <w:rsid w:val="4D2256CD"/>
    <w:rsid w:val="4D225F85"/>
    <w:rsid w:val="4D297BF3"/>
    <w:rsid w:val="4D2D0EAF"/>
    <w:rsid w:val="4D795A49"/>
    <w:rsid w:val="4D7F0082"/>
    <w:rsid w:val="4D910B7E"/>
    <w:rsid w:val="4D952FD9"/>
    <w:rsid w:val="4D970662"/>
    <w:rsid w:val="4D9A1FBF"/>
    <w:rsid w:val="4D9F40B3"/>
    <w:rsid w:val="4DB33393"/>
    <w:rsid w:val="4DB90B8C"/>
    <w:rsid w:val="4DBC3CE3"/>
    <w:rsid w:val="4DCB51C5"/>
    <w:rsid w:val="4DCF1E0D"/>
    <w:rsid w:val="4DD632D9"/>
    <w:rsid w:val="4DD94895"/>
    <w:rsid w:val="4DE05D9E"/>
    <w:rsid w:val="4DE05DF9"/>
    <w:rsid w:val="4DE44800"/>
    <w:rsid w:val="4DE9085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C866B8"/>
    <w:rsid w:val="4ED46303"/>
    <w:rsid w:val="4EE661F8"/>
    <w:rsid w:val="4EF27A04"/>
    <w:rsid w:val="4F0773B4"/>
    <w:rsid w:val="4F0C69BB"/>
    <w:rsid w:val="4F241019"/>
    <w:rsid w:val="4F307BB1"/>
    <w:rsid w:val="4F336227"/>
    <w:rsid w:val="4F377831"/>
    <w:rsid w:val="4F3C3EF2"/>
    <w:rsid w:val="4F3D562D"/>
    <w:rsid w:val="4F5C4EE0"/>
    <w:rsid w:val="4F681AF1"/>
    <w:rsid w:val="4F6E1972"/>
    <w:rsid w:val="4F943166"/>
    <w:rsid w:val="4F9C19A5"/>
    <w:rsid w:val="4FB01203"/>
    <w:rsid w:val="4FBA02A1"/>
    <w:rsid w:val="4FC275AB"/>
    <w:rsid w:val="4FD86DCF"/>
    <w:rsid w:val="4FE7106E"/>
    <w:rsid w:val="4FF82FCD"/>
    <w:rsid w:val="4FFC288D"/>
    <w:rsid w:val="50053943"/>
    <w:rsid w:val="50260569"/>
    <w:rsid w:val="50374A3C"/>
    <w:rsid w:val="5039786D"/>
    <w:rsid w:val="50487AB0"/>
    <w:rsid w:val="50550E55"/>
    <w:rsid w:val="50901457"/>
    <w:rsid w:val="509F43E4"/>
    <w:rsid w:val="50A54D3E"/>
    <w:rsid w:val="50B82E88"/>
    <w:rsid w:val="50BB32A7"/>
    <w:rsid w:val="50CC5CB2"/>
    <w:rsid w:val="50E0418D"/>
    <w:rsid w:val="50ED1473"/>
    <w:rsid w:val="50F1402B"/>
    <w:rsid w:val="50FD2AD9"/>
    <w:rsid w:val="51081E85"/>
    <w:rsid w:val="51097D9A"/>
    <w:rsid w:val="511A650F"/>
    <w:rsid w:val="51237D2E"/>
    <w:rsid w:val="51295DBA"/>
    <w:rsid w:val="514229EF"/>
    <w:rsid w:val="515B06D0"/>
    <w:rsid w:val="51764AF1"/>
    <w:rsid w:val="51996737"/>
    <w:rsid w:val="51B408B8"/>
    <w:rsid w:val="51B80848"/>
    <w:rsid w:val="51CC0868"/>
    <w:rsid w:val="51D5340F"/>
    <w:rsid w:val="52287B99"/>
    <w:rsid w:val="52382F2A"/>
    <w:rsid w:val="52386E3D"/>
    <w:rsid w:val="523A7DD1"/>
    <w:rsid w:val="523B7711"/>
    <w:rsid w:val="5257222D"/>
    <w:rsid w:val="5271774C"/>
    <w:rsid w:val="527A416D"/>
    <w:rsid w:val="528D5323"/>
    <w:rsid w:val="528D7B65"/>
    <w:rsid w:val="5299416C"/>
    <w:rsid w:val="52AA11D3"/>
    <w:rsid w:val="52DE008D"/>
    <w:rsid w:val="52EE341E"/>
    <w:rsid w:val="52F37FE6"/>
    <w:rsid w:val="52FC1CAF"/>
    <w:rsid w:val="52FE08FA"/>
    <w:rsid w:val="52FF22FE"/>
    <w:rsid w:val="53004672"/>
    <w:rsid w:val="530B071F"/>
    <w:rsid w:val="531A330F"/>
    <w:rsid w:val="532B6CAF"/>
    <w:rsid w:val="53350D91"/>
    <w:rsid w:val="53412644"/>
    <w:rsid w:val="53433903"/>
    <w:rsid w:val="534E7AD3"/>
    <w:rsid w:val="53517A72"/>
    <w:rsid w:val="5361549D"/>
    <w:rsid w:val="536220DA"/>
    <w:rsid w:val="53650637"/>
    <w:rsid w:val="536A5F90"/>
    <w:rsid w:val="536C61AC"/>
    <w:rsid w:val="537155BE"/>
    <w:rsid w:val="53757C6B"/>
    <w:rsid w:val="537E1075"/>
    <w:rsid w:val="538452A3"/>
    <w:rsid w:val="539A4AC7"/>
    <w:rsid w:val="53A44D07"/>
    <w:rsid w:val="53A46AC8"/>
    <w:rsid w:val="53AB7F1F"/>
    <w:rsid w:val="53AC6F7B"/>
    <w:rsid w:val="53C01F4F"/>
    <w:rsid w:val="53C421A6"/>
    <w:rsid w:val="53E15798"/>
    <w:rsid w:val="53EB297B"/>
    <w:rsid w:val="53EC4BF7"/>
    <w:rsid w:val="53F671DE"/>
    <w:rsid w:val="53F758A1"/>
    <w:rsid w:val="540D5A7F"/>
    <w:rsid w:val="542E2BC2"/>
    <w:rsid w:val="54352A96"/>
    <w:rsid w:val="54447390"/>
    <w:rsid w:val="544B514D"/>
    <w:rsid w:val="545E1D01"/>
    <w:rsid w:val="54674051"/>
    <w:rsid w:val="54705828"/>
    <w:rsid w:val="5472334E"/>
    <w:rsid w:val="54935B8F"/>
    <w:rsid w:val="54996B2C"/>
    <w:rsid w:val="549D3677"/>
    <w:rsid w:val="54B03E76"/>
    <w:rsid w:val="54BB2F47"/>
    <w:rsid w:val="54BF230B"/>
    <w:rsid w:val="54CC6227"/>
    <w:rsid w:val="54D10F9B"/>
    <w:rsid w:val="54D97871"/>
    <w:rsid w:val="54DB4AA8"/>
    <w:rsid w:val="54DC4C6B"/>
    <w:rsid w:val="550B5550"/>
    <w:rsid w:val="551D586C"/>
    <w:rsid w:val="55200298"/>
    <w:rsid w:val="55335E1B"/>
    <w:rsid w:val="5536079B"/>
    <w:rsid w:val="554B7EF0"/>
    <w:rsid w:val="55513E6E"/>
    <w:rsid w:val="556F3D99"/>
    <w:rsid w:val="556F788D"/>
    <w:rsid w:val="55720837"/>
    <w:rsid w:val="55860894"/>
    <w:rsid w:val="558F6181"/>
    <w:rsid w:val="55B02DF1"/>
    <w:rsid w:val="55C4407D"/>
    <w:rsid w:val="55D47A00"/>
    <w:rsid w:val="55D5456D"/>
    <w:rsid w:val="55DC290C"/>
    <w:rsid w:val="55E71B19"/>
    <w:rsid w:val="55EA5D64"/>
    <w:rsid w:val="55F01FA1"/>
    <w:rsid w:val="55FC19B9"/>
    <w:rsid w:val="56130B60"/>
    <w:rsid w:val="56234F28"/>
    <w:rsid w:val="562C1C22"/>
    <w:rsid w:val="564E71EA"/>
    <w:rsid w:val="56586573"/>
    <w:rsid w:val="56666B5B"/>
    <w:rsid w:val="56717635"/>
    <w:rsid w:val="56764C4B"/>
    <w:rsid w:val="56990B7C"/>
    <w:rsid w:val="569E1126"/>
    <w:rsid w:val="56A8690E"/>
    <w:rsid w:val="56B51C18"/>
    <w:rsid w:val="56B679AB"/>
    <w:rsid w:val="56B80DEB"/>
    <w:rsid w:val="56D976B4"/>
    <w:rsid w:val="56E0560F"/>
    <w:rsid w:val="56E06E61"/>
    <w:rsid w:val="56E9366F"/>
    <w:rsid w:val="56EF3C74"/>
    <w:rsid w:val="56F653FE"/>
    <w:rsid w:val="57007337"/>
    <w:rsid w:val="57251CC7"/>
    <w:rsid w:val="57272B15"/>
    <w:rsid w:val="574448FC"/>
    <w:rsid w:val="574825DA"/>
    <w:rsid w:val="57561D39"/>
    <w:rsid w:val="575B7AFD"/>
    <w:rsid w:val="576176AA"/>
    <w:rsid w:val="57660D3F"/>
    <w:rsid w:val="5774562F"/>
    <w:rsid w:val="5785783C"/>
    <w:rsid w:val="578F06BB"/>
    <w:rsid w:val="57A469A0"/>
    <w:rsid w:val="57CC4BC2"/>
    <w:rsid w:val="57D10760"/>
    <w:rsid w:val="57D1153D"/>
    <w:rsid w:val="57D77297"/>
    <w:rsid w:val="57FA3774"/>
    <w:rsid w:val="58084A3C"/>
    <w:rsid w:val="582772A7"/>
    <w:rsid w:val="5847689F"/>
    <w:rsid w:val="58531B77"/>
    <w:rsid w:val="58564D34"/>
    <w:rsid w:val="585D2975"/>
    <w:rsid w:val="585D4315"/>
    <w:rsid w:val="585E3492"/>
    <w:rsid w:val="585F64F9"/>
    <w:rsid w:val="5878183D"/>
    <w:rsid w:val="587E3341"/>
    <w:rsid w:val="587F428B"/>
    <w:rsid w:val="58843A9C"/>
    <w:rsid w:val="5895585D"/>
    <w:rsid w:val="58B31855"/>
    <w:rsid w:val="58C6004A"/>
    <w:rsid w:val="58CF56D8"/>
    <w:rsid w:val="58D31010"/>
    <w:rsid w:val="58D6741E"/>
    <w:rsid w:val="58DA5965"/>
    <w:rsid w:val="58DB0535"/>
    <w:rsid w:val="58E467E4"/>
    <w:rsid w:val="58E62E0E"/>
    <w:rsid w:val="58EA3D0E"/>
    <w:rsid w:val="58F24A5D"/>
    <w:rsid w:val="58F71269"/>
    <w:rsid w:val="58FE045E"/>
    <w:rsid w:val="58FE78A6"/>
    <w:rsid w:val="59014CEF"/>
    <w:rsid w:val="59017396"/>
    <w:rsid w:val="59442D7E"/>
    <w:rsid w:val="59561946"/>
    <w:rsid w:val="59670F51"/>
    <w:rsid w:val="596A44F9"/>
    <w:rsid w:val="596C19BB"/>
    <w:rsid w:val="59790BDB"/>
    <w:rsid w:val="597E3F42"/>
    <w:rsid w:val="598653AC"/>
    <w:rsid w:val="59AC10B0"/>
    <w:rsid w:val="59AC3C86"/>
    <w:rsid w:val="59B461B6"/>
    <w:rsid w:val="59B817D3"/>
    <w:rsid w:val="59C11856"/>
    <w:rsid w:val="59C153AB"/>
    <w:rsid w:val="59D42FDA"/>
    <w:rsid w:val="59D70DF6"/>
    <w:rsid w:val="59DA4E01"/>
    <w:rsid w:val="59F64E82"/>
    <w:rsid w:val="5A0A5DD6"/>
    <w:rsid w:val="5A10435C"/>
    <w:rsid w:val="5A111C53"/>
    <w:rsid w:val="5A2654CC"/>
    <w:rsid w:val="5A292701"/>
    <w:rsid w:val="5A323A44"/>
    <w:rsid w:val="5A395E66"/>
    <w:rsid w:val="5A476FBE"/>
    <w:rsid w:val="5A484352"/>
    <w:rsid w:val="5A5321A5"/>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24736C"/>
    <w:rsid w:val="5B585171"/>
    <w:rsid w:val="5B585B78"/>
    <w:rsid w:val="5B6D62B9"/>
    <w:rsid w:val="5B746CFA"/>
    <w:rsid w:val="5B9A2B59"/>
    <w:rsid w:val="5BA652E6"/>
    <w:rsid w:val="5BB406F0"/>
    <w:rsid w:val="5BBB382C"/>
    <w:rsid w:val="5BC0085A"/>
    <w:rsid w:val="5BC326E1"/>
    <w:rsid w:val="5BE03293"/>
    <w:rsid w:val="5BF03D58"/>
    <w:rsid w:val="5BF20AFB"/>
    <w:rsid w:val="5C1A6BB2"/>
    <w:rsid w:val="5C284A34"/>
    <w:rsid w:val="5C306D31"/>
    <w:rsid w:val="5C37233A"/>
    <w:rsid w:val="5C4557EC"/>
    <w:rsid w:val="5C5355FE"/>
    <w:rsid w:val="5C5A49A5"/>
    <w:rsid w:val="5C6519EA"/>
    <w:rsid w:val="5C6715FE"/>
    <w:rsid w:val="5C6F4105"/>
    <w:rsid w:val="5CA408A7"/>
    <w:rsid w:val="5CBB7F6F"/>
    <w:rsid w:val="5CC248CE"/>
    <w:rsid w:val="5CC826A5"/>
    <w:rsid w:val="5CE051B4"/>
    <w:rsid w:val="5CF1327E"/>
    <w:rsid w:val="5D042FB1"/>
    <w:rsid w:val="5D3A2E77"/>
    <w:rsid w:val="5D442CB4"/>
    <w:rsid w:val="5D4C6846"/>
    <w:rsid w:val="5D7C3F11"/>
    <w:rsid w:val="5D971C5A"/>
    <w:rsid w:val="5D9D49E0"/>
    <w:rsid w:val="5DA01E9E"/>
    <w:rsid w:val="5DAD3649"/>
    <w:rsid w:val="5DC310BE"/>
    <w:rsid w:val="5DC32E6C"/>
    <w:rsid w:val="5DDF1821"/>
    <w:rsid w:val="5DE2656A"/>
    <w:rsid w:val="5DEA2F91"/>
    <w:rsid w:val="5DF94AE0"/>
    <w:rsid w:val="5DFA5883"/>
    <w:rsid w:val="5E224037"/>
    <w:rsid w:val="5E3146A3"/>
    <w:rsid w:val="5E442F62"/>
    <w:rsid w:val="5E6C2C5B"/>
    <w:rsid w:val="5E6E2DD8"/>
    <w:rsid w:val="5E7251A2"/>
    <w:rsid w:val="5E792BE5"/>
    <w:rsid w:val="5E7C3591"/>
    <w:rsid w:val="5E8A637B"/>
    <w:rsid w:val="5E9842F9"/>
    <w:rsid w:val="5E9D0E18"/>
    <w:rsid w:val="5EA26F25"/>
    <w:rsid w:val="5EA341D7"/>
    <w:rsid w:val="5EA755DE"/>
    <w:rsid w:val="5EAE7678"/>
    <w:rsid w:val="5ED35F0E"/>
    <w:rsid w:val="5EDF7832"/>
    <w:rsid w:val="5EE66E12"/>
    <w:rsid w:val="5EFC1390"/>
    <w:rsid w:val="5EFC3EB6"/>
    <w:rsid w:val="5F00622C"/>
    <w:rsid w:val="5F03335D"/>
    <w:rsid w:val="5F0368C7"/>
    <w:rsid w:val="5F1544E7"/>
    <w:rsid w:val="5F197EE8"/>
    <w:rsid w:val="5F312D8D"/>
    <w:rsid w:val="5F3C4923"/>
    <w:rsid w:val="5F4160B0"/>
    <w:rsid w:val="5F426012"/>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B28A8"/>
    <w:rsid w:val="602610FD"/>
    <w:rsid w:val="602808B2"/>
    <w:rsid w:val="602C2F4B"/>
    <w:rsid w:val="602D0A71"/>
    <w:rsid w:val="60307A2A"/>
    <w:rsid w:val="603814FF"/>
    <w:rsid w:val="604109A8"/>
    <w:rsid w:val="604B1BEB"/>
    <w:rsid w:val="60522285"/>
    <w:rsid w:val="605D2617"/>
    <w:rsid w:val="60616CDC"/>
    <w:rsid w:val="60624E53"/>
    <w:rsid w:val="606319E5"/>
    <w:rsid w:val="607A77D8"/>
    <w:rsid w:val="607B3C50"/>
    <w:rsid w:val="608B6567"/>
    <w:rsid w:val="60902A4E"/>
    <w:rsid w:val="60AA3E6F"/>
    <w:rsid w:val="60BB607C"/>
    <w:rsid w:val="60FF21D9"/>
    <w:rsid w:val="610C0686"/>
    <w:rsid w:val="611063C8"/>
    <w:rsid w:val="611E37D0"/>
    <w:rsid w:val="613021B3"/>
    <w:rsid w:val="61306A6A"/>
    <w:rsid w:val="613253FD"/>
    <w:rsid w:val="61421F29"/>
    <w:rsid w:val="61521F2D"/>
    <w:rsid w:val="615F221E"/>
    <w:rsid w:val="61637D56"/>
    <w:rsid w:val="61712185"/>
    <w:rsid w:val="618B7207"/>
    <w:rsid w:val="61907E69"/>
    <w:rsid w:val="61A90D68"/>
    <w:rsid w:val="61B43A15"/>
    <w:rsid w:val="61DA0425"/>
    <w:rsid w:val="62015D11"/>
    <w:rsid w:val="62065A1D"/>
    <w:rsid w:val="6213792C"/>
    <w:rsid w:val="621775E2"/>
    <w:rsid w:val="621C0D9D"/>
    <w:rsid w:val="622F7552"/>
    <w:rsid w:val="6250406E"/>
    <w:rsid w:val="626369CC"/>
    <w:rsid w:val="6267666C"/>
    <w:rsid w:val="627D6831"/>
    <w:rsid w:val="62811B1C"/>
    <w:rsid w:val="62900B2E"/>
    <w:rsid w:val="62943029"/>
    <w:rsid w:val="62A20409"/>
    <w:rsid w:val="62AC0373"/>
    <w:rsid w:val="62B54B44"/>
    <w:rsid w:val="62CE02E9"/>
    <w:rsid w:val="62E045DA"/>
    <w:rsid w:val="62E23D94"/>
    <w:rsid w:val="62E454A1"/>
    <w:rsid w:val="62E95123"/>
    <w:rsid w:val="62EF025F"/>
    <w:rsid w:val="62F36E4C"/>
    <w:rsid w:val="62F47F8F"/>
    <w:rsid w:val="62F7233F"/>
    <w:rsid w:val="630E3977"/>
    <w:rsid w:val="631B2E02"/>
    <w:rsid w:val="631F3FB4"/>
    <w:rsid w:val="63273E9D"/>
    <w:rsid w:val="63364F75"/>
    <w:rsid w:val="6340438B"/>
    <w:rsid w:val="6353238E"/>
    <w:rsid w:val="63612AB8"/>
    <w:rsid w:val="6379289B"/>
    <w:rsid w:val="637B1AF3"/>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1F42FB"/>
    <w:rsid w:val="643F32F9"/>
    <w:rsid w:val="64582686"/>
    <w:rsid w:val="64673C87"/>
    <w:rsid w:val="647A71CF"/>
    <w:rsid w:val="64852C29"/>
    <w:rsid w:val="64877733"/>
    <w:rsid w:val="64925346"/>
    <w:rsid w:val="64A170D2"/>
    <w:rsid w:val="64A251DD"/>
    <w:rsid w:val="64BC182A"/>
    <w:rsid w:val="64F32289"/>
    <w:rsid w:val="64F46001"/>
    <w:rsid w:val="650242F0"/>
    <w:rsid w:val="65365B2B"/>
    <w:rsid w:val="653F447E"/>
    <w:rsid w:val="65542778"/>
    <w:rsid w:val="655829AF"/>
    <w:rsid w:val="656B70C3"/>
    <w:rsid w:val="657038D9"/>
    <w:rsid w:val="65711400"/>
    <w:rsid w:val="658F4798"/>
    <w:rsid w:val="659B1EBA"/>
    <w:rsid w:val="659C3AAC"/>
    <w:rsid w:val="65A11CE5"/>
    <w:rsid w:val="65A83379"/>
    <w:rsid w:val="65B461E9"/>
    <w:rsid w:val="65BE39A8"/>
    <w:rsid w:val="65C23A09"/>
    <w:rsid w:val="65FB3FBE"/>
    <w:rsid w:val="660109D5"/>
    <w:rsid w:val="66101A71"/>
    <w:rsid w:val="66171FA7"/>
    <w:rsid w:val="66247D11"/>
    <w:rsid w:val="66326DE1"/>
    <w:rsid w:val="663A5C95"/>
    <w:rsid w:val="663B3EC9"/>
    <w:rsid w:val="663F505A"/>
    <w:rsid w:val="665A1E94"/>
    <w:rsid w:val="66736112"/>
    <w:rsid w:val="667F5B5B"/>
    <w:rsid w:val="6694262A"/>
    <w:rsid w:val="66990381"/>
    <w:rsid w:val="66996E60"/>
    <w:rsid w:val="66A870A3"/>
    <w:rsid w:val="66B31B01"/>
    <w:rsid w:val="66B45A48"/>
    <w:rsid w:val="66CE1E80"/>
    <w:rsid w:val="66E362F9"/>
    <w:rsid w:val="66E47FD9"/>
    <w:rsid w:val="66E520A5"/>
    <w:rsid w:val="66F04175"/>
    <w:rsid w:val="66F127F8"/>
    <w:rsid w:val="67071922"/>
    <w:rsid w:val="673B73C0"/>
    <w:rsid w:val="674743C8"/>
    <w:rsid w:val="674E19F8"/>
    <w:rsid w:val="675608B6"/>
    <w:rsid w:val="6760172C"/>
    <w:rsid w:val="67754402"/>
    <w:rsid w:val="677D54ED"/>
    <w:rsid w:val="678B726C"/>
    <w:rsid w:val="67B11A97"/>
    <w:rsid w:val="67B25E27"/>
    <w:rsid w:val="67B4646D"/>
    <w:rsid w:val="67B464CA"/>
    <w:rsid w:val="67C4383B"/>
    <w:rsid w:val="67D35E1A"/>
    <w:rsid w:val="67D839B8"/>
    <w:rsid w:val="67DB0DB2"/>
    <w:rsid w:val="67F35317"/>
    <w:rsid w:val="67F73E3E"/>
    <w:rsid w:val="67FA61C2"/>
    <w:rsid w:val="68016A6B"/>
    <w:rsid w:val="680201B7"/>
    <w:rsid w:val="68040309"/>
    <w:rsid w:val="68060525"/>
    <w:rsid w:val="68362BFB"/>
    <w:rsid w:val="683D085A"/>
    <w:rsid w:val="683F1130"/>
    <w:rsid w:val="684456A1"/>
    <w:rsid w:val="684C2838"/>
    <w:rsid w:val="685E1363"/>
    <w:rsid w:val="687731D1"/>
    <w:rsid w:val="6878475E"/>
    <w:rsid w:val="688B4E68"/>
    <w:rsid w:val="688E1089"/>
    <w:rsid w:val="68993219"/>
    <w:rsid w:val="689E250C"/>
    <w:rsid w:val="689E42BA"/>
    <w:rsid w:val="68A026F3"/>
    <w:rsid w:val="68AF6C13"/>
    <w:rsid w:val="68F25680"/>
    <w:rsid w:val="68FB795E"/>
    <w:rsid w:val="69074555"/>
    <w:rsid w:val="690E07C7"/>
    <w:rsid w:val="69140A20"/>
    <w:rsid w:val="69236A65"/>
    <w:rsid w:val="692E469B"/>
    <w:rsid w:val="69315C48"/>
    <w:rsid w:val="694019EC"/>
    <w:rsid w:val="694841AF"/>
    <w:rsid w:val="69584DB4"/>
    <w:rsid w:val="695B5B89"/>
    <w:rsid w:val="696C3D80"/>
    <w:rsid w:val="696D7E94"/>
    <w:rsid w:val="697D0373"/>
    <w:rsid w:val="69821E2D"/>
    <w:rsid w:val="69863787"/>
    <w:rsid w:val="698A5EE4"/>
    <w:rsid w:val="69A27DD9"/>
    <w:rsid w:val="69B30239"/>
    <w:rsid w:val="69C811ED"/>
    <w:rsid w:val="69D33070"/>
    <w:rsid w:val="69E97E75"/>
    <w:rsid w:val="69EF33C0"/>
    <w:rsid w:val="69FB5D9E"/>
    <w:rsid w:val="69FF6FDA"/>
    <w:rsid w:val="6A09542B"/>
    <w:rsid w:val="6A143C4B"/>
    <w:rsid w:val="6A1A3007"/>
    <w:rsid w:val="6A1E645E"/>
    <w:rsid w:val="6A325601"/>
    <w:rsid w:val="6A3C6480"/>
    <w:rsid w:val="6A417049"/>
    <w:rsid w:val="6A4B221F"/>
    <w:rsid w:val="6A576E16"/>
    <w:rsid w:val="6A7903E5"/>
    <w:rsid w:val="6A8219B9"/>
    <w:rsid w:val="6A822A1B"/>
    <w:rsid w:val="6A8641F2"/>
    <w:rsid w:val="6A8B6AC0"/>
    <w:rsid w:val="6A9701A5"/>
    <w:rsid w:val="6AA03032"/>
    <w:rsid w:val="6AA86FEC"/>
    <w:rsid w:val="6AB06526"/>
    <w:rsid w:val="6ACB20F7"/>
    <w:rsid w:val="6AD54E94"/>
    <w:rsid w:val="6ADA6AC4"/>
    <w:rsid w:val="6ADB11D6"/>
    <w:rsid w:val="6B1A2C3C"/>
    <w:rsid w:val="6B221F4E"/>
    <w:rsid w:val="6B31644D"/>
    <w:rsid w:val="6B486C86"/>
    <w:rsid w:val="6B546244"/>
    <w:rsid w:val="6B554C72"/>
    <w:rsid w:val="6B680BAF"/>
    <w:rsid w:val="6B774DF2"/>
    <w:rsid w:val="6B7834E8"/>
    <w:rsid w:val="6B847AD7"/>
    <w:rsid w:val="6B961F07"/>
    <w:rsid w:val="6B9A2DF9"/>
    <w:rsid w:val="6BA56BC7"/>
    <w:rsid w:val="6BAA11C7"/>
    <w:rsid w:val="6BAA566B"/>
    <w:rsid w:val="6BAC4619"/>
    <w:rsid w:val="6BB118FD"/>
    <w:rsid w:val="6BC60150"/>
    <w:rsid w:val="6BCD2823"/>
    <w:rsid w:val="6BCE4EB6"/>
    <w:rsid w:val="6BDD15DD"/>
    <w:rsid w:val="6BDF2966"/>
    <w:rsid w:val="6BE86A5F"/>
    <w:rsid w:val="6C053C7D"/>
    <w:rsid w:val="6C0D357A"/>
    <w:rsid w:val="6C186A79"/>
    <w:rsid w:val="6C2076DB"/>
    <w:rsid w:val="6C234DED"/>
    <w:rsid w:val="6C29198B"/>
    <w:rsid w:val="6C3A67D1"/>
    <w:rsid w:val="6C3D2157"/>
    <w:rsid w:val="6C3D2D5C"/>
    <w:rsid w:val="6C4800AA"/>
    <w:rsid w:val="6C4D28F8"/>
    <w:rsid w:val="6C573E9C"/>
    <w:rsid w:val="6C5C23DC"/>
    <w:rsid w:val="6C6D1126"/>
    <w:rsid w:val="6C7672FB"/>
    <w:rsid w:val="6C986334"/>
    <w:rsid w:val="6C9C4FB4"/>
    <w:rsid w:val="6CA35B3A"/>
    <w:rsid w:val="6CA41A5D"/>
    <w:rsid w:val="6CA479DF"/>
    <w:rsid w:val="6CAF588C"/>
    <w:rsid w:val="6CB4638E"/>
    <w:rsid w:val="6CBF3C6A"/>
    <w:rsid w:val="6CBF5306"/>
    <w:rsid w:val="6CD7423E"/>
    <w:rsid w:val="6CD930DF"/>
    <w:rsid w:val="6CDC1854"/>
    <w:rsid w:val="6CE70FA1"/>
    <w:rsid w:val="6CF05300"/>
    <w:rsid w:val="6CFA6351"/>
    <w:rsid w:val="6CFC3C40"/>
    <w:rsid w:val="6D231231"/>
    <w:rsid w:val="6D266F73"/>
    <w:rsid w:val="6D2F6F7D"/>
    <w:rsid w:val="6D480984"/>
    <w:rsid w:val="6D8079F9"/>
    <w:rsid w:val="6D8C5028"/>
    <w:rsid w:val="6D9B526C"/>
    <w:rsid w:val="6DB13E57"/>
    <w:rsid w:val="6DC245A2"/>
    <w:rsid w:val="6DC71662"/>
    <w:rsid w:val="6DCD5126"/>
    <w:rsid w:val="6DDB6CB0"/>
    <w:rsid w:val="6DE21877"/>
    <w:rsid w:val="6DE52ACD"/>
    <w:rsid w:val="6DF36E56"/>
    <w:rsid w:val="6DFC0B44"/>
    <w:rsid w:val="6E0458E7"/>
    <w:rsid w:val="6E212037"/>
    <w:rsid w:val="6E25722B"/>
    <w:rsid w:val="6E263D90"/>
    <w:rsid w:val="6E3B221B"/>
    <w:rsid w:val="6E475779"/>
    <w:rsid w:val="6E51424D"/>
    <w:rsid w:val="6E663C68"/>
    <w:rsid w:val="6E7764EF"/>
    <w:rsid w:val="6E8403F6"/>
    <w:rsid w:val="6E952B9A"/>
    <w:rsid w:val="6EA75E92"/>
    <w:rsid w:val="6EAD447C"/>
    <w:rsid w:val="6EAE5472"/>
    <w:rsid w:val="6EBC069A"/>
    <w:rsid w:val="6EC425A0"/>
    <w:rsid w:val="6ECD7F59"/>
    <w:rsid w:val="6ECF449B"/>
    <w:rsid w:val="6ED975CA"/>
    <w:rsid w:val="6EED7C80"/>
    <w:rsid w:val="6EF03395"/>
    <w:rsid w:val="6EF773A4"/>
    <w:rsid w:val="6F03756C"/>
    <w:rsid w:val="6F174DC6"/>
    <w:rsid w:val="6F1E2E65"/>
    <w:rsid w:val="6F26325B"/>
    <w:rsid w:val="6F286FD3"/>
    <w:rsid w:val="6F2F2D9E"/>
    <w:rsid w:val="6F3A05FC"/>
    <w:rsid w:val="6F4147D9"/>
    <w:rsid w:val="6F455D89"/>
    <w:rsid w:val="6F5002D8"/>
    <w:rsid w:val="6F581F47"/>
    <w:rsid w:val="6F5B0D5A"/>
    <w:rsid w:val="6F5C35EA"/>
    <w:rsid w:val="6F63625D"/>
    <w:rsid w:val="6F6B6A15"/>
    <w:rsid w:val="6F947E4B"/>
    <w:rsid w:val="6F9957DB"/>
    <w:rsid w:val="6FA30BDA"/>
    <w:rsid w:val="6FB21D4C"/>
    <w:rsid w:val="6FB80698"/>
    <w:rsid w:val="6FCF744E"/>
    <w:rsid w:val="6FFD5E0F"/>
    <w:rsid w:val="70076BE8"/>
    <w:rsid w:val="701021F4"/>
    <w:rsid w:val="701C29A6"/>
    <w:rsid w:val="7024611F"/>
    <w:rsid w:val="702F7EED"/>
    <w:rsid w:val="7038498C"/>
    <w:rsid w:val="703F45D4"/>
    <w:rsid w:val="70512559"/>
    <w:rsid w:val="7053576D"/>
    <w:rsid w:val="70637B96"/>
    <w:rsid w:val="70797317"/>
    <w:rsid w:val="707E201F"/>
    <w:rsid w:val="7099044B"/>
    <w:rsid w:val="709A06E1"/>
    <w:rsid w:val="709D518F"/>
    <w:rsid w:val="709E387E"/>
    <w:rsid w:val="70B76860"/>
    <w:rsid w:val="70C268FE"/>
    <w:rsid w:val="70C759D3"/>
    <w:rsid w:val="70CD7E32"/>
    <w:rsid w:val="70CF2B23"/>
    <w:rsid w:val="70CF74E9"/>
    <w:rsid w:val="70D70CB1"/>
    <w:rsid w:val="70D80585"/>
    <w:rsid w:val="70FA674D"/>
    <w:rsid w:val="710952C1"/>
    <w:rsid w:val="713420C5"/>
    <w:rsid w:val="71347EB1"/>
    <w:rsid w:val="713954C7"/>
    <w:rsid w:val="713F70AB"/>
    <w:rsid w:val="71452CD8"/>
    <w:rsid w:val="71583F2D"/>
    <w:rsid w:val="7158683A"/>
    <w:rsid w:val="715B2F52"/>
    <w:rsid w:val="7167680B"/>
    <w:rsid w:val="716B1D9A"/>
    <w:rsid w:val="71764F23"/>
    <w:rsid w:val="71881188"/>
    <w:rsid w:val="71946576"/>
    <w:rsid w:val="71967E84"/>
    <w:rsid w:val="7197629F"/>
    <w:rsid w:val="71A61873"/>
    <w:rsid w:val="71AF4936"/>
    <w:rsid w:val="71B12351"/>
    <w:rsid w:val="71BB4E1E"/>
    <w:rsid w:val="71CD79BE"/>
    <w:rsid w:val="71D07496"/>
    <w:rsid w:val="71D75D0F"/>
    <w:rsid w:val="71E139ED"/>
    <w:rsid w:val="71F437A4"/>
    <w:rsid w:val="721919B3"/>
    <w:rsid w:val="721A6098"/>
    <w:rsid w:val="721D18D3"/>
    <w:rsid w:val="72310D1A"/>
    <w:rsid w:val="7252306F"/>
    <w:rsid w:val="725D6B54"/>
    <w:rsid w:val="7294672D"/>
    <w:rsid w:val="7295497F"/>
    <w:rsid w:val="72986FA0"/>
    <w:rsid w:val="729B7ABC"/>
    <w:rsid w:val="72A17C99"/>
    <w:rsid w:val="72A2709C"/>
    <w:rsid w:val="72A5093A"/>
    <w:rsid w:val="72AD7197"/>
    <w:rsid w:val="72AF6F7E"/>
    <w:rsid w:val="72B15531"/>
    <w:rsid w:val="72BD2C86"/>
    <w:rsid w:val="72CD226C"/>
    <w:rsid w:val="72D27981"/>
    <w:rsid w:val="73047407"/>
    <w:rsid w:val="73047904"/>
    <w:rsid w:val="731A4E85"/>
    <w:rsid w:val="73253EFA"/>
    <w:rsid w:val="73353A6C"/>
    <w:rsid w:val="734C1A6A"/>
    <w:rsid w:val="73555EBD"/>
    <w:rsid w:val="735663B7"/>
    <w:rsid w:val="735C5949"/>
    <w:rsid w:val="73671287"/>
    <w:rsid w:val="736D1458"/>
    <w:rsid w:val="73737DA5"/>
    <w:rsid w:val="73740A39"/>
    <w:rsid w:val="73783823"/>
    <w:rsid w:val="73887B3E"/>
    <w:rsid w:val="73892412"/>
    <w:rsid w:val="738E13CF"/>
    <w:rsid w:val="73AF2114"/>
    <w:rsid w:val="73AF381F"/>
    <w:rsid w:val="73D47729"/>
    <w:rsid w:val="73E96BCA"/>
    <w:rsid w:val="73EE4A6E"/>
    <w:rsid w:val="741048BC"/>
    <w:rsid w:val="7419513C"/>
    <w:rsid w:val="742E78D4"/>
    <w:rsid w:val="74317498"/>
    <w:rsid w:val="74335A84"/>
    <w:rsid w:val="74367A9C"/>
    <w:rsid w:val="743A6A13"/>
    <w:rsid w:val="744B3EC0"/>
    <w:rsid w:val="74676A28"/>
    <w:rsid w:val="747131CA"/>
    <w:rsid w:val="74714F78"/>
    <w:rsid w:val="747E40B6"/>
    <w:rsid w:val="74AA2238"/>
    <w:rsid w:val="74AC3224"/>
    <w:rsid w:val="74B21065"/>
    <w:rsid w:val="74BB2C83"/>
    <w:rsid w:val="74C01A5C"/>
    <w:rsid w:val="74C0380A"/>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1D9B"/>
    <w:rsid w:val="7561323F"/>
    <w:rsid w:val="756F17F9"/>
    <w:rsid w:val="757E5B9F"/>
    <w:rsid w:val="75825461"/>
    <w:rsid w:val="75907680"/>
    <w:rsid w:val="75916599"/>
    <w:rsid w:val="759926FC"/>
    <w:rsid w:val="75A24276"/>
    <w:rsid w:val="75AA231D"/>
    <w:rsid w:val="75AD6340"/>
    <w:rsid w:val="75B90985"/>
    <w:rsid w:val="75DF5F11"/>
    <w:rsid w:val="75E8633A"/>
    <w:rsid w:val="75ED062E"/>
    <w:rsid w:val="763224E5"/>
    <w:rsid w:val="76360227"/>
    <w:rsid w:val="76366479"/>
    <w:rsid w:val="76393874"/>
    <w:rsid w:val="763F09AA"/>
    <w:rsid w:val="764F12E9"/>
    <w:rsid w:val="764F3FCC"/>
    <w:rsid w:val="7650339F"/>
    <w:rsid w:val="76595CC4"/>
    <w:rsid w:val="76603C9A"/>
    <w:rsid w:val="766B00E5"/>
    <w:rsid w:val="7680773A"/>
    <w:rsid w:val="76832D41"/>
    <w:rsid w:val="768B2C28"/>
    <w:rsid w:val="76BB1CAB"/>
    <w:rsid w:val="76C04050"/>
    <w:rsid w:val="76D67314"/>
    <w:rsid w:val="76E00193"/>
    <w:rsid w:val="76E65049"/>
    <w:rsid w:val="76FA74A7"/>
    <w:rsid w:val="77076007"/>
    <w:rsid w:val="770F77AA"/>
    <w:rsid w:val="77183DD1"/>
    <w:rsid w:val="771A36A5"/>
    <w:rsid w:val="772B3B04"/>
    <w:rsid w:val="77413F7E"/>
    <w:rsid w:val="77464076"/>
    <w:rsid w:val="7758241F"/>
    <w:rsid w:val="777A7D22"/>
    <w:rsid w:val="777E28EC"/>
    <w:rsid w:val="77835654"/>
    <w:rsid w:val="7797109C"/>
    <w:rsid w:val="779A2A38"/>
    <w:rsid w:val="77B4450A"/>
    <w:rsid w:val="77B46E73"/>
    <w:rsid w:val="77E37A12"/>
    <w:rsid w:val="77F42148"/>
    <w:rsid w:val="77FE3468"/>
    <w:rsid w:val="780B1240"/>
    <w:rsid w:val="782347DB"/>
    <w:rsid w:val="78250553"/>
    <w:rsid w:val="783B17B1"/>
    <w:rsid w:val="783B7D77"/>
    <w:rsid w:val="784E2046"/>
    <w:rsid w:val="78546F0C"/>
    <w:rsid w:val="786778FE"/>
    <w:rsid w:val="786F5A4D"/>
    <w:rsid w:val="789B6A68"/>
    <w:rsid w:val="789D588A"/>
    <w:rsid w:val="78B65E3A"/>
    <w:rsid w:val="78C95383"/>
    <w:rsid w:val="78D87374"/>
    <w:rsid w:val="78E0091E"/>
    <w:rsid w:val="78EB11BD"/>
    <w:rsid w:val="78EE1C79"/>
    <w:rsid w:val="78F85605"/>
    <w:rsid w:val="78FA66FA"/>
    <w:rsid w:val="79345B6A"/>
    <w:rsid w:val="79424F6E"/>
    <w:rsid w:val="794F33AE"/>
    <w:rsid w:val="795F3706"/>
    <w:rsid w:val="797239CC"/>
    <w:rsid w:val="797F54AB"/>
    <w:rsid w:val="79831473"/>
    <w:rsid w:val="79983E9C"/>
    <w:rsid w:val="7999527A"/>
    <w:rsid w:val="79AF76C5"/>
    <w:rsid w:val="79C25EE1"/>
    <w:rsid w:val="79CE2967"/>
    <w:rsid w:val="79E30EE8"/>
    <w:rsid w:val="79E34934"/>
    <w:rsid w:val="79EA664C"/>
    <w:rsid w:val="79F9627A"/>
    <w:rsid w:val="79FC3536"/>
    <w:rsid w:val="79FF6948"/>
    <w:rsid w:val="7A044199"/>
    <w:rsid w:val="7A0657CF"/>
    <w:rsid w:val="7A2F3BBF"/>
    <w:rsid w:val="7A2F459A"/>
    <w:rsid w:val="7A322A39"/>
    <w:rsid w:val="7A517022"/>
    <w:rsid w:val="7A6F5001"/>
    <w:rsid w:val="7A7720A0"/>
    <w:rsid w:val="7A846E66"/>
    <w:rsid w:val="7A8F7F06"/>
    <w:rsid w:val="7A9635B3"/>
    <w:rsid w:val="7AA2343E"/>
    <w:rsid w:val="7AD60EB8"/>
    <w:rsid w:val="7ADA73A4"/>
    <w:rsid w:val="7AE55396"/>
    <w:rsid w:val="7AE66B99"/>
    <w:rsid w:val="7AF34646"/>
    <w:rsid w:val="7AFE508C"/>
    <w:rsid w:val="7B0A3BCA"/>
    <w:rsid w:val="7B1C0EF4"/>
    <w:rsid w:val="7B1E510C"/>
    <w:rsid w:val="7B212805"/>
    <w:rsid w:val="7B234AF2"/>
    <w:rsid w:val="7B31720F"/>
    <w:rsid w:val="7B345AA9"/>
    <w:rsid w:val="7B4048C1"/>
    <w:rsid w:val="7B4C4049"/>
    <w:rsid w:val="7B4C5DF7"/>
    <w:rsid w:val="7B73082F"/>
    <w:rsid w:val="7B7B492E"/>
    <w:rsid w:val="7B98728E"/>
    <w:rsid w:val="7B9A3D1D"/>
    <w:rsid w:val="7BB46FBD"/>
    <w:rsid w:val="7BC62E00"/>
    <w:rsid w:val="7BC73B55"/>
    <w:rsid w:val="7BCD518A"/>
    <w:rsid w:val="7BD04C7A"/>
    <w:rsid w:val="7BE35E2A"/>
    <w:rsid w:val="7BF538C2"/>
    <w:rsid w:val="7BF66C24"/>
    <w:rsid w:val="7BFA1CC7"/>
    <w:rsid w:val="7BFB70B3"/>
    <w:rsid w:val="7C0251DA"/>
    <w:rsid w:val="7C0C0E4A"/>
    <w:rsid w:val="7C0E41D1"/>
    <w:rsid w:val="7C1052F2"/>
    <w:rsid w:val="7C21292C"/>
    <w:rsid w:val="7C2154D6"/>
    <w:rsid w:val="7C2668D9"/>
    <w:rsid w:val="7C32497F"/>
    <w:rsid w:val="7C3C69AE"/>
    <w:rsid w:val="7C43544C"/>
    <w:rsid w:val="7C631577"/>
    <w:rsid w:val="7C691974"/>
    <w:rsid w:val="7C8A6570"/>
    <w:rsid w:val="7C8B7390"/>
    <w:rsid w:val="7C9712F4"/>
    <w:rsid w:val="7C9B0D0E"/>
    <w:rsid w:val="7CA42B03"/>
    <w:rsid w:val="7CBB76D8"/>
    <w:rsid w:val="7CC55E61"/>
    <w:rsid w:val="7CCC5441"/>
    <w:rsid w:val="7CD2318A"/>
    <w:rsid w:val="7CD2702A"/>
    <w:rsid w:val="7CD34C42"/>
    <w:rsid w:val="7CD46B29"/>
    <w:rsid w:val="7CDE3FF9"/>
    <w:rsid w:val="7CE26EBF"/>
    <w:rsid w:val="7CEE3130"/>
    <w:rsid w:val="7CFC08E8"/>
    <w:rsid w:val="7D0448EF"/>
    <w:rsid w:val="7D0E5A5A"/>
    <w:rsid w:val="7D1E1A15"/>
    <w:rsid w:val="7D1F6674"/>
    <w:rsid w:val="7D475E29"/>
    <w:rsid w:val="7D480B34"/>
    <w:rsid w:val="7D741635"/>
    <w:rsid w:val="7D777A3E"/>
    <w:rsid w:val="7D883F06"/>
    <w:rsid w:val="7D8E6457"/>
    <w:rsid w:val="7D9005BC"/>
    <w:rsid w:val="7D983576"/>
    <w:rsid w:val="7D9F0AD0"/>
    <w:rsid w:val="7DB22BDF"/>
    <w:rsid w:val="7DBA173E"/>
    <w:rsid w:val="7DD12BB7"/>
    <w:rsid w:val="7DF223A2"/>
    <w:rsid w:val="7DFF0955"/>
    <w:rsid w:val="7E0B750E"/>
    <w:rsid w:val="7E1939E8"/>
    <w:rsid w:val="7E1D3A7B"/>
    <w:rsid w:val="7E2400E7"/>
    <w:rsid w:val="7E2822EA"/>
    <w:rsid w:val="7E2A20CE"/>
    <w:rsid w:val="7E355A7B"/>
    <w:rsid w:val="7E455322"/>
    <w:rsid w:val="7E682F48"/>
    <w:rsid w:val="7E6E3E85"/>
    <w:rsid w:val="7E7C7B82"/>
    <w:rsid w:val="7E8F4979"/>
    <w:rsid w:val="7E991353"/>
    <w:rsid w:val="7E9C184B"/>
    <w:rsid w:val="7EA72948"/>
    <w:rsid w:val="7EB31EDB"/>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 w:type="paragraph" w:customStyle="1" w:styleId="97">
    <w:name w:val="正文-标准"/>
    <w:basedOn w:val="1"/>
    <w:qFormat/>
    <w:uiPriority w:val="0"/>
    <w:pPr>
      <w:autoSpaceDE w:val="0"/>
      <w:autoSpaceDN w:val="0"/>
      <w:adjustRightInd w:val="0"/>
      <w:spacing w:line="360" w:lineRule="exact"/>
      <w:jc w:val="left"/>
    </w:pPr>
    <w:rPr>
      <w:kern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14637</Words>
  <Characters>15336</Characters>
  <Lines>50</Lines>
  <Paragraphs>68</Paragraphs>
  <TotalTime>21</TotalTime>
  <ScaleCrop>false</ScaleCrop>
  <LinksUpToDate>false</LinksUpToDate>
  <CharactersWithSpaces>16129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2026-06-30T08:23:46Z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6B4FDCA957CB4E82998C2E32247B97ED_13</vt:lpwstr>
  </property>
  <property fmtid="{D5CDD505-2E9C-101B-9397-08002B2CF9AE}" pid="4" name="KSOTemplateDocerSaveRecord">
    <vt:lpwstr>eyJoZGlkIjoiMzU0MTZjMjFkMjFjOGMwYTIzNWEzZDljNjYxZWI0MmYiLCJ1c2VySWQiOiIxNjg0NTc5MjM2In0=</vt:lpwstr>
  </property>
</Properties>
</file>