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3041D311">
      <w:pPr>
        <w:pStyle w:val="20"/>
        <w:bidi w:val="0"/>
        <w:jc w:val="center"/>
        <w:rPr>
          <w:rFonts w:hint="eastAsia" w:cs="宋体"/>
          <w:b/>
          <w:bCs/>
          <w:color w:val="auto"/>
          <w:sz w:val="48"/>
          <w:szCs w:val="48"/>
          <w:highlight w:val="none"/>
          <w:lang w:val="en-US" w:eastAsia="zh-CN"/>
        </w:rPr>
      </w:pPr>
      <w:r>
        <w:rPr>
          <w:rFonts w:hint="eastAsia" w:cs="宋体"/>
          <w:b/>
          <w:bCs/>
          <w:color w:val="auto"/>
          <w:sz w:val="48"/>
          <w:szCs w:val="48"/>
          <w:highlight w:val="none"/>
          <w:lang w:val="en-US" w:eastAsia="zh-CN"/>
        </w:rPr>
        <w:t>康复医学科病床和床头柜采购项目</w:t>
      </w:r>
    </w:p>
    <w:p w14:paraId="53953A41">
      <w:pPr>
        <w:pStyle w:val="20"/>
        <w:bidi w:val="0"/>
        <w:jc w:val="center"/>
        <w:rPr>
          <w:rFonts w:hint="eastAsia" w:cs="宋体"/>
          <w:b/>
          <w:bCs/>
          <w:color w:val="auto"/>
          <w:sz w:val="48"/>
          <w:szCs w:val="48"/>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keepNext w:val="0"/>
        <w:keepLines w:val="0"/>
        <w:pageBreakBefore w:val="0"/>
        <w:kinsoku/>
        <w:overflowPunct/>
        <w:topLinePunct w:val="0"/>
        <w:autoSpaceDE/>
        <w:autoSpaceDN/>
        <w:bidi w:val="0"/>
        <w:spacing w:line="312" w:lineRule="auto"/>
        <w:jc w:val="center"/>
        <w:textAlignment w:val="auto"/>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12" w:lineRule="auto"/>
        <w:jc w:val="center"/>
        <w:textAlignment w:val="auto"/>
        <w:rPr>
          <w:rFonts w:hint="default"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康复医学科病床和床头柜采购项目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12"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康复医学科病床和床头柜采购项目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康复医学科病床和床头柜采购项目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、预算金额：24.38万元</w:t>
      </w:r>
    </w:p>
    <w:p w14:paraId="20C42964">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交货期：合同签订后15日</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30971"/>
      <w:bookmarkStart w:id="10" w:name="_Toc7823"/>
      <w:bookmarkStart w:id="11" w:name="_Toc3064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76E02CD7">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3A22D49D">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属于医疗器械的须符合以下要求：</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为代理商（经销商）时，须具有医疗器械经营许可证或医疗器械经营备案凭证（从事第一类医疗器械经营活动的除外）；</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不属于医疗器械</w:t>
      </w:r>
      <w:r>
        <w:rPr>
          <w:rFonts w:hint="eastAsia" w:ascii="宋体" w:hAnsi="宋体" w:cs="宋体"/>
          <w:color w:val="auto"/>
          <w:sz w:val="24"/>
          <w:szCs w:val="24"/>
          <w:highlight w:val="none"/>
          <w:shd w:val="clear" w:color="auto" w:fill="FFFFFF"/>
          <w:lang w:val="en-US" w:eastAsia="zh-CN"/>
        </w:rPr>
        <w:t>可不提供</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752667438@qq.com,并标明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25869"/>
      <w:bookmarkStart w:id="15" w:name="_Toc15135"/>
      <w:bookmarkStart w:id="16" w:name="_Toc10738"/>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3604"/>
      <w:bookmarkStart w:id="26" w:name="_Toc16291"/>
      <w:bookmarkStart w:id="27" w:name="_Toc27370"/>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15EE28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eastAsia="宋体" w:cs="宋体"/>
          <w:sz w:val="24"/>
          <w:highlight w:val="none"/>
        </w:rPr>
        <w:t>河南博库工程咨询有限公司</w:t>
      </w:r>
    </w:p>
    <w:p w14:paraId="27713C4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地址：驻马店市文明路东高国际花园小区7号楼1单元903室</w:t>
      </w:r>
    </w:p>
    <w:p w14:paraId="042B500C">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刘女士</w:t>
      </w:r>
    </w:p>
    <w:p w14:paraId="03BE0CC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19139558318</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驻马店市中心医院康复医学科病床和床头柜采购项目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800"/>
        <w:gridCol w:w="938"/>
        <w:gridCol w:w="919"/>
        <w:gridCol w:w="1490"/>
        <w:gridCol w:w="1294"/>
        <w:gridCol w:w="1359"/>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18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标的名称</w:t>
            </w:r>
          </w:p>
        </w:tc>
        <w:tc>
          <w:tcPr>
            <w:tcW w:w="938"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19"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490"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资金预算</w:t>
            </w:r>
          </w:p>
        </w:tc>
        <w:tc>
          <w:tcPr>
            <w:tcW w:w="1294"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资金性质</w:t>
            </w:r>
          </w:p>
        </w:tc>
        <w:tc>
          <w:tcPr>
            <w:tcW w:w="1364" w:type="dxa"/>
            <w:gridSpan w:val="2"/>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8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ABS双摇病床</w:t>
            </w:r>
          </w:p>
        </w:tc>
        <w:tc>
          <w:tcPr>
            <w:tcW w:w="93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张</w:t>
            </w:r>
          </w:p>
        </w:tc>
        <w:tc>
          <w:tcPr>
            <w:tcW w:w="919"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106</w:t>
            </w:r>
          </w:p>
        </w:tc>
        <w:tc>
          <w:tcPr>
            <w:tcW w:w="1490"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1900元/张</w:t>
            </w:r>
          </w:p>
        </w:tc>
        <w:tc>
          <w:tcPr>
            <w:tcW w:w="1294"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自筹</w:t>
            </w:r>
          </w:p>
        </w:tc>
        <w:tc>
          <w:tcPr>
            <w:tcW w:w="1364"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国产</w:t>
            </w:r>
          </w:p>
        </w:tc>
      </w:tr>
      <w:tr w14:paraId="1D00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shd w:val="clear" w:color="auto" w:fill="auto"/>
            <w:vAlign w:val="center"/>
          </w:tcPr>
          <w:p w14:paraId="287144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1800" w:type="dxa"/>
            <w:shd w:val="clear" w:color="auto" w:fill="auto"/>
            <w:vAlign w:val="center"/>
          </w:tcPr>
          <w:p w14:paraId="5875F59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ABS床头柜</w:t>
            </w:r>
          </w:p>
        </w:tc>
        <w:tc>
          <w:tcPr>
            <w:tcW w:w="938" w:type="dxa"/>
            <w:shd w:val="clear" w:color="auto" w:fill="auto"/>
            <w:vAlign w:val="center"/>
          </w:tcPr>
          <w:p w14:paraId="3C70B1E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个</w:t>
            </w:r>
          </w:p>
        </w:tc>
        <w:tc>
          <w:tcPr>
            <w:tcW w:w="919" w:type="dxa"/>
            <w:shd w:val="clear" w:color="auto" w:fill="auto"/>
            <w:vAlign w:val="center"/>
          </w:tcPr>
          <w:p w14:paraId="0D34A4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106</w:t>
            </w:r>
          </w:p>
        </w:tc>
        <w:tc>
          <w:tcPr>
            <w:tcW w:w="1490" w:type="dxa"/>
            <w:shd w:val="clear" w:color="auto" w:fill="auto"/>
            <w:vAlign w:val="center"/>
          </w:tcPr>
          <w:p w14:paraId="5AF6D0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400元/个</w:t>
            </w:r>
          </w:p>
        </w:tc>
        <w:tc>
          <w:tcPr>
            <w:tcW w:w="1294" w:type="dxa"/>
            <w:shd w:val="clear" w:color="auto" w:fill="auto"/>
            <w:vAlign w:val="center"/>
          </w:tcPr>
          <w:p w14:paraId="7F193E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自筹</w:t>
            </w:r>
          </w:p>
        </w:tc>
        <w:tc>
          <w:tcPr>
            <w:tcW w:w="1364" w:type="dxa"/>
            <w:gridSpan w:val="2"/>
            <w:shd w:val="clear" w:color="auto" w:fill="auto"/>
            <w:vAlign w:val="center"/>
          </w:tcPr>
          <w:p w14:paraId="47DE7E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80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24.38万元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8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800"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p>
        </w:tc>
      </w:tr>
    </w:tbl>
    <w:p w14:paraId="51D98ED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3820FF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10BC39BB">
      <w:pPr>
        <w:pStyle w:val="24"/>
        <w:spacing w:line="360" w:lineRule="auto"/>
        <w:ind w:firstLine="482" w:firstLineChars="200"/>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（一）ABS双摇病床参数</w:t>
      </w:r>
    </w:p>
    <w:p w14:paraId="4DDD851C">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1.规格：（2150×980×500mm）±10mm；</w:t>
      </w:r>
    </w:p>
    <w:p w14:paraId="4424A56E">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2.床面：材质为冷轧钢板，一次冲压成型，采用静电粉体喷涂，厚度≥1.2mm，多气孔加筋设计；床板采用升降结构，背部床板升降主轴采用加厚钢管，升降可调,腿板折起角度0°-45°，背板折起角度0°-75°。</w:t>
      </w:r>
    </w:p>
    <w:p w14:paraId="6489609B">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3.床体架：主梁采用壁厚≥1.5mm冷拔钢管，整体焊接，承重≥250Kg，床底整体离地面距离≥400mm，方便病人存放物品，床体整体采用静电粉体喷涂。</w:t>
      </w:r>
    </w:p>
    <w:p w14:paraId="4608C8A4">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4.床头尾板：工程塑料，内置多点加固和锁定开关，拆卸方便。</w:t>
      </w:r>
    </w:p>
    <w:p w14:paraId="3578023E">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5.床腿：采用≥长40mm×宽40mm×厚度1.5mm钢管焊接成型，整体采用静电粉体喷涂，塑料床腿脚帽静音、防滑。</w:t>
      </w:r>
    </w:p>
    <w:p w14:paraId="575D8F38">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6.ABS摇把加钢制伸缩摇杆，每支摇杆可独立承重≥100Kg。</w:t>
      </w:r>
    </w:p>
    <w:p w14:paraId="5F72AF86">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7.护栏：全覆式，铝合金扶手，≥6支优质铝合金护栏支柱，可收缩放平；按键保险能快速定位开关，护栏上方紧固铝合金型材保护。</w:t>
      </w:r>
    </w:p>
    <w:p w14:paraId="784FC229">
      <w:pPr>
        <w:pStyle w:val="24"/>
        <w:spacing w:line="360" w:lineRule="auto"/>
        <w:ind w:firstLine="480" w:firstLineChars="200"/>
        <w:rPr>
          <w:rFonts w:hint="eastAsia"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8.床垫：与床配套，总厚度≥80mm。外层防水耐磨布套，易清洁。拉链式设计，方便拆卸清洗。三段式分段结构，可随床板同步折叠。内置海绵与椰棕厚度各≥40mm，符合医用环保标准。</w:t>
      </w:r>
    </w:p>
    <w:p w14:paraId="0F95D54E">
      <w:pPr>
        <w:pStyle w:val="24"/>
        <w:spacing w:line="360" w:lineRule="auto"/>
        <w:ind w:firstLine="482" w:firstLineChars="200"/>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（二）床头柜参数</w:t>
      </w:r>
    </w:p>
    <w:p w14:paraId="462BE4F4">
      <w:pPr>
        <w:pStyle w:val="24"/>
        <w:spacing w:line="360" w:lineRule="auto"/>
        <w:ind w:firstLine="480" w:firstLineChars="200"/>
        <w:rPr>
          <w:rFonts w:hint="eastAsia" w:asciiTheme="minorEastAsia" w:hAnsiTheme="minorEastAsia" w:eastAsiaTheme="minorEastAsia" w:cstheme="minorEastAsia"/>
          <w:i w:val="0"/>
          <w:iCs/>
          <w:kern w:val="2"/>
          <w:sz w:val="24"/>
          <w:szCs w:val="24"/>
          <w:highlight w:val="none"/>
          <w:u w:val="none"/>
          <w:lang w:val="en-US" w:eastAsia="zh-CN" w:bidi="ar-SA"/>
        </w:rPr>
      </w:pPr>
      <w:r>
        <w:rPr>
          <w:rFonts w:hint="eastAsia" w:asciiTheme="minorEastAsia" w:hAnsiTheme="minorEastAsia" w:eastAsiaTheme="minorEastAsia" w:cstheme="minorEastAsia"/>
          <w:i w:val="0"/>
          <w:iCs/>
          <w:kern w:val="2"/>
          <w:sz w:val="24"/>
          <w:szCs w:val="24"/>
          <w:highlight w:val="none"/>
          <w:u w:val="none"/>
          <w:lang w:val="en-US" w:eastAsia="zh-CN" w:bidi="ar-SA"/>
        </w:rPr>
        <w:t>1.尺寸：（480×480×760mm）±5mm</w:t>
      </w:r>
    </w:p>
    <w:p w14:paraId="230B8A50">
      <w:pPr>
        <w:pStyle w:val="24"/>
        <w:spacing w:line="360" w:lineRule="auto"/>
        <w:ind w:firstLine="480" w:firstLineChars="200"/>
        <w:rPr>
          <w:rFonts w:hint="default"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2.</w:t>
      </w:r>
      <w:r>
        <w:rPr>
          <w:rFonts w:hint="default" w:asciiTheme="minorEastAsia" w:hAnsiTheme="minorEastAsia" w:eastAsiaTheme="minorEastAsia" w:cstheme="minorEastAsia"/>
          <w:b w:val="0"/>
          <w:bCs w:val="0"/>
          <w:i w:val="0"/>
          <w:iCs/>
          <w:kern w:val="2"/>
          <w:sz w:val="24"/>
          <w:szCs w:val="24"/>
          <w:highlight w:val="none"/>
          <w:u w:val="none"/>
          <w:lang w:val="en-US" w:eastAsia="zh-CN" w:bidi="ar-SA"/>
        </w:rPr>
        <w:t>整体采用全新ABS材料注塑成型，结实、耐用，不变形，耐磨、耐刮、防腐蚀、防酸碱等。</w:t>
      </w:r>
    </w:p>
    <w:p w14:paraId="0EE9D1FC">
      <w:pPr>
        <w:pStyle w:val="24"/>
        <w:spacing w:line="360" w:lineRule="auto"/>
        <w:ind w:firstLine="480" w:firstLineChars="200"/>
        <w:rPr>
          <w:rFonts w:hint="default"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3</w:t>
      </w:r>
      <w:r>
        <w:rPr>
          <w:rFonts w:hint="default" w:asciiTheme="minorEastAsia" w:hAnsiTheme="minorEastAsia" w:eastAsiaTheme="minorEastAsia" w:cstheme="minorEastAsia"/>
          <w:b w:val="0"/>
          <w:bCs w:val="0"/>
          <w:i w:val="0"/>
          <w:iCs/>
          <w:kern w:val="2"/>
          <w:sz w:val="24"/>
          <w:szCs w:val="24"/>
          <w:highlight w:val="none"/>
          <w:u w:val="none"/>
          <w:lang w:val="en-US" w:eastAsia="zh-CN" w:bidi="ar-SA"/>
        </w:rPr>
        <w:t>.床头柜由柜体、面盖、柜门、抽屉、拉板、毛巾架等组成。拉板预设杯子及温度计放置凹槽。配置可折叠隐藏式毛巾架。</w:t>
      </w:r>
    </w:p>
    <w:p w14:paraId="46664958">
      <w:pPr>
        <w:pStyle w:val="24"/>
        <w:spacing w:line="360" w:lineRule="auto"/>
        <w:ind w:firstLine="480" w:firstLineChars="200"/>
        <w:rPr>
          <w:rFonts w:hint="default"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4</w:t>
      </w:r>
      <w:r>
        <w:rPr>
          <w:rFonts w:hint="default" w:asciiTheme="minorEastAsia" w:hAnsiTheme="minorEastAsia" w:eastAsiaTheme="minorEastAsia" w:cstheme="minorEastAsia"/>
          <w:b w:val="0"/>
          <w:bCs w:val="0"/>
          <w:i w:val="0"/>
          <w:iCs/>
          <w:kern w:val="2"/>
          <w:sz w:val="24"/>
          <w:szCs w:val="24"/>
          <w:highlight w:val="none"/>
          <w:u w:val="none"/>
          <w:lang w:val="en-US" w:eastAsia="zh-CN" w:bidi="ar-SA"/>
        </w:rPr>
        <w:t>.柜体内设有隔板，隔板位置可调。</w:t>
      </w:r>
    </w:p>
    <w:p w14:paraId="63F4FC0D">
      <w:pPr>
        <w:pStyle w:val="24"/>
        <w:spacing w:line="360" w:lineRule="auto"/>
        <w:ind w:firstLine="480" w:firstLineChars="200"/>
        <w:rPr>
          <w:rFonts w:hint="default" w:asciiTheme="minorEastAsia" w:hAnsiTheme="minorEastAsia" w:eastAsiaTheme="minorEastAsia" w:cstheme="minorEastAsia"/>
          <w:b w:val="0"/>
          <w:bCs w:val="0"/>
          <w:i w:val="0"/>
          <w:iCs/>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kern w:val="2"/>
          <w:sz w:val="24"/>
          <w:szCs w:val="24"/>
          <w:highlight w:val="none"/>
          <w:u w:val="none"/>
          <w:lang w:val="en-US" w:eastAsia="zh-CN" w:bidi="ar-SA"/>
        </w:rPr>
        <w:t>5</w:t>
      </w:r>
      <w:r>
        <w:rPr>
          <w:rFonts w:hint="default" w:asciiTheme="minorEastAsia" w:hAnsiTheme="minorEastAsia" w:eastAsiaTheme="minorEastAsia" w:cstheme="minorEastAsia"/>
          <w:b w:val="0"/>
          <w:bCs w:val="0"/>
          <w:i w:val="0"/>
          <w:iCs/>
          <w:kern w:val="2"/>
          <w:sz w:val="24"/>
          <w:szCs w:val="24"/>
          <w:highlight w:val="none"/>
          <w:u w:val="none"/>
          <w:lang w:val="en-US" w:eastAsia="zh-CN" w:bidi="ar-SA"/>
        </w:rPr>
        <w:t>.柜体侧板有钢制加强筋，柜体坚固耐用。</w:t>
      </w:r>
    </w:p>
    <w:p w14:paraId="4D5333F0">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0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6944"/>
      </w:tblGrid>
      <w:tr w14:paraId="47433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057670">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交货期</w:t>
            </w:r>
          </w:p>
        </w:tc>
        <w:tc>
          <w:tcPr>
            <w:tcW w:w="6944" w:type="dxa"/>
            <w:tcBorders>
              <w:top w:val="single" w:color="auto" w:sz="4" w:space="0"/>
              <w:left w:val="single" w:color="auto" w:sz="4" w:space="0"/>
              <w:bottom w:val="single" w:color="auto" w:sz="4" w:space="0"/>
              <w:right w:val="single" w:color="auto" w:sz="4" w:space="0"/>
            </w:tcBorders>
            <w:noWrap/>
            <w:vAlign w:val="center"/>
          </w:tcPr>
          <w:p w14:paraId="71190EF1">
            <w:pPr>
              <w:pStyle w:val="7"/>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合同签订后15日       </w:t>
            </w:r>
          </w:p>
        </w:tc>
      </w:tr>
      <w:tr w14:paraId="410C0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FAB">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交货地点</w:t>
            </w:r>
          </w:p>
        </w:tc>
        <w:tc>
          <w:tcPr>
            <w:tcW w:w="6944" w:type="dxa"/>
            <w:tcBorders>
              <w:top w:val="single" w:color="auto" w:sz="4" w:space="0"/>
              <w:left w:val="single" w:color="auto" w:sz="4" w:space="0"/>
              <w:bottom w:val="single" w:color="auto" w:sz="4" w:space="0"/>
              <w:right w:val="single" w:color="auto" w:sz="4" w:space="0"/>
            </w:tcBorders>
            <w:noWrap/>
            <w:vAlign w:val="center"/>
          </w:tcPr>
          <w:p w14:paraId="71BBBE27">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采购人指定地点。</w:t>
            </w:r>
          </w:p>
        </w:tc>
      </w:tr>
      <w:tr w14:paraId="0F965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428EB6">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质保期</w:t>
            </w:r>
          </w:p>
        </w:tc>
        <w:tc>
          <w:tcPr>
            <w:tcW w:w="6944" w:type="dxa"/>
            <w:tcBorders>
              <w:top w:val="single" w:color="auto" w:sz="4" w:space="0"/>
              <w:left w:val="single" w:color="auto" w:sz="4" w:space="0"/>
              <w:bottom w:val="single" w:color="auto" w:sz="4" w:space="0"/>
              <w:right w:val="single" w:color="auto" w:sz="4" w:space="0"/>
            </w:tcBorders>
            <w:noWrap/>
            <w:vAlign w:val="center"/>
          </w:tcPr>
          <w:p w14:paraId="4267CF3B">
            <w:pPr>
              <w:pStyle w:val="7"/>
              <w:spacing w:line="360" w:lineRule="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3年</w:t>
            </w:r>
          </w:p>
        </w:tc>
      </w:tr>
      <w:tr w14:paraId="1A947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608E5C">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支付方式</w:t>
            </w:r>
          </w:p>
        </w:tc>
        <w:tc>
          <w:tcPr>
            <w:tcW w:w="6944" w:type="dxa"/>
            <w:tcBorders>
              <w:top w:val="single" w:color="auto" w:sz="4" w:space="0"/>
              <w:left w:val="single" w:color="auto" w:sz="4" w:space="0"/>
              <w:bottom w:val="single" w:color="auto" w:sz="4" w:space="0"/>
              <w:right w:val="single" w:color="auto" w:sz="4" w:space="0"/>
            </w:tcBorders>
            <w:noWrap/>
            <w:vAlign w:val="center"/>
          </w:tcPr>
          <w:p w14:paraId="39907E10">
            <w:pPr>
              <w:pStyle w:val="7"/>
              <w:spacing w:line="360" w:lineRule="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以合同约定为准</w:t>
            </w:r>
          </w:p>
        </w:tc>
      </w:tr>
      <w:tr w14:paraId="4C61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D774F">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质量要求</w:t>
            </w:r>
          </w:p>
        </w:tc>
        <w:tc>
          <w:tcPr>
            <w:tcW w:w="6944" w:type="dxa"/>
            <w:tcBorders>
              <w:top w:val="single" w:color="auto" w:sz="4" w:space="0"/>
              <w:left w:val="single" w:color="auto" w:sz="4" w:space="0"/>
              <w:bottom w:val="single" w:color="auto" w:sz="4" w:space="0"/>
              <w:right w:val="single" w:color="auto" w:sz="4" w:space="0"/>
            </w:tcBorders>
            <w:noWrap/>
            <w:vAlign w:val="center"/>
          </w:tcPr>
          <w:p w14:paraId="1369D106">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符合国家有关法律法规及行业标准要求</w:t>
            </w:r>
          </w:p>
        </w:tc>
      </w:tr>
      <w:tr w14:paraId="1F85C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D378D22">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售后服务</w:t>
            </w:r>
          </w:p>
        </w:tc>
        <w:tc>
          <w:tcPr>
            <w:tcW w:w="6944" w:type="dxa"/>
            <w:tcBorders>
              <w:top w:val="single" w:color="auto" w:sz="4" w:space="0"/>
              <w:left w:val="single" w:color="auto" w:sz="4" w:space="0"/>
              <w:bottom w:val="single" w:color="auto" w:sz="4" w:space="0"/>
              <w:right w:val="single" w:color="auto" w:sz="4" w:space="0"/>
            </w:tcBorders>
            <w:noWrap/>
            <w:vAlign w:val="center"/>
          </w:tcPr>
          <w:p w14:paraId="5FAC3ED7">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质保期内，如发生非人为损坏情况，接到通知后需2小时内做出响应，24小时内到达现场进行维修、更换，费用全部由供应商承担。</w:t>
            </w:r>
          </w:p>
        </w:tc>
      </w:tr>
    </w:tbl>
    <w:p w14:paraId="295F280C">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2A5DEDEF">
      <w:pPr>
        <w:pStyle w:val="24"/>
        <w:rPr>
          <w:rFonts w:hint="eastAsia" w:ascii="宋体" w:hAnsi="宋体" w:eastAsia="宋体" w:cs="宋体"/>
          <w:color w:val="auto"/>
          <w:highlight w:val="none"/>
        </w:rPr>
      </w:pPr>
    </w:p>
    <w:p w14:paraId="79608783">
      <w:pPr>
        <w:pStyle w:val="24"/>
        <w:rPr>
          <w:rFonts w:hint="eastAsia" w:ascii="宋体" w:hAnsi="宋体" w:eastAsia="宋体" w:cs="宋体"/>
          <w:color w:val="auto"/>
          <w:highlight w:val="none"/>
        </w:rPr>
      </w:pPr>
    </w:p>
    <w:p w14:paraId="75B9E715">
      <w:pPr>
        <w:pStyle w:val="24"/>
        <w:rPr>
          <w:rFonts w:hint="eastAsia" w:ascii="宋体" w:hAnsi="宋体" w:eastAsia="宋体" w:cs="宋体"/>
          <w:color w:val="auto"/>
          <w:highlight w:val="none"/>
        </w:rPr>
      </w:pPr>
    </w:p>
    <w:p w14:paraId="06938D70">
      <w:pPr>
        <w:pStyle w:val="24"/>
        <w:rPr>
          <w:rFonts w:hint="eastAsia" w:ascii="宋体" w:hAnsi="宋体" w:eastAsia="宋体" w:cs="宋体"/>
          <w:color w:val="auto"/>
          <w:highlight w:val="none"/>
        </w:rPr>
      </w:pPr>
    </w:p>
    <w:p w14:paraId="70C314F7">
      <w:pPr>
        <w:pStyle w:val="24"/>
        <w:rPr>
          <w:rFonts w:hint="eastAsia" w:ascii="宋体" w:hAnsi="宋体" w:eastAsia="宋体" w:cs="宋体"/>
          <w:color w:val="auto"/>
          <w:highlight w:val="none"/>
        </w:rPr>
      </w:pPr>
    </w:p>
    <w:p w14:paraId="05361D95">
      <w:pPr>
        <w:pStyle w:val="24"/>
        <w:rPr>
          <w:rFonts w:hint="eastAsia" w:ascii="宋体" w:hAnsi="宋体" w:eastAsia="宋体" w:cs="宋体"/>
          <w:color w:val="auto"/>
          <w:highlight w:val="none"/>
        </w:rPr>
      </w:pPr>
    </w:p>
    <w:p w14:paraId="32774893">
      <w:pPr>
        <w:pStyle w:val="24"/>
        <w:rPr>
          <w:rFonts w:hint="eastAsia" w:ascii="宋体" w:hAnsi="宋体" w:eastAsia="宋体" w:cs="宋体"/>
          <w:color w:val="auto"/>
          <w:highlight w:val="none"/>
        </w:rPr>
      </w:pPr>
    </w:p>
    <w:p w14:paraId="1793ED5D">
      <w:pPr>
        <w:pStyle w:val="24"/>
        <w:rPr>
          <w:rFonts w:hint="eastAsia" w:ascii="宋体" w:hAnsi="宋体" w:eastAsia="宋体" w:cs="宋体"/>
          <w:color w:val="auto"/>
          <w:highlight w:val="none"/>
        </w:rPr>
      </w:pPr>
    </w:p>
    <w:p w14:paraId="506A07B6">
      <w:pPr>
        <w:pStyle w:val="24"/>
        <w:rPr>
          <w:rFonts w:hint="eastAsia" w:ascii="宋体" w:hAnsi="宋体" w:eastAsia="宋体" w:cs="宋体"/>
          <w:color w:val="auto"/>
          <w:highlight w:val="none"/>
        </w:rPr>
      </w:pPr>
    </w:p>
    <w:p w14:paraId="6198EDB2">
      <w:pPr>
        <w:pStyle w:val="24"/>
        <w:rPr>
          <w:rFonts w:hint="eastAsia" w:ascii="宋体" w:hAnsi="宋体" w:eastAsia="宋体" w:cs="宋体"/>
          <w:color w:val="auto"/>
          <w:highlight w:val="none"/>
        </w:rPr>
      </w:pPr>
    </w:p>
    <w:p w14:paraId="05F69E3B">
      <w:pPr>
        <w:pStyle w:val="24"/>
        <w:rPr>
          <w:rFonts w:hint="eastAsia" w:ascii="宋体" w:hAnsi="宋体" w:eastAsia="宋体" w:cs="宋体"/>
          <w:color w:val="auto"/>
          <w:highlight w:val="none"/>
        </w:rPr>
      </w:pPr>
    </w:p>
    <w:p w14:paraId="442D142F">
      <w:pPr>
        <w:pStyle w:val="24"/>
        <w:rPr>
          <w:rFonts w:hint="eastAsia" w:ascii="宋体" w:hAnsi="宋体" w:eastAsia="宋体" w:cs="宋体"/>
          <w:color w:val="auto"/>
          <w:highlight w:val="none"/>
        </w:rPr>
      </w:pPr>
    </w:p>
    <w:p w14:paraId="31FF1A8D">
      <w:pPr>
        <w:pStyle w:val="24"/>
        <w:rPr>
          <w:rFonts w:hint="eastAsia" w:ascii="宋体" w:hAnsi="宋体" w:eastAsia="宋体" w:cs="宋体"/>
          <w:color w:val="auto"/>
          <w:highlight w:val="none"/>
        </w:rPr>
      </w:pPr>
    </w:p>
    <w:p w14:paraId="6F340910">
      <w:pPr>
        <w:pStyle w:val="24"/>
        <w:rPr>
          <w:rFonts w:hint="eastAsia" w:ascii="宋体" w:hAnsi="宋体" w:eastAsia="宋体" w:cs="宋体"/>
          <w:color w:val="auto"/>
          <w:highlight w:val="none"/>
        </w:rPr>
      </w:pPr>
    </w:p>
    <w:p w14:paraId="554D0F3D">
      <w:pPr>
        <w:pStyle w:val="24"/>
        <w:rPr>
          <w:rFonts w:hint="eastAsia" w:ascii="宋体" w:hAnsi="宋体" w:eastAsia="宋体" w:cs="宋体"/>
          <w:color w:val="auto"/>
          <w:highlight w:val="none"/>
        </w:rPr>
      </w:pPr>
    </w:p>
    <w:p w14:paraId="797DC25C">
      <w:pPr>
        <w:pStyle w:val="24"/>
        <w:rPr>
          <w:rFonts w:hint="eastAsia" w:ascii="宋体" w:hAnsi="宋体" w:eastAsia="宋体" w:cs="宋体"/>
          <w:color w:val="auto"/>
          <w:highlight w:val="none"/>
        </w:rPr>
      </w:pPr>
    </w:p>
    <w:p w14:paraId="3B9F3C2F">
      <w:pPr>
        <w:pStyle w:val="24"/>
        <w:rPr>
          <w:rFonts w:hint="eastAsia" w:ascii="宋体" w:hAnsi="宋体" w:eastAsia="宋体" w:cs="宋体"/>
          <w:color w:val="auto"/>
          <w:highlight w:val="none"/>
        </w:rPr>
      </w:pPr>
    </w:p>
    <w:p w14:paraId="71B4A165">
      <w:pPr>
        <w:pStyle w:val="24"/>
        <w:rPr>
          <w:rFonts w:hint="eastAsia" w:ascii="宋体" w:hAnsi="宋体" w:eastAsia="宋体" w:cs="宋体"/>
          <w:color w:val="auto"/>
          <w:highlight w:val="none"/>
        </w:rPr>
      </w:pPr>
    </w:p>
    <w:p w14:paraId="0C1059FA">
      <w:pPr>
        <w:pStyle w:val="24"/>
        <w:rPr>
          <w:rFonts w:hint="eastAsia" w:ascii="宋体" w:hAnsi="宋体" w:eastAsia="宋体" w:cs="宋体"/>
          <w:color w:val="auto"/>
          <w:highlight w:val="none"/>
        </w:rPr>
      </w:pPr>
    </w:p>
    <w:p w14:paraId="7DCFF144">
      <w:pPr>
        <w:pStyle w:val="24"/>
        <w:rPr>
          <w:rFonts w:hint="eastAsia" w:ascii="宋体" w:hAnsi="宋体" w:eastAsia="宋体" w:cs="宋体"/>
          <w:color w:val="auto"/>
          <w:highlight w:val="none"/>
        </w:rPr>
      </w:pPr>
    </w:p>
    <w:p w14:paraId="2F5BCEEE">
      <w:pPr>
        <w:pStyle w:val="24"/>
        <w:rPr>
          <w:rFonts w:hint="eastAsia" w:ascii="宋体" w:hAnsi="宋体" w:eastAsia="宋体" w:cs="宋体"/>
          <w:color w:val="auto"/>
          <w:highlight w:val="none"/>
        </w:rPr>
      </w:pPr>
    </w:p>
    <w:p w14:paraId="6CBBB450">
      <w:pPr>
        <w:pStyle w:val="24"/>
        <w:rPr>
          <w:rFonts w:hint="eastAsia" w:ascii="宋体" w:hAnsi="宋体" w:eastAsia="宋体" w:cs="宋体"/>
          <w:color w:val="auto"/>
          <w:highlight w:val="none"/>
        </w:rPr>
      </w:pPr>
    </w:p>
    <w:p w14:paraId="32DF8103">
      <w:pPr>
        <w:pStyle w:val="24"/>
        <w:rPr>
          <w:rFonts w:hint="eastAsia" w:ascii="宋体" w:hAnsi="宋体" w:eastAsia="宋体" w:cs="宋体"/>
          <w:color w:val="auto"/>
          <w:highlight w:val="none"/>
        </w:rPr>
      </w:pPr>
    </w:p>
    <w:p w14:paraId="2B463C5D">
      <w:pPr>
        <w:pStyle w:val="24"/>
        <w:rPr>
          <w:rFonts w:hint="eastAsia" w:ascii="宋体" w:hAnsi="宋体" w:eastAsia="宋体" w:cs="宋体"/>
          <w:color w:val="auto"/>
          <w:highlight w:val="none"/>
        </w:rPr>
      </w:pPr>
    </w:p>
    <w:p w14:paraId="63C7306E">
      <w:pPr>
        <w:pStyle w:val="24"/>
        <w:rPr>
          <w:rFonts w:hint="eastAsia" w:ascii="宋体" w:hAnsi="宋体" w:eastAsia="宋体" w:cs="宋体"/>
          <w:color w:val="auto"/>
          <w:highlight w:val="none"/>
        </w:rPr>
      </w:pPr>
    </w:p>
    <w:p w14:paraId="283BE36C">
      <w:pPr>
        <w:pStyle w:val="24"/>
        <w:rPr>
          <w:rFonts w:hint="eastAsia" w:ascii="宋体" w:hAnsi="宋体" w:eastAsia="宋体" w:cs="宋体"/>
          <w:color w:val="auto"/>
          <w:highlight w:val="none"/>
        </w:rPr>
      </w:pPr>
    </w:p>
    <w:p w14:paraId="38AD19F8">
      <w:pPr>
        <w:pStyle w:val="24"/>
        <w:rPr>
          <w:rFonts w:hint="eastAsia" w:ascii="宋体" w:hAnsi="宋体" w:eastAsia="宋体" w:cs="宋体"/>
          <w:color w:val="auto"/>
          <w:highlight w:val="none"/>
        </w:rPr>
      </w:pPr>
    </w:p>
    <w:p w14:paraId="69EBE465">
      <w:pPr>
        <w:pStyle w:val="24"/>
        <w:rPr>
          <w:rFonts w:hint="eastAsia" w:ascii="宋体" w:hAnsi="宋体" w:eastAsia="宋体" w:cs="宋体"/>
          <w:color w:val="auto"/>
          <w:highlight w:val="none"/>
        </w:rPr>
      </w:pPr>
    </w:p>
    <w:p w14:paraId="667D5034">
      <w:pPr>
        <w:pStyle w:val="24"/>
        <w:rPr>
          <w:rFonts w:hint="eastAsia" w:ascii="宋体" w:hAnsi="宋体" w:eastAsia="宋体" w:cs="宋体"/>
          <w:color w:val="auto"/>
          <w:highlight w:val="none"/>
        </w:rPr>
      </w:pPr>
    </w:p>
    <w:p w14:paraId="458A7A22">
      <w:pPr>
        <w:pStyle w:val="24"/>
        <w:rPr>
          <w:rFonts w:hint="eastAsia" w:ascii="宋体" w:hAnsi="宋体" w:eastAsia="宋体" w:cs="宋体"/>
          <w:color w:val="auto"/>
          <w:highlight w:val="none"/>
        </w:r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采购预算：24.38万元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24.38万元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DCAF77E">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C957115">
      <w:pPr>
        <w:keepNext w:val="0"/>
        <w:keepLines w:val="0"/>
        <w:pageBreakBefore w:val="0"/>
        <w:widowControl/>
        <w:tabs>
          <w:tab w:val="left" w:pos="840"/>
        </w:tabs>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属于医疗器械的须符合以下要求：</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为代理商（经销商）时，须具有医疗器械经营许可证或医疗器械经营备案凭证（从事第一类医疗器械经营活动的除外）；</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不属于医疗器械</w:t>
      </w:r>
      <w:r>
        <w:rPr>
          <w:rFonts w:hint="eastAsia" w:ascii="宋体" w:hAnsi="宋体" w:cs="宋体"/>
          <w:color w:val="auto"/>
          <w:sz w:val="24"/>
          <w:szCs w:val="24"/>
          <w:highlight w:val="none"/>
          <w:shd w:val="clear" w:color="auto" w:fill="FFFFFF"/>
          <w:lang w:val="en-US" w:eastAsia="zh-CN"/>
        </w:rPr>
        <w:t>可不提供</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82" w:type="dxa"/>
            <w:gridSpan w:val="3"/>
            <w:noWrap w:val="0"/>
            <w:vAlign w:val="center"/>
          </w:tcPr>
          <w:p w14:paraId="134DF53D">
            <w:pPr>
              <w:keepNext/>
              <w:keepLines/>
              <w:pageBreakBefore w:val="0"/>
              <w:widowControl w:val="0"/>
              <w:tabs>
                <w:tab w:val="left" w:pos="3000"/>
              </w:tabs>
              <w:kinsoku/>
              <w:wordWrap w:val="0"/>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noWrap w:val="0"/>
            <w:vAlign w:val="center"/>
          </w:tcPr>
          <w:p w14:paraId="10D8338E">
            <w:pPr>
              <w:keepNext/>
              <w:keepLines/>
              <w:pageBreakBefore w:val="0"/>
              <w:widowControl w:val="0"/>
              <w:kinsoku/>
              <w:wordWrap w:val="0"/>
              <w:overflowPunct/>
              <w:topLinePunct w:val="0"/>
              <w:bidi w:val="0"/>
              <w:snapToGrid w:val="0"/>
              <w:spacing w:line="312"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keepLines/>
              <w:pageBreakBefore w:val="0"/>
              <w:widowControl w:val="0"/>
              <w:kinsoku/>
              <w:wordWrap w:val="0"/>
              <w:overflowPunct/>
              <w:topLinePunct w:val="0"/>
              <w:bidi w:val="0"/>
              <w:snapToGrid w:val="0"/>
              <w:spacing w:line="312"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keepLines/>
              <w:pageBreakBefore w:val="0"/>
              <w:widowControl w:val="0"/>
              <w:kinsoku/>
              <w:wordWrap w:val="0"/>
              <w:overflowPunct/>
              <w:topLinePunct w:val="0"/>
              <w:bidi w:val="0"/>
              <w:snapToGrid w:val="0"/>
              <w:spacing w:line="312"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keepLines/>
              <w:pageBreakBefore w:val="0"/>
              <w:widowControl w:val="0"/>
              <w:kinsoku/>
              <w:wordWrap w:val="0"/>
              <w:overflowPunct/>
              <w:topLinePunct w:val="0"/>
              <w:bidi w:val="0"/>
              <w:snapToGrid w:val="0"/>
              <w:spacing w:line="312"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keepLines/>
              <w:pageBreakBefore w:val="0"/>
              <w:widowControl w:val="0"/>
              <w:kinsoku/>
              <w:wordWrap w:val="0"/>
              <w:overflowPunct/>
              <w:topLinePunct w:val="0"/>
              <w:bidi w:val="0"/>
              <w:snapToGri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vMerge w:val="restart"/>
            <w:noWrap w:val="0"/>
            <w:vAlign w:val="center"/>
          </w:tcPr>
          <w:p w14:paraId="1252EC8F">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78965451">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二、技术要求”技术参数、性能及产品功能等的响应，所投产品全部满足磋商文件要求得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分；如得分为0，则磋商无效。 </w:t>
            </w:r>
          </w:p>
          <w:p w14:paraId="1E0237BF">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注：供应商需如实填写技术偏离表，并标注偏离情况。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39" w:type="dxa"/>
            <w:vMerge w:val="continue"/>
            <w:noWrap w:val="0"/>
            <w:vAlign w:val="center"/>
          </w:tcPr>
          <w:p w14:paraId="48595AAF">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2.产品综合评议（7分）</w:t>
            </w:r>
          </w:p>
        </w:tc>
        <w:tc>
          <w:tcPr>
            <w:tcW w:w="6770" w:type="dxa"/>
            <w:noWrap w:val="0"/>
            <w:vAlign w:val="center"/>
          </w:tcPr>
          <w:p w14:paraId="6C838128">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根据供应商所投产品整体性能量化指标进行评价，产品技术指标能够最大程度满足采购需求，且</w:t>
            </w:r>
            <w:r>
              <w:rPr>
                <w:rFonts w:hint="eastAsia" w:ascii="宋体" w:hAnsi="宋体" w:cs="宋体"/>
                <w:color w:val="auto"/>
                <w:sz w:val="24"/>
                <w:szCs w:val="24"/>
                <w:highlight w:val="none"/>
                <w:lang w:val="en-US" w:eastAsia="zh-CN"/>
              </w:rPr>
              <w:t>结构材质</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安全防护</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力学承载与稳定性、配套附件综合配置、工艺耐用性</w:t>
            </w:r>
            <w:r>
              <w:rPr>
                <w:rFonts w:hint="eastAsia" w:ascii="宋体" w:hAnsi="宋体" w:eastAsia="宋体" w:cs="宋体"/>
                <w:color w:val="auto"/>
                <w:sz w:val="24"/>
                <w:szCs w:val="24"/>
                <w:highlight w:val="none"/>
                <w:lang w:val="en-US" w:eastAsia="zh-CN"/>
              </w:rPr>
              <w:t>等产品整体性能优异的得7分；整体性能一般的得4分；整体性能较差的得1分。</w:t>
            </w:r>
          </w:p>
        </w:tc>
      </w:tr>
      <w:tr w14:paraId="69FC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vMerge w:val="continue"/>
            <w:noWrap w:val="0"/>
            <w:vAlign w:val="center"/>
          </w:tcPr>
          <w:p w14:paraId="7344BF62">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51FCCB2">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3.质量保障方案（7分）</w:t>
            </w:r>
          </w:p>
        </w:tc>
        <w:tc>
          <w:tcPr>
            <w:tcW w:w="6770" w:type="dxa"/>
            <w:noWrap w:val="0"/>
            <w:vAlign w:val="center"/>
          </w:tcPr>
          <w:p w14:paraId="23D62564">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供应商针对本项目提供货物管理措施内容包括：包含（但不限于）以下内容：①供货时间安排及保障措施；②产品质量保障措施；③人员配备及职责分工。</w:t>
            </w:r>
          </w:p>
          <w:p w14:paraId="11FDA19F">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措施具体详实、人员及工具配备合理、完全满足采购需求的得7分；</w:t>
            </w:r>
          </w:p>
          <w:p w14:paraId="7DD824A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有较具体的措施，人员配备基本合理，基本满足采购需求的得4分；</w:t>
            </w:r>
          </w:p>
          <w:p w14:paraId="67598F40">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方案内容不详细，合理性、可行性差的得1分；</w:t>
            </w:r>
          </w:p>
          <w:p w14:paraId="4F1C308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缺项得0分。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vMerge w:val="restart"/>
            <w:noWrap w:val="0"/>
            <w:vAlign w:val="center"/>
          </w:tcPr>
          <w:p w14:paraId="40AF6F81">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w:t>
            </w:r>
          </w:p>
          <w:p w14:paraId="4A559F4F">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质保期在满足采购文件的基础上，每增加一年加2分,最多加4分。</w:t>
            </w:r>
          </w:p>
          <w:p w14:paraId="0FAE2FC2">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vMerge w:val="continue"/>
            <w:noWrap w:val="0"/>
            <w:vAlign w:val="center"/>
          </w:tcPr>
          <w:p w14:paraId="108C28B2">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keepLines/>
              <w:pageBreakBefore w:val="0"/>
              <w:widowControl w:val="0"/>
              <w:kinsoku/>
              <w:wordWrap w:val="0"/>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keepLines/>
              <w:pageBreakBefore w:val="0"/>
              <w:widowControl w:val="0"/>
              <w:kinsoku/>
              <w:wordWrap w:val="0"/>
              <w:overflowPunct/>
              <w:topLinePunct w:val="0"/>
              <w:autoSpaceDE/>
              <w:autoSpaceDN/>
              <w:bidi w:val="0"/>
              <w:adjustRightInd/>
              <w:snapToGrid/>
              <w:spacing w:before="70" w:line="312"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keepLines/>
              <w:pageBreakBefore w:val="0"/>
              <w:widowControl w:val="0"/>
              <w:kinsoku/>
              <w:wordWrap w:val="0"/>
              <w:overflowPunct/>
              <w:topLinePunct w:val="0"/>
              <w:autoSpaceDE/>
              <w:autoSpaceDN/>
              <w:bidi w:val="0"/>
              <w:adjustRightInd/>
              <w:snapToGrid/>
              <w:spacing w:before="70" w:line="312"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vMerge w:val="continue"/>
            <w:noWrap w:val="0"/>
            <w:vAlign w:val="center"/>
          </w:tcPr>
          <w:p w14:paraId="4DE5B972">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keepLines/>
              <w:pageBreakBefore w:val="0"/>
              <w:widowControl w:val="0"/>
              <w:kinsoku/>
              <w:wordWrap w:val="0"/>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售后服务体系符合本项目特点，售后服务体系详尽、服务及时率高，售后服务人员专业性强经验丰富的，得6分。</w:t>
            </w:r>
          </w:p>
          <w:p w14:paraId="13235114">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售后服务体系符合本项目特点，售后服务体系比较详尽、服务及时率较高，售后服务人员专业能力较强的，得4分。</w:t>
            </w:r>
          </w:p>
          <w:p w14:paraId="6E55E27F">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售后服务体系符合本项目特点，售后服务体系一般、服务及时率低，售后服务人员专业能力一般的，得2分。</w:t>
            </w:r>
          </w:p>
          <w:p w14:paraId="7A32EF56">
            <w:pPr>
              <w:pStyle w:val="8"/>
              <w:keepNext/>
              <w:keepLines/>
              <w:pageBreakBefore w:val="0"/>
              <w:widowControl w:val="0"/>
              <w:kinsoku/>
              <w:wordWrap w:val="0"/>
              <w:overflowPunct/>
              <w:topLinePunct w:val="0"/>
              <w:autoSpaceDE/>
              <w:autoSpaceDN/>
              <w:bidi w:val="0"/>
              <w:adjustRightInd/>
              <w:spacing w:before="0" w:after="0" w:line="312" w:lineRule="auto"/>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5F8C0CCB">
            <w:pPr>
              <w:keepNext/>
              <w:keepLines/>
              <w:pageBreakBefore w:val="0"/>
              <w:widowControl w:val="0"/>
              <w:kinsoku/>
              <w:wordWrap w:val="0"/>
              <w:overflowPunct/>
              <w:topLinePunct w:val="0"/>
              <w:autoSpaceDE/>
              <w:autoSpaceDN/>
              <w:bidi w:val="0"/>
              <w:adjustRightInd/>
              <w:snapToGrid w:val="0"/>
              <w:spacing w:line="312"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9" w:type="dxa"/>
            <w:noWrap w:val="0"/>
            <w:vAlign w:val="top"/>
          </w:tcPr>
          <w:p w14:paraId="36C1BBD6">
            <w:pPr>
              <w:keepNext/>
              <w:keepLines/>
              <w:pageBreakBefore w:val="0"/>
              <w:widowControl w:val="0"/>
              <w:kinsoku/>
              <w:wordWrap w:val="0"/>
              <w:overflowPunct/>
              <w:topLinePunct w:val="0"/>
              <w:bidi w:val="0"/>
              <w:snapToGrid w:val="0"/>
              <w:spacing w:line="312"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keepLines/>
              <w:pageBreakBefore w:val="0"/>
              <w:widowControl w:val="0"/>
              <w:kinsoku/>
              <w:wordWrap w:val="0"/>
              <w:overflowPunct/>
              <w:topLinePunct w:val="0"/>
              <w:bidi w:val="0"/>
              <w:snapToGrid w:val="0"/>
              <w:spacing w:line="312"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keepLines/>
              <w:pageBreakBefore w:val="0"/>
              <w:widowControl w:val="0"/>
              <w:kinsoku/>
              <w:wordWrap w:val="0"/>
              <w:overflowPunct/>
              <w:topLinePunct w:val="0"/>
              <w:bidi w:val="0"/>
              <w:snapToGrid w:val="0"/>
              <w:spacing w:line="312"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CBBB3DD">
      <w:pPr>
        <w:rPr>
          <w:rFonts w:hint="eastAsia" w:ascii="宋体" w:hAnsi="宋体" w:eastAsia="宋体" w:cs="宋体"/>
          <w:b/>
          <w:color w:val="auto"/>
          <w:highlight w:val="none"/>
        </w:rPr>
      </w:pPr>
    </w:p>
    <w:bookmarkEnd w:id="37"/>
    <w:p w14:paraId="0013BC70">
      <w:pPr>
        <w:bidi w:val="0"/>
        <w:rPr>
          <w:rFonts w:hint="eastAsia"/>
          <w:highlight w:val="none"/>
        </w:rPr>
      </w:pPr>
      <w:bookmarkStart w:id="39" w:name="_Toc11904"/>
      <w:bookmarkStart w:id="40" w:name="_Toc1947"/>
      <w:bookmarkStart w:id="41" w:name="_Toc1482"/>
      <w:bookmarkStart w:id="42" w:name="_Toc326786897"/>
      <w:bookmarkStart w:id="43" w:name="_Toc256519703"/>
    </w:p>
    <w:p w14:paraId="1163FFFA">
      <w:pPr>
        <w:bidi w:val="0"/>
        <w:rPr>
          <w:rFonts w:hint="eastAsia"/>
          <w:highlight w:val="none"/>
        </w:rPr>
      </w:pPr>
    </w:p>
    <w:p w14:paraId="0158187F">
      <w:pPr>
        <w:bidi w:val="0"/>
        <w:rPr>
          <w:rFonts w:hint="eastAsia"/>
          <w:highlight w:val="none"/>
        </w:rPr>
      </w:pPr>
    </w:p>
    <w:p w14:paraId="0B922952">
      <w:pPr>
        <w:bidi w:val="0"/>
        <w:rPr>
          <w:rFonts w:hint="eastAsia"/>
          <w:highlight w:val="none"/>
        </w:rPr>
      </w:pPr>
    </w:p>
    <w:p w14:paraId="7AC68F1E">
      <w:pPr>
        <w:pStyle w:val="2"/>
        <w:snapToGrid w:val="0"/>
        <w:spacing w:before="0" w:after="0" w:line="480" w:lineRule="auto"/>
        <w:jc w:val="center"/>
        <w:rPr>
          <w:rFonts w:hint="eastAsia" w:ascii="宋体" w:hAnsi="宋体" w:eastAsia="宋体" w:cs="宋体"/>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5" w:h="16838"/>
          <w:pgMar w:top="1417" w:right="1417" w:bottom="1417" w:left="1417" w:header="850" w:footer="624" w:gutter="0"/>
          <w:pgNumType w:fmt="decimal"/>
          <w:cols w:space="0" w:num="1"/>
          <w:rtlGutter w:val="0"/>
          <w:docGrid w:type="lines" w:linePitch="326"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8940" w:type="dxa"/>
        <w:tblInd w:w="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5"/>
        <w:gridCol w:w="1349"/>
        <w:gridCol w:w="2190"/>
        <w:gridCol w:w="1471"/>
        <w:gridCol w:w="1560"/>
        <w:gridCol w:w="160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65"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49"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71"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605" w:type="dxa"/>
            <w:noWrap w:val="0"/>
            <w:vAlign w:val="center"/>
          </w:tcPr>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5"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9"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1"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0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65"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9"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1"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0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65"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9"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1"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0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042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2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1440"/>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870"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44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87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40"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870"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44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870"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440"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870"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440"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870"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440"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870"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440"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cs="宋体"/>
          <w:b/>
          <w:bCs w:val="0"/>
          <w:color w:val="auto"/>
          <w:sz w:val="24"/>
          <w:szCs w:val="24"/>
          <w:highlight w:val="none"/>
          <w:lang w:val="en-US" w:eastAsia="zh-CN"/>
        </w:rPr>
        <w:t>评分标准中需提供的证明材料</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65DF26-A68B-43D7-97BF-F7C8D49CBC2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7E05E17E-E9F0-42C5-9905-A5C2E71BAF09}"/>
  </w:font>
  <w:font w:name="仿宋_GB2312">
    <w:panose1 w:val="02010609030101010101"/>
    <w:charset w:val="86"/>
    <w:family w:val="auto"/>
    <w:pitch w:val="default"/>
    <w:sig w:usb0="00000001" w:usb1="080E0000" w:usb2="00000000" w:usb3="00000000" w:csb0="00040000" w:csb1="00000000"/>
    <w:embedRegular r:id="rId3" w:fontKey="{60A5C8A9-B74E-4C59-91D3-F05C8BB985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驻马店市中心医院康复医学科病床和床头柜采购项目采购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688F"/>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3D3232"/>
    <w:rsid w:val="014F79E1"/>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4F3280B"/>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580A77"/>
    <w:rsid w:val="066469C9"/>
    <w:rsid w:val="066646A1"/>
    <w:rsid w:val="066A7CAA"/>
    <w:rsid w:val="066E164D"/>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4764"/>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9F4FBD"/>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1C1C44"/>
    <w:rsid w:val="0A2543E3"/>
    <w:rsid w:val="0A287A2F"/>
    <w:rsid w:val="0A321AC2"/>
    <w:rsid w:val="0A343D4E"/>
    <w:rsid w:val="0A344626"/>
    <w:rsid w:val="0A357AEC"/>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0243"/>
    <w:rsid w:val="10425FF6"/>
    <w:rsid w:val="1055396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1B1048"/>
    <w:rsid w:val="17233E03"/>
    <w:rsid w:val="17263548"/>
    <w:rsid w:val="17332185"/>
    <w:rsid w:val="17475951"/>
    <w:rsid w:val="175B7696"/>
    <w:rsid w:val="175C542D"/>
    <w:rsid w:val="175D0ED4"/>
    <w:rsid w:val="1767428D"/>
    <w:rsid w:val="17793FC0"/>
    <w:rsid w:val="17810AC7"/>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C0209"/>
    <w:rsid w:val="1AAE3B54"/>
    <w:rsid w:val="1AC10987"/>
    <w:rsid w:val="1AD81468"/>
    <w:rsid w:val="1AEB6F83"/>
    <w:rsid w:val="1AF423FA"/>
    <w:rsid w:val="1B0C5B32"/>
    <w:rsid w:val="1B0D3E82"/>
    <w:rsid w:val="1B1464DA"/>
    <w:rsid w:val="1B1652AB"/>
    <w:rsid w:val="1B181CD5"/>
    <w:rsid w:val="1B265306"/>
    <w:rsid w:val="1B2B2BC5"/>
    <w:rsid w:val="1B4346C9"/>
    <w:rsid w:val="1B486183"/>
    <w:rsid w:val="1B4F2450"/>
    <w:rsid w:val="1B50619C"/>
    <w:rsid w:val="1B530868"/>
    <w:rsid w:val="1B6573E8"/>
    <w:rsid w:val="1B6922A5"/>
    <w:rsid w:val="1B721452"/>
    <w:rsid w:val="1B8C18B7"/>
    <w:rsid w:val="1BA333BA"/>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BA4E5F"/>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0F36AA"/>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A41C3A"/>
    <w:rsid w:val="21B77AC4"/>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4D10"/>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A59E2"/>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46CDE"/>
    <w:rsid w:val="299573AB"/>
    <w:rsid w:val="29B05804"/>
    <w:rsid w:val="29BD1AEA"/>
    <w:rsid w:val="29BE5BD0"/>
    <w:rsid w:val="29C01572"/>
    <w:rsid w:val="29C25353"/>
    <w:rsid w:val="29C966E1"/>
    <w:rsid w:val="29CA4207"/>
    <w:rsid w:val="29D82DC8"/>
    <w:rsid w:val="29DA08EE"/>
    <w:rsid w:val="29DB6414"/>
    <w:rsid w:val="29E74CE2"/>
    <w:rsid w:val="2A133E00"/>
    <w:rsid w:val="2A236931"/>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DE6947"/>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B6DE3"/>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8F65D6"/>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A395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42E96"/>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EC6FB9"/>
    <w:rsid w:val="41FF3845"/>
    <w:rsid w:val="420A743F"/>
    <w:rsid w:val="420E33D3"/>
    <w:rsid w:val="42101488"/>
    <w:rsid w:val="421104A9"/>
    <w:rsid w:val="42143B88"/>
    <w:rsid w:val="42164586"/>
    <w:rsid w:val="42220C2D"/>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0172F"/>
    <w:rsid w:val="4B9802B0"/>
    <w:rsid w:val="4B9E65BE"/>
    <w:rsid w:val="4B9F33A8"/>
    <w:rsid w:val="4BA80AFD"/>
    <w:rsid w:val="4BB033BA"/>
    <w:rsid w:val="4BB469AD"/>
    <w:rsid w:val="4BC06040"/>
    <w:rsid w:val="4BC66ACD"/>
    <w:rsid w:val="4BCF5981"/>
    <w:rsid w:val="4BD846DB"/>
    <w:rsid w:val="4BF441D2"/>
    <w:rsid w:val="4C0513A3"/>
    <w:rsid w:val="4C17236E"/>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01203"/>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B6198C"/>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8B5E3D"/>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6E2BE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A7B30"/>
    <w:rsid w:val="604B1BEB"/>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900B2E"/>
    <w:rsid w:val="62A20409"/>
    <w:rsid w:val="62A97991"/>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937E6"/>
    <w:rsid w:val="641F42FB"/>
    <w:rsid w:val="643F32F9"/>
    <w:rsid w:val="644064CE"/>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844CB"/>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2598D"/>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53576D"/>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B1D9A"/>
    <w:rsid w:val="717048B4"/>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8214A6"/>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6D1458"/>
    <w:rsid w:val="73737DA5"/>
    <w:rsid w:val="73740A39"/>
    <w:rsid w:val="73783823"/>
    <w:rsid w:val="73887B3E"/>
    <w:rsid w:val="73892412"/>
    <w:rsid w:val="738E13CF"/>
    <w:rsid w:val="73AF2114"/>
    <w:rsid w:val="73AF381F"/>
    <w:rsid w:val="73D47729"/>
    <w:rsid w:val="73E96BCA"/>
    <w:rsid w:val="73EE4A6E"/>
    <w:rsid w:val="73FD5702"/>
    <w:rsid w:val="741048BC"/>
    <w:rsid w:val="7419513C"/>
    <w:rsid w:val="742E78D4"/>
    <w:rsid w:val="74317498"/>
    <w:rsid w:val="74335A84"/>
    <w:rsid w:val="74367A9C"/>
    <w:rsid w:val="743A6A13"/>
    <w:rsid w:val="744A12F3"/>
    <w:rsid w:val="74676A28"/>
    <w:rsid w:val="747131CA"/>
    <w:rsid w:val="74714F78"/>
    <w:rsid w:val="747E40B6"/>
    <w:rsid w:val="74AA2238"/>
    <w:rsid w:val="74AC3224"/>
    <w:rsid w:val="74B21065"/>
    <w:rsid w:val="74BB2C83"/>
    <w:rsid w:val="74C01A5C"/>
    <w:rsid w:val="74C0380A"/>
    <w:rsid w:val="74C33758"/>
    <w:rsid w:val="74CF0AF0"/>
    <w:rsid w:val="74D476FB"/>
    <w:rsid w:val="74D72451"/>
    <w:rsid w:val="74DE4E5F"/>
    <w:rsid w:val="74EB4D2A"/>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63116"/>
    <w:rsid w:val="76BB1CAB"/>
    <w:rsid w:val="76C04050"/>
    <w:rsid w:val="76C05D43"/>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352563"/>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706AD"/>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7750F6"/>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11791</Words>
  <Characters>12393</Characters>
  <Lines>50</Lines>
  <Paragraphs>68</Paragraphs>
  <TotalTime>0</TotalTime>
  <ScaleCrop>false</ScaleCrop>
  <LinksUpToDate>false</LinksUpToDate>
  <CharactersWithSpaces>13351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2026-07-02T09:00:04Z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17E362B310CD43899D3B6B4018E6D8E0_13</vt:lpwstr>
  </property>
  <property fmtid="{D5CDD505-2E9C-101B-9397-08002B2CF9AE}" pid="4" name="KSOTemplateDocerSaveRecord">
    <vt:lpwstr>eyJoZGlkIjoiMzU0MTZjMjFkMjFjOGMwYTIzNWEzZDljNjYxZWI0MmYiLCJ1c2VySWQiOiIxNjg0NTc5MjM2In0=</vt:lpwstr>
  </property>
</Properties>
</file>