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204FDD">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黑体" w:hAnsi="黑体" w:eastAsia="黑体" w:cs="黑体"/>
          <w:b/>
          <w:bCs/>
          <w:color w:val="auto"/>
          <w:sz w:val="52"/>
          <w:szCs w:val="52"/>
          <w:highlight w:val="none"/>
          <w:lang w:val="en-US" w:eastAsia="zh-CN"/>
        </w:rPr>
      </w:pPr>
    </w:p>
    <w:p w14:paraId="46DE3356">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黑体" w:hAnsi="黑体" w:eastAsia="黑体" w:cs="黑体"/>
          <w:b/>
          <w:bCs/>
          <w:color w:val="auto"/>
          <w:sz w:val="52"/>
          <w:szCs w:val="52"/>
          <w:highlight w:val="none"/>
          <w:lang w:val="en-US" w:eastAsia="zh-CN"/>
        </w:rPr>
      </w:pPr>
      <w:r>
        <w:rPr>
          <w:rFonts w:hint="eastAsia" w:ascii="黑体" w:hAnsi="黑体" w:eastAsia="黑体" w:cs="黑体"/>
          <w:b/>
          <w:bCs/>
          <w:color w:val="auto"/>
          <w:sz w:val="52"/>
          <w:szCs w:val="52"/>
          <w:highlight w:val="none"/>
          <w:lang w:val="en-US" w:eastAsia="zh-CN"/>
        </w:rPr>
        <w:t>驻马店市中心医院静配中心岩棉彩钢</w:t>
      </w: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黑体" w:hAnsi="黑体" w:eastAsia="黑体" w:cs="黑体"/>
          <w:b/>
          <w:bCs/>
          <w:color w:val="auto"/>
          <w:sz w:val="52"/>
          <w:szCs w:val="52"/>
          <w:highlight w:val="none"/>
          <w:lang w:val="en-US" w:eastAsia="zh-CN"/>
        </w:rPr>
      </w:pPr>
      <w:r>
        <w:rPr>
          <w:rFonts w:hint="eastAsia" w:ascii="黑体" w:hAnsi="黑体" w:eastAsia="黑体" w:cs="黑体"/>
          <w:b/>
          <w:bCs/>
          <w:color w:val="auto"/>
          <w:sz w:val="52"/>
          <w:szCs w:val="52"/>
          <w:highlight w:val="none"/>
          <w:lang w:val="en-US" w:eastAsia="zh-CN"/>
        </w:rPr>
        <w:t>屋面更换项目</w:t>
      </w:r>
    </w:p>
    <w:p w14:paraId="43B7407E">
      <w:pPr>
        <w:pStyle w:val="20"/>
        <w:bidi w:val="0"/>
        <w:jc w:val="center"/>
        <w:rPr>
          <w:rStyle w:val="45"/>
          <w:rFonts w:hint="eastAsia" w:ascii="黑体" w:hAnsi="黑体" w:eastAsia="黑体" w:cs="黑体"/>
          <w:b/>
          <w:bCs/>
          <w:color w:val="auto"/>
          <w:sz w:val="44"/>
          <w:szCs w:val="44"/>
          <w:highlight w:val="none"/>
          <w:lang w:val="en-US" w:eastAsia="zh-CN"/>
        </w:rPr>
      </w:pPr>
    </w:p>
    <w:p w14:paraId="741B670E">
      <w:pPr>
        <w:pStyle w:val="20"/>
        <w:bidi w:val="0"/>
        <w:jc w:val="both"/>
        <w:rPr>
          <w:rStyle w:val="45"/>
          <w:rFonts w:hint="eastAsia" w:ascii="黑体" w:hAnsi="黑体" w:eastAsia="黑体" w:cs="黑体"/>
          <w:b/>
          <w:bCs/>
          <w:color w:val="auto"/>
          <w:sz w:val="44"/>
          <w:szCs w:val="44"/>
          <w:highlight w:val="none"/>
          <w:lang w:val="en-US" w:eastAsia="zh-CN"/>
        </w:rPr>
      </w:pPr>
    </w:p>
    <w:p w14:paraId="72164425">
      <w:pPr>
        <w:pStyle w:val="20"/>
        <w:bidi w:val="0"/>
        <w:jc w:val="center"/>
        <w:rPr>
          <w:rStyle w:val="45"/>
          <w:rFonts w:hint="eastAsia" w:ascii="黑体" w:hAnsi="黑体" w:eastAsia="黑体" w:cs="黑体"/>
          <w:b/>
          <w:bCs/>
          <w:color w:val="auto"/>
          <w:sz w:val="56"/>
          <w:szCs w:val="56"/>
          <w:highlight w:val="none"/>
        </w:rPr>
      </w:pPr>
      <w:r>
        <w:rPr>
          <w:rStyle w:val="45"/>
          <w:rFonts w:hint="eastAsia" w:ascii="黑体" w:hAnsi="黑体" w:eastAsia="黑体" w:cs="黑体"/>
          <w:b/>
          <w:bCs/>
          <w:color w:val="auto"/>
          <w:sz w:val="56"/>
          <w:szCs w:val="56"/>
          <w:highlight w:val="none"/>
          <w:lang w:val="en-US" w:eastAsia="zh-CN"/>
        </w:rPr>
        <w:t>竞争性磋商</w:t>
      </w:r>
      <w:r>
        <w:rPr>
          <w:rStyle w:val="45"/>
          <w:rFonts w:hint="eastAsia" w:ascii="黑体" w:hAnsi="黑体" w:eastAsia="黑体" w:cs="黑体"/>
          <w:b/>
          <w:bCs/>
          <w:color w:val="auto"/>
          <w:sz w:val="56"/>
          <w:szCs w:val="56"/>
          <w:highlight w:val="none"/>
        </w:rPr>
        <w:t>文件</w:t>
      </w:r>
    </w:p>
    <w:p w14:paraId="44E388B3">
      <w:pPr>
        <w:pStyle w:val="20"/>
        <w:bidi w:val="0"/>
        <w:jc w:val="center"/>
        <w:rPr>
          <w:rStyle w:val="45"/>
          <w:rFonts w:hint="eastAsia" w:ascii="黑体" w:hAnsi="黑体" w:eastAsia="黑体" w:cs="黑体"/>
          <w:b/>
          <w:bCs/>
          <w:color w:val="auto"/>
          <w:sz w:val="48"/>
          <w:szCs w:val="48"/>
          <w:highlight w:val="none"/>
        </w:rPr>
      </w:pPr>
    </w:p>
    <w:p w14:paraId="373AB516">
      <w:pPr>
        <w:pStyle w:val="20"/>
        <w:bidi w:val="0"/>
        <w:jc w:val="both"/>
        <w:rPr>
          <w:rStyle w:val="45"/>
          <w:rFonts w:hint="eastAsia" w:ascii="黑体" w:hAnsi="黑体" w:eastAsia="黑体" w:cs="黑体"/>
          <w:b/>
          <w:bCs/>
          <w:color w:val="auto"/>
          <w:sz w:val="48"/>
          <w:szCs w:val="48"/>
          <w:highlight w:val="none"/>
        </w:rPr>
      </w:pPr>
    </w:p>
    <w:p w14:paraId="5BC17445">
      <w:pPr>
        <w:pStyle w:val="20"/>
        <w:bidi w:val="0"/>
        <w:jc w:val="both"/>
        <w:rPr>
          <w:rStyle w:val="45"/>
          <w:rFonts w:hint="eastAsia" w:ascii="黑体" w:hAnsi="黑体" w:eastAsia="黑体" w:cs="黑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黑体" w:hAnsi="黑体" w:eastAsia="黑体" w:cs="黑体"/>
          <w:b/>
          <w:bCs/>
          <w:color w:val="auto"/>
          <w:spacing w:val="-10"/>
          <w:sz w:val="34"/>
          <w:szCs w:val="34"/>
          <w:highlight w:val="none"/>
          <w:lang w:val="en-US" w:eastAsia="zh-CN"/>
        </w:rPr>
      </w:pPr>
    </w:p>
    <w:p w14:paraId="6AF49CDD">
      <w:pPr>
        <w:tabs>
          <w:tab w:val="left" w:pos="2700"/>
          <w:tab w:val="left" w:pos="2880"/>
          <w:tab w:val="left" w:pos="3060"/>
          <w:tab w:val="left" w:pos="7560"/>
        </w:tabs>
        <w:snapToGrid w:val="0"/>
        <w:spacing w:line="480" w:lineRule="auto"/>
        <w:rPr>
          <w:rFonts w:hint="eastAsia" w:ascii="黑体" w:hAnsi="黑体" w:eastAsia="黑体" w:cs="黑体"/>
          <w:b/>
          <w:bCs/>
          <w:color w:val="auto"/>
          <w:spacing w:val="-10"/>
          <w:sz w:val="34"/>
          <w:szCs w:val="34"/>
          <w:highlight w:val="none"/>
          <w:lang w:val="en-US" w:eastAsia="zh-CN"/>
        </w:rPr>
      </w:pPr>
    </w:p>
    <w:p w14:paraId="4A77DC1E">
      <w:pPr>
        <w:tabs>
          <w:tab w:val="left" w:pos="2700"/>
          <w:tab w:val="left" w:pos="2880"/>
          <w:tab w:val="left" w:pos="3060"/>
          <w:tab w:val="left" w:pos="7560"/>
        </w:tabs>
        <w:snapToGrid w:val="0"/>
        <w:spacing w:line="480" w:lineRule="auto"/>
        <w:ind w:firstLine="1928" w:firstLineChars="600"/>
        <w:rPr>
          <w:rFonts w:hint="eastAsia" w:ascii="黑体" w:hAnsi="黑体" w:eastAsia="黑体" w:cs="黑体"/>
          <w:b/>
          <w:bCs/>
          <w:color w:val="auto"/>
          <w:spacing w:val="-10"/>
          <w:sz w:val="34"/>
          <w:szCs w:val="34"/>
          <w:highlight w:val="none"/>
          <w:lang w:val="en-US" w:eastAsia="zh-CN"/>
        </w:rPr>
      </w:pPr>
      <w:r>
        <w:rPr>
          <w:rFonts w:hint="eastAsia" w:ascii="黑体" w:hAnsi="黑体" w:eastAsia="黑体" w:cs="黑体"/>
          <w:b/>
          <w:bCs/>
          <w:color w:val="auto"/>
          <w:spacing w:val="-10"/>
          <w:sz w:val="34"/>
          <w:szCs w:val="34"/>
          <w:highlight w:val="none"/>
          <w:lang w:val="en-US" w:eastAsia="zh-CN"/>
        </w:rPr>
        <w:t>采   购   人：驻马店市中心医院</w:t>
      </w:r>
    </w:p>
    <w:p w14:paraId="74FC6814">
      <w:pPr>
        <w:tabs>
          <w:tab w:val="left" w:pos="2700"/>
          <w:tab w:val="left" w:pos="2880"/>
          <w:tab w:val="left" w:pos="3060"/>
          <w:tab w:val="left" w:pos="7560"/>
        </w:tabs>
        <w:snapToGrid w:val="0"/>
        <w:spacing w:line="480" w:lineRule="auto"/>
        <w:ind w:firstLine="1928" w:firstLineChars="600"/>
        <w:rPr>
          <w:rFonts w:hint="eastAsia" w:ascii="黑体" w:hAnsi="黑体" w:eastAsia="黑体" w:cs="黑体"/>
          <w:b/>
          <w:bCs/>
          <w:color w:val="auto"/>
          <w:spacing w:val="-10"/>
          <w:sz w:val="34"/>
          <w:szCs w:val="34"/>
          <w:highlight w:val="none"/>
          <w:lang w:val="en-US" w:eastAsia="zh-CN"/>
        </w:rPr>
      </w:pPr>
      <w:r>
        <w:rPr>
          <w:rFonts w:hint="eastAsia" w:ascii="黑体" w:hAnsi="黑体" w:eastAsia="黑体" w:cs="黑体"/>
          <w:b/>
          <w:bCs/>
          <w:color w:val="auto"/>
          <w:spacing w:val="-10"/>
          <w:sz w:val="34"/>
          <w:szCs w:val="34"/>
          <w:highlight w:val="none"/>
          <w:lang w:val="en-US" w:eastAsia="zh-CN"/>
        </w:rPr>
        <w:t>采购代理机构：铭信工程咨询有限公司</w:t>
      </w:r>
    </w:p>
    <w:p w14:paraId="43C6E84C">
      <w:pPr>
        <w:tabs>
          <w:tab w:val="left" w:pos="2700"/>
          <w:tab w:val="left" w:pos="2880"/>
          <w:tab w:val="left" w:pos="3060"/>
          <w:tab w:val="left" w:pos="7560"/>
        </w:tabs>
        <w:snapToGrid w:val="0"/>
        <w:spacing w:line="480" w:lineRule="auto"/>
        <w:ind w:firstLine="1928" w:firstLineChars="600"/>
        <w:jc w:val="both"/>
        <w:rPr>
          <w:rFonts w:hint="eastAsia" w:ascii="黑体" w:hAnsi="黑体" w:eastAsia="黑体" w:cs="黑体"/>
          <w:b/>
          <w:bCs/>
          <w:color w:val="auto"/>
          <w:spacing w:val="-10"/>
          <w:sz w:val="34"/>
          <w:szCs w:val="34"/>
          <w:highlight w:val="none"/>
          <w:lang w:val="en-US" w:eastAsia="zh-CN"/>
        </w:rPr>
      </w:pPr>
      <w:r>
        <w:rPr>
          <w:rFonts w:hint="eastAsia" w:ascii="黑体" w:hAnsi="黑体" w:eastAsia="黑体" w:cs="黑体"/>
          <w:b/>
          <w:bCs/>
          <w:color w:val="auto"/>
          <w:spacing w:val="-10"/>
          <w:sz w:val="34"/>
          <w:szCs w:val="34"/>
          <w:highlight w:val="none"/>
          <w:lang w:val="en-US" w:eastAsia="zh-CN"/>
        </w:rPr>
        <w:t>日        期：2026年07月</w:t>
      </w:r>
    </w:p>
    <w:p w14:paraId="12EE3BF9">
      <w:pPr>
        <w:tabs>
          <w:tab w:val="left" w:pos="2505"/>
          <w:tab w:val="center" w:pos="4535"/>
        </w:tabs>
        <w:snapToGrid w:val="0"/>
        <w:spacing w:line="480" w:lineRule="auto"/>
        <w:jc w:val="center"/>
        <w:rPr>
          <w:rFonts w:hint="eastAsia" w:ascii="黑体" w:hAnsi="黑体" w:eastAsia="黑体" w:cs="黑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TOC \o "1-1" \h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_Toc26528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_Toc26528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_Toc19124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 xml:space="preserve">第二章  </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_Toc19124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_Toc8501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 xml:space="preserve">第三章  </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_Toc8501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_Toc31399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kern w:val="0"/>
          <w:sz w:val="24"/>
          <w:szCs w:val="24"/>
          <w:highlight w:val="none"/>
        </w:rPr>
        <w:t>第四章  评标办法及评分标准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_Toc31399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_Toc11904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第五章  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_Toc11904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_Toc18702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_Toc18702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 w:val="24"/>
          <w:szCs w:val="24"/>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0"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0"/>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驻马店市中心医院静配中心岩棉彩钢屋面更换项目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lang w:val="en-US" w:eastAsia="zh-CN"/>
        </w:rPr>
        <w:t>静配中心岩棉彩钢屋面更换项目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驻马店市中心医院静配中心岩棉彩钢屋面更换项目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w:t>
      </w:r>
      <w:r>
        <w:rPr>
          <w:rFonts w:hint="eastAsia" w:ascii="宋体" w:hAnsi="宋体" w:cs="宋体"/>
          <w:color w:val="auto"/>
          <w:sz w:val="24"/>
          <w:szCs w:val="24"/>
          <w:highlight w:val="none"/>
          <w:shd w:val="clear" w:color="auto" w:fill="FFFFFF"/>
          <w:lang w:eastAsia="zh-CN"/>
        </w:rPr>
        <w:t>内容</w:t>
      </w:r>
      <w:r>
        <w:rPr>
          <w:rFonts w:hint="eastAsia" w:ascii="宋体" w:hAnsi="宋体" w:eastAsia="宋体" w:cs="宋体"/>
          <w:color w:val="auto"/>
          <w:sz w:val="24"/>
          <w:szCs w:val="24"/>
          <w:highlight w:val="none"/>
          <w:shd w:val="clear" w:color="auto" w:fill="FFFFFF"/>
          <w:lang w:eastAsia="zh-CN"/>
        </w:rPr>
        <w:t>详见图纸及工程量清单；</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1"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13.12万元</w:t>
      </w:r>
      <w:r>
        <w:rPr>
          <w:rFonts w:hint="eastAsia" w:ascii="宋体" w:hAnsi="宋体" w:cs="宋体"/>
          <w:color w:val="auto"/>
          <w:sz w:val="24"/>
          <w:szCs w:val="24"/>
          <w:highlight w:val="none"/>
          <w:shd w:val="clear" w:color="auto" w:fill="FFFFFF"/>
          <w:lang w:val="en-US" w:eastAsia="zh-CN"/>
        </w:rPr>
        <w:t>；</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4、工期</w:t>
      </w:r>
      <w:r>
        <w:rPr>
          <w:rFonts w:hint="eastAsia" w:ascii="宋体" w:hAnsi="宋体" w:cs="宋体"/>
          <w:color w:val="auto"/>
          <w:sz w:val="24"/>
          <w:szCs w:val="24"/>
          <w:highlight w:val="none"/>
          <w:shd w:val="clear" w:color="auto" w:fill="FFFFFF"/>
          <w:lang w:val="en-US" w:eastAsia="zh-CN"/>
        </w:rPr>
        <w:t>：15日历天，起止时间按照合同约定；</w:t>
      </w:r>
    </w:p>
    <w:p w14:paraId="782B970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5、质量要求：工程质量必须达到合格</w:t>
      </w:r>
      <w:r>
        <w:rPr>
          <w:rFonts w:hint="eastAsia" w:ascii="宋体" w:hAnsi="宋体" w:cs="宋体"/>
          <w:color w:val="auto"/>
          <w:sz w:val="24"/>
          <w:szCs w:val="24"/>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2" w:name="_Toc18607"/>
      <w:bookmarkStart w:id="3" w:name="_Toc27704"/>
      <w:bookmarkStart w:id="4" w:name="_Toc16639"/>
      <w:bookmarkStart w:id="5" w:name="_Toc23626"/>
      <w:r>
        <w:rPr>
          <w:rFonts w:hint="eastAsia" w:ascii="宋体" w:hAnsi="宋体" w:eastAsia="宋体" w:cs="宋体"/>
          <w:b/>
          <w:bCs/>
          <w:color w:val="auto"/>
          <w:kern w:val="2"/>
          <w:sz w:val="24"/>
          <w:szCs w:val="24"/>
          <w:highlight w:val="none"/>
          <w:shd w:val="clear" w:color="auto" w:fill="FFFFFF"/>
          <w:lang w:val="en-US" w:eastAsia="zh-CN" w:bidi="ar-SA"/>
        </w:rPr>
        <w:t>二、</w:t>
      </w:r>
      <w:bookmarkEnd w:id="1"/>
      <w:bookmarkEnd w:id="2"/>
      <w:bookmarkEnd w:id="3"/>
      <w:bookmarkEnd w:id="4"/>
      <w:bookmarkEnd w:id="5"/>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6" w:name="_Toc9562"/>
      <w:bookmarkStart w:id="7" w:name="_Toc23395"/>
      <w:bookmarkStart w:id="8" w:name="_Toc30971"/>
      <w:bookmarkStart w:id="9" w:name="_Toc30643"/>
      <w:bookmarkStart w:id="10" w:name="_Toc782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B42522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7495189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p>
    <w:p w14:paraId="536449C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 供应商须具有建设行政主管部门颁发的建筑装饰装修工程专业承包贰级及以上（含贰级），具有有效的企业安全生产许可证；拟派项目负责人须具有贰级及以上（含贰级）建筑工程专业注册建造师资格，且具备有效的安全生产考核合格证书。</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6"/>
      <w:bookmarkEnd w:id="7"/>
      <w:bookmarkEnd w:id="8"/>
      <w:bookmarkEnd w:id="9"/>
      <w:bookmarkEnd w:id="10"/>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14</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16</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1434088236@qq.com,,并标明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1" w:name="_Toc10738"/>
      <w:bookmarkStart w:id="12" w:name="_Toc25869"/>
      <w:bookmarkStart w:id="13" w:name="_Toc15111"/>
      <w:bookmarkStart w:id="14" w:name="_Toc15135"/>
      <w:bookmarkStart w:id="15" w:name="_Toc27480"/>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1"/>
      <w:bookmarkEnd w:id="12"/>
      <w:bookmarkEnd w:id="13"/>
      <w:bookmarkEnd w:id="14"/>
      <w:bookmarkEnd w:id="15"/>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6" w:name="_Toc29784"/>
      <w:bookmarkStart w:id="17" w:name="_Toc6523"/>
      <w:bookmarkStart w:id="18" w:name="_Toc20287"/>
      <w:bookmarkStart w:id="19" w:name="_Toc30918"/>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6"/>
      <w:bookmarkEnd w:id="17"/>
      <w:bookmarkEnd w:id="18"/>
      <w:bookmarkEnd w:id="19"/>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0" w:name="_Toc35393795"/>
      <w:bookmarkStart w:id="21" w:name="_Toc35393626"/>
    </w:p>
    <w:bookmarkEnd w:id="20"/>
    <w:bookmarkEnd w:id="21"/>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2" w:name="_Toc24274"/>
      <w:bookmarkStart w:id="23" w:name="_Toc27370"/>
      <w:bookmarkStart w:id="24" w:name="_Toc16291"/>
      <w:bookmarkStart w:id="25" w:name="_Toc31928"/>
      <w:bookmarkStart w:id="26" w:name="_Toc3604"/>
      <w:r>
        <w:rPr>
          <w:rFonts w:hint="eastAsia" w:ascii="宋体" w:hAnsi="宋体" w:eastAsia="宋体" w:cs="宋体"/>
          <w:b/>
          <w:bCs/>
          <w:color w:val="auto"/>
          <w:kern w:val="2"/>
          <w:sz w:val="24"/>
          <w:szCs w:val="24"/>
          <w:highlight w:val="none"/>
          <w:shd w:val="clear" w:color="auto" w:fill="FFFFFF"/>
          <w:lang w:val="en-US" w:eastAsia="zh-CN" w:bidi="ar-SA"/>
        </w:rPr>
        <w:t>七、</w:t>
      </w:r>
      <w:bookmarkEnd w:id="22"/>
      <w:bookmarkEnd w:id="23"/>
      <w:bookmarkEnd w:id="24"/>
      <w:bookmarkEnd w:id="25"/>
      <w:bookmarkEnd w:id="26"/>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24C80BE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2.采购代理机构：铭信工程咨询有限公司</w:t>
      </w:r>
    </w:p>
    <w:p w14:paraId="1E3B206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地址：郑州市郑东新区平安大道201号博雅广场4号楼1006室</w:t>
      </w:r>
    </w:p>
    <w:p w14:paraId="643A3BE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联系人：米先生</w:t>
      </w:r>
    </w:p>
    <w:p w14:paraId="053D9FC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联系方式：18239603376</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0000FF"/>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13</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7" w:name="_Toc23793"/>
      <w:bookmarkStart w:id="28"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29"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29"/>
      <w:bookmarkStart w:id="30" w:name="_Toc23610"/>
      <w:bookmarkStart w:id="31" w:name="_Toc9989"/>
      <w:bookmarkStart w:id="32" w:name="_Toc31536"/>
    </w:p>
    <w:bookmarkEnd w:id="27"/>
    <w:bookmarkEnd w:id="28"/>
    <w:bookmarkEnd w:id="30"/>
    <w:bookmarkEnd w:id="31"/>
    <w:bookmarkEnd w:id="32"/>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b w:val="0"/>
          <w:bCs w:val="0"/>
          <w:i w:val="0"/>
          <w:iCs/>
          <w:color w:val="auto"/>
          <w:sz w:val="24"/>
          <w:szCs w:val="24"/>
          <w:highlight w:val="none"/>
          <w:u w:val="none"/>
          <w:lang w:val="en-US" w:eastAsia="zh-CN"/>
        </w:rPr>
        <w:t>驻马店市中心医院静配中心岩棉彩钢屋面更换项目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7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3185"/>
        <w:gridCol w:w="2175"/>
        <w:gridCol w:w="1540"/>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915"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3185"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工程</w:t>
            </w:r>
            <w:r>
              <w:rPr>
                <w:rFonts w:hint="eastAsia" w:ascii="宋体" w:hAnsi="宋体" w:eastAsia="宋体" w:cs="宋体"/>
                <w:b/>
                <w:bCs/>
                <w:color w:val="auto"/>
                <w:sz w:val="24"/>
                <w:szCs w:val="24"/>
                <w:highlight w:val="none"/>
              </w:rPr>
              <w:t>名称</w:t>
            </w:r>
          </w:p>
        </w:tc>
        <w:tc>
          <w:tcPr>
            <w:tcW w:w="2175"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540"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3185"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静配中心岩棉彩钢屋面更换项目</w:t>
            </w:r>
          </w:p>
        </w:tc>
        <w:tc>
          <w:tcPr>
            <w:tcW w:w="217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13.12万元</w:t>
            </w:r>
          </w:p>
        </w:tc>
        <w:tc>
          <w:tcPr>
            <w:tcW w:w="154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自筹</w:t>
            </w:r>
          </w:p>
        </w:tc>
      </w:tr>
      <w:tr w14:paraId="1193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shd w:val="clear" w:color="auto" w:fill="auto"/>
            <w:vAlign w:val="center"/>
          </w:tcPr>
          <w:p w14:paraId="7C8ABF4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备注</w:t>
            </w:r>
          </w:p>
        </w:tc>
        <w:tc>
          <w:tcPr>
            <w:tcW w:w="6900" w:type="dxa"/>
            <w:gridSpan w:val="3"/>
            <w:shd w:val="clear" w:color="auto" w:fill="auto"/>
            <w:vAlign w:val="center"/>
          </w:tcPr>
          <w:p w14:paraId="0F2DD44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工程量清单、图纸另行发送</w:t>
            </w:r>
          </w:p>
        </w:tc>
      </w:tr>
    </w:tbl>
    <w:p w14:paraId="6A7BCB11">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49A5CE9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1.</w:t>
      </w:r>
      <w:r>
        <w:rPr>
          <w:rFonts w:hint="eastAsia" w:ascii="宋体" w:hAnsi="宋体" w:eastAsia="宋体" w:cs="宋体"/>
          <w:color w:val="auto"/>
          <w:kern w:val="0"/>
          <w:sz w:val="24"/>
          <w:szCs w:val="24"/>
          <w:highlight w:val="none"/>
          <w:shd w:val="clear" w:color="auto" w:fill="FFFFFF"/>
          <w:lang w:val="en-US" w:eastAsia="zh-CN" w:bidi="ar-SA"/>
        </w:rPr>
        <w:t>供应商要做好施工组织，保证安全生产和成品保护。②.在合同履约期中发生意外事故和成品破坏所引起的经济和法律责任，均由供应商承担全部责任。③.必须服从采购单位统一管理，施工过程中密切配合采购单位后勤管理部门和相关职能部门的日常工作。</w:t>
      </w:r>
    </w:p>
    <w:p w14:paraId="455CE5C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供应商应指定项目负责人。项目负责人负责项目统筹、协调和管理，须配备认真负责、业务熟练的施工员及各专业技术工人。</w:t>
      </w:r>
    </w:p>
    <w:p w14:paraId="106B64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3.</w:t>
      </w:r>
      <w:r>
        <w:rPr>
          <w:rFonts w:hint="eastAsia" w:ascii="宋体" w:hAnsi="宋体" w:eastAsia="宋体" w:cs="宋体"/>
          <w:color w:val="auto"/>
          <w:kern w:val="0"/>
          <w:sz w:val="24"/>
          <w:szCs w:val="24"/>
          <w:highlight w:val="none"/>
          <w:shd w:val="clear" w:color="auto" w:fill="FFFFFF"/>
          <w:lang w:val="en-US" w:eastAsia="zh-CN" w:bidi="ar-SA"/>
        </w:rPr>
        <w:t>材料要求：施工使用的工程材料需要经采购人认可。施工前报样板给采购人选定，采购人认可后方可使用，所选购的材料须有产品合格证、生产许可证等证明材料。</w:t>
      </w:r>
    </w:p>
    <w:p w14:paraId="0583CE0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red"/>
          <w:shd w:val="clear" w:color="auto" w:fill="FFFFFF"/>
          <w:lang w:val="en-US" w:eastAsia="zh-CN" w:bidi="ar-SA"/>
        </w:rPr>
      </w:pPr>
    </w:p>
    <w:p w14:paraId="20E62F87">
      <w:pPr>
        <w:numPr>
          <w:ilvl w:val="0"/>
          <w:numId w:val="1"/>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7"/>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left"/>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5日历天，起止时间按照合同约定。</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5AEC302B">
            <w:pPr>
              <w:pStyle w:val="7"/>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工程质量必须达到合格</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ind w:left="0" w:leftChars="0"/>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工程质保期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2E58D1E">
            <w:pPr>
              <w:keepNext w:val="0"/>
              <w:keepLines w:val="0"/>
              <w:pageBreakBefore w:val="0"/>
              <w:widowControl/>
              <w:kinsoku/>
              <w:overflowPunct/>
              <w:topLinePunct w:val="0"/>
              <w:autoSpaceDE/>
              <w:autoSpaceDN/>
              <w:bidi w:val="0"/>
              <w:snapToGrid w:val="0"/>
              <w:spacing w:before="0" w:beforeAutospacing="0" w:after="0" w:afterAutospacing="0" w:line="324"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维修项目自验收之日起，工程质保期两年，防水工程质保期五年。国家有强制质保标准的按照国家标准执行，质保期自验收合格之日起计，如需整改或翻修的，自翻修或整改之日起重新计算维保期。</w:t>
            </w:r>
          </w:p>
        </w:tc>
      </w:tr>
      <w:tr w14:paraId="1B7A2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1"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460E049">
            <w:pPr>
              <w:pStyle w:val="7"/>
              <w:ind w:left="0" w:leftChars="0"/>
              <w:jc w:val="center"/>
              <w:rPr>
                <w:rFonts w:hint="eastAsia" w:cs="宋体"/>
                <w:color w:val="auto"/>
                <w:sz w:val="24"/>
                <w:szCs w:val="24"/>
                <w:highlight w:val="none"/>
                <w:lang w:val="en-US" w:eastAsia="zh-CN"/>
              </w:rPr>
            </w:pPr>
            <w:r>
              <w:rPr>
                <w:rFonts w:hint="eastAsia" w:cs="宋体"/>
                <w:color w:val="auto"/>
                <w:sz w:val="24"/>
                <w:szCs w:val="24"/>
                <w:highlight w:val="none"/>
                <w:lang w:val="en-US" w:eastAsia="zh-CN"/>
              </w:rPr>
              <w:t>验收标准</w:t>
            </w:r>
          </w:p>
        </w:tc>
        <w:tc>
          <w:tcPr>
            <w:tcW w:w="7354" w:type="dxa"/>
            <w:tcBorders>
              <w:top w:val="single" w:color="auto" w:sz="4" w:space="0"/>
              <w:left w:val="single" w:color="auto" w:sz="4" w:space="0"/>
              <w:bottom w:val="single" w:color="auto" w:sz="4" w:space="0"/>
              <w:right w:val="single" w:color="auto" w:sz="4" w:space="0"/>
            </w:tcBorders>
            <w:noWrap/>
            <w:vAlign w:val="center"/>
          </w:tcPr>
          <w:p w14:paraId="67F2234D">
            <w:pPr>
              <w:pStyle w:val="7"/>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工程严格按照国家现行有关施工及验收规范、技术标准进行施工和验收。</w:t>
            </w:r>
          </w:p>
        </w:tc>
      </w:tr>
    </w:tbl>
    <w:p w14:paraId="6C2BE3AE">
      <w:pPr>
        <w:pStyle w:val="24"/>
        <w:rPr>
          <w:rFonts w:hint="eastAsia" w:ascii="宋体" w:hAnsi="宋体" w:eastAsia="宋体" w:cs="宋体"/>
          <w:color w:val="auto"/>
          <w:highlight w:val="none"/>
        </w:rPr>
      </w:pPr>
    </w:p>
    <w:p w14:paraId="2EC99E3B">
      <w:pPr>
        <w:pStyle w:val="24"/>
        <w:rPr>
          <w:rFonts w:hint="eastAsia" w:ascii="宋体" w:hAnsi="宋体" w:eastAsia="宋体" w:cs="宋体"/>
          <w:color w:val="auto"/>
          <w:highlight w:val="none"/>
        </w:rPr>
      </w:pPr>
    </w:p>
    <w:p w14:paraId="21E8F085">
      <w:pPr>
        <w:pStyle w:val="24"/>
        <w:rPr>
          <w:rFonts w:hint="eastAsia" w:ascii="宋体" w:hAnsi="宋体" w:eastAsia="宋体" w:cs="宋体"/>
          <w:color w:val="auto"/>
          <w:highlight w:val="none"/>
        </w:rPr>
      </w:pPr>
    </w:p>
    <w:p w14:paraId="02F5E4E8">
      <w:pPr>
        <w:jc w:val="center"/>
        <w:outlineLvl w:val="0"/>
        <w:rPr>
          <w:rFonts w:hint="eastAsia" w:ascii="宋体" w:hAnsi="宋体" w:eastAsia="宋体" w:cs="宋体"/>
          <w:b/>
          <w:bCs/>
          <w:color w:val="auto"/>
          <w:sz w:val="32"/>
          <w:szCs w:val="32"/>
          <w:highlight w:val="none"/>
        </w:rPr>
      </w:pPr>
      <w:bookmarkStart w:id="33" w:name="_Toc8501"/>
    </w:p>
    <w:p w14:paraId="5850CAA7">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3"/>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14:paraId="165CED55">
        <w:tblPrEx>
          <w:tblCellMar>
            <w:top w:w="0" w:type="dxa"/>
            <w:left w:w="0" w:type="dxa"/>
            <w:bottom w:w="0" w:type="dxa"/>
            <w:right w:w="0" w:type="dxa"/>
          </w:tblCellMar>
        </w:tblPrEx>
        <w:trPr>
          <w:trHeight w:val="4736"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13.12万元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13.12</w:t>
            </w:r>
            <w:r>
              <w:rPr>
                <w:rFonts w:hint="eastAsia" w:ascii="宋体" w:hAnsi="宋体" w:cs="宋体"/>
                <w:color w:val="auto"/>
                <w:sz w:val="24"/>
                <w:szCs w:val="32"/>
                <w:highlight w:val="none"/>
                <w:lang w:val="en-US" w:eastAsia="zh-CN"/>
              </w:rPr>
              <w:t>万元。</w:t>
            </w:r>
          </w:p>
          <w:p w14:paraId="7AFDFAB9">
            <w:pPr>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B439291">
            <w:pPr>
              <w:pStyle w:val="8"/>
              <w:pageBreakBefore w:val="0"/>
              <w:kinsoku/>
              <w:wordWrap/>
              <w:overflowPunct/>
              <w:topLinePunct w:val="0"/>
              <w:autoSpaceDE/>
              <w:autoSpaceDN/>
              <w:bidi w:val="0"/>
              <w:adjustRightInd/>
              <w:snapToGrid/>
              <w:spacing w:before="0" w:after="0"/>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1.3本项目由成交供应商缴纳造价咨询费。</w:t>
            </w:r>
            <w:bookmarkStart w:id="73" w:name="_GoBack"/>
            <w:bookmarkEnd w:id="73"/>
          </w:p>
          <w:p w14:paraId="2834DD74">
            <w:pPr>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1053465</wp:posOffset>
                            </wp:positionH>
                            <wp:positionV relativeFrom="paragraph">
                              <wp:posOffset>13970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95pt;margin-top:1.1pt;height:24.05pt;width:76.4pt;z-index:251659264;mso-width-relative:page;mso-height-relative:page;" fillcolor="#FFFFFF [3201]" filled="t" stroked="f" coordsize="21600,21600" o:gfxdata="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awskh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4" w:name="_Toc4700"/>
      <w:bookmarkStart w:id="35"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驻马店市中心医院采购的工程项目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4470B8C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 xml:space="preserve">特定资格要求： 供应商须具有建设行政主管部门颁发的建筑装饰装修工程专业承包贰级及以上（含贰级），具有有效的企业安全生产许可证；拟派项目负责人须具有贰级及以上（含贰级）建筑工程专业注册建造师资格，且具备有效的安全生产考核合格证书。开标时，投标企业需提供上述证件的原件或复印件加盖公章由评委审验。 </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sz w:val="24"/>
          <w:highlight w:val="none"/>
          <w:lang w:val="en-US" w:eastAsia="zh-CN"/>
        </w:rPr>
        <w:t>项目预算书</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4施工组织设计</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eastAsia="zh-CN"/>
        </w:rPr>
        <w:t>磋商</w:t>
      </w:r>
      <w:r>
        <w:rPr>
          <w:rFonts w:hint="eastAsia" w:ascii="宋体" w:hAnsi="宋体" w:eastAsia="宋体" w:cs="宋体"/>
          <w:b/>
          <w:bCs/>
          <w:color w:val="auto"/>
          <w:kern w:val="0"/>
          <w:sz w:val="24"/>
          <w:szCs w:val="24"/>
          <w:highlight w:val="none"/>
        </w:rPr>
        <w:t>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w:t>
      </w:r>
      <w:r>
        <w:rPr>
          <w:rFonts w:hint="eastAsia" w:ascii="宋体" w:hAnsi="宋体" w:cs="宋体"/>
          <w:b/>
          <w:bCs/>
          <w:color w:val="auto"/>
          <w:kern w:val="0"/>
          <w:sz w:val="24"/>
          <w:szCs w:val="24"/>
          <w:highlight w:val="none"/>
          <w:lang w:eastAsia="zh-CN"/>
        </w:rPr>
        <w:t>审</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F03DB92">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64205C1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w:t>
      </w:r>
      <w:r>
        <w:rPr>
          <w:rFonts w:hint="eastAsia" w:ascii="宋体" w:hAnsi="宋体" w:cs="宋体"/>
          <w:b/>
          <w:bCs/>
          <w:color w:val="auto"/>
          <w:kern w:val="0"/>
          <w:sz w:val="24"/>
          <w:szCs w:val="24"/>
          <w:highlight w:val="none"/>
          <w:lang w:eastAsia="zh-CN"/>
        </w:rPr>
        <w:t>审</w:t>
      </w:r>
      <w:r>
        <w:rPr>
          <w:rFonts w:hint="eastAsia" w:ascii="宋体" w:hAnsi="宋体" w:eastAsia="宋体" w:cs="宋体"/>
          <w:b/>
          <w:bCs/>
          <w:color w:val="auto"/>
          <w:kern w:val="0"/>
          <w:sz w:val="24"/>
          <w:szCs w:val="24"/>
          <w:highlight w:val="none"/>
        </w:rPr>
        <w:t>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6" w:name="_Toc31399"/>
      <w:r>
        <w:rPr>
          <w:rFonts w:hint="eastAsia" w:ascii="宋体" w:hAnsi="宋体" w:eastAsia="宋体" w:cs="宋体"/>
          <w:b/>
          <w:bCs/>
          <w:color w:val="auto"/>
          <w:kern w:val="0"/>
          <w:sz w:val="32"/>
          <w:szCs w:val="32"/>
          <w:highlight w:val="none"/>
        </w:rPr>
        <w:t>第四章  评标办法及评分标准</w:t>
      </w:r>
      <w:bookmarkEnd w:id="34"/>
      <w:bookmarkEnd w:id="36"/>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9FA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2C4572BC">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评审内容</w:t>
            </w:r>
          </w:p>
        </w:tc>
      </w:tr>
      <w:tr w14:paraId="14DC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2EB4010C">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价格标部分 (3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8243" w:type="dxa"/>
            <w:gridSpan w:val="2"/>
            <w:noWrap w:val="0"/>
            <w:vAlign w:val="center"/>
          </w:tcPr>
          <w:p w14:paraId="261AE2FC">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color w:val="000000" w:themeColor="text1"/>
                <w:sz w:val="24"/>
                <w:szCs w:val="24"/>
                <w:highlight w:val="none"/>
                <w:u w:val="none"/>
                <w14:textFill>
                  <w14:solidFill>
                    <w14:schemeClr w14:val="tx1"/>
                  </w14:solidFill>
                </w14:textFill>
              </w:rPr>
              <w:t>说明：当</w:t>
            </w:r>
            <w:r>
              <w:rPr>
                <w:rFonts w:hint="eastAsia" w:hAnsi="宋体" w:cs="宋体"/>
                <w:b w:val="0"/>
                <w:bCs w:val="0"/>
                <w:color w:val="000000" w:themeColor="text1"/>
                <w:sz w:val="24"/>
                <w:szCs w:val="24"/>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发现</w:t>
            </w:r>
            <w:r>
              <w:rPr>
                <w:rFonts w:hint="eastAsia" w:hAnsi="宋体" w:cs="宋体"/>
                <w:b w:val="0"/>
                <w:bCs w:val="0"/>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的</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报价明显低于其他</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报价，使其</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报价可能低于其个别成本的，</w:t>
            </w:r>
            <w:r>
              <w:rPr>
                <w:rFonts w:hint="eastAsia" w:hAnsi="宋体" w:cs="宋体"/>
                <w:b w:val="0"/>
                <w:bCs w:val="0"/>
                <w:color w:val="000000" w:themeColor="text1"/>
                <w:sz w:val="24"/>
                <w:szCs w:val="24"/>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可对其质询，并要求该</w:t>
            </w:r>
            <w:r>
              <w:rPr>
                <w:rFonts w:hint="eastAsia" w:hAnsi="宋体" w:cs="宋体"/>
                <w:b w:val="0"/>
                <w:bCs w:val="0"/>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不能合理说明或提供证明材料的，</w:t>
            </w:r>
            <w:r>
              <w:rPr>
                <w:rFonts w:hint="eastAsia" w:hAnsi="宋体" w:cs="宋体"/>
                <w:b w:val="0"/>
                <w:bCs w:val="0"/>
                <w:color w:val="000000" w:themeColor="text1"/>
                <w:sz w:val="24"/>
                <w:szCs w:val="24"/>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应按无效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处理。</w:t>
            </w:r>
          </w:p>
          <w:p w14:paraId="7799C019">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4"/>
                <w:szCs w:val="24"/>
                <w:highlight w:val="none"/>
                <w14:textFill>
                  <w14:solidFill>
                    <w14:schemeClr w14:val="tx1"/>
                  </w14:solidFill>
                </w14:textFill>
              </w:rPr>
              <w:t>采购预算价的为有效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w:t>
            </w:r>
          </w:p>
          <w:p w14:paraId="08081F12">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4"/>
                <w:szCs w:val="24"/>
                <w:highlight w:val="none"/>
                <w14:textFill>
                  <w14:solidFill>
                    <w14:schemeClr w14:val="tx1"/>
                  </w14:solidFill>
                </w14:textFill>
              </w:rPr>
              <w:t>文件要求且</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价格最低的有效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报价为评标基准价。</w:t>
            </w:r>
          </w:p>
          <w:p w14:paraId="03AE199C">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报价得分=（评标基准价/有效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报价）×3</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r>
      <w:tr w14:paraId="0006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239" w:type="dxa"/>
            <w:vMerge w:val="restart"/>
            <w:noWrap w:val="0"/>
            <w:vAlign w:val="center"/>
          </w:tcPr>
          <w:p w14:paraId="4136127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技术部分</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40</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分）</w:t>
            </w:r>
          </w:p>
        </w:tc>
        <w:tc>
          <w:tcPr>
            <w:tcW w:w="1473" w:type="dxa"/>
            <w:noWrap w:val="0"/>
            <w:vAlign w:val="center"/>
          </w:tcPr>
          <w:p w14:paraId="49C4DBF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质量管理措施（</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419C246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技术组织措施切实可行，确保工程质量的技术组织措施先进合理，质量控制程序及质量保证体系完整，岗位职责分明得 10 分；</w:t>
            </w:r>
          </w:p>
          <w:p w14:paraId="20CC027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技术组织措施基本可行，确保工程质量的技术组织措施基本 合理得 7分；</w:t>
            </w:r>
          </w:p>
          <w:p w14:paraId="13AB290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技术组织措施、工程质量保障措施有待提升得4分；</w:t>
            </w:r>
          </w:p>
          <w:p w14:paraId="688068F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组织机构形式不合理，工程质量保证措施不可行得 1 分。</w:t>
            </w:r>
          </w:p>
          <w:p w14:paraId="7FB9903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lang w:val="en-US" w:eastAsia="zh-CN"/>
              </w:rPr>
              <w:t>缺项得 0 分。</w:t>
            </w:r>
          </w:p>
        </w:tc>
      </w:tr>
      <w:tr w14:paraId="20D5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39" w:type="dxa"/>
            <w:vMerge w:val="continue"/>
            <w:noWrap w:val="0"/>
            <w:vAlign w:val="center"/>
          </w:tcPr>
          <w:p w14:paraId="70F7BEB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noWrap w:val="0"/>
            <w:vAlign w:val="center"/>
          </w:tcPr>
          <w:p w14:paraId="4818B6C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2.施工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措施（</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7B901FF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供应商应根据采购需求编制安全管理体系与措施、文明及环境保护管理体系与措施方案，包含但不限于：1.安全责任制度；2.施工现场安全控制；</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.文明施工措施；</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.环保施工措施。</w:t>
            </w:r>
          </w:p>
          <w:p w14:paraId="238F122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方案完整科学、合理、实用，并具有针对性，得1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较为清晰、较为详细、技术措施较为健全、较有针对性得</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内容一般、技术措施一般，基本具有针对性得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内容不全、技术措施有所欠缺得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分；</w:t>
            </w:r>
          </w:p>
          <w:p w14:paraId="021313E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缺项得0分。</w:t>
            </w:r>
          </w:p>
        </w:tc>
      </w:tr>
      <w:tr w14:paraId="598B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noWrap w:val="0"/>
            <w:vAlign w:val="center"/>
          </w:tcPr>
          <w:p w14:paraId="61606CB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noWrap w:val="0"/>
            <w:vAlign w:val="center"/>
          </w:tcPr>
          <w:p w14:paraId="10A163F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资源配备计划（</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2D202F2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拟投入的</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施工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人员、机械设备、物资投入计划综合对比。</w:t>
            </w:r>
            <w:r>
              <w:rPr>
                <w:rFonts w:hint="eastAsia" w:ascii="宋体" w:hAnsi="宋体" w:eastAsia="宋体" w:cs="宋体"/>
                <w:sz w:val="24"/>
                <w:szCs w:val="24"/>
                <w:highlight w:val="none"/>
                <w:lang w:val="en-US" w:eastAsia="zh-CN"/>
              </w:rPr>
              <w:t>包含但不限于：1.施工人员配备计划；2.机械、设备配备计划；3.材料质量保障措施等。</w:t>
            </w:r>
          </w:p>
          <w:p w14:paraId="027D2B9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w:t>
            </w:r>
            <w:r>
              <w:rPr>
                <w:rFonts w:hint="eastAsia" w:ascii="宋体" w:hAnsi="宋体" w:eastAsia="宋体" w:cs="宋体"/>
                <w:sz w:val="24"/>
                <w:szCs w:val="24"/>
                <w:highlight w:val="none"/>
                <w:lang w:val="en-US" w:eastAsia="zh-CN"/>
              </w:rPr>
              <w:t>完整科学、合理、实用，并具有针对性，得</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w:t>
            </w:r>
            <w:r>
              <w:rPr>
                <w:rFonts w:hint="eastAsia" w:ascii="宋体" w:hAnsi="宋体" w:eastAsia="宋体" w:cs="宋体"/>
                <w:sz w:val="24"/>
                <w:szCs w:val="24"/>
                <w:highlight w:val="none"/>
                <w:lang w:val="en-US" w:eastAsia="zh-CN"/>
              </w:rPr>
              <w:t>较为清晰、较为详细、技术措施较为健全、较有针对性得</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w:t>
            </w:r>
            <w:r>
              <w:rPr>
                <w:rFonts w:hint="eastAsia" w:ascii="宋体" w:hAnsi="宋体" w:eastAsia="宋体" w:cs="宋体"/>
                <w:sz w:val="24"/>
                <w:szCs w:val="24"/>
                <w:highlight w:val="none"/>
                <w:lang w:val="en-US" w:eastAsia="zh-CN"/>
              </w:rPr>
              <w:t>内容一般、技术措施一般，基本具有针对性得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p>
          <w:p w14:paraId="50F0839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内容不全、有所欠缺得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分；</w:t>
            </w:r>
          </w:p>
          <w:p w14:paraId="6A56876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缺项得0分。</w:t>
            </w:r>
          </w:p>
        </w:tc>
      </w:tr>
      <w:tr w14:paraId="5C72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239" w:type="dxa"/>
            <w:vMerge w:val="continue"/>
            <w:noWrap w:val="0"/>
            <w:vAlign w:val="center"/>
          </w:tcPr>
          <w:p w14:paraId="512E4C3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noWrap w:val="0"/>
            <w:vAlign w:val="center"/>
          </w:tcPr>
          <w:p w14:paraId="6D8F828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工程进度计划</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58F355B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供应商应根据采购需求编制完整、详细的工程进度计划与措施方案，包含但不限于：1.关键节点控制；2.工序衔接计划；3.进度管控机制等。</w:t>
            </w:r>
          </w:p>
          <w:p w14:paraId="067920E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计划和措施</w:t>
            </w:r>
            <w:r>
              <w:rPr>
                <w:rFonts w:hint="eastAsia" w:ascii="宋体" w:hAnsi="宋体" w:eastAsia="宋体" w:cs="宋体"/>
                <w:sz w:val="24"/>
                <w:szCs w:val="24"/>
                <w:highlight w:val="none"/>
                <w:lang w:val="en-US" w:eastAsia="zh-CN"/>
              </w:rPr>
              <w:t>完整科学、合理、实用，并具有针对性，得</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计划和措施较为完整、合理、实用，得7分；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计划和措施</w:t>
            </w:r>
            <w:r>
              <w:rPr>
                <w:rFonts w:hint="eastAsia" w:ascii="宋体" w:hAnsi="宋体" w:eastAsia="宋体" w:cs="宋体"/>
                <w:sz w:val="24"/>
                <w:szCs w:val="24"/>
                <w:highlight w:val="none"/>
                <w:lang w:val="en-US" w:eastAsia="zh-CN"/>
              </w:rPr>
              <w:t>内容一般、技术措施一般，基本具有针对性得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p>
          <w:p w14:paraId="147DF10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内容不全、有所欠缺得1分；</w:t>
            </w:r>
            <w:r>
              <w:rPr>
                <w:rFonts w:hint="eastAsia" w:ascii="宋体" w:hAnsi="宋体" w:eastAsia="宋体" w:cs="宋体"/>
                <w:b w:val="0"/>
                <w:bCs w:val="0"/>
                <w:color w:val="000000" w:themeColor="text1"/>
                <w:sz w:val="24"/>
                <w:szCs w:val="24"/>
                <w:highlight w:val="none"/>
                <w14:textFill>
                  <w14:solidFill>
                    <w14:schemeClr w14:val="tx1"/>
                  </w14:solidFill>
                </w14:textFill>
              </w:rPr>
              <w:t>缺项得0分。</w:t>
            </w:r>
          </w:p>
        </w:tc>
      </w:tr>
      <w:tr w14:paraId="1AC2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47789DB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商务评价</w:t>
            </w:r>
          </w:p>
          <w:p w14:paraId="5F8E513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268FCBC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1.类似业绩（</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6770" w:type="dxa"/>
            <w:noWrap w:val="0"/>
            <w:vAlign w:val="center"/>
          </w:tcPr>
          <w:p w14:paraId="7EE4B43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年1月1日以来具有类似工程的业绩，每</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提供一</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份得</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分，最多得</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分。（注：以上业绩以合同为准）。</w:t>
            </w:r>
          </w:p>
        </w:tc>
      </w:tr>
      <w:tr w14:paraId="31BD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39" w:type="dxa"/>
            <w:vMerge w:val="continue"/>
            <w:noWrap w:val="0"/>
            <w:vAlign w:val="center"/>
          </w:tcPr>
          <w:p w14:paraId="5ABBC0F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tcBorders>
              <w:top w:val="single" w:color="auto" w:sz="4" w:space="0"/>
            </w:tcBorders>
            <w:noWrap w:val="0"/>
            <w:vAlign w:val="center"/>
          </w:tcPr>
          <w:p w14:paraId="382BA36D">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2.管理人员配备（10分）</w:t>
            </w:r>
          </w:p>
        </w:tc>
        <w:tc>
          <w:tcPr>
            <w:tcW w:w="6770" w:type="dxa"/>
            <w:noWrap w:val="0"/>
            <w:vAlign w:val="center"/>
          </w:tcPr>
          <w:p w14:paraId="61779E4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供应商拟派项目团队配备人员中具有施工员、材料员、质检员、安全员、资料员的，每提供1个得2分，最多得10分。</w:t>
            </w:r>
          </w:p>
          <w:p w14:paraId="0647DD8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注：提供有效证件及本单位近半年以来任意一个月为其缴纳社保证明材料，新入职的从入职当月起算。</w:t>
            </w:r>
          </w:p>
        </w:tc>
      </w:tr>
      <w:tr w14:paraId="4C2D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39" w:type="dxa"/>
            <w:vMerge w:val="continue"/>
            <w:noWrap w:val="0"/>
            <w:vAlign w:val="center"/>
          </w:tcPr>
          <w:p w14:paraId="0056102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tcBorders>
              <w:top w:val="single" w:color="auto" w:sz="4" w:space="0"/>
            </w:tcBorders>
            <w:noWrap w:val="0"/>
            <w:vAlign w:val="center"/>
          </w:tcPr>
          <w:p w14:paraId="4A7BBAA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.售后服务</w:t>
            </w:r>
          </w:p>
          <w:p w14:paraId="5E5744F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6770" w:type="dxa"/>
            <w:noWrap w:val="0"/>
            <w:vAlign w:val="center"/>
          </w:tcPr>
          <w:p w14:paraId="7F2F03E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供应商具有保证技术措施落实到位的承诺和落实不到位的处理承诺，其中包括各关键岗位人员（负责人及相关技术人员等）的在岗、更换等履职尽责</w:t>
            </w:r>
            <w:r>
              <w:rPr>
                <w:rFonts w:hint="eastAsia" w:ascii="宋体" w:hAnsi="宋体" w:cs="宋体"/>
                <w:color w:val="000000" w:themeColor="text1"/>
                <w:sz w:val="24"/>
                <w:szCs w:val="24"/>
                <w:highlight w:val="none"/>
                <w:lang w:val="en-US" w:eastAsia="zh-CN"/>
                <w14:textFill>
                  <w14:solidFill>
                    <w14:schemeClr w14:val="tx1"/>
                  </w14:solidFill>
                </w14:textFill>
              </w:rPr>
              <w:t>、工程保修期内、外的优惠及服务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承诺</w:t>
            </w:r>
            <w:r>
              <w:rPr>
                <w:rFonts w:hint="eastAsia" w:ascii="宋体" w:hAnsi="宋体" w:cs="宋体"/>
                <w:color w:val="000000" w:themeColor="text1"/>
                <w:sz w:val="24"/>
                <w:szCs w:val="24"/>
                <w:highlight w:val="none"/>
                <w:lang w:val="en-US" w:eastAsia="zh-CN"/>
                <w14:textFill>
                  <w14:solidFill>
                    <w14:schemeClr w14:val="tx1"/>
                  </w14:solidFill>
                </w14:textFill>
              </w:rPr>
              <w:t>等</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0AD9123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承诺全面、详尽，合理、可行性程度强</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4DCA95E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承诺基本全面，合理、可行性程度</w:t>
            </w:r>
            <w:r>
              <w:rPr>
                <w:rFonts w:hint="eastAsia" w:ascii="宋体" w:hAnsi="宋体" w:cs="宋体"/>
                <w:color w:val="000000" w:themeColor="text1"/>
                <w:sz w:val="24"/>
                <w:szCs w:val="24"/>
                <w:highlight w:val="none"/>
                <w:lang w:val="en-US" w:eastAsia="zh-CN"/>
                <w14:textFill>
                  <w14:solidFill>
                    <w14:schemeClr w14:val="tx1"/>
                  </w14:solidFill>
                </w14:textFill>
              </w:rPr>
              <w:t>较强</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49CEED1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承诺基本全面，合理、可行性程度一般得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3863B30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承诺不全面，合理、可行性程度差得1分。</w:t>
            </w:r>
          </w:p>
          <w:p w14:paraId="5108228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缺项得0分。</w:t>
            </w:r>
          </w:p>
        </w:tc>
      </w:tr>
      <w:tr w14:paraId="506D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39" w:type="dxa"/>
            <w:noWrap w:val="0"/>
            <w:vAlign w:val="top"/>
          </w:tcPr>
          <w:p w14:paraId="4160774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得分的计算</w:t>
            </w:r>
          </w:p>
        </w:tc>
        <w:tc>
          <w:tcPr>
            <w:tcW w:w="8243" w:type="dxa"/>
            <w:gridSpan w:val="2"/>
            <w:noWrap w:val="0"/>
            <w:vAlign w:val="center"/>
          </w:tcPr>
          <w:p w14:paraId="6DA9EBF8">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14:textFill>
                  <w14:solidFill>
                    <w14:schemeClr w14:val="tx1"/>
                  </w14:solidFill>
                </w14:textFill>
              </w:rPr>
              <w:t>成员评分=各项评分因素的汇总得分。</w:t>
            </w:r>
          </w:p>
          <w:p w14:paraId="5392B04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评标总得分=</w:t>
            </w:r>
            <w:r>
              <w:rPr>
                <w:rFonts w:hint="eastAsia" w:ascii="宋体" w:hAnsi="宋体" w:cs="宋体"/>
                <w:b w:val="0"/>
                <w:bCs w:val="0"/>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14:textFill>
                  <w14:solidFill>
                    <w14:schemeClr w14:val="tx1"/>
                  </w14:solidFill>
                </w14:textFill>
              </w:rPr>
              <w:t>所有成员合计评分/</w:t>
            </w:r>
            <w:r>
              <w:rPr>
                <w:rFonts w:hint="eastAsia" w:ascii="宋体" w:hAnsi="宋体" w:cs="宋体"/>
                <w:b w:val="0"/>
                <w:bCs w:val="0"/>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14:textFill>
                  <w14:solidFill>
                    <w14:schemeClr w14:val="tx1"/>
                  </w14:solidFill>
                </w14:textFill>
              </w:rPr>
              <w:t>组成人员数。</w:t>
            </w:r>
          </w:p>
        </w:tc>
      </w:tr>
    </w:tbl>
    <w:p w14:paraId="1080B6EE">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p>
    <w:p w14:paraId="4C0E2DB3">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p>
    <w:p w14:paraId="200D5060">
      <w:pPr>
        <w:rPr>
          <w:rFonts w:hint="eastAsia" w:ascii="宋体" w:hAnsi="宋体" w:eastAsia="宋体" w:cs="宋体"/>
          <w:b/>
          <w:color w:val="auto"/>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bookmarkEnd w:id="35"/>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37" w:name="_Toc11904"/>
      <w:bookmarkStart w:id="38" w:name="_Toc1482"/>
      <w:bookmarkStart w:id="39" w:name="_Toc1947"/>
      <w:bookmarkStart w:id="40" w:name="_Toc256519703"/>
      <w:bookmarkStart w:id="41" w:name="_Toc326786897"/>
      <w:r>
        <w:rPr>
          <w:rFonts w:hint="eastAsia" w:ascii="宋体" w:hAnsi="宋体" w:eastAsia="宋体" w:cs="宋体"/>
          <w:color w:val="auto"/>
          <w:sz w:val="28"/>
          <w:szCs w:val="28"/>
          <w:highlight w:val="none"/>
        </w:rPr>
        <w:t>第五章  采购合同</w:t>
      </w:r>
      <w:bookmarkEnd w:id="37"/>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jc w:val="center"/>
        <w:rPr>
          <w:rFonts w:hint="eastAsia" w:ascii="宋体" w:hAnsi="宋体" w:eastAsia="宋体" w:cs="宋体"/>
          <w:color w:val="auto"/>
          <w:kern w:val="0"/>
          <w:highlight w:val="none"/>
        </w:rPr>
      </w:pPr>
      <w:bookmarkStart w:id="42"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8"/>
      <w:bookmarkEnd w:id="39"/>
      <w:bookmarkEnd w:id="42"/>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3" w:name="_Toc13604"/>
      <w:r>
        <w:rPr>
          <w:rFonts w:hint="eastAsia" w:ascii="宋体" w:hAnsi="宋体" w:eastAsia="宋体" w:cs="宋体"/>
          <w:b/>
          <w:bCs/>
          <w:color w:val="auto"/>
          <w:sz w:val="32"/>
          <w:szCs w:val="32"/>
          <w:highlight w:val="none"/>
        </w:rPr>
        <w:t>目    录</w:t>
      </w:r>
      <w:bookmarkEnd w:id="43"/>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44"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4"/>
    </w:p>
    <w:p w14:paraId="1921F52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5" w:name="_Toc25345"/>
      <w:bookmarkStart w:id="46" w:name="_Toc9579"/>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5"/>
    </w:p>
    <w:p w14:paraId="3175ADB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7"/>
    </w:p>
    <w:p w14:paraId="3691EBDD">
      <w:pPr>
        <w:snapToGrid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附件4</w:t>
      </w:r>
      <w:bookmarkEnd w:id="46"/>
      <w:r>
        <w:rPr>
          <w:rFonts w:hint="eastAsia" w:ascii="宋体" w:hAnsi="宋体" w:eastAsia="宋体" w:cs="宋体"/>
          <w:color w:val="auto"/>
          <w:sz w:val="24"/>
          <w:highlight w:val="none"/>
          <w:lang w:val="en-US" w:eastAsia="zh-CN"/>
        </w:rPr>
        <w:t xml:space="preserve"> 项目预算书</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48"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bookmarkEnd w:id="48"/>
      <w:r>
        <w:rPr>
          <w:rFonts w:hint="eastAsia" w:ascii="宋体" w:hAnsi="宋体" w:cs="宋体"/>
          <w:color w:val="auto"/>
          <w:kern w:val="0"/>
          <w:sz w:val="24"/>
          <w:szCs w:val="24"/>
          <w:highlight w:val="none"/>
          <w:lang w:val="en-US" w:eastAsia="zh-CN"/>
        </w:rPr>
        <w:t>施工组织设计</w:t>
      </w:r>
    </w:p>
    <w:p w14:paraId="19312541">
      <w:pPr>
        <w:snapToGrid w:val="0"/>
        <w:spacing w:line="360" w:lineRule="auto"/>
        <w:ind w:firstLine="480" w:firstLineChars="200"/>
        <w:rPr>
          <w:rFonts w:hint="eastAsia" w:ascii="宋体" w:hAnsi="宋体" w:eastAsia="宋体" w:cs="宋体"/>
          <w:color w:val="auto"/>
          <w:sz w:val="24"/>
          <w:highlight w:val="none"/>
        </w:rPr>
      </w:pPr>
      <w:bookmarkStart w:id="49" w:name="_Toc26231"/>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49"/>
    </w:p>
    <w:p w14:paraId="73242694">
      <w:pPr>
        <w:snapToGrid w:val="0"/>
        <w:spacing w:line="360" w:lineRule="auto"/>
        <w:ind w:firstLine="480" w:firstLineChars="200"/>
        <w:rPr>
          <w:rFonts w:hint="eastAsia" w:ascii="宋体" w:hAnsi="宋体" w:eastAsia="宋体" w:cs="宋体"/>
          <w:color w:val="auto"/>
          <w:sz w:val="24"/>
          <w:highlight w:val="none"/>
        </w:rPr>
      </w:pPr>
      <w:bookmarkStart w:id="50" w:name="_Toc1848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0"/>
    </w:p>
    <w:p w14:paraId="222B26A2">
      <w:pPr>
        <w:snapToGrid w:val="0"/>
        <w:spacing w:line="360" w:lineRule="auto"/>
        <w:ind w:firstLine="480" w:firstLineChars="200"/>
        <w:rPr>
          <w:rFonts w:hint="eastAsia" w:ascii="宋体" w:hAnsi="宋体" w:eastAsia="宋体" w:cs="宋体"/>
          <w:color w:val="auto"/>
          <w:sz w:val="24"/>
          <w:highlight w:val="none"/>
        </w:rPr>
      </w:pPr>
      <w:bookmarkStart w:id="51" w:name="_Toc31857"/>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 xml:space="preserve"> 证明文件</w:t>
      </w:r>
      <w:bookmarkEnd w:id="51"/>
    </w:p>
    <w:p w14:paraId="2CC20DF3">
      <w:pPr>
        <w:snapToGrid w:val="0"/>
        <w:spacing w:line="360" w:lineRule="auto"/>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2" w:name="_Toc24743"/>
      <w:bookmarkStart w:id="53"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2"/>
      <w:bookmarkEnd w:id="53"/>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4" w:name="_Toc8818"/>
      <w:bookmarkStart w:id="55" w:name="_Toc14560"/>
      <w:r>
        <w:rPr>
          <w:rFonts w:hint="eastAsia" w:ascii="宋体" w:hAnsi="宋体" w:eastAsia="宋体" w:cs="宋体"/>
          <w:color w:val="auto"/>
          <w:sz w:val="28"/>
          <w:szCs w:val="28"/>
          <w:highlight w:val="none"/>
          <w:lang w:val="en-US" w:eastAsia="zh-CN"/>
        </w:rPr>
        <w:t>附件2      竞争性磋商响应书（格式）</w:t>
      </w:r>
      <w:bookmarkEnd w:id="54"/>
      <w:bookmarkEnd w:id="55"/>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6" w:name="_Toc7838"/>
      <w:r>
        <w:rPr>
          <w:rFonts w:hint="eastAsia" w:ascii="宋体" w:hAnsi="宋体" w:eastAsia="宋体" w:cs="宋体"/>
          <w:color w:val="auto"/>
          <w:sz w:val="28"/>
          <w:szCs w:val="28"/>
          <w:highlight w:val="none"/>
          <w:lang w:val="en-US" w:eastAsia="zh-CN"/>
        </w:rPr>
        <w:t>附件3            初次报价一览表</w:t>
      </w:r>
      <w:bookmarkEnd w:id="56"/>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（详见项目预算书）</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项目经理</w:t>
            </w:r>
          </w:p>
        </w:tc>
        <w:tc>
          <w:tcPr>
            <w:tcW w:w="7708"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7AAC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978" w:type="dxa"/>
            <w:noWrap/>
            <w:vAlign w:val="center"/>
          </w:tcPr>
          <w:p w14:paraId="355C5950">
            <w:pPr>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u w:val="none"/>
                <w:lang w:val="en-US" w:eastAsia="zh-CN"/>
              </w:rPr>
              <w:t>证书等级及编号</w:t>
            </w:r>
          </w:p>
        </w:tc>
        <w:tc>
          <w:tcPr>
            <w:tcW w:w="7708" w:type="dxa"/>
            <w:noWrap/>
            <w:vAlign w:val="center"/>
          </w:tcPr>
          <w:p w14:paraId="04F7CB98">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1D583CCC">
      <w:pPr>
        <w:spacing w:line="360" w:lineRule="auto"/>
        <w:ind w:firstLine="420" w:firstLineChars="200"/>
        <w:jc w:val="center"/>
        <w:rPr>
          <w:rFonts w:hint="eastAsia" w:ascii="宋体" w:hAnsi="宋体" w:eastAsia="宋体" w:cs="宋体"/>
          <w:color w:val="auto"/>
          <w:szCs w:val="21"/>
          <w:highlight w:val="none"/>
          <w:lang w:eastAsia="zh-CN"/>
        </w:rPr>
      </w:pPr>
      <w:bookmarkStart w:id="57" w:name="_Toc11620"/>
      <w:bookmarkStart w:id="58" w:name="_Toc20877"/>
    </w:p>
    <w:bookmarkEnd w:id="57"/>
    <w:bookmarkEnd w:id="58"/>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0"/>
    <w:bookmarkEnd w:id="41"/>
    <w:p w14:paraId="32162F70">
      <w:pPr>
        <w:spacing w:before="20" w:after="20"/>
        <w:outlineLvl w:val="9"/>
        <w:rPr>
          <w:rFonts w:hint="eastAsia" w:ascii="宋体" w:hAnsi="宋体" w:eastAsia="宋体" w:cs="宋体"/>
          <w:color w:val="auto"/>
          <w:highlight w:val="none"/>
          <w:lang w:eastAsia="zh-CN"/>
        </w:rPr>
      </w:pPr>
      <w:bookmarkStart w:id="59" w:name="_Toc22004"/>
      <w:bookmarkStart w:id="60"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9"/>
    <w:bookmarkEnd w:id="60"/>
    <w:p w14:paraId="31A914BB">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附件4              项目预算书</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46D5D5E">
      <w:pPr>
        <w:widowControl/>
        <w:wordWrap w:val="0"/>
        <w:spacing w:before="50" w:after="50" w:line="480" w:lineRule="auto"/>
        <w:jc w:val="left"/>
        <w:rPr>
          <w:rFonts w:hint="eastAsia" w:ascii="宋体" w:hAnsi="宋体" w:eastAsia="宋体"/>
          <w:b/>
          <w:bCs/>
          <w:color w:val="auto"/>
          <w:kern w:val="0"/>
          <w:sz w:val="28"/>
          <w:szCs w:val="28"/>
          <w:highlight w:val="none"/>
        </w:rPr>
      </w:pPr>
      <w:bookmarkStart w:id="61" w:name="_Toc226"/>
      <w:bookmarkStart w:id="62" w:name="_Toc15804"/>
      <w:r>
        <w:rPr>
          <w:rFonts w:hint="eastAsia" w:ascii="宋体" w:hAnsi="宋体" w:eastAsia="宋体" w:cs="宋体"/>
          <w:b/>
          <w:bCs/>
          <w:color w:val="auto"/>
          <w:kern w:val="2"/>
          <w:sz w:val="28"/>
          <w:szCs w:val="28"/>
          <w:highlight w:val="none"/>
          <w:lang w:val="en-US" w:eastAsia="zh-CN" w:bidi="ar-SA"/>
        </w:rPr>
        <w:t xml:space="preserve">附件5                       </w:t>
      </w:r>
      <w:r>
        <w:rPr>
          <w:rFonts w:hint="eastAsia" w:ascii="宋体" w:hAnsi="宋体" w:eastAsia="宋体"/>
          <w:b/>
          <w:bCs/>
          <w:color w:val="auto"/>
          <w:kern w:val="0"/>
          <w:sz w:val="28"/>
          <w:szCs w:val="28"/>
          <w:highlight w:val="none"/>
        </w:rPr>
        <w:t>施工组织设计</w:t>
      </w:r>
    </w:p>
    <w:p w14:paraId="5E90DB0A">
      <w:pPr>
        <w:widowControl/>
        <w:wordWrap w:val="0"/>
        <w:spacing w:before="50" w:after="50" w:line="480" w:lineRule="auto"/>
        <w:jc w:val="center"/>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lang w:val="en-US" w:eastAsia="zh-CN"/>
        </w:rPr>
        <w:t xml:space="preserve"> </w:t>
      </w:r>
      <w:r>
        <w:rPr>
          <w:rFonts w:hint="eastAsia" w:ascii="宋体" w:hAnsi="宋体" w:eastAsia="宋体"/>
          <w:b/>
          <w:bCs/>
          <w:color w:val="auto"/>
          <w:kern w:val="0"/>
          <w:sz w:val="28"/>
          <w:szCs w:val="28"/>
          <w:highlight w:val="none"/>
        </w:rPr>
        <w:t>（格式自拟）</w:t>
      </w:r>
    </w:p>
    <w:p w14:paraId="78DCA7E3">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bookmarkEnd w:id="61"/>
    <w:bookmarkEnd w:id="62"/>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3" w:name="_Toc28621"/>
      <w:bookmarkStart w:id="64" w:name="_Toc31526"/>
      <w:bookmarkStart w:id="65" w:name="_Toc29406"/>
      <w:r>
        <w:rPr>
          <w:rFonts w:hint="eastAsia" w:ascii="宋体" w:hAnsi="宋体" w:eastAsia="宋体" w:cs="宋体"/>
          <w:color w:val="auto"/>
          <w:sz w:val="28"/>
          <w:szCs w:val="28"/>
          <w:highlight w:val="none"/>
          <w:lang w:val="en-US" w:eastAsia="zh-CN"/>
        </w:rPr>
        <w:t>附件6         法定代表人身份证明（格式）</w:t>
      </w:r>
      <w:bookmarkEnd w:id="63"/>
      <w:bookmarkEnd w:id="64"/>
      <w:bookmarkEnd w:id="65"/>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eastAsia="zh-CN"/>
              </w:rPr>
            </w:pPr>
            <w:r>
              <w:rPr>
                <w:rFonts w:hint="eastAsia" w:ascii="宋体" w:hAnsi="宋体" w:eastAsia="宋体" w:cs="宋体"/>
                <w:bCs/>
                <w:color w:val="auto"/>
                <w:kern w:val="0"/>
                <w:sz w:val="24"/>
                <w:highlight w:val="none"/>
              </w:rPr>
              <w:t>此处请粘贴法定代表人身份证</w:t>
            </w:r>
            <w:r>
              <w:rPr>
                <w:rFonts w:hint="eastAsia" w:ascii="宋体" w:hAnsi="宋体" w:cs="宋体"/>
                <w:bCs/>
                <w:color w:val="auto"/>
                <w:kern w:val="0"/>
                <w:sz w:val="24"/>
                <w:highlight w:val="none"/>
                <w:lang w:val="en-US" w:eastAsia="zh-CN"/>
              </w:rPr>
              <w:t>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13976"/>
      <w:bookmarkStart w:id="67" w:name="_Toc12939"/>
      <w:bookmarkStart w:id="68" w:name="_Toc30519"/>
      <w:r>
        <w:rPr>
          <w:rFonts w:hint="eastAsia" w:ascii="宋体" w:hAnsi="宋体" w:eastAsia="宋体" w:cs="宋体"/>
          <w:color w:val="auto"/>
          <w:sz w:val="28"/>
          <w:szCs w:val="28"/>
          <w:highlight w:val="none"/>
          <w:lang w:val="en-US" w:eastAsia="zh-CN"/>
        </w:rPr>
        <w:t>附件7         法定代表人授权书（格式）</w:t>
      </w:r>
      <w:bookmarkEnd w:id="66"/>
      <w:bookmarkEnd w:id="67"/>
      <w:bookmarkEnd w:id="68"/>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w:t>
            </w:r>
            <w:r>
              <w:rPr>
                <w:rFonts w:hint="eastAsia" w:ascii="宋体" w:hAnsi="宋体" w:cs="宋体"/>
                <w:bCs/>
                <w:color w:val="auto"/>
                <w:kern w:val="0"/>
                <w:sz w:val="24"/>
                <w:highlight w:val="none"/>
                <w:lang w:val="en-US" w:eastAsia="zh-CN"/>
              </w:rPr>
              <w:t>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69" w:name="_Toc18105"/>
      <w:bookmarkStart w:id="70" w:name="_Toc24693"/>
      <w:bookmarkStart w:id="71" w:name="_Toc3342"/>
      <w:r>
        <w:rPr>
          <w:rFonts w:hint="eastAsia" w:ascii="宋体" w:hAnsi="宋体" w:eastAsia="宋体" w:cs="宋体"/>
          <w:color w:val="auto"/>
          <w:sz w:val="28"/>
          <w:szCs w:val="28"/>
          <w:highlight w:val="none"/>
          <w:lang w:val="en-US" w:eastAsia="zh-CN"/>
        </w:rPr>
        <w:t>附件8          证明文件</w:t>
      </w:r>
      <w:bookmarkEnd w:id="69"/>
      <w:bookmarkEnd w:id="70"/>
      <w:bookmarkEnd w:id="71"/>
    </w:p>
    <w:p w14:paraId="61593FAD">
      <w:pPr>
        <w:pStyle w:val="13"/>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579486B2">
      <w:pPr>
        <w:pStyle w:val="13"/>
        <w:spacing w:beforeAutospacing="0" w:afterAutospacing="0" w:line="480" w:lineRule="auto"/>
        <w:ind w:firstLine="540" w:firstLineChars="224"/>
        <w:jc w:val="both"/>
        <w:rPr>
          <w:rFonts w:hint="eastAsia" w:cs="宋体"/>
          <w:b/>
          <w:bCs w:val="0"/>
          <w:color w:val="auto"/>
          <w:sz w:val="24"/>
          <w:szCs w:val="24"/>
          <w:highlight w:val="yellow"/>
          <w:lang w:val="en-US" w:eastAsia="zh-CN"/>
        </w:rPr>
      </w:pPr>
      <w:bookmarkStart w:id="72" w:name="_Toc17966"/>
    </w:p>
    <w:p w14:paraId="6A0AB418">
      <w:pPr>
        <w:pStyle w:val="13"/>
        <w:spacing w:beforeAutospacing="0" w:afterAutospacing="0" w:line="480" w:lineRule="auto"/>
        <w:ind w:firstLine="540" w:firstLineChars="224"/>
        <w:jc w:val="both"/>
        <w:rPr>
          <w:rFonts w:hint="eastAsia" w:cs="宋体"/>
          <w:b/>
          <w:bCs w:val="0"/>
          <w:color w:val="auto"/>
          <w:sz w:val="24"/>
          <w:szCs w:val="24"/>
          <w:highlight w:val="yellow"/>
          <w:lang w:val="en-US" w:eastAsia="zh-CN"/>
        </w:rPr>
      </w:pPr>
    </w:p>
    <w:p w14:paraId="7C3CA99D">
      <w:pPr>
        <w:pStyle w:val="13"/>
        <w:spacing w:beforeAutospacing="0" w:afterAutospacing="0" w:line="480" w:lineRule="auto"/>
        <w:ind w:firstLine="540" w:firstLineChars="224"/>
        <w:jc w:val="both"/>
        <w:rPr>
          <w:rFonts w:hint="default" w:cs="宋体"/>
          <w:b/>
          <w:bCs w:val="0"/>
          <w:color w:val="auto"/>
          <w:sz w:val="24"/>
          <w:szCs w:val="24"/>
          <w:highlight w:val="none"/>
          <w:lang w:val="en-US" w:eastAsia="zh-CN"/>
        </w:rPr>
      </w:pPr>
      <w:r>
        <w:rPr>
          <w:rFonts w:hint="eastAsia" w:cs="宋体"/>
          <w:b/>
          <w:bCs w:val="0"/>
          <w:color w:val="auto"/>
          <w:sz w:val="24"/>
          <w:szCs w:val="24"/>
          <w:highlight w:val="none"/>
          <w:lang w:val="en-US" w:eastAsia="zh-CN"/>
        </w:rPr>
        <w:t>8.2评分标准需提供得证明材料</w:t>
      </w:r>
    </w:p>
    <w:p w14:paraId="2EEB5952">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2F5C5496">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615549B2">
      <w:pPr>
        <w:pStyle w:val="13"/>
        <w:spacing w:beforeAutospacing="0" w:afterAutospacing="0" w:line="480" w:lineRule="auto"/>
        <w:jc w:val="both"/>
        <w:rPr>
          <w:rFonts w:hint="eastAsia" w:ascii="宋体" w:hAnsi="宋体" w:eastAsia="宋体" w:cs="宋体"/>
          <w:b/>
          <w:bCs/>
          <w:color w:val="auto"/>
          <w:highlight w:val="none"/>
        </w:rPr>
      </w:pPr>
    </w:p>
    <w:p w14:paraId="38E4D5A2">
      <w:pPr>
        <w:pStyle w:val="13"/>
        <w:spacing w:beforeAutospacing="0" w:afterAutospacing="0" w:line="480" w:lineRule="auto"/>
        <w:ind w:firstLine="540" w:firstLineChars="224"/>
        <w:jc w:val="both"/>
        <w:rPr>
          <w:rFonts w:hint="eastAsia" w:ascii="宋体" w:hAnsi="宋体" w:eastAsia="宋体" w:cs="宋体"/>
          <w:b/>
          <w:bCs w:val="0"/>
          <w:color w:val="auto"/>
          <w:sz w:val="24"/>
          <w:szCs w:val="24"/>
          <w:highlight w:val="none"/>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w:t>
      </w:r>
      <w:r>
        <w:rPr>
          <w:rFonts w:hint="eastAsia"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 xml:space="preserve"> 供应商认为其他应提供的证明材料</w:t>
      </w:r>
    </w:p>
    <w:p w14:paraId="4034FCD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bookmarkEnd w:id="72"/>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509E0B-3F20-4DBE-812A-EEC61607ED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E26F0">
    <w:pPr>
      <w:pStyle w:val="25"/>
      <w:rPr>
        <w:rFonts w:hint="eastAsia"/>
      </w:rPr>
    </w:pPr>
    <w:r>
      <w:rPr>
        <w:rFonts w:hint="eastAsia"/>
        <w:lang w:val="en-US" w:eastAsia="zh-CN"/>
      </w:rPr>
      <w:t xml:space="preserve">                                                      驻马店市中心医院静配中心岩棉彩钢屋面更换项目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4E6FA"/>
    <w:multiLevelType w:val="singleLevel"/>
    <w:tmpl w:val="A5D4E6F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244D"/>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D7ADD"/>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72A03"/>
    <w:rsid w:val="011E110B"/>
    <w:rsid w:val="01525212"/>
    <w:rsid w:val="01564054"/>
    <w:rsid w:val="015C0A67"/>
    <w:rsid w:val="01626374"/>
    <w:rsid w:val="01745FBF"/>
    <w:rsid w:val="017E6D95"/>
    <w:rsid w:val="018D005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11F45"/>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473600"/>
    <w:rsid w:val="04732647"/>
    <w:rsid w:val="047968B1"/>
    <w:rsid w:val="04870542"/>
    <w:rsid w:val="04B30F7A"/>
    <w:rsid w:val="050E236F"/>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0A2B37"/>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E710CA"/>
    <w:rsid w:val="06FB0AC5"/>
    <w:rsid w:val="06FE7278"/>
    <w:rsid w:val="070D2D5D"/>
    <w:rsid w:val="07104A12"/>
    <w:rsid w:val="07111B8D"/>
    <w:rsid w:val="071F7584"/>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57E18"/>
    <w:rsid w:val="083D5C91"/>
    <w:rsid w:val="0847191F"/>
    <w:rsid w:val="08591DC3"/>
    <w:rsid w:val="085B58CB"/>
    <w:rsid w:val="08672793"/>
    <w:rsid w:val="08695E80"/>
    <w:rsid w:val="087C4541"/>
    <w:rsid w:val="087E5595"/>
    <w:rsid w:val="088569E8"/>
    <w:rsid w:val="08955281"/>
    <w:rsid w:val="08A454C4"/>
    <w:rsid w:val="08BC0A60"/>
    <w:rsid w:val="08C52D6F"/>
    <w:rsid w:val="08E42BE4"/>
    <w:rsid w:val="08EB30F3"/>
    <w:rsid w:val="08EF0201"/>
    <w:rsid w:val="08F41DE8"/>
    <w:rsid w:val="093D1475"/>
    <w:rsid w:val="094840A2"/>
    <w:rsid w:val="09491BC8"/>
    <w:rsid w:val="09644C54"/>
    <w:rsid w:val="09737462"/>
    <w:rsid w:val="098B21E0"/>
    <w:rsid w:val="099156C3"/>
    <w:rsid w:val="099A0675"/>
    <w:rsid w:val="099E3CC2"/>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8455AD"/>
    <w:rsid w:val="0A8729A8"/>
    <w:rsid w:val="0A9442B5"/>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7A075E"/>
    <w:rsid w:val="0B8B471A"/>
    <w:rsid w:val="0B924545"/>
    <w:rsid w:val="0B9F3D21"/>
    <w:rsid w:val="0BAC324F"/>
    <w:rsid w:val="0BB40DF1"/>
    <w:rsid w:val="0BC11EE9"/>
    <w:rsid w:val="0BCC62FA"/>
    <w:rsid w:val="0BF16C73"/>
    <w:rsid w:val="0BF72F1E"/>
    <w:rsid w:val="0BF9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24651"/>
    <w:rsid w:val="0EE4129D"/>
    <w:rsid w:val="0F171032"/>
    <w:rsid w:val="0F335E69"/>
    <w:rsid w:val="0F372614"/>
    <w:rsid w:val="0F3D59C9"/>
    <w:rsid w:val="0F515A6B"/>
    <w:rsid w:val="0F516D5A"/>
    <w:rsid w:val="0F565B36"/>
    <w:rsid w:val="0F684933"/>
    <w:rsid w:val="0F6E2388"/>
    <w:rsid w:val="0F751969"/>
    <w:rsid w:val="0F821E7D"/>
    <w:rsid w:val="0FB3423F"/>
    <w:rsid w:val="0FC91CB4"/>
    <w:rsid w:val="0FCA42ED"/>
    <w:rsid w:val="0FDB5F4F"/>
    <w:rsid w:val="0FE7592C"/>
    <w:rsid w:val="0FFC17A5"/>
    <w:rsid w:val="0FFD20F0"/>
    <w:rsid w:val="10142F30"/>
    <w:rsid w:val="1019743B"/>
    <w:rsid w:val="10352857"/>
    <w:rsid w:val="103E6E57"/>
    <w:rsid w:val="1041497B"/>
    <w:rsid w:val="10425FF6"/>
    <w:rsid w:val="105C6685"/>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6E6670"/>
    <w:rsid w:val="11700D10"/>
    <w:rsid w:val="1178125A"/>
    <w:rsid w:val="118441E0"/>
    <w:rsid w:val="1196056D"/>
    <w:rsid w:val="11B85B3D"/>
    <w:rsid w:val="11CD20A0"/>
    <w:rsid w:val="11D34654"/>
    <w:rsid w:val="11E61731"/>
    <w:rsid w:val="12010480"/>
    <w:rsid w:val="12062D4C"/>
    <w:rsid w:val="120E707F"/>
    <w:rsid w:val="121D0051"/>
    <w:rsid w:val="12413D84"/>
    <w:rsid w:val="127A7D1C"/>
    <w:rsid w:val="12836D8B"/>
    <w:rsid w:val="12993BC0"/>
    <w:rsid w:val="12AB0349"/>
    <w:rsid w:val="12B66520"/>
    <w:rsid w:val="12CD57F1"/>
    <w:rsid w:val="12CE5941"/>
    <w:rsid w:val="12CE7AFA"/>
    <w:rsid w:val="12D67466"/>
    <w:rsid w:val="13036052"/>
    <w:rsid w:val="130C439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92D96"/>
    <w:rsid w:val="151C63E2"/>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5E56E12"/>
    <w:rsid w:val="16005D04"/>
    <w:rsid w:val="161517B0"/>
    <w:rsid w:val="161D09ED"/>
    <w:rsid w:val="162323A3"/>
    <w:rsid w:val="162F30B1"/>
    <w:rsid w:val="1650762F"/>
    <w:rsid w:val="16510F12"/>
    <w:rsid w:val="166448F9"/>
    <w:rsid w:val="1677211D"/>
    <w:rsid w:val="16774218"/>
    <w:rsid w:val="167954F9"/>
    <w:rsid w:val="16841080"/>
    <w:rsid w:val="169311EC"/>
    <w:rsid w:val="169C5A2D"/>
    <w:rsid w:val="169F7296"/>
    <w:rsid w:val="16A060BA"/>
    <w:rsid w:val="16A57EAF"/>
    <w:rsid w:val="16A918E4"/>
    <w:rsid w:val="16AC6E3F"/>
    <w:rsid w:val="16AE652A"/>
    <w:rsid w:val="16B56AEF"/>
    <w:rsid w:val="16B74615"/>
    <w:rsid w:val="16BE143E"/>
    <w:rsid w:val="16C872D5"/>
    <w:rsid w:val="16D54FA3"/>
    <w:rsid w:val="16D84D9F"/>
    <w:rsid w:val="16E94D3E"/>
    <w:rsid w:val="170D06E0"/>
    <w:rsid w:val="17233E03"/>
    <w:rsid w:val="17332185"/>
    <w:rsid w:val="17475951"/>
    <w:rsid w:val="175B7696"/>
    <w:rsid w:val="175C542D"/>
    <w:rsid w:val="175D0ED4"/>
    <w:rsid w:val="1767428D"/>
    <w:rsid w:val="17793FC0"/>
    <w:rsid w:val="17885FB1"/>
    <w:rsid w:val="179D33A9"/>
    <w:rsid w:val="179F2E61"/>
    <w:rsid w:val="17A06264"/>
    <w:rsid w:val="17BE19D3"/>
    <w:rsid w:val="17C227C0"/>
    <w:rsid w:val="17D66D7C"/>
    <w:rsid w:val="17DE0EDF"/>
    <w:rsid w:val="17EE5BFF"/>
    <w:rsid w:val="17F11DA8"/>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9CC03D7"/>
    <w:rsid w:val="1A125525"/>
    <w:rsid w:val="1A4A57A0"/>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24981"/>
    <w:rsid w:val="1C4E77C9"/>
    <w:rsid w:val="1C555978"/>
    <w:rsid w:val="1C6554A1"/>
    <w:rsid w:val="1C705992"/>
    <w:rsid w:val="1C7971B7"/>
    <w:rsid w:val="1C8036FB"/>
    <w:rsid w:val="1C917D91"/>
    <w:rsid w:val="1CA70C88"/>
    <w:rsid w:val="1CAB1D11"/>
    <w:rsid w:val="1CAB2820"/>
    <w:rsid w:val="1CBB4733"/>
    <w:rsid w:val="1CD402EC"/>
    <w:rsid w:val="1CDF6F49"/>
    <w:rsid w:val="1CED16EF"/>
    <w:rsid w:val="1CF02333"/>
    <w:rsid w:val="1D036806"/>
    <w:rsid w:val="1D047E88"/>
    <w:rsid w:val="1D0C33A2"/>
    <w:rsid w:val="1D0C4F8F"/>
    <w:rsid w:val="1D113E6E"/>
    <w:rsid w:val="1D114E5E"/>
    <w:rsid w:val="1D1F0050"/>
    <w:rsid w:val="1D214EDE"/>
    <w:rsid w:val="1D2222DC"/>
    <w:rsid w:val="1D3F4C0C"/>
    <w:rsid w:val="1D5144F7"/>
    <w:rsid w:val="1D5B3CDE"/>
    <w:rsid w:val="1D5D0701"/>
    <w:rsid w:val="1D6E2950"/>
    <w:rsid w:val="1D79298C"/>
    <w:rsid w:val="1D98209B"/>
    <w:rsid w:val="1DA23746"/>
    <w:rsid w:val="1DAA14B9"/>
    <w:rsid w:val="1DD04513"/>
    <w:rsid w:val="1DD8524D"/>
    <w:rsid w:val="1DDD2BCB"/>
    <w:rsid w:val="1DE71C83"/>
    <w:rsid w:val="1E0345E3"/>
    <w:rsid w:val="1E1B7B7F"/>
    <w:rsid w:val="1E214A6A"/>
    <w:rsid w:val="1E443370"/>
    <w:rsid w:val="1E55658F"/>
    <w:rsid w:val="1E656063"/>
    <w:rsid w:val="1E6B06A5"/>
    <w:rsid w:val="1E7554E1"/>
    <w:rsid w:val="1E7F7D9E"/>
    <w:rsid w:val="1E840DA4"/>
    <w:rsid w:val="1EA00084"/>
    <w:rsid w:val="1EA5444C"/>
    <w:rsid w:val="1EA5569B"/>
    <w:rsid w:val="1EB350EF"/>
    <w:rsid w:val="1EC21749"/>
    <w:rsid w:val="1EEB7C4E"/>
    <w:rsid w:val="1EFE0DA3"/>
    <w:rsid w:val="1F072441"/>
    <w:rsid w:val="1F171B83"/>
    <w:rsid w:val="1F293DB9"/>
    <w:rsid w:val="1F2D4691"/>
    <w:rsid w:val="1F2D491A"/>
    <w:rsid w:val="1F3F789D"/>
    <w:rsid w:val="1F4E5D32"/>
    <w:rsid w:val="1F503858"/>
    <w:rsid w:val="1F66355F"/>
    <w:rsid w:val="1F7369C7"/>
    <w:rsid w:val="1F7F5EEC"/>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4C004F"/>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2F95FB5"/>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2E3B0A"/>
    <w:rsid w:val="25302410"/>
    <w:rsid w:val="253D03DB"/>
    <w:rsid w:val="255120D8"/>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950FE"/>
    <w:rsid w:val="277E30D2"/>
    <w:rsid w:val="27803F2A"/>
    <w:rsid w:val="278A18D2"/>
    <w:rsid w:val="27983FEE"/>
    <w:rsid w:val="27A34941"/>
    <w:rsid w:val="27A97FAA"/>
    <w:rsid w:val="27B64432"/>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CD4916"/>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15D21"/>
    <w:rsid w:val="2BD96984"/>
    <w:rsid w:val="2BDB5A88"/>
    <w:rsid w:val="2BDB6BA0"/>
    <w:rsid w:val="2BE91C37"/>
    <w:rsid w:val="2BEC3F72"/>
    <w:rsid w:val="2C083572"/>
    <w:rsid w:val="2C185F94"/>
    <w:rsid w:val="2C1F1AC4"/>
    <w:rsid w:val="2C2945BA"/>
    <w:rsid w:val="2C2E71FC"/>
    <w:rsid w:val="2C3167C0"/>
    <w:rsid w:val="2C3F3A41"/>
    <w:rsid w:val="2C4431C4"/>
    <w:rsid w:val="2C46226B"/>
    <w:rsid w:val="2C55747C"/>
    <w:rsid w:val="2C62059F"/>
    <w:rsid w:val="2C6634FA"/>
    <w:rsid w:val="2C7566AC"/>
    <w:rsid w:val="2C7843EE"/>
    <w:rsid w:val="2C9C00DD"/>
    <w:rsid w:val="2CA25191"/>
    <w:rsid w:val="2CAC022C"/>
    <w:rsid w:val="2CB82A3D"/>
    <w:rsid w:val="2CC11807"/>
    <w:rsid w:val="2CC66CD6"/>
    <w:rsid w:val="2CCA2E9C"/>
    <w:rsid w:val="2CE327BC"/>
    <w:rsid w:val="2CF16074"/>
    <w:rsid w:val="2CF81D1B"/>
    <w:rsid w:val="2CFD5683"/>
    <w:rsid w:val="2D3F2453"/>
    <w:rsid w:val="2D4743E0"/>
    <w:rsid w:val="2D536CB5"/>
    <w:rsid w:val="2D6F134E"/>
    <w:rsid w:val="2D835174"/>
    <w:rsid w:val="2D856DA1"/>
    <w:rsid w:val="2D9331F9"/>
    <w:rsid w:val="2D99461C"/>
    <w:rsid w:val="2DA541FC"/>
    <w:rsid w:val="2DD90B7B"/>
    <w:rsid w:val="2DD92C6B"/>
    <w:rsid w:val="2DDD3FC1"/>
    <w:rsid w:val="2DE41E6C"/>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37C88"/>
    <w:rsid w:val="2F3B6922"/>
    <w:rsid w:val="2F3D7B25"/>
    <w:rsid w:val="2F480119"/>
    <w:rsid w:val="2F506C6D"/>
    <w:rsid w:val="2F512253"/>
    <w:rsid w:val="2F51291F"/>
    <w:rsid w:val="2F55758A"/>
    <w:rsid w:val="2F68074A"/>
    <w:rsid w:val="2F7F15AE"/>
    <w:rsid w:val="2F912594"/>
    <w:rsid w:val="2FA54796"/>
    <w:rsid w:val="2FA674E2"/>
    <w:rsid w:val="2FA774C5"/>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70A02"/>
    <w:rsid w:val="306D3B35"/>
    <w:rsid w:val="307153DD"/>
    <w:rsid w:val="3083092C"/>
    <w:rsid w:val="30930D2E"/>
    <w:rsid w:val="30B8125D"/>
    <w:rsid w:val="30B87D63"/>
    <w:rsid w:val="30BF439A"/>
    <w:rsid w:val="30CF6A37"/>
    <w:rsid w:val="30D250CF"/>
    <w:rsid w:val="30D3355A"/>
    <w:rsid w:val="30E7260A"/>
    <w:rsid w:val="30ED7159"/>
    <w:rsid w:val="31002970"/>
    <w:rsid w:val="31012F78"/>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326DEE"/>
    <w:rsid w:val="32422E70"/>
    <w:rsid w:val="325E56C6"/>
    <w:rsid w:val="3275698A"/>
    <w:rsid w:val="327C0679"/>
    <w:rsid w:val="32870EE7"/>
    <w:rsid w:val="32943B86"/>
    <w:rsid w:val="32A93829"/>
    <w:rsid w:val="32B943EC"/>
    <w:rsid w:val="32B9519B"/>
    <w:rsid w:val="32D22AAA"/>
    <w:rsid w:val="32DC63A0"/>
    <w:rsid w:val="32E429C1"/>
    <w:rsid w:val="330503EE"/>
    <w:rsid w:val="33274478"/>
    <w:rsid w:val="333E1EEE"/>
    <w:rsid w:val="334045BE"/>
    <w:rsid w:val="334A3B2A"/>
    <w:rsid w:val="334E5EA9"/>
    <w:rsid w:val="335133F7"/>
    <w:rsid w:val="3365592E"/>
    <w:rsid w:val="336A31F3"/>
    <w:rsid w:val="336F5D12"/>
    <w:rsid w:val="336F6533"/>
    <w:rsid w:val="337E5E2F"/>
    <w:rsid w:val="3384610D"/>
    <w:rsid w:val="33886F33"/>
    <w:rsid w:val="33A9069D"/>
    <w:rsid w:val="33AA5979"/>
    <w:rsid w:val="33AB32FB"/>
    <w:rsid w:val="33C03E90"/>
    <w:rsid w:val="33C96649"/>
    <w:rsid w:val="33CC3D88"/>
    <w:rsid w:val="33D939C5"/>
    <w:rsid w:val="33DD0306"/>
    <w:rsid w:val="33FD3B57"/>
    <w:rsid w:val="33FD722F"/>
    <w:rsid w:val="3400362D"/>
    <w:rsid w:val="340B09C5"/>
    <w:rsid w:val="341E4CAB"/>
    <w:rsid w:val="34205B4A"/>
    <w:rsid w:val="34584EE2"/>
    <w:rsid w:val="347A1C51"/>
    <w:rsid w:val="347D373F"/>
    <w:rsid w:val="34922A93"/>
    <w:rsid w:val="34956481"/>
    <w:rsid w:val="34A35871"/>
    <w:rsid w:val="34C06C9D"/>
    <w:rsid w:val="34C71A6F"/>
    <w:rsid w:val="34C93A39"/>
    <w:rsid w:val="34DF24AE"/>
    <w:rsid w:val="34E97C37"/>
    <w:rsid w:val="351C4931"/>
    <w:rsid w:val="351C4EAC"/>
    <w:rsid w:val="351D4C26"/>
    <w:rsid w:val="351F365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579CB"/>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8C380B"/>
    <w:rsid w:val="38A53DB7"/>
    <w:rsid w:val="38BF3388"/>
    <w:rsid w:val="38CC268D"/>
    <w:rsid w:val="38DF1FDA"/>
    <w:rsid w:val="38EC2960"/>
    <w:rsid w:val="38EE7F12"/>
    <w:rsid w:val="390069DD"/>
    <w:rsid w:val="3902603A"/>
    <w:rsid w:val="39030CF9"/>
    <w:rsid w:val="39091F35"/>
    <w:rsid w:val="392536E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BC7B9C"/>
    <w:rsid w:val="3AC566E3"/>
    <w:rsid w:val="3AD6747A"/>
    <w:rsid w:val="3AD95C48"/>
    <w:rsid w:val="3ADF5D0A"/>
    <w:rsid w:val="3B0F23C2"/>
    <w:rsid w:val="3B312338"/>
    <w:rsid w:val="3B3C5B77"/>
    <w:rsid w:val="3B3D0FF2"/>
    <w:rsid w:val="3B44206B"/>
    <w:rsid w:val="3B501351"/>
    <w:rsid w:val="3B521A18"/>
    <w:rsid w:val="3B741699"/>
    <w:rsid w:val="3B8D2B96"/>
    <w:rsid w:val="3B90705F"/>
    <w:rsid w:val="3B923660"/>
    <w:rsid w:val="3B9C3C56"/>
    <w:rsid w:val="3BB16FD5"/>
    <w:rsid w:val="3BCA44BE"/>
    <w:rsid w:val="3BD172B6"/>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5175E2"/>
    <w:rsid w:val="3F56276A"/>
    <w:rsid w:val="3F6C10E0"/>
    <w:rsid w:val="3F6F78D3"/>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6F44"/>
    <w:rsid w:val="40FD480A"/>
    <w:rsid w:val="41176A48"/>
    <w:rsid w:val="411B59C4"/>
    <w:rsid w:val="412A32F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486FC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027FD"/>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C05A0"/>
    <w:rsid w:val="45392A13"/>
    <w:rsid w:val="453E3FCF"/>
    <w:rsid w:val="454F1836"/>
    <w:rsid w:val="45617CBE"/>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380A1F"/>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E3CB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104D6"/>
    <w:rsid w:val="4AE724D1"/>
    <w:rsid w:val="4AE77140"/>
    <w:rsid w:val="4AEA4061"/>
    <w:rsid w:val="4AEB3612"/>
    <w:rsid w:val="4AED707B"/>
    <w:rsid w:val="4AFA2F07"/>
    <w:rsid w:val="4B015D61"/>
    <w:rsid w:val="4B0B7979"/>
    <w:rsid w:val="4B1530DD"/>
    <w:rsid w:val="4B1D6435"/>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9D5CA4"/>
    <w:rsid w:val="4CB75F07"/>
    <w:rsid w:val="4CC4733F"/>
    <w:rsid w:val="4CC84335"/>
    <w:rsid w:val="4CD22B0F"/>
    <w:rsid w:val="4CDA3E72"/>
    <w:rsid w:val="4CE4545C"/>
    <w:rsid w:val="4CE9350A"/>
    <w:rsid w:val="4D014937"/>
    <w:rsid w:val="4D1E2466"/>
    <w:rsid w:val="4D2256CD"/>
    <w:rsid w:val="4D225F85"/>
    <w:rsid w:val="4D297BF3"/>
    <w:rsid w:val="4D2D0EAF"/>
    <w:rsid w:val="4D333CEE"/>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133F60"/>
    <w:rsid w:val="4E2423AC"/>
    <w:rsid w:val="4E261AA5"/>
    <w:rsid w:val="4E287F63"/>
    <w:rsid w:val="4E304B5D"/>
    <w:rsid w:val="4E3F66C2"/>
    <w:rsid w:val="4E611B8B"/>
    <w:rsid w:val="4E6279D7"/>
    <w:rsid w:val="4E682F8C"/>
    <w:rsid w:val="4E6A7BB7"/>
    <w:rsid w:val="4E6C5D89"/>
    <w:rsid w:val="4E9133C2"/>
    <w:rsid w:val="4EB23220"/>
    <w:rsid w:val="4EC2357B"/>
    <w:rsid w:val="4EC6704C"/>
    <w:rsid w:val="4EC866B8"/>
    <w:rsid w:val="4ED46303"/>
    <w:rsid w:val="4EE661F8"/>
    <w:rsid w:val="4EF27A04"/>
    <w:rsid w:val="4F0773B4"/>
    <w:rsid w:val="4F0973FC"/>
    <w:rsid w:val="4F0C69BB"/>
    <w:rsid w:val="4F241019"/>
    <w:rsid w:val="4F307BB1"/>
    <w:rsid w:val="4F336227"/>
    <w:rsid w:val="4F3C3EF2"/>
    <w:rsid w:val="4F3D562D"/>
    <w:rsid w:val="4F4E6C44"/>
    <w:rsid w:val="4F552641"/>
    <w:rsid w:val="4F5C4EE0"/>
    <w:rsid w:val="4F681AF1"/>
    <w:rsid w:val="4F6E1972"/>
    <w:rsid w:val="4F943166"/>
    <w:rsid w:val="4F9C19A5"/>
    <w:rsid w:val="4FBA02A1"/>
    <w:rsid w:val="4FC275AB"/>
    <w:rsid w:val="4FD86DCF"/>
    <w:rsid w:val="4FE7106E"/>
    <w:rsid w:val="4FF82FCD"/>
    <w:rsid w:val="4FFC288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1E31BF"/>
    <w:rsid w:val="52287B99"/>
    <w:rsid w:val="52382F2A"/>
    <w:rsid w:val="52386E3D"/>
    <w:rsid w:val="523A7DD1"/>
    <w:rsid w:val="523B7711"/>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06410"/>
    <w:rsid w:val="538452A3"/>
    <w:rsid w:val="539A4AC7"/>
    <w:rsid w:val="53A44D07"/>
    <w:rsid w:val="53A46AC8"/>
    <w:rsid w:val="53AB7F1F"/>
    <w:rsid w:val="53AC6F7B"/>
    <w:rsid w:val="53C01F4F"/>
    <w:rsid w:val="53C421A6"/>
    <w:rsid w:val="53EB297B"/>
    <w:rsid w:val="53EC4BF7"/>
    <w:rsid w:val="53F671DE"/>
    <w:rsid w:val="53F758A1"/>
    <w:rsid w:val="540D5A7F"/>
    <w:rsid w:val="542E2BC2"/>
    <w:rsid w:val="54352A96"/>
    <w:rsid w:val="54447390"/>
    <w:rsid w:val="544B514D"/>
    <w:rsid w:val="545E1D01"/>
    <w:rsid w:val="54674051"/>
    <w:rsid w:val="5472334E"/>
    <w:rsid w:val="54935B8F"/>
    <w:rsid w:val="54996B2C"/>
    <w:rsid w:val="549D3677"/>
    <w:rsid w:val="54B03E76"/>
    <w:rsid w:val="54BB2F47"/>
    <w:rsid w:val="54BF230B"/>
    <w:rsid w:val="54CC6227"/>
    <w:rsid w:val="54D10F9B"/>
    <w:rsid w:val="54D97871"/>
    <w:rsid w:val="54DC4C6B"/>
    <w:rsid w:val="54FE4380"/>
    <w:rsid w:val="550B5550"/>
    <w:rsid w:val="551D586C"/>
    <w:rsid w:val="55200298"/>
    <w:rsid w:val="55335E1B"/>
    <w:rsid w:val="5536079B"/>
    <w:rsid w:val="554B7EF0"/>
    <w:rsid w:val="556F3D99"/>
    <w:rsid w:val="556F788D"/>
    <w:rsid w:val="55720837"/>
    <w:rsid w:val="557C63C9"/>
    <w:rsid w:val="55860894"/>
    <w:rsid w:val="558F6181"/>
    <w:rsid w:val="55B02DF1"/>
    <w:rsid w:val="55C4407D"/>
    <w:rsid w:val="55D47A00"/>
    <w:rsid w:val="55D5456D"/>
    <w:rsid w:val="55DC290C"/>
    <w:rsid w:val="55E71B19"/>
    <w:rsid w:val="55EA5D64"/>
    <w:rsid w:val="55F01FA1"/>
    <w:rsid w:val="55FC19B9"/>
    <w:rsid w:val="56130B60"/>
    <w:rsid w:val="56234F28"/>
    <w:rsid w:val="562C1C22"/>
    <w:rsid w:val="563D5BDD"/>
    <w:rsid w:val="56586573"/>
    <w:rsid w:val="56666B5B"/>
    <w:rsid w:val="56717635"/>
    <w:rsid w:val="56764C4B"/>
    <w:rsid w:val="56837A94"/>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5C2093"/>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23DF0"/>
    <w:rsid w:val="59790BDB"/>
    <w:rsid w:val="597E3F42"/>
    <w:rsid w:val="598653AC"/>
    <w:rsid w:val="59AC10B0"/>
    <w:rsid w:val="59AC3C86"/>
    <w:rsid w:val="59B461B6"/>
    <w:rsid w:val="59B817D3"/>
    <w:rsid w:val="59C11856"/>
    <w:rsid w:val="59C153AB"/>
    <w:rsid w:val="59D10B16"/>
    <w:rsid w:val="59D42FDA"/>
    <w:rsid w:val="59D70DF6"/>
    <w:rsid w:val="59DA4E01"/>
    <w:rsid w:val="59F64E82"/>
    <w:rsid w:val="5A0A5DD6"/>
    <w:rsid w:val="5A10435C"/>
    <w:rsid w:val="5A111C53"/>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86B45"/>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1230F"/>
    <w:rsid w:val="603814FF"/>
    <w:rsid w:val="604109A8"/>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838CB"/>
    <w:rsid w:val="615F221E"/>
    <w:rsid w:val="61637D56"/>
    <w:rsid w:val="61712185"/>
    <w:rsid w:val="618B7207"/>
    <w:rsid w:val="61907E69"/>
    <w:rsid w:val="61A90D68"/>
    <w:rsid w:val="61B43A15"/>
    <w:rsid w:val="61DA0425"/>
    <w:rsid w:val="61FB4DD9"/>
    <w:rsid w:val="62065A1D"/>
    <w:rsid w:val="6213792C"/>
    <w:rsid w:val="621775E2"/>
    <w:rsid w:val="621C0D9D"/>
    <w:rsid w:val="622F7552"/>
    <w:rsid w:val="6250406E"/>
    <w:rsid w:val="626369CC"/>
    <w:rsid w:val="6267666C"/>
    <w:rsid w:val="627D6831"/>
    <w:rsid w:val="62811B1C"/>
    <w:rsid w:val="628C2CAA"/>
    <w:rsid w:val="62A20409"/>
    <w:rsid w:val="62AC0373"/>
    <w:rsid w:val="62B54B44"/>
    <w:rsid w:val="62CE02E9"/>
    <w:rsid w:val="62D41677"/>
    <w:rsid w:val="62E045DA"/>
    <w:rsid w:val="62E23D94"/>
    <w:rsid w:val="62E454A1"/>
    <w:rsid w:val="62E95123"/>
    <w:rsid w:val="62EF025F"/>
    <w:rsid w:val="62F36E4C"/>
    <w:rsid w:val="62F47F8F"/>
    <w:rsid w:val="62F7233F"/>
    <w:rsid w:val="631B2E02"/>
    <w:rsid w:val="631F3FB4"/>
    <w:rsid w:val="63273E9D"/>
    <w:rsid w:val="63364F75"/>
    <w:rsid w:val="6340438B"/>
    <w:rsid w:val="6353238E"/>
    <w:rsid w:val="63556314"/>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A23AF2"/>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7903E5"/>
    <w:rsid w:val="6A8219B9"/>
    <w:rsid w:val="6A822A1B"/>
    <w:rsid w:val="6A8641F2"/>
    <w:rsid w:val="6A9701A5"/>
    <w:rsid w:val="6AA03032"/>
    <w:rsid w:val="6AA86FEC"/>
    <w:rsid w:val="6AB06526"/>
    <w:rsid w:val="6ACB20F7"/>
    <w:rsid w:val="6AD54E94"/>
    <w:rsid w:val="6ADA6AC4"/>
    <w:rsid w:val="6ADB11D6"/>
    <w:rsid w:val="6B0E5024"/>
    <w:rsid w:val="6B1A2C3C"/>
    <w:rsid w:val="6B221F4E"/>
    <w:rsid w:val="6B31644D"/>
    <w:rsid w:val="6B486C86"/>
    <w:rsid w:val="6B546244"/>
    <w:rsid w:val="6B554C72"/>
    <w:rsid w:val="6B560C49"/>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078F9"/>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A311E"/>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174DC6"/>
    <w:rsid w:val="6F1A6664"/>
    <w:rsid w:val="6F1E2E65"/>
    <w:rsid w:val="6F26325B"/>
    <w:rsid w:val="6F286FD3"/>
    <w:rsid w:val="6F2F2D9E"/>
    <w:rsid w:val="6F3A05FC"/>
    <w:rsid w:val="6F4147D9"/>
    <w:rsid w:val="6F581F47"/>
    <w:rsid w:val="6F5B0D5A"/>
    <w:rsid w:val="6F5C35EA"/>
    <w:rsid w:val="6F63625D"/>
    <w:rsid w:val="6F6B6A15"/>
    <w:rsid w:val="6F947E4B"/>
    <w:rsid w:val="6F9957DB"/>
    <w:rsid w:val="6FA30BDA"/>
    <w:rsid w:val="6FB21D4C"/>
    <w:rsid w:val="6FB80698"/>
    <w:rsid w:val="6FDE7692"/>
    <w:rsid w:val="6FFD5E0F"/>
    <w:rsid w:val="70076BE8"/>
    <w:rsid w:val="701021F4"/>
    <w:rsid w:val="701C29A6"/>
    <w:rsid w:val="7024611F"/>
    <w:rsid w:val="702F7EED"/>
    <w:rsid w:val="70370356"/>
    <w:rsid w:val="7038498C"/>
    <w:rsid w:val="703F45D4"/>
    <w:rsid w:val="70637B96"/>
    <w:rsid w:val="70797317"/>
    <w:rsid w:val="707E201F"/>
    <w:rsid w:val="7099044B"/>
    <w:rsid w:val="709A06E1"/>
    <w:rsid w:val="709D518F"/>
    <w:rsid w:val="709E387E"/>
    <w:rsid w:val="70B76860"/>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5C7408"/>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6F7FEC"/>
    <w:rsid w:val="7294672D"/>
    <w:rsid w:val="7295497F"/>
    <w:rsid w:val="72986FA0"/>
    <w:rsid w:val="72A17C99"/>
    <w:rsid w:val="72A2709C"/>
    <w:rsid w:val="72A5093A"/>
    <w:rsid w:val="72AD7197"/>
    <w:rsid w:val="72AF6F7E"/>
    <w:rsid w:val="72BD2C86"/>
    <w:rsid w:val="72CD226C"/>
    <w:rsid w:val="72D27981"/>
    <w:rsid w:val="73047407"/>
    <w:rsid w:val="73047904"/>
    <w:rsid w:val="73132E9B"/>
    <w:rsid w:val="731A4E85"/>
    <w:rsid w:val="73253EFA"/>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116EF"/>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413F7E"/>
    <w:rsid w:val="77464076"/>
    <w:rsid w:val="7758241F"/>
    <w:rsid w:val="777059BB"/>
    <w:rsid w:val="777A7D22"/>
    <w:rsid w:val="777E28EC"/>
    <w:rsid w:val="77835654"/>
    <w:rsid w:val="7797109C"/>
    <w:rsid w:val="779A2A38"/>
    <w:rsid w:val="77B4450A"/>
    <w:rsid w:val="77B46E73"/>
    <w:rsid w:val="77E37A12"/>
    <w:rsid w:val="77F04406"/>
    <w:rsid w:val="77F42148"/>
    <w:rsid w:val="77FE3468"/>
    <w:rsid w:val="780B1240"/>
    <w:rsid w:val="782347DB"/>
    <w:rsid w:val="78250553"/>
    <w:rsid w:val="783B17B1"/>
    <w:rsid w:val="784E2046"/>
    <w:rsid w:val="78546F0C"/>
    <w:rsid w:val="786778FE"/>
    <w:rsid w:val="786E7DB4"/>
    <w:rsid w:val="789D588A"/>
    <w:rsid w:val="78B65E3A"/>
    <w:rsid w:val="78C95383"/>
    <w:rsid w:val="78D87374"/>
    <w:rsid w:val="78E0091E"/>
    <w:rsid w:val="78EB11BD"/>
    <w:rsid w:val="78EE1C79"/>
    <w:rsid w:val="78F85605"/>
    <w:rsid w:val="78FA66FA"/>
    <w:rsid w:val="792F0F5E"/>
    <w:rsid w:val="79345B6A"/>
    <w:rsid w:val="79424F6E"/>
    <w:rsid w:val="794F33AE"/>
    <w:rsid w:val="795310F0"/>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CC115A"/>
    <w:rsid w:val="7AD60EB8"/>
    <w:rsid w:val="7ADA73A4"/>
    <w:rsid w:val="7AE55396"/>
    <w:rsid w:val="7AE66B99"/>
    <w:rsid w:val="7AF34646"/>
    <w:rsid w:val="7AFE508C"/>
    <w:rsid w:val="7B0A3BCA"/>
    <w:rsid w:val="7B1C0EF4"/>
    <w:rsid w:val="7B1E510C"/>
    <w:rsid w:val="7B212805"/>
    <w:rsid w:val="7B234AF2"/>
    <w:rsid w:val="7B2E5971"/>
    <w:rsid w:val="7B31720F"/>
    <w:rsid w:val="7B345AA9"/>
    <w:rsid w:val="7B4048C1"/>
    <w:rsid w:val="7B4C4049"/>
    <w:rsid w:val="7B4C5DF7"/>
    <w:rsid w:val="7B73082F"/>
    <w:rsid w:val="7B7B492E"/>
    <w:rsid w:val="7B98728E"/>
    <w:rsid w:val="7B9A3D1D"/>
    <w:rsid w:val="7BB46FBD"/>
    <w:rsid w:val="7BC62E00"/>
    <w:rsid w:val="7BC73B55"/>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72E8E"/>
    <w:rsid w:val="7C8A6570"/>
    <w:rsid w:val="7C8B7390"/>
    <w:rsid w:val="7C9B0D0E"/>
    <w:rsid w:val="7CA42B03"/>
    <w:rsid w:val="7CC55E61"/>
    <w:rsid w:val="7CCB71F0"/>
    <w:rsid w:val="7CCC5441"/>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E9455C"/>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11286</Words>
  <Characters>11817</Characters>
  <Lines>50</Lines>
  <Paragraphs>68</Paragraphs>
  <TotalTime>11</TotalTime>
  <ScaleCrop>false</ScaleCrop>
  <LinksUpToDate>false</LinksUpToDate>
  <CharactersWithSpaces>12656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2026-07-13T09:03:00Z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