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8487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驻马店市中心医院YAG眼科激光治疗仪、眼科超声雾化器采购项目</w:t>
      </w:r>
    </w:p>
    <w:p w14:paraId="43B7407E">
      <w:pPr>
        <w:pStyle w:val="20"/>
        <w:bidi w:val="0"/>
        <w:jc w:val="center"/>
        <w:rPr>
          <w:rStyle w:val="45"/>
          <w:rFonts w:hint="eastAsia" w:ascii="黑体" w:hAnsi="黑体" w:eastAsia="黑体" w:cs="黑体"/>
          <w:b/>
          <w:bCs/>
          <w:color w:val="auto"/>
          <w:sz w:val="44"/>
          <w:szCs w:val="44"/>
          <w:highlight w:val="none"/>
          <w:lang w:val="en-US" w:eastAsia="zh-CN"/>
        </w:rPr>
      </w:pPr>
    </w:p>
    <w:p w14:paraId="3041D311">
      <w:pPr>
        <w:pStyle w:val="20"/>
        <w:bidi w:val="0"/>
        <w:jc w:val="center"/>
        <w:rPr>
          <w:rStyle w:val="45"/>
          <w:rFonts w:hint="eastAsia" w:ascii="黑体" w:hAnsi="黑体" w:eastAsia="黑体" w:cs="黑体"/>
          <w:b/>
          <w:bCs/>
          <w:color w:val="auto"/>
          <w:sz w:val="44"/>
          <w:szCs w:val="44"/>
          <w:highlight w:val="none"/>
          <w:lang w:val="en-US" w:eastAsia="zh-CN"/>
        </w:rPr>
      </w:pPr>
    </w:p>
    <w:p w14:paraId="19B6CFE4">
      <w:pPr>
        <w:pStyle w:val="20"/>
        <w:bidi w:val="0"/>
        <w:jc w:val="center"/>
        <w:rPr>
          <w:rStyle w:val="45"/>
          <w:rFonts w:hint="eastAsia" w:ascii="黑体" w:hAnsi="黑体" w:eastAsia="黑体" w:cs="黑体"/>
          <w:b/>
          <w:bCs/>
          <w:color w:val="auto"/>
          <w:sz w:val="44"/>
          <w:szCs w:val="44"/>
          <w:highlight w:val="none"/>
          <w:lang w:val="en-US" w:eastAsia="zh-CN"/>
        </w:rPr>
      </w:pPr>
    </w:p>
    <w:p w14:paraId="72164425">
      <w:pPr>
        <w:pStyle w:val="20"/>
        <w:bidi w:val="0"/>
        <w:jc w:val="center"/>
        <w:rPr>
          <w:rStyle w:val="45"/>
          <w:rFonts w:hint="eastAsia" w:ascii="黑体" w:hAnsi="黑体" w:eastAsia="黑体" w:cs="黑体"/>
          <w:b/>
          <w:bCs/>
          <w:color w:val="auto"/>
          <w:sz w:val="56"/>
          <w:szCs w:val="56"/>
          <w:highlight w:val="none"/>
        </w:rPr>
      </w:pPr>
      <w:r>
        <w:rPr>
          <w:rStyle w:val="45"/>
          <w:rFonts w:hint="eastAsia" w:ascii="黑体" w:hAnsi="黑体" w:eastAsia="黑体" w:cs="黑体"/>
          <w:b/>
          <w:bCs/>
          <w:color w:val="auto"/>
          <w:sz w:val="56"/>
          <w:szCs w:val="56"/>
          <w:highlight w:val="none"/>
          <w:lang w:val="en-US" w:eastAsia="zh-CN"/>
        </w:rPr>
        <w:t>竞争性磋商</w:t>
      </w:r>
      <w:r>
        <w:rPr>
          <w:rStyle w:val="45"/>
          <w:rFonts w:hint="eastAsia" w:ascii="黑体" w:hAnsi="黑体" w:eastAsia="黑体" w:cs="黑体"/>
          <w:b/>
          <w:bCs/>
          <w:color w:val="auto"/>
          <w:sz w:val="56"/>
          <w:szCs w:val="56"/>
          <w:highlight w:val="none"/>
        </w:rPr>
        <w:t>文件</w:t>
      </w:r>
    </w:p>
    <w:p w14:paraId="44E388B3">
      <w:pPr>
        <w:pStyle w:val="20"/>
        <w:bidi w:val="0"/>
        <w:jc w:val="center"/>
        <w:rPr>
          <w:rStyle w:val="45"/>
          <w:rFonts w:hint="eastAsia" w:ascii="黑体" w:hAnsi="黑体" w:eastAsia="黑体" w:cs="黑体"/>
          <w:b/>
          <w:bCs/>
          <w:color w:val="auto"/>
          <w:sz w:val="48"/>
          <w:szCs w:val="48"/>
          <w:highlight w:val="none"/>
        </w:rPr>
      </w:pPr>
    </w:p>
    <w:p w14:paraId="158E927F">
      <w:pPr>
        <w:pStyle w:val="20"/>
        <w:bidi w:val="0"/>
        <w:jc w:val="center"/>
        <w:rPr>
          <w:rStyle w:val="45"/>
          <w:rFonts w:hint="eastAsia" w:ascii="黑体" w:hAnsi="黑体" w:eastAsia="黑体" w:cs="黑体"/>
          <w:b/>
          <w:bCs/>
          <w:color w:val="auto"/>
          <w:sz w:val="48"/>
          <w:szCs w:val="48"/>
          <w:highlight w:val="none"/>
        </w:rPr>
      </w:pPr>
    </w:p>
    <w:p w14:paraId="5ABC8E99">
      <w:pPr>
        <w:pStyle w:val="20"/>
        <w:bidi w:val="0"/>
        <w:jc w:val="center"/>
        <w:rPr>
          <w:rStyle w:val="45"/>
          <w:rFonts w:hint="eastAsia" w:ascii="黑体" w:hAnsi="黑体" w:eastAsia="黑体" w:cs="黑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期：2026年06月</w:t>
      </w:r>
    </w:p>
    <w:p w14:paraId="11E7A050">
      <w:pP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驻马店市中心医院YAG眼科激光治疗仪、眼科超声雾化器采购项目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YAG眼科激光治疗仪、眼科超声雾化器采购项目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驻马店市中心医院YAG眼科激光治疗仪、眼科超声雾化器采购项目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：本项目共划分为两个标包，</w:t>
      </w:r>
      <w:r>
        <w:rPr>
          <w:rFonts w:hint="eastAsia" w:ascii="宋体" w:hAnsi="宋体" w:eastAsia="宋体" w:cs="宋体"/>
          <w:color w:val="auto"/>
          <w:sz w:val="24"/>
          <w:szCs w:val="24"/>
          <w:highlight w:val="none"/>
          <w:shd w:val="clear" w:color="auto" w:fill="FFFFFF"/>
          <w:lang w:val="en-US" w:eastAsia="zh-CN"/>
        </w:rPr>
        <w:t>包1为YAG眼科激光治疗仪，包2为眼科超声雾化器，</w:t>
      </w:r>
      <w:r>
        <w:rPr>
          <w:rFonts w:hint="eastAsia" w:ascii="宋体" w:hAnsi="宋体" w:eastAsia="宋体" w:cs="宋体"/>
          <w:color w:val="auto"/>
          <w:sz w:val="24"/>
          <w:szCs w:val="24"/>
          <w:highlight w:val="none"/>
          <w:shd w:val="clear" w:color="auto" w:fill="FFFFFF"/>
          <w:lang w:eastAsia="zh-CN"/>
        </w:rPr>
        <w:t>具体详见磋商文件第二章采购需求；</w:t>
      </w:r>
    </w:p>
    <w:p w14:paraId="10473C0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1"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41万元；其中</w:t>
      </w:r>
      <w:r>
        <w:rPr>
          <w:rFonts w:hint="eastAsia" w:ascii="宋体" w:hAnsi="宋体" w:eastAsia="宋体" w:cs="宋体"/>
          <w:color w:val="auto"/>
          <w:sz w:val="24"/>
          <w:szCs w:val="24"/>
          <w:highlight w:val="none"/>
          <w:shd w:val="clear" w:color="auto" w:fill="FFFFFF"/>
        </w:rPr>
        <w:t>包1预算：</w:t>
      </w:r>
      <w:r>
        <w:rPr>
          <w:rFonts w:hint="eastAsia" w:ascii="宋体" w:hAnsi="宋体" w:eastAsia="宋体" w:cs="宋体"/>
          <w:color w:val="auto"/>
          <w:sz w:val="24"/>
          <w:szCs w:val="24"/>
          <w:highlight w:val="none"/>
          <w:shd w:val="clear" w:color="auto" w:fill="FFFFFF"/>
          <w:lang w:val="en-US" w:eastAsia="zh-CN"/>
        </w:rPr>
        <w:t>32万</w:t>
      </w:r>
      <w:r>
        <w:rPr>
          <w:rFonts w:hint="eastAsia" w:ascii="宋体" w:hAnsi="宋体" w:eastAsia="宋体" w:cs="宋体"/>
          <w:color w:val="auto"/>
          <w:sz w:val="24"/>
          <w:szCs w:val="24"/>
          <w:highlight w:val="none"/>
          <w:shd w:val="clear" w:color="auto" w:fill="FFFFFF"/>
        </w:rPr>
        <w:t>元</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包2预算：</w:t>
      </w:r>
      <w:r>
        <w:rPr>
          <w:rFonts w:hint="eastAsia" w:ascii="宋体" w:hAnsi="宋体" w:eastAsia="宋体" w:cs="宋体"/>
          <w:color w:val="auto"/>
          <w:sz w:val="24"/>
          <w:szCs w:val="24"/>
          <w:highlight w:val="none"/>
          <w:shd w:val="clear" w:color="auto" w:fill="FFFFFF"/>
          <w:lang w:val="en-US" w:eastAsia="zh-CN"/>
        </w:rPr>
        <w:t>9万</w:t>
      </w:r>
      <w:r>
        <w:rPr>
          <w:rFonts w:hint="eastAsia" w:ascii="宋体" w:hAnsi="宋体" w:eastAsia="宋体" w:cs="宋体"/>
          <w:color w:val="auto"/>
          <w:sz w:val="24"/>
          <w:szCs w:val="24"/>
          <w:highlight w:val="none"/>
          <w:shd w:val="clear" w:color="auto" w:fill="FFFFFF"/>
        </w:rPr>
        <w:t>元</w:t>
      </w:r>
      <w:r>
        <w:rPr>
          <w:rFonts w:hint="eastAsia" w:ascii="宋体" w:hAnsi="宋体" w:eastAsia="宋体" w:cs="宋体"/>
          <w:color w:val="auto"/>
          <w:sz w:val="24"/>
          <w:szCs w:val="24"/>
          <w:highlight w:val="none"/>
          <w:shd w:val="clear" w:color="auto" w:fill="FFFFFF"/>
          <w:lang w:eastAsia="zh-CN"/>
        </w:rPr>
        <w:t>。</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 w:name="_Toc16639"/>
      <w:bookmarkStart w:id="3" w:name="_Toc27704"/>
      <w:bookmarkStart w:id="4" w:name="_Toc18607"/>
      <w:bookmarkStart w:id="5"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1"/>
      <w:bookmarkEnd w:id="2"/>
      <w:bookmarkEnd w:id="3"/>
      <w:bookmarkEnd w:id="4"/>
      <w:bookmarkEnd w:id="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6" w:name="_Toc30643"/>
      <w:bookmarkStart w:id="7" w:name="_Toc23395"/>
      <w:bookmarkStart w:id="8" w:name="_Toc7823"/>
      <w:bookmarkStart w:id="9" w:name="_Toc9562"/>
      <w:bookmarkStart w:id="10" w:name="_Toc30971"/>
      <w:r>
        <w:rPr>
          <w:rFonts w:hint="eastAsia" w:ascii="宋体" w:hAnsi="宋体" w:eastAsia="宋体" w:cs="宋体"/>
          <w:color w:val="auto"/>
          <w:sz w:val="24"/>
          <w:szCs w:val="24"/>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2、具有良好的商业信誉和健全的财务会计制度（提供经审计的2024年或2025年度财务报告或者其基本开户银行出具的资信证明）；</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24"/>
          <w:highlight w:val="none"/>
          <w:shd w:val="clear" w:color="auto" w:fill="FFFFFF"/>
          <w:lang w:val="en-US" w:eastAsia="zh-CN"/>
        </w:rPr>
        <w:t>5、参加本采购活动前三年内，在经营活动中没有重大违法记录（提供书面承诺函）；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提供承诺函</w:t>
      </w:r>
      <w:r>
        <w:rPr>
          <w:rFonts w:hint="eastAsia" w:ascii="宋体" w:hAnsi="宋体" w:eastAsia="宋体" w:cs="宋体"/>
          <w:color w:val="auto"/>
          <w:sz w:val="24"/>
          <w:szCs w:val="24"/>
          <w:highlight w:val="none"/>
          <w:shd w:val="clear" w:color="auto" w:fill="FFFFFF"/>
          <w:lang w:val="en-US" w:eastAsia="zh-CN"/>
        </w:rPr>
        <w:t>）。</w:t>
      </w:r>
    </w:p>
    <w:p w14:paraId="1BD5566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8、本项目特定资格要求：</w:t>
      </w:r>
    </w:p>
    <w:p w14:paraId="3F04E5E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8.1</w:t>
      </w:r>
      <w:r>
        <w:rPr>
          <w:rFonts w:hint="eastAsia" w:ascii="宋体" w:hAnsi="宋体" w:eastAsia="宋体" w:cs="宋体"/>
          <w:color w:val="auto"/>
          <w:kern w:val="2"/>
          <w:sz w:val="24"/>
          <w:szCs w:val="24"/>
          <w:highlight w:val="none"/>
          <w:lang w:val="en-US" w:eastAsia="zh-CN" w:bidi="ar-SA"/>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 w:val="24"/>
          <w:szCs w:val="24"/>
          <w:highlight w:val="none"/>
          <w:shd w:val="clear" w:color="auto" w:fill="FFFFFF"/>
          <w:lang w:val="en-US" w:eastAsia="zh-CN"/>
        </w:rPr>
        <w:t xml:space="preserve">                                  </w:t>
      </w:r>
    </w:p>
    <w:p w14:paraId="7AC8FE6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8.2供应商如为代理商的并所投产品如为进口产品的，需提供拟投产品制造商或中国境内办事处或中国总代理经销商针对本项目的授权书。</w:t>
      </w:r>
      <w:r>
        <w:rPr>
          <w:rFonts w:hint="eastAsia" w:ascii="宋体" w:hAnsi="宋体" w:cs="宋体"/>
          <w:color w:val="auto"/>
          <w:sz w:val="24"/>
          <w:szCs w:val="24"/>
          <w:highlight w:val="none"/>
          <w:shd w:val="clear" w:color="auto" w:fill="FFFFFF"/>
          <w:lang w:val="en-US" w:eastAsia="zh-CN"/>
        </w:rPr>
        <w:t>（该要求仅针对包1）</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6"/>
      <w:bookmarkEnd w:id="7"/>
      <w:bookmarkEnd w:id="8"/>
      <w:bookmarkEnd w:id="9"/>
      <w:bookmarkEnd w:id="10"/>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eastAsia="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1434088236@qq.com,并标明“XX公司XX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1" w:name="_Toc25869"/>
      <w:bookmarkStart w:id="12" w:name="_Toc15111"/>
      <w:bookmarkStart w:id="13" w:name="_Toc27480"/>
      <w:bookmarkStart w:id="14" w:name="_Toc10738"/>
      <w:bookmarkStart w:id="15"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6" w:name="_Toc29784"/>
      <w:bookmarkStart w:id="17" w:name="_Toc6523"/>
      <w:bookmarkStart w:id="18" w:name="_Toc30918"/>
      <w:bookmarkStart w:id="19"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0" w:name="_Toc35393626"/>
      <w:bookmarkStart w:id="21" w:name="_Toc35393795"/>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2" w:name="_Toc24274"/>
      <w:bookmarkStart w:id="23" w:name="_Toc16291"/>
      <w:bookmarkStart w:id="24" w:name="_Toc31928"/>
      <w:bookmarkStart w:id="25" w:name="_Toc3604"/>
      <w:bookmarkStart w:id="26"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FF"/>
          <w:kern w:val="2"/>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FF"/>
          <w:kern w:val="2"/>
          <w:sz w:val="24"/>
          <w:szCs w:val="24"/>
          <w:highlight w:val="none"/>
          <w:shd w:val="clear" w:color="auto" w:fill="FFFFFF"/>
          <w:lang w:val="en-US" w:eastAsia="zh-CN" w:bidi="ar-SA"/>
        </w:rPr>
        <w:t xml:space="preserve"> </w:t>
      </w:r>
      <w:r>
        <w:rPr>
          <w:rFonts w:hint="eastAsia" w:ascii="宋体" w:hAnsi="宋体" w:eastAsia="宋体" w:cs="宋体"/>
          <w:color w:val="auto"/>
          <w:kern w:val="2"/>
          <w:sz w:val="24"/>
          <w:szCs w:val="24"/>
          <w:highlight w:val="none"/>
          <w:shd w:val="clear" w:color="auto" w:fill="FFFFFF"/>
          <w:lang w:val="en-US" w:eastAsia="zh-CN" w:bidi="ar-SA"/>
        </w:rPr>
        <w:t>2026年</w:t>
      </w:r>
      <w:r>
        <w:rPr>
          <w:rFonts w:hint="eastAsia" w:ascii="宋体" w:hAnsi="宋体" w:cs="宋体"/>
          <w:color w:val="auto"/>
          <w:kern w:val="2"/>
          <w:sz w:val="24"/>
          <w:szCs w:val="24"/>
          <w:highlight w:val="none"/>
          <w:shd w:val="clear" w:color="auto" w:fill="FFFFFF"/>
          <w:lang w:val="en-US" w:eastAsia="zh-CN" w:bidi="ar-SA"/>
        </w:rPr>
        <w:t>6</w:t>
      </w:r>
      <w:r>
        <w:rPr>
          <w:rFonts w:hint="eastAsia" w:ascii="宋体" w:hAnsi="宋体" w:eastAsia="宋体" w:cs="宋体"/>
          <w:color w:val="auto"/>
          <w:kern w:val="2"/>
          <w:sz w:val="24"/>
          <w:szCs w:val="24"/>
          <w:highlight w:val="none"/>
          <w:shd w:val="clear" w:color="auto" w:fill="FFFFFF"/>
          <w:lang w:val="en-US" w:eastAsia="zh-CN" w:bidi="ar-SA"/>
        </w:rPr>
        <w:t>月</w:t>
      </w:r>
      <w:r>
        <w:rPr>
          <w:rFonts w:hint="eastAsia" w:ascii="宋体" w:hAnsi="宋体" w:cs="宋体"/>
          <w:color w:val="auto"/>
          <w:kern w:val="2"/>
          <w:sz w:val="24"/>
          <w:szCs w:val="24"/>
          <w:highlight w:val="none"/>
          <w:shd w:val="clear" w:color="auto" w:fill="FFFFFF"/>
          <w:lang w:val="en-US" w:eastAsia="zh-CN" w:bidi="ar-SA"/>
        </w:rPr>
        <w:t>30</w:t>
      </w:r>
      <w:r>
        <w:rPr>
          <w:rFonts w:hint="eastAsia" w:ascii="宋体" w:hAnsi="宋体" w:eastAsia="宋体" w:cs="宋体"/>
          <w:color w:val="auto"/>
          <w:kern w:val="2"/>
          <w:sz w:val="24"/>
          <w:szCs w:val="24"/>
          <w:highlight w:val="none"/>
          <w:shd w:val="clear" w:color="auto" w:fill="FFFFFF"/>
          <w:lang w:val="en-US" w:eastAsia="zh-CN" w:bidi="ar-SA"/>
        </w:rPr>
        <w:t>日</w:t>
      </w:r>
    </w:p>
    <w:p w14:paraId="1C0E0222">
      <w:pPr>
        <w:rPr>
          <w:rFonts w:hint="eastAsia" w:ascii="宋体" w:hAnsi="宋体" w:eastAsia="宋体" w:cs="宋体"/>
          <w:b/>
          <w:color w:val="auto"/>
          <w:sz w:val="32"/>
          <w:szCs w:val="32"/>
          <w:highlight w:val="none"/>
        </w:rPr>
      </w:pPr>
      <w:bookmarkStart w:id="27" w:name="_Toc23793"/>
      <w:bookmarkStart w:id="28"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31536"/>
      <w:bookmarkStart w:id="31" w:name="_Toc9989"/>
      <w:bookmarkStart w:id="32" w:name="_Toc23610"/>
    </w:p>
    <w:bookmarkEnd w:id="27"/>
    <w:bookmarkEnd w:id="28"/>
    <w:bookmarkEnd w:id="30"/>
    <w:bookmarkEnd w:id="31"/>
    <w:bookmarkEnd w:id="32"/>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驻马店市中心医院YAG眼科激光治疗仪、眼科超声雾化器采购项目</w:t>
      </w:r>
    </w:p>
    <w:p w14:paraId="774013EF">
      <w:pPr>
        <w:pStyle w:val="7"/>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32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eastAsia="zh-CN"/>
              </w:rPr>
              <w:t>包号</w:t>
            </w:r>
          </w:p>
        </w:tc>
        <w:tc>
          <w:tcPr>
            <w:tcW w:w="232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包1</w:t>
            </w:r>
          </w:p>
        </w:tc>
        <w:tc>
          <w:tcPr>
            <w:tcW w:w="232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YAG眼科激光治疗仪</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32万元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接受</w:t>
            </w:r>
            <w:r>
              <w:rPr>
                <w:rFonts w:hint="eastAsia" w:ascii="宋体" w:hAnsi="宋体" w:eastAsia="宋体" w:cs="宋体"/>
                <w:color w:val="auto"/>
                <w:sz w:val="24"/>
                <w:szCs w:val="24"/>
                <w:highlight w:val="none"/>
                <w:vertAlign w:val="baseline"/>
                <w:lang w:val="en-US" w:eastAsia="zh-CN"/>
              </w:rPr>
              <w:t>进口</w:t>
            </w:r>
          </w:p>
        </w:tc>
      </w:tr>
      <w:tr w14:paraId="3E0E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shd w:val="clear" w:color="auto" w:fill="auto"/>
            <w:vAlign w:val="center"/>
          </w:tcPr>
          <w:p w14:paraId="6416713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包2</w:t>
            </w:r>
          </w:p>
        </w:tc>
        <w:tc>
          <w:tcPr>
            <w:tcW w:w="2329" w:type="dxa"/>
            <w:shd w:val="clear" w:color="auto" w:fill="auto"/>
            <w:vAlign w:val="center"/>
          </w:tcPr>
          <w:p w14:paraId="38DB0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眼科超声雾化器</w:t>
            </w:r>
          </w:p>
        </w:tc>
        <w:tc>
          <w:tcPr>
            <w:tcW w:w="850" w:type="dxa"/>
            <w:shd w:val="clear" w:color="auto" w:fill="auto"/>
            <w:vAlign w:val="center"/>
          </w:tcPr>
          <w:p w14:paraId="197BA9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67" w:type="dxa"/>
            <w:shd w:val="clear" w:color="auto" w:fill="auto"/>
            <w:vAlign w:val="center"/>
          </w:tcPr>
          <w:p w14:paraId="4EF069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384" w:type="dxa"/>
            <w:shd w:val="clear" w:color="auto" w:fill="auto"/>
            <w:vAlign w:val="center"/>
          </w:tcPr>
          <w:p w14:paraId="18C2AE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9万元</w:t>
            </w:r>
          </w:p>
        </w:tc>
        <w:tc>
          <w:tcPr>
            <w:tcW w:w="1110" w:type="dxa"/>
            <w:shd w:val="clear" w:color="auto" w:fill="auto"/>
            <w:vAlign w:val="center"/>
          </w:tcPr>
          <w:p w14:paraId="0AC976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shd w:val="clear" w:color="auto" w:fill="auto"/>
            <w:vAlign w:val="center"/>
          </w:tcPr>
          <w:p w14:paraId="31DF1F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00"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88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41万元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00"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880"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p>
        </w:tc>
      </w:tr>
    </w:tbl>
    <w:p w14:paraId="54173A23">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二、技术要求：</w:t>
      </w:r>
    </w:p>
    <w:p w14:paraId="754313E3">
      <w:pPr>
        <w:numPr>
          <w:ilvl w:val="0"/>
          <w:numId w:val="0"/>
        </w:numPr>
        <w:spacing w:line="48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包</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：YAG眼科激光治疗仪技术参数</w:t>
      </w:r>
    </w:p>
    <w:p w14:paraId="17FC6CA7">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1. 基本要求：适用于眼科后囊膜切开术以及周边虹膜切开术（必须提供证明文件）</w:t>
      </w:r>
    </w:p>
    <w:p w14:paraId="7A6F5675">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2. 激光参数 </w:t>
      </w:r>
    </w:p>
    <w:p w14:paraId="1D63CA10">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2.1激光类型：Q开关Nd:YAG半导体激光，激光波长1064nm </w:t>
      </w:r>
    </w:p>
    <w:p w14:paraId="5356D91A">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2.2 激光分布：超高斯模式（或其他能确保能量分布均匀的技术）</w:t>
      </w:r>
    </w:p>
    <w:p w14:paraId="7025A77B">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2.3瞄准方式：多点瞄准模式</w:t>
      </w:r>
    </w:p>
    <w:p w14:paraId="2C399F7F">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2.4爆破能量：空气≤2.5mJ</w:t>
      </w:r>
    </w:p>
    <w:p w14:paraId="517464D3">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2.5 能量等级：能量级别≥22级，可进行细微调节</w:t>
      </w:r>
    </w:p>
    <w:p w14:paraId="23E8B122">
      <w:pPr>
        <w:ind w:firstLine="720" w:firstLineChars="3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脉冲能量：0.3-10 mJ，连续可调，初始能量低至0.3mJ</w:t>
      </w:r>
    </w:p>
    <w:p w14:paraId="5550DAFA">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2.6能量参数：单脉冲最大能量：≥10mJ（需提供检测报告证明）双脉冲最大能量：≥25mJ。三脉冲最大能量：≥35mJ。</w:t>
      </w:r>
    </w:p>
    <w:p w14:paraId="6B9F6371">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2.7光路设计：激光与裂隙灯一体化内耦合设计</w:t>
      </w:r>
    </w:p>
    <w:p w14:paraId="65BBE8AF">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 聚焦性能：焦点光斑直径≤10μm，光束汇聚角≥16°。</w:t>
      </w:r>
    </w:p>
    <w:p w14:paraId="32866095">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2.9 安全爆破点位移：至少有三种可调，-150um～150um</w:t>
      </w:r>
    </w:p>
    <w:p w14:paraId="2D75CAD5">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3. 裂隙灯参数</w:t>
      </w:r>
    </w:p>
    <w:p w14:paraId="67C63413">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3.1 与主机配套使用，同一厂家生产或同一品牌。</w:t>
      </w:r>
    </w:p>
    <w:p w14:paraId="1865DEB1">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 照明方式：采用底置式光源，确保操作视野无遮挡。</w:t>
      </w:r>
    </w:p>
    <w:p w14:paraId="7C874423">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 放大倍率：≥5档（10×目镜下需包含5×, 8×, 12×, 20×, 32×）。</w:t>
      </w:r>
    </w:p>
    <w:p w14:paraId="443EC826">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 镜筒：f= 140mm镜筒，瞳距55mm－78mm可调；</w:t>
      </w:r>
    </w:p>
    <w:p w14:paraId="7CB37492">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 目镜：±8.00D的屈光补偿；12.5×</w:t>
      </w:r>
    </w:p>
    <w:p w14:paraId="0F24EDD0">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3.6 裂隙宽度：0～14mm连续可调；裂隙长度：1/3/5/9/14mm可调</w:t>
      </w:r>
    </w:p>
    <w:p w14:paraId="35E0E9CC">
      <w:pPr>
        <w:numPr>
          <w:ilvl w:val="0"/>
          <w:numId w:val="0"/>
        </w:numPr>
        <w:spacing w:line="48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包</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：眼科超声雾化器技术参数</w:t>
      </w:r>
    </w:p>
    <w:p w14:paraId="26222273">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设备用途：</w:t>
      </w:r>
    </w:p>
    <w:p w14:paraId="07DDCAAD">
      <w:pPr>
        <w:jc w:val="left"/>
        <w:rPr>
          <w:rFonts w:hint="eastAsia" w:ascii="宋体" w:hAnsi="宋体" w:eastAsia="宋体" w:cs="宋体"/>
          <w:kern w:val="2"/>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眼科超声雾化器，集超声雾化、中药熏蒸、热敷睑板腺等多种功能，再配合睑板腺按摩及睑缘清洁，可有效缓解治疗干眼症</w:t>
      </w:r>
      <w:bookmarkStart w:id="77" w:name="_GoBack"/>
      <w:bookmarkEnd w:id="77"/>
      <w:r>
        <w:rPr>
          <w:rFonts w:hint="eastAsia" w:ascii="宋体" w:hAnsi="宋体" w:eastAsia="宋体" w:cs="宋体"/>
          <w:sz w:val="24"/>
          <w:szCs w:val="24"/>
          <w:lang w:val="en-US" w:eastAsia="zh-CN"/>
        </w:rPr>
        <w:t>。</w:t>
      </w:r>
    </w:p>
    <w:p w14:paraId="13B32641">
      <w:pPr>
        <w:numPr>
          <w:ilvl w:val="0"/>
          <w:numId w:val="0"/>
        </w:numPr>
        <w:bidi w:val="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技术参数：</w:t>
      </w:r>
    </w:p>
    <w:p w14:paraId="1944C62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1、适用范围：用于将液体雾化、加热并输送雾化气体至眼部，以达治疗干眼症的目的；                                             </w:t>
      </w:r>
    </w:p>
    <w:p w14:paraId="4E478937">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★2、保温功能：具有保温按键；  </w:t>
      </w:r>
    </w:p>
    <w:p w14:paraId="42E8E356">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★3、超声雾化总量：≥4g；              </w:t>
      </w:r>
    </w:p>
    <w:p w14:paraId="56A236F4">
      <w:pPr>
        <w:numPr>
          <w:ilvl w:val="0"/>
          <w:numId w:val="0"/>
        </w:numPr>
        <w:ind w:leftChars="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★4、加热锅气体最高温度不高于55℃；</w:t>
      </w:r>
      <w:r>
        <w:rPr>
          <w:rFonts w:hint="eastAsia" w:ascii="宋体" w:hAnsi="宋体" w:eastAsia="宋体" w:cs="宋体"/>
          <w:b w:val="0"/>
          <w:bCs w:val="0"/>
          <w:sz w:val="24"/>
          <w:szCs w:val="24"/>
          <w:lang w:val="en-US" w:eastAsia="zh-CN"/>
        </w:rPr>
        <w:t xml:space="preserve">    </w:t>
      </w:r>
    </w:p>
    <w:p w14:paraId="7D0A5D28">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5、温度范围：30-42℃；                                     </w:t>
      </w:r>
    </w:p>
    <w:p w14:paraId="0AE34F6E">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6、雾化颗粒分布特性：额定体积中位粒径4μm  误差±25%；       </w:t>
      </w:r>
    </w:p>
    <w:p w14:paraId="7E7477B9">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7、主机超声工作频率：2.4MHz   误差±10%；                  </w:t>
      </w:r>
    </w:p>
    <w:p w14:paraId="08F168A4">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8、最大雾化率：≥1ml/min；                                </w:t>
      </w:r>
    </w:p>
    <w:p w14:paraId="52695837">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9、整机噪声：≤50dB（A）（距离主机1m）；                     </w:t>
      </w:r>
    </w:p>
    <w:p w14:paraId="402E2195">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10、连续工作及水槽水温：开机连续工作4h水槽水温≤60℃；  </w:t>
      </w:r>
    </w:p>
    <w:p w14:paraId="1A48A3CC">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11、定时功能：5min至30min，步进为5min，定时误差±30s，长按定时进入连续工作模式。当设备治疗完成自动停止工作，并有相应的提示信息；     </w:t>
      </w:r>
    </w:p>
    <w:p w14:paraId="097F238B">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12、低水位停机功能：加热锅或水槽内水位过低时，设备发出缺水提示，并停止雾化；                                                   </w:t>
      </w:r>
    </w:p>
    <w:p w14:paraId="4B87D086">
      <w:pPr>
        <w:numPr>
          <w:ilvl w:val="0"/>
          <w:numId w:val="0"/>
        </w:numPr>
        <w:ind w:lef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★13、可以加中药、也可以加西药，机器内部自主升温降温，无需外置加热管路（加热丝等）；</w:t>
      </w:r>
    </w:p>
    <w:p w14:paraId="52146886">
      <w:pPr>
        <w:pStyle w:val="24"/>
        <w:rPr>
          <w:rFonts w:hint="eastAsia" w:ascii="宋体" w:hAnsi="宋体" w:eastAsia="宋体" w:cs="宋体"/>
          <w:color w:val="FF0000"/>
          <w:lang w:val="en-US" w:eastAsia="zh-CN"/>
        </w:rPr>
      </w:pPr>
    </w:p>
    <w:p w14:paraId="698CD440">
      <w:pPr>
        <w:jc w:val="center"/>
        <w:rPr>
          <w:rFonts w:hint="eastAsia" w:ascii="宋体" w:hAnsi="宋体" w:eastAsia="宋体" w:cs="宋体"/>
          <w:b/>
          <w:bCs/>
          <w:color w:val="auto"/>
          <w:sz w:val="30"/>
          <w:szCs w:val="30"/>
          <w:highlight w:val="none"/>
        </w:rPr>
      </w:pPr>
    </w:p>
    <w:p w14:paraId="05F7CDF2">
      <w:pPr>
        <w:jc w:val="center"/>
        <w:rPr>
          <w:rFonts w:hint="eastAsia" w:ascii="宋体" w:hAnsi="宋体" w:eastAsia="宋体" w:cs="宋体"/>
          <w:b/>
          <w:bCs/>
          <w:color w:val="auto"/>
          <w:sz w:val="30"/>
          <w:szCs w:val="30"/>
          <w:highlight w:val="none"/>
        </w:rPr>
      </w:pPr>
    </w:p>
    <w:p w14:paraId="330C29AB">
      <w:pPr>
        <w:jc w:val="center"/>
        <w:rPr>
          <w:rFonts w:hint="eastAsia" w:ascii="宋体" w:hAnsi="宋体" w:eastAsia="宋体" w:cs="宋体"/>
          <w:b/>
          <w:bCs/>
          <w:color w:val="auto"/>
          <w:sz w:val="30"/>
          <w:szCs w:val="30"/>
          <w:highlight w:val="none"/>
        </w:rPr>
      </w:pPr>
    </w:p>
    <w:p w14:paraId="0B6B8D5C">
      <w:pPr>
        <w:jc w:val="center"/>
        <w:rPr>
          <w:rFonts w:hint="eastAsia" w:ascii="宋体" w:hAnsi="宋体" w:eastAsia="宋体" w:cs="宋体"/>
          <w:b/>
          <w:bCs/>
          <w:color w:val="auto"/>
          <w:sz w:val="30"/>
          <w:szCs w:val="30"/>
          <w:highlight w:val="none"/>
        </w:rPr>
      </w:pPr>
    </w:p>
    <w:p w14:paraId="27A51922">
      <w:pPr>
        <w:jc w:val="center"/>
        <w:rPr>
          <w:rFonts w:hint="eastAsia" w:ascii="宋体" w:hAnsi="宋体" w:eastAsia="宋体" w:cs="宋体"/>
          <w:b/>
          <w:bCs/>
          <w:color w:val="auto"/>
          <w:sz w:val="30"/>
          <w:szCs w:val="30"/>
          <w:highlight w:val="none"/>
        </w:rPr>
      </w:pPr>
    </w:p>
    <w:p w14:paraId="2A200DCC">
      <w:pPr>
        <w:jc w:val="center"/>
        <w:rPr>
          <w:rFonts w:hint="eastAsia" w:ascii="宋体" w:hAnsi="宋体" w:eastAsia="宋体" w:cs="宋体"/>
          <w:b/>
          <w:bCs/>
          <w:color w:val="auto"/>
          <w:sz w:val="30"/>
          <w:szCs w:val="30"/>
          <w:highlight w:val="none"/>
        </w:rPr>
      </w:pPr>
    </w:p>
    <w:p w14:paraId="7EA980B0">
      <w:pPr>
        <w:jc w:val="center"/>
        <w:rPr>
          <w:rFonts w:hint="eastAsia" w:ascii="宋体" w:hAnsi="宋体" w:eastAsia="宋体" w:cs="宋体"/>
          <w:b/>
          <w:bCs/>
          <w:color w:val="auto"/>
          <w:sz w:val="30"/>
          <w:szCs w:val="30"/>
          <w:highlight w:val="none"/>
        </w:rPr>
      </w:pPr>
    </w:p>
    <w:p w14:paraId="5C541C79">
      <w:pPr>
        <w:jc w:val="center"/>
        <w:rPr>
          <w:rFonts w:hint="eastAsia" w:ascii="宋体" w:hAnsi="宋体" w:eastAsia="宋体" w:cs="宋体"/>
          <w:b/>
          <w:bCs/>
          <w:color w:val="auto"/>
          <w:sz w:val="30"/>
          <w:szCs w:val="30"/>
          <w:highlight w:val="none"/>
        </w:rPr>
      </w:pPr>
    </w:p>
    <w:p w14:paraId="0A55EF04">
      <w:pPr>
        <w:jc w:val="center"/>
        <w:rPr>
          <w:rFonts w:hint="eastAsia" w:ascii="宋体" w:hAnsi="宋体" w:eastAsia="宋体" w:cs="宋体"/>
          <w:b/>
          <w:bCs/>
          <w:color w:val="auto"/>
          <w:sz w:val="30"/>
          <w:szCs w:val="30"/>
          <w:highlight w:val="none"/>
        </w:rPr>
      </w:pPr>
    </w:p>
    <w:p w14:paraId="21B96925">
      <w:pPr>
        <w:jc w:val="center"/>
        <w:rPr>
          <w:rFonts w:hint="eastAsia" w:ascii="宋体" w:hAnsi="宋体" w:eastAsia="宋体" w:cs="宋体"/>
          <w:b/>
          <w:bCs/>
          <w:color w:val="auto"/>
          <w:sz w:val="30"/>
          <w:szCs w:val="30"/>
          <w:highlight w:val="none"/>
        </w:rPr>
      </w:pPr>
    </w:p>
    <w:p w14:paraId="41B2F478">
      <w:pPr>
        <w:jc w:val="center"/>
        <w:rPr>
          <w:rFonts w:hint="eastAsia" w:ascii="宋体" w:hAnsi="宋体" w:eastAsia="宋体" w:cs="宋体"/>
          <w:b/>
          <w:bCs/>
          <w:color w:val="auto"/>
          <w:sz w:val="30"/>
          <w:szCs w:val="30"/>
          <w:highlight w:val="none"/>
        </w:rPr>
      </w:pPr>
    </w:p>
    <w:p w14:paraId="33606612">
      <w:pPr>
        <w:jc w:val="center"/>
        <w:rPr>
          <w:rFonts w:hint="eastAsia" w:ascii="宋体" w:hAnsi="宋体" w:eastAsia="宋体" w:cs="宋体"/>
          <w:b/>
          <w:bCs/>
          <w:color w:val="auto"/>
          <w:sz w:val="30"/>
          <w:szCs w:val="30"/>
          <w:highlight w:val="none"/>
        </w:rPr>
      </w:pPr>
    </w:p>
    <w:p w14:paraId="3BDE6697">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合同签订后30日内交货。</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采购人指定地点。</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FC2095">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质保期内应当为采购人提供以下技术支持和服务：</w:t>
            </w:r>
          </w:p>
          <w:p w14:paraId="3AAFC994">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a、现场响应：供应商应保证在12小时内对用户提出的问题或故障予以响应及处理。可提供备用设备或核心部件应急使用。</w:t>
            </w:r>
          </w:p>
          <w:p w14:paraId="6350509D">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b、中标人应当应每季度对该设备进行保养不少于一次,并出具保养报告，具体保养内容见合同。</w:t>
            </w:r>
          </w:p>
          <w:p w14:paraId="7A539BA3">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c、质保期内该设备应保证大于95%（含）的开机率，如达不到要求，每少于一天质保期顺延7天，如造成严重损失需赔偿用户经济损失或换货或退货。</w:t>
            </w:r>
          </w:p>
          <w:p w14:paraId="2E5A559A">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d、技术升级，如果制造商的产品技术升级，中标人应及时通知采购人，如采购人有相应要求，中标人和制造商应对采购人购买的产品进行免费升级服务。</w:t>
            </w:r>
          </w:p>
          <w:p w14:paraId="2DD99615">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426DD86E">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f、除火灾、洪水、地震等天灾外，在保修期内，由于货物故障所产生的所有费用均由供应商负责。</w:t>
            </w:r>
          </w:p>
          <w:p w14:paraId="68CA3C7C">
            <w:pPr>
              <w:pStyle w:val="8"/>
              <w:pageBreakBefore w:val="0"/>
              <w:kinsoku/>
              <w:wordWrap/>
              <w:overflowPunct/>
              <w:topLinePunct w:val="0"/>
              <w:autoSpaceDE/>
              <w:autoSpaceDN/>
              <w:bidi w:val="0"/>
              <w:adjustRightInd/>
              <w:spacing w:before="0" w:after="0"/>
              <w:textAlignment w:val="auto"/>
              <w:rPr>
                <w:rFonts w:hint="eastAsia"/>
                <w:lang w:val="en-US" w:eastAsia="zh-CN"/>
              </w:rPr>
            </w:pPr>
            <w:r>
              <w:rPr>
                <w:rFonts w:hint="eastAsia" w:ascii="宋体" w:hAnsi="宋体" w:eastAsia="宋体" w:cs="宋体"/>
                <w:b w:val="0"/>
                <w:bCs w:val="0"/>
                <w:color w:val="auto"/>
                <w:kern w:val="2"/>
                <w:sz w:val="24"/>
                <w:szCs w:val="24"/>
                <w:highlight w:val="none"/>
                <w:lang w:val="en-US" w:eastAsia="zh-CN" w:bidi="ar-SA"/>
              </w:rPr>
              <w:t>2.所有设备按照医院实际要求免费开放端口，免费为医院对接院内信息系统。质保期内免费进行软件升级。</w:t>
            </w:r>
          </w:p>
        </w:tc>
      </w:tr>
      <w:tr w14:paraId="7C0B1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3B35CF">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56B875EA">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免费提供操作培训和维修培训</w:t>
            </w:r>
          </w:p>
        </w:tc>
      </w:tr>
      <w:tr w14:paraId="7F46A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B0E420">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61C7073">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要求设备为最新出厂设备，出厂日期不得早于招标日期6个月。 </w:t>
            </w:r>
          </w:p>
        </w:tc>
      </w:tr>
    </w:tbl>
    <w:p w14:paraId="66F194D0">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4.商品包装和快递包装应符合《商品包装政府采购需求标准（试行）》和《快递包装政府采购需求标准（试行）》规定。</w:t>
            </w:r>
          </w:p>
        </w:tc>
      </w:tr>
    </w:tbl>
    <w:p w14:paraId="4FB1ED2F">
      <w:pPr>
        <w:rPr>
          <w:rFonts w:hint="eastAsia" w:ascii="宋体" w:hAnsi="宋体" w:eastAsia="宋体" w:cs="宋体"/>
          <w:b/>
          <w:bCs/>
          <w:color w:val="auto"/>
          <w:sz w:val="32"/>
          <w:szCs w:val="32"/>
          <w:highlight w:val="none"/>
        </w:rPr>
      </w:pPr>
    </w:p>
    <w:p w14:paraId="03BC5C4B">
      <w:pPr>
        <w:jc w:val="center"/>
        <w:outlineLvl w:val="0"/>
        <w:rPr>
          <w:rFonts w:hint="eastAsia" w:ascii="宋体" w:hAnsi="宋体" w:eastAsia="宋体" w:cs="宋体"/>
          <w:b/>
          <w:bCs/>
          <w:color w:val="auto"/>
          <w:sz w:val="32"/>
          <w:szCs w:val="32"/>
          <w:highlight w:val="none"/>
        </w:rPr>
      </w:pPr>
      <w:bookmarkStart w:id="33" w:name="_Toc8501"/>
    </w:p>
    <w:p w14:paraId="10BBB3FF">
      <w:pPr>
        <w:jc w:val="center"/>
        <w:outlineLvl w:val="0"/>
        <w:rPr>
          <w:rFonts w:hint="eastAsia" w:ascii="宋体" w:hAnsi="宋体" w:eastAsia="宋体" w:cs="宋体"/>
          <w:b/>
          <w:bCs/>
          <w:color w:val="auto"/>
          <w:sz w:val="32"/>
          <w:szCs w:val="32"/>
          <w:highlight w:val="none"/>
        </w:rPr>
      </w:pPr>
    </w:p>
    <w:p w14:paraId="1F361CD5">
      <w:pPr>
        <w:jc w:val="center"/>
        <w:outlineLvl w:val="0"/>
        <w:rPr>
          <w:rFonts w:hint="eastAsia" w:ascii="宋体" w:hAnsi="宋体" w:eastAsia="宋体" w:cs="宋体"/>
          <w:b/>
          <w:bCs/>
          <w:color w:val="auto"/>
          <w:sz w:val="32"/>
          <w:szCs w:val="32"/>
          <w:highlight w:val="none"/>
        </w:rPr>
      </w:pPr>
    </w:p>
    <w:p w14:paraId="6F60EA61">
      <w:pPr>
        <w:jc w:val="center"/>
        <w:outlineLvl w:val="0"/>
        <w:rPr>
          <w:rFonts w:hint="eastAsia" w:ascii="宋体" w:hAnsi="宋体" w:eastAsia="宋体" w:cs="宋体"/>
          <w:b/>
          <w:bCs/>
          <w:color w:val="auto"/>
          <w:sz w:val="32"/>
          <w:szCs w:val="32"/>
          <w:highlight w:val="none"/>
        </w:rPr>
      </w:pPr>
    </w:p>
    <w:p w14:paraId="51B896CB">
      <w:pPr>
        <w:jc w:val="center"/>
        <w:outlineLvl w:val="0"/>
        <w:rPr>
          <w:rFonts w:hint="eastAsia" w:ascii="宋体" w:hAnsi="宋体" w:eastAsia="宋体" w:cs="宋体"/>
          <w:b/>
          <w:bCs/>
          <w:color w:val="auto"/>
          <w:sz w:val="32"/>
          <w:szCs w:val="32"/>
          <w:highlight w:val="none"/>
        </w:rPr>
      </w:pPr>
    </w:p>
    <w:p w14:paraId="62A5700E">
      <w:pPr>
        <w:jc w:val="center"/>
        <w:outlineLvl w:val="0"/>
        <w:rPr>
          <w:rFonts w:hint="eastAsia" w:ascii="宋体" w:hAnsi="宋体" w:eastAsia="宋体" w:cs="宋体"/>
          <w:b/>
          <w:bCs/>
          <w:color w:val="auto"/>
          <w:sz w:val="32"/>
          <w:szCs w:val="32"/>
          <w:highlight w:val="none"/>
        </w:rPr>
      </w:pPr>
    </w:p>
    <w:p w14:paraId="1970418D">
      <w:pPr>
        <w:jc w:val="center"/>
        <w:outlineLvl w:val="0"/>
        <w:rPr>
          <w:rFonts w:hint="eastAsia" w:ascii="宋体" w:hAnsi="宋体" w:eastAsia="宋体" w:cs="宋体"/>
          <w:b/>
          <w:bCs/>
          <w:color w:val="auto"/>
          <w:sz w:val="32"/>
          <w:szCs w:val="32"/>
          <w:highlight w:val="none"/>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41万元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 xml:space="preserve">: 包1：32万元、包2：9 </w:t>
            </w:r>
            <w:r>
              <w:rPr>
                <w:rFonts w:hint="eastAsia" w:ascii="宋体" w:hAnsi="宋体" w:eastAsia="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以人民币报价。</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eastAsia="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1.5%</w:t>
                  </w:r>
                </w:p>
              </w:tc>
              <w:tc>
                <w:tcPr>
                  <w:tcW w:w="1560" w:type="dxa"/>
                  <w:vAlign w:val="center"/>
                </w:tcPr>
                <w:p w14:paraId="64DFB595">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1.5%</w:t>
                  </w:r>
                </w:p>
              </w:tc>
              <w:tc>
                <w:tcPr>
                  <w:tcW w:w="1380" w:type="dxa"/>
                  <w:vAlign w:val="center"/>
                </w:tcPr>
                <w:p w14:paraId="6E9F31B9">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58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58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4" w:name="_Toc4700"/>
      <w:bookmarkStart w:id="35"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货物：供应商按采购文件规定向采购人提供的一切设备、机械、仪器仪表、备品备件、工具、手册及其它有关技术资料和材料。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3.1具有独立承担民事责任的能力（提供营业执照或其他证明材料）；</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3.4具有履行合同所必需的设备和专业技术能力（提供书面承诺函）；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3.5参加本采购活动前三年内，在经营活动中没有重大违法记录（提供书面承诺函）；</w:t>
      </w:r>
    </w:p>
    <w:p w14:paraId="18593B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3.8本项目特定资格要求：</w:t>
      </w:r>
    </w:p>
    <w:p w14:paraId="0D0FCDB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3.8.1</w:t>
      </w:r>
      <w:r>
        <w:rPr>
          <w:rFonts w:hint="eastAsia" w:ascii="宋体" w:hAnsi="宋体" w:eastAsia="宋体" w:cs="宋体"/>
          <w:color w:val="auto"/>
          <w:kern w:val="2"/>
          <w:sz w:val="24"/>
          <w:szCs w:val="24"/>
          <w:highlight w:val="none"/>
          <w:lang w:val="en-US" w:eastAsia="zh-CN" w:bidi="ar-SA"/>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 w:val="24"/>
          <w:szCs w:val="24"/>
          <w:highlight w:val="none"/>
          <w:shd w:val="clear" w:color="auto" w:fill="FFFFFF"/>
          <w:lang w:val="en-US" w:eastAsia="zh-CN"/>
        </w:rPr>
        <w:t xml:space="preserve">                                   </w:t>
      </w:r>
    </w:p>
    <w:p w14:paraId="655B753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3.8.2供应商如为代理商的并所投产品如为进口产品的，需提供拟投产品制造商或中国境内办事处或中国总代理经销商针对本项目的授权书。</w:t>
      </w:r>
      <w:r>
        <w:rPr>
          <w:rFonts w:hint="eastAsia" w:ascii="宋体" w:hAnsi="宋体" w:cs="宋体"/>
          <w:color w:val="auto"/>
          <w:sz w:val="24"/>
          <w:szCs w:val="24"/>
          <w:highlight w:val="none"/>
          <w:shd w:val="clear" w:color="auto" w:fill="FFFFFF"/>
          <w:lang w:val="en-US" w:eastAsia="zh-CN"/>
        </w:rPr>
        <w:t>（该要求仅针对包1）</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7.2</w:t>
      </w:r>
      <w:r>
        <w:rPr>
          <w:rFonts w:hint="eastAsia" w:ascii="宋体" w:hAnsi="宋体" w:eastAsia="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eastAsia="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8.2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eastAsia="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17.2</w:t>
      </w:r>
      <w:r>
        <w:rPr>
          <w:rFonts w:hint="eastAsia" w:ascii="宋体" w:hAnsi="宋体" w:eastAsia="宋体" w:cs="宋体"/>
          <w:color w:val="auto"/>
          <w:sz w:val="24"/>
          <w:szCs w:val="24"/>
          <w:highlight w:val="none"/>
          <w:lang w:eastAsia="zh-CN"/>
        </w:rPr>
        <w:t xml:space="preserve"> 未按本章第</w:t>
      </w: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w:t>
      </w:r>
      <w:r>
        <w:rPr>
          <w:rFonts w:hint="eastAsia" w:ascii="宋体" w:hAnsi="宋体" w:cs="宋体"/>
          <w:b/>
          <w:bCs/>
          <w:color w:val="auto"/>
          <w:kern w:val="0"/>
          <w:sz w:val="24"/>
          <w:szCs w:val="24"/>
          <w:highlight w:val="none"/>
          <w:lang w:eastAsia="zh-CN"/>
        </w:rPr>
        <w:t>审</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21.1.1响应文件</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21.4磋商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21.4.1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21.4.2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w:t>
      </w:r>
      <w:r>
        <w:rPr>
          <w:rFonts w:hint="eastAsia" w:ascii="宋体" w:hAnsi="宋体" w:eastAsia="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eastAsia="宋体" w:cs="宋体"/>
          <w:color w:val="auto"/>
          <w:sz w:val="24"/>
          <w:szCs w:val="24"/>
          <w:highlight w:val="none"/>
          <w:lang w:eastAsia="zh-CN"/>
        </w:rPr>
        <w:t>。</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6" w:name="_Toc31399"/>
      <w:r>
        <w:rPr>
          <w:rFonts w:hint="eastAsia" w:ascii="宋体" w:hAnsi="宋体" w:eastAsia="宋体" w:cs="宋体"/>
          <w:b/>
          <w:bCs/>
          <w:color w:val="auto"/>
          <w:kern w:val="0"/>
          <w:sz w:val="32"/>
          <w:szCs w:val="32"/>
          <w:highlight w:val="none"/>
        </w:rPr>
        <w:t>第四章  评标办法及评分标准</w:t>
      </w:r>
      <w:bookmarkEnd w:id="34"/>
      <w:bookmarkEnd w:id="36"/>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分，带“★”号的技术参数为重要技术参数，有一项不满足的扣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分；不带“★”号的技术参数为一般性技术参数，有一项不满足的扣2分；如得分为0，则磋商无效。 </w:t>
            </w:r>
          </w:p>
          <w:p w14:paraId="4039B1CC">
            <w:pPr>
              <w:widowControl/>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2）供应商需提供所投设备</w:t>
            </w:r>
            <w:r>
              <w:rPr>
                <w:rFonts w:hint="eastAsia" w:ascii="宋体" w:hAnsi="宋体" w:eastAsia="宋体" w:cs="宋体"/>
                <w:b/>
                <w:bCs/>
                <w:sz w:val="24"/>
                <w:szCs w:val="24"/>
                <w:highlight w:val="none"/>
                <w:lang w:val="en-US" w:eastAsia="zh-CN"/>
              </w:rPr>
              <w:t>的</w:t>
            </w:r>
            <w:r>
              <w:rPr>
                <w:rFonts w:hint="eastAsia" w:ascii="宋体" w:hAnsi="宋体" w:eastAsia="宋体" w:cs="宋体"/>
                <w:b/>
                <w:bCs/>
                <w:sz w:val="24"/>
                <w:szCs w:val="24"/>
                <w:highlight w:val="none"/>
              </w:rPr>
              <w:t>医疗器械注册证【含附件：产品技术要求（如有）】</w:t>
            </w:r>
            <w:r>
              <w:rPr>
                <w:rFonts w:hint="eastAsia" w:ascii="宋体" w:hAnsi="宋体" w:eastAsia="宋体" w:cs="宋体"/>
                <w:b/>
                <w:bCs/>
                <w:sz w:val="24"/>
                <w:szCs w:val="24"/>
                <w:highlight w:val="none"/>
                <w:lang w:val="en-US" w:eastAsia="zh-CN"/>
              </w:rPr>
              <w:t>或备案凭证</w:t>
            </w:r>
            <w:r>
              <w:rPr>
                <w:rFonts w:hint="eastAsia" w:ascii="宋体" w:hAnsi="宋体" w:eastAsia="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3）需提供产品注册检验报告</w:t>
            </w:r>
            <w:r>
              <w:rPr>
                <w:rFonts w:hint="eastAsia" w:ascii="宋体" w:hAnsi="宋体" w:eastAsia="宋体" w:cs="宋体"/>
                <w:b/>
                <w:bCs/>
                <w:sz w:val="24"/>
                <w:szCs w:val="24"/>
                <w:highlight w:val="none"/>
              </w:rPr>
              <w:t>（其中检验报告照片页必须提供）</w:t>
            </w:r>
            <w:r>
              <w:rPr>
                <w:rFonts w:hint="eastAsia" w:ascii="宋体" w:hAnsi="宋体" w:eastAsia="宋体" w:cs="宋体"/>
                <w:sz w:val="24"/>
                <w:szCs w:val="24"/>
                <w:highlight w:val="none"/>
              </w:rPr>
              <w:t>及响应技术参数条款的技术白皮书和彩页等相关文件，并对响应技术参数部分做出明显标注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分）</w:t>
            </w:r>
          </w:p>
        </w:tc>
        <w:tc>
          <w:tcPr>
            <w:tcW w:w="6770" w:type="dxa"/>
            <w:noWrap w:val="0"/>
            <w:vAlign w:val="center"/>
          </w:tcPr>
          <w:p w14:paraId="563705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根据供应商所投产品整体性能量化指标进行评价，产品技术指标能够最大程度满足采购需求，使用的材料耐用可靠、配套设备齐全且适配性强、生产技术先进、稳定性及耐用性强，能有效保障治疗效果的得6分；</w:t>
            </w:r>
          </w:p>
          <w:p w14:paraId="205FC5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配套设备齐全且适配性较强、生产技术较先进、稳定性及耐用性较强的得3分；</w:t>
            </w:r>
          </w:p>
          <w:p w14:paraId="20A6A52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配套设备齐全且适配性一般、技术保守、稳定性及耐用性一般的得1分；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分,最多加</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分。（注：延长不足一年不加分。）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提供自2023年1月1日（以合同签订时间为准）以来所投产品（同品牌同型号）销售业绩(合同甲方须为货物使用单位，业绩为生产企业或各经销商均可)，每提供1份业绩证明材料得2分，最多得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售后服务（10分）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根据供应商提供的售后服务网点、售后服务人员配备及专业技术能力说明、设备日常维保方案、故障响应时间、应急维修措施、培训方案等进行打分。</w:t>
            </w:r>
          </w:p>
          <w:p w14:paraId="630FFF6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①售后服务符合本项目特点，措施详尽、日常维保措施、故障响应时间极快、应急维修措施合理且可行，有具体的培训方案，得10分。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②售后服务符合本项目特点，故障响应时间快、应急维修措施预案较合理，有较具体的培训方案的得7分；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③售后服务符合本项目特点，故障响应时间较长、应急维修措施预案不完备，培训方案不完备的得4分；</w:t>
            </w:r>
          </w:p>
          <w:p w14:paraId="4AA8891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⑤缺项得0分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5"/>
    <w:p w14:paraId="2F5289F8">
      <w:pPr>
        <w:pStyle w:val="2"/>
        <w:snapToGrid w:val="0"/>
        <w:spacing w:before="0" w:after="0" w:line="480" w:lineRule="auto"/>
        <w:jc w:val="both"/>
        <w:rPr>
          <w:rFonts w:hint="eastAsia" w:ascii="宋体" w:hAnsi="宋体" w:eastAsia="宋体" w:cs="宋体"/>
          <w:color w:val="auto"/>
          <w:sz w:val="28"/>
          <w:szCs w:val="28"/>
          <w:highlight w:val="none"/>
        </w:rPr>
      </w:pPr>
      <w:bookmarkStart w:id="37" w:name="_Toc11904"/>
      <w:bookmarkStart w:id="38" w:name="_Toc1947"/>
      <w:bookmarkStart w:id="39" w:name="_Toc1482"/>
      <w:bookmarkStart w:id="40" w:name="_Toc326786897"/>
      <w:bookmarkStart w:id="41" w:name="_Toc256519703"/>
    </w:p>
    <w:p w14:paraId="10FABE96">
      <w:pPr>
        <w:pStyle w:val="3"/>
        <w:rPr>
          <w:rFonts w:hint="eastAsia" w:ascii="宋体" w:hAnsi="宋体" w:eastAsia="宋体" w:cs="宋体"/>
          <w:color w:val="auto"/>
          <w:sz w:val="28"/>
          <w:szCs w:val="28"/>
          <w:highlight w:val="none"/>
        </w:rPr>
      </w:pPr>
    </w:p>
    <w:p w14:paraId="66C714D3">
      <w:pPr>
        <w:pStyle w:val="4"/>
        <w:rPr>
          <w:rFonts w:hint="eastAsia" w:ascii="宋体" w:hAnsi="宋体" w:eastAsia="宋体" w:cs="宋体"/>
          <w:color w:val="auto"/>
          <w:sz w:val="28"/>
          <w:szCs w:val="28"/>
          <w:highlight w:val="none"/>
        </w:rPr>
      </w:pPr>
    </w:p>
    <w:p w14:paraId="3281EBD0">
      <w:pPr>
        <w:pStyle w:val="5"/>
        <w:rPr>
          <w:rFonts w:hint="eastAsia"/>
        </w:rPr>
      </w:pPr>
    </w:p>
    <w:p w14:paraId="5A0BE0D1">
      <w:pPr>
        <w:pStyle w:val="2"/>
        <w:snapToGrid w:val="0"/>
        <w:spacing w:before="0" w:after="0" w:line="480" w:lineRule="auto"/>
        <w:ind w:firstLine="3373"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37"/>
    </w:p>
    <w:p w14:paraId="1EF982A0">
      <w:pPr>
        <w:jc w:val="center"/>
        <w:rPr>
          <w:rFonts w:hint="eastAsia" w:ascii="宋体" w:hAnsi="宋体" w:eastAsia="宋体" w:cs="宋体"/>
          <w:b/>
        </w:rPr>
      </w:pPr>
      <w:r>
        <w:rPr>
          <w:rFonts w:hint="eastAsia" w:ascii="宋体" w:hAnsi="宋体" w:eastAsia="宋体" w:cs="宋体"/>
          <w:b/>
        </w:rPr>
        <w:t>医疗器械买卖合同</w:t>
      </w:r>
    </w:p>
    <w:p w14:paraId="7AA469D5">
      <w:pPr>
        <w:ind w:firstLine="480" w:firstLineChars="200"/>
        <w:rPr>
          <w:rFonts w:hint="eastAsia" w:ascii="宋体" w:hAnsi="宋体" w:eastAsia="宋体" w:cs="宋体"/>
          <w:sz w:val="24"/>
          <w:szCs w:val="24"/>
        </w:rPr>
      </w:pPr>
    </w:p>
    <w:p w14:paraId="1011507A">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合同编号： </w:t>
      </w:r>
    </w:p>
    <w:p w14:paraId="04EC3B9E">
      <w:pPr>
        <w:ind w:firstLine="420" w:firstLineChars="200"/>
        <w:rPr>
          <w:rFonts w:hint="eastAsia" w:ascii="宋体" w:hAnsi="宋体" w:eastAsia="宋体" w:cs="宋体"/>
          <w:sz w:val="21"/>
          <w:szCs w:val="21"/>
        </w:rPr>
      </w:pPr>
      <w:r>
        <w:rPr>
          <w:rFonts w:hint="eastAsia" w:ascii="宋体" w:hAnsi="宋体" w:eastAsia="宋体" w:cs="宋体"/>
          <w:sz w:val="21"/>
          <w:szCs w:val="21"/>
        </w:rPr>
        <w:t>签订地点： 河南省驻马店市中华路西段747号</w:t>
      </w:r>
    </w:p>
    <w:p w14:paraId="6BB86F3E">
      <w:pPr>
        <w:ind w:firstLine="420" w:firstLineChars="200"/>
        <w:rPr>
          <w:rFonts w:hint="eastAsia" w:ascii="宋体" w:hAnsi="宋体" w:eastAsia="宋体" w:cs="宋体"/>
          <w:sz w:val="21"/>
          <w:szCs w:val="21"/>
        </w:rPr>
      </w:pPr>
      <w:r>
        <w:rPr>
          <w:rFonts w:hint="eastAsia" w:ascii="宋体" w:hAnsi="宋体" w:eastAsia="宋体" w:cs="宋体"/>
          <w:sz w:val="21"/>
          <w:szCs w:val="21"/>
        </w:rPr>
        <w:t>买受人（甲方）： 驻马店市中心医院</w:t>
      </w:r>
    </w:p>
    <w:p w14:paraId="2BB9DFC1">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出卖人（乙方）： </w:t>
      </w:r>
    </w:p>
    <w:p w14:paraId="27845DD2">
      <w:pPr>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w:t>
      </w:r>
      <w:r>
        <w:rPr>
          <w:rFonts w:hint="eastAsia" w:ascii="宋体" w:hAnsi="宋体" w:eastAsia="宋体" w:cs="宋体"/>
          <w:sz w:val="21"/>
          <w:szCs w:val="21"/>
          <w:lang w:eastAsia="zh-CN"/>
        </w:rPr>
        <w:t>民法典</w:t>
      </w:r>
      <w:r>
        <w:rPr>
          <w:rFonts w:hint="eastAsia" w:ascii="宋体" w:hAnsi="宋体" w:eastAsia="宋体" w:cs="宋体"/>
          <w:sz w:val="21"/>
          <w:szCs w:val="21"/>
        </w:rPr>
        <w:t>》及</w:t>
      </w:r>
      <w:r>
        <w:rPr>
          <w:rFonts w:hint="eastAsia" w:ascii="宋体" w:hAnsi="宋体" w:eastAsia="宋体" w:cs="宋体"/>
          <w:b/>
          <w:sz w:val="21"/>
          <w:szCs w:val="21"/>
          <w:u w:val="single"/>
        </w:rPr>
        <w:t xml:space="preserve">                      </w:t>
      </w:r>
      <w:r>
        <w:rPr>
          <w:rFonts w:hint="eastAsia" w:ascii="宋体" w:hAnsi="宋体" w:eastAsia="宋体" w:cs="宋体"/>
          <w:sz w:val="21"/>
          <w:szCs w:val="21"/>
        </w:rPr>
        <w:t>项目</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            的《招标文件》、乙方的《投标文件》及《中标通知书》），甲、乙双方同意签订本合同。详细技术说明及其它有关合同的特定信息由合同附件予以载明，合同附件及乙方投标文件等均为本合同不可分割的部分。双方签署并共同遵守如下条款：</w:t>
      </w:r>
    </w:p>
    <w:p w14:paraId="4873F3BB">
      <w:pPr>
        <w:ind w:firstLine="422" w:firstLineChars="200"/>
        <w:rPr>
          <w:rFonts w:hint="eastAsia" w:ascii="宋体" w:hAnsi="宋体" w:eastAsia="宋体" w:cs="宋体"/>
          <w:b/>
          <w:sz w:val="21"/>
          <w:szCs w:val="21"/>
        </w:rPr>
      </w:pPr>
      <w:r>
        <w:rPr>
          <w:rFonts w:hint="eastAsia" w:ascii="宋体" w:hAnsi="宋体" w:eastAsia="宋体" w:cs="宋体"/>
          <w:b/>
          <w:sz w:val="21"/>
          <w:szCs w:val="21"/>
        </w:rPr>
        <w:t>一、买卖标的物</w:t>
      </w:r>
    </w:p>
    <w:tbl>
      <w:tblPr>
        <w:tblStyle w:val="34"/>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1211"/>
        <w:gridCol w:w="1236"/>
        <w:gridCol w:w="734"/>
        <w:gridCol w:w="756"/>
        <w:gridCol w:w="1071"/>
        <w:gridCol w:w="1105"/>
      </w:tblGrid>
      <w:tr w14:paraId="0A76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2636" w:type="dxa"/>
            <w:noWrap w:val="0"/>
            <w:vAlign w:val="center"/>
          </w:tcPr>
          <w:p w14:paraId="740E5E37">
            <w:pPr>
              <w:jc w:val="center"/>
              <w:rPr>
                <w:rFonts w:hint="eastAsia" w:ascii="宋体" w:hAnsi="宋体" w:eastAsia="宋体" w:cs="宋体"/>
                <w:sz w:val="21"/>
                <w:szCs w:val="21"/>
              </w:rPr>
            </w:pPr>
            <w:r>
              <w:rPr>
                <w:rFonts w:hint="eastAsia" w:ascii="宋体" w:hAnsi="宋体" w:eastAsia="宋体" w:cs="宋体"/>
                <w:sz w:val="21"/>
                <w:szCs w:val="21"/>
              </w:rPr>
              <w:t>品    名</w:t>
            </w:r>
          </w:p>
        </w:tc>
        <w:tc>
          <w:tcPr>
            <w:tcW w:w="1211" w:type="dxa"/>
            <w:noWrap w:val="0"/>
            <w:vAlign w:val="center"/>
          </w:tcPr>
          <w:p w14:paraId="59148749">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1236" w:type="dxa"/>
            <w:noWrap w:val="0"/>
            <w:vAlign w:val="center"/>
          </w:tcPr>
          <w:p w14:paraId="2EF5DD3B">
            <w:pPr>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734" w:type="dxa"/>
            <w:noWrap w:val="0"/>
            <w:vAlign w:val="center"/>
          </w:tcPr>
          <w:p w14:paraId="07BA1B85">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756" w:type="dxa"/>
            <w:noWrap w:val="0"/>
            <w:vAlign w:val="center"/>
          </w:tcPr>
          <w:p w14:paraId="4EC88EE8">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71" w:type="dxa"/>
            <w:noWrap w:val="0"/>
            <w:vAlign w:val="center"/>
          </w:tcPr>
          <w:p w14:paraId="730C01D2">
            <w:pPr>
              <w:jc w:val="center"/>
              <w:rPr>
                <w:rFonts w:hint="eastAsia" w:ascii="宋体" w:hAnsi="宋体" w:eastAsia="宋体" w:cs="宋体"/>
                <w:sz w:val="21"/>
                <w:szCs w:val="21"/>
              </w:rPr>
            </w:pPr>
            <w:r>
              <w:rPr>
                <w:rFonts w:hint="eastAsia" w:ascii="宋体" w:hAnsi="宋体" w:eastAsia="宋体" w:cs="宋体"/>
                <w:sz w:val="21"/>
                <w:szCs w:val="21"/>
              </w:rPr>
              <w:t>单价</w:t>
            </w:r>
          </w:p>
          <w:p w14:paraId="6DF0150A">
            <w:pPr>
              <w:jc w:val="center"/>
              <w:rPr>
                <w:rFonts w:hint="eastAsia" w:ascii="宋体" w:hAnsi="宋体" w:eastAsia="宋体" w:cs="宋体"/>
                <w:sz w:val="21"/>
                <w:szCs w:val="21"/>
              </w:rPr>
            </w:pPr>
            <w:r>
              <w:rPr>
                <w:rFonts w:hint="eastAsia" w:ascii="宋体" w:hAnsi="宋体" w:eastAsia="宋体" w:cs="宋体"/>
                <w:sz w:val="21"/>
                <w:szCs w:val="21"/>
              </w:rPr>
              <w:t>（万元）</w:t>
            </w:r>
          </w:p>
        </w:tc>
        <w:tc>
          <w:tcPr>
            <w:tcW w:w="1105" w:type="dxa"/>
            <w:noWrap w:val="0"/>
            <w:vAlign w:val="center"/>
          </w:tcPr>
          <w:p w14:paraId="13215A4C">
            <w:pPr>
              <w:jc w:val="center"/>
              <w:rPr>
                <w:rFonts w:hint="eastAsia" w:ascii="宋体" w:hAnsi="宋体" w:eastAsia="宋体" w:cs="宋体"/>
                <w:sz w:val="21"/>
                <w:szCs w:val="21"/>
              </w:rPr>
            </w:pPr>
            <w:r>
              <w:rPr>
                <w:rFonts w:hint="eastAsia" w:ascii="宋体" w:hAnsi="宋体" w:eastAsia="宋体" w:cs="宋体"/>
                <w:sz w:val="21"/>
                <w:szCs w:val="21"/>
              </w:rPr>
              <w:t>总价</w:t>
            </w:r>
          </w:p>
          <w:p w14:paraId="6E600D32">
            <w:pPr>
              <w:jc w:val="center"/>
              <w:rPr>
                <w:rFonts w:hint="eastAsia" w:ascii="宋体" w:hAnsi="宋体" w:eastAsia="宋体" w:cs="宋体"/>
                <w:sz w:val="21"/>
                <w:szCs w:val="21"/>
              </w:rPr>
            </w:pPr>
            <w:r>
              <w:rPr>
                <w:rFonts w:hint="eastAsia" w:ascii="宋体" w:hAnsi="宋体" w:eastAsia="宋体" w:cs="宋体"/>
                <w:sz w:val="21"/>
                <w:szCs w:val="21"/>
              </w:rPr>
              <w:t>（万元）</w:t>
            </w:r>
          </w:p>
        </w:tc>
      </w:tr>
      <w:tr w14:paraId="662F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636" w:type="dxa"/>
            <w:noWrap w:val="0"/>
            <w:vAlign w:val="center"/>
          </w:tcPr>
          <w:p w14:paraId="6D679288">
            <w:pPr>
              <w:keepNext w:val="0"/>
              <w:keepLines w:val="0"/>
              <w:widowControl/>
              <w:suppressLineNumbers w:val="0"/>
              <w:jc w:val="left"/>
              <w:rPr>
                <w:rFonts w:hint="eastAsia" w:ascii="宋体" w:hAnsi="宋体" w:eastAsia="宋体" w:cs="宋体"/>
                <w:sz w:val="21"/>
                <w:szCs w:val="24"/>
              </w:rPr>
            </w:pPr>
            <w:r>
              <w:rPr>
                <w:rFonts w:hint="eastAsia" w:ascii="宋体" w:hAnsi="宋体" w:eastAsia="宋体" w:cs="宋体"/>
                <w:color w:val="000000"/>
                <w:kern w:val="0"/>
                <w:sz w:val="24"/>
                <w:szCs w:val="24"/>
                <w:lang w:val="en-US" w:eastAsia="zh-CN" w:bidi="ar"/>
              </w:rPr>
              <w:t xml:space="preserve">注册证名称（发布公告 </w:t>
            </w:r>
          </w:p>
          <w:p w14:paraId="1EAEAEE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4"/>
                <w:szCs w:val="24"/>
                <w:lang w:val="en-US" w:eastAsia="zh-CN" w:bidi="ar"/>
              </w:rPr>
              <w:t>产品名称）</w:t>
            </w:r>
          </w:p>
        </w:tc>
        <w:tc>
          <w:tcPr>
            <w:tcW w:w="1211" w:type="dxa"/>
            <w:noWrap w:val="0"/>
            <w:vAlign w:val="top"/>
          </w:tcPr>
          <w:p w14:paraId="202F391F">
            <w:pPr>
              <w:jc w:val="center"/>
              <w:rPr>
                <w:rFonts w:hint="eastAsia" w:ascii="宋体" w:hAnsi="宋体" w:eastAsia="宋体" w:cs="宋体"/>
                <w:sz w:val="21"/>
                <w:szCs w:val="21"/>
              </w:rPr>
            </w:pPr>
          </w:p>
        </w:tc>
        <w:tc>
          <w:tcPr>
            <w:tcW w:w="1236" w:type="dxa"/>
            <w:noWrap w:val="0"/>
            <w:vAlign w:val="center"/>
          </w:tcPr>
          <w:p w14:paraId="68AD0227">
            <w:pPr>
              <w:jc w:val="center"/>
              <w:rPr>
                <w:rFonts w:hint="eastAsia" w:ascii="宋体" w:hAnsi="宋体" w:eastAsia="宋体" w:cs="宋体"/>
                <w:sz w:val="21"/>
                <w:szCs w:val="21"/>
              </w:rPr>
            </w:pPr>
          </w:p>
        </w:tc>
        <w:tc>
          <w:tcPr>
            <w:tcW w:w="734" w:type="dxa"/>
            <w:noWrap w:val="0"/>
            <w:vAlign w:val="center"/>
          </w:tcPr>
          <w:p w14:paraId="4B11C686">
            <w:pPr>
              <w:jc w:val="center"/>
              <w:rPr>
                <w:rFonts w:hint="eastAsia" w:ascii="宋体" w:hAnsi="宋体" w:eastAsia="宋体" w:cs="宋体"/>
                <w:sz w:val="21"/>
                <w:szCs w:val="21"/>
              </w:rPr>
            </w:pPr>
          </w:p>
        </w:tc>
        <w:tc>
          <w:tcPr>
            <w:tcW w:w="756" w:type="dxa"/>
            <w:noWrap w:val="0"/>
            <w:vAlign w:val="center"/>
          </w:tcPr>
          <w:p w14:paraId="2B21C580">
            <w:pPr>
              <w:jc w:val="center"/>
              <w:rPr>
                <w:rFonts w:hint="eastAsia" w:ascii="宋体" w:hAnsi="宋体" w:eastAsia="宋体" w:cs="宋体"/>
                <w:sz w:val="21"/>
                <w:szCs w:val="21"/>
              </w:rPr>
            </w:pPr>
          </w:p>
        </w:tc>
        <w:tc>
          <w:tcPr>
            <w:tcW w:w="1071" w:type="dxa"/>
            <w:noWrap w:val="0"/>
            <w:vAlign w:val="center"/>
          </w:tcPr>
          <w:p w14:paraId="2A320359">
            <w:pPr>
              <w:jc w:val="center"/>
              <w:rPr>
                <w:rFonts w:hint="eastAsia" w:ascii="宋体" w:hAnsi="宋体" w:eastAsia="宋体" w:cs="宋体"/>
                <w:sz w:val="21"/>
                <w:szCs w:val="21"/>
              </w:rPr>
            </w:pPr>
          </w:p>
        </w:tc>
        <w:tc>
          <w:tcPr>
            <w:tcW w:w="1105" w:type="dxa"/>
            <w:noWrap w:val="0"/>
            <w:vAlign w:val="center"/>
          </w:tcPr>
          <w:p w14:paraId="5AE2449A">
            <w:pPr>
              <w:jc w:val="center"/>
              <w:rPr>
                <w:rFonts w:hint="eastAsia" w:ascii="宋体" w:hAnsi="宋体" w:eastAsia="宋体" w:cs="宋体"/>
                <w:sz w:val="21"/>
                <w:szCs w:val="21"/>
              </w:rPr>
            </w:pPr>
          </w:p>
        </w:tc>
      </w:tr>
    </w:tbl>
    <w:p w14:paraId="0DF977FB">
      <w:pPr>
        <w:ind w:firstLine="422" w:firstLineChars="200"/>
        <w:rPr>
          <w:rFonts w:hint="eastAsia" w:ascii="宋体" w:hAnsi="宋体" w:eastAsia="宋体" w:cs="宋体"/>
          <w:b/>
          <w:sz w:val="21"/>
          <w:szCs w:val="21"/>
        </w:rPr>
      </w:pPr>
      <w:r>
        <w:rPr>
          <w:rFonts w:hint="eastAsia" w:ascii="宋体" w:hAnsi="宋体" w:eastAsia="宋体" w:cs="宋体"/>
          <w:b/>
          <w:sz w:val="21"/>
          <w:szCs w:val="21"/>
        </w:rPr>
        <w:t>二、合同价款</w:t>
      </w:r>
    </w:p>
    <w:p w14:paraId="081EF2BA">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本合同标的物总价款为人民币大写：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，即RMB</w:t>
      </w:r>
      <w:r>
        <w:rPr>
          <w:rFonts w:hint="eastAsia" w:ascii="宋体" w:hAnsi="宋体" w:eastAsia="宋体" w:cs="宋体"/>
          <w:sz w:val="21"/>
          <w:szCs w:val="21"/>
          <w:u w:val="single"/>
        </w:rPr>
        <w:t xml:space="preserve">￥        </w:t>
      </w:r>
      <w:r>
        <w:rPr>
          <w:rFonts w:hint="eastAsia" w:ascii="宋体" w:hAnsi="宋体" w:eastAsia="宋体" w:cs="宋体"/>
          <w:sz w:val="21"/>
          <w:szCs w:val="21"/>
        </w:rPr>
        <w:t>万元；该价款已包括标的物设计、材料、制造、运输、安装、调试、培训、验收合格交付使用之前及保修期内保修服务与备用物件等所有其他有关各项的含税费用。本合同履行期间该合同总价款不变，甲方无须向乙方支付本合同约定之外的任何其他费用。</w:t>
      </w:r>
    </w:p>
    <w:p w14:paraId="5C12033A">
      <w:pPr>
        <w:ind w:firstLine="422" w:firstLineChars="200"/>
        <w:rPr>
          <w:rFonts w:hint="eastAsia" w:ascii="宋体" w:hAnsi="宋体" w:eastAsia="宋体" w:cs="宋体"/>
          <w:b/>
          <w:sz w:val="21"/>
          <w:szCs w:val="21"/>
        </w:rPr>
      </w:pPr>
      <w:r>
        <w:rPr>
          <w:rFonts w:hint="eastAsia" w:ascii="宋体" w:hAnsi="宋体" w:eastAsia="宋体" w:cs="宋体"/>
          <w:b/>
          <w:sz w:val="21"/>
          <w:szCs w:val="21"/>
        </w:rPr>
        <w:t>三、质量标准及相关质量问题的处理</w:t>
      </w:r>
    </w:p>
    <w:p w14:paraId="33381398">
      <w:pPr>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1、乙方提供的标的物必须是合格出厂的全新（含零部件、配件等）产品，全部外观表面无划伤、无碰撞痕迹，产品所有权及自身涉及的各项知识产权权属清楚，不得存在侵害他人知识产权和其他权益的情形。</w:t>
      </w:r>
    </w:p>
    <w:p w14:paraId="3ACB097F">
      <w:pPr>
        <w:ind w:firstLine="420" w:firstLineChars="200"/>
        <w:rPr>
          <w:rFonts w:hint="eastAsia" w:ascii="宋体" w:hAnsi="宋体" w:eastAsia="宋体" w:cs="宋体"/>
          <w:sz w:val="21"/>
          <w:szCs w:val="21"/>
        </w:rPr>
      </w:pPr>
      <w:r>
        <w:rPr>
          <w:rFonts w:hint="eastAsia" w:ascii="宋体" w:hAnsi="宋体" w:eastAsia="宋体" w:cs="宋体"/>
          <w:sz w:val="21"/>
          <w:szCs w:val="21"/>
        </w:rPr>
        <w:t>2、标的物出厂时必须符合或优于国家（没有国标时，以行标）新标准，同时符合本项目招标文件确定的各项质量要求和技术指标及出厂标准。</w:t>
      </w:r>
    </w:p>
    <w:p w14:paraId="67A65ABA">
      <w:pPr>
        <w:ind w:firstLine="420" w:firstLineChars="200"/>
        <w:rPr>
          <w:rFonts w:hint="eastAsia" w:ascii="宋体" w:hAnsi="宋体" w:eastAsia="宋体" w:cs="宋体"/>
          <w:sz w:val="21"/>
          <w:szCs w:val="21"/>
        </w:rPr>
      </w:pPr>
      <w:r>
        <w:rPr>
          <w:rFonts w:hint="eastAsia" w:ascii="宋体" w:hAnsi="宋体" w:eastAsia="宋体" w:cs="宋体"/>
          <w:sz w:val="21"/>
          <w:szCs w:val="21"/>
        </w:rPr>
        <w:t>3、标的物的制造质量存在或出现问题时，乙方必须负责三包（包修、包换、包退），费用由乙方负担，甲方有权亲自派员或委托第三方到乙方生产或仓储现场查验标的物质量或生产进度。</w:t>
      </w:r>
    </w:p>
    <w:p w14:paraId="0AC5D7C5">
      <w:pPr>
        <w:ind w:firstLine="420" w:firstLineChars="200"/>
        <w:rPr>
          <w:rFonts w:hint="eastAsia" w:ascii="宋体" w:hAnsi="宋体" w:eastAsia="宋体" w:cs="宋体"/>
          <w:sz w:val="21"/>
          <w:szCs w:val="21"/>
        </w:rPr>
      </w:pPr>
      <w:r>
        <w:rPr>
          <w:rFonts w:hint="eastAsia" w:ascii="宋体" w:hAnsi="宋体" w:eastAsia="宋体" w:cs="宋体"/>
          <w:sz w:val="21"/>
          <w:szCs w:val="21"/>
        </w:rPr>
        <w:t>4、标的物交付后由于甲方保管不当造成的质量问题，乙方应负责修理，费用由甲方负担。</w:t>
      </w:r>
    </w:p>
    <w:p w14:paraId="476D5348">
      <w:pPr>
        <w:ind w:firstLine="422" w:firstLineChars="200"/>
        <w:rPr>
          <w:rFonts w:hint="eastAsia" w:ascii="宋体" w:hAnsi="宋体" w:eastAsia="宋体" w:cs="宋体"/>
          <w:b/>
          <w:sz w:val="21"/>
          <w:szCs w:val="21"/>
        </w:rPr>
      </w:pPr>
      <w:r>
        <w:rPr>
          <w:rFonts w:hint="eastAsia" w:ascii="宋体" w:hAnsi="宋体" w:eastAsia="宋体" w:cs="宋体"/>
          <w:b/>
          <w:sz w:val="21"/>
          <w:szCs w:val="21"/>
        </w:rPr>
        <w:t>四、交货及验收</w:t>
      </w:r>
    </w:p>
    <w:p w14:paraId="222FB33F">
      <w:pPr>
        <w:ind w:firstLine="420" w:firstLineChars="200"/>
        <w:rPr>
          <w:rFonts w:hint="eastAsia" w:ascii="宋体" w:hAnsi="宋体" w:eastAsia="宋体" w:cs="宋体"/>
          <w:sz w:val="21"/>
          <w:szCs w:val="21"/>
        </w:rPr>
      </w:pPr>
      <w:r>
        <w:rPr>
          <w:rFonts w:hint="eastAsia" w:ascii="宋体" w:hAnsi="宋体" w:eastAsia="宋体" w:cs="宋体"/>
          <w:sz w:val="21"/>
          <w:szCs w:val="21"/>
        </w:rPr>
        <w:t>1、乙方交货期限为合同签订生效后的</w:t>
      </w:r>
      <w:r>
        <w:rPr>
          <w:rFonts w:hint="eastAsia" w:ascii="宋体" w:hAnsi="宋体" w:eastAsia="宋体" w:cs="宋体"/>
          <w:sz w:val="21"/>
          <w:szCs w:val="21"/>
          <w:u w:val="single"/>
        </w:rPr>
        <w:t xml:space="preserve">      </w:t>
      </w:r>
      <w:r>
        <w:rPr>
          <w:rFonts w:hint="eastAsia" w:ascii="宋体" w:hAnsi="宋体" w:eastAsia="宋体" w:cs="宋体"/>
          <w:sz w:val="21"/>
          <w:szCs w:val="21"/>
        </w:rPr>
        <w:t>日内，交货到甲方指定地点，并由乙方随即在</w:t>
      </w:r>
      <w:r>
        <w:rPr>
          <w:rFonts w:hint="eastAsia" w:ascii="宋体" w:hAnsi="宋体" w:eastAsia="宋体" w:cs="宋体"/>
          <w:sz w:val="21"/>
          <w:szCs w:val="21"/>
          <w:u w:val="single"/>
        </w:rPr>
        <w:t xml:space="preserve">      </w:t>
      </w:r>
      <w:r>
        <w:rPr>
          <w:rFonts w:hint="eastAsia" w:ascii="宋体" w:hAnsi="宋体" w:eastAsia="宋体" w:cs="宋体"/>
          <w:sz w:val="21"/>
          <w:szCs w:val="21"/>
        </w:rPr>
        <w:t>日内全部完成安装调试验收合格，并交付使用（如由于甲方的原因造成合同延迟签订或验收的，交付使用时间顺延）。乙方交货验收时必须要提供该产品的法定质检部门从同类产品中检查合</w:t>
      </w:r>
      <w:r>
        <w:rPr>
          <w:rFonts w:hint="eastAsia" w:ascii="宋体" w:hAnsi="宋体" w:eastAsia="宋体" w:cs="宋体"/>
          <w:sz w:val="21"/>
          <w:szCs w:val="21"/>
          <w:lang w:eastAsia="zh-CN"/>
        </w:rPr>
        <w:t>格</w:t>
      </w:r>
      <w:r>
        <w:rPr>
          <w:rFonts w:hint="eastAsia" w:ascii="宋体" w:hAnsi="宋体" w:eastAsia="宋体" w:cs="宋体"/>
          <w:sz w:val="21"/>
          <w:szCs w:val="21"/>
        </w:rPr>
        <w:t>的检测报告。</w:t>
      </w:r>
    </w:p>
    <w:p w14:paraId="2F555B21">
      <w:pPr>
        <w:ind w:firstLine="420" w:firstLineChars="200"/>
        <w:rPr>
          <w:rFonts w:hint="eastAsia" w:ascii="宋体" w:hAnsi="宋体" w:eastAsia="宋体" w:cs="宋体"/>
          <w:sz w:val="21"/>
          <w:szCs w:val="21"/>
        </w:rPr>
      </w:pPr>
      <w:r>
        <w:rPr>
          <w:rFonts w:hint="eastAsia" w:ascii="宋体" w:hAnsi="宋体" w:eastAsia="宋体" w:cs="宋体"/>
          <w:sz w:val="21"/>
          <w:szCs w:val="21"/>
        </w:rPr>
        <w:t>2、验收由甲方组织，乙方配合进行：</w:t>
      </w:r>
    </w:p>
    <w:p w14:paraId="21391F3B">
      <w:pPr>
        <w:ind w:firstLine="420" w:firstLineChars="200"/>
        <w:rPr>
          <w:rFonts w:hint="eastAsia" w:ascii="宋体" w:hAnsi="宋体" w:eastAsia="宋体" w:cs="宋体"/>
          <w:sz w:val="21"/>
          <w:szCs w:val="21"/>
        </w:rPr>
      </w:pPr>
      <w:r>
        <w:rPr>
          <w:rFonts w:hint="eastAsia" w:ascii="宋体" w:hAnsi="宋体" w:eastAsia="宋体" w:cs="宋体"/>
          <w:sz w:val="21"/>
          <w:szCs w:val="21"/>
        </w:rPr>
        <w:t>（1）标的物在乙方通知安装调试完毕后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三</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日内进行初步验收。初步验收合格后，开始进入</w:t>
      </w:r>
      <w:r>
        <w:rPr>
          <w:rFonts w:hint="eastAsia" w:ascii="宋体" w:hAnsi="宋体" w:eastAsia="宋体" w:cs="宋体"/>
          <w:sz w:val="21"/>
          <w:szCs w:val="21"/>
          <w:u w:val="single"/>
          <w:lang w:val="en-US" w:eastAsia="zh-CN"/>
        </w:rPr>
        <w:t xml:space="preserve">  七  </w:t>
      </w:r>
      <w:r>
        <w:rPr>
          <w:rFonts w:hint="eastAsia" w:ascii="宋体" w:hAnsi="宋体" w:eastAsia="宋体" w:cs="宋体"/>
          <w:sz w:val="21"/>
          <w:szCs w:val="21"/>
        </w:rPr>
        <w:t xml:space="preserve"> 天试用期；试用期间发生重大质量问题，乙方应</w:t>
      </w:r>
      <w:r>
        <w:rPr>
          <w:rFonts w:hint="eastAsia" w:ascii="宋体" w:hAnsi="宋体" w:eastAsia="宋体" w:cs="宋体"/>
          <w:sz w:val="21"/>
          <w:szCs w:val="21"/>
          <w:lang w:eastAsia="zh-CN"/>
        </w:rPr>
        <w:t>重新</w:t>
      </w:r>
      <w:r>
        <w:rPr>
          <w:rFonts w:hint="eastAsia" w:ascii="宋体" w:hAnsi="宋体" w:eastAsia="宋体" w:cs="宋体"/>
          <w:sz w:val="21"/>
          <w:szCs w:val="21"/>
        </w:rPr>
        <w:t>提供符合标准的新设备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由甲方组织重新进行初步验收，开始进入</w:t>
      </w:r>
      <w:r>
        <w:rPr>
          <w:rFonts w:hint="eastAsia" w:ascii="宋体" w:hAnsi="宋体" w:eastAsia="宋体" w:cs="宋体"/>
          <w:sz w:val="21"/>
          <w:szCs w:val="21"/>
          <w:u w:val="single"/>
          <w:lang w:val="en-US" w:eastAsia="zh-CN"/>
        </w:rPr>
        <w:t xml:space="preserve"> 七 </w:t>
      </w:r>
      <w:r>
        <w:rPr>
          <w:rFonts w:hint="eastAsia" w:ascii="宋体" w:hAnsi="宋体" w:eastAsia="宋体" w:cs="宋体"/>
          <w:sz w:val="21"/>
          <w:szCs w:val="21"/>
          <w:lang w:val="en-US" w:eastAsia="zh-CN"/>
        </w:rPr>
        <w:t>天试用期</w:t>
      </w:r>
      <w:r>
        <w:rPr>
          <w:rFonts w:hint="eastAsia" w:ascii="宋体" w:hAnsi="宋体" w:eastAsia="宋体" w:cs="宋体"/>
          <w:sz w:val="21"/>
          <w:szCs w:val="21"/>
        </w:rPr>
        <w:t>；试用期结束后</w:t>
      </w:r>
      <w:r>
        <w:rPr>
          <w:rFonts w:hint="eastAsia" w:ascii="宋体" w:hAnsi="宋体" w:eastAsia="宋体" w:cs="宋体"/>
          <w:sz w:val="21"/>
          <w:szCs w:val="21"/>
          <w:u w:val="single"/>
          <w:lang w:val="en-US" w:eastAsia="zh-CN"/>
        </w:rPr>
        <w:t xml:space="preserve">  三  </w:t>
      </w:r>
      <w:r>
        <w:rPr>
          <w:rFonts w:hint="eastAsia" w:ascii="宋体" w:hAnsi="宋体" w:eastAsia="宋体" w:cs="宋体"/>
          <w:sz w:val="21"/>
          <w:szCs w:val="21"/>
        </w:rPr>
        <w:t>日内完成最终验收。</w:t>
      </w:r>
    </w:p>
    <w:p w14:paraId="24A4DC91">
      <w:pPr>
        <w:ind w:firstLine="420" w:firstLineChars="200"/>
        <w:rPr>
          <w:rFonts w:hint="eastAsia" w:ascii="宋体" w:hAnsi="宋体" w:eastAsia="宋体" w:cs="宋体"/>
          <w:sz w:val="21"/>
          <w:szCs w:val="21"/>
        </w:rPr>
      </w:pPr>
      <w:r>
        <w:rPr>
          <w:rFonts w:hint="eastAsia" w:ascii="宋体" w:hAnsi="宋体" w:eastAsia="宋体" w:cs="宋体"/>
          <w:sz w:val="21"/>
          <w:szCs w:val="21"/>
        </w:rPr>
        <w:t>（2）验收标准：按国家有关规定以及甲方招标文件的质量要求和技术指标、乙方的投标文件及承诺及合同约定标准进行验收；甲乙双方如对质量要求和技术指标的约定标准有相互抵触或异议的事项，由甲方在招标文件中按质量要求和技术指标比较优胜的原则确定标准进行验收。</w:t>
      </w:r>
    </w:p>
    <w:p w14:paraId="1E3D576F">
      <w:pPr>
        <w:ind w:firstLine="420" w:firstLineChars="200"/>
        <w:rPr>
          <w:rFonts w:hint="eastAsia" w:ascii="宋体" w:hAnsi="宋体" w:eastAsia="宋体" w:cs="宋体"/>
          <w:sz w:val="21"/>
          <w:szCs w:val="21"/>
        </w:rPr>
      </w:pPr>
      <w:r>
        <w:rPr>
          <w:rFonts w:hint="eastAsia" w:ascii="宋体" w:hAnsi="宋体" w:eastAsia="宋体" w:cs="宋体"/>
          <w:sz w:val="21"/>
          <w:szCs w:val="21"/>
        </w:rPr>
        <w:t>（3）验收时如发现所交付的标的物有短装、次品、损坏或其它不符合标准及本合同规定之情形者，验收方应做出详尽的现场记录，或由双方签署备忘录，因此产生时间延误和有关费用由乙方承担，验收期限相应顺延。</w:t>
      </w:r>
    </w:p>
    <w:p w14:paraId="4B0D305D">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）甲方组织联合验收</w:t>
      </w:r>
      <w:r>
        <w:rPr>
          <w:rFonts w:hint="eastAsia" w:ascii="宋体" w:hAnsi="宋体" w:eastAsia="宋体" w:cs="宋体"/>
          <w:sz w:val="21"/>
          <w:szCs w:val="21"/>
          <w:lang w:eastAsia="zh-CN"/>
        </w:rPr>
        <w:t>，</w:t>
      </w:r>
      <w:r>
        <w:rPr>
          <w:rFonts w:hint="eastAsia" w:ascii="宋体" w:hAnsi="宋体" w:eastAsia="宋体" w:cs="宋体"/>
          <w:sz w:val="21"/>
          <w:szCs w:val="21"/>
        </w:rPr>
        <w:t>验收严格按照招标文件中的配置、质量、技术要求进行，验收通过的，双方签署书面验收报告</w:t>
      </w:r>
      <w:r>
        <w:rPr>
          <w:rFonts w:hint="eastAsia" w:ascii="宋体" w:hAnsi="宋体" w:eastAsia="宋体" w:cs="宋体"/>
          <w:sz w:val="21"/>
          <w:szCs w:val="21"/>
          <w:lang w:eastAsia="zh-CN"/>
        </w:rPr>
        <w:t>；</w:t>
      </w:r>
      <w:r>
        <w:rPr>
          <w:rFonts w:hint="eastAsia" w:ascii="宋体" w:hAnsi="宋体" w:eastAsia="宋体" w:cs="宋体"/>
          <w:sz w:val="21"/>
          <w:szCs w:val="21"/>
        </w:rPr>
        <w:t>如乙方提供的产品不能通过验收，按退货处理，乙方负责无条件退货。</w:t>
      </w:r>
    </w:p>
    <w:p w14:paraId="2A181BDE">
      <w:pPr>
        <w:ind w:firstLine="420" w:firstLineChars="200"/>
        <w:rPr>
          <w:rFonts w:hint="eastAsia" w:ascii="宋体" w:hAnsi="宋体" w:eastAsia="宋体" w:cs="宋体"/>
          <w:sz w:val="21"/>
          <w:szCs w:val="21"/>
        </w:rPr>
      </w:pPr>
      <w:r>
        <w:rPr>
          <w:rFonts w:hint="eastAsia" w:ascii="宋体" w:hAnsi="宋体" w:eastAsia="宋体" w:cs="宋体"/>
          <w:sz w:val="21"/>
          <w:szCs w:val="21"/>
        </w:rPr>
        <w:t>3、标的物安装完成后，甲方无故不进行验收工作并已使用标的物的，视同已安装调试完成并验收合格。</w:t>
      </w:r>
    </w:p>
    <w:p w14:paraId="79BEA18E">
      <w:pPr>
        <w:ind w:firstLine="420" w:firstLineChars="200"/>
        <w:rPr>
          <w:rFonts w:hint="eastAsia" w:ascii="宋体" w:hAnsi="宋体" w:eastAsia="宋体" w:cs="宋体"/>
          <w:sz w:val="21"/>
          <w:szCs w:val="21"/>
        </w:rPr>
      </w:pPr>
      <w:r>
        <w:rPr>
          <w:rFonts w:hint="eastAsia" w:ascii="宋体" w:hAnsi="宋体" w:eastAsia="宋体" w:cs="宋体"/>
          <w:sz w:val="21"/>
          <w:szCs w:val="21"/>
        </w:rPr>
        <w:t>4、乙方应将所提供标的物的装箱清单、配件、随机工具、用户使用手册、原厂保修卡等资料交付给甲方；乙方不能完整交付标的物及本款规定的单证和工具的，必须负责补齐，否则视为未按合同约定交货。</w:t>
      </w:r>
    </w:p>
    <w:p w14:paraId="6DEA8070">
      <w:pPr>
        <w:ind w:firstLine="420" w:firstLineChars="200"/>
        <w:rPr>
          <w:rFonts w:hint="eastAsia" w:ascii="宋体" w:hAnsi="宋体" w:eastAsia="宋体" w:cs="宋体"/>
          <w:sz w:val="21"/>
          <w:szCs w:val="21"/>
        </w:rPr>
      </w:pPr>
      <w:r>
        <w:rPr>
          <w:rFonts w:hint="eastAsia" w:ascii="宋体" w:hAnsi="宋体" w:eastAsia="宋体" w:cs="宋体"/>
          <w:sz w:val="21"/>
          <w:szCs w:val="21"/>
        </w:rPr>
        <w:t>5、如标的物经乙方</w:t>
      </w:r>
      <w:r>
        <w:rPr>
          <w:rFonts w:hint="eastAsia" w:ascii="宋体" w:hAnsi="宋体" w:eastAsia="宋体" w:cs="宋体"/>
          <w:sz w:val="21"/>
          <w:szCs w:val="21"/>
          <w:u w:val="single"/>
        </w:rPr>
        <w:t xml:space="preserve"> 二 </w:t>
      </w:r>
      <w:r>
        <w:rPr>
          <w:rFonts w:hint="eastAsia" w:ascii="宋体" w:hAnsi="宋体" w:eastAsia="宋体" w:cs="宋体"/>
          <w:sz w:val="21"/>
          <w:szCs w:val="21"/>
        </w:rPr>
        <w:t>次维修仍不能达到合同约定的质量标准，甲方有权退货，并视作乙方不能交付标的物</w:t>
      </w:r>
      <w:r>
        <w:rPr>
          <w:rFonts w:hint="eastAsia" w:ascii="宋体" w:hAnsi="宋体" w:eastAsia="宋体" w:cs="宋体"/>
          <w:sz w:val="21"/>
          <w:szCs w:val="21"/>
          <w:lang w:val="en-US" w:eastAsia="zh-CN"/>
        </w:rPr>
        <w:t>,乙方应支付货款总额30%的违约赔偿金给甲方</w:t>
      </w:r>
      <w:r>
        <w:rPr>
          <w:rFonts w:hint="eastAsia" w:ascii="宋体" w:hAnsi="宋体" w:eastAsia="宋体" w:cs="宋体"/>
          <w:sz w:val="21"/>
          <w:szCs w:val="21"/>
        </w:rPr>
        <w:t>，甲方还可以依法追究乙方的相关法律责任。</w:t>
      </w:r>
    </w:p>
    <w:p w14:paraId="39A9B4C1">
      <w:pPr>
        <w:ind w:firstLine="420" w:firstLineChars="200"/>
        <w:rPr>
          <w:rFonts w:hint="eastAsia" w:ascii="宋体" w:hAnsi="宋体" w:eastAsia="宋体" w:cs="宋体"/>
          <w:sz w:val="21"/>
          <w:szCs w:val="21"/>
        </w:rPr>
      </w:pPr>
      <w:r>
        <w:rPr>
          <w:rFonts w:hint="eastAsia" w:ascii="宋体" w:hAnsi="宋体" w:eastAsia="宋体" w:cs="宋体"/>
          <w:sz w:val="21"/>
          <w:szCs w:val="21"/>
        </w:rPr>
        <w:t>6、其他未尽事宜应严格按照《中华人民共和国政府采购法》及相关法律法规规定的要求进行。</w:t>
      </w:r>
    </w:p>
    <w:p w14:paraId="3BBB9FCC">
      <w:pPr>
        <w:ind w:firstLine="422" w:firstLineChars="200"/>
        <w:rPr>
          <w:rFonts w:hint="eastAsia" w:ascii="宋体" w:hAnsi="宋体" w:eastAsia="宋体" w:cs="宋体"/>
          <w:b/>
          <w:sz w:val="21"/>
          <w:szCs w:val="21"/>
        </w:rPr>
      </w:pPr>
      <w:r>
        <w:rPr>
          <w:rFonts w:hint="eastAsia" w:ascii="宋体" w:hAnsi="宋体" w:eastAsia="宋体" w:cs="宋体"/>
          <w:b/>
          <w:sz w:val="21"/>
          <w:szCs w:val="21"/>
        </w:rPr>
        <w:t>五、付款方式</w:t>
      </w:r>
    </w:p>
    <w:p w14:paraId="31D6B381">
      <w:pPr>
        <w:ind w:firstLine="420" w:firstLineChars="200"/>
        <w:rPr>
          <w:rFonts w:hint="eastAsia" w:ascii="宋体" w:hAnsi="宋体" w:eastAsia="宋体" w:cs="宋体"/>
          <w:color w:val="auto"/>
          <w:sz w:val="21"/>
          <w:szCs w:val="21"/>
          <w:lang w:val="en-US"/>
        </w:rPr>
      </w:pPr>
      <w:r>
        <w:rPr>
          <w:rFonts w:hint="eastAsia" w:ascii="宋体" w:hAnsi="宋体" w:eastAsia="宋体" w:cs="宋体"/>
          <w:sz w:val="21"/>
          <w:szCs w:val="21"/>
        </w:rPr>
        <w:t>全部标的物经安装调试完毕并</w:t>
      </w:r>
      <w:r>
        <w:rPr>
          <w:rFonts w:hint="eastAsia" w:ascii="宋体" w:hAnsi="宋体" w:eastAsia="宋体" w:cs="宋体"/>
          <w:sz w:val="21"/>
          <w:szCs w:val="21"/>
          <w:lang w:eastAsia="zh-CN"/>
        </w:rPr>
        <w:t>验收入库</w:t>
      </w:r>
      <w:r>
        <w:rPr>
          <w:rFonts w:hint="eastAsia" w:ascii="宋体" w:hAnsi="宋体" w:eastAsia="宋体" w:cs="宋体"/>
          <w:sz w:val="21"/>
          <w:szCs w:val="21"/>
        </w:rPr>
        <w:t>之日起，甲方接到乙方付款通知和有关票据凭证资料以后，由甲方核付合同总价的百分之</w:t>
      </w:r>
      <w:r>
        <w:rPr>
          <w:rFonts w:hint="eastAsia" w:ascii="宋体" w:hAnsi="宋体" w:eastAsia="宋体" w:cs="宋体"/>
          <w:sz w:val="21"/>
          <w:szCs w:val="21"/>
          <w:u w:val="single"/>
          <w:lang w:val="en-US" w:eastAsia="zh-CN"/>
        </w:rPr>
        <w:t xml:space="preserve"> 八十五 </w:t>
      </w:r>
      <w:r>
        <w:rPr>
          <w:rFonts w:hint="eastAsia" w:ascii="宋体" w:hAnsi="宋体" w:eastAsia="宋体" w:cs="宋体"/>
          <w:sz w:val="21"/>
          <w:szCs w:val="21"/>
        </w:rPr>
        <w:t>款项：￥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万</w:t>
      </w:r>
      <w:r>
        <w:rPr>
          <w:rFonts w:hint="eastAsia" w:ascii="宋体" w:hAnsi="宋体" w:eastAsia="宋体" w:cs="宋体"/>
          <w:sz w:val="21"/>
          <w:szCs w:val="21"/>
        </w:rPr>
        <w:t>元，人民币大写</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。一年后</w:t>
      </w:r>
      <w:r>
        <w:rPr>
          <w:rFonts w:hint="eastAsia" w:ascii="宋体" w:hAnsi="宋体" w:eastAsia="宋体" w:cs="宋体"/>
          <w:sz w:val="21"/>
          <w:szCs w:val="21"/>
        </w:rPr>
        <w:t>由甲方核付合同总价的百分之</w:t>
      </w:r>
      <w:r>
        <w:rPr>
          <w:rFonts w:hint="eastAsia" w:ascii="宋体" w:hAnsi="宋体" w:eastAsia="宋体" w:cs="宋体"/>
          <w:sz w:val="21"/>
          <w:szCs w:val="21"/>
          <w:u w:val="single"/>
          <w:lang w:val="en-US" w:eastAsia="zh-CN"/>
        </w:rPr>
        <w:t xml:space="preserve"> 十 </w:t>
      </w:r>
      <w:r>
        <w:rPr>
          <w:rFonts w:hint="eastAsia" w:ascii="宋体" w:hAnsi="宋体" w:eastAsia="宋体" w:cs="宋体"/>
          <w:sz w:val="21"/>
          <w:szCs w:val="21"/>
        </w:rPr>
        <w:t>款项：￥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万</w:t>
      </w:r>
      <w:r>
        <w:rPr>
          <w:rFonts w:hint="eastAsia" w:ascii="宋体" w:hAnsi="宋体" w:eastAsia="宋体" w:cs="宋体"/>
          <w:sz w:val="21"/>
          <w:szCs w:val="21"/>
        </w:rPr>
        <w:t>元，人民币大写</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三年后</w:t>
      </w:r>
      <w:r>
        <w:rPr>
          <w:rFonts w:hint="eastAsia" w:ascii="宋体" w:hAnsi="宋体" w:eastAsia="宋体" w:cs="宋体"/>
          <w:color w:val="auto"/>
          <w:sz w:val="21"/>
          <w:szCs w:val="21"/>
        </w:rPr>
        <w:t>，由甲方核付合同总价的百分之</w:t>
      </w:r>
      <w:r>
        <w:rPr>
          <w:rFonts w:hint="eastAsia" w:ascii="宋体" w:hAnsi="宋体" w:eastAsia="宋体" w:cs="宋体"/>
          <w:color w:val="auto"/>
          <w:sz w:val="21"/>
          <w:szCs w:val="21"/>
          <w:u w:val="single"/>
          <w:lang w:val="en-US" w:eastAsia="zh-CN"/>
        </w:rPr>
        <w:t xml:space="preserve">  五 </w:t>
      </w:r>
      <w:r>
        <w:rPr>
          <w:rFonts w:hint="eastAsia" w:ascii="宋体" w:hAnsi="宋体" w:eastAsia="宋体" w:cs="宋体"/>
          <w:color w:val="auto"/>
          <w:sz w:val="21"/>
          <w:szCs w:val="21"/>
        </w:rPr>
        <w:t>款项：￥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万</w:t>
      </w:r>
      <w:r>
        <w:rPr>
          <w:rFonts w:hint="eastAsia" w:ascii="宋体" w:hAnsi="宋体" w:eastAsia="宋体" w:cs="宋体"/>
          <w:color w:val="auto"/>
          <w:sz w:val="21"/>
          <w:szCs w:val="21"/>
        </w:rPr>
        <w:t>元，人民币大写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。每次付款前均需由乙方提供符合甲方要求的相关资料后，甲方再予以核付；如果乙方不按要求提供相关资料，甲方有权拒付款项。</w:t>
      </w:r>
    </w:p>
    <w:p w14:paraId="25CE8DE3">
      <w:pPr>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六、售后服务</w:t>
      </w:r>
    </w:p>
    <w:p w14:paraId="00BF6AE7">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1、质保期为</w:t>
      </w:r>
      <w:r>
        <w:rPr>
          <w:rFonts w:hint="eastAsia" w:ascii="宋体" w:hAnsi="宋体" w:eastAsia="宋体" w:cs="宋体"/>
          <w:color w:val="auto"/>
          <w:sz w:val="21"/>
          <w:szCs w:val="21"/>
          <w:lang w:eastAsia="zh-CN"/>
        </w:rPr>
        <w:t>甲方入库之日起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年，质保期内出现质量问题，乙方在接到甲方通知后 两小时内响应，十二小时内到达现场完成维修或更换，并承担修理更换的费用,维修期间提供备用机；如标的物经乙方</w:t>
      </w:r>
      <w:r>
        <w:rPr>
          <w:rFonts w:hint="eastAsia" w:ascii="宋体" w:hAnsi="宋体" w:eastAsia="宋体" w:cs="宋体"/>
          <w:color w:val="auto"/>
          <w:sz w:val="21"/>
          <w:szCs w:val="21"/>
          <w:u w:val="single"/>
        </w:rPr>
        <w:t xml:space="preserve"> 两 </w:t>
      </w:r>
      <w:r>
        <w:rPr>
          <w:rFonts w:hint="eastAsia" w:ascii="宋体" w:hAnsi="宋体" w:eastAsia="宋体" w:cs="宋体"/>
          <w:color w:val="auto"/>
          <w:sz w:val="21"/>
          <w:szCs w:val="21"/>
        </w:rPr>
        <w:t>次维修仍不能达到本合同约定的质量标准，甲方有权退货并追究乙方的违约责任。标的物到达甲方指定现场后因甲方保管不当造成的数量短缺或质量损害，乙方负责补齐或修复，费用由甲方负担。</w:t>
      </w:r>
    </w:p>
    <w:p w14:paraId="1FB152CC">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2、乙方须指派专人负责与甲方联系售后服务事宜。</w:t>
      </w:r>
    </w:p>
    <w:p w14:paraId="3A11139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3、本合同履行过程中因乙方无法完成设备的维修与更换，导致甲方产生的额外支出由甲方从未向乙方支付的款项中扣除，甲方的额外支出超过未向乙方支付的款项时，乙方应承担额外的维修与更换费用。</w:t>
      </w:r>
    </w:p>
    <w:p w14:paraId="43458801">
      <w:pPr>
        <w:ind w:firstLine="422" w:firstLineChars="200"/>
        <w:rPr>
          <w:rFonts w:hint="eastAsia" w:ascii="宋体" w:hAnsi="宋体" w:eastAsia="宋体" w:cs="宋体"/>
          <w:b/>
          <w:sz w:val="21"/>
          <w:szCs w:val="21"/>
        </w:rPr>
      </w:pPr>
      <w:r>
        <w:rPr>
          <w:rFonts w:hint="eastAsia" w:ascii="宋体" w:hAnsi="宋体" w:eastAsia="宋体" w:cs="宋体"/>
          <w:b/>
          <w:sz w:val="21"/>
          <w:szCs w:val="21"/>
        </w:rPr>
        <w:t>七、违约责任</w:t>
      </w:r>
    </w:p>
    <w:p w14:paraId="6EF03825">
      <w:pPr>
        <w:ind w:firstLine="420" w:firstLineChars="200"/>
        <w:rPr>
          <w:rFonts w:hint="eastAsia" w:ascii="宋体" w:hAnsi="宋体" w:eastAsia="宋体" w:cs="宋体"/>
          <w:sz w:val="21"/>
          <w:szCs w:val="21"/>
        </w:rPr>
      </w:pPr>
      <w:r>
        <w:rPr>
          <w:rFonts w:hint="eastAsia" w:ascii="宋体" w:hAnsi="宋体" w:eastAsia="宋体" w:cs="宋体"/>
          <w:sz w:val="21"/>
          <w:szCs w:val="21"/>
        </w:rPr>
        <w:t>1、甲方的违约责任</w:t>
      </w:r>
    </w:p>
    <w:p w14:paraId="582AE4E6">
      <w:pPr>
        <w:ind w:firstLine="420" w:firstLineChars="200"/>
        <w:rPr>
          <w:rFonts w:hint="eastAsia" w:ascii="宋体" w:hAnsi="宋体" w:eastAsia="宋体" w:cs="宋体"/>
          <w:sz w:val="21"/>
          <w:szCs w:val="21"/>
        </w:rPr>
      </w:pPr>
      <w:r>
        <w:rPr>
          <w:rFonts w:hint="eastAsia" w:ascii="宋体" w:hAnsi="宋体" w:eastAsia="宋体" w:cs="宋体"/>
          <w:sz w:val="21"/>
          <w:szCs w:val="21"/>
        </w:rPr>
        <w:t>甲方无正当理由拒收标的物的，甲方应偿付合同总价的</w:t>
      </w:r>
      <w:r>
        <w:rPr>
          <w:rFonts w:hint="eastAsia" w:ascii="宋体" w:hAnsi="宋体" w:eastAsia="宋体" w:cs="宋体"/>
          <w:sz w:val="21"/>
          <w:szCs w:val="21"/>
          <w:u w:val="single"/>
        </w:rPr>
        <w:t xml:space="preserve"> 百分之三 </w:t>
      </w:r>
      <w:r>
        <w:rPr>
          <w:rFonts w:hint="eastAsia" w:ascii="宋体" w:hAnsi="宋体" w:eastAsia="宋体" w:cs="宋体"/>
          <w:sz w:val="21"/>
          <w:szCs w:val="21"/>
        </w:rPr>
        <w:t>的违约金；</w:t>
      </w:r>
    </w:p>
    <w:p w14:paraId="1C86877D">
      <w:pPr>
        <w:ind w:firstLine="420" w:firstLineChars="200"/>
        <w:rPr>
          <w:rFonts w:hint="eastAsia" w:ascii="宋体" w:hAnsi="宋体" w:eastAsia="宋体" w:cs="宋体"/>
          <w:sz w:val="21"/>
          <w:szCs w:val="21"/>
        </w:rPr>
      </w:pPr>
      <w:r>
        <w:rPr>
          <w:rFonts w:hint="eastAsia" w:ascii="宋体" w:hAnsi="宋体" w:eastAsia="宋体" w:cs="宋体"/>
          <w:sz w:val="21"/>
          <w:szCs w:val="21"/>
        </w:rPr>
        <w:t>2、乙方违约责任</w:t>
      </w:r>
    </w:p>
    <w:p w14:paraId="0F6E3216">
      <w:pPr>
        <w:ind w:firstLine="420" w:firstLineChars="200"/>
        <w:rPr>
          <w:rFonts w:hint="eastAsia" w:ascii="宋体" w:hAnsi="宋体" w:eastAsia="宋体" w:cs="宋体"/>
          <w:sz w:val="21"/>
          <w:szCs w:val="21"/>
        </w:rPr>
      </w:pPr>
      <w:r>
        <w:rPr>
          <w:rFonts w:hint="eastAsia" w:ascii="宋体" w:hAnsi="宋体" w:eastAsia="宋体" w:cs="宋体"/>
          <w:sz w:val="21"/>
          <w:szCs w:val="21"/>
        </w:rPr>
        <w:t>（1）乙方交付的标的物质量不符合合同约定的，乙方应向甲方支付合同总价的百分之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的违约金，并须在合同约定的交货时间内更换合格的标的物给甲方，否则，视作乙方不能交付标的物而违约，按本条本款下述第“（2）”项规定由乙方支付违约赔偿金给甲方。</w:t>
      </w:r>
    </w:p>
    <w:p w14:paraId="35E013FF">
      <w:pPr>
        <w:ind w:firstLine="420" w:firstLineChars="200"/>
        <w:rPr>
          <w:rFonts w:hint="eastAsia" w:ascii="宋体" w:hAnsi="宋体" w:eastAsia="宋体" w:cs="宋体"/>
          <w:sz w:val="21"/>
          <w:szCs w:val="21"/>
        </w:rPr>
      </w:pPr>
      <w:r>
        <w:rPr>
          <w:rFonts w:hint="eastAsia" w:ascii="宋体" w:hAnsi="宋体" w:eastAsia="宋体" w:cs="宋体"/>
          <w:sz w:val="21"/>
          <w:szCs w:val="21"/>
        </w:rPr>
        <w:t>（2）乙方不能交付标的物或逾期交付标的物而违约的，除应及时交足标的物外，应向甲方支付逾期交货部分货款总额的万分之</w:t>
      </w:r>
      <w:r>
        <w:rPr>
          <w:rFonts w:hint="eastAsia" w:ascii="宋体" w:hAnsi="宋体" w:eastAsia="宋体" w:cs="宋体"/>
          <w:sz w:val="21"/>
          <w:szCs w:val="21"/>
          <w:u w:val="single"/>
        </w:rPr>
        <w:t xml:space="preserve">五 </w:t>
      </w:r>
      <w:r>
        <w:rPr>
          <w:rFonts w:hint="eastAsia" w:ascii="宋体" w:hAnsi="宋体" w:eastAsia="宋体" w:cs="宋体"/>
          <w:sz w:val="21"/>
          <w:szCs w:val="21"/>
        </w:rPr>
        <w:t>/日的违约金；逾期交货超过</w:t>
      </w:r>
      <w:r>
        <w:rPr>
          <w:rFonts w:hint="eastAsia" w:ascii="宋体" w:hAnsi="宋体" w:eastAsia="宋体" w:cs="宋体"/>
          <w:sz w:val="21"/>
          <w:szCs w:val="21"/>
          <w:u w:val="single"/>
        </w:rPr>
        <w:t xml:space="preserve"> 七 </w:t>
      </w:r>
      <w:r>
        <w:rPr>
          <w:rFonts w:hint="eastAsia" w:ascii="宋体" w:hAnsi="宋体" w:eastAsia="宋体" w:cs="宋体"/>
          <w:sz w:val="21"/>
          <w:szCs w:val="21"/>
        </w:rPr>
        <w:t>天，甲方有权解除合同，乙方则应按合同总价的百分之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的款额向甲方支付赔偿金，并须全额退还甲方已经付给乙方的货款及自甲方付款至退款期间的利息（按同期银行贷款利率）。</w:t>
      </w:r>
    </w:p>
    <w:p w14:paraId="405258F7">
      <w:pPr>
        <w:ind w:firstLine="420" w:firstLineChars="200"/>
        <w:rPr>
          <w:rFonts w:hint="eastAsia" w:ascii="宋体" w:hAnsi="宋体" w:eastAsia="宋体" w:cs="宋体"/>
          <w:sz w:val="21"/>
          <w:szCs w:val="21"/>
        </w:rPr>
      </w:pPr>
      <w:r>
        <w:rPr>
          <w:rFonts w:hint="eastAsia" w:ascii="宋体" w:hAnsi="宋体" w:eastAsia="宋体" w:cs="宋体"/>
          <w:sz w:val="21"/>
          <w:szCs w:val="21"/>
        </w:rPr>
        <w:t>（3）乙方标的物经甲方送交具有法定资格条件的质量技术监督机构检测后，如检测结果认定标的物质量不符合本合同规定标准的，则视为乙方没有按时交货而违约，乙方须在</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三</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天内无条件更换合格标的物，如逾期不能更换合格的标的物，甲方有权终止本合同，乙方应另付合同总价的百分之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的赔偿金给甲方。</w:t>
      </w:r>
    </w:p>
    <w:p w14:paraId="0BF78B47">
      <w:pPr>
        <w:ind w:firstLine="420" w:firstLineChars="200"/>
        <w:rPr>
          <w:rFonts w:hint="eastAsia" w:ascii="宋体" w:hAnsi="宋体" w:eastAsia="宋体" w:cs="宋体"/>
          <w:sz w:val="21"/>
          <w:szCs w:val="21"/>
        </w:rPr>
      </w:pPr>
      <w:r>
        <w:rPr>
          <w:rFonts w:hint="eastAsia" w:ascii="宋体" w:hAnsi="宋体" w:eastAsia="宋体" w:cs="宋体"/>
          <w:sz w:val="21"/>
          <w:szCs w:val="21"/>
        </w:rPr>
        <w:t>（4）乙方保证本合同标的物的权利无瑕疵，包括标的物所有权及知识产权等权利无瑕疵。如任何第三方经法院（或仲裁机构）裁决有权对上述标的物主张权利或国家机关依法对标的物进行没收查处的，乙方除应向甲方返还已收款项外，还应另按合同总价的百分之</w:t>
      </w:r>
      <w:r>
        <w:rPr>
          <w:rFonts w:hint="eastAsia" w:ascii="宋体" w:hAnsi="宋体" w:eastAsia="宋体" w:cs="宋体"/>
          <w:sz w:val="21"/>
          <w:szCs w:val="21"/>
          <w:u w:val="single"/>
        </w:rPr>
        <w:t>五</w:t>
      </w:r>
      <w:r>
        <w:rPr>
          <w:rFonts w:hint="eastAsia" w:ascii="宋体" w:hAnsi="宋体" w:eastAsia="宋体" w:cs="宋体"/>
          <w:sz w:val="21"/>
          <w:szCs w:val="21"/>
        </w:rPr>
        <w:t>向甲方支付违约金并赔偿因此给甲方造成的一切损失。</w:t>
      </w:r>
    </w:p>
    <w:p w14:paraId="3C3C4CA4">
      <w:pPr>
        <w:ind w:firstLine="420" w:firstLineChars="200"/>
        <w:rPr>
          <w:rFonts w:hint="eastAsia" w:ascii="宋体" w:hAnsi="宋体" w:eastAsia="宋体" w:cs="宋体"/>
          <w:sz w:val="21"/>
          <w:szCs w:val="21"/>
        </w:rPr>
      </w:pPr>
      <w:r>
        <w:rPr>
          <w:rFonts w:hint="eastAsia" w:ascii="宋体" w:hAnsi="宋体" w:eastAsia="宋体" w:cs="宋体"/>
          <w:sz w:val="21"/>
          <w:szCs w:val="21"/>
        </w:rPr>
        <w:t>（5）乙方偿付的违约金不足以弥补甲方损失的，还应按甲方损失尚未弥补的部分，支付赔偿金给甲方。</w:t>
      </w:r>
    </w:p>
    <w:p w14:paraId="78D25BC2">
      <w:pPr>
        <w:ind w:firstLine="422" w:firstLineChars="200"/>
        <w:rPr>
          <w:rFonts w:hint="eastAsia" w:ascii="宋体" w:hAnsi="宋体" w:eastAsia="宋体" w:cs="宋体"/>
          <w:b/>
          <w:sz w:val="21"/>
          <w:szCs w:val="21"/>
        </w:rPr>
      </w:pPr>
      <w:r>
        <w:rPr>
          <w:rFonts w:hint="eastAsia" w:ascii="宋体" w:hAnsi="宋体" w:eastAsia="宋体" w:cs="宋体"/>
          <w:b/>
          <w:sz w:val="21"/>
          <w:szCs w:val="21"/>
        </w:rPr>
        <w:t>八、争议解决方法</w:t>
      </w:r>
    </w:p>
    <w:p w14:paraId="70DE7D94">
      <w:pPr>
        <w:ind w:firstLine="420" w:firstLineChars="200"/>
        <w:rPr>
          <w:rFonts w:hint="eastAsia" w:ascii="宋体" w:hAnsi="宋体" w:eastAsia="宋体" w:cs="宋体"/>
          <w:sz w:val="21"/>
          <w:szCs w:val="21"/>
        </w:rPr>
      </w:pPr>
      <w:r>
        <w:rPr>
          <w:rFonts w:hint="eastAsia" w:ascii="宋体" w:hAnsi="宋体" w:eastAsia="宋体" w:cs="宋体"/>
          <w:sz w:val="21"/>
          <w:szCs w:val="21"/>
        </w:rPr>
        <w:t>1、因标的物的质量发生争议，由甲方委托法定的质量技术监督部门或监督部门指定的质量鉴定机构进行质量鉴定或检测，鉴定费由乙方承担。</w:t>
      </w:r>
    </w:p>
    <w:p w14:paraId="6FE73926">
      <w:pPr>
        <w:ind w:firstLine="420" w:firstLineChars="200"/>
        <w:rPr>
          <w:rFonts w:hint="eastAsia" w:ascii="宋体" w:hAnsi="宋体" w:eastAsia="宋体" w:cs="宋体"/>
          <w:sz w:val="21"/>
          <w:szCs w:val="21"/>
        </w:rPr>
      </w:pPr>
      <w:r>
        <w:rPr>
          <w:rFonts w:hint="eastAsia" w:ascii="宋体" w:hAnsi="宋体" w:eastAsia="宋体" w:cs="宋体"/>
          <w:sz w:val="21"/>
          <w:szCs w:val="21"/>
        </w:rPr>
        <w:t>2、因本合同发生争议，双方可协商或由有关部门调解解决；协商或调解不成的，应向甲方住所地有管辖权的人民法院提起诉讼。</w:t>
      </w:r>
    </w:p>
    <w:p w14:paraId="2315F47B">
      <w:pPr>
        <w:ind w:firstLine="422" w:firstLineChars="200"/>
        <w:rPr>
          <w:rFonts w:hint="eastAsia" w:ascii="宋体" w:hAnsi="宋体" w:eastAsia="宋体" w:cs="宋体"/>
          <w:b/>
          <w:sz w:val="21"/>
          <w:szCs w:val="21"/>
        </w:rPr>
      </w:pPr>
      <w:r>
        <w:rPr>
          <w:rFonts w:hint="eastAsia" w:ascii="宋体" w:hAnsi="宋体" w:eastAsia="宋体" w:cs="宋体"/>
          <w:b/>
          <w:sz w:val="21"/>
          <w:szCs w:val="21"/>
        </w:rPr>
        <w:t>九、其他</w:t>
      </w:r>
    </w:p>
    <w:p w14:paraId="7D99794B">
      <w:pPr>
        <w:ind w:firstLine="420" w:firstLineChars="200"/>
        <w:rPr>
          <w:rFonts w:hint="eastAsia" w:ascii="宋体" w:hAnsi="宋体" w:eastAsia="宋体" w:cs="宋体"/>
          <w:sz w:val="21"/>
          <w:szCs w:val="21"/>
        </w:rPr>
      </w:pPr>
      <w:r>
        <w:rPr>
          <w:rFonts w:hint="eastAsia" w:ascii="宋体" w:hAnsi="宋体" w:eastAsia="宋体" w:cs="宋体"/>
          <w:sz w:val="21"/>
          <w:szCs w:val="21"/>
        </w:rPr>
        <w:t>1、合同未尽事宜，由双方另行协商订立补充合同。</w:t>
      </w:r>
    </w:p>
    <w:p w14:paraId="3A30DD16">
      <w:pPr>
        <w:ind w:firstLine="420" w:firstLineChars="200"/>
        <w:rPr>
          <w:rFonts w:hint="eastAsia" w:ascii="宋体" w:hAnsi="宋体" w:eastAsia="宋体" w:cs="宋体"/>
          <w:sz w:val="21"/>
          <w:szCs w:val="21"/>
        </w:rPr>
      </w:pPr>
      <w:r>
        <w:rPr>
          <w:rFonts w:hint="eastAsia" w:ascii="宋体" w:hAnsi="宋体" w:eastAsia="宋体" w:cs="宋体"/>
          <w:sz w:val="21"/>
          <w:szCs w:val="21"/>
        </w:rPr>
        <w:t>2、本合同一式</w:t>
      </w:r>
      <w:r>
        <w:rPr>
          <w:rFonts w:hint="eastAsia" w:ascii="宋体" w:hAnsi="宋体" w:eastAsia="宋体" w:cs="宋体"/>
          <w:sz w:val="21"/>
          <w:szCs w:val="21"/>
          <w:lang w:eastAsia="zh-CN"/>
        </w:rPr>
        <w:t>四</w:t>
      </w:r>
      <w:r>
        <w:rPr>
          <w:rFonts w:hint="eastAsia" w:ascii="宋体" w:hAnsi="宋体" w:eastAsia="宋体" w:cs="宋体"/>
          <w:sz w:val="21"/>
          <w:szCs w:val="21"/>
        </w:rPr>
        <w:t>份，自双方签章之日起生效。甲方</w:t>
      </w:r>
      <w:r>
        <w:rPr>
          <w:rFonts w:hint="eastAsia" w:ascii="宋体" w:hAnsi="宋体" w:eastAsia="宋体" w:cs="宋体"/>
          <w:sz w:val="21"/>
          <w:szCs w:val="21"/>
          <w:lang w:eastAsia="zh-CN"/>
        </w:rPr>
        <w:t>三</w:t>
      </w:r>
      <w:r>
        <w:rPr>
          <w:rFonts w:hint="eastAsia" w:ascii="宋体" w:hAnsi="宋体" w:eastAsia="宋体" w:cs="宋体"/>
          <w:sz w:val="21"/>
          <w:szCs w:val="21"/>
        </w:rPr>
        <w:t>份，乙方一份。</w:t>
      </w:r>
    </w:p>
    <w:p w14:paraId="1F37D73C">
      <w:pPr>
        <w:ind w:firstLine="420" w:firstLineChars="200"/>
        <w:rPr>
          <w:rFonts w:hint="eastAsia" w:ascii="宋体" w:hAnsi="宋体" w:eastAsia="宋体" w:cs="宋体"/>
          <w:b/>
          <w:bCs/>
          <w:sz w:val="21"/>
          <w:szCs w:val="21"/>
        </w:rPr>
      </w:pPr>
      <w:r>
        <w:rPr>
          <w:rFonts w:hint="eastAsia" w:ascii="宋体" w:hAnsi="宋体" w:eastAsia="宋体" w:cs="宋体"/>
          <w:sz w:val="21"/>
          <w:szCs w:val="21"/>
        </w:rPr>
        <w:t>3、</w:t>
      </w: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中标通知书</w:t>
      </w:r>
    </w:p>
    <w:p w14:paraId="7A0D927E">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   附件2：</w:t>
      </w:r>
      <w:r>
        <w:rPr>
          <w:rFonts w:hint="eastAsia" w:ascii="宋体" w:hAnsi="宋体" w:eastAsia="宋体" w:cs="宋体"/>
          <w:b/>
          <w:bCs/>
          <w:sz w:val="21"/>
          <w:szCs w:val="21"/>
        </w:rPr>
        <w:t>配置清单</w:t>
      </w:r>
    </w:p>
    <w:p w14:paraId="0EF95AAE">
      <w:pPr>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 xml:space="preserve">   附件3：</w:t>
      </w:r>
      <w:r>
        <w:rPr>
          <w:rFonts w:hint="eastAsia" w:ascii="宋体" w:hAnsi="宋体" w:eastAsia="宋体" w:cs="宋体"/>
          <w:b/>
          <w:bCs/>
          <w:sz w:val="21"/>
          <w:szCs w:val="21"/>
          <w:lang w:eastAsia="zh-CN"/>
        </w:rPr>
        <w:t>售后服务承诺书</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83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018A32C1">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甲    方：（盖章）</w:t>
            </w:r>
          </w:p>
        </w:tc>
        <w:tc>
          <w:tcPr>
            <w:tcW w:w="4261" w:type="dxa"/>
            <w:tcBorders>
              <w:top w:val="nil"/>
              <w:left w:val="nil"/>
              <w:bottom w:val="nil"/>
              <w:right w:val="nil"/>
            </w:tcBorders>
            <w:noWrap w:val="0"/>
            <w:vAlign w:val="top"/>
          </w:tcPr>
          <w:p w14:paraId="532A4B5D">
            <w:pPr>
              <w:jc w:val="left"/>
              <w:rPr>
                <w:rFonts w:hint="eastAsia" w:ascii="宋体" w:hAnsi="宋体" w:eastAsia="宋体" w:cs="宋体"/>
                <w:sz w:val="21"/>
                <w:szCs w:val="21"/>
              </w:rPr>
            </w:pPr>
            <w:r>
              <w:rPr>
                <w:rFonts w:hint="eastAsia" w:ascii="宋体" w:hAnsi="宋体" w:eastAsia="宋体" w:cs="宋体"/>
                <w:sz w:val="21"/>
                <w:szCs w:val="21"/>
              </w:rPr>
              <w:t>乙    方：（盖章）</w:t>
            </w:r>
          </w:p>
          <w:p w14:paraId="0BBF5617">
            <w:pPr>
              <w:jc w:val="left"/>
              <w:rPr>
                <w:rFonts w:hint="eastAsia" w:ascii="宋体" w:hAnsi="宋体" w:eastAsia="宋体" w:cs="宋体"/>
                <w:b/>
                <w:bCs/>
                <w:sz w:val="21"/>
                <w:szCs w:val="21"/>
                <w:vertAlign w:val="baseline"/>
                <w:lang w:eastAsia="zh-CN"/>
              </w:rPr>
            </w:pPr>
          </w:p>
        </w:tc>
      </w:tr>
      <w:tr w14:paraId="650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4261" w:type="dxa"/>
            <w:tcBorders>
              <w:top w:val="nil"/>
              <w:left w:val="nil"/>
              <w:bottom w:val="nil"/>
              <w:right w:val="nil"/>
            </w:tcBorders>
            <w:noWrap w:val="0"/>
            <w:vAlign w:val="center"/>
          </w:tcPr>
          <w:p w14:paraId="646FC1D3">
            <w:pPr>
              <w:jc w:val="both"/>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rPr>
              <w:t>授权代表：</w:t>
            </w:r>
            <w:r>
              <w:rPr>
                <w:rFonts w:hint="eastAsia" w:ascii="宋体" w:hAnsi="宋体" w:eastAsia="宋体" w:cs="宋体"/>
                <w:sz w:val="21"/>
                <w:szCs w:val="21"/>
                <w:lang w:val="en-US" w:eastAsia="zh-CN"/>
              </w:rPr>
              <w:t xml:space="preserve">         </w:t>
            </w:r>
          </w:p>
        </w:tc>
        <w:tc>
          <w:tcPr>
            <w:tcW w:w="4261" w:type="dxa"/>
            <w:tcBorders>
              <w:top w:val="nil"/>
              <w:left w:val="nil"/>
              <w:bottom w:val="nil"/>
              <w:right w:val="nil"/>
            </w:tcBorders>
            <w:noWrap w:val="0"/>
            <w:vAlign w:val="top"/>
          </w:tcPr>
          <w:p w14:paraId="6CB3B8E8">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法定代表人：</w:t>
            </w:r>
          </w:p>
        </w:tc>
      </w:tr>
      <w:tr w14:paraId="52B8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4261" w:type="dxa"/>
            <w:tcBorders>
              <w:top w:val="nil"/>
              <w:left w:val="nil"/>
              <w:bottom w:val="nil"/>
              <w:right w:val="nil"/>
            </w:tcBorders>
            <w:noWrap w:val="0"/>
            <w:vAlign w:val="top"/>
          </w:tcPr>
          <w:p w14:paraId="09781775">
            <w:pPr>
              <w:jc w:val="left"/>
              <w:rPr>
                <w:rFonts w:hint="eastAsia" w:ascii="宋体" w:hAnsi="宋体" w:eastAsia="宋体" w:cs="宋体"/>
                <w:b/>
                <w:bCs/>
                <w:sz w:val="21"/>
                <w:szCs w:val="21"/>
                <w:vertAlign w:val="baseline"/>
                <w:lang w:eastAsia="zh-CN"/>
              </w:rPr>
            </w:pPr>
          </w:p>
        </w:tc>
        <w:tc>
          <w:tcPr>
            <w:tcW w:w="4261" w:type="dxa"/>
            <w:tcBorders>
              <w:top w:val="nil"/>
              <w:left w:val="nil"/>
              <w:bottom w:val="nil"/>
              <w:right w:val="nil"/>
            </w:tcBorders>
            <w:noWrap w:val="0"/>
            <w:vAlign w:val="top"/>
          </w:tcPr>
          <w:p w14:paraId="68F20CF1">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授权代表</w:t>
            </w:r>
            <w:r>
              <w:rPr>
                <w:rFonts w:hint="eastAsia" w:ascii="宋体" w:hAnsi="宋体" w:eastAsia="宋体" w:cs="宋体"/>
                <w:sz w:val="21"/>
                <w:szCs w:val="21"/>
                <w:lang w:eastAsia="zh-CN"/>
              </w:rPr>
              <w:t>人：</w:t>
            </w:r>
          </w:p>
        </w:tc>
      </w:tr>
      <w:tr w14:paraId="6A26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1D9D9A59">
            <w:pPr>
              <w:jc w:val="left"/>
              <w:rPr>
                <w:rFonts w:hint="eastAsia" w:ascii="宋体" w:hAnsi="宋体" w:eastAsia="宋体" w:cs="宋体"/>
                <w:b/>
                <w:bCs/>
                <w:sz w:val="21"/>
                <w:szCs w:val="21"/>
                <w:vertAlign w:val="baseline"/>
                <w:lang w:eastAsia="zh-CN"/>
              </w:rPr>
            </w:pPr>
          </w:p>
        </w:tc>
        <w:tc>
          <w:tcPr>
            <w:tcW w:w="4261" w:type="dxa"/>
            <w:tcBorders>
              <w:top w:val="nil"/>
              <w:left w:val="nil"/>
              <w:bottom w:val="nil"/>
              <w:right w:val="nil"/>
            </w:tcBorders>
            <w:noWrap w:val="0"/>
            <w:vAlign w:val="top"/>
          </w:tcPr>
          <w:p w14:paraId="4EA2B6FF">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纳税人识别号：此项必填</w:t>
            </w:r>
          </w:p>
        </w:tc>
      </w:tr>
      <w:tr w14:paraId="7F1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0910F7A2">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地    址：</w:t>
            </w:r>
          </w:p>
        </w:tc>
        <w:tc>
          <w:tcPr>
            <w:tcW w:w="4261" w:type="dxa"/>
            <w:tcBorders>
              <w:top w:val="nil"/>
              <w:left w:val="nil"/>
              <w:bottom w:val="nil"/>
              <w:right w:val="nil"/>
            </w:tcBorders>
            <w:noWrap w:val="0"/>
            <w:vAlign w:val="top"/>
          </w:tcPr>
          <w:p w14:paraId="6339CAAC">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p>
        </w:tc>
      </w:tr>
      <w:tr w14:paraId="699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14DBA29D">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开户银行：</w:t>
            </w:r>
          </w:p>
        </w:tc>
        <w:tc>
          <w:tcPr>
            <w:tcW w:w="4261" w:type="dxa"/>
            <w:tcBorders>
              <w:top w:val="nil"/>
              <w:left w:val="nil"/>
              <w:bottom w:val="nil"/>
              <w:right w:val="nil"/>
            </w:tcBorders>
            <w:noWrap w:val="0"/>
            <w:vAlign w:val="top"/>
          </w:tcPr>
          <w:p w14:paraId="5F2C9B7D">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开户银行： </w:t>
            </w:r>
          </w:p>
        </w:tc>
      </w:tr>
      <w:tr w14:paraId="18AC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1AEABF46">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账    号：</w:t>
            </w:r>
          </w:p>
        </w:tc>
        <w:tc>
          <w:tcPr>
            <w:tcW w:w="4261" w:type="dxa"/>
            <w:tcBorders>
              <w:top w:val="nil"/>
              <w:left w:val="nil"/>
              <w:bottom w:val="nil"/>
              <w:right w:val="nil"/>
            </w:tcBorders>
            <w:noWrap w:val="0"/>
            <w:vAlign w:val="top"/>
          </w:tcPr>
          <w:p w14:paraId="15F5D108">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w:t>
            </w:r>
          </w:p>
        </w:tc>
      </w:tr>
      <w:tr w14:paraId="568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6928C820">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电    话：</w:t>
            </w:r>
          </w:p>
        </w:tc>
        <w:tc>
          <w:tcPr>
            <w:tcW w:w="4261" w:type="dxa"/>
            <w:tcBorders>
              <w:top w:val="nil"/>
              <w:left w:val="nil"/>
              <w:bottom w:val="nil"/>
              <w:right w:val="nil"/>
            </w:tcBorders>
            <w:noWrap w:val="0"/>
            <w:vAlign w:val="top"/>
          </w:tcPr>
          <w:p w14:paraId="1A32DAB4">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w:t>
            </w:r>
            <w:r>
              <w:rPr>
                <w:rFonts w:hint="eastAsia" w:ascii="宋体" w:hAnsi="宋体" w:eastAsia="宋体" w:cs="宋体"/>
                <w:color w:val="000000" w:themeColor="text1"/>
                <w:sz w:val="21"/>
                <w:szCs w:val="21"/>
                <w:lang w:val="en-US" w:eastAsia="zh-CN"/>
                <w14:textFill>
                  <w14:solidFill>
                    <w14:schemeClr w14:val="tx1"/>
                  </w14:solidFill>
                </w14:textFill>
              </w:rPr>
              <w:t>此项必填</w:t>
            </w:r>
          </w:p>
        </w:tc>
      </w:tr>
    </w:tbl>
    <w:p w14:paraId="5593FB62">
      <w:pPr>
        <w:rPr>
          <w:rFonts w:hint="eastAsia" w:ascii="宋体" w:hAnsi="宋体" w:eastAsia="宋体" w:cs="宋体"/>
          <w:b/>
          <w:bCs/>
          <w:sz w:val="21"/>
          <w:szCs w:val="21"/>
          <w:lang w:val="en-US" w:eastAsia="zh-CN"/>
        </w:rPr>
      </w:pPr>
    </w:p>
    <w:p w14:paraId="0D28759A">
      <w:pPr>
        <w:jc w:val="left"/>
        <w:rPr>
          <w:rFonts w:hint="eastAsia" w:ascii="宋体" w:hAnsi="宋体" w:eastAsia="宋体" w:cs="宋体"/>
          <w:sz w:val="21"/>
          <w:szCs w:val="21"/>
        </w:rPr>
      </w:pPr>
      <w:r>
        <w:rPr>
          <w:rFonts w:hint="eastAsia" w:ascii="宋体" w:hAnsi="宋体" w:eastAsia="宋体" w:cs="宋体"/>
          <w:sz w:val="21"/>
          <w:szCs w:val="21"/>
        </w:rPr>
        <w:t xml:space="preserve">签约日期：      年     月     日          </w:t>
      </w:r>
    </w:p>
    <w:p w14:paraId="0CF2816E">
      <w:pPr>
        <w:jc w:val="left"/>
        <w:rPr>
          <w:rFonts w:hint="eastAsia" w:ascii="宋体" w:hAnsi="宋体" w:eastAsia="宋体" w:cs="宋体"/>
          <w:sz w:val="21"/>
          <w:szCs w:val="21"/>
        </w:rPr>
      </w:pPr>
    </w:p>
    <w:p w14:paraId="1F18C571">
      <w:pPr>
        <w:jc w:val="left"/>
        <w:rPr>
          <w:rFonts w:hint="eastAsia" w:ascii="宋体" w:hAnsi="宋体" w:eastAsia="宋体" w:cs="宋体"/>
          <w:spacing w:val="-4"/>
          <w:kern w:val="0"/>
        </w:rPr>
      </w:pPr>
      <w:r>
        <w:rPr>
          <w:rFonts w:hint="eastAsia" w:ascii="宋体" w:hAnsi="宋体" w:eastAsia="宋体" w:cs="宋体"/>
          <w:sz w:val="21"/>
          <w:szCs w:val="21"/>
          <w:lang w:val="en-US" w:eastAsia="zh-CN"/>
        </w:rPr>
        <w:t>医学装备部合同审核人：</w:t>
      </w:r>
      <w:r>
        <w:rPr>
          <w:rFonts w:hint="eastAsia" w:ascii="宋体" w:hAnsi="宋体" w:eastAsia="宋体" w:cs="宋体"/>
          <w:spacing w:val="-4"/>
          <w:kern w:val="0"/>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14:paraId="16246FDB">
      <w:pPr>
        <w:spacing w:line="600" w:lineRule="exact"/>
        <w:jc w:val="center"/>
        <w:rPr>
          <w:rFonts w:hint="eastAsia" w:ascii="宋体" w:hAnsi="宋体" w:eastAsia="宋体" w:cs="宋体"/>
          <w:bCs/>
          <w:sz w:val="44"/>
          <w:szCs w:val="44"/>
        </w:rPr>
        <w:sectPr>
          <w:footerReference r:id="rId5" w:type="default"/>
          <w:pgSz w:w="11906" w:h="16838"/>
          <w:pgMar w:top="1417" w:right="1474" w:bottom="1417" w:left="1474" w:header="851" w:footer="624" w:gutter="0"/>
          <w:pgNumType w:fmt="decimal"/>
          <w:cols w:space="720" w:num="1"/>
          <w:docGrid w:type="lines" w:linePitch="319" w:charSpace="0"/>
        </w:sectPr>
      </w:pPr>
    </w:p>
    <w:p w14:paraId="353281FE">
      <w:pPr>
        <w:spacing w:line="600" w:lineRule="exact"/>
        <w:jc w:val="center"/>
        <w:rPr>
          <w:rFonts w:hint="eastAsia" w:ascii="宋体" w:hAnsi="宋体" w:eastAsia="宋体" w:cs="宋体"/>
          <w:bCs/>
          <w:sz w:val="44"/>
          <w:szCs w:val="44"/>
        </w:rPr>
      </w:pPr>
      <w:r>
        <w:rPr>
          <w:rFonts w:hint="eastAsia" w:ascii="宋体" w:hAnsi="宋体" w:eastAsia="宋体" w:cs="宋体"/>
          <w:bCs/>
          <w:sz w:val="44"/>
          <w:szCs w:val="44"/>
        </w:rPr>
        <w:t>安全生产承诺书</w:t>
      </w:r>
    </w:p>
    <w:p w14:paraId="0F25144E">
      <w:pPr>
        <w:spacing w:line="240" w:lineRule="auto"/>
        <w:rPr>
          <w:rFonts w:hint="eastAsia" w:ascii="宋体" w:hAnsi="宋体" w:eastAsia="宋体" w:cs="宋体"/>
          <w:sz w:val="21"/>
          <w:szCs w:val="21"/>
        </w:rPr>
      </w:pPr>
      <w:r>
        <w:rPr>
          <w:rFonts w:hint="eastAsia" w:ascii="宋体" w:hAnsi="宋体" w:eastAsia="宋体" w:cs="宋体"/>
          <w:sz w:val="21"/>
          <w:szCs w:val="21"/>
        </w:rPr>
        <w:t>致驻马店市中心医院：</w:t>
      </w:r>
    </w:p>
    <w:p w14:paraId="3E8D8D8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切实做好安全生产和消防工作，防止和减少各类安全事故发生，维护良好的劳动关系，依据《中华人民共和国安全生产法》等相关法律法规，在与贵院签订原生产、施工、外包、外租、经营合同的基础上，我单位郑重作出如下安全生产承诺：</w:t>
      </w:r>
    </w:p>
    <w:p w14:paraId="01E6BA4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一、遵守法规制度</w:t>
      </w:r>
    </w:p>
    <w:p w14:paraId="0EAA1E8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严格遵守国家有关安全生产的法律、法规、安全标准以及贵院的安全管理制度和操作规范，杜绝违规指挥、操作和违反劳动纪律的行为。</w:t>
      </w:r>
    </w:p>
    <w:p w14:paraId="6241089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结合自身实际，制定并切实实施各项安全管理制度和操作规程，同时将相关制度和规程报贵院备案。积极接受贵院的监督检查，对检查中发现的安全隐患，立即举一反三，主动整改到位。</w:t>
      </w:r>
    </w:p>
    <w:p w14:paraId="31488AA6">
      <w:pPr>
        <w:numPr>
          <w:ilvl w:val="0"/>
          <w:numId w:val="2"/>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人员安全管理</w:t>
      </w:r>
    </w:p>
    <w:p w14:paraId="2A1750F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向现场作业人员如实告知作业场所和工作岗位存在的危险危害因素、防范措施以及事故应急措施。</w:t>
      </w:r>
    </w:p>
    <w:p w14:paraId="23AD885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确保作业人员正确使用贵院提供的设施、设备、工具等，并定期进行检查，坚决杜绝使用存在安全隐患的设施、设备、工具。</w:t>
      </w:r>
    </w:p>
    <w:p w14:paraId="2F87CF3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做好预防职业危害的防范措施，为现场作业人员配备符合国家标准的劳动保护用品，并监督、教育作业人员正确使用和佩戴。</w:t>
      </w:r>
    </w:p>
    <w:p w14:paraId="6693DEE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具有资质的安全生产管理人员，强化现场安全管理。严禁强令人员冒险作业和疲劳作业，杜绝违章指挥行为。每周至少进行一次安全隐患排查整治，在施工作业前、节假日、重大活动等关键节点，也开展相应排查，并及时告知贵院联合整改。</w:t>
      </w:r>
    </w:p>
    <w:p w14:paraId="6053155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对作业人员进行全面的安全生产教育和培训，保证未经安全生产教育和培训合格的作业人员不安排上岗作业。特种作业人员必须持证上岗，并将相关证件报贵院备案。</w:t>
      </w:r>
    </w:p>
    <w:p w14:paraId="688C696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向贵院报备公司营业执照、所有作业人员花名册、特种作业人员资格证。若中途人员有变动，及时向贵院报告备案。</w:t>
      </w:r>
    </w:p>
    <w:p w14:paraId="2EF4932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派遣人员入场前安排进行体检，体检合格后将结果报贵院备案。同时，确保派遣人员全部参加工伤保险，并向贵院提供相应证明文件。</w:t>
      </w:r>
    </w:p>
    <w:p w14:paraId="0B4BBEE4">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三、设施设备管理</w:t>
      </w:r>
    </w:p>
    <w:p w14:paraId="716E0DA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自行配备的设施、设备、工具等严格符合国家安全标准。</w:t>
      </w:r>
    </w:p>
    <w:p w14:paraId="1AE4AA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在有危险危害因素的作业区域和有关设施、设备上，设置明显的安全警示标志。</w:t>
      </w:r>
    </w:p>
    <w:p w14:paraId="0510B52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对设施设备进行定期维护保养和检测，确保其始终处于良好运行状态，杜绝设备带病作业。</w:t>
      </w:r>
    </w:p>
    <w:p w14:paraId="51C128C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四、环境与作业管理</w:t>
      </w:r>
    </w:p>
    <w:p w14:paraId="02337F0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按照贵院要求保持作业区域的环境卫生，做到现场环境整洁，符合安全、文明生产要求，及时设置明显的警示标识，防止人员绊倒、滑倒、砸伤等事故的发生。</w:t>
      </w:r>
    </w:p>
    <w:p w14:paraId="27ADEEC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涉及动火、高处、有限空间等危险作业时，严格遵循危险作业审批流程，落实各项安全防护措施，在确保安全的前提下进行作业。</w:t>
      </w:r>
    </w:p>
    <w:p w14:paraId="7BF041A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在生产作业过程中若存在交叉作业的情况，无条件服从贵院的统一协调、指挥。</w:t>
      </w:r>
    </w:p>
    <w:p w14:paraId="409604D1">
      <w:pPr>
        <w:numPr>
          <w:ilvl w:val="0"/>
          <w:numId w:val="3"/>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应急处置与报告</w:t>
      </w:r>
    </w:p>
    <w:p w14:paraId="274EA1A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建立安全生产台账，对安全生产工作进行详细记录。在协议履行过程中，一旦发现任何安全生产问题，立即处理，并及时告知贵院，同时做好书面记录。</w:t>
      </w:r>
    </w:p>
    <w:p w14:paraId="225C588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一旦在项目实施过程中发现存在危险因素或者发生安全事故，立即停止与该项工程相关的所有施工活动，防止事故扩大。同时，迅速采取紧急救援措施，配合贵院对伤员进行及时救治，避免二次伤害。</w:t>
      </w:r>
    </w:p>
    <w:p w14:paraId="5653C287">
      <w:pPr>
        <w:spacing w:line="240" w:lineRule="auto"/>
        <w:rPr>
          <w:rFonts w:hint="eastAsia" w:ascii="宋体" w:hAnsi="宋体" w:eastAsia="宋体" w:cs="宋体"/>
          <w:sz w:val="21"/>
          <w:szCs w:val="21"/>
        </w:rPr>
      </w:pPr>
      <w:r>
        <w:rPr>
          <w:rFonts w:hint="eastAsia" w:ascii="宋体" w:hAnsi="宋体" w:eastAsia="宋体" w:cs="宋体"/>
          <w:sz w:val="21"/>
          <w:szCs w:val="21"/>
        </w:rPr>
        <w:t>主动向本地有关部门报备事故情况，并积极配合有关部门的调查和处理工作。</w:t>
      </w:r>
    </w:p>
    <w:p w14:paraId="0DBC1D2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对于发生的事故，接受贵院派员参与或督促事故调查。主动承担相应的赔偿责任，全力做好善后处理工作，确保事故现场尽快清理，消除安全隐患，尽快恢复正常生产秩序。</w:t>
      </w:r>
    </w:p>
    <w:p w14:paraId="30E052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六、其他承诺</w:t>
      </w:r>
    </w:p>
    <w:p w14:paraId="37FF2A6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因我单位过失等造成人员伤害和财产损失的，我司承担全部责任。涉及治安事件的，按照治安管理相关法规处理。</w:t>
      </w:r>
    </w:p>
    <w:p w14:paraId="3E48B82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若因我司原因导致安全事故的发生或对贵院造成严重影响，贵院有权终止合作合同，因此所产生的全部损失，由我司承担。</w:t>
      </w:r>
    </w:p>
    <w:p w14:paraId="06C42F60">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rPr>
        <w:t>其他未尽事项：</w:t>
      </w:r>
    </w:p>
    <w:p w14:paraId="62AFE4F8">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48BFF19B">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5B3E0BF4">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u w:val="single"/>
        </w:rPr>
        <w:t xml:space="preserve">                                                        </w:t>
      </w:r>
    </w:p>
    <w:p w14:paraId="54D2D730">
      <w:pPr>
        <w:spacing w:line="240" w:lineRule="auto"/>
        <w:jc w:val="right"/>
        <w:rPr>
          <w:rFonts w:hint="eastAsia" w:ascii="宋体" w:hAnsi="宋体" w:eastAsia="宋体" w:cs="宋体"/>
          <w:sz w:val="21"/>
          <w:szCs w:val="21"/>
        </w:rPr>
      </w:pPr>
      <w:r>
        <w:rPr>
          <w:rFonts w:hint="eastAsia" w:ascii="宋体" w:hAnsi="宋体" w:eastAsia="宋体" w:cs="宋体"/>
          <w:sz w:val="21"/>
          <w:szCs w:val="21"/>
        </w:rPr>
        <w:t>承诺单位(盖章):__________________</w:t>
      </w:r>
    </w:p>
    <w:p w14:paraId="4C900395">
      <w:pPr>
        <w:spacing w:line="240" w:lineRule="auto"/>
        <w:jc w:val="right"/>
        <w:rPr>
          <w:rFonts w:hint="eastAsia" w:ascii="宋体" w:hAnsi="宋体" w:eastAsia="宋体" w:cs="宋体"/>
          <w:sz w:val="21"/>
          <w:szCs w:val="21"/>
        </w:rPr>
      </w:pPr>
      <w:r>
        <w:rPr>
          <w:rFonts w:hint="eastAsia" w:ascii="宋体" w:hAnsi="宋体" w:eastAsia="宋体" w:cs="宋体"/>
          <w:sz w:val="21"/>
          <w:szCs w:val="21"/>
        </w:rPr>
        <w:t>代表(签名):____________________</w:t>
      </w:r>
    </w:p>
    <w:p w14:paraId="6CBFFE97">
      <w:pPr>
        <w:spacing w:line="240" w:lineRule="auto"/>
        <w:jc w:val="right"/>
        <w:rPr>
          <w:rFonts w:hint="eastAsia" w:ascii="宋体" w:hAnsi="宋体" w:eastAsia="宋体" w:cs="宋体"/>
          <w:sz w:val="21"/>
          <w:szCs w:val="21"/>
        </w:rPr>
      </w:pPr>
      <w:r>
        <w:rPr>
          <w:rFonts w:hint="eastAsia" w:ascii="宋体" w:hAnsi="宋体" w:eastAsia="宋体" w:cs="宋体"/>
          <w:sz w:val="21"/>
          <w:szCs w:val="21"/>
        </w:rPr>
        <w:t>时间：____年____月____日</w:t>
      </w:r>
    </w:p>
    <w:p w14:paraId="6DA59F06">
      <w:pPr>
        <w:rPr>
          <w:rFonts w:hint="eastAsia" w:ascii="宋体" w:hAnsi="宋体" w:eastAsia="宋体" w:cs="宋体"/>
          <w:spacing w:val="-4"/>
          <w:kern w:val="0"/>
        </w:rPr>
      </w:pPr>
    </w:p>
    <w:p w14:paraId="7985AE8B">
      <w:pPr>
        <w:rPr>
          <w:rFonts w:hint="eastAsia" w:ascii="宋体" w:hAnsi="宋体" w:eastAsia="宋体" w:cs="宋体"/>
          <w:spacing w:val="-4"/>
          <w:kern w:val="0"/>
        </w:rPr>
      </w:pPr>
    </w:p>
    <w:p w14:paraId="583328BC">
      <w:pPr>
        <w:rPr>
          <w:rFonts w:hint="eastAsia" w:ascii="宋体" w:hAnsi="宋体" w:eastAsia="宋体" w:cs="宋体"/>
          <w:spacing w:val="-4"/>
          <w:kern w:val="0"/>
        </w:rPr>
      </w:pPr>
    </w:p>
    <w:p w14:paraId="775223C7">
      <w:pPr>
        <w:rPr>
          <w:rFonts w:hint="eastAsia" w:ascii="宋体" w:hAnsi="宋体" w:eastAsia="宋体" w:cs="宋体"/>
          <w:spacing w:val="-4"/>
          <w:kern w:val="0"/>
        </w:rPr>
        <w:sectPr>
          <w:pgSz w:w="11906" w:h="16838"/>
          <w:pgMar w:top="1417" w:right="1474" w:bottom="1417" w:left="1474" w:header="851" w:footer="624" w:gutter="0"/>
          <w:pgNumType w:fmt="decimal"/>
          <w:cols w:space="720" w:num="1"/>
          <w:docGrid w:type="lines" w:linePitch="319" w:charSpace="0"/>
        </w:sectPr>
      </w:pPr>
    </w:p>
    <w:p w14:paraId="7F0D9770">
      <w:pPr>
        <w:rPr>
          <w:rFonts w:hint="eastAsia" w:ascii="宋体" w:hAnsi="宋体" w:eastAsia="宋体" w:cs="宋体"/>
          <w:b/>
          <w:bCs/>
          <w:spacing w:val="-4"/>
          <w:kern w:val="0"/>
          <w:sz w:val="24"/>
          <w:szCs w:val="32"/>
          <w:lang w:val="en-US" w:eastAsia="zh-CN"/>
        </w:rPr>
      </w:pPr>
      <w:r>
        <w:rPr>
          <w:rFonts w:hint="eastAsia" w:ascii="宋体" w:hAnsi="宋体" w:eastAsia="宋体" w:cs="宋体"/>
          <w:b/>
          <w:bCs/>
          <w:spacing w:val="-4"/>
          <w:kern w:val="0"/>
          <w:sz w:val="24"/>
          <w:szCs w:val="32"/>
          <w:lang w:eastAsia="zh-CN"/>
        </w:rPr>
        <w:t>附件</w:t>
      </w:r>
      <w:r>
        <w:rPr>
          <w:rFonts w:hint="eastAsia" w:ascii="宋体" w:hAnsi="宋体" w:eastAsia="宋体" w:cs="宋体"/>
          <w:b/>
          <w:bCs/>
          <w:spacing w:val="-4"/>
          <w:kern w:val="0"/>
          <w:sz w:val="24"/>
          <w:szCs w:val="32"/>
          <w:lang w:val="en-US" w:eastAsia="zh-CN"/>
        </w:rPr>
        <w:t>2：</w:t>
      </w:r>
    </w:p>
    <w:p w14:paraId="4E4217A6">
      <w:pPr>
        <w:rPr>
          <w:rFonts w:hint="eastAsia" w:ascii="宋体" w:hAnsi="宋体" w:eastAsia="宋体" w:cs="宋体"/>
          <w:b/>
          <w:bCs/>
          <w:spacing w:val="-4"/>
          <w:kern w:val="0"/>
          <w:lang w:val="en-US" w:eastAsia="zh-CN"/>
        </w:rPr>
      </w:pPr>
    </w:p>
    <w:p w14:paraId="012A152F">
      <w:pPr>
        <w:jc w:val="center"/>
        <w:rPr>
          <w:rFonts w:hint="eastAsia" w:ascii="宋体" w:hAnsi="宋体" w:eastAsia="宋体" w:cs="宋体"/>
          <w:b/>
          <w:bCs/>
          <w:spacing w:val="-4"/>
          <w:kern w:val="0"/>
          <w:sz w:val="24"/>
          <w:szCs w:val="32"/>
          <w:lang w:val="en-US" w:eastAsia="zh-CN"/>
        </w:rPr>
      </w:pPr>
      <w:r>
        <w:rPr>
          <w:rFonts w:hint="eastAsia" w:ascii="宋体" w:hAnsi="宋体" w:eastAsia="宋体" w:cs="宋体"/>
          <w:b/>
          <w:bCs/>
          <w:spacing w:val="-4"/>
          <w:kern w:val="0"/>
          <w:sz w:val="24"/>
          <w:szCs w:val="32"/>
          <w:lang w:val="en-US" w:eastAsia="zh-CN"/>
        </w:rPr>
        <w:t>驻马店市中心医院</w:t>
      </w:r>
    </w:p>
    <w:p w14:paraId="01689925">
      <w:pPr>
        <w:jc w:val="center"/>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（产品注册证名称）配置清单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30"/>
        <w:gridCol w:w="935"/>
        <w:gridCol w:w="1195"/>
        <w:gridCol w:w="1065"/>
        <w:gridCol w:w="1065"/>
        <w:gridCol w:w="1066"/>
        <w:gridCol w:w="1066"/>
      </w:tblGrid>
      <w:tr w14:paraId="494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5044150">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序号</w:t>
            </w:r>
          </w:p>
        </w:tc>
        <w:tc>
          <w:tcPr>
            <w:tcW w:w="1330" w:type="dxa"/>
            <w:noWrap w:val="0"/>
            <w:vAlign w:val="center"/>
          </w:tcPr>
          <w:p w14:paraId="5C425ADB">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物品名称</w:t>
            </w:r>
          </w:p>
        </w:tc>
        <w:tc>
          <w:tcPr>
            <w:tcW w:w="935" w:type="dxa"/>
            <w:noWrap w:val="0"/>
            <w:vAlign w:val="center"/>
          </w:tcPr>
          <w:p w14:paraId="4B630E4A">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品牌</w:t>
            </w:r>
          </w:p>
        </w:tc>
        <w:tc>
          <w:tcPr>
            <w:tcW w:w="1195" w:type="dxa"/>
            <w:noWrap w:val="0"/>
            <w:vAlign w:val="center"/>
          </w:tcPr>
          <w:p w14:paraId="3C2A2B62">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规格型号</w:t>
            </w:r>
          </w:p>
        </w:tc>
        <w:tc>
          <w:tcPr>
            <w:tcW w:w="1065" w:type="dxa"/>
            <w:noWrap w:val="0"/>
            <w:vAlign w:val="center"/>
          </w:tcPr>
          <w:p w14:paraId="0C159ED9">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产地</w:t>
            </w:r>
          </w:p>
        </w:tc>
        <w:tc>
          <w:tcPr>
            <w:tcW w:w="1065" w:type="dxa"/>
            <w:noWrap w:val="0"/>
            <w:vAlign w:val="center"/>
          </w:tcPr>
          <w:p w14:paraId="3D26462B">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数量</w:t>
            </w:r>
          </w:p>
        </w:tc>
        <w:tc>
          <w:tcPr>
            <w:tcW w:w="1066" w:type="dxa"/>
            <w:noWrap w:val="0"/>
            <w:vAlign w:val="center"/>
          </w:tcPr>
          <w:p w14:paraId="2860B666">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单位</w:t>
            </w:r>
          </w:p>
        </w:tc>
        <w:tc>
          <w:tcPr>
            <w:tcW w:w="1066" w:type="dxa"/>
            <w:noWrap w:val="0"/>
            <w:vAlign w:val="center"/>
          </w:tcPr>
          <w:p w14:paraId="0A2C07E8">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备注</w:t>
            </w:r>
          </w:p>
        </w:tc>
      </w:tr>
      <w:tr w14:paraId="4F8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01E2B67">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1</w:t>
            </w:r>
          </w:p>
        </w:tc>
        <w:tc>
          <w:tcPr>
            <w:tcW w:w="1330" w:type="dxa"/>
            <w:noWrap w:val="0"/>
            <w:vAlign w:val="center"/>
          </w:tcPr>
          <w:p w14:paraId="49431C49">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0941FE2D">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2B92ECAE">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60B8369">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15F46E61">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1B81C98E">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7F049C91">
            <w:pPr>
              <w:jc w:val="center"/>
              <w:rPr>
                <w:rFonts w:hint="eastAsia" w:ascii="宋体" w:hAnsi="宋体" w:eastAsia="宋体" w:cs="宋体"/>
                <w:b w:val="0"/>
                <w:bCs w:val="0"/>
                <w:spacing w:val="-4"/>
                <w:kern w:val="0"/>
                <w:sz w:val="24"/>
                <w:szCs w:val="24"/>
                <w:vertAlign w:val="baseline"/>
                <w:lang w:val="en-US" w:eastAsia="zh-CN"/>
              </w:rPr>
            </w:pPr>
          </w:p>
        </w:tc>
      </w:tr>
      <w:tr w14:paraId="78FC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E6D76E1">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2</w:t>
            </w:r>
          </w:p>
        </w:tc>
        <w:tc>
          <w:tcPr>
            <w:tcW w:w="1330" w:type="dxa"/>
            <w:noWrap w:val="0"/>
            <w:vAlign w:val="center"/>
          </w:tcPr>
          <w:p w14:paraId="03B22817">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0BA51408">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703D28C3">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64400D73">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1D63C657">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6C71B536">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5DE2D0AC">
            <w:pPr>
              <w:jc w:val="center"/>
              <w:rPr>
                <w:rFonts w:hint="eastAsia" w:ascii="宋体" w:hAnsi="宋体" w:eastAsia="宋体" w:cs="宋体"/>
                <w:b w:val="0"/>
                <w:bCs w:val="0"/>
                <w:spacing w:val="-4"/>
                <w:kern w:val="0"/>
                <w:sz w:val="24"/>
                <w:szCs w:val="24"/>
                <w:vertAlign w:val="baseline"/>
                <w:lang w:val="en-US" w:eastAsia="zh-CN"/>
              </w:rPr>
            </w:pPr>
          </w:p>
        </w:tc>
      </w:tr>
      <w:tr w14:paraId="39E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6E7B12D1">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3</w:t>
            </w:r>
          </w:p>
        </w:tc>
        <w:tc>
          <w:tcPr>
            <w:tcW w:w="1330" w:type="dxa"/>
            <w:noWrap w:val="0"/>
            <w:vAlign w:val="center"/>
          </w:tcPr>
          <w:p w14:paraId="298D8F62">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07E95920">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624C59A2">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A2B2CEB">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48FA0346">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042C969D">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7629DB35">
            <w:pPr>
              <w:jc w:val="center"/>
              <w:rPr>
                <w:rFonts w:hint="eastAsia" w:ascii="宋体" w:hAnsi="宋体" w:eastAsia="宋体" w:cs="宋体"/>
                <w:b w:val="0"/>
                <w:bCs w:val="0"/>
                <w:spacing w:val="-4"/>
                <w:kern w:val="0"/>
                <w:sz w:val="24"/>
                <w:szCs w:val="24"/>
                <w:vertAlign w:val="baseline"/>
                <w:lang w:val="en-US" w:eastAsia="zh-CN"/>
              </w:rPr>
            </w:pPr>
          </w:p>
        </w:tc>
      </w:tr>
      <w:tr w14:paraId="3EA0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05088BB">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4</w:t>
            </w:r>
          </w:p>
        </w:tc>
        <w:tc>
          <w:tcPr>
            <w:tcW w:w="1330" w:type="dxa"/>
            <w:noWrap w:val="0"/>
            <w:vAlign w:val="center"/>
          </w:tcPr>
          <w:p w14:paraId="1DBC3236">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6562C31D">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28F2B57A">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68CD61FE">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E160222">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51AC8781">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D4B1AC0">
            <w:pPr>
              <w:jc w:val="center"/>
              <w:rPr>
                <w:rFonts w:hint="eastAsia" w:ascii="宋体" w:hAnsi="宋体" w:eastAsia="宋体" w:cs="宋体"/>
                <w:b w:val="0"/>
                <w:bCs w:val="0"/>
                <w:spacing w:val="-4"/>
                <w:kern w:val="0"/>
                <w:sz w:val="24"/>
                <w:szCs w:val="24"/>
                <w:vertAlign w:val="baseline"/>
                <w:lang w:val="en-US" w:eastAsia="zh-CN"/>
              </w:rPr>
            </w:pPr>
          </w:p>
        </w:tc>
      </w:tr>
      <w:tr w14:paraId="409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2C41C108">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5</w:t>
            </w:r>
          </w:p>
        </w:tc>
        <w:tc>
          <w:tcPr>
            <w:tcW w:w="1330" w:type="dxa"/>
            <w:noWrap w:val="0"/>
            <w:vAlign w:val="center"/>
          </w:tcPr>
          <w:p w14:paraId="4BD7F29E">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660A462E">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611F78B7">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454AD01">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42EDDD5E">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5B1AFEC">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23B0CE22">
            <w:pPr>
              <w:jc w:val="center"/>
              <w:rPr>
                <w:rFonts w:hint="eastAsia" w:ascii="宋体" w:hAnsi="宋体" w:eastAsia="宋体" w:cs="宋体"/>
                <w:b w:val="0"/>
                <w:bCs w:val="0"/>
                <w:spacing w:val="-4"/>
                <w:kern w:val="0"/>
                <w:sz w:val="24"/>
                <w:szCs w:val="24"/>
                <w:vertAlign w:val="baseline"/>
                <w:lang w:val="en-US" w:eastAsia="zh-CN"/>
              </w:rPr>
            </w:pPr>
          </w:p>
        </w:tc>
      </w:tr>
      <w:tr w14:paraId="087A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4F72160">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6</w:t>
            </w:r>
          </w:p>
        </w:tc>
        <w:tc>
          <w:tcPr>
            <w:tcW w:w="1330" w:type="dxa"/>
            <w:noWrap w:val="0"/>
            <w:vAlign w:val="center"/>
          </w:tcPr>
          <w:p w14:paraId="683C4DD1">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29AF9927">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601DB864">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617E8645">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303E055">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6A052AD">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9CD2465">
            <w:pPr>
              <w:jc w:val="center"/>
              <w:rPr>
                <w:rFonts w:hint="eastAsia" w:ascii="宋体" w:hAnsi="宋体" w:eastAsia="宋体" w:cs="宋体"/>
                <w:b w:val="0"/>
                <w:bCs w:val="0"/>
                <w:spacing w:val="-4"/>
                <w:kern w:val="0"/>
                <w:sz w:val="24"/>
                <w:szCs w:val="24"/>
                <w:vertAlign w:val="baseline"/>
                <w:lang w:val="en-US" w:eastAsia="zh-CN"/>
              </w:rPr>
            </w:pPr>
          </w:p>
        </w:tc>
      </w:tr>
      <w:tr w14:paraId="210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DBB2770">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7</w:t>
            </w:r>
          </w:p>
        </w:tc>
        <w:tc>
          <w:tcPr>
            <w:tcW w:w="1330" w:type="dxa"/>
            <w:noWrap w:val="0"/>
            <w:vAlign w:val="center"/>
          </w:tcPr>
          <w:p w14:paraId="1F059662">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7D975851">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283C3CEA">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2BEDA9AA">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5C9ACB07">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5898180C">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2881821C">
            <w:pPr>
              <w:jc w:val="center"/>
              <w:rPr>
                <w:rFonts w:hint="eastAsia" w:ascii="宋体" w:hAnsi="宋体" w:eastAsia="宋体" w:cs="宋体"/>
                <w:b w:val="0"/>
                <w:bCs w:val="0"/>
                <w:spacing w:val="-4"/>
                <w:kern w:val="0"/>
                <w:sz w:val="24"/>
                <w:szCs w:val="24"/>
                <w:vertAlign w:val="baseline"/>
                <w:lang w:val="en-US" w:eastAsia="zh-CN"/>
              </w:rPr>
            </w:pPr>
          </w:p>
        </w:tc>
      </w:tr>
    </w:tbl>
    <w:p w14:paraId="3D5DB07C">
      <w:pPr>
        <w:jc w:val="center"/>
        <w:rPr>
          <w:rFonts w:hint="eastAsia" w:ascii="宋体" w:hAnsi="宋体" w:eastAsia="宋体" w:cs="宋体"/>
          <w:b w:val="0"/>
          <w:bCs w:val="0"/>
          <w:spacing w:val="-4"/>
          <w:kern w:val="0"/>
          <w:sz w:val="24"/>
          <w:szCs w:val="24"/>
          <w:lang w:val="en-US" w:eastAsia="zh-CN"/>
        </w:rPr>
      </w:pPr>
    </w:p>
    <w:p w14:paraId="19CD5838">
      <w:pPr>
        <w:jc w:val="left"/>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备注：此配置清单按单台配置填写。</w:t>
      </w:r>
    </w:p>
    <w:p w14:paraId="22D7FB0C">
      <w:pPr>
        <w:jc w:val="left"/>
        <w:rPr>
          <w:rFonts w:hint="eastAsia" w:ascii="宋体" w:hAnsi="宋体" w:eastAsia="宋体" w:cs="宋体"/>
          <w:b w:val="0"/>
          <w:bCs w:val="0"/>
          <w:spacing w:val="-4"/>
          <w:kern w:val="0"/>
          <w:sz w:val="24"/>
          <w:szCs w:val="24"/>
          <w:lang w:val="en-US" w:eastAsia="zh-CN"/>
        </w:rPr>
      </w:pPr>
    </w:p>
    <w:p w14:paraId="49A6B9D8">
      <w:pPr>
        <w:jc w:val="left"/>
        <w:rPr>
          <w:rFonts w:hint="eastAsia" w:ascii="宋体" w:hAnsi="宋体" w:eastAsia="宋体" w:cs="宋体"/>
          <w:b w:val="0"/>
          <w:bCs w:val="0"/>
          <w:spacing w:val="-4"/>
          <w:kern w:val="0"/>
          <w:sz w:val="24"/>
          <w:szCs w:val="24"/>
          <w:lang w:val="en-US" w:eastAsia="zh-CN"/>
        </w:rPr>
      </w:pPr>
    </w:p>
    <w:p w14:paraId="6B45603F">
      <w:pPr>
        <w:jc w:val="left"/>
        <w:rPr>
          <w:rFonts w:hint="eastAsia" w:ascii="宋体" w:hAnsi="宋体" w:eastAsia="宋体" w:cs="宋体"/>
          <w:b w:val="0"/>
          <w:bCs w:val="0"/>
          <w:spacing w:val="-4"/>
          <w:kern w:val="0"/>
          <w:sz w:val="24"/>
          <w:szCs w:val="24"/>
          <w:lang w:val="en-US" w:eastAsia="zh-CN"/>
        </w:rPr>
      </w:pPr>
    </w:p>
    <w:p w14:paraId="36D95D13">
      <w:pPr>
        <w:jc w:val="left"/>
        <w:rPr>
          <w:rFonts w:hint="eastAsia" w:ascii="宋体" w:hAnsi="宋体" w:eastAsia="宋体" w:cs="宋体"/>
          <w:b w:val="0"/>
          <w:bCs w:val="0"/>
          <w:spacing w:val="-4"/>
          <w:kern w:val="0"/>
          <w:sz w:val="24"/>
          <w:szCs w:val="24"/>
          <w:lang w:val="en-US" w:eastAsia="zh-CN"/>
        </w:rPr>
      </w:pPr>
    </w:p>
    <w:p w14:paraId="6F2C8DAA">
      <w:pPr>
        <w:jc w:val="left"/>
        <w:rPr>
          <w:rFonts w:hint="eastAsia" w:ascii="宋体" w:hAnsi="宋体" w:eastAsia="宋体" w:cs="宋体"/>
          <w:b w:val="0"/>
          <w:bCs w:val="0"/>
          <w:spacing w:val="-4"/>
          <w:kern w:val="0"/>
          <w:sz w:val="24"/>
          <w:szCs w:val="24"/>
          <w:lang w:val="en-US" w:eastAsia="zh-CN"/>
        </w:rPr>
      </w:pPr>
    </w:p>
    <w:p w14:paraId="1C2B418F">
      <w:pPr>
        <w:jc w:val="left"/>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 xml:space="preserve">公司法定代表人或授权代表签字：                 </w:t>
      </w:r>
    </w:p>
    <w:p w14:paraId="5D6FA518">
      <w:pPr>
        <w:jc w:val="left"/>
        <w:rPr>
          <w:rFonts w:hint="eastAsia" w:ascii="宋体" w:hAnsi="宋体" w:eastAsia="宋体" w:cs="宋体"/>
          <w:b w:val="0"/>
          <w:bCs w:val="0"/>
          <w:spacing w:val="-4"/>
          <w:kern w:val="0"/>
          <w:sz w:val="24"/>
          <w:szCs w:val="24"/>
          <w:lang w:val="en-US" w:eastAsia="zh-CN"/>
        </w:rPr>
      </w:pPr>
    </w:p>
    <w:p w14:paraId="4DE62550">
      <w:pPr>
        <w:jc w:val="left"/>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 xml:space="preserve">公司盖章：               </w:t>
      </w:r>
    </w:p>
    <w:p w14:paraId="6DA6614D">
      <w:pPr>
        <w:jc w:val="left"/>
        <w:rPr>
          <w:rFonts w:hint="eastAsia" w:ascii="宋体" w:hAnsi="宋体" w:eastAsia="宋体" w:cs="宋体"/>
          <w:b w:val="0"/>
          <w:bCs w:val="0"/>
          <w:spacing w:val="-4"/>
          <w:kern w:val="0"/>
          <w:sz w:val="24"/>
          <w:szCs w:val="24"/>
          <w:lang w:val="en-US" w:eastAsia="zh-CN"/>
        </w:rPr>
      </w:pPr>
    </w:p>
    <w:p w14:paraId="4FB84AC2">
      <w:pPr>
        <w:jc w:val="left"/>
        <w:rPr>
          <w:rFonts w:hint="eastAsia" w:ascii="宋体" w:hAnsi="宋体" w:eastAsia="宋体" w:cs="宋体"/>
          <w:b w:val="0"/>
          <w:bCs w:val="0"/>
          <w:spacing w:val="-4"/>
          <w:kern w:val="0"/>
          <w:sz w:val="24"/>
          <w:szCs w:val="24"/>
          <w:lang w:val="en-US" w:eastAsia="zh-CN"/>
        </w:rPr>
      </w:pPr>
    </w:p>
    <w:p w14:paraId="480B9128">
      <w:pPr>
        <w:jc w:val="left"/>
        <w:rPr>
          <w:rFonts w:hint="eastAsia" w:ascii="宋体" w:hAnsi="宋体" w:eastAsia="宋体" w:cs="宋体"/>
          <w:b w:val="0"/>
          <w:bCs w:val="0"/>
          <w:spacing w:val="-4"/>
          <w:kern w:val="0"/>
          <w:sz w:val="24"/>
          <w:szCs w:val="24"/>
          <w:lang w:val="en-US" w:eastAsia="zh-CN"/>
        </w:rPr>
      </w:pPr>
    </w:p>
    <w:p w14:paraId="4BE9E3E8">
      <w:pPr>
        <w:jc w:val="left"/>
        <w:rPr>
          <w:rFonts w:hint="eastAsia" w:ascii="宋体" w:hAnsi="宋体" w:eastAsia="宋体" w:cs="宋体"/>
          <w:b w:val="0"/>
          <w:bCs w:val="0"/>
          <w:spacing w:val="-4"/>
          <w:kern w:val="0"/>
          <w:sz w:val="24"/>
          <w:szCs w:val="24"/>
          <w:lang w:val="en-US" w:eastAsia="zh-CN"/>
        </w:rPr>
      </w:pPr>
    </w:p>
    <w:p w14:paraId="7D44AF77">
      <w:pPr>
        <w:jc w:val="left"/>
        <w:rPr>
          <w:rFonts w:hint="eastAsia" w:ascii="宋体" w:hAnsi="宋体" w:eastAsia="宋体" w:cs="宋体"/>
          <w:b w:val="0"/>
          <w:bCs w:val="0"/>
          <w:spacing w:val="-4"/>
          <w:kern w:val="0"/>
          <w:sz w:val="24"/>
          <w:szCs w:val="24"/>
          <w:lang w:val="en-US" w:eastAsia="zh-CN"/>
        </w:rPr>
      </w:pPr>
    </w:p>
    <w:p w14:paraId="55658BAE">
      <w:pPr>
        <w:jc w:val="left"/>
        <w:rPr>
          <w:rFonts w:hint="eastAsia" w:ascii="宋体" w:hAnsi="宋体" w:eastAsia="宋体" w:cs="宋体"/>
          <w:b w:val="0"/>
          <w:bCs w:val="0"/>
          <w:spacing w:val="-4"/>
          <w:kern w:val="0"/>
          <w:sz w:val="24"/>
          <w:szCs w:val="24"/>
          <w:lang w:val="en-US" w:eastAsia="zh-CN"/>
        </w:rPr>
      </w:pPr>
    </w:p>
    <w:p w14:paraId="189B1960">
      <w:pPr>
        <w:jc w:val="left"/>
        <w:rPr>
          <w:rFonts w:hint="eastAsia" w:ascii="宋体" w:hAnsi="宋体" w:eastAsia="宋体" w:cs="宋体"/>
          <w:b w:val="0"/>
          <w:bCs w:val="0"/>
          <w:spacing w:val="-4"/>
          <w:kern w:val="0"/>
          <w:sz w:val="24"/>
          <w:szCs w:val="24"/>
          <w:lang w:val="en-US" w:eastAsia="zh-CN"/>
        </w:rPr>
      </w:pPr>
    </w:p>
    <w:p w14:paraId="46347DCC">
      <w:pPr>
        <w:jc w:val="left"/>
        <w:rPr>
          <w:rFonts w:hint="eastAsia" w:ascii="宋体" w:hAnsi="宋体" w:eastAsia="宋体" w:cs="宋体"/>
          <w:b w:val="0"/>
          <w:bCs w:val="0"/>
          <w:spacing w:val="-4"/>
          <w:kern w:val="0"/>
          <w:sz w:val="24"/>
          <w:szCs w:val="24"/>
          <w:lang w:val="en-US" w:eastAsia="zh-CN"/>
        </w:rPr>
      </w:pPr>
    </w:p>
    <w:p w14:paraId="4A3F696B">
      <w:pPr>
        <w:jc w:val="left"/>
        <w:rPr>
          <w:rFonts w:hint="eastAsia" w:ascii="宋体" w:hAnsi="宋体" w:eastAsia="宋体" w:cs="宋体"/>
          <w:b w:val="0"/>
          <w:bCs w:val="0"/>
          <w:spacing w:val="-4"/>
          <w:kern w:val="0"/>
          <w:sz w:val="24"/>
          <w:szCs w:val="24"/>
          <w:lang w:val="en-US" w:eastAsia="zh-CN"/>
        </w:rPr>
      </w:pPr>
    </w:p>
    <w:p w14:paraId="6312EF09">
      <w:pPr>
        <w:jc w:val="left"/>
        <w:rPr>
          <w:rFonts w:hint="eastAsia" w:ascii="宋体" w:hAnsi="宋体" w:eastAsia="宋体" w:cs="宋体"/>
          <w:b w:val="0"/>
          <w:bCs w:val="0"/>
          <w:spacing w:val="-4"/>
          <w:kern w:val="0"/>
          <w:sz w:val="24"/>
          <w:szCs w:val="24"/>
          <w:lang w:val="en-US" w:eastAsia="zh-CN"/>
        </w:rPr>
        <w:sectPr>
          <w:pgSz w:w="11906" w:h="16838"/>
          <w:pgMar w:top="1417" w:right="1474" w:bottom="1417" w:left="1474" w:header="851" w:footer="624" w:gutter="0"/>
          <w:pgNumType w:fmt="decimal"/>
          <w:cols w:space="720" w:num="1"/>
          <w:docGrid w:type="lines" w:linePitch="319" w:charSpace="0"/>
        </w:sectPr>
      </w:pPr>
    </w:p>
    <w:p w14:paraId="3B80EA59">
      <w:pPr>
        <w:jc w:val="left"/>
        <w:rPr>
          <w:rFonts w:hint="eastAsia" w:ascii="宋体" w:hAnsi="宋体" w:eastAsia="宋体" w:cs="宋体"/>
          <w:b/>
          <w:bCs/>
          <w:spacing w:val="-4"/>
          <w:kern w:val="0"/>
          <w:sz w:val="30"/>
          <w:szCs w:val="30"/>
          <w:lang w:val="en-US" w:eastAsia="zh-CN"/>
        </w:rPr>
      </w:pPr>
      <w:r>
        <w:rPr>
          <w:rFonts w:hint="eastAsia" w:ascii="宋体" w:hAnsi="宋体" w:eastAsia="宋体" w:cs="宋体"/>
          <w:b/>
          <w:bCs/>
          <w:spacing w:val="-4"/>
          <w:kern w:val="0"/>
          <w:sz w:val="30"/>
          <w:szCs w:val="30"/>
          <w:lang w:val="en-US" w:eastAsia="zh-CN"/>
        </w:rPr>
        <w:t>附件3</w:t>
      </w:r>
    </w:p>
    <w:p w14:paraId="09B2A667">
      <w:pPr>
        <w:jc w:val="left"/>
        <w:rPr>
          <w:rFonts w:hint="eastAsia" w:ascii="宋体" w:hAnsi="宋体" w:eastAsia="宋体" w:cs="宋体"/>
          <w:b/>
          <w:bCs/>
          <w:spacing w:val="-4"/>
          <w:kern w:val="0"/>
          <w:sz w:val="30"/>
          <w:szCs w:val="30"/>
          <w:lang w:val="en-US" w:eastAsia="zh-CN"/>
        </w:rPr>
      </w:pPr>
      <w:r>
        <w:rPr>
          <w:rFonts w:hint="eastAsia" w:ascii="宋体" w:hAnsi="宋体" w:eastAsia="宋体" w:cs="宋体"/>
          <w:b w:val="0"/>
          <w:bCs w:val="0"/>
          <w:spacing w:val="-4"/>
          <w:kern w:val="0"/>
          <w:sz w:val="24"/>
          <w:szCs w:val="24"/>
          <w:lang w:val="en-US" w:eastAsia="zh-CN"/>
        </w:rPr>
        <w:t xml:space="preserve">                    </w:t>
      </w:r>
      <w:r>
        <w:rPr>
          <w:rFonts w:hint="eastAsia" w:ascii="宋体" w:hAnsi="宋体" w:eastAsia="宋体" w:cs="宋体"/>
          <w:b/>
          <w:bCs/>
          <w:spacing w:val="-4"/>
          <w:kern w:val="0"/>
          <w:sz w:val="30"/>
          <w:szCs w:val="30"/>
          <w:lang w:val="en-US" w:eastAsia="zh-CN"/>
        </w:rPr>
        <w:t xml:space="preserve">  驻马店市中心医院售后服务承诺书</w:t>
      </w:r>
    </w:p>
    <w:p w14:paraId="17028E6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针对我方提供的设备，我方做出如下承诺：</w:t>
      </w:r>
    </w:p>
    <w:p w14:paraId="7E5AA8C1">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lang w:val="en-US" w:eastAsia="zh-CN"/>
        </w:rPr>
        <w:t>1、设备整机原厂保修</w:t>
      </w:r>
      <w:r>
        <w:rPr>
          <w:rFonts w:hint="eastAsia" w:ascii="宋体" w:hAnsi="宋体" w:eastAsia="宋体" w:cs="宋体"/>
          <w:b w:val="0"/>
          <w:bCs w:val="0"/>
          <w:spacing w:val="-4"/>
          <w:kern w:val="0"/>
          <w:sz w:val="24"/>
          <w:szCs w:val="24"/>
          <w:u w:val="single"/>
          <w:lang w:val="en-US" w:eastAsia="zh-CN"/>
        </w:rPr>
        <w:t xml:space="preserve">      </w:t>
      </w:r>
      <w:r>
        <w:rPr>
          <w:rFonts w:hint="eastAsia" w:ascii="宋体" w:hAnsi="宋体" w:eastAsia="宋体" w:cs="宋体"/>
          <w:b w:val="0"/>
          <w:bCs w:val="0"/>
          <w:spacing w:val="-4"/>
          <w:kern w:val="0"/>
          <w:sz w:val="24"/>
          <w:szCs w:val="24"/>
          <w:u w:val="none"/>
          <w:lang w:val="en-US" w:eastAsia="zh-CN"/>
        </w:rPr>
        <w:t xml:space="preserve">年，保修时间按甲方入库之日计算，除火灾、洪水、地震等天灾外，保修期内免费更换零配件及工时费，确保开机率为95%（含）以上。设备保修期内，设备维修占用日期每增加一天按保修时间往后顺延七天。 </w:t>
      </w:r>
    </w:p>
    <w:p w14:paraId="7F75A6D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2、每年 4 次专业维护保养，详细制定年度维护计划及保养内容，每次维护保养提前一周通知甲方约定保养时间。保养内容按照原厂标准进行，包括设备清洁、性能测试及校准、必要的机械或电气检查，以及非紧急性质的预防性维护，和确保系统能按照制造商的产品规格运行的其他维护，对设备构成的功能单元进行安全、图像质量方面的检测，并提供详细保养报告及年度维修保养服务报告。</w:t>
      </w:r>
    </w:p>
    <w:p w14:paraId="50B1454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3、为甲方提供现场维修、零备件更换等服务。 </w:t>
      </w:r>
    </w:p>
    <w:p w14:paraId="57AA560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4、现场维修：乙方为甲方提供无限次免费工时和派工，无限次现场维修，节假日及非工作时间提供紧急维修，20分钟内电话响应，24小时内工程师到达现场，一般故障48小时内维修完毕。如当场不能解决问题，提供备用机，确保不影响医院的正常使用。 </w:t>
      </w:r>
    </w:p>
    <w:p w14:paraId="5BEECCD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5、零备件更换：在合同有效期内，保证提供原厂全新零备件，本合同服务范围内的设备进行合同约定的维修，甲方不再额外支付费用。 </w:t>
      </w:r>
    </w:p>
    <w:p w14:paraId="20A3F44E">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6、质保期满后，负责设备的终身维修并继续提供优质的服务，储备足够的零配件备库，并始终能以市场上最优惠的价格提供优质的配件。</w:t>
      </w:r>
    </w:p>
    <w:p w14:paraId="7262BF00">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7、设备配套的软件终身免费升级和使用，及时提供设备新功能信息和临床应用资料。 </w:t>
      </w:r>
    </w:p>
    <w:p w14:paraId="7FC61E7A">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8、投标人、厂家认为其他必要的内容（投标文件中其他售后服务承诺）。 </w:t>
      </w:r>
    </w:p>
    <w:p w14:paraId="59FFDD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pacing w:val="-4"/>
          <w:kern w:val="0"/>
          <w:sz w:val="24"/>
          <w:szCs w:val="24"/>
          <w:u w:val="none"/>
          <w:lang w:val="en-US" w:eastAsia="zh-CN"/>
        </w:rPr>
      </w:pPr>
    </w:p>
    <w:p w14:paraId="5F27984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p>
    <w:p w14:paraId="1F72107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生产厂家（签章）：必填 </w:t>
      </w:r>
    </w:p>
    <w:p w14:paraId="09F9FB1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地址：必填 </w:t>
      </w:r>
    </w:p>
    <w:p w14:paraId="20057C0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联系人：必填 </w:t>
      </w:r>
    </w:p>
    <w:p w14:paraId="7888FCA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联系方式：必填</w:t>
      </w:r>
    </w:p>
    <w:p w14:paraId="63B0B57D">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2"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8"/>
      <w:bookmarkEnd w:id="39"/>
      <w:bookmarkEnd w:id="42"/>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3" w:name="_Toc13604"/>
      <w:r>
        <w:rPr>
          <w:rFonts w:hint="eastAsia" w:ascii="宋体" w:hAnsi="宋体" w:eastAsia="宋体" w:cs="宋体"/>
          <w:b/>
          <w:bCs/>
          <w:color w:val="auto"/>
          <w:sz w:val="32"/>
          <w:szCs w:val="32"/>
          <w:highlight w:val="none"/>
        </w:rPr>
        <w:t>目    录</w:t>
      </w:r>
      <w:bookmarkEnd w:id="4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44"/>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5"/>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6"/>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7" w:name="_Toc9579"/>
      <w:r>
        <w:rPr>
          <w:rFonts w:hint="eastAsia" w:ascii="宋体" w:hAnsi="宋体" w:eastAsia="宋体" w:cs="宋体"/>
          <w:color w:val="auto"/>
          <w:sz w:val="24"/>
          <w:highlight w:val="none"/>
        </w:rPr>
        <w:t xml:space="preserve">附件4 </w:t>
      </w:r>
      <w:bookmarkEnd w:id="47"/>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48"/>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49" w:name="_Toc6234"/>
      <w:r>
        <w:rPr>
          <w:rFonts w:hint="eastAsia" w:ascii="宋体" w:hAnsi="宋体" w:eastAsia="宋体" w:cs="宋体"/>
          <w:color w:val="auto"/>
          <w:sz w:val="24"/>
          <w:highlight w:val="none"/>
        </w:rPr>
        <w:t>附件6 商务</w:t>
      </w:r>
      <w:bookmarkEnd w:id="49"/>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0"/>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1"/>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31857"/>
      <w:r>
        <w:rPr>
          <w:rFonts w:hint="eastAsia" w:ascii="宋体" w:hAnsi="宋体" w:eastAsia="宋体" w:cs="宋体"/>
          <w:color w:val="auto"/>
          <w:sz w:val="24"/>
          <w:highlight w:val="none"/>
        </w:rPr>
        <w:t>附件9 证明文件</w:t>
      </w:r>
      <w:bookmarkEnd w:id="52"/>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3" w:name="_Toc31798"/>
      <w:bookmarkStart w:id="54"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3"/>
      <w:bookmarkEnd w:id="5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val="0"/>
          <w:bCs/>
          <w:color w:val="FF0000"/>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eastAsia="宋体" w:cs="宋体"/>
          <w:b w:val="0"/>
          <w:bCs/>
          <w:snapToGrid w:val="0"/>
          <w:color w:val="FF0000"/>
          <w:spacing w:val="0"/>
          <w:kern w:val="0"/>
          <w:sz w:val="44"/>
          <w:szCs w:val="44"/>
          <w:highlight w:val="none"/>
          <w:u w:val="single"/>
          <w:lang w:val="en-US" w:eastAsia="zh-CN"/>
        </w:rPr>
        <w:t xml:space="preserve"> （包号）</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3D4C1BCF">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5" w:name="_Toc14560"/>
      <w:bookmarkStart w:id="56" w:name="_Toc8818"/>
      <w:r>
        <w:rPr>
          <w:rFonts w:hint="eastAsia" w:ascii="宋体" w:hAnsi="宋体" w:eastAsia="宋体" w:cs="宋体"/>
          <w:color w:val="auto"/>
          <w:sz w:val="28"/>
          <w:szCs w:val="28"/>
          <w:highlight w:val="none"/>
          <w:lang w:val="en-US" w:eastAsia="zh-CN"/>
        </w:rPr>
        <w:t>附件2      竞争性磋商响应书（格式）</w:t>
      </w:r>
      <w:bookmarkEnd w:id="55"/>
      <w:bookmarkEnd w:id="5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我方仔细研究了</w:t>
      </w:r>
      <w:r>
        <w:rPr>
          <w:rFonts w:hint="eastAsia" w:ascii="宋体" w:hAnsi="宋体" w:eastAsia="宋体" w:cs="宋体"/>
          <w:bCs/>
          <w:color w:val="FF0000"/>
          <w:sz w:val="24"/>
          <w:szCs w:val="24"/>
          <w:highlight w:val="none"/>
          <w:u w:val="single"/>
        </w:rPr>
        <w:t>（项目名称：</w:t>
      </w:r>
      <w:r>
        <w:rPr>
          <w:rFonts w:hint="eastAsia" w:ascii="宋体" w:hAnsi="宋体" w:eastAsia="宋体" w:cs="宋体"/>
          <w:bCs/>
          <w:color w:val="FF0000"/>
          <w:sz w:val="24"/>
          <w:szCs w:val="24"/>
          <w:highlight w:val="none"/>
          <w:u w:val="single"/>
          <w:lang w:val="en-US" w:eastAsia="zh-CN"/>
        </w:rPr>
        <w:t xml:space="preserve">              </w:t>
      </w:r>
      <w:r>
        <w:rPr>
          <w:rFonts w:hint="eastAsia" w:ascii="宋体" w:hAnsi="宋体" w:eastAsia="宋体" w:cs="宋体"/>
          <w:bCs/>
          <w:color w:val="FF0000"/>
          <w:sz w:val="24"/>
          <w:szCs w:val="24"/>
          <w:highlight w:val="none"/>
          <w:u w:val="none"/>
          <w:lang w:val="en-US" w:eastAsia="zh-CN"/>
        </w:rPr>
        <w:t>包号：</w:t>
      </w:r>
      <w:r>
        <w:rPr>
          <w:rFonts w:hint="eastAsia" w:ascii="宋体" w:hAnsi="宋体" w:eastAsia="宋体" w:cs="宋体"/>
          <w:bCs/>
          <w:color w:val="FF0000"/>
          <w:sz w:val="24"/>
          <w:szCs w:val="24"/>
          <w:highlight w:val="none"/>
          <w:u w:val="single"/>
          <w:lang w:val="en-US" w:eastAsia="zh-CN"/>
        </w:rPr>
        <w:t xml:space="preserve">   </w:t>
      </w:r>
      <w:r>
        <w:rPr>
          <w:rFonts w:hint="eastAsia" w:ascii="宋体" w:hAnsi="宋体" w:eastAsia="宋体" w:cs="宋体"/>
          <w:bCs/>
          <w:color w:val="FF0000"/>
          <w:sz w:val="24"/>
          <w:szCs w:val="24"/>
          <w:highlight w:val="none"/>
          <w:u w:val="none"/>
          <w:lang w:val="en-US"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文件的全部内容，决定参加该项目的磋商活动并按要求提交响应文件。我们郑重声明以下诸点并负法律责任:</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宋体" w:hAnsi="宋体" w:eastAsia="宋体" w:cs="宋体"/>
          <w:sz w:val="24"/>
          <w:szCs w:val="24"/>
          <w:highlight w:val="none"/>
        </w:rPr>
        <w:t>我方响应文件有效期为自磋商之日</w:t>
      </w:r>
      <w:r>
        <w:rPr>
          <w:rFonts w:hint="eastAsia" w:ascii="宋体" w:hAnsi="宋体" w:eastAsia="宋体" w:cs="宋体"/>
          <w:sz w:val="24"/>
          <w:szCs w:val="24"/>
          <w:highlight w:val="none"/>
          <w:u w:val="none"/>
        </w:rPr>
        <w:t>起90天</w:t>
      </w:r>
      <w:r>
        <w:rPr>
          <w:rFonts w:hint="eastAsia" w:ascii="宋体" w:hAnsi="宋体" w:eastAsia="宋体" w:cs="宋体"/>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7838"/>
      <w:r>
        <w:rPr>
          <w:rFonts w:hint="eastAsia" w:ascii="宋体" w:hAnsi="宋体" w:eastAsia="宋体" w:cs="宋体"/>
          <w:color w:val="auto"/>
          <w:sz w:val="28"/>
          <w:szCs w:val="28"/>
          <w:highlight w:val="none"/>
          <w:lang w:val="en-US" w:eastAsia="zh-CN"/>
        </w:rPr>
        <w:t>附件3     初次报价一览表</w:t>
      </w:r>
      <w:bookmarkEnd w:id="5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58" w:name="_Toc20877"/>
      <w:bookmarkStart w:id="59" w:name="_Toc11620"/>
    </w:p>
    <w:bookmarkEnd w:id="58"/>
    <w:bookmarkEnd w:id="59"/>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bookmarkEnd w:id="40"/>
    <w:bookmarkEnd w:id="41"/>
    <w:p w14:paraId="32162F70">
      <w:pPr>
        <w:spacing w:before="20" w:after="20"/>
        <w:outlineLvl w:val="9"/>
        <w:rPr>
          <w:rFonts w:hint="eastAsia" w:ascii="宋体" w:hAnsi="宋体" w:eastAsia="宋体" w:cs="宋体"/>
          <w:color w:val="auto"/>
          <w:highlight w:val="none"/>
          <w:lang w:eastAsia="zh-CN"/>
        </w:rPr>
      </w:pPr>
      <w:bookmarkStart w:id="60" w:name="_Toc24984"/>
      <w:bookmarkStart w:id="6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0"/>
      <w:bookmarkEnd w:id="61"/>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ascii="宋体" w:hAnsi="宋体" w:eastAsia="宋体" w:cs="宋体"/>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2" w:name="_Toc15804"/>
      <w:bookmarkStart w:id="63"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rFonts w:hint="eastAsia" w:ascii="宋体" w:hAnsi="宋体" w:eastAsia="宋体" w:cs="宋体"/>
                <w:color w:val="auto"/>
                <w:highlight w:val="none"/>
                <w:vertAlign w:val="baseline"/>
              </w:rPr>
            </w:pPr>
          </w:p>
        </w:tc>
        <w:tc>
          <w:tcPr>
            <w:tcW w:w="1181" w:type="dxa"/>
            <w:vMerge w:val="restart"/>
          </w:tcPr>
          <w:p w14:paraId="1411B170">
            <w:pPr>
              <w:widowControl w:val="0"/>
              <w:rPr>
                <w:rFonts w:hint="eastAsia" w:ascii="宋体" w:hAnsi="宋体" w:eastAsia="宋体" w:cs="宋体"/>
                <w:color w:val="auto"/>
                <w:highlight w:val="none"/>
                <w:vertAlign w:val="baseline"/>
              </w:rPr>
            </w:pPr>
          </w:p>
        </w:tc>
        <w:tc>
          <w:tcPr>
            <w:tcW w:w="1341" w:type="dxa"/>
          </w:tcPr>
          <w:p w14:paraId="538C956D">
            <w:pPr>
              <w:widowControl w:val="0"/>
              <w:rPr>
                <w:rFonts w:hint="eastAsia" w:ascii="宋体" w:hAnsi="宋体" w:eastAsia="宋体" w:cs="宋体"/>
                <w:color w:val="auto"/>
                <w:highlight w:val="none"/>
                <w:vertAlign w:val="baseline"/>
              </w:rPr>
            </w:pPr>
          </w:p>
        </w:tc>
        <w:tc>
          <w:tcPr>
            <w:tcW w:w="1225" w:type="dxa"/>
          </w:tcPr>
          <w:p w14:paraId="74877ABD">
            <w:pPr>
              <w:widowControl w:val="0"/>
              <w:rPr>
                <w:rFonts w:hint="eastAsia" w:ascii="宋体" w:hAnsi="宋体" w:eastAsia="宋体" w:cs="宋体"/>
                <w:color w:val="auto"/>
                <w:highlight w:val="none"/>
                <w:vertAlign w:val="baseline"/>
              </w:rPr>
            </w:pPr>
          </w:p>
        </w:tc>
        <w:tc>
          <w:tcPr>
            <w:tcW w:w="995" w:type="dxa"/>
          </w:tcPr>
          <w:p w14:paraId="46285D21">
            <w:pPr>
              <w:widowControl w:val="0"/>
              <w:rPr>
                <w:rFonts w:hint="eastAsia" w:ascii="宋体" w:hAnsi="宋体" w:eastAsia="宋体" w:cs="宋体"/>
                <w:color w:val="auto"/>
                <w:highlight w:val="none"/>
                <w:vertAlign w:val="baseline"/>
              </w:rPr>
            </w:pPr>
          </w:p>
        </w:tc>
        <w:tc>
          <w:tcPr>
            <w:tcW w:w="995" w:type="dxa"/>
          </w:tcPr>
          <w:p w14:paraId="30AA1993">
            <w:pPr>
              <w:widowControl w:val="0"/>
              <w:rPr>
                <w:rFonts w:hint="eastAsia" w:ascii="宋体" w:hAnsi="宋体" w:eastAsia="宋体" w:cs="宋体"/>
                <w:color w:val="auto"/>
                <w:highlight w:val="none"/>
                <w:vertAlign w:val="baseline"/>
              </w:rPr>
            </w:pPr>
          </w:p>
        </w:tc>
        <w:tc>
          <w:tcPr>
            <w:tcW w:w="1107" w:type="dxa"/>
          </w:tcPr>
          <w:p w14:paraId="3FDE21BE">
            <w:pPr>
              <w:widowControl w:val="0"/>
              <w:rPr>
                <w:rFonts w:hint="eastAsia" w:ascii="宋体" w:hAnsi="宋体" w:eastAsia="宋体" w:cs="宋体"/>
                <w:color w:val="auto"/>
                <w:highlight w:val="none"/>
                <w:vertAlign w:val="baseline"/>
              </w:rPr>
            </w:pPr>
          </w:p>
        </w:tc>
        <w:tc>
          <w:tcPr>
            <w:tcW w:w="883" w:type="dxa"/>
          </w:tcPr>
          <w:p w14:paraId="2A5C917F">
            <w:pPr>
              <w:widowControl w:val="0"/>
              <w:rPr>
                <w:rFonts w:hint="eastAsia" w:ascii="宋体" w:hAnsi="宋体" w:eastAsia="宋体" w:cs="宋体"/>
                <w:color w:val="auto"/>
                <w:highlight w:val="none"/>
                <w:vertAlign w:val="baseline"/>
              </w:rPr>
            </w:pPr>
          </w:p>
        </w:tc>
        <w:tc>
          <w:tcPr>
            <w:tcW w:w="995" w:type="dxa"/>
          </w:tcPr>
          <w:p w14:paraId="2BC032BB">
            <w:pPr>
              <w:widowControl w:val="0"/>
              <w:rPr>
                <w:rFonts w:hint="eastAsia" w:ascii="宋体" w:hAnsi="宋体" w:eastAsia="宋体" w:cs="宋体"/>
                <w:color w:val="auto"/>
                <w:highlight w:val="none"/>
                <w:vertAlign w:val="baseline"/>
              </w:rPr>
            </w:pPr>
          </w:p>
        </w:tc>
        <w:tc>
          <w:tcPr>
            <w:tcW w:w="1061" w:type="dxa"/>
          </w:tcPr>
          <w:p w14:paraId="43AF7AB5">
            <w:pPr>
              <w:widowControl w:val="0"/>
              <w:rPr>
                <w:rFonts w:hint="eastAsia" w:ascii="宋体" w:hAnsi="宋体" w:eastAsia="宋体" w:cs="宋体"/>
                <w:color w:val="auto"/>
                <w:highlight w:val="none"/>
                <w:vertAlign w:val="baseline"/>
              </w:rPr>
            </w:pPr>
          </w:p>
        </w:tc>
        <w:tc>
          <w:tcPr>
            <w:tcW w:w="1061" w:type="dxa"/>
          </w:tcPr>
          <w:p w14:paraId="3CD0599F">
            <w:pPr>
              <w:widowControl w:val="0"/>
              <w:rPr>
                <w:rFonts w:hint="eastAsia" w:ascii="宋体" w:hAnsi="宋体" w:eastAsia="宋体" w:cs="宋体"/>
                <w:color w:val="auto"/>
                <w:highlight w:val="none"/>
                <w:vertAlign w:val="baseline"/>
              </w:rPr>
            </w:pPr>
          </w:p>
        </w:tc>
        <w:tc>
          <w:tcPr>
            <w:tcW w:w="1213" w:type="dxa"/>
          </w:tcPr>
          <w:p w14:paraId="351E7283">
            <w:pPr>
              <w:widowControl w:val="0"/>
              <w:rPr>
                <w:rFonts w:hint="eastAsia" w:ascii="宋体" w:hAnsi="宋体" w:eastAsia="宋体" w:cs="宋体"/>
                <w:color w:val="auto"/>
                <w:highlight w:val="none"/>
                <w:vertAlign w:val="baseline"/>
              </w:rPr>
            </w:pPr>
          </w:p>
        </w:tc>
        <w:tc>
          <w:tcPr>
            <w:tcW w:w="1584" w:type="dxa"/>
          </w:tcPr>
          <w:p w14:paraId="47A41BCD">
            <w:pPr>
              <w:widowControl w:val="0"/>
              <w:rPr>
                <w:rFonts w:hint="eastAsia" w:ascii="宋体" w:hAnsi="宋体" w:eastAsia="宋体" w:cs="宋体"/>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rFonts w:hint="eastAsia" w:ascii="宋体" w:hAnsi="宋体" w:eastAsia="宋体" w:cs="宋体"/>
                <w:color w:val="auto"/>
                <w:highlight w:val="none"/>
                <w:vertAlign w:val="baseline"/>
              </w:rPr>
            </w:pPr>
          </w:p>
        </w:tc>
        <w:tc>
          <w:tcPr>
            <w:tcW w:w="1181" w:type="dxa"/>
            <w:vMerge w:val="continue"/>
          </w:tcPr>
          <w:p w14:paraId="040A03DA">
            <w:pPr>
              <w:widowControl w:val="0"/>
              <w:rPr>
                <w:rFonts w:hint="eastAsia" w:ascii="宋体" w:hAnsi="宋体" w:eastAsia="宋体" w:cs="宋体"/>
                <w:color w:val="auto"/>
                <w:highlight w:val="none"/>
                <w:vertAlign w:val="baseline"/>
              </w:rPr>
            </w:pPr>
          </w:p>
        </w:tc>
        <w:tc>
          <w:tcPr>
            <w:tcW w:w="1341" w:type="dxa"/>
          </w:tcPr>
          <w:p w14:paraId="6D655FCD">
            <w:pPr>
              <w:widowControl w:val="0"/>
              <w:rPr>
                <w:rFonts w:hint="eastAsia" w:ascii="宋体" w:hAnsi="宋体" w:eastAsia="宋体" w:cs="宋体"/>
                <w:color w:val="auto"/>
                <w:highlight w:val="none"/>
                <w:vertAlign w:val="baseline"/>
              </w:rPr>
            </w:pPr>
          </w:p>
        </w:tc>
        <w:tc>
          <w:tcPr>
            <w:tcW w:w="1225" w:type="dxa"/>
          </w:tcPr>
          <w:p w14:paraId="5E1CE5CD">
            <w:pPr>
              <w:widowControl w:val="0"/>
              <w:rPr>
                <w:rFonts w:hint="eastAsia" w:ascii="宋体" w:hAnsi="宋体" w:eastAsia="宋体" w:cs="宋体"/>
                <w:color w:val="auto"/>
                <w:highlight w:val="none"/>
                <w:vertAlign w:val="baseline"/>
              </w:rPr>
            </w:pPr>
          </w:p>
        </w:tc>
        <w:tc>
          <w:tcPr>
            <w:tcW w:w="995" w:type="dxa"/>
          </w:tcPr>
          <w:p w14:paraId="6FFF8D39">
            <w:pPr>
              <w:widowControl w:val="0"/>
              <w:rPr>
                <w:rFonts w:hint="eastAsia" w:ascii="宋体" w:hAnsi="宋体" w:eastAsia="宋体" w:cs="宋体"/>
                <w:color w:val="auto"/>
                <w:highlight w:val="none"/>
                <w:vertAlign w:val="baseline"/>
              </w:rPr>
            </w:pPr>
          </w:p>
        </w:tc>
        <w:tc>
          <w:tcPr>
            <w:tcW w:w="995" w:type="dxa"/>
          </w:tcPr>
          <w:p w14:paraId="69EFFFF9">
            <w:pPr>
              <w:widowControl w:val="0"/>
              <w:rPr>
                <w:rFonts w:hint="eastAsia" w:ascii="宋体" w:hAnsi="宋体" w:eastAsia="宋体" w:cs="宋体"/>
                <w:color w:val="auto"/>
                <w:highlight w:val="none"/>
                <w:vertAlign w:val="baseline"/>
              </w:rPr>
            </w:pPr>
          </w:p>
        </w:tc>
        <w:tc>
          <w:tcPr>
            <w:tcW w:w="1107" w:type="dxa"/>
          </w:tcPr>
          <w:p w14:paraId="0D9181D5">
            <w:pPr>
              <w:widowControl w:val="0"/>
              <w:rPr>
                <w:rFonts w:hint="eastAsia" w:ascii="宋体" w:hAnsi="宋体" w:eastAsia="宋体" w:cs="宋体"/>
                <w:color w:val="auto"/>
                <w:highlight w:val="none"/>
                <w:vertAlign w:val="baseline"/>
              </w:rPr>
            </w:pPr>
          </w:p>
        </w:tc>
        <w:tc>
          <w:tcPr>
            <w:tcW w:w="883" w:type="dxa"/>
          </w:tcPr>
          <w:p w14:paraId="55638291">
            <w:pPr>
              <w:widowControl w:val="0"/>
              <w:rPr>
                <w:rFonts w:hint="eastAsia" w:ascii="宋体" w:hAnsi="宋体" w:eastAsia="宋体" w:cs="宋体"/>
                <w:color w:val="auto"/>
                <w:highlight w:val="none"/>
                <w:vertAlign w:val="baseline"/>
              </w:rPr>
            </w:pPr>
          </w:p>
        </w:tc>
        <w:tc>
          <w:tcPr>
            <w:tcW w:w="995" w:type="dxa"/>
          </w:tcPr>
          <w:p w14:paraId="18AD76A8">
            <w:pPr>
              <w:widowControl w:val="0"/>
              <w:rPr>
                <w:rFonts w:hint="eastAsia" w:ascii="宋体" w:hAnsi="宋体" w:eastAsia="宋体" w:cs="宋体"/>
                <w:color w:val="auto"/>
                <w:highlight w:val="none"/>
                <w:vertAlign w:val="baseline"/>
              </w:rPr>
            </w:pPr>
          </w:p>
        </w:tc>
        <w:tc>
          <w:tcPr>
            <w:tcW w:w="1061" w:type="dxa"/>
          </w:tcPr>
          <w:p w14:paraId="3E848191">
            <w:pPr>
              <w:widowControl w:val="0"/>
              <w:rPr>
                <w:rFonts w:hint="eastAsia" w:ascii="宋体" w:hAnsi="宋体" w:eastAsia="宋体" w:cs="宋体"/>
                <w:color w:val="auto"/>
                <w:highlight w:val="none"/>
                <w:vertAlign w:val="baseline"/>
              </w:rPr>
            </w:pPr>
          </w:p>
        </w:tc>
        <w:tc>
          <w:tcPr>
            <w:tcW w:w="1061" w:type="dxa"/>
          </w:tcPr>
          <w:p w14:paraId="5A6786BD">
            <w:pPr>
              <w:widowControl w:val="0"/>
              <w:rPr>
                <w:rFonts w:hint="eastAsia" w:ascii="宋体" w:hAnsi="宋体" w:eastAsia="宋体" w:cs="宋体"/>
                <w:color w:val="auto"/>
                <w:highlight w:val="none"/>
                <w:vertAlign w:val="baseline"/>
              </w:rPr>
            </w:pPr>
          </w:p>
        </w:tc>
        <w:tc>
          <w:tcPr>
            <w:tcW w:w="1213" w:type="dxa"/>
          </w:tcPr>
          <w:p w14:paraId="4A951FB8">
            <w:pPr>
              <w:widowControl w:val="0"/>
              <w:rPr>
                <w:rFonts w:hint="eastAsia" w:ascii="宋体" w:hAnsi="宋体" w:eastAsia="宋体" w:cs="宋体"/>
                <w:color w:val="auto"/>
                <w:highlight w:val="none"/>
                <w:vertAlign w:val="baseline"/>
              </w:rPr>
            </w:pPr>
          </w:p>
        </w:tc>
        <w:tc>
          <w:tcPr>
            <w:tcW w:w="1584" w:type="dxa"/>
          </w:tcPr>
          <w:p w14:paraId="554D3838">
            <w:pPr>
              <w:widowControl w:val="0"/>
              <w:rPr>
                <w:rFonts w:hint="eastAsia" w:ascii="宋体" w:hAnsi="宋体" w:eastAsia="宋体" w:cs="宋体"/>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rFonts w:hint="eastAsia" w:ascii="宋体" w:hAnsi="宋体" w:eastAsia="宋体" w:cs="宋体"/>
                <w:color w:val="auto"/>
                <w:highlight w:val="none"/>
                <w:vertAlign w:val="baseline"/>
              </w:rPr>
            </w:pPr>
          </w:p>
        </w:tc>
        <w:tc>
          <w:tcPr>
            <w:tcW w:w="1181" w:type="dxa"/>
            <w:vMerge w:val="restart"/>
          </w:tcPr>
          <w:p w14:paraId="0D9E80CF">
            <w:pPr>
              <w:widowControl w:val="0"/>
              <w:rPr>
                <w:rFonts w:hint="eastAsia" w:ascii="宋体" w:hAnsi="宋体" w:eastAsia="宋体" w:cs="宋体"/>
                <w:color w:val="auto"/>
                <w:highlight w:val="none"/>
                <w:vertAlign w:val="baseline"/>
              </w:rPr>
            </w:pPr>
          </w:p>
        </w:tc>
        <w:tc>
          <w:tcPr>
            <w:tcW w:w="1341" w:type="dxa"/>
          </w:tcPr>
          <w:p w14:paraId="1E7399C3">
            <w:pPr>
              <w:widowControl w:val="0"/>
              <w:rPr>
                <w:rFonts w:hint="eastAsia" w:ascii="宋体" w:hAnsi="宋体" w:eastAsia="宋体" w:cs="宋体"/>
                <w:color w:val="auto"/>
                <w:highlight w:val="none"/>
                <w:vertAlign w:val="baseline"/>
              </w:rPr>
            </w:pPr>
          </w:p>
        </w:tc>
        <w:tc>
          <w:tcPr>
            <w:tcW w:w="1225" w:type="dxa"/>
          </w:tcPr>
          <w:p w14:paraId="3F37E071">
            <w:pPr>
              <w:widowControl w:val="0"/>
              <w:rPr>
                <w:rFonts w:hint="eastAsia" w:ascii="宋体" w:hAnsi="宋体" w:eastAsia="宋体" w:cs="宋体"/>
                <w:color w:val="auto"/>
                <w:highlight w:val="none"/>
                <w:vertAlign w:val="baseline"/>
              </w:rPr>
            </w:pPr>
          </w:p>
        </w:tc>
        <w:tc>
          <w:tcPr>
            <w:tcW w:w="995" w:type="dxa"/>
          </w:tcPr>
          <w:p w14:paraId="3C6E9A35">
            <w:pPr>
              <w:widowControl w:val="0"/>
              <w:rPr>
                <w:rFonts w:hint="eastAsia" w:ascii="宋体" w:hAnsi="宋体" w:eastAsia="宋体" w:cs="宋体"/>
                <w:color w:val="auto"/>
                <w:highlight w:val="none"/>
                <w:vertAlign w:val="baseline"/>
              </w:rPr>
            </w:pPr>
          </w:p>
        </w:tc>
        <w:tc>
          <w:tcPr>
            <w:tcW w:w="995" w:type="dxa"/>
          </w:tcPr>
          <w:p w14:paraId="439A493E">
            <w:pPr>
              <w:widowControl w:val="0"/>
              <w:rPr>
                <w:rFonts w:hint="eastAsia" w:ascii="宋体" w:hAnsi="宋体" w:eastAsia="宋体" w:cs="宋体"/>
                <w:color w:val="auto"/>
                <w:highlight w:val="none"/>
                <w:vertAlign w:val="baseline"/>
              </w:rPr>
            </w:pPr>
          </w:p>
        </w:tc>
        <w:tc>
          <w:tcPr>
            <w:tcW w:w="1107" w:type="dxa"/>
          </w:tcPr>
          <w:p w14:paraId="6DA472CA">
            <w:pPr>
              <w:widowControl w:val="0"/>
              <w:rPr>
                <w:rFonts w:hint="eastAsia" w:ascii="宋体" w:hAnsi="宋体" w:eastAsia="宋体" w:cs="宋体"/>
                <w:color w:val="auto"/>
                <w:highlight w:val="none"/>
                <w:vertAlign w:val="baseline"/>
              </w:rPr>
            </w:pPr>
          </w:p>
        </w:tc>
        <w:tc>
          <w:tcPr>
            <w:tcW w:w="883" w:type="dxa"/>
          </w:tcPr>
          <w:p w14:paraId="4B709168">
            <w:pPr>
              <w:widowControl w:val="0"/>
              <w:rPr>
                <w:rFonts w:hint="eastAsia" w:ascii="宋体" w:hAnsi="宋体" w:eastAsia="宋体" w:cs="宋体"/>
                <w:color w:val="auto"/>
                <w:highlight w:val="none"/>
                <w:vertAlign w:val="baseline"/>
              </w:rPr>
            </w:pPr>
          </w:p>
        </w:tc>
        <w:tc>
          <w:tcPr>
            <w:tcW w:w="995" w:type="dxa"/>
          </w:tcPr>
          <w:p w14:paraId="0406CE2F">
            <w:pPr>
              <w:widowControl w:val="0"/>
              <w:rPr>
                <w:rFonts w:hint="eastAsia" w:ascii="宋体" w:hAnsi="宋体" w:eastAsia="宋体" w:cs="宋体"/>
                <w:color w:val="auto"/>
                <w:highlight w:val="none"/>
                <w:vertAlign w:val="baseline"/>
              </w:rPr>
            </w:pPr>
          </w:p>
        </w:tc>
        <w:tc>
          <w:tcPr>
            <w:tcW w:w="1061" w:type="dxa"/>
          </w:tcPr>
          <w:p w14:paraId="51830342">
            <w:pPr>
              <w:widowControl w:val="0"/>
              <w:rPr>
                <w:rFonts w:hint="eastAsia" w:ascii="宋体" w:hAnsi="宋体" w:eastAsia="宋体" w:cs="宋体"/>
                <w:color w:val="auto"/>
                <w:highlight w:val="none"/>
                <w:vertAlign w:val="baseline"/>
              </w:rPr>
            </w:pPr>
          </w:p>
        </w:tc>
        <w:tc>
          <w:tcPr>
            <w:tcW w:w="1061" w:type="dxa"/>
          </w:tcPr>
          <w:p w14:paraId="19B6E307">
            <w:pPr>
              <w:widowControl w:val="0"/>
              <w:rPr>
                <w:rFonts w:hint="eastAsia" w:ascii="宋体" w:hAnsi="宋体" w:eastAsia="宋体" w:cs="宋体"/>
                <w:color w:val="auto"/>
                <w:highlight w:val="none"/>
                <w:vertAlign w:val="baseline"/>
              </w:rPr>
            </w:pPr>
          </w:p>
        </w:tc>
        <w:tc>
          <w:tcPr>
            <w:tcW w:w="1213" w:type="dxa"/>
          </w:tcPr>
          <w:p w14:paraId="3E3FE638">
            <w:pPr>
              <w:widowControl w:val="0"/>
              <w:rPr>
                <w:rFonts w:hint="eastAsia" w:ascii="宋体" w:hAnsi="宋体" w:eastAsia="宋体" w:cs="宋体"/>
                <w:color w:val="auto"/>
                <w:highlight w:val="none"/>
                <w:vertAlign w:val="baseline"/>
              </w:rPr>
            </w:pPr>
          </w:p>
        </w:tc>
        <w:tc>
          <w:tcPr>
            <w:tcW w:w="1584" w:type="dxa"/>
          </w:tcPr>
          <w:p w14:paraId="71BF78D1">
            <w:pPr>
              <w:widowControl w:val="0"/>
              <w:rPr>
                <w:rFonts w:hint="eastAsia" w:ascii="宋体" w:hAnsi="宋体" w:eastAsia="宋体" w:cs="宋体"/>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rFonts w:hint="eastAsia" w:ascii="宋体" w:hAnsi="宋体" w:eastAsia="宋体" w:cs="宋体"/>
                <w:color w:val="auto"/>
                <w:highlight w:val="none"/>
                <w:vertAlign w:val="baseline"/>
              </w:rPr>
            </w:pPr>
          </w:p>
        </w:tc>
        <w:tc>
          <w:tcPr>
            <w:tcW w:w="1181" w:type="dxa"/>
            <w:vMerge w:val="continue"/>
          </w:tcPr>
          <w:p w14:paraId="321CC1BD">
            <w:pPr>
              <w:widowControl w:val="0"/>
              <w:rPr>
                <w:rFonts w:hint="eastAsia" w:ascii="宋体" w:hAnsi="宋体" w:eastAsia="宋体" w:cs="宋体"/>
                <w:color w:val="auto"/>
                <w:highlight w:val="none"/>
                <w:vertAlign w:val="baseline"/>
              </w:rPr>
            </w:pPr>
          </w:p>
        </w:tc>
        <w:tc>
          <w:tcPr>
            <w:tcW w:w="1341" w:type="dxa"/>
          </w:tcPr>
          <w:p w14:paraId="177DB5E9">
            <w:pPr>
              <w:widowControl w:val="0"/>
              <w:rPr>
                <w:rFonts w:hint="eastAsia" w:ascii="宋体" w:hAnsi="宋体" w:eastAsia="宋体" w:cs="宋体"/>
                <w:color w:val="auto"/>
                <w:highlight w:val="none"/>
                <w:vertAlign w:val="baseline"/>
              </w:rPr>
            </w:pPr>
          </w:p>
        </w:tc>
        <w:tc>
          <w:tcPr>
            <w:tcW w:w="1225" w:type="dxa"/>
          </w:tcPr>
          <w:p w14:paraId="74208401">
            <w:pPr>
              <w:widowControl w:val="0"/>
              <w:rPr>
                <w:rFonts w:hint="eastAsia" w:ascii="宋体" w:hAnsi="宋体" w:eastAsia="宋体" w:cs="宋体"/>
                <w:color w:val="auto"/>
                <w:highlight w:val="none"/>
                <w:vertAlign w:val="baseline"/>
              </w:rPr>
            </w:pPr>
          </w:p>
        </w:tc>
        <w:tc>
          <w:tcPr>
            <w:tcW w:w="995" w:type="dxa"/>
          </w:tcPr>
          <w:p w14:paraId="1C3E1A61">
            <w:pPr>
              <w:widowControl w:val="0"/>
              <w:rPr>
                <w:rFonts w:hint="eastAsia" w:ascii="宋体" w:hAnsi="宋体" w:eastAsia="宋体" w:cs="宋体"/>
                <w:color w:val="auto"/>
                <w:highlight w:val="none"/>
                <w:vertAlign w:val="baseline"/>
              </w:rPr>
            </w:pPr>
          </w:p>
        </w:tc>
        <w:tc>
          <w:tcPr>
            <w:tcW w:w="995" w:type="dxa"/>
          </w:tcPr>
          <w:p w14:paraId="045B7522">
            <w:pPr>
              <w:widowControl w:val="0"/>
              <w:rPr>
                <w:rFonts w:hint="eastAsia" w:ascii="宋体" w:hAnsi="宋体" w:eastAsia="宋体" w:cs="宋体"/>
                <w:color w:val="auto"/>
                <w:highlight w:val="none"/>
                <w:vertAlign w:val="baseline"/>
              </w:rPr>
            </w:pPr>
          </w:p>
        </w:tc>
        <w:tc>
          <w:tcPr>
            <w:tcW w:w="1107" w:type="dxa"/>
          </w:tcPr>
          <w:p w14:paraId="495D32C7">
            <w:pPr>
              <w:widowControl w:val="0"/>
              <w:rPr>
                <w:rFonts w:hint="eastAsia" w:ascii="宋体" w:hAnsi="宋体" w:eastAsia="宋体" w:cs="宋体"/>
                <w:color w:val="auto"/>
                <w:highlight w:val="none"/>
                <w:vertAlign w:val="baseline"/>
              </w:rPr>
            </w:pPr>
          </w:p>
        </w:tc>
        <w:tc>
          <w:tcPr>
            <w:tcW w:w="883" w:type="dxa"/>
          </w:tcPr>
          <w:p w14:paraId="6707E9BC">
            <w:pPr>
              <w:widowControl w:val="0"/>
              <w:rPr>
                <w:rFonts w:hint="eastAsia" w:ascii="宋体" w:hAnsi="宋体" w:eastAsia="宋体" w:cs="宋体"/>
                <w:color w:val="auto"/>
                <w:highlight w:val="none"/>
                <w:vertAlign w:val="baseline"/>
              </w:rPr>
            </w:pPr>
          </w:p>
        </w:tc>
        <w:tc>
          <w:tcPr>
            <w:tcW w:w="995" w:type="dxa"/>
          </w:tcPr>
          <w:p w14:paraId="3D0459B3">
            <w:pPr>
              <w:widowControl w:val="0"/>
              <w:rPr>
                <w:rFonts w:hint="eastAsia" w:ascii="宋体" w:hAnsi="宋体" w:eastAsia="宋体" w:cs="宋体"/>
                <w:color w:val="auto"/>
                <w:highlight w:val="none"/>
                <w:vertAlign w:val="baseline"/>
              </w:rPr>
            </w:pPr>
          </w:p>
        </w:tc>
        <w:tc>
          <w:tcPr>
            <w:tcW w:w="1061" w:type="dxa"/>
          </w:tcPr>
          <w:p w14:paraId="079689F5">
            <w:pPr>
              <w:widowControl w:val="0"/>
              <w:rPr>
                <w:rFonts w:hint="eastAsia" w:ascii="宋体" w:hAnsi="宋体" w:eastAsia="宋体" w:cs="宋体"/>
                <w:color w:val="auto"/>
                <w:highlight w:val="none"/>
                <w:vertAlign w:val="baseline"/>
              </w:rPr>
            </w:pPr>
          </w:p>
        </w:tc>
        <w:tc>
          <w:tcPr>
            <w:tcW w:w="1061" w:type="dxa"/>
          </w:tcPr>
          <w:p w14:paraId="0417379A">
            <w:pPr>
              <w:widowControl w:val="0"/>
              <w:rPr>
                <w:rFonts w:hint="eastAsia" w:ascii="宋体" w:hAnsi="宋体" w:eastAsia="宋体" w:cs="宋体"/>
                <w:color w:val="auto"/>
                <w:highlight w:val="none"/>
                <w:vertAlign w:val="baseline"/>
              </w:rPr>
            </w:pPr>
          </w:p>
        </w:tc>
        <w:tc>
          <w:tcPr>
            <w:tcW w:w="1213" w:type="dxa"/>
          </w:tcPr>
          <w:p w14:paraId="60DE824B">
            <w:pPr>
              <w:widowControl w:val="0"/>
              <w:rPr>
                <w:rFonts w:hint="eastAsia" w:ascii="宋体" w:hAnsi="宋体" w:eastAsia="宋体" w:cs="宋体"/>
                <w:color w:val="auto"/>
                <w:highlight w:val="none"/>
                <w:vertAlign w:val="baseline"/>
              </w:rPr>
            </w:pPr>
          </w:p>
        </w:tc>
        <w:tc>
          <w:tcPr>
            <w:tcW w:w="1584" w:type="dxa"/>
          </w:tcPr>
          <w:p w14:paraId="544ED074">
            <w:pPr>
              <w:widowControl w:val="0"/>
              <w:rPr>
                <w:rFonts w:hint="eastAsia" w:ascii="宋体" w:hAnsi="宋体" w:eastAsia="宋体" w:cs="宋体"/>
                <w:color w:val="auto"/>
                <w:highlight w:val="none"/>
                <w:vertAlign w:val="baseline"/>
              </w:rPr>
            </w:pPr>
          </w:p>
        </w:tc>
      </w:tr>
    </w:tbl>
    <w:p w14:paraId="5C36BDA2">
      <w:pPr>
        <w:rPr>
          <w:rFonts w:hint="eastAsia" w:ascii="宋体" w:hAnsi="宋体" w:eastAsia="宋体" w:cs="宋体"/>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此表为产品配套试剂报价表，如没有，无需制作，可自行删除。</w:t>
      </w:r>
    </w:p>
    <w:p w14:paraId="3C312762">
      <w:pPr>
        <w:pStyle w:val="24"/>
        <w:rPr>
          <w:rFonts w:hint="eastAsia" w:ascii="宋体" w:hAnsi="宋体" w:eastAsia="宋体" w:cs="宋体"/>
          <w:color w:val="auto"/>
          <w:kern w:val="0"/>
          <w:sz w:val="24"/>
          <w:highlight w:val="none"/>
        </w:rPr>
      </w:pPr>
    </w:p>
    <w:p w14:paraId="5E4799AD">
      <w:pPr>
        <w:pStyle w:val="24"/>
        <w:rPr>
          <w:rFonts w:hint="eastAsia" w:ascii="宋体" w:hAnsi="宋体" w:eastAsia="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134" w:type="dxa"/>
            <w:vAlign w:val="center"/>
          </w:tcPr>
          <w:p w14:paraId="3EA06616">
            <w:pPr>
              <w:keepNext w:val="0"/>
              <w:keepLines w:val="0"/>
              <w:widowControl/>
              <w:suppressLineNumbers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按注册证规格型号填写</w:t>
            </w:r>
            <w:r>
              <w:rPr>
                <w:rFonts w:hint="eastAsia" w:ascii="宋体" w:hAnsi="宋体" w:eastAsia="宋体" w:cs="宋体"/>
                <w:b/>
                <w:bCs/>
                <w:szCs w:val="21"/>
                <w:highlight w:val="none"/>
                <w:lang w:eastAsia="zh-CN"/>
              </w:rPr>
              <w:t>）</w:t>
            </w:r>
          </w:p>
        </w:tc>
        <w:tc>
          <w:tcPr>
            <w:tcW w:w="986" w:type="dxa"/>
            <w:vAlign w:val="center"/>
          </w:tcPr>
          <w:p w14:paraId="6334D0FF">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rFonts w:hint="eastAsia" w:ascii="宋体" w:hAnsi="宋体" w:eastAsia="宋体" w:cs="宋体"/>
                <w:color w:val="auto"/>
                <w:highlight w:val="none"/>
                <w:vertAlign w:val="baseline"/>
              </w:rPr>
            </w:pPr>
          </w:p>
        </w:tc>
        <w:tc>
          <w:tcPr>
            <w:tcW w:w="1185" w:type="dxa"/>
          </w:tcPr>
          <w:p w14:paraId="0F341263">
            <w:pPr>
              <w:widowControl w:val="0"/>
              <w:rPr>
                <w:rFonts w:hint="eastAsia" w:ascii="宋体" w:hAnsi="宋体" w:eastAsia="宋体" w:cs="宋体"/>
                <w:color w:val="auto"/>
                <w:highlight w:val="none"/>
                <w:vertAlign w:val="baseline"/>
              </w:rPr>
            </w:pPr>
          </w:p>
        </w:tc>
        <w:tc>
          <w:tcPr>
            <w:tcW w:w="1200" w:type="dxa"/>
          </w:tcPr>
          <w:p w14:paraId="5E2811FC">
            <w:pPr>
              <w:widowControl w:val="0"/>
              <w:rPr>
                <w:rFonts w:hint="eastAsia" w:ascii="宋体" w:hAnsi="宋体" w:eastAsia="宋体" w:cs="宋体"/>
                <w:color w:val="auto"/>
                <w:highlight w:val="none"/>
                <w:vertAlign w:val="baseline"/>
              </w:rPr>
            </w:pPr>
          </w:p>
        </w:tc>
        <w:tc>
          <w:tcPr>
            <w:tcW w:w="1134" w:type="dxa"/>
          </w:tcPr>
          <w:p w14:paraId="4138DDFD">
            <w:pPr>
              <w:widowControl w:val="0"/>
              <w:rPr>
                <w:rFonts w:hint="eastAsia" w:ascii="宋体" w:hAnsi="宋体" w:eastAsia="宋体" w:cs="宋体"/>
                <w:color w:val="auto"/>
                <w:highlight w:val="none"/>
                <w:vertAlign w:val="baseline"/>
              </w:rPr>
            </w:pPr>
          </w:p>
        </w:tc>
        <w:tc>
          <w:tcPr>
            <w:tcW w:w="986" w:type="dxa"/>
          </w:tcPr>
          <w:p w14:paraId="6406ADBC">
            <w:pPr>
              <w:widowControl w:val="0"/>
              <w:rPr>
                <w:rFonts w:hint="eastAsia" w:ascii="宋体" w:hAnsi="宋体" w:eastAsia="宋体" w:cs="宋体"/>
                <w:color w:val="auto"/>
                <w:highlight w:val="none"/>
                <w:vertAlign w:val="baseline"/>
              </w:rPr>
            </w:pPr>
          </w:p>
        </w:tc>
        <w:tc>
          <w:tcPr>
            <w:tcW w:w="986" w:type="dxa"/>
          </w:tcPr>
          <w:p w14:paraId="23110391">
            <w:pPr>
              <w:widowControl w:val="0"/>
              <w:rPr>
                <w:rFonts w:hint="eastAsia" w:ascii="宋体" w:hAnsi="宋体" w:eastAsia="宋体" w:cs="宋体"/>
                <w:color w:val="auto"/>
                <w:highlight w:val="none"/>
                <w:vertAlign w:val="baseline"/>
              </w:rPr>
            </w:pPr>
          </w:p>
        </w:tc>
        <w:tc>
          <w:tcPr>
            <w:tcW w:w="986" w:type="dxa"/>
          </w:tcPr>
          <w:p w14:paraId="403934A1">
            <w:pPr>
              <w:widowControl w:val="0"/>
              <w:rPr>
                <w:rFonts w:hint="eastAsia" w:ascii="宋体" w:hAnsi="宋体" w:eastAsia="宋体" w:cs="宋体"/>
                <w:color w:val="auto"/>
                <w:highlight w:val="none"/>
                <w:vertAlign w:val="baseline"/>
              </w:rPr>
            </w:pPr>
          </w:p>
        </w:tc>
        <w:tc>
          <w:tcPr>
            <w:tcW w:w="708" w:type="dxa"/>
          </w:tcPr>
          <w:p w14:paraId="542CE9FA">
            <w:pPr>
              <w:widowControl w:val="0"/>
              <w:rPr>
                <w:rFonts w:hint="eastAsia" w:ascii="宋体" w:hAnsi="宋体" w:eastAsia="宋体" w:cs="宋体"/>
                <w:color w:val="auto"/>
                <w:highlight w:val="none"/>
                <w:vertAlign w:val="baseline"/>
              </w:rPr>
            </w:pPr>
          </w:p>
        </w:tc>
        <w:tc>
          <w:tcPr>
            <w:tcW w:w="1125" w:type="dxa"/>
          </w:tcPr>
          <w:p w14:paraId="1C229079">
            <w:pPr>
              <w:widowControl w:val="0"/>
              <w:rPr>
                <w:rFonts w:hint="eastAsia" w:ascii="宋体" w:hAnsi="宋体" w:eastAsia="宋体" w:cs="宋体"/>
                <w:color w:val="auto"/>
                <w:highlight w:val="none"/>
                <w:vertAlign w:val="baseline"/>
              </w:rPr>
            </w:pPr>
          </w:p>
        </w:tc>
        <w:tc>
          <w:tcPr>
            <w:tcW w:w="1275" w:type="dxa"/>
          </w:tcPr>
          <w:p w14:paraId="0535F847">
            <w:pPr>
              <w:widowControl w:val="0"/>
              <w:rPr>
                <w:rFonts w:hint="eastAsia" w:ascii="宋体" w:hAnsi="宋体" w:eastAsia="宋体" w:cs="宋体"/>
                <w:color w:val="auto"/>
                <w:highlight w:val="none"/>
                <w:vertAlign w:val="baseline"/>
              </w:rPr>
            </w:pPr>
          </w:p>
        </w:tc>
        <w:tc>
          <w:tcPr>
            <w:tcW w:w="1500" w:type="dxa"/>
          </w:tcPr>
          <w:p w14:paraId="2034F975">
            <w:pPr>
              <w:widowControl w:val="0"/>
              <w:rPr>
                <w:rFonts w:hint="eastAsia" w:ascii="宋体" w:hAnsi="宋体" w:eastAsia="宋体" w:cs="宋体"/>
                <w:color w:val="auto"/>
                <w:highlight w:val="none"/>
                <w:vertAlign w:val="baseline"/>
              </w:rPr>
            </w:pPr>
          </w:p>
        </w:tc>
        <w:tc>
          <w:tcPr>
            <w:tcW w:w="1405" w:type="dxa"/>
          </w:tcPr>
          <w:p w14:paraId="04DE4CC0">
            <w:pPr>
              <w:widowControl w:val="0"/>
              <w:rPr>
                <w:rFonts w:hint="eastAsia" w:ascii="宋体" w:hAnsi="宋体" w:eastAsia="宋体" w:cs="宋体"/>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rFonts w:hint="eastAsia" w:ascii="宋体" w:hAnsi="宋体" w:eastAsia="宋体" w:cs="宋体"/>
                <w:color w:val="auto"/>
                <w:highlight w:val="none"/>
                <w:vertAlign w:val="baseline"/>
              </w:rPr>
            </w:pPr>
          </w:p>
        </w:tc>
        <w:tc>
          <w:tcPr>
            <w:tcW w:w="1185" w:type="dxa"/>
          </w:tcPr>
          <w:p w14:paraId="6F728AC8">
            <w:pPr>
              <w:widowControl w:val="0"/>
              <w:rPr>
                <w:rFonts w:hint="eastAsia" w:ascii="宋体" w:hAnsi="宋体" w:eastAsia="宋体" w:cs="宋体"/>
                <w:color w:val="auto"/>
                <w:highlight w:val="none"/>
                <w:vertAlign w:val="baseline"/>
              </w:rPr>
            </w:pPr>
          </w:p>
        </w:tc>
        <w:tc>
          <w:tcPr>
            <w:tcW w:w="1200" w:type="dxa"/>
          </w:tcPr>
          <w:p w14:paraId="5DC1D47F">
            <w:pPr>
              <w:widowControl w:val="0"/>
              <w:rPr>
                <w:rFonts w:hint="eastAsia" w:ascii="宋体" w:hAnsi="宋体" w:eastAsia="宋体" w:cs="宋体"/>
                <w:color w:val="auto"/>
                <w:highlight w:val="none"/>
                <w:vertAlign w:val="baseline"/>
              </w:rPr>
            </w:pPr>
          </w:p>
        </w:tc>
        <w:tc>
          <w:tcPr>
            <w:tcW w:w="1134" w:type="dxa"/>
          </w:tcPr>
          <w:p w14:paraId="0736C76F">
            <w:pPr>
              <w:widowControl w:val="0"/>
              <w:rPr>
                <w:rFonts w:hint="eastAsia" w:ascii="宋体" w:hAnsi="宋体" w:eastAsia="宋体" w:cs="宋体"/>
                <w:color w:val="auto"/>
                <w:highlight w:val="none"/>
                <w:vertAlign w:val="baseline"/>
              </w:rPr>
            </w:pPr>
          </w:p>
        </w:tc>
        <w:tc>
          <w:tcPr>
            <w:tcW w:w="986" w:type="dxa"/>
          </w:tcPr>
          <w:p w14:paraId="4A635A5B">
            <w:pPr>
              <w:widowControl w:val="0"/>
              <w:rPr>
                <w:rFonts w:hint="eastAsia" w:ascii="宋体" w:hAnsi="宋体" w:eastAsia="宋体" w:cs="宋体"/>
                <w:color w:val="auto"/>
                <w:highlight w:val="none"/>
                <w:vertAlign w:val="baseline"/>
              </w:rPr>
            </w:pPr>
          </w:p>
        </w:tc>
        <w:tc>
          <w:tcPr>
            <w:tcW w:w="986" w:type="dxa"/>
          </w:tcPr>
          <w:p w14:paraId="41FF43D8">
            <w:pPr>
              <w:widowControl w:val="0"/>
              <w:rPr>
                <w:rFonts w:hint="eastAsia" w:ascii="宋体" w:hAnsi="宋体" w:eastAsia="宋体" w:cs="宋体"/>
                <w:color w:val="auto"/>
                <w:highlight w:val="none"/>
                <w:vertAlign w:val="baseline"/>
              </w:rPr>
            </w:pPr>
          </w:p>
        </w:tc>
        <w:tc>
          <w:tcPr>
            <w:tcW w:w="986" w:type="dxa"/>
          </w:tcPr>
          <w:p w14:paraId="739BF70B">
            <w:pPr>
              <w:widowControl w:val="0"/>
              <w:rPr>
                <w:rFonts w:hint="eastAsia" w:ascii="宋体" w:hAnsi="宋体" w:eastAsia="宋体" w:cs="宋体"/>
                <w:color w:val="auto"/>
                <w:highlight w:val="none"/>
                <w:vertAlign w:val="baseline"/>
              </w:rPr>
            </w:pPr>
          </w:p>
        </w:tc>
        <w:tc>
          <w:tcPr>
            <w:tcW w:w="708" w:type="dxa"/>
          </w:tcPr>
          <w:p w14:paraId="21217D12">
            <w:pPr>
              <w:widowControl w:val="0"/>
              <w:rPr>
                <w:rFonts w:hint="eastAsia" w:ascii="宋体" w:hAnsi="宋体" w:eastAsia="宋体" w:cs="宋体"/>
                <w:color w:val="auto"/>
                <w:highlight w:val="none"/>
                <w:vertAlign w:val="baseline"/>
              </w:rPr>
            </w:pPr>
          </w:p>
        </w:tc>
        <w:tc>
          <w:tcPr>
            <w:tcW w:w="1125" w:type="dxa"/>
          </w:tcPr>
          <w:p w14:paraId="2D25857A">
            <w:pPr>
              <w:widowControl w:val="0"/>
              <w:rPr>
                <w:rFonts w:hint="eastAsia" w:ascii="宋体" w:hAnsi="宋体" w:eastAsia="宋体" w:cs="宋体"/>
                <w:color w:val="auto"/>
                <w:highlight w:val="none"/>
                <w:vertAlign w:val="baseline"/>
              </w:rPr>
            </w:pPr>
          </w:p>
        </w:tc>
        <w:tc>
          <w:tcPr>
            <w:tcW w:w="1275" w:type="dxa"/>
          </w:tcPr>
          <w:p w14:paraId="4976030C">
            <w:pPr>
              <w:widowControl w:val="0"/>
              <w:rPr>
                <w:rFonts w:hint="eastAsia" w:ascii="宋体" w:hAnsi="宋体" w:eastAsia="宋体" w:cs="宋体"/>
                <w:color w:val="auto"/>
                <w:highlight w:val="none"/>
                <w:vertAlign w:val="baseline"/>
              </w:rPr>
            </w:pPr>
          </w:p>
        </w:tc>
        <w:tc>
          <w:tcPr>
            <w:tcW w:w="1500" w:type="dxa"/>
          </w:tcPr>
          <w:p w14:paraId="5664F5DB">
            <w:pPr>
              <w:widowControl w:val="0"/>
              <w:rPr>
                <w:rFonts w:hint="eastAsia" w:ascii="宋体" w:hAnsi="宋体" w:eastAsia="宋体" w:cs="宋体"/>
                <w:color w:val="auto"/>
                <w:highlight w:val="none"/>
                <w:vertAlign w:val="baseline"/>
              </w:rPr>
            </w:pPr>
          </w:p>
        </w:tc>
        <w:tc>
          <w:tcPr>
            <w:tcW w:w="1405" w:type="dxa"/>
          </w:tcPr>
          <w:p w14:paraId="366DE966">
            <w:pPr>
              <w:widowControl w:val="0"/>
              <w:rPr>
                <w:rFonts w:hint="eastAsia" w:ascii="宋体" w:hAnsi="宋体" w:eastAsia="宋体" w:cs="宋体"/>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rFonts w:hint="eastAsia" w:ascii="宋体" w:hAnsi="宋体" w:eastAsia="宋体" w:cs="宋体"/>
                <w:color w:val="auto"/>
                <w:highlight w:val="none"/>
                <w:vertAlign w:val="baseline"/>
              </w:rPr>
            </w:pPr>
          </w:p>
        </w:tc>
        <w:tc>
          <w:tcPr>
            <w:tcW w:w="1185" w:type="dxa"/>
          </w:tcPr>
          <w:p w14:paraId="0D8A01B7">
            <w:pPr>
              <w:widowControl w:val="0"/>
              <w:rPr>
                <w:rFonts w:hint="eastAsia" w:ascii="宋体" w:hAnsi="宋体" w:eastAsia="宋体" w:cs="宋体"/>
                <w:color w:val="auto"/>
                <w:highlight w:val="none"/>
                <w:vertAlign w:val="baseline"/>
              </w:rPr>
            </w:pPr>
          </w:p>
        </w:tc>
        <w:tc>
          <w:tcPr>
            <w:tcW w:w="1200" w:type="dxa"/>
          </w:tcPr>
          <w:p w14:paraId="5D2869C6">
            <w:pPr>
              <w:widowControl w:val="0"/>
              <w:rPr>
                <w:rFonts w:hint="eastAsia" w:ascii="宋体" w:hAnsi="宋体" w:eastAsia="宋体" w:cs="宋体"/>
                <w:color w:val="auto"/>
                <w:highlight w:val="none"/>
                <w:vertAlign w:val="baseline"/>
              </w:rPr>
            </w:pPr>
          </w:p>
        </w:tc>
        <w:tc>
          <w:tcPr>
            <w:tcW w:w="1134" w:type="dxa"/>
          </w:tcPr>
          <w:p w14:paraId="1AA351AF">
            <w:pPr>
              <w:widowControl w:val="0"/>
              <w:rPr>
                <w:rFonts w:hint="eastAsia" w:ascii="宋体" w:hAnsi="宋体" w:eastAsia="宋体" w:cs="宋体"/>
                <w:color w:val="auto"/>
                <w:highlight w:val="none"/>
                <w:vertAlign w:val="baseline"/>
              </w:rPr>
            </w:pPr>
          </w:p>
        </w:tc>
        <w:tc>
          <w:tcPr>
            <w:tcW w:w="986" w:type="dxa"/>
          </w:tcPr>
          <w:p w14:paraId="709D356D">
            <w:pPr>
              <w:widowControl w:val="0"/>
              <w:rPr>
                <w:rFonts w:hint="eastAsia" w:ascii="宋体" w:hAnsi="宋体" w:eastAsia="宋体" w:cs="宋体"/>
                <w:color w:val="auto"/>
                <w:highlight w:val="none"/>
                <w:vertAlign w:val="baseline"/>
              </w:rPr>
            </w:pPr>
          </w:p>
        </w:tc>
        <w:tc>
          <w:tcPr>
            <w:tcW w:w="986" w:type="dxa"/>
          </w:tcPr>
          <w:p w14:paraId="140B3B78">
            <w:pPr>
              <w:widowControl w:val="0"/>
              <w:rPr>
                <w:rFonts w:hint="eastAsia" w:ascii="宋体" w:hAnsi="宋体" w:eastAsia="宋体" w:cs="宋体"/>
                <w:color w:val="auto"/>
                <w:highlight w:val="none"/>
                <w:vertAlign w:val="baseline"/>
              </w:rPr>
            </w:pPr>
          </w:p>
        </w:tc>
        <w:tc>
          <w:tcPr>
            <w:tcW w:w="986" w:type="dxa"/>
          </w:tcPr>
          <w:p w14:paraId="7187B6F3">
            <w:pPr>
              <w:widowControl w:val="0"/>
              <w:rPr>
                <w:rFonts w:hint="eastAsia" w:ascii="宋体" w:hAnsi="宋体" w:eastAsia="宋体" w:cs="宋体"/>
                <w:color w:val="auto"/>
                <w:highlight w:val="none"/>
                <w:vertAlign w:val="baseline"/>
              </w:rPr>
            </w:pPr>
          </w:p>
        </w:tc>
        <w:tc>
          <w:tcPr>
            <w:tcW w:w="708" w:type="dxa"/>
          </w:tcPr>
          <w:p w14:paraId="782C0C79">
            <w:pPr>
              <w:widowControl w:val="0"/>
              <w:rPr>
                <w:rFonts w:hint="eastAsia" w:ascii="宋体" w:hAnsi="宋体" w:eastAsia="宋体" w:cs="宋体"/>
                <w:color w:val="auto"/>
                <w:highlight w:val="none"/>
                <w:vertAlign w:val="baseline"/>
              </w:rPr>
            </w:pPr>
          </w:p>
        </w:tc>
        <w:tc>
          <w:tcPr>
            <w:tcW w:w="1125" w:type="dxa"/>
          </w:tcPr>
          <w:p w14:paraId="3BA3AD13">
            <w:pPr>
              <w:widowControl w:val="0"/>
              <w:rPr>
                <w:rFonts w:hint="eastAsia" w:ascii="宋体" w:hAnsi="宋体" w:eastAsia="宋体" w:cs="宋体"/>
                <w:color w:val="auto"/>
                <w:highlight w:val="none"/>
                <w:vertAlign w:val="baseline"/>
              </w:rPr>
            </w:pPr>
          </w:p>
        </w:tc>
        <w:tc>
          <w:tcPr>
            <w:tcW w:w="1275" w:type="dxa"/>
          </w:tcPr>
          <w:p w14:paraId="3F864AE3">
            <w:pPr>
              <w:widowControl w:val="0"/>
              <w:rPr>
                <w:rFonts w:hint="eastAsia" w:ascii="宋体" w:hAnsi="宋体" w:eastAsia="宋体" w:cs="宋体"/>
                <w:color w:val="auto"/>
                <w:highlight w:val="none"/>
                <w:vertAlign w:val="baseline"/>
              </w:rPr>
            </w:pPr>
          </w:p>
        </w:tc>
        <w:tc>
          <w:tcPr>
            <w:tcW w:w="1500" w:type="dxa"/>
          </w:tcPr>
          <w:p w14:paraId="6D48088E">
            <w:pPr>
              <w:widowControl w:val="0"/>
              <w:rPr>
                <w:rFonts w:hint="eastAsia" w:ascii="宋体" w:hAnsi="宋体" w:eastAsia="宋体" w:cs="宋体"/>
                <w:color w:val="auto"/>
                <w:highlight w:val="none"/>
                <w:vertAlign w:val="baseline"/>
              </w:rPr>
            </w:pPr>
          </w:p>
        </w:tc>
        <w:tc>
          <w:tcPr>
            <w:tcW w:w="1405" w:type="dxa"/>
          </w:tcPr>
          <w:p w14:paraId="09F3E95E">
            <w:pPr>
              <w:widowControl w:val="0"/>
              <w:rPr>
                <w:rFonts w:hint="eastAsia" w:ascii="宋体" w:hAnsi="宋体" w:eastAsia="宋体" w:cs="宋体"/>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rFonts w:hint="eastAsia" w:ascii="宋体" w:hAnsi="宋体" w:eastAsia="宋体" w:cs="宋体"/>
                <w:color w:val="auto"/>
                <w:highlight w:val="none"/>
                <w:vertAlign w:val="baseline"/>
              </w:rPr>
            </w:pPr>
          </w:p>
        </w:tc>
        <w:tc>
          <w:tcPr>
            <w:tcW w:w="1185" w:type="dxa"/>
            <w:vMerge w:val="continue"/>
          </w:tcPr>
          <w:p w14:paraId="4D0CA1FD">
            <w:pPr>
              <w:widowControl w:val="0"/>
              <w:rPr>
                <w:rFonts w:hint="eastAsia" w:ascii="宋体" w:hAnsi="宋体" w:eastAsia="宋体" w:cs="宋体"/>
                <w:color w:val="auto"/>
                <w:highlight w:val="none"/>
                <w:vertAlign w:val="baseline"/>
              </w:rPr>
            </w:pPr>
          </w:p>
        </w:tc>
        <w:tc>
          <w:tcPr>
            <w:tcW w:w="1185" w:type="dxa"/>
          </w:tcPr>
          <w:p w14:paraId="23AB6B66">
            <w:pPr>
              <w:widowControl w:val="0"/>
              <w:rPr>
                <w:rFonts w:hint="eastAsia" w:ascii="宋体" w:hAnsi="宋体" w:eastAsia="宋体" w:cs="宋体"/>
                <w:color w:val="auto"/>
                <w:highlight w:val="none"/>
                <w:vertAlign w:val="baseline"/>
              </w:rPr>
            </w:pPr>
          </w:p>
        </w:tc>
        <w:tc>
          <w:tcPr>
            <w:tcW w:w="1200" w:type="dxa"/>
          </w:tcPr>
          <w:p w14:paraId="6B29D694">
            <w:pPr>
              <w:widowControl w:val="0"/>
              <w:rPr>
                <w:rFonts w:hint="eastAsia" w:ascii="宋体" w:hAnsi="宋体" w:eastAsia="宋体" w:cs="宋体"/>
                <w:color w:val="auto"/>
                <w:highlight w:val="none"/>
                <w:vertAlign w:val="baseline"/>
              </w:rPr>
            </w:pPr>
          </w:p>
        </w:tc>
        <w:tc>
          <w:tcPr>
            <w:tcW w:w="1134" w:type="dxa"/>
          </w:tcPr>
          <w:p w14:paraId="424656BF">
            <w:pPr>
              <w:widowControl w:val="0"/>
              <w:rPr>
                <w:rFonts w:hint="eastAsia" w:ascii="宋体" w:hAnsi="宋体" w:eastAsia="宋体" w:cs="宋体"/>
                <w:color w:val="auto"/>
                <w:highlight w:val="none"/>
                <w:vertAlign w:val="baseline"/>
              </w:rPr>
            </w:pPr>
          </w:p>
        </w:tc>
        <w:tc>
          <w:tcPr>
            <w:tcW w:w="986" w:type="dxa"/>
          </w:tcPr>
          <w:p w14:paraId="7D39357A">
            <w:pPr>
              <w:widowControl w:val="0"/>
              <w:rPr>
                <w:rFonts w:hint="eastAsia" w:ascii="宋体" w:hAnsi="宋体" w:eastAsia="宋体" w:cs="宋体"/>
                <w:color w:val="auto"/>
                <w:highlight w:val="none"/>
                <w:vertAlign w:val="baseline"/>
              </w:rPr>
            </w:pPr>
          </w:p>
        </w:tc>
        <w:tc>
          <w:tcPr>
            <w:tcW w:w="986" w:type="dxa"/>
          </w:tcPr>
          <w:p w14:paraId="747DFEFE">
            <w:pPr>
              <w:widowControl w:val="0"/>
              <w:rPr>
                <w:rFonts w:hint="eastAsia" w:ascii="宋体" w:hAnsi="宋体" w:eastAsia="宋体" w:cs="宋体"/>
                <w:color w:val="auto"/>
                <w:highlight w:val="none"/>
                <w:vertAlign w:val="baseline"/>
              </w:rPr>
            </w:pPr>
          </w:p>
        </w:tc>
        <w:tc>
          <w:tcPr>
            <w:tcW w:w="986" w:type="dxa"/>
          </w:tcPr>
          <w:p w14:paraId="3CDE67A2">
            <w:pPr>
              <w:widowControl w:val="0"/>
              <w:rPr>
                <w:rFonts w:hint="eastAsia" w:ascii="宋体" w:hAnsi="宋体" w:eastAsia="宋体" w:cs="宋体"/>
                <w:color w:val="auto"/>
                <w:highlight w:val="none"/>
                <w:vertAlign w:val="baseline"/>
              </w:rPr>
            </w:pPr>
          </w:p>
        </w:tc>
        <w:tc>
          <w:tcPr>
            <w:tcW w:w="708" w:type="dxa"/>
          </w:tcPr>
          <w:p w14:paraId="5D8AC925">
            <w:pPr>
              <w:widowControl w:val="0"/>
              <w:rPr>
                <w:rFonts w:hint="eastAsia" w:ascii="宋体" w:hAnsi="宋体" w:eastAsia="宋体" w:cs="宋体"/>
                <w:color w:val="auto"/>
                <w:highlight w:val="none"/>
                <w:vertAlign w:val="baseline"/>
              </w:rPr>
            </w:pPr>
          </w:p>
        </w:tc>
        <w:tc>
          <w:tcPr>
            <w:tcW w:w="1125" w:type="dxa"/>
          </w:tcPr>
          <w:p w14:paraId="3D2C7340">
            <w:pPr>
              <w:widowControl w:val="0"/>
              <w:rPr>
                <w:rFonts w:hint="eastAsia" w:ascii="宋体" w:hAnsi="宋体" w:eastAsia="宋体" w:cs="宋体"/>
                <w:color w:val="auto"/>
                <w:highlight w:val="none"/>
                <w:vertAlign w:val="baseline"/>
              </w:rPr>
            </w:pPr>
          </w:p>
        </w:tc>
        <w:tc>
          <w:tcPr>
            <w:tcW w:w="1275" w:type="dxa"/>
          </w:tcPr>
          <w:p w14:paraId="4A016A1F">
            <w:pPr>
              <w:widowControl w:val="0"/>
              <w:rPr>
                <w:rFonts w:hint="eastAsia" w:ascii="宋体" w:hAnsi="宋体" w:eastAsia="宋体" w:cs="宋体"/>
                <w:color w:val="auto"/>
                <w:highlight w:val="none"/>
                <w:vertAlign w:val="baseline"/>
              </w:rPr>
            </w:pPr>
          </w:p>
        </w:tc>
        <w:tc>
          <w:tcPr>
            <w:tcW w:w="1500" w:type="dxa"/>
          </w:tcPr>
          <w:p w14:paraId="6AA74C35">
            <w:pPr>
              <w:widowControl w:val="0"/>
              <w:rPr>
                <w:rFonts w:hint="eastAsia" w:ascii="宋体" w:hAnsi="宋体" w:eastAsia="宋体" w:cs="宋体"/>
                <w:color w:val="auto"/>
                <w:highlight w:val="none"/>
                <w:vertAlign w:val="baseline"/>
              </w:rPr>
            </w:pPr>
          </w:p>
        </w:tc>
        <w:tc>
          <w:tcPr>
            <w:tcW w:w="1405" w:type="dxa"/>
          </w:tcPr>
          <w:p w14:paraId="091E8271">
            <w:pPr>
              <w:widowControl w:val="0"/>
              <w:rPr>
                <w:rFonts w:hint="eastAsia" w:ascii="宋体" w:hAnsi="宋体" w:eastAsia="宋体" w:cs="宋体"/>
                <w:color w:val="auto"/>
                <w:highlight w:val="none"/>
                <w:vertAlign w:val="baseline"/>
              </w:rPr>
            </w:pPr>
          </w:p>
        </w:tc>
      </w:tr>
    </w:tbl>
    <w:p w14:paraId="367C1593">
      <w:pPr>
        <w:rPr>
          <w:rFonts w:hint="eastAsia" w:ascii="宋体" w:hAnsi="宋体" w:eastAsia="宋体" w:cs="宋体"/>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此表为产品配套耗材报价表，如没有，无需制作，可自行删除。</w:t>
      </w:r>
    </w:p>
    <w:p w14:paraId="66DBF250">
      <w:pPr>
        <w:pStyle w:val="24"/>
        <w:rPr>
          <w:rFonts w:hint="eastAsia" w:ascii="宋体" w:hAnsi="宋体" w:eastAsia="宋体" w:cs="宋体"/>
          <w:color w:val="auto"/>
          <w:kern w:val="0"/>
          <w:sz w:val="24"/>
          <w:highlight w:val="none"/>
        </w:rPr>
      </w:pPr>
    </w:p>
    <w:p w14:paraId="02699B8D">
      <w:pPr>
        <w:pStyle w:val="24"/>
        <w:rPr>
          <w:rFonts w:hint="eastAsia" w:ascii="宋体" w:hAnsi="宋体" w:eastAsia="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708C5B50">
      <w:pPr>
        <w:bidi w:val="0"/>
        <w:rPr>
          <w:rFonts w:hint="eastAsia" w:ascii="宋体" w:hAnsi="宋体" w:eastAsia="宋体" w:cs="宋体"/>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eastAsia" w:ascii="宋体" w:hAnsi="宋体" w:eastAsia="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2"/>
      <w:bookmarkEnd w:id="63"/>
      <w:r>
        <w:rPr>
          <w:rFonts w:hint="eastAsia" w:ascii="宋体" w:hAnsi="宋体" w:eastAsia="宋体" w:cs="宋体"/>
          <w:color w:val="auto"/>
          <w:sz w:val="28"/>
          <w:szCs w:val="28"/>
          <w:highlight w:val="none"/>
          <w:lang w:val="en-US" w:eastAsia="zh-CN"/>
        </w:rPr>
        <w:t>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证明材料在响应文件的页码</w:t>
            </w:r>
          </w:p>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（每条参数需做标记）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42FF9128">
      <w:pPr>
        <w:widowControl/>
        <w:wordWrap w:val="0"/>
        <w:spacing w:line="460" w:lineRule="exact"/>
        <w:ind w:firstLine="422" w:firstLineChars="200"/>
        <w:jc w:val="lef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32"/>
          <w:highlight w:val="none"/>
          <w14:textFill>
            <w14:solidFill>
              <w14:schemeClr w14:val="tx1"/>
            </w14:solidFill>
          </w14:textFill>
        </w:rPr>
        <w:t>本表中“偏离</w:t>
      </w: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情况</w:t>
      </w:r>
      <w:r>
        <w:rPr>
          <w:rFonts w:hint="eastAsia" w:ascii="宋体" w:hAnsi="宋体" w:eastAsia="宋体" w:cs="宋体"/>
          <w:b w:val="0"/>
          <w:bCs w:val="0"/>
          <w:color w:val="000000" w:themeColor="text1"/>
          <w:sz w:val="24"/>
          <w:szCs w:val="32"/>
          <w:highlight w:val="none"/>
          <w14:textFill>
            <w14:solidFill>
              <w14:schemeClr w14:val="tx1"/>
            </w14:solidFill>
          </w14:textFill>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000000" w:themeColor="text1"/>
          <w:sz w:val="21"/>
          <w:szCs w:val="21"/>
          <w:highlight w:val="none"/>
          <w14:textFill>
            <w14:solidFill>
              <w14:schemeClr w14:val="tx1"/>
            </w14:solidFill>
          </w14:textFill>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A06DC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4F4F1D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1651D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F03137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5.1 </w:t>
      </w:r>
      <w:r>
        <w:rPr>
          <w:rFonts w:hint="eastAsia" w:ascii="宋体" w:hAnsi="宋体" w:eastAsia="宋体" w:cs="宋体"/>
          <w:b/>
          <w:bCs/>
          <w:color w:val="auto"/>
          <w:sz w:val="24"/>
          <w:szCs w:val="24"/>
          <w:highlight w:val="none"/>
          <w:lang w:val="en-US" w:eastAsia="zh-CN"/>
        </w:rPr>
        <w:t>投标产品技术参数证明资料：</w:t>
      </w:r>
    </w:p>
    <w:p w14:paraId="511D22E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（1）所投产品的医疗器械注册证【含附件：产品技术要求（如有）】或医疗器械备案凭证；</w:t>
      </w:r>
    </w:p>
    <w:p w14:paraId="2CD97EA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注：医疗器械注册证【含附件：产品技术要求（如有）】是指医疗器械注册证上附件如写产品技术要求，则需同步提供产品技术要求相关的证明材料。</w:t>
      </w:r>
    </w:p>
    <w:p w14:paraId="2BF3AD3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14:paraId="4A789B6C">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（2）按照采购文件“第二章 采购需求 二、技术要求”及“评分标准”中的要求提供产品技术参数证明文件。</w:t>
      </w:r>
    </w:p>
    <w:p w14:paraId="33C0BA8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0420"/>
      <w:bookmarkStart w:id="65" w:name="_Toc29960"/>
      <w:bookmarkStart w:id="66" w:name="_Toc24168"/>
      <w:r>
        <w:rPr>
          <w:rFonts w:hint="eastAsia" w:ascii="宋体" w:hAnsi="宋体" w:eastAsia="宋体" w:cs="宋体"/>
          <w:color w:val="auto"/>
          <w:sz w:val="28"/>
          <w:szCs w:val="28"/>
          <w:highlight w:val="none"/>
          <w:lang w:val="en-US" w:eastAsia="zh-CN"/>
        </w:rPr>
        <w:t>附件6     商务响应</w:t>
      </w:r>
      <w:bookmarkEnd w:id="64"/>
      <w:bookmarkEnd w:id="65"/>
      <w:bookmarkEnd w:id="6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lang w:val="en-US" w:eastAsia="zh-CN"/>
        </w:rPr>
        <w:t>注：</w:t>
      </w:r>
      <w:r>
        <w:rPr>
          <w:rFonts w:hint="eastAsia" w:ascii="宋体" w:hAnsi="宋体" w:eastAsia="宋体" w:cs="宋体"/>
          <w:b/>
          <w:bCs/>
          <w:sz w:val="24"/>
          <w:szCs w:val="32"/>
          <w:highlight w:val="none"/>
        </w:rPr>
        <w:t>本表中“偏离</w:t>
      </w:r>
      <w:r>
        <w:rPr>
          <w:rFonts w:hint="eastAsia" w:ascii="宋体" w:hAnsi="宋体" w:eastAsia="宋体" w:cs="宋体"/>
          <w:b/>
          <w:bCs/>
          <w:sz w:val="24"/>
          <w:szCs w:val="32"/>
          <w:highlight w:val="none"/>
          <w:lang w:val="en-US" w:eastAsia="zh-CN"/>
        </w:rPr>
        <w:t>情况</w:t>
      </w:r>
      <w:r>
        <w:rPr>
          <w:rFonts w:hint="eastAsia" w:ascii="宋体" w:hAnsi="宋体" w:eastAsia="宋体" w:cs="宋体"/>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7" w:name="_Toc28621"/>
      <w:bookmarkStart w:id="68"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29406"/>
      <w:r>
        <w:rPr>
          <w:rFonts w:hint="eastAsia" w:ascii="宋体" w:hAnsi="宋体" w:eastAsia="宋体" w:cs="宋体"/>
          <w:color w:val="auto"/>
          <w:sz w:val="28"/>
          <w:szCs w:val="28"/>
          <w:highlight w:val="none"/>
          <w:lang w:val="en-US" w:eastAsia="zh-CN"/>
        </w:rPr>
        <w:t>附件7    法定代表人身份证明（格式）</w:t>
      </w:r>
      <w:bookmarkEnd w:id="67"/>
      <w:bookmarkEnd w:id="68"/>
      <w:bookmarkEnd w:id="6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13976"/>
      <w:bookmarkStart w:id="71" w:name="_Toc12939"/>
      <w:bookmarkStart w:id="72" w:name="_Toc30519"/>
      <w:r>
        <w:rPr>
          <w:rFonts w:hint="eastAsia" w:ascii="宋体" w:hAnsi="宋体" w:eastAsia="宋体" w:cs="宋体"/>
          <w:color w:val="auto"/>
          <w:sz w:val="28"/>
          <w:szCs w:val="28"/>
          <w:highlight w:val="none"/>
          <w:lang w:val="en-US" w:eastAsia="zh-CN"/>
        </w:rPr>
        <w:t>附件8    法定代表人授权书（格式）</w:t>
      </w:r>
      <w:bookmarkEnd w:id="70"/>
      <w:bookmarkEnd w:id="71"/>
      <w:bookmarkEnd w:id="7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驻马店市中心医院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3" w:name="_Toc18105"/>
      <w:bookmarkStart w:id="74" w:name="_Toc3342"/>
      <w:bookmarkStart w:id="75" w:name="_Toc24693"/>
      <w:r>
        <w:rPr>
          <w:rFonts w:hint="eastAsia" w:ascii="宋体" w:hAnsi="宋体" w:eastAsia="宋体" w:cs="宋体"/>
          <w:color w:val="auto"/>
          <w:sz w:val="28"/>
          <w:szCs w:val="28"/>
          <w:highlight w:val="none"/>
          <w:lang w:val="en-US" w:eastAsia="zh-CN"/>
        </w:rPr>
        <w:t>附件9    证明文件</w:t>
      </w:r>
      <w:bookmarkEnd w:id="73"/>
      <w:bookmarkEnd w:id="74"/>
      <w:bookmarkEnd w:id="75"/>
    </w:p>
    <w:p w14:paraId="61593FAD">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供应商资格审查证明材料</w:t>
      </w:r>
    </w:p>
    <w:p w14:paraId="3BF5E483">
      <w:pPr>
        <w:pStyle w:val="13"/>
        <w:spacing w:beforeAutospacing="0" w:afterAutospacing="0" w:line="480" w:lineRule="auto"/>
        <w:jc w:val="both"/>
        <w:rPr>
          <w:rFonts w:hint="eastAsia" w:ascii="宋体" w:hAnsi="宋体" w:eastAsia="宋体" w:cs="宋体"/>
          <w:b/>
          <w:bCs w:val="0"/>
          <w:color w:val="auto"/>
          <w:sz w:val="24"/>
          <w:szCs w:val="24"/>
          <w:highlight w:val="none"/>
          <w:lang w:val="en-US" w:eastAsia="zh-CN"/>
        </w:rPr>
      </w:pPr>
    </w:p>
    <w:p w14:paraId="608EB127">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14:paraId="52799A6F">
      <w:pPr>
        <w:pStyle w:val="13"/>
        <w:spacing w:beforeAutospacing="0" w:afterAutospacing="0" w:line="480" w:lineRule="auto"/>
        <w:ind w:firstLine="540" w:firstLineChars="224"/>
        <w:jc w:val="both"/>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9.</w:t>
      </w:r>
      <w:r>
        <w:rPr>
          <w:rFonts w:hint="eastAsia" w:cs="宋体"/>
          <w:b/>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评分标准中需提供的证明材料（除技术参数要求外）</w:t>
      </w:r>
    </w:p>
    <w:p w14:paraId="2F51F77D">
      <w:pPr>
        <w:pStyle w:val="13"/>
        <w:spacing w:beforeAutospacing="0" w:afterAutospacing="0" w:line="480" w:lineRule="auto"/>
        <w:jc w:val="both"/>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14:paraId="44D2F11A">
      <w:pPr>
        <w:pStyle w:val="13"/>
        <w:spacing w:beforeAutospacing="0" w:afterAutospacing="0" w:line="480" w:lineRule="auto"/>
        <w:ind w:firstLine="540" w:firstLineChars="224"/>
        <w:jc w:val="both"/>
        <w:rPr>
          <w:rFonts w:hint="eastAsia" w:ascii="宋体" w:hAnsi="宋体" w:eastAsia="宋体" w:cs="宋体"/>
          <w:color w:val="000000" w:themeColor="text1"/>
          <w:sz w:val="24"/>
          <w:szCs w:val="24"/>
          <w:highlight w:val="none"/>
          <w14:textFill>
            <w14:solidFill>
              <w14:schemeClr w14:val="tx1"/>
            </w14:solidFill>
          </w14:textFill>
        </w:rPr>
      </w:pPr>
      <w:bookmarkStart w:id="76" w:name="_Toc17966"/>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9.</w:t>
      </w:r>
      <w:r>
        <w:rPr>
          <w:rFonts w:hint="eastAsia" w:cs="宋体"/>
          <w:b/>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序号</w:t>
            </w:r>
          </w:p>
        </w:tc>
        <w:tc>
          <w:tcPr>
            <w:tcW w:w="1392" w:type="dxa"/>
            <w:vAlign w:val="center"/>
          </w:tcPr>
          <w:p w14:paraId="5D77AEB6">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销售用户</w:t>
            </w:r>
          </w:p>
        </w:tc>
        <w:tc>
          <w:tcPr>
            <w:tcW w:w="1485" w:type="dxa"/>
            <w:vAlign w:val="center"/>
          </w:tcPr>
          <w:p w14:paraId="4E9B63B6">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产品名称</w:t>
            </w:r>
          </w:p>
        </w:tc>
        <w:tc>
          <w:tcPr>
            <w:tcW w:w="1470" w:type="dxa"/>
            <w:vAlign w:val="center"/>
          </w:tcPr>
          <w:p w14:paraId="38187210">
            <w:pPr>
              <w:spacing w:before="12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品牌</w:t>
            </w:r>
          </w:p>
        </w:tc>
        <w:tc>
          <w:tcPr>
            <w:tcW w:w="1365" w:type="dxa"/>
            <w:vAlign w:val="center"/>
          </w:tcPr>
          <w:p w14:paraId="02D23B7A">
            <w:pPr>
              <w:spacing w:before="12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型号</w:t>
            </w:r>
          </w:p>
        </w:tc>
        <w:tc>
          <w:tcPr>
            <w:tcW w:w="1365" w:type="dxa"/>
            <w:vAlign w:val="center"/>
          </w:tcPr>
          <w:p w14:paraId="788302A4">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联系人及</w:t>
            </w:r>
            <w:r>
              <w:rPr>
                <w:rFonts w:hint="eastAsia" w:ascii="宋体" w:hAnsi="宋体" w:eastAsia="宋体" w:cs="宋体"/>
                <w:color w:val="000000" w:themeColor="text1"/>
                <w:sz w:val="24"/>
                <w:highlight w:val="none"/>
                <w14:textFill>
                  <w14:solidFill>
                    <w14:schemeClr w14:val="tx1"/>
                  </w14:solidFill>
                </w14:textFill>
              </w:rPr>
              <w:t>联系电话</w:t>
            </w:r>
          </w:p>
        </w:tc>
        <w:tc>
          <w:tcPr>
            <w:tcW w:w="1395" w:type="dxa"/>
            <w:vAlign w:val="center"/>
          </w:tcPr>
          <w:p w14:paraId="0CD37DB9">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0B354FD7">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37AC1C1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281E28E4">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771BD6A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61E60AD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04447730">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2DA219B5">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60964CD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61B640D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536881B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2C3F9359">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104FB69F">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0EC68B0F">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6264E41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07450E34">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4C553C6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1A92A84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4ED4F07A">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1B2F6ED2">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2D2D2FEC">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190C8459">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5C1E72EF">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5A6E5E8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2D89B567">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6EC5F5F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1226E7A2">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4369E923">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06A63D0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2EE9EAD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2827C9D7">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3904317C">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2B41D14C">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45CFC41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32CFA217">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3797DB3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54B94AE8">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1313E78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1B7314D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3DF6CFC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755F2A9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2E509206">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79E06EF4">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561AB2CF">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4DC497D5">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6F07EB69">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67F571B3">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0E56BEC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4147F08F">
            <w:pPr>
              <w:spacing w:before="120"/>
              <w:jc w:val="center"/>
              <w:rPr>
                <w:rFonts w:hint="eastAsia" w:ascii="宋体" w:hAnsi="宋体" w:eastAsia="宋体" w:cs="宋体"/>
                <w:color w:val="000000" w:themeColor="text1"/>
                <w:highlight w:val="none"/>
                <w14:textFill>
                  <w14:solidFill>
                    <w14:schemeClr w14:val="tx1"/>
                  </w14:solidFill>
                </w14:textFill>
              </w:rPr>
            </w:pPr>
          </w:p>
        </w:tc>
      </w:tr>
    </w:tbl>
    <w:p w14:paraId="5016CED6">
      <w:pPr>
        <w:spacing w:line="380" w:lineRule="exac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注：供应商需在本表后附</w:t>
      </w:r>
      <w:r>
        <w:rPr>
          <w:rFonts w:hint="eastAsia" w:ascii="宋体" w:hAnsi="宋体" w:eastAsia="宋体" w:cs="宋体"/>
          <w:b/>
          <w:color w:val="000000" w:themeColor="text1"/>
          <w:szCs w:val="21"/>
          <w:highlight w:val="none"/>
          <w:lang w:val="en-US" w:eastAsia="zh-CN"/>
          <w14:textFill>
            <w14:solidFill>
              <w14:schemeClr w14:val="tx1"/>
            </w14:solidFill>
          </w14:textFill>
        </w:rPr>
        <w:t>销售业绩</w:t>
      </w:r>
      <w:r>
        <w:rPr>
          <w:rFonts w:hint="eastAsia" w:ascii="宋体" w:hAnsi="宋体" w:eastAsia="宋体" w:cs="宋体"/>
          <w:b/>
          <w:color w:val="000000" w:themeColor="text1"/>
          <w:szCs w:val="21"/>
          <w:highlight w:val="none"/>
          <w14:textFill>
            <w14:solidFill>
              <w14:schemeClr w14:val="tx1"/>
            </w14:solidFill>
          </w14:textFill>
        </w:rPr>
        <w:t>合同</w:t>
      </w:r>
      <w:r>
        <w:rPr>
          <w:rFonts w:hint="eastAsia" w:ascii="宋体" w:hAnsi="宋体" w:eastAsia="宋体" w:cs="宋体"/>
          <w:b/>
          <w:color w:val="000000" w:themeColor="text1"/>
          <w:szCs w:val="21"/>
          <w:highlight w:val="none"/>
          <w:lang w:val="en-US" w:eastAsia="zh-CN"/>
          <w14:textFill>
            <w14:solidFill>
              <w14:schemeClr w14:val="tx1"/>
            </w14:solidFill>
          </w14:textFill>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000000" w:themeColor="text1"/>
          <w:sz w:val="22"/>
          <w:szCs w:val="22"/>
          <w:highlight w:val="none"/>
          <w14:textFill>
            <w14:solidFill>
              <w14:schemeClr w14:val="tx1"/>
            </w14:solidFill>
          </w14:textFill>
        </w:rPr>
      </w:pPr>
    </w:p>
    <w:p w14:paraId="71475D82">
      <w:pPr>
        <w:pStyle w:val="13"/>
        <w:spacing w:beforeAutospacing="0" w:afterAutospacing="0" w:line="480" w:lineRule="auto"/>
        <w:ind w:firstLine="495" w:firstLineChars="224"/>
        <w:jc w:val="both"/>
        <w:rPr>
          <w:rFonts w:hint="eastAsia" w:ascii="宋体" w:hAnsi="宋体" w:eastAsia="宋体" w:cs="宋体"/>
          <w:b/>
          <w:bCs w:val="0"/>
          <w:color w:val="000000" w:themeColor="text1"/>
          <w:sz w:val="22"/>
          <w:szCs w:val="22"/>
          <w:highlight w:val="none"/>
          <w14:textFill>
            <w14:solidFill>
              <w14:schemeClr w14:val="tx1"/>
            </w14:solidFill>
          </w14:textFill>
        </w:rPr>
      </w:pPr>
    </w:p>
    <w:p w14:paraId="76C0F186">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6"/>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65BC03-2754-4294-A82C-7D9E90D6E7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9834">
    <w:pPr>
      <w:pStyle w:val="25"/>
      <w:jc w:val="right"/>
      <w:rPr>
        <w:rFonts w:hint="eastAsia"/>
        <w:lang w:val="en-US" w:eastAsia="zh-CN"/>
      </w:rPr>
    </w:pPr>
  </w:p>
  <w:p w14:paraId="53CBF78C">
    <w:pPr>
      <w:pStyle w:val="25"/>
      <w:jc w:val="right"/>
      <w:rPr>
        <w:rFonts w:hint="eastAsia"/>
      </w:rPr>
    </w:pPr>
    <w:r>
      <w:rPr>
        <w:rFonts w:hint="eastAsia"/>
        <w:lang w:val="en-US" w:eastAsia="zh-CN"/>
      </w:rPr>
      <w:t>驻马店市中心医院YAG眼科激光治疗仪、眼科超声雾化器采购项目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1E276"/>
    <w:multiLevelType w:val="singleLevel"/>
    <w:tmpl w:val="AC41E276"/>
    <w:lvl w:ilvl="0" w:tentative="0">
      <w:start w:val="5"/>
      <w:numFmt w:val="chineseCounting"/>
      <w:suff w:val="nothing"/>
      <w:lvlText w:val="%1、"/>
      <w:lvlJc w:val="left"/>
      <w:rPr>
        <w:rFonts w:hint="eastAsia"/>
      </w:rPr>
    </w:lvl>
  </w:abstractNum>
  <w:abstractNum w:abstractNumId="1">
    <w:nsid w:val="CA829215"/>
    <w:multiLevelType w:val="singleLevel"/>
    <w:tmpl w:val="CA829215"/>
    <w:lvl w:ilvl="0" w:tentative="0">
      <w:start w:val="2"/>
      <w:numFmt w:val="chineseCounting"/>
      <w:suff w:val="nothing"/>
      <w:lvlText w:val="%1、"/>
      <w:lvlJc w:val="left"/>
      <w:rPr>
        <w:rFonts w:hint="eastAsia"/>
      </w:rPr>
    </w:lvl>
  </w:abstractNum>
  <w:abstractNum w:abstractNumId="2">
    <w:nsid w:val="21C16111"/>
    <w:multiLevelType w:val="singleLevel"/>
    <w:tmpl w:val="21C1611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4D07A99"/>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381EE1"/>
    <w:rsid w:val="06446B44"/>
    <w:rsid w:val="06560AED"/>
    <w:rsid w:val="066469C9"/>
    <w:rsid w:val="066646A1"/>
    <w:rsid w:val="066A7CAA"/>
    <w:rsid w:val="066E164D"/>
    <w:rsid w:val="06791DB6"/>
    <w:rsid w:val="068E7B23"/>
    <w:rsid w:val="06983B20"/>
    <w:rsid w:val="069A3B66"/>
    <w:rsid w:val="06A869D6"/>
    <w:rsid w:val="06A9264E"/>
    <w:rsid w:val="06B31420"/>
    <w:rsid w:val="06B91765"/>
    <w:rsid w:val="06CA2AD2"/>
    <w:rsid w:val="06CB0D68"/>
    <w:rsid w:val="06CD24E2"/>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A1135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57AEC"/>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822CDE"/>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680D42"/>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8E2A2A"/>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01464"/>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EB279A"/>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ED670C"/>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15266"/>
    <w:rsid w:val="1C7971B7"/>
    <w:rsid w:val="1C8036FB"/>
    <w:rsid w:val="1C917D91"/>
    <w:rsid w:val="1CAB1D11"/>
    <w:rsid w:val="1CAB2820"/>
    <w:rsid w:val="1CBA4E5F"/>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54D1B"/>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A41C3A"/>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8B30B1"/>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5D427E"/>
    <w:rsid w:val="24607F91"/>
    <w:rsid w:val="246C581B"/>
    <w:rsid w:val="247C52A2"/>
    <w:rsid w:val="248A3369"/>
    <w:rsid w:val="24942917"/>
    <w:rsid w:val="24AE34FB"/>
    <w:rsid w:val="24CC106B"/>
    <w:rsid w:val="24D00598"/>
    <w:rsid w:val="24D34D10"/>
    <w:rsid w:val="24D377A4"/>
    <w:rsid w:val="24D725E9"/>
    <w:rsid w:val="24EC31CF"/>
    <w:rsid w:val="24F24B87"/>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B3A3C"/>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36931"/>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81D4D"/>
    <w:rsid w:val="2BD96984"/>
    <w:rsid w:val="2BDB5A88"/>
    <w:rsid w:val="2BDB6BA0"/>
    <w:rsid w:val="2BE91C37"/>
    <w:rsid w:val="2BEC3F72"/>
    <w:rsid w:val="2C083572"/>
    <w:rsid w:val="2C185F94"/>
    <w:rsid w:val="2C1F1AC4"/>
    <w:rsid w:val="2C1F4AF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CB4CA9"/>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D56752"/>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B6DE3"/>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AB32FB"/>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8F65D6"/>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2714BA"/>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94F30"/>
    <w:rsid w:val="3E1A106E"/>
    <w:rsid w:val="3E36303B"/>
    <w:rsid w:val="3E526044"/>
    <w:rsid w:val="3E5A395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C35B7"/>
    <w:rsid w:val="4020215E"/>
    <w:rsid w:val="402833BA"/>
    <w:rsid w:val="40283C2B"/>
    <w:rsid w:val="40394FD1"/>
    <w:rsid w:val="403A3A3D"/>
    <w:rsid w:val="40425879"/>
    <w:rsid w:val="40550877"/>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EC6FB9"/>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930FC"/>
    <w:rsid w:val="42AA04E2"/>
    <w:rsid w:val="42C972FA"/>
    <w:rsid w:val="42D737C5"/>
    <w:rsid w:val="42EA5650"/>
    <w:rsid w:val="42F83EBC"/>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C06C8"/>
    <w:rsid w:val="466D15DA"/>
    <w:rsid w:val="46767799"/>
    <w:rsid w:val="4691012F"/>
    <w:rsid w:val="46BF7E28"/>
    <w:rsid w:val="46C3037C"/>
    <w:rsid w:val="46C642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0513A3"/>
    <w:rsid w:val="4C1C2A09"/>
    <w:rsid w:val="4C284AD9"/>
    <w:rsid w:val="4C423098"/>
    <w:rsid w:val="4C694192"/>
    <w:rsid w:val="4C771B75"/>
    <w:rsid w:val="4C7964D9"/>
    <w:rsid w:val="4C8229F4"/>
    <w:rsid w:val="4C891FD4"/>
    <w:rsid w:val="4C8C5620"/>
    <w:rsid w:val="4C9269F6"/>
    <w:rsid w:val="4CB75F07"/>
    <w:rsid w:val="4CC4733F"/>
    <w:rsid w:val="4CC84335"/>
    <w:rsid w:val="4CD22B0F"/>
    <w:rsid w:val="4CDA3E72"/>
    <w:rsid w:val="4CE0596C"/>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77831"/>
    <w:rsid w:val="4F3C3EF2"/>
    <w:rsid w:val="4F3D562D"/>
    <w:rsid w:val="4F5C4EE0"/>
    <w:rsid w:val="4F681AF1"/>
    <w:rsid w:val="4F6E1972"/>
    <w:rsid w:val="4F943166"/>
    <w:rsid w:val="4F9C19A5"/>
    <w:rsid w:val="4FB01203"/>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0418D"/>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513E6E"/>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51CC7"/>
    <w:rsid w:val="57272B15"/>
    <w:rsid w:val="574448FC"/>
    <w:rsid w:val="574825DA"/>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8183D"/>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BB382C"/>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A408A7"/>
    <w:rsid w:val="5CBB7F6F"/>
    <w:rsid w:val="5CC248CE"/>
    <w:rsid w:val="5CC826A5"/>
    <w:rsid w:val="5CE051B4"/>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92BE5"/>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B28A8"/>
    <w:rsid w:val="602610FD"/>
    <w:rsid w:val="602808B2"/>
    <w:rsid w:val="602C2F4B"/>
    <w:rsid w:val="602D0A71"/>
    <w:rsid w:val="60307A2A"/>
    <w:rsid w:val="603814FF"/>
    <w:rsid w:val="604109A8"/>
    <w:rsid w:val="604B1BEB"/>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900B2E"/>
    <w:rsid w:val="62943029"/>
    <w:rsid w:val="62A20409"/>
    <w:rsid w:val="62AC0373"/>
    <w:rsid w:val="62B54B44"/>
    <w:rsid w:val="62CE02E9"/>
    <w:rsid w:val="62E045DA"/>
    <w:rsid w:val="62E23D94"/>
    <w:rsid w:val="62E454A1"/>
    <w:rsid w:val="62E95123"/>
    <w:rsid w:val="62EF025F"/>
    <w:rsid w:val="62F36E4C"/>
    <w:rsid w:val="62F47F8F"/>
    <w:rsid w:val="62F7233F"/>
    <w:rsid w:val="630E3977"/>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7A71CF"/>
    <w:rsid w:val="64852C29"/>
    <w:rsid w:val="64877733"/>
    <w:rsid w:val="64925346"/>
    <w:rsid w:val="64A170D2"/>
    <w:rsid w:val="64A251DD"/>
    <w:rsid w:val="64BC182A"/>
    <w:rsid w:val="64F32289"/>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11A97"/>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CE4EB6"/>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425A0"/>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CF744E"/>
    <w:rsid w:val="6FFD5E0F"/>
    <w:rsid w:val="70076BE8"/>
    <w:rsid w:val="701021F4"/>
    <w:rsid w:val="701C29A6"/>
    <w:rsid w:val="7024611F"/>
    <w:rsid w:val="702F7EED"/>
    <w:rsid w:val="7038498C"/>
    <w:rsid w:val="703F45D4"/>
    <w:rsid w:val="70512559"/>
    <w:rsid w:val="7053576D"/>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6B1D9A"/>
    <w:rsid w:val="71764F23"/>
    <w:rsid w:val="71881188"/>
    <w:rsid w:val="71946576"/>
    <w:rsid w:val="71967E84"/>
    <w:rsid w:val="7197629F"/>
    <w:rsid w:val="71A61873"/>
    <w:rsid w:val="71AF4936"/>
    <w:rsid w:val="71B12351"/>
    <w:rsid w:val="71BB4E1E"/>
    <w:rsid w:val="71CD79BE"/>
    <w:rsid w:val="71D07496"/>
    <w:rsid w:val="71D75D0F"/>
    <w:rsid w:val="71E139ED"/>
    <w:rsid w:val="71F437A4"/>
    <w:rsid w:val="721919B3"/>
    <w:rsid w:val="721A6098"/>
    <w:rsid w:val="721D18D3"/>
    <w:rsid w:val="72310D1A"/>
    <w:rsid w:val="7252306F"/>
    <w:rsid w:val="725D6B54"/>
    <w:rsid w:val="7294672D"/>
    <w:rsid w:val="7295497F"/>
    <w:rsid w:val="72986FA0"/>
    <w:rsid w:val="729B7ABC"/>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6D1458"/>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4B3EC0"/>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B6A68"/>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712F4"/>
    <w:rsid w:val="7C9B0D0E"/>
    <w:rsid w:val="7CA42B03"/>
    <w:rsid w:val="7CBB76D8"/>
    <w:rsid w:val="7CC55E61"/>
    <w:rsid w:val="7CCC5441"/>
    <w:rsid w:val="7CD2318A"/>
    <w:rsid w:val="7CD2702A"/>
    <w:rsid w:val="7CD34C42"/>
    <w:rsid w:val="7CD46B29"/>
    <w:rsid w:val="7CDE3FF9"/>
    <w:rsid w:val="7CE26EBF"/>
    <w:rsid w:val="7CEE3130"/>
    <w:rsid w:val="7CFC08E8"/>
    <w:rsid w:val="7D0448EF"/>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7947</Words>
  <Characters>8468</Characters>
  <Lines>50</Lines>
  <Paragraphs>68</Paragraphs>
  <TotalTime>0</TotalTime>
  <ScaleCrop>false</ScaleCrop>
  <LinksUpToDate>false</LinksUpToDate>
  <CharactersWithSpaces>8936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NTKO</cp:lastModifiedBy>
  <cp:lastPrinted>2021-09-30T00:46:00Z</cp:lastPrinted>
  <dcterms:modified xsi:type="dcterms:W3CDTF">2026-07-13T07:54:26Z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6B4FDCA957CB4E82998C2E32247B97ED_13</vt:lpwstr>
  </property>
  <property fmtid="{D5CDD505-2E9C-101B-9397-08002B2CF9AE}" pid="4" name="KSOTemplateDocerSaveRecord">
    <vt:lpwstr>eyJoZGlkIjoiMjRmNTIzOGY1NzdlNTljZWY2NmU3MzljODRlNTk5MDQiLCJ1c2VySWQiOiIzOTAwMjkxMjgifQ==</vt:lpwstr>
  </property>
</Properties>
</file>