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DA753D3">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646A4C27">
      <w:pPr>
        <w:keepNext w:val="0"/>
        <w:keepLines w:val="0"/>
        <w:pageBreakBefore w:val="0"/>
        <w:widowControl w:val="0"/>
        <w:kinsoku/>
        <w:wordWrap/>
        <w:overflowPunct/>
        <w:topLinePunct w:val="0"/>
        <w:autoSpaceDE/>
        <w:autoSpaceDN/>
        <w:bidi w:val="0"/>
        <w:adjustRightInd/>
        <w:snapToGrid/>
        <w:spacing w:before="157" w:beforeLines="50" w:beforeAutospacing="1" w:afterAutospacing="1" w:line="240" w:lineRule="auto"/>
        <w:jc w:val="center"/>
        <w:textAlignment w:val="auto"/>
        <w:rPr>
          <w:rStyle w:val="45"/>
          <w:rFonts w:hint="eastAsia" w:cs="宋体"/>
          <w:b/>
          <w:bCs/>
          <w:color w:val="auto"/>
          <w:sz w:val="44"/>
          <w:szCs w:val="44"/>
          <w:highlight w:val="none"/>
          <w:lang w:val="en-US" w:eastAsia="zh-CN"/>
        </w:rPr>
      </w:pPr>
      <w:r>
        <w:rPr>
          <w:rFonts w:hint="eastAsia" w:ascii="宋体" w:hAnsi="宋体" w:eastAsia="宋体" w:cs="宋体"/>
          <w:b/>
          <w:bCs/>
          <w:color w:val="auto"/>
          <w:kern w:val="0"/>
          <w:sz w:val="44"/>
          <w:szCs w:val="44"/>
          <w:highlight w:val="none"/>
          <w:lang w:val="en-US" w:eastAsia="zh-CN" w:bidi="ar-SA"/>
        </w:rPr>
        <w:t>放射介入诊疗设备采购项目</w:t>
      </w: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35988BF4">
      <w:pPr>
        <w:pStyle w:val="50"/>
        <w:rPr>
          <w:rFonts w:hint="eastAsia" w:ascii="宋体" w:hAnsi="宋体" w:eastAsia="宋体" w:cs="宋体"/>
          <w:b/>
          <w:bCs/>
          <w:color w:val="auto"/>
          <w:spacing w:val="-10"/>
          <w:sz w:val="34"/>
          <w:szCs w:val="34"/>
          <w:highlight w:val="none"/>
          <w:lang w:val="en-US" w:eastAsia="zh-CN"/>
        </w:rPr>
      </w:pPr>
    </w:p>
    <w:p w14:paraId="63464C5A">
      <w:pPr>
        <w:pStyle w:val="50"/>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904" w:firstLineChars="300"/>
        <w:rPr>
          <w:rFonts w:hint="eastAsia" w:ascii="宋体" w:hAnsi="宋体" w:cs="宋体"/>
          <w:b/>
          <w:bCs/>
          <w:color w:val="auto"/>
          <w:spacing w:val="-10"/>
          <w:sz w:val="32"/>
          <w:szCs w:val="32"/>
          <w:highlight w:val="none"/>
          <w:lang w:val="en-US" w:eastAsia="zh-CN"/>
        </w:rPr>
      </w:pPr>
      <w:r>
        <w:rPr>
          <w:rFonts w:hint="eastAsia" w:ascii="宋体" w:hAnsi="宋体" w:cs="宋体"/>
          <w:b/>
          <w:bCs/>
          <w:color w:val="auto"/>
          <w:spacing w:val="-10"/>
          <w:sz w:val="32"/>
          <w:szCs w:val="32"/>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904" w:firstLineChars="300"/>
        <w:rPr>
          <w:rFonts w:hint="default" w:ascii="宋体" w:hAnsi="宋体" w:eastAsia="宋体" w:cs="宋体"/>
          <w:b/>
          <w:bCs/>
          <w:color w:val="auto"/>
          <w:spacing w:val="-10"/>
          <w:sz w:val="32"/>
          <w:szCs w:val="32"/>
          <w:highlight w:val="none"/>
          <w:lang w:val="en-US" w:eastAsia="zh-CN"/>
        </w:rPr>
      </w:pPr>
      <w:r>
        <w:rPr>
          <w:rFonts w:hint="eastAsia" w:ascii="宋体" w:hAnsi="宋体" w:eastAsia="宋体" w:cs="宋体"/>
          <w:b/>
          <w:bCs/>
          <w:color w:val="auto"/>
          <w:spacing w:val="-10"/>
          <w:sz w:val="32"/>
          <w:szCs w:val="32"/>
          <w:highlight w:val="none"/>
          <w:lang w:val="en-US" w:eastAsia="zh-CN"/>
        </w:rPr>
        <w:t>采购代理机构：</w:t>
      </w:r>
      <w:r>
        <w:rPr>
          <w:rFonts w:hint="eastAsia" w:ascii="宋体" w:hAnsi="宋体" w:cs="宋体"/>
          <w:b/>
          <w:bCs/>
          <w:color w:val="auto"/>
          <w:spacing w:val="-10"/>
          <w:sz w:val="32"/>
          <w:szCs w:val="32"/>
          <w:highlight w:val="none"/>
          <w:lang w:val="en-US" w:eastAsia="zh-CN"/>
        </w:rPr>
        <w:t>河南隆祥建设实业有限公司</w:t>
      </w:r>
    </w:p>
    <w:p w14:paraId="4FCBE59C">
      <w:pPr>
        <w:tabs>
          <w:tab w:val="left" w:pos="2700"/>
          <w:tab w:val="left" w:pos="2880"/>
          <w:tab w:val="left" w:pos="3060"/>
          <w:tab w:val="left" w:pos="7560"/>
        </w:tabs>
        <w:snapToGrid w:val="0"/>
        <w:spacing w:line="480" w:lineRule="auto"/>
        <w:ind w:firstLine="904" w:firstLineChars="3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2"/>
          <w:szCs w:val="32"/>
          <w:highlight w:val="none"/>
          <w:lang w:val="en-US" w:eastAsia="zh-CN"/>
        </w:rPr>
        <w:t>日        期：202</w:t>
      </w:r>
      <w:r>
        <w:rPr>
          <w:rFonts w:hint="eastAsia" w:ascii="宋体" w:hAnsi="宋体" w:cs="宋体"/>
          <w:b/>
          <w:bCs/>
          <w:color w:val="auto"/>
          <w:spacing w:val="-10"/>
          <w:sz w:val="32"/>
          <w:szCs w:val="32"/>
          <w:highlight w:val="none"/>
          <w:lang w:val="en-US" w:eastAsia="zh-CN"/>
        </w:rPr>
        <w:t>6</w:t>
      </w:r>
      <w:r>
        <w:rPr>
          <w:rFonts w:hint="eastAsia" w:ascii="宋体" w:hAnsi="宋体" w:eastAsia="宋体" w:cs="宋体"/>
          <w:b/>
          <w:bCs/>
          <w:color w:val="auto"/>
          <w:spacing w:val="-10"/>
          <w:sz w:val="32"/>
          <w:szCs w:val="32"/>
          <w:highlight w:val="none"/>
          <w:lang w:val="en-US" w:eastAsia="zh-CN"/>
        </w:rPr>
        <w:t xml:space="preserve">年 </w:t>
      </w:r>
      <w:r>
        <w:rPr>
          <w:rFonts w:hint="eastAsia" w:ascii="宋体" w:hAnsi="宋体" w:cs="宋体"/>
          <w:b/>
          <w:bCs/>
          <w:color w:val="auto"/>
          <w:spacing w:val="-10"/>
          <w:sz w:val="32"/>
          <w:szCs w:val="32"/>
          <w:highlight w:val="none"/>
          <w:lang w:val="en-US" w:eastAsia="zh-CN"/>
        </w:rPr>
        <w:t>8</w:t>
      </w:r>
      <w:r>
        <w:rPr>
          <w:rFonts w:hint="eastAsia" w:ascii="宋体" w:hAnsi="宋体" w:eastAsia="宋体" w:cs="宋体"/>
          <w:b/>
          <w:bCs/>
          <w:color w:val="auto"/>
          <w:spacing w:val="-10"/>
          <w:sz w:val="32"/>
          <w:szCs w:val="32"/>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4</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7</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18</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21</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驻马店市中心医院放射介入诊疗设备采购项目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 xml:space="preserve"> </w:t>
      </w:r>
      <w:r>
        <w:rPr>
          <w:rFonts w:hint="eastAsia" w:ascii="宋体" w:hAnsi="宋体" w:eastAsia="宋体" w:cs="宋体"/>
          <w:color w:val="auto"/>
          <w:sz w:val="24"/>
          <w:szCs w:val="32"/>
          <w:highlight w:val="none"/>
          <w:u w:val="single"/>
          <w:lang w:val="en-US" w:eastAsia="zh-CN"/>
        </w:rPr>
        <w:t>驻马店市中心医院放射介入诊疗设备采购项目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驻马店市中心医院放射介入诊疗设备采购项目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35万元</w:t>
      </w:r>
    </w:p>
    <w:p w14:paraId="1F67D48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交货期：合同签订后30日内交货，最终以合同约定内容为准</w:t>
      </w:r>
      <w:r>
        <w:rPr>
          <w:rFonts w:hint="eastAsia" w:ascii="宋体" w:hAnsi="宋体" w:cs="宋体"/>
          <w:color w:val="auto"/>
          <w:sz w:val="24"/>
          <w:szCs w:val="24"/>
          <w:highlight w:val="none"/>
          <w:shd w:val="clear" w:color="auto" w:fill="FFFFFF"/>
          <w:lang w:val="en-US" w:eastAsia="zh-CN"/>
        </w:rPr>
        <w:t>。</w:t>
      </w:r>
    </w:p>
    <w:p w14:paraId="507142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质量要求：符合国家质量标准、部颁标准、行业标准。</w:t>
      </w:r>
    </w:p>
    <w:p w14:paraId="03CB2157">
      <w:pPr>
        <w:keepNext w:val="0"/>
        <w:keepLines w:val="0"/>
        <w:pageBreakBefore w:val="0"/>
        <w:widowControl/>
        <w:tabs>
          <w:tab w:val="left" w:pos="840"/>
        </w:tabs>
        <w:kinsoku/>
        <w:overflowPunct/>
        <w:topLinePunct w:val="0"/>
        <w:autoSpaceDE/>
        <w:autoSpaceDN/>
        <w:bidi w:val="0"/>
        <w:snapToGrid w:val="0"/>
        <w:spacing w:line="324" w:lineRule="auto"/>
        <w:jc w:val="left"/>
        <w:textAlignment w:val="auto"/>
        <w:rPr>
          <w:rFonts w:hint="eastAsia" w:ascii="宋体" w:hAnsi="宋体" w:eastAsia="宋体" w:cs="宋体"/>
          <w:b/>
          <w:bCs/>
          <w:color w:val="auto"/>
          <w:sz w:val="24"/>
          <w:szCs w:val="24"/>
          <w:highlight w:val="none"/>
          <w:shd w:val="clear" w:color="auto" w:fill="FFFFFF"/>
          <w:lang w:val="en-US" w:eastAsia="zh-CN"/>
        </w:rPr>
      </w:pPr>
      <w:bookmarkStart w:id="4" w:name="_Toc27704"/>
      <w:bookmarkStart w:id="5" w:name="_Toc16639"/>
      <w:bookmarkStart w:id="6" w:name="_Toc23626"/>
      <w:bookmarkStart w:id="7" w:name="_Toc18607"/>
      <w:r>
        <w:rPr>
          <w:rFonts w:hint="eastAsia" w:ascii="宋体" w:hAnsi="宋体" w:eastAsia="宋体" w:cs="宋体"/>
          <w:b/>
          <w:bCs/>
          <w:color w:val="auto"/>
          <w:sz w:val="24"/>
          <w:szCs w:val="24"/>
          <w:highlight w:val="none"/>
          <w:shd w:val="clear" w:color="auto" w:fill="FFFFFF"/>
          <w:lang w:val="en-US" w:eastAsia="zh-CN"/>
        </w:rPr>
        <w:t>二、</w:t>
      </w:r>
      <w:bookmarkEnd w:id="3"/>
      <w:bookmarkEnd w:id="4"/>
      <w:bookmarkEnd w:id="5"/>
      <w:bookmarkEnd w:id="6"/>
      <w:bookmarkEnd w:id="7"/>
      <w:r>
        <w:rPr>
          <w:rFonts w:hint="eastAsia" w:ascii="宋体" w:hAnsi="宋体" w:eastAsia="宋体" w:cs="宋体"/>
          <w:b/>
          <w:bCs/>
          <w:color w:val="auto"/>
          <w:sz w:val="24"/>
          <w:szCs w:val="24"/>
          <w:highlight w:val="none"/>
          <w:shd w:val="clear" w:color="auto" w:fill="FFFFFF"/>
          <w:lang w:val="en-US" w:eastAsia="zh-CN"/>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23395"/>
      <w:bookmarkStart w:id="9" w:name="_Toc9562"/>
      <w:bookmarkStart w:id="10" w:name="_Toc30643"/>
      <w:bookmarkStart w:id="11" w:name="_Toc30971"/>
      <w:bookmarkStart w:id="12" w:name="_Toc7823"/>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3F8D40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w:t>
      </w:r>
      <w:r>
        <w:rPr>
          <w:rFonts w:hint="eastAsia" w:ascii="宋体" w:hAnsi="宋体" w:cs="宋体"/>
          <w:color w:val="auto"/>
          <w:sz w:val="24"/>
          <w:szCs w:val="24"/>
          <w:highlight w:val="none"/>
          <w:shd w:val="clear" w:color="auto" w:fill="FFFFFF"/>
          <w:lang w:val="en-US" w:eastAsia="zh-CN"/>
        </w:rPr>
        <w:t>作为</w:t>
      </w:r>
      <w:r>
        <w:rPr>
          <w:rFonts w:hint="eastAsia" w:ascii="宋体" w:hAnsi="宋体" w:eastAsia="宋体" w:cs="宋体"/>
          <w:color w:val="auto"/>
          <w:sz w:val="24"/>
          <w:szCs w:val="24"/>
          <w:highlight w:val="none"/>
          <w:shd w:val="clear" w:color="auto" w:fill="FFFFFF"/>
          <w:lang w:val="en-US" w:eastAsia="zh-CN"/>
        </w:rPr>
        <w:t>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p>
    <w:p w14:paraId="08BDA343">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8.1</w:t>
      </w:r>
      <w:r>
        <w:rPr>
          <w:rFonts w:hint="eastAsia" w:ascii="宋体" w:hAnsi="宋体" w:eastAsia="宋体" w:cs="宋体"/>
          <w:color w:val="auto"/>
          <w:sz w:val="24"/>
          <w:szCs w:val="24"/>
          <w:highlight w:val="none"/>
          <w:shd w:val="clear" w:color="auto" w:fill="FFFFFF"/>
          <w:lang w:val="en-US" w:eastAsia="zh-CN"/>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12</w:t>
      </w:r>
      <w:r>
        <w:rPr>
          <w:rFonts w:hint="eastAsia" w:ascii="宋体" w:hAnsi="宋体" w:eastAsia="宋体" w:cs="宋体"/>
          <w:color w:val="auto"/>
          <w:sz w:val="24"/>
          <w:szCs w:val="24"/>
          <w:highlight w:val="none"/>
          <w:shd w:val="clear" w:color="auto" w:fill="FFFFFF"/>
        </w:rPr>
        <w:t>日</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14</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eastAsia="宋体" w:cs="宋体"/>
          <w:color w:val="auto"/>
          <w:kern w:val="0"/>
          <w:sz w:val="24"/>
          <w:szCs w:val="24"/>
          <w:highlight w:val="none"/>
          <w:shd w:val="clear" w:color="auto" w:fill="FFFFFF"/>
          <w:lang w:val="en-US" w:eastAsia="zh-CN" w:bidi="ar-SA"/>
        </w:rPr>
        <w:t>hnlxjssyyxgs@163.com,并标明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0738"/>
      <w:bookmarkStart w:id="14" w:name="_Toc27480"/>
      <w:bookmarkStart w:id="15" w:name="_Toc15135"/>
      <w:bookmarkStart w:id="16" w:name="_Toc25869"/>
      <w:bookmarkStart w:id="17" w:name="_Toc15111"/>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9784"/>
      <w:bookmarkStart w:id="19" w:name="_Toc6523"/>
      <w:bookmarkStart w:id="20" w:name="_Toc30918"/>
      <w:bookmarkStart w:id="21"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16291"/>
      <w:bookmarkStart w:id="25" w:name="_Toc3604"/>
      <w:bookmarkStart w:id="26" w:name="_Toc24274"/>
      <w:bookmarkStart w:id="27" w:name="_Toc27370"/>
      <w:bookmarkStart w:id="28"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3B730D7C">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w:t>
      </w:r>
      <w:r>
        <w:rPr>
          <w:rFonts w:hint="eastAsia" w:ascii="宋体" w:hAnsi="宋体" w:cs="宋体"/>
          <w:color w:val="auto"/>
          <w:kern w:val="0"/>
          <w:sz w:val="24"/>
          <w:szCs w:val="24"/>
          <w:highlight w:val="none"/>
          <w:shd w:val="clear" w:color="auto" w:fill="FFFFFF"/>
          <w:lang w:val="en-US" w:eastAsia="zh-CN" w:bidi="ar-SA"/>
        </w:rPr>
        <w:t>河南隆祥建设实业有限公司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w:t>
      </w:r>
      <w:r>
        <w:rPr>
          <w:rFonts w:hint="eastAsia" w:ascii="宋体" w:hAnsi="宋体" w:cs="宋体"/>
          <w:color w:val="auto"/>
          <w:kern w:val="0"/>
          <w:sz w:val="24"/>
          <w:szCs w:val="24"/>
          <w:highlight w:val="none"/>
          <w:shd w:val="clear" w:color="auto" w:fill="FFFFFF"/>
          <w:lang w:val="en-US" w:eastAsia="zh-CN" w:bidi="ar-SA"/>
        </w:rPr>
        <w:t>驻马店市置地华庭B座3单元</w:t>
      </w:r>
    </w:p>
    <w:p w14:paraId="4E37C8E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：胡文娟</w:t>
      </w:r>
    </w:p>
    <w:p w14:paraId="50BC114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0396-3209190</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23610"/>
      <w:bookmarkStart w:id="33" w:name="_Toc31536"/>
      <w:bookmarkStart w:id="34" w:name="_Toc9989"/>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驻马店市中心医院放射介入诊疗设备采购项目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Theme="minorEastAsia" w:hAnsiTheme="minorEastAsia" w:eastAsiaTheme="minorEastAsia" w:cstheme="minorEastAsia"/>
          <w:b/>
          <w:bCs/>
          <w:color w:val="auto"/>
          <w:kern w:val="2"/>
          <w:sz w:val="24"/>
          <w:szCs w:val="24"/>
          <w:highlight w:val="none"/>
          <w:lang w:val="en-US" w:eastAsia="zh-CN" w:bidi="ar-SA"/>
        </w:rPr>
        <w:t>、采购标的清单：</w:t>
      </w:r>
    </w:p>
    <w:tbl>
      <w:tblPr>
        <w:tblStyle w:val="35"/>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5"/>
        <w:gridCol w:w="2139"/>
        <w:gridCol w:w="850"/>
        <w:gridCol w:w="967"/>
        <w:gridCol w:w="1384"/>
        <w:gridCol w:w="1110"/>
        <w:gridCol w:w="1240"/>
        <w:gridCol w:w="5"/>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90" w:type="dxa"/>
            <w:gridSpan w:val="2"/>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rPr>
              <w:t>序号</w:t>
            </w:r>
          </w:p>
        </w:tc>
        <w:tc>
          <w:tcPr>
            <w:tcW w:w="2139"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lang w:val="en-US" w:eastAsia="zh-CN"/>
              </w:rPr>
              <w:t>设备</w:t>
            </w:r>
            <w:r>
              <w:rPr>
                <w:rFonts w:hint="eastAsia" w:asciiTheme="minorEastAsia" w:hAnsiTheme="minorEastAsia" w:eastAsiaTheme="minorEastAsia" w:cstheme="minorEastAsia"/>
                <w:b/>
                <w:bCs/>
                <w:color w:val="auto"/>
                <w:sz w:val="22"/>
                <w:szCs w:val="22"/>
                <w:highlight w:val="none"/>
              </w:rPr>
              <w:t>名称</w:t>
            </w:r>
          </w:p>
        </w:tc>
        <w:tc>
          <w:tcPr>
            <w:tcW w:w="8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lang w:val="en-US" w:eastAsia="zh-CN"/>
              </w:rPr>
              <w:t>单位</w:t>
            </w:r>
          </w:p>
        </w:tc>
        <w:tc>
          <w:tcPr>
            <w:tcW w:w="967"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rPr>
              <w:t>数量</w:t>
            </w:r>
          </w:p>
        </w:tc>
        <w:tc>
          <w:tcPr>
            <w:tcW w:w="1384" w:type="dxa"/>
            <w:vAlign w:val="center"/>
          </w:tcPr>
          <w:p w14:paraId="665A7C5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Theme="minorEastAsia" w:hAnsiTheme="minorEastAsia" w:eastAsiaTheme="minorEastAsia" w:cstheme="minorEastAsia"/>
                <w:b/>
                <w:bCs/>
                <w:color w:val="auto"/>
                <w:sz w:val="22"/>
                <w:szCs w:val="22"/>
                <w:highlight w:val="none"/>
              </w:rPr>
            </w:pPr>
            <w:r>
              <w:rPr>
                <w:rFonts w:hint="eastAsia" w:asciiTheme="minorEastAsia" w:hAnsiTheme="minorEastAsia" w:eastAsiaTheme="minorEastAsia" w:cstheme="minorEastAsia"/>
                <w:b/>
                <w:bCs/>
                <w:color w:val="auto"/>
                <w:sz w:val="22"/>
                <w:szCs w:val="22"/>
                <w:highlight w:val="none"/>
              </w:rPr>
              <w:t>资金</w:t>
            </w:r>
          </w:p>
          <w:p w14:paraId="2259F43F">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rPr>
              <w:t>预算</w:t>
            </w:r>
          </w:p>
        </w:tc>
        <w:tc>
          <w:tcPr>
            <w:tcW w:w="1110" w:type="dxa"/>
            <w:vAlign w:val="center"/>
          </w:tcPr>
          <w:p w14:paraId="0C32BA6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Theme="minorEastAsia" w:hAnsiTheme="minorEastAsia" w:eastAsiaTheme="minorEastAsia" w:cstheme="minorEastAsia"/>
                <w:b/>
                <w:bCs/>
                <w:color w:val="auto"/>
                <w:sz w:val="22"/>
                <w:szCs w:val="22"/>
                <w:highlight w:val="none"/>
                <w:lang w:val="en-US" w:eastAsia="zh-CN"/>
              </w:rPr>
            </w:pPr>
            <w:r>
              <w:rPr>
                <w:rFonts w:hint="eastAsia" w:asciiTheme="minorEastAsia" w:hAnsiTheme="minorEastAsia" w:eastAsiaTheme="minorEastAsia" w:cstheme="minorEastAsia"/>
                <w:b/>
                <w:bCs/>
                <w:color w:val="auto"/>
                <w:sz w:val="22"/>
                <w:szCs w:val="22"/>
                <w:highlight w:val="none"/>
                <w:lang w:val="en-US" w:eastAsia="zh-CN"/>
              </w:rPr>
              <w:t>资金</w:t>
            </w:r>
          </w:p>
          <w:p w14:paraId="0F2FBFF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lang w:val="en-US" w:eastAsia="zh-CN"/>
              </w:rPr>
              <w:t>性质</w:t>
            </w:r>
          </w:p>
        </w:tc>
        <w:tc>
          <w:tcPr>
            <w:tcW w:w="1245" w:type="dxa"/>
            <w:gridSpan w:val="2"/>
            <w:vAlign w:val="center"/>
          </w:tcPr>
          <w:p w14:paraId="0D5173F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Theme="minorEastAsia" w:hAnsiTheme="minorEastAsia" w:eastAsiaTheme="minorEastAsia" w:cstheme="minorEastAsia"/>
                <w:b/>
                <w:bCs/>
                <w:color w:val="auto"/>
                <w:sz w:val="22"/>
                <w:szCs w:val="22"/>
                <w:highlight w:val="none"/>
                <w:lang w:val="en-US" w:eastAsia="zh-CN"/>
              </w:rPr>
            </w:pPr>
            <w:r>
              <w:rPr>
                <w:rFonts w:hint="eastAsia" w:asciiTheme="minorEastAsia" w:hAnsiTheme="minorEastAsia" w:eastAsiaTheme="minorEastAsia" w:cstheme="minorEastAsia"/>
                <w:b/>
                <w:bCs/>
                <w:color w:val="auto"/>
                <w:sz w:val="22"/>
                <w:szCs w:val="22"/>
                <w:highlight w:val="none"/>
                <w:lang w:val="en-US" w:eastAsia="zh-CN"/>
              </w:rPr>
              <w:t>国产/</w:t>
            </w:r>
          </w:p>
          <w:p w14:paraId="5E8880A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lang w:val="en-US" w:eastAsia="zh-CN"/>
              </w:rPr>
              <w:t>进口</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990" w:type="dxa"/>
            <w:gridSpan w:val="2"/>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color w:val="auto"/>
                <w:sz w:val="22"/>
                <w:szCs w:val="22"/>
                <w:highlight w:val="none"/>
                <w:vertAlign w:val="baseline"/>
                <w:lang w:val="en-US" w:eastAsia="zh-CN"/>
              </w:rPr>
              <w:t>1</w:t>
            </w:r>
          </w:p>
        </w:tc>
        <w:tc>
          <w:tcPr>
            <w:tcW w:w="2139"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both"/>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放射介入诊疗设备</w:t>
            </w:r>
          </w:p>
        </w:tc>
        <w:tc>
          <w:tcPr>
            <w:tcW w:w="850"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套</w:t>
            </w:r>
          </w:p>
        </w:tc>
        <w:tc>
          <w:tcPr>
            <w:tcW w:w="967"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1</w:t>
            </w:r>
          </w:p>
        </w:tc>
        <w:tc>
          <w:tcPr>
            <w:tcW w:w="1384" w:type="dxa"/>
            <w:shd w:val="clear" w:color="auto" w:fill="auto"/>
            <w:vAlign w:val="center"/>
          </w:tcPr>
          <w:p w14:paraId="3326862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35万元</w:t>
            </w:r>
          </w:p>
        </w:tc>
        <w:tc>
          <w:tcPr>
            <w:tcW w:w="1110" w:type="dxa"/>
            <w:shd w:val="clear" w:color="auto" w:fill="auto"/>
            <w:vAlign w:val="center"/>
          </w:tcPr>
          <w:p w14:paraId="18BFE3E9">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自筹</w:t>
            </w:r>
          </w:p>
        </w:tc>
        <w:tc>
          <w:tcPr>
            <w:tcW w:w="1245" w:type="dxa"/>
            <w:gridSpan w:val="2"/>
            <w:shd w:val="clear" w:color="auto" w:fill="auto"/>
            <w:vAlign w:val="center"/>
          </w:tcPr>
          <w:p w14:paraId="1F5FAC60">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color w:val="auto"/>
                <w:sz w:val="22"/>
                <w:szCs w:val="22"/>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90" w:type="dxa"/>
            <w:gridSpan w:val="2"/>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b/>
                <w:bCs/>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vertAlign w:val="baseline"/>
                <w:lang w:val="en-US" w:eastAsia="zh-CN"/>
              </w:rPr>
              <w:t>合计</w:t>
            </w:r>
          </w:p>
        </w:tc>
        <w:tc>
          <w:tcPr>
            <w:tcW w:w="7690" w:type="dxa"/>
            <w:gridSpan w:val="6"/>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val="en-US" w:eastAsia="zh-CN"/>
              </w:rPr>
            </w:pPr>
            <w:r>
              <w:rPr>
                <w:rFonts w:hint="eastAsia" w:asciiTheme="minorEastAsia" w:hAnsiTheme="minorEastAsia" w:eastAsiaTheme="minorEastAsia" w:cstheme="minorEastAsia"/>
                <w:b w:val="0"/>
                <w:bCs w:val="0"/>
                <w:color w:val="auto"/>
                <w:sz w:val="22"/>
                <w:szCs w:val="22"/>
                <w:highlight w:val="none"/>
                <w:vertAlign w:val="baseline"/>
                <w:lang w:val="en-US" w:eastAsia="zh-CN"/>
              </w:rPr>
              <w:t>35万元</w:t>
            </w: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85" w:type="dxa"/>
            <w:vAlign w:val="center"/>
          </w:tcPr>
          <w:p w14:paraId="217B087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Theme="minorEastAsia" w:hAnsiTheme="minorEastAsia" w:eastAsiaTheme="minorEastAsia" w:cstheme="minorEastAsia"/>
                <w:b/>
                <w:bCs/>
                <w:color w:val="auto"/>
                <w:sz w:val="22"/>
                <w:szCs w:val="22"/>
                <w:highlight w:val="none"/>
                <w:vertAlign w:val="baseline"/>
                <w:lang w:val="en-US" w:eastAsia="zh-CN"/>
              </w:rPr>
            </w:pPr>
            <w:r>
              <w:rPr>
                <w:rFonts w:hint="eastAsia" w:asciiTheme="minorEastAsia" w:hAnsiTheme="minorEastAsia" w:eastAsiaTheme="minorEastAsia" w:cstheme="minorEastAsia"/>
                <w:b/>
                <w:bCs/>
                <w:color w:val="auto"/>
                <w:sz w:val="22"/>
                <w:szCs w:val="22"/>
                <w:highlight w:val="none"/>
                <w:vertAlign w:val="baseline"/>
                <w:lang w:val="en-US" w:eastAsia="zh-CN"/>
              </w:rPr>
              <w:t>备注</w:t>
            </w:r>
          </w:p>
        </w:tc>
        <w:tc>
          <w:tcPr>
            <w:tcW w:w="7695" w:type="dxa"/>
            <w:gridSpan w:val="7"/>
            <w:vAlign w:val="center"/>
          </w:tcPr>
          <w:p w14:paraId="7E6757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Theme="minorEastAsia" w:hAnsiTheme="minorEastAsia" w:eastAsiaTheme="minorEastAsia" w:cstheme="minorEastAsia"/>
                <w:b/>
                <w:bCs/>
                <w:color w:val="auto"/>
                <w:sz w:val="22"/>
                <w:szCs w:val="22"/>
                <w:highlight w:val="none"/>
                <w:vertAlign w:val="baseline"/>
                <w:lang w:val="en-US" w:eastAsia="zh-CN"/>
              </w:rPr>
            </w:pPr>
          </w:p>
        </w:tc>
      </w:tr>
    </w:tbl>
    <w:p w14:paraId="0A43EBE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w:t>
      </w:r>
      <w:r>
        <w:rPr>
          <w:rFonts w:hint="eastAsia" w:ascii="宋体" w:hAnsi="宋体" w:eastAsia="宋体" w:cs="宋体"/>
          <w:b/>
          <w:bCs/>
          <w:color w:val="auto"/>
          <w:kern w:val="2"/>
          <w:sz w:val="24"/>
          <w:szCs w:val="24"/>
          <w:highlight w:val="none"/>
          <w:lang w:val="en-US" w:eastAsia="zh-CN" w:bidi="ar-SA"/>
        </w:rPr>
        <w:t>技术要求：</w:t>
      </w:r>
    </w:p>
    <w:p w14:paraId="1726B6AC">
      <w:pPr>
        <w:widowControl/>
        <w:snapToGrid w:val="0"/>
        <w:spacing w:line="360" w:lineRule="exact"/>
        <w:rPr>
          <w:rFonts w:ascii="宋体" w:hAnsi="宋体" w:cs="宋体"/>
          <w:b/>
          <w:bCs/>
          <w:color w:val="auto"/>
          <w:sz w:val="24"/>
          <w:szCs w:val="24"/>
          <w:highlight w:val="none"/>
        </w:rPr>
      </w:pPr>
      <w:r>
        <w:rPr>
          <w:rFonts w:hint="eastAsia" w:ascii="宋体" w:hAnsi="宋体" w:eastAsia="宋体" w:cs="宋体"/>
          <w:b/>
          <w:bCs/>
          <w:color w:val="auto"/>
          <w:sz w:val="24"/>
          <w:szCs w:val="24"/>
          <w:highlight w:val="none"/>
          <w:lang w:eastAsia="zh-CN"/>
        </w:rPr>
        <w:t>★</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一</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rPr>
        <w:t>供应商需提供所投设备</w:t>
      </w:r>
      <w:r>
        <w:rPr>
          <w:rFonts w:hint="eastAsia" w:ascii="宋体" w:hAnsi="宋体" w:cs="宋体"/>
          <w:b/>
          <w:bCs/>
          <w:color w:val="auto"/>
          <w:sz w:val="24"/>
          <w:szCs w:val="24"/>
          <w:highlight w:val="none"/>
          <w:lang w:val="en-US" w:eastAsia="zh-CN"/>
        </w:rPr>
        <w:t>的</w:t>
      </w:r>
      <w:r>
        <w:rPr>
          <w:rFonts w:hint="eastAsia" w:ascii="宋体" w:hAnsi="宋体" w:cs="宋体"/>
          <w:b/>
          <w:bCs/>
          <w:color w:val="auto"/>
          <w:sz w:val="24"/>
          <w:szCs w:val="24"/>
          <w:highlight w:val="none"/>
        </w:rPr>
        <w:t>医疗器械注册证【含附件：产品技术要求（如有）】</w:t>
      </w:r>
      <w:r>
        <w:rPr>
          <w:rFonts w:hint="eastAsia" w:ascii="宋体" w:hAnsi="宋体" w:cs="宋体"/>
          <w:b/>
          <w:bCs/>
          <w:color w:val="auto"/>
          <w:sz w:val="24"/>
          <w:szCs w:val="24"/>
          <w:highlight w:val="none"/>
          <w:lang w:val="en-US" w:eastAsia="zh-CN"/>
        </w:rPr>
        <w:t>或备案凭证</w:t>
      </w:r>
      <w:r>
        <w:rPr>
          <w:rFonts w:hint="eastAsia" w:ascii="宋体" w:hAnsi="宋体" w:cs="宋体"/>
          <w:b/>
          <w:bCs/>
          <w:color w:val="auto"/>
          <w:sz w:val="24"/>
          <w:szCs w:val="24"/>
          <w:highlight w:val="none"/>
        </w:rPr>
        <w:t>，如未按要求提供，则投标无效。</w:t>
      </w:r>
    </w:p>
    <w:p w14:paraId="0ABA96CD">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w:t>
      </w:r>
      <w:r>
        <w:rPr>
          <w:rFonts w:hint="eastAsia" w:cs="Times New Roman"/>
          <w:sz w:val="24"/>
          <w:szCs w:val="32"/>
          <w:highlight w:val="none"/>
          <w:lang w:val="en-US" w:eastAsia="zh-CN"/>
        </w:rPr>
        <w:t>二</w:t>
      </w:r>
      <w:r>
        <w:rPr>
          <w:rFonts w:hint="eastAsia" w:ascii="Times New Roman" w:hAnsi="Times New Roman" w:eastAsia="宋体" w:cs="Times New Roman"/>
          <w:sz w:val="24"/>
          <w:szCs w:val="32"/>
          <w:highlight w:val="none"/>
          <w:lang w:val="en-US" w:eastAsia="zh-CN"/>
        </w:rPr>
        <w:t>）产品用途</w:t>
      </w:r>
    </w:p>
    <w:p w14:paraId="5E985BD9">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具有头颈部、体部肿瘤近距离治疗的术前计划设计、术中计划设计和术后剂量验证。前列腺肿瘤近距离治疗的术前计划设计、术中计划设计和术后剂量验证。食管、胆管支架携带肿瘤近距离治疗的术前计划设计和术后剂量验证。</w:t>
      </w:r>
    </w:p>
    <w:p w14:paraId="50192A4A">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w:t>
      </w:r>
      <w:r>
        <w:rPr>
          <w:rFonts w:hint="eastAsia" w:cs="Times New Roman"/>
          <w:sz w:val="24"/>
          <w:szCs w:val="32"/>
          <w:highlight w:val="none"/>
          <w:lang w:val="en-US" w:eastAsia="zh-CN"/>
        </w:rPr>
        <w:t>三</w:t>
      </w:r>
      <w:r>
        <w:rPr>
          <w:rFonts w:hint="eastAsia" w:ascii="Times New Roman" w:hAnsi="Times New Roman" w:eastAsia="宋体" w:cs="Times New Roman"/>
          <w:sz w:val="24"/>
          <w:szCs w:val="32"/>
          <w:highlight w:val="none"/>
          <w:lang w:val="en-US" w:eastAsia="zh-CN"/>
        </w:rPr>
        <w:t>）放射介入诊疗设备软件系统</w:t>
      </w:r>
    </w:p>
    <w:p w14:paraId="4464C1F2">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1、图像数据输入</w:t>
      </w:r>
    </w:p>
    <w:p w14:paraId="02E1E8A4">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（1）具备DICOM 3.0标准和多种图像数据输入方法，包括</w:t>
      </w:r>
      <w:r>
        <w:rPr>
          <w:rFonts w:hint="eastAsia" w:cs="Times New Roman"/>
          <w:sz w:val="24"/>
          <w:szCs w:val="32"/>
          <w:highlight w:val="none"/>
          <w:lang w:val="en-US" w:eastAsia="zh-CN"/>
        </w:rPr>
        <w:t>网络连接</w:t>
      </w:r>
      <w:r>
        <w:rPr>
          <w:rFonts w:hint="eastAsia" w:ascii="Times New Roman" w:hAnsi="Times New Roman" w:eastAsia="宋体" w:cs="Times New Roman"/>
          <w:sz w:val="24"/>
          <w:szCs w:val="32"/>
          <w:highlight w:val="none"/>
          <w:lang w:val="en-US" w:eastAsia="zh-CN"/>
        </w:rPr>
        <w:t>电子数据传输,磁介质传输，视频采集和扫描输入等；</w:t>
      </w:r>
    </w:p>
    <w:p w14:paraId="4306AA9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（2）具备电子数据图像和扫描图像并存，CT、B超和MRI等</w:t>
      </w:r>
      <w:r>
        <w:rPr>
          <w:rFonts w:hint="eastAsia" w:cs="Times New Roman"/>
          <w:sz w:val="24"/>
          <w:szCs w:val="32"/>
          <w:highlight w:val="none"/>
          <w:lang w:val="en-US" w:eastAsia="zh-CN"/>
        </w:rPr>
        <w:t>图像</w:t>
      </w:r>
      <w:r>
        <w:rPr>
          <w:rFonts w:hint="eastAsia" w:ascii="Times New Roman" w:hAnsi="Times New Roman" w:eastAsia="宋体" w:cs="Times New Roman"/>
          <w:sz w:val="24"/>
          <w:szCs w:val="32"/>
          <w:highlight w:val="none"/>
          <w:lang w:val="en-US" w:eastAsia="zh-CN"/>
        </w:rPr>
        <w:t>并存；</w:t>
      </w:r>
    </w:p>
    <w:p w14:paraId="543FE947">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（3）具备引入图像序列的功能，可同时或分阶段输入不同检查设备的不同序列图像，为精确</w:t>
      </w:r>
      <w:r>
        <w:rPr>
          <w:rFonts w:hint="eastAsia" w:cs="Times New Roman"/>
          <w:sz w:val="24"/>
          <w:szCs w:val="32"/>
          <w:highlight w:val="none"/>
          <w:lang w:val="en-US" w:eastAsia="zh-CN"/>
        </w:rPr>
        <w:t>制订计划</w:t>
      </w:r>
      <w:r>
        <w:rPr>
          <w:rFonts w:hint="eastAsia" w:ascii="Times New Roman" w:hAnsi="Times New Roman" w:eastAsia="宋体" w:cs="Times New Roman"/>
          <w:sz w:val="24"/>
          <w:szCs w:val="32"/>
          <w:highlight w:val="none"/>
          <w:lang w:val="en-US" w:eastAsia="zh-CN"/>
        </w:rPr>
        <w:t>和术后病人的随访提供了足够的保障（例如：术前、术中、术后</w:t>
      </w:r>
      <w:r>
        <w:rPr>
          <w:rFonts w:hint="eastAsia" w:cs="Times New Roman"/>
          <w:sz w:val="24"/>
          <w:szCs w:val="32"/>
          <w:highlight w:val="none"/>
          <w:lang w:val="en-US" w:eastAsia="zh-CN"/>
        </w:rPr>
        <w:t>的图像</w:t>
      </w:r>
      <w:r>
        <w:rPr>
          <w:rFonts w:hint="eastAsia" w:ascii="Times New Roman" w:hAnsi="Times New Roman" w:eastAsia="宋体" w:cs="Times New Roman"/>
          <w:sz w:val="24"/>
          <w:szCs w:val="32"/>
          <w:highlight w:val="none"/>
          <w:lang w:val="en-US" w:eastAsia="zh-CN"/>
        </w:rPr>
        <w:t>），便于不同时期计划的比较。</w:t>
      </w:r>
    </w:p>
    <w:p w14:paraId="66CD022C">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2、图像数据处理模块</w:t>
      </w:r>
    </w:p>
    <w:p w14:paraId="74BA2FF8">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（1）具有图像缩放、平移、翻转、漫游、窗宽和窗位调节；</w:t>
      </w:r>
    </w:p>
    <w:p w14:paraId="1FAFE0A2">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（2）具有图像的多窗口显示及多模式显示功能；</w:t>
      </w:r>
    </w:p>
    <w:p w14:paraId="59EB9506">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（3）肺组织轮廓线自动探测，脊髓及骨组织的自动探测；</w:t>
      </w:r>
    </w:p>
    <w:p w14:paraId="68A5ACFB">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（4）食管胆管及其管壁轮廓线的自动探测；</w:t>
      </w:r>
    </w:p>
    <w:p w14:paraId="49C109CD">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（5）自动探测体表轮廓线；</w:t>
      </w:r>
    </w:p>
    <w:p w14:paraId="048252F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（6）轮廓线项目的自定义，不限项（肿瘤、敏感组织等）；</w:t>
      </w:r>
    </w:p>
    <w:p w14:paraId="74CB43AE">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（7）靶区和重要器官等目标轮廓的自动或交互提取，具有轮廓线缩放、插值功能；</w:t>
      </w:r>
    </w:p>
    <w:p w14:paraId="009D8CAC">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3、三维图像重建及显示</w:t>
      </w:r>
    </w:p>
    <w:p w14:paraId="7DDFEC3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（1）实时显示B超图像定标，通过数据线与B超连接，实时现实B超图像、实时计划、实时验证；</w:t>
      </w:r>
    </w:p>
    <w:p w14:paraId="6D3C912B">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（2）同一断层图像序列的重新分层重建；</w:t>
      </w:r>
    </w:p>
    <w:p w14:paraId="225A7E5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（3）断层图像序列的交互重建和剖切显示，横断面、冠状面、</w:t>
      </w:r>
      <w:r>
        <w:rPr>
          <w:rFonts w:hint="eastAsia" w:cs="Times New Roman"/>
          <w:sz w:val="24"/>
          <w:szCs w:val="32"/>
          <w:highlight w:val="none"/>
          <w:lang w:val="en-US" w:eastAsia="zh-CN"/>
        </w:rPr>
        <w:t>矢状面</w:t>
      </w:r>
      <w:r>
        <w:rPr>
          <w:rFonts w:hint="eastAsia" w:ascii="Times New Roman" w:hAnsi="Times New Roman" w:eastAsia="宋体" w:cs="Times New Roman"/>
          <w:sz w:val="24"/>
          <w:szCs w:val="32"/>
          <w:highlight w:val="none"/>
          <w:lang w:val="en-US" w:eastAsia="zh-CN"/>
        </w:rPr>
        <w:t>、针道面；</w:t>
      </w:r>
    </w:p>
    <w:p w14:paraId="505F1767">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（4）体表、靶区和重要器官等多目标的三维重建与显示；</w:t>
      </w:r>
    </w:p>
    <w:p w14:paraId="1DBC0896">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（5）三维数据的透明和半透明显示；</w:t>
      </w:r>
    </w:p>
    <w:p w14:paraId="0AAA4F57">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4、计划设计</w:t>
      </w:r>
    </w:p>
    <w:p w14:paraId="54B6FCA2">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 xml:space="preserve">（1）源的当前活度修正及实时剂量计算、显示； </w:t>
      </w:r>
    </w:p>
    <w:p w14:paraId="5A328C39">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（2）具备多种源（125I-6711，125I-6702、103Pd-200），严格按AAPMTG43/64/84标准计算放射剂量分布；</w:t>
      </w:r>
    </w:p>
    <w:p w14:paraId="6D1E72F5">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（3）前列腺手术中针点与系统图像显示的标点和B超的虚拟</w:t>
      </w:r>
      <w:r>
        <w:rPr>
          <w:rFonts w:hint="eastAsia" w:cs="Times New Roman"/>
          <w:sz w:val="24"/>
          <w:szCs w:val="32"/>
          <w:highlight w:val="none"/>
          <w:lang w:val="en-US" w:eastAsia="zh-CN"/>
        </w:rPr>
        <w:t>模板</w:t>
      </w:r>
      <w:r>
        <w:rPr>
          <w:rFonts w:hint="eastAsia" w:ascii="Times New Roman" w:hAnsi="Times New Roman" w:eastAsia="宋体" w:cs="Times New Roman"/>
          <w:sz w:val="24"/>
          <w:szCs w:val="32"/>
          <w:highlight w:val="none"/>
          <w:lang w:val="en-US" w:eastAsia="zh-CN"/>
        </w:rPr>
        <w:t>完全重合；</w:t>
      </w:r>
    </w:p>
    <w:p w14:paraId="446BDAEC">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（4）交互式设计计划，采用多窗口的断层图像显示方式，可以在同一图像序列的不同层面间自由移动或在不同图像序列上设计、修改计划参数；</w:t>
      </w:r>
    </w:p>
    <w:p w14:paraId="4B43E323">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（5）具备多模板及多单针引导、空间任意方位交互式布针；</w:t>
      </w:r>
    </w:p>
    <w:p w14:paraId="4B07A684">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（6）具备条件设定的全自动剂量布源功能；</w:t>
      </w:r>
    </w:p>
    <w:p w14:paraId="201DAED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（7）专为前列腺设计的全自动布源功能；</w:t>
      </w:r>
    </w:p>
    <w:p w14:paraId="26FC21EA">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（8）具备GPU快速剂量计算；</w:t>
      </w:r>
    </w:p>
    <w:p w14:paraId="5E415786">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（9）具备同一计划多个模板设计、病人的多计划设计和计划数据的相互拷贝；</w:t>
      </w:r>
    </w:p>
    <w:p w14:paraId="3103D343">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（10）为个性化</w:t>
      </w:r>
      <w:r>
        <w:rPr>
          <w:rFonts w:hint="eastAsia" w:cs="Times New Roman"/>
          <w:sz w:val="24"/>
          <w:szCs w:val="32"/>
          <w:highlight w:val="none"/>
          <w:lang w:val="en-US" w:eastAsia="zh-CN"/>
        </w:rPr>
        <w:t>模板</w:t>
      </w:r>
      <w:r>
        <w:rPr>
          <w:rFonts w:hint="eastAsia" w:ascii="Times New Roman" w:hAnsi="Times New Roman" w:eastAsia="宋体" w:cs="Times New Roman"/>
          <w:sz w:val="24"/>
          <w:szCs w:val="32"/>
          <w:highlight w:val="none"/>
          <w:lang w:val="en-US" w:eastAsia="zh-CN"/>
        </w:rPr>
        <w:t>设计制作所需数据的提取功能。</w:t>
      </w:r>
    </w:p>
    <w:p w14:paraId="74A38742">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（11）自动判定针道铰链冲突功能。</w:t>
      </w:r>
    </w:p>
    <w:p w14:paraId="358897D2">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5、剂量评估和输出治疗报告</w:t>
      </w:r>
    </w:p>
    <w:p w14:paraId="2187B2B9">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（1）可以在轴位、冠状位、矢状位图像上显示模板、针及源的分布；</w:t>
      </w:r>
    </w:p>
    <w:p w14:paraId="3AAE6487">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 xml:space="preserve">（2）可以在不同的图像序列的断层图像和冠状位、矢状位图像上直观地显示等剂量分布； </w:t>
      </w:r>
    </w:p>
    <w:p w14:paraId="721F6DD2">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（3）显示等剂量面与靶区及断层图像在三维空间中各个角度的吻合情况和相互关系；</w:t>
      </w:r>
    </w:p>
    <w:p w14:paraId="7D95794F">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（4）三维剂量场的半透明、实体显示及交互旋转；</w:t>
      </w:r>
    </w:p>
    <w:p w14:paraId="275B9E7F">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（5）绝对剂量与相对剂量的实时显示，计划空间任意点必须以绝对剂量实时显示；</w:t>
      </w:r>
    </w:p>
    <w:p w14:paraId="721FC3FE">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（6）具备多种剂量评估方法，如P.O.I、Profile、DVH等；</w:t>
      </w:r>
    </w:p>
    <w:p w14:paraId="6265F2EC">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（7）自定义靶区和重要器官的体积剂量分析及统计结果，包括：DVH图形，V300、V100、V90、D100、D90、D2cc、D5cc等参数；</w:t>
      </w:r>
    </w:p>
    <w:p w14:paraId="61CFC4F9">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（8）配备打印输出所有的治疗计划数据、评估图形和图像的设备；</w:t>
      </w:r>
    </w:p>
    <w:p w14:paraId="5E73EDE3">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6、验证计划</w:t>
      </w:r>
    </w:p>
    <w:p w14:paraId="7FA5B6C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（1）实时显示系统：实时显示剂量分布，可进行实时验证；</w:t>
      </w:r>
    </w:p>
    <w:p w14:paraId="7867EB77">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 xml:space="preserve">（2）具备自动识别功能； </w:t>
      </w:r>
    </w:p>
    <w:p w14:paraId="26DD71FE">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（3）具备基于模拟机（X光机）正位、侧位片的定位功能，自动识别空间分布；</w:t>
      </w:r>
    </w:p>
    <w:p w14:paraId="1FC0A170">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（4）自动识别重复计数的源；</w:t>
      </w:r>
    </w:p>
    <w:p w14:paraId="4864634F">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（5）具备当前活度的计算；</w:t>
      </w:r>
    </w:p>
    <w:p w14:paraId="62F2B0B6">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（6）精确计算整体剂量分布；</w:t>
      </w:r>
    </w:p>
    <w:p w14:paraId="318979DC">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（7）二维等剂量线和三维等剂量面的精确显示；</w:t>
      </w:r>
    </w:p>
    <w:p w14:paraId="4F5A0EDD">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（8）验证计划与术中、术前计划的融合与比较；</w:t>
      </w:r>
    </w:p>
    <w:p w14:paraId="16328332">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7、数据资料管理</w:t>
      </w:r>
    </w:p>
    <w:p w14:paraId="34E48BF2">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（1）具备完善的病例数据库管理,包括新建、编辑、修改、删除、查询等功能；</w:t>
      </w:r>
    </w:p>
    <w:p w14:paraId="7E86C76E">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（2）计划数据的管理，包括新建、编辑、修改、删除等功能；</w:t>
      </w:r>
    </w:p>
    <w:p w14:paraId="37406BF9">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（3）图像序列管理，包括新建、编辑、修改、删除等功能；</w:t>
      </w:r>
    </w:p>
    <w:p w14:paraId="0EF8627E">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（4）轮廓线项目及物理参数数据的自动管理；</w:t>
      </w:r>
    </w:p>
    <w:p w14:paraId="13008BB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（5）病例数据的备份与恢复；</w:t>
      </w:r>
    </w:p>
    <w:p w14:paraId="133DEC9A">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（6）用户密码及权限的管理功能；</w:t>
      </w:r>
    </w:p>
    <w:p w14:paraId="7B8FBE42">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（7）用户操作过程的自动记录功能。</w:t>
      </w:r>
    </w:p>
    <w:p w14:paraId="0A6D83E0">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8、计划系统必备功能</w:t>
      </w:r>
    </w:p>
    <w:p w14:paraId="4E6C25DD">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（1）具备3D模板设计、制作、显示一体化系统；</w:t>
      </w:r>
    </w:p>
    <w:p w14:paraId="7BE2DB54">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（2）具备与CT、核磁、B超实时连接、实时显示剂量的功能；</w:t>
      </w:r>
    </w:p>
    <w:p w14:paraId="1A9ACB6C">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（3）具备CT图像、PET-CT图像和核磁图像自动融合功能；</w:t>
      </w:r>
    </w:p>
    <w:p w14:paraId="0B477FDD">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（4）具备平行布源、扇形布源、圆形布源等设计功能；</w:t>
      </w:r>
    </w:p>
    <w:p w14:paraId="475704FC">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（5）具备能实时显示剂量和穿刺针道信息功能；</w:t>
      </w:r>
    </w:p>
    <w:p w14:paraId="1A475209">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（6）具备能显示剖面剂量功能；</w:t>
      </w:r>
    </w:p>
    <w:p w14:paraId="6733B910">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（7）具备自动布源功能，实现中心自动布源和周边自动布源；</w:t>
      </w:r>
    </w:p>
    <w:p w14:paraId="001F1E48">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（8）具备条件设定的全自动剂量布源功能；</w:t>
      </w:r>
    </w:p>
    <w:p w14:paraId="1BB8EB3A">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（9）具备术中优化系统功能：实时补种、实时调整功能；</w:t>
      </w:r>
    </w:p>
    <w:p w14:paraId="5D80D8ED">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（10）具备逆向设计功能；</w:t>
      </w:r>
    </w:p>
    <w:p w14:paraId="7649A353">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（11）具备术后实时验证系统功能；</w:t>
      </w:r>
    </w:p>
    <w:p w14:paraId="0EA50F38">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 xml:space="preserve">（12）具备三维空间核素自动识别验证功能；  </w:t>
      </w:r>
    </w:p>
    <w:p w14:paraId="5344A4F5">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（13）具备任意角度方向进针、多模板设计的功能；</w:t>
      </w:r>
    </w:p>
    <w:p w14:paraId="06122D71">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（14）具备CT MRI DICOM3.0、B超及扫描数据的功能；</w:t>
      </w:r>
    </w:p>
    <w:p w14:paraId="1C441D95">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（15）具备各个部位独立的专项功能:头颈部肿瘤治疗系统，体部肿瘤治疗系统，前列腺肿瘤治疗系统，食管癌肿瘤治疗系统</w:t>
      </w:r>
    </w:p>
    <w:p w14:paraId="4C17131A">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（16）兼容前列腺定位支架、体部定位支架</w:t>
      </w:r>
    </w:p>
    <w:p w14:paraId="7745F14C">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（17）长度（尺寸）重建偏差（精度）：≤1mm；</w:t>
      </w:r>
    </w:p>
    <w:p w14:paraId="7810B233">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（18）计量准确率偏差（精度）：≤±1%；</w:t>
      </w:r>
    </w:p>
    <w:p w14:paraId="3F51EDD0">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（19）体积重建精度偏差（精度）：≤±1%；</w:t>
      </w:r>
    </w:p>
    <w:p w14:paraId="2792EEB4">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（20）计量场分布准确性偏差（精度）：≤±3%；</w:t>
      </w:r>
    </w:p>
    <w:p w14:paraId="761751CD">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宋体" w:hAnsi="宋体" w:eastAsia="宋体" w:cs="宋体"/>
          <w:sz w:val="24"/>
          <w:szCs w:val="32"/>
          <w:highlight w:val="none"/>
          <w:lang w:val="en-US" w:eastAsia="zh-CN"/>
        </w:rPr>
        <w:t>*</w:t>
      </w:r>
      <w:r>
        <w:rPr>
          <w:rFonts w:hint="eastAsia" w:ascii="Times New Roman" w:hAnsi="Times New Roman" w:eastAsia="宋体" w:cs="Times New Roman"/>
          <w:sz w:val="24"/>
          <w:szCs w:val="32"/>
          <w:highlight w:val="none"/>
          <w:lang w:val="en-US" w:eastAsia="zh-CN"/>
        </w:rPr>
        <w:t>（21）具备各个部位独立的专项功能</w:t>
      </w:r>
      <w:r>
        <w:rPr>
          <w:rFonts w:hint="eastAsia" w:cs="Times New Roman"/>
          <w:sz w:val="24"/>
          <w:szCs w:val="32"/>
          <w:highlight w:val="none"/>
          <w:lang w:val="en-US" w:eastAsia="zh-CN"/>
        </w:rPr>
        <w:t>：</w:t>
      </w:r>
      <w:r>
        <w:rPr>
          <w:rFonts w:hint="eastAsia" w:ascii="Times New Roman" w:hAnsi="Times New Roman" w:eastAsia="宋体" w:cs="Times New Roman"/>
          <w:sz w:val="24"/>
          <w:szCs w:val="32"/>
          <w:highlight w:val="none"/>
          <w:lang w:val="en-US" w:eastAsia="zh-CN"/>
        </w:rPr>
        <w:t>头颈部肿瘤治疗系统，体部肿瘤治疗系统，前列腺肿瘤治疗系统，食管癌肿瘤治疗系统。</w:t>
      </w:r>
    </w:p>
    <w:p w14:paraId="7B222273">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宋体" w:hAnsi="宋体" w:eastAsia="宋体" w:cs="宋体"/>
          <w:sz w:val="24"/>
          <w:szCs w:val="32"/>
          <w:highlight w:val="none"/>
          <w:lang w:val="en-US" w:eastAsia="zh-CN"/>
        </w:rPr>
        <w:t>*</w:t>
      </w:r>
      <w:r>
        <w:rPr>
          <w:rFonts w:hint="eastAsia" w:ascii="Times New Roman" w:hAnsi="Times New Roman" w:eastAsia="宋体" w:cs="Times New Roman"/>
          <w:sz w:val="24"/>
          <w:szCs w:val="32"/>
          <w:highlight w:val="none"/>
          <w:lang w:val="en-US" w:eastAsia="zh-CN"/>
        </w:rPr>
        <w:t>（22）具备体表、靶区和重要器官等多目标的三维重建与显示，具有体素三维重建的功能，包括</w:t>
      </w:r>
      <w:r>
        <w:rPr>
          <w:rFonts w:hint="eastAsia" w:cs="Times New Roman"/>
          <w:sz w:val="24"/>
          <w:szCs w:val="32"/>
          <w:highlight w:val="none"/>
          <w:lang w:val="en-US" w:eastAsia="zh-CN"/>
        </w:rPr>
        <w:t>：</w:t>
      </w:r>
      <w:r>
        <w:rPr>
          <w:rFonts w:hint="eastAsia" w:ascii="Times New Roman" w:hAnsi="Times New Roman" w:eastAsia="宋体" w:cs="Times New Roman"/>
          <w:sz w:val="24"/>
          <w:szCs w:val="32"/>
          <w:highlight w:val="none"/>
          <w:lang w:val="en-US" w:eastAsia="zh-CN"/>
        </w:rPr>
        <w:t>皮肤、骨骼、血管、重要器官、肿瘤靶区的重建，能够直观显示穿刺通道的路径，有效</w:t>
      </w:r>
      <w:r>
        <w:rPr>
          <w:rFonts w:hint="eastAsia" w:cs="Times New Roman"/>
          <w:sz w:val="24"/>
          <w:szCs w:val="32"/>
          <w:highlight w:val="none"/>
          <w:lang w:val="en-US" w:eastAsia="zh-CN"/>
        </w:rPr>
        <w:t>地</w:t>
      </w:r>
      <w:r>
        <w:rPr>
          <w:rFonts w:hint="eastAsia" w:ascii="Times New Roman" w:hAnsi="Times New Roman" w:eastAsia="宋体" w:cs="Times New Roman"/>
          <w:sz w:val="24"/>
          <w:szCs w:val="32"/>
          <w:highlight w:val="none"/>
          <w:lang w:val="en-US" w:eastAsia="zh-CN"/>
        </w:rPr>
        <w:t>避开血管、骨骼及重要器官。</w:t>
      </w:r>
    </w:p>
    <w:p w14:paraId="28A845D0">
      <w:pPr>
        <w:bidi w:val="0"/>
        <w:spacing w:line="360" w:lineRule="auto"/>
        <w:ind w:firstLine="240" w:firstLineChars="100"/>
        <w:rPr>
          <w:rFonts w:hint="eastAsia" w:ascii="Times New Roman" w:hAnsi="Times New Roman" w:eastAsia="宋体" w:cs="Times New Roman"/>
          <w:sz w:val="24"/>
          <w:szCs w:val="32"/>
          <w:highlight w:val="none"/>
          <w:lang w:val="en-US" w:eastAsia="zh-CN"/>
        </w:rPr>
      </w:pPr>
      <w:r>
        <w:rPr>
          <w:rFonts w:hint="eastAsia" w:ascii="宋体" w:hAnsi="宋体" w:eastAsia="宋体" w:cs="宋体"/>
          <w:sz w:val="24"/>
          <w:szCs w:val="32"/>
          <w:highlight w:val="none"/>
          <w:lang w:val="en-US" w:eastAsia="zh-CN"/>
        </w:rPr>
        <w:t>*</w:t>
      </w:r>
      <w:r>
        <w:rPr>
          <w:rFonts w:hint="eastAsia" w:ascii="Times New Roman" w:hAnsi="Times New Roman" w:eastAsia="宋体" w:cs="Times New Roman"/>
          <w:sz w:val="24"/>
          <w:szCs w:val="32"/>
          <w:highlight w:val="none"/>
          <w:lang w:val="en-US" w:eastAsia="zh-CN"/>
        </w:rPr>
        <w:t>（23）治疗系统具有结合传统脑图谱，支持功能性神经核团的自动探测，入脑点和手术路径在序列断层图像上的直观显示及三维模拟显示。</w:t>
      </w:r>
    </w:p>
    <w:p w14:paraId="4F5EDD45">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w:t>
      </w:r>
      <w:r>
        <w:rPr>
          <w:rFonts w:hint="eastAsia" w:cs="Times New Roman"/>
          <w:sz w:val="24"/>
          <w:szCs w:val="32"/>
          <w:highlight w:val="none"/>
          <w:lang w:val="en-US" w:eastAsia="zh-CN"/>
        </w:rPr>
        <w:t>四</w:t>
      </w:r>
      <w:r>
        <w:rPr>
          <w:rFonts w:hint="eastAsia" w:ascii="Times New Roman" w:hAnsi="Times New Roman" w:eastAsia="宋体" w:cs="Times New Roman"/>
          <w:sz w:val="24"/>
          <w:szCs w:val="32"/>
          <w:highlight w:val="none"/>
          <w:lang w:val="en-US" w:eastAsia="zh-CN"/>
        </w:rPr>
        <w:t>）工作站平台</w:t>
      </w:r>
    </w:p>
    <w:p w14:paraId="11919395">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1、主控主机：内存容量≥8GB，容量≥1T；</w:t>
      </w:r>
    </w:p>
    <w:p w14:paraId="7D4EBBB3">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2、液晶显示器≥19"。</w:t>
      </w:r>
    </w:p>
    <w:p w14:paraId="7BDEE34A">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w:t>
      </w:r>
      <w:r>
        <w:rPr>
          <w:rFonts w:hint="eastAsia" w:cs="Times New Roman"/>
          <w:sz w:val="24"/>
          <w:szCs w:val="32"/>
          <w:highlight w:val="none"/>
          <w:lang w:val="en-US" w:eastAsia="zh-CN"/>
        </w:rPr>
        <w:t>五</w:t>
      </w:r>
      <w:r>
        <w:rPr>
          <w:rFonts w:hint="eastAsia" w:ascii="Times New Roman" w:hAnsi="Times New Roman" w:eastAsia="宋体" w:cs="Times New Roman"/>
          <w:sz w:val="24"/>
          <w:szCs w:val="32"/>
          <w:highlight w:val="none"/>
          <w:lang w:val="en-US" w:eastAsia="zh-CN"/>
        </w:rPr>
        <w:t>）体部导航定位支架1套</w:t>
      </w:r>
    </w:p>
    <w:p w14:paraId="656D7692">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1、主要用于术中穿刺的精确定位。</w:t>
      </w:r>
    </w:p>
    <w:p w14:paraId="249816AF">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2、通过CT影像选择最佳的穿刺路径及模板的角度，通过穿刺模板导航定位系统的倾角仪调整模板角度并在倾角仪显示器上确认模板角度，穿刺模板结合导航定位系统，定位无误差。</w:t>
      </w:r>
    </w:p>
    <w:p w14:paraId="7281966C">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3、体部靶向定位支架底座固定到CT专用床板后，底座具有前后调节系统，前后调节范围</w:t>
      </w:r>
      <w:r>
        <w:rPr>
          <w:rFonts w:hint="eastAsia" w:cs="Times New Roman"/>
          <w:sz w:val="24"/>
          <w:szCs w:val="32"/>
          <w:highlight w:val="none"/>
          <w:lang w:val="en-US" w:eastAsia="zh-CN"/>
        </w:rPr>
        <w:t>：</w:t>
      </w:r>
      <w:r>
        <w:rPr>
          <w:rFonts w:hint="eastAsia" w:ascii="Times New Roman" w:hAnsi="Times New Roman" w:eastAsia="宋体" w:cs="Times New Roman"/>
          <w:sz w:val="24"/>
          <w:szCs w:val="32"/>
          <w:highlight w:val="none"/>
          <w:lang w:val="en-US" w:eastAsia="zh-CN"/>
        </w:rPr>
        <w:t>0mm-130mm。</w:t>
      </w:r>
    </w:p>
    <w:p w14:paraId="20E6B0C9">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4、体部靶向定位支架底座升降系统，可根据患者体位调节体部靶向定位支架的高度，升降范围：280mm-400mm。</w:t>
      </w:r>
    </w:p>
    <w:p w14:paraId="1901BC67">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5、体部靶向定位支架矢状面调节系统，可调节范围：0mm-210mm。</w:t>
      </w:r>
    </w:p>
    <w:p w14:paraId="56762FD6">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6、体部靶向定位支架具有前后微调系统，前后微调范围：0mm-70mm。通过底座前后调节将穿刺模板送至患者体表靶区，通过前后微调系统可将穿刺模板中心精准送至体表穿刺点。</w:t>
      </w:r>
    </w:p>
    <w:p w14:paraId="04D5A0AD">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7、体部靶向定位支架倾角仪系统，倾角仪系统连接穿刺模板，可将穿刺模板进行X、Y轴调节，X轴调节范围：-90°- 90°，Y轴调节范围-90°- 90°。</w:t>
      </w:r>
    </w:p>
    <w:p w14:paraId="4BF4E1E8">
      <w:pPr>
        <w:bidi w:val="0"/>
        <w:spacing w:line="360" w:lineRule="auto"/>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w:t>
      </w:r>
      <w:r>
        <w:rPr>
          <w:rFonts w:hint="eastAsia" w:cs="Times New Roman"/>
          <w:sz w:val="24"/>
          <w:szCs w:val="32"/>
          <w:highlight w:val="none"/>
          <w:lang w:val="en-US" w:eastAsia="zh-CN"/>
        </w:rPr>
        <w:t>六</w:t>
      </w:r>
      <w:r>
        <w:rPr>
          <w:rFonts w:hint="eastAsia" w:ascii="Times New Roman" w:hAnsi="Times New Roman" w:eastAsia="宋体" w:cs="Times New Roman"/>
          <w:sz w:val="24"/>
          <w:szCs w:val="32"/>
          <w:highlight w:val="none"/>
          <w:lang w:val="en-US" w:eastAsia="zh-CN"/>
        </w:rPr>
        <w:t>）相关配套附件</w:t>
      </w:r>
    </w:p>
    <w:p w14:paraId="6A6768F3">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1、活度计1台</w:t>
      </w:r>
    </w:p>
    <w:p w14:paraId="43FAD7CD">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2、真空负压泵和真空负压垫 1套</w:t>
      </w:r>
    </w:p>
    <w:p w14:paraId="789E0556">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3、定位碳纤维板 1块</w:t>
      </w:r>
    </w:p>
    <w:p w14:paraId="3C6F38D2">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4、防护箱 1台</w:t>
      </w:r>
    </w:p>
    <w:p w14:paraId="4DA22248">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5、消毒盒 2个</w:t>
      </w:r>
    </w:p>
    <w:p w14:paraId="401FC41F">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6、铅罐 3个</w:t>
      </w:r>
    </w:p>
    <w:p w14:paraId="2B8A74AE">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7、粒子丢失探测仪1个</w:t>
      </w:r>
    </w:p>
    <w:p w14:paraId="5C70B08A">
      <w:pPr>
        <w:bidi w:val="0"/>
        <w:spacing w:line="360" w:lineRule="auto"/>
        <w:ind w:firstLine="480" w:firstLineChars="200"/>
        <w:rPr>
          <w:rFonts w:hint="eastAsia" w:ascii="Times New Roman" w:hAnsi="Times New Roman" w:eastAsia="宋体" w:cs="Times New Roman"/>
          <w:sz w:val="24"/>
          <w:szCs w:val="32"/>
          <w:highlight w:val="none"/>
          <w:lang w:val="en-US" w:eastAsia="zh-CN"/>
        </w:rPr>
      </w:pPr>
      <w:r>
        <w:rPr>
          <w:rFonts w:hint="eastAsia" w:ascii="Times New Roman" w:hAnsi="Times New Roman" w:eastAsia="宋体" w:cs="Times New Roman"/>
          <w:sz w:val="24"/>
          <w:szCs w:val="32"/>
          <w:highlight w:val="none"/>
          <w:lang w:val="en-US" w:eastAsia="zh-CN"/>
        </w:rPr>
        <w:t>8、表面污染仪1个</w:t>
      </w:r>
    </w:p>
    <w:p w14:paraId="150F9944">
      <w:pPr>
        <w:bidi w:val="0"/>
        <w:rPr>
          <w:rFonts w:hint="eastAsia"/>
          <w:sz w:val="24"/>
          <w:szCs w:val="32"/>
          <w:highlight w:val="none"/>
          <w:lang w:val="en-US" w:eastAsia="zh-CN"/>
        </w:rPr>
      </w:pPr>
    </w:p>
    <w:p w14:paraId="41737D04">
      <w:pPr>
        <w:pStyle w:val="50"/>
        <w:rPr>
          <w:rFonts w:hint="eastAsia" w:ascii="宋体" w:hAnsi="宋体" w:eastAsia="宋体" w:cs="宋体"/>
          <w:b/>
          <w:bCs/>
          <w:color w:val="auto"/>
          <w:kern w:val="2"/>
          <w:sz w:val="21"/>
          <w:szCs w:val="24"/>
          <w:highlight w:val="none"/>
          <w:lang w:val="en-US" w:eastAsia="zh-CN" w:bidi="ar-SA"/>
        </w:rPr>
      </w:pPr>
    </w:p>
    <w:p w14:paraId="4235F853">
      <w:pPr>
        <w:pStyle w:val="50"/>
        <w:rPr>
          <w:rFonts w:hint="eastAsia" w:ascii="宋体" w:hAnsi="宋体" w:eastAsia="宋体" w:cs="宋体"/>
          <w:b/>
          <w:bCs/>
          <w:color w:val="auto"/>
          <w:kern w:val="2"/>
          <w:sz w:val="21"/>
          <w:szCs w:val="24"/>
          <w:highlight w:val="none"/>
          <w:lang w:val="en-US" w:eastAsia="zh-CN" w:bidi="ar-SA"/>
        </w:rPr>
      </w:pPr>
    </w:p>
    <w:p w14:paraId="04EA2D64">
      <w:pPr>
        <w:pStyle w:val="50"/>
        <w:rPr>
          <w:rFonts w:hint="eastAsia" w:ascii="宋体" w:hAnsi="宋体" w:eastAsia="宋体" w:cs="宋体"/>
          <w:b/>
          <w:bCs/>
          <w:color w:val="auto"/>
          <w:kern w:val="2"/>
          <w:sz w:val="21"/>
          <w:szCs w:val="24"/>
          <w:highlight w:val="none"/>
          <w:lang w:val="en-US" w:eastAsia="zh-CN" w:bidi="ar-SA"/>
        </w:rPr>
      </w:pPr>
    </w:p>
    <w:p w14:paraId="0CC0210B">
      <w:pPr>
        <w:pStyle w:val="50"/>
        <w:rPr>
          <w:rFonts w:hint="eastAsia" w:ascii="宋体" w:hAnsi="宋体" w:eastAsia="宋体" w:cs="宋体"/>
          <w:b/>
          <w:bCs/>
          <w:color w:val="auto"/>
          <w:kern w:val="2"/>
          <w:sz w:val="21"/>
          <w:szCs w:val="24"/>
          <w:highlight w:val="none"/>
          <w:lang w:val="en-US" w:eastAsia="zh-CN" w:bidi="ar-SA"/>
        </w:rPr>
      </w:pPr>
    </w:p>
    <w:p w14:paraId="27A37746">
      <w:pPr>
        <w:pStyle w:val="50"/>
        <w:rPr>
          <w:rFonts w:hint="eastAsia" w:ascii="宋体" w:hAnsi="宋体" w:eastAsia="宋体" w:cs="宋体"/>
          <w:b/>
          <w:bCs/>
          <w:color w:val="auto"/>
          <w:kern w:val="2"/>
          <w:sz w:val="21"/>
          <w:szCs w:val="24"/>
          <w:highlight w:val="none"/>
          <w:lang w:val="en-US" w:eastAsia="zh-CN" w:bidi="ar-SA"/>
        </w:rPr>
      </w:pPr>
    </w:p>
    <w:p w14:paraId="5702F2F3">
      <w:pPr>
        <w:pStyle w:val="50"/>
        <w:rPr>
          <w:rFonts w:hint="eastAsia" w:ascii="宋体" w:hAnsi="宋体" w:eastAsia="宋体" w:cs="宋体"/>
          <w:b/>
          <w:bCs/>
          <w:color w:val="auto"/>
          <w:kern w:val="2"/>
          <w:sz w:val="21"/>
          <w:szCs w:val="24"/>
          <w:highlight w:val="none"/>
          <w:lang w:val="en-US" w:eastAsia="zh-CN" w:bidi="ar-SA"/>
        </w:rPr>
      </w:pPr>
    </w:p>
    <w:p w14:paraId="160A0B67">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22B3C3CB">
      <w:pPr>
        <w:pStyle w:val="50"/>
        <w:ind w:left="0" w:leftChars="0" w:firstLine="0" w:firstLineChars="0"/>
        <w:rPr>
          <w:rFonts w:hint="eastAsia" w:ascii="宋体" w:hAnsi="宋体" w:eastAsia="宋体" w:cs="宋体"/>
          <w:b/>
          <w:bCs/>
          <w:color w:val="auto"/>
          <w:kern w:val="2"/>
          <w:sz w:val="21"/>
          <w:szCs w:val="24"/>
          <w:highlight w:val="none"/>
          <w:lang w:val="en-US" w:eastAsia="zh-CN" w:bidi="ar-SA"/>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both"/>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合同签订时间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自成交通知书发出之日起</w:t>
            </w:r>
            <w:r>
              <w:rPr>
                <w:rFonts w:hint="eastAsia"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日内。</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交货期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ind w:left="0" w:left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 xml:space="preserve">合同签订后30日内交货，最终以合同约定内容为准。  </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2D90186">
            <w:pPr>
              <w:pStyle w:val="7"/>
              <w:ind w:left="0" w:left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从产品入库之日起，整机保修三年。</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426DD86E">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以合同签订为准</w:t>
            </w:r>
          </w:p>
        </w:tc>
      </w:tr>
      <w:tr w14:paraId="3BE69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4478513">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64B54A8A">
            <w:pPr>
              <w:keepNext w:val="0"/>
              <w:keepLines w:val="0"/>
              <w:pageBreakBefore w:val="0"/>
              <w:widowControl w:val="0"/>
              <w:numPr>
                <w:ilvl w:val="0"/>
                <w:numId w:val="1"/>
              </w:numPr>
              <w:kinsoku/>
              <w:wordWrap/>
              <w:overflowPunct/>
              <w:topLinePunct w:val="0"/>
              <w:autoSpaceDE/>
              <w:autoSpaceDN/>
              <w:bidi w:val="0"/>
              <w:adjustRightInd/>
              <w:snapToGrid/>
              <w:spacing w:line="440" w:lineRule="exact"/>
              <w:textAlignment w:val="auto"/>
              <w:rPr>
                <w:rFonts w:hint="eastAsia"/>
                <w:sz w:val="24"/>
                <w:szCs w:val="24"/>
                <w:highlight w:val="none"/>
                <w:lang w:val="en-US" w:eastAsia="zh-CN"/>
              </w:rPr>
            </w:pPr>
            <w:r>
              <w:rPr>
                <w:rFonts w:hint="eastAsia"/>
                <w:sz w:val="24"/>
                <w:szCs w:val="24"/>
                <w:highlight w:val="none"/>
                <w:lang w:val="en-US" w:eastAsia="zh-CN"/>
              </w:rPr>
              <w:t>质保期内应当为采购人提供以下技术支持和服务：</w:t>
            </w:r>
          </w:p>
          <w:p w14:paraId="3953C6F2">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rFonts w:hint="eastAsia"/>
                <w:sz w:val="24"/>
                <w:szCs w:val="24"/>
                <w:highlight w:val="none"/>
                <w:lang w:val="en-US" w:eastAsia="zh-CN"/>
              </w:rPr>
            </w:pPr>
            <w:r>
              <w:rPr>
                <w:rFonts w:hint="eastAsia"/>
                <w:sz w:val="24"/>
                <w:szCs w:val="24"/>
                <w:highlight w:val="none"/>
                <w:lang w:val="en-US" w:eastAsia="zh-CN"/>
              </w:rPr>
              <w:t>现场响应：供应商应保证在12小时内对用户提出的问题或故障予以响应及处理。可提供备用设备或核心部件应急使用。</w:t>
            </w:r>
          </w:p>
          <w:p w14:paraId="2F15CA76">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rFonts w:hint="eastAsia"/>
                <w:sz w:val="24"/>
                <w:szCs w:val="24"/>
                <w:highlight w:val="none"/>
                <w:lang w:val="en-US" w:eastAsia="zh-CN"/>
              </w:rPr>
            </w:pPr>
            <w:r>
              <w:rPr>
                <w:rFonts w:hint="eastAsia"/>
                <w:sz w:val="24"/>
                <w:szCs w:val="24"/>
                <w:highlight w:val="none"/>
                <w:lang w:val="en-US" w:eastAsia="zh-CN"/>
              </w:rPr>
              <w:t>成交供应商应当每季度对该设备进行保养不少于一次,并出具保养报告，具体保养内容见合同。</w:t>
            </w:r>
          </w:p>
          <w:p w14:paraId="1D461F3B">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rFonts w:hint="eastAsia"/>
                <w:sz w:val="24"/>
                <w:szCs w:val="24"/>
                <w:highlight w:val="none"/>
                <w:lang w:val="en-US" w:eastAsia="zh-CN"/>
              </w:rPr>
            </w:pPr>
            <w:r>
              <w:rPr>
                <w:rFonts w:hint="eastAsia"/>
                <w:sz w:val="24"/>
                <w:szCs w:val="24"/>
                <w:highlight w:val="none"/>
                <w:lang w:val="en-US" w:eastAsia="zh-CN"/>
              </w:rPr>
              <w:t>质保期内该设备应保证大于95%（含）的开机率，如达不到要求，每少于一天质保期顺延7天，如造成严重损失需赔偿用户经济损失或换货或退货。</w:t>
            </w:r>
          </w:p>
          <w:p w14:paraId="27F92BF6">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rFonts w:hint="eastAsia"/>
                <w:sz w:val="24"/>
                <w:szCs w:val="24"/>
                <w:highlight w:val="none"/>
                <w:lang w:val="en-US" w:eastAsia="zh-CN"/>
              </w:rPr>
            </w:pPr>
            <w:r>
              <w:rPr>
                <w:rFonts w:hint="eastAsia"/>
                <w:sz w:val="24"/>
                <w:szCs w:val="24"/>
                <w:highlight w:val="none"/>
                <w:lang w:val="en-US" w:eastAsia="zh-CN"/>
              </w:rPr>
              <w:t>技术升级，如果制造商的产品技术升级，成交供应商应及时通知采购人，如采购人有相应要求，</w:t>
            </w:r>
            <w:r>
              <w:rPr>
                <w:rFonts w:hint="eastAsia" w:ascii="Times New Roman" w:eastAsia="宋体"/>
                <w:sz w:val="24"/>
                <w:szCs w:val="24"/>
                <w:highlight w:val="none"/>
                <w:lang w:val="en-US" w:eastAsia="zh-CN"/>
              </w:rPr>
              <w:t>成交供应商</w:t>
            </w:r>
            <w:r>
              <w:rPr>
                <w:rFonts w:hint="eastAsia"/>
                <w:sz w:val="24"/>
                <w:szCs w:val="24"/>
                <w:highlight w:val="none"/>
                <w:lang w:val="en-US" w:eastAsia="zh-CN"/>
              </w:rPr>
              <w:t>和制造商应对采购人购买的产品进行免费升级服务。</w:t>
            </w:r>
          </w:p>
          <w:p w14:paraId="2FE7F45C">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firstLine="0" w:firstLineChars="0"/>
              <w:textAlignment w:val="auto"/>
              <w:rPr>
                <w:rFonts w:hint="eastAsia"/>
                <w:sz w:val="24"/>
                <w:szCs w:val="24"/>
                <w:highlight w:val="none"/>
                <w:lang w:val="en-US" w:eastAsia="zh-CN"/>
              </w:rPr>
            </w:pPr>
            <w:r>
              <w:rPr>
                <w:rFonts w:hint="eastAsia"/>
                <w:sz w:val="24"/>
                <w:szCs w:val="24"/>
                <w:highlight w:val="none"/>
                <w:lang w:val="en-US" w:eastAsia="zh-CN"/>
              </w:rPr>
              <w:t>供应商交付设备时，应按照《国家食品药品监督管理总局》第18号令第17条的要求提供相应的维护手册、维修手册、软件备份、故障代码表、备件清单、零部件、维修密码等维护维修必需的材料和信息。</w:t>
            </w:r>
          </w:p>
          <w:p w14:paraId="206A227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sz w:val="24"/>
                <w:szCs w:val="24"/>
                <w:highlight w:val="none"/>
                <w:lang w:val="en-US" w:eastAsia="zh-CN"/>
              </w:rPr>
            </w:pPr>
            <w:r>
              <w:rPr>
                <w:rFonts w:hint="eastAsia"/>
                <w:sz w:val="24"/>
                <w:szCs w:val="24"/>
                <w:highlight w:val="none"/>
                <w:lang w:val="en-US" w:eastAsia="zh-CN"/>
              </w:rPr>
              <w:t>f、除火灾、洪水、地震等天灾外，在保修期内，由于货物故障所产生的所有费用均由供应商负责。</w:t>
            </w:r>
          </w:p>
          <w:p w14:paraId="4F61398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sz w:val="24"/>
                <w:szCs w:val="24"/>
                <w:highlight w:val="none"/>
                <w:lang w:val="en-US" w:eastAsia="zh-CN"/>
              </w:rPr>
              <w:t xml:space="preserve">2.培训：免费提供操作培训和维修培训。                         </w:t>
            </w:r>
          </w:p>
        </w:tc>
      </w:tr>
      <w:tr w14:paraId="76C35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79DE172">
            <w:pPr>
              <w:pStyle w:val="7"/>
              <w:ind w:left="0" w:leftChars="0"/>
              <w:jc w:val="center"/>
              <w:rPr>
                <w:rFonts w:hint="eastAsia" w:cs="宋体"/>
                <w:color w:val="auto"/>
                <w:sz w:val="24"/>
                <w:szCs w:val="24"/>
                <w:highlight w:val="none"/>
                <w:lang w:val="en-US" w:eastAsia="zh-CN"/>
              </w:rPr>
            </w:pPr>
            <w:r>
              <w:rPr>
                <w:rFonts w:hint="eastAsia" w:cs="宋体"/>
                <w:color w:val="auto"/>
                <w:sz w:val="24"/>
                <w:szCs w:val="24"/>
                <w:highlight w:val="none"/>
                <w:lang w:val="en-US" w:eastAsia="zh-CN"/>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1A7B194A">
            <w:pPr>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szCs w:val="24"/>
                <w:highlight w:val="none"/>
                <w:lang w:val="en-US" w:eastAsia="zh-CN"/>
              </w:rPr>
            </w:pPr>
            <w:r>
              <w:rPr>
                <w:rFonts w:hint="eastAsia"/>
                <w:sz w:val="24"/>
                <w:szCs w:val="24"/>
                <w:highlight w:val="none"/>
                <w:lang w:val="en-US" w:eastAsia="zh-CN"/>
              </w:rPr>
              <w:t xml:space="preserve">要求设备为最新出厂设备，出厂日期不得早于招标日期6个月。 </w:t>
            </w:r>
          </w:p>
        </w:tc>
      </w:tr>
    </w:tbl>
    <w:p w14:paraId="7EF932AE">
      <w:pPr>
        <w:pStyle w:val="24"/>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p>
    <w:p w14:paraId="328841DF">
      <w:pPr>
        <w:pStyle w:val="24"/>
        <w:rPr>
          <w:rFonts w:hint="eastAsia" w:ascii="宋体" w:hAnsi="宋体" w:eastAsia="宋体" w:cs="宋体"/>
          <w:color w:val="auto"/>
          <w:highlight w:val="none"/>
        </w:rPr>
      </w:pP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both"/>
        <w:textAlignment w:val="auto"/>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采购人对项目的特殊要求及说明</w:t>
      </w:r>
    </w:p>
    <w:tbl>
      <w:tblPr>
        <w:tblStyle w:val="34"/>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Times New Roman" w:hAnsi="Times New Roman" w:eastAsia="宋体" w:cs="Times New Roman"/>
                <w:color w:val="auto"/>
                <w:sz w:val="22"/>
                <w:szCs w:val="28"/>
                <w:highlight w:val="none"/>
                <w:lang w:val="en-US" w:eastAsia="zh-CN"/>
              </w:rPr>
            </w:pPr>
            <w:r>
              <w:rPr>
                <w:rFonts w:hint="eastAsia" w:ascii="Times New Roman" w:hAnsi="Times New Roman" w:eastAsia="宋体" w:cs="Times New Roman"/>
                <w:color w:val="auto"/>
                <w:sz w:val="22"/>
                <w:szCs w:val="28"/>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7E6169D9">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供应商须提供符合国家质量标准、部颁标准、行业标准或本招标文件规定标准的、供货渠道合法的全新原装合格正品（包括零部件），如安装或配置软件的，须为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认证产品）的，该产品应具有认证机构颁发给制造商的该产品强制性认证证书。</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采购人使用成交供应商成交的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Times New Roman" w:hAnsi="Times New Roman" w:eastAsia="宋体" w:cs="Times New Roman"/>
                <w:color w:val="auto"/>
                <w:sz w:val="22"/>
                <w:szCs w:val="28"/>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6.商品包装和快递包装应符合《商品包装政府采购需求标准（试行）》和《快递包装政府采购需求标准（试行）》规定。</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35万元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35</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w:t>
      </w:r>
      <w:r>
        <w:rPr>
          <w:rFonts w:hint="eastAsia" w:ascii="宋体" w:hAnsi="宋体" w:cs="宋体"/>
          <w:color w:val="auto"/>
          <w:sz w:val="24"/>
          <w:szCs w:val="24"/>
          <w:highlight w:val="none"/>
          <w:shd w:val="clear" w:color="auto" w:fill="FFFFFF"/>
          <w:lang w:val="en-US" w:eastAsia="zh-CN"/>
        </w:rPr>
        <w:t>作为</w:t>
      </w:r>
      <w:r>
        <w:rPr>
          <w:rFonts w:hint="eastAsia" w:ascii="宋体" w:hAnsi="宋体" w:eastAsia="宋体" w:cs="宋体"/>
          <w:color w:val="auto"/>
          <w:sz w:val="24"/>
          <w:szCs w:val="24"/>
          <w:highlight w:val="none"/>
          <w:shd w:val="clear" w:color="auto" w:fill="FFFFFF"/>
          <w:lang w:val="en-US" w:eastAsia="zh-CN"/>
        </w:rPr>
        <w:t>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3.8本项目特定资格要求：</w:t>
      </w:r>
    </w:p>
    <w:p w14:paraId="2921A74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3.8.1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提供证书证明材料）</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》第二十二条第五款“参加政府采购活动前三年内，在经营活动中没有重大违法记录”，《</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 xml:space="preserve">》实施条例第十九条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1C4B3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766C86EA">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5FB0039">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w:t>
      </w:r>
      <w:r>
        <w:rPr>
          <w:rFonts w:hint="eastAsia" w:ascii="宋体" w:hAnsi="宋体" w:cs="宋体"/>
          <w:color w:val="auto"/>
          <w:kern w:val="0"/>
          <w:sz w:val="24"/>
          <w:szCs w:val="24"/>
          <w:highlight w:val="none"/>
          <w:lang w:eastAsia="zh-CN"/>
        </w:rPr>
        <w:t>间之</w:t>
      </w:r>
      <w:r>
        <w:rPr>
          <w:rFonts w:hint="eastAsia" w:ascii="宋体" w:hAnsi="宋体" w:eastAsia="宋体" w:cs="宋体"/>
          <w:color w:val="auto"/>
          <w:kern w:val="0"/>
          <w:sz w:val="24"/>
          <w:szCs w:val="24"/>
          <w:highlight w:val="none"/>
        </w:rPr>
        <w:t>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0F7DF679">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lang w:val="en-US" w:eastAsia="zh-CN"/>
        </w:rPr>
      </w:pP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784D697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lang w:val="en-US" w:eastAsia="zh-CN"/>
        </w:rPr>
      </w:pP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31399"/>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50</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42</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F4275A4">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供应商对“第二章 采购需求 三、技术要求”技术参数、性能及产品功能等的响应，所投产品全部满足磋商文件要求得</w:t>
            </w:r>
            <w:r>
              <w:rPr>
                <w:rFonts w:hint="eastAsia" w:ascii="宋体" w:hAnsi="宋体" w:cs="宋体"/>
                <w:color w:val="auto"/>
                <w:sz w:val="24"/>
                <w:szCs w:val="24"/>
                <w:highlight w:val="none"/>
                <w:lang w:val="en-US" w:eastAsia="zh-CN"/>
              </w:rPr>
              <w:t>42</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带“</w:t>
            </w:r>
            <w:r>
              <w:rPr>
                <w:rFonts w:hint="eastAsia" w:ascii="宋体" w:hAnsi="宋体" w:eastAsia="宋体" w:cs="宋体"/>
                <w:b/>
                <w:bCs/>
                <w:color w:val="auto"/>
                <w:sz w:val="24"/>
                <w:szCs w:val="24"/>
                <w:highlight w:val="none"/>
                <w:lang w:eastAsia="zh-CN"/>
              </w:rPr>
              <w:t>★</w:t>
            </w:r>
            <w:r>
              <w:rPr>
                <w:rFonts w:hint="eastAsia" w:ascii="宋体" w:hAnsi="宋体" w:cs="宋体"/>
                <w:b w:val="0"/>
                <w:bCs w:val="0"/>
                <w:color w:val="auto"/>
                <w:sz w:val="24"/>
                <w:szCs w:val="24"/>
                <w:highlight w:val="none"/>
                <w:lang w:eastAsia="zh-CN"/>
              </w:rPr>
              <w:t>”</w:t>
            </w:r>
            <w:r>
              <w:rPr>
                <w:rFonts w:hint="eastAsia" w:ascii="宋体" w:hAnsi="宋体" w:cs="宋体"/>
                <w:b/>
                <w:bCs/>
                <w:color w:val="auto"/>
                <w:sz w:val="24"/>
                <w:szCs w:val="24"/>
                <w:highlight w:val="none"/>
                <w:lang w:val="en-US" w:eastAsia="zh-CN"/>
              </w:rPr>
              <w:t>为实质性技术参数，不满足，则投标无效；</w:t>
            </w:r>
            <w:r>
              <w:rPr>
                <w:rFonts w:hint="eastAsia" w:ascii="宋体" w:hAnsi="宋体" w:eastAsia="宋体" w:cs="宋体"/>
                <w:color w:val="auto"/>
                <w:sz w:val="24"/>
                <w:szCs w:val="24"/>
                <w:highlight w:val="none"/>
                <w:lang w:val="en-US" w:eastAsia="zh-CN"/>
              </w:rPr>
              <w:t>带“*”号的技术参数为</w:t>
            </w:r>
            <w:r>
              <w:rPr>
                <w:rFonts w:hint="eastAsia" w:ascii="宋体" w:hAnsi="宋体" w:cs="宋体"/>
                <w:color w:val="auto"/>
                <w:sz w:val="24"/>
                <w:szCs w:val="24"/>
                <w:highlight w:val="none"/>
                <w:lang w:val="en-US" w:eastAsia="zh-CN"/>
              </w:rPr>
              <w:t>重要</w:t>
            </w:r>
            <w:r>
              <w:rPr>
                <w:rFonts w:hint="eastAsia" w:ascii="宋体" w:hAnsi="宋体" w:eastAsia="宋体" w:cs="宋体"/>
                <w:color w:val="auto"/>
                <w:sz w:val="24"/>
                <w:szCs w:val="24"/>
                <w:highlight w:val="none"/>
                <w:lang w:val="en-US" w:eastAsia="zh-CN"/>
              </w:rPr>
              <w:t>技术参数，有一项不满足的扣</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分；不带“*”号的技术参数为一般性技术参数，有一项不满足的扣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分；如得分为0，则磋商无效。 </w:t>
            </w:r>
          </w:p>
          <w:p w14:paraId="4039B1CC">
            <w:pPr>
              <w:widowControl/>
              <w:snapToGrid w:val="0"/>
              <w:spacing w:line="360" w:lineRule="exact"/>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1）供应商需如实填写技术偏离表，并标注偏离情况。</w:t>
            </w:r>
          </w:p>
          <w:p w14:paraId="4B6A797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sz w:val="24"/>
                <w:szCs w:val="24"/>
                <w:highlight w:val="none"/>
                <w:lang w:val="en-US" w:eastAsia="zh-CN"/>
              </w:rPr>
              <w:t>2</w:t>
            </w:r>
            <w:r>
              <w:rPr>
                <w:rFonts w:hint="eastAsia" w:ascii="宋体" w:hAnsi="宋体" w:cs="宋体"/>
                <w:sz w:val="24"/>
                <w:szCs w:val="24"/>
                <w:highlight w:val="none"/>
              </w:rPr>
              <w:t>）需提供产品注册检验报告</w:t>
            </w:r>
            <w:r>
              <w:rPr>
                <w:rFonts w:hint="eastAsia" w:ascii="宋体" w:hAnsi="宋体" w:cs="宋体"/>
                <w:b/>
                <w:bCs/>
                <w:sz w:val="24"/>
                <w:szCs w:val="24"/>
                <w:highlight w:val="none"/>
              </w:rPr>
              <w:t>（其中检验报告照片页必须提供）</w:t>
            </w:r>
            <w:r>
              <w:rPr>
                <w:rFonts w:hint="eastAsia" w:ascii="宋体" w:hAnsi="宋体" w:cs="宋体"/>
                <w:sz w:val="24"/>
                <w:szCs w:val="24"/>
                <w:highlight w:val="none"/>
              </w:rPr>
              <w:t>及响应技术参数条款的技术白皮书和彩页等相关文件，并对响应技术参数部分做出明显标注</w:t>
            </w:r>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b/>
                <w:bCs/>
                <w:color w:val="000000" w:themeColor="text1"/>
                <w:sz w:val="24"/>
                <w:szCs w:val="24"/>
                <w:highlight w:val="none"/>
                <w14:textFill>
                  <w14:solidFill>
                    <w14:schemeClr w14:val="tx1"/>
                  </w14:solidFill>
                </w14:textFill>
              </w:rPr>
              <w:t>未提供对应证明材料的，视为不满足该项参数要求，</w:t>
            </w:r>
            <w:r>
              <w:rPr>
                <w:rFonts w:hint="eastAsia" w:ascii="宋体" w:hAnsi="宋体" w:cs="宋体"/>
                <w:b/>
                <w:bCs/>
                <w:color w:val="000000" w:themeColor="text1"/>
                <w:sz w:val="24"/>
                <w:szCs w:val="24"/>
                <w:highlight w:val="none"/>
                <w:lang w:eastAsia="zh-CN"/>
                <w14:textFill>
                  <w14:solidFill>
                    <w14:schemeClr w14:val="tx1"/>
                  </w14:solidFill>
                </w14:textFill>
              </w:rPr>
              <w:t>作</w:t>
            </w:r>
            <w:r>
              <w:rPr>
                <w:rFonts w:hint="eastAsia" w:ascii="宋体" w:hAnsi="宋体" w:cs="宋体"/>
                <w:b/>
                <w:bCs/>
                <w:color w:val="000000" w:themeColor="text1"/>
                <w:sz w:val="24"/>
                <w:szCs w:val="24"/>
                <w:highlight w:val="none"/>
                <w14:textFill>
                  <w14:solidFill>
                    <w14:schemeClr w14:val="tx1"/>
                  </w14:solidFill>
                </w14:textFill>
              </w:rPr>
              <w:t>扣分处理。</w:t>
            </w:r>
          </w:p>
        </w:tc>
      </w:tr>
      <w:tr w14:paraId="4D99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239" w:type="dxa"/>
            <w:vMerge w:val="continue"/>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vMerge w:val="restart"/>
            <w:noWrap w:val="0"/>
            <w:vAlign w:val="center"/>
          </w:tcPr>
          <w:p w14:paraId="333E2BC0">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2.产品综合评议（8分）</w:t>
            </w:r>
          </w:p>
        </w:tc>
        <w:tc>
          <w:tcPr>
            <w:tcW w:w="6770" w:type="dxa"/>
            <w:noWrap w:val="0"/>
            <w:vAlign w:val="center"/>
          </w:tcPr>
          <w:p w14:paraId="4A10A44B">
            <w:pPr>
              <w:jc w:val="left"/>
              <w:rPr>
                <w:rFonts w:ascii="宋体" w:hAnsi="宋体" w:eastAsia="宋体"/>
                <w:sz w:val="24"/>
                <w:szCs w:val="24"/>
                <w:highlight w:val="none"/>
              </w:rPr>
            </w:pPr>
            <w:r>
              <w:rPr>
                <w:rFonts w:ascii="宋体" w:hAnsi="宋体" w:eastAsia="宋体"/>
                <w:sz w:val="24"/>
                <w:szCs w:val="24"/>
                <w:highlight w:val="none"/>
              </w:rPr>
              <w:t>由</w:t>
            </w:r>
            <w:r>
              <w:rPr>
                <w:rFonts w:hint="eastAsia" w:ascii="宋体" w:hAnsi="宋体" w:eastAsia="宋体"/>
                <w:sz w:val="24"/>
                <w:szCs w:val="24"/>
                <w:highlight w:val="none"/>
              </w:rPr>
              <w:t>评审小组</w:t>
            </w:r>
            <w:r>
              <w:rPr>
                <w:rFonts w:ascii="宋体" w:hAnsi="宋体" w:eastAsia="宋体"/>
                <w:sz w:val="24"/>
                <w:szCs w:val="24"/>
                <w:highlight w:val="none"/>
              </w:rPr>
              <w:t>根据项目特性结合各投标产品制造工艺、稳定性</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安全性</w:t>
            </w:r>
            <w:r>
              <w:rPr>
                <w:rFonts w:ascii="宋体" w:hAnsi="宋体" w:eastAsia="宋体"/>
                <w:sz w:val="24"/>
                <w:szCs w:val="24"/>
                <w:highlight w:val="none"/>
              </w:rPr>
              <w:t>等进行打分：</w:t>
            </w:r>
          </w:p>
          <w:p w14:paraId="7B7A0422">
            <w:pPr>
              <w:jc w:val="left"/>
              <w:rPr>
                <w:rFonts w:ascii="宋体" w:hAnsi="宋体" w:eastAsia="宋体"/>
                <w:sz w:val="24"/>
                <w:szCs w:val="24"/>
                <w:highlight w:val="none"/>
              </w:rPr>
            </w:pPr>
            <w:r>
              <w:rPr>
                <w:rFonts w:ascii="宋体" w:hAnsi="宋体" w:eastAsia="宋体"/>
                <w:sz w:val="24"/>
                <w:szCs w:val="24"/>
                <w:highlight w:val="none"/>
              </w:rPr>
              <w:t>投标产品制造工艺、稳定性好，安全性（操作维修安全等）高的得</w:t>
            </w:r>
            <w:r>
              <w:rPr>
                <w:rFonts w:hint="eastAsia" w:ascii="宋体" w:hAnsi="宋体"/>
                <w:sz w:val="24"/>
                <w:szCs w:val="24"/>
                <w:highlight w:val="none"/>
                <w:lang w:val="en-US" w:eastAsia="zh-CN"/>
              </w:rPr>
              <w:t>4</w:t>
            </w:r>
            <w:r>
              <w:rPr>
                <w:rFonts w:ascii="宋体" w:hAnsi="宋体" w:eastAsia="宋体"/>
                <w:sz w:val="24"/>
                <w:szCs w:val="24"/>
                <w:highlight w:val="none"/>
              </w:rPr>
              <w:t>分；</w:t>
            </w:r>
          </w:p>
          <w:p w14:paraId="015EF95C">
            <w:pPr>
              <w:jc w:val="left"/>
              <w:rPr>
                <w:rFonts w:ascii="宋体" w:hAnsi="宋体" w:eastAsia="宋体"/>
                <w:sz w:val="24"/>
                <w:szCs w:val="24"/>
                <w:highlight w:val="none"/>
              </w:rPr>
            </w:pPr>
            <w:r>
              <w:rPr>
                <w:rFonts w:ascii="宋体" w:hAnsi="宋体" w:eastAsia="宋体"/>
                <w:sz w:val="24"/>
                <w:szCs w:val="24"/>
                <w:highlight w:val="none"/>
              </w:rPr>
              <w:t>投标产品制造工艺、稳定性较好，安全性（操作维修安全等）较高的得</w:t>
            </w:r>
            <w:r>
              <w:rPr>
                <w:rFonts w:hint="eastAsia" w:ascii="宋体" w:hAnsi="宋体"/>
                <w:sz w:val="24"/>
                <w:szCs w:val="24"/>
                <w:highlight w:val="none"/>
                <w:lang w:val="en-US" w:eastAsia="zh-CN"/>
              </w:rPr>
              <w:t>2</w:t>
            </w:r>
            <w:r>
              <w:rPr>
                <w:rFonts w:ascii="宋体" w:hAnsi="宋体" w:eastAsia="宋体"/>
                <w:sz w:val="24"/>
                <w:szCs w:val="24"/>
                <w:highlight w:val="none"/>
              </w:rPr>
              <w:t>分；</w:t>
            </w:r>
          </w:p>
          <w:p w14:paraId="00510A7F">
            <w:pPr>
              <w:jc w:val="left"/>
              <w:rPr>
                <w:rFonts w:ascii="宋体" w:hAnsi="宋体" w:eastAsia="宋体"/>
                <w:sz w:val="24"/>
                <w:szCs w:val="24"/>
                <w:highlight w:val="none"/>
              </w:rPr>
            </w:pPr>
            <w:r>
              <w:rPr>
                <w:rFonts w:ascii="宋体" w:hAnsi="宋体" w:eastAsia="宋体"/>
                <w:sz w:val="24"/>
                <w:szCs w:val="24"/>
                <w:highlight w:val="none"/>
              </w:rPr>
              <w:t>投标产品制造工艺、稳定性、安全性（操作维修安全等）一般的得1分。</w:t>
            </w:r>
          </w:p>
        </w:tc>
      </w:tr>
      <w:tr w14:paraId="5F07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239" w:type="dxa"/>
            <w:vMerge w:val="continue"/>
            <w:noWrap w:val="0"/>
            <w:vAlign w:val="center"/>
          </w:tcPr>
          <w:p w14:paraId="4BFA2C57">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vMerge w:val="continue"/>
            <w:noWrap w:val="0"/>
            <w:vAlign w:val="center"/>
          </w:tcPr>
          <w:p w14:paraId="4E8FFFB6">
            <w:pPr>
              <w:keepNext w:val="0"/>
              <w:keepLines w:val="0"/>
              <w:pageBreakBefore w:val="0"/>
              <w:widowControl/>
              <w:kinsoku/>
              <w:wordWrap/>
              <w:overflowPunct/>
              <w:topLinePunct w:val="0"/>
              <w:autoSpaceDE/>
              <w:autoSpaceDN/>
              <w:bidi w:val="0"/>
              <w:adjustRightInd/>
              <w:snapToGrid w:val="0"/>
              <w:spacing w:line="360" w:lineRule="exact"/>
              <w:textAlignment w:val="auto"/>
              <w:rPr>
                <w:rFonts w:hint="eastAsia" w:ascii="宋体" w:hAnsi="宋体" w:cs="宋体"/>
                <w:b w:val="0"/>
                <w:bCs w:val="0"/>
                <w:color w:val="auto"/>
                <w:kern w:val="0"/>
                <w:sz w:val="24"/>
                <w:szCs w:val="24"/>
                <w:highlight w:val="none"/>
                <w:lang w:val="en-US" w:eastAsia="zh-CN"/>
              </w:rPr>
            </w:pPr>
          </w:p>
        </w:tc>
        <w:tc>
          <w:tcPr>
            <w:tcW w:w="6770" w:type="dxa"/>
            <w:noWrap w:val="0"/>
            <w:vAlign w:val="center"/>
          </w:tcPr>
          <w:p w14:paraId="109999CF">
            <w:pPr>
              <w:jc w:val="left"/>
              <w:rPr>
                <w:rFonts w:ascii="宋体" w:hAnsi="宋体" w:eastAsia="宋体"/>
                <w:sz w:val="24"/>
                <w:highlight w:val="none"/>
              </w:rPr>
            </w:pPr>
            <w:r>
              <w:rPr>
                <w:rFonts w:ascii="宋体" w:hAnsi="宋体" w:eastAsia="宋体"/>
                <w:sz w:val="24"/>
                <w:highlight w:val="none"/>
              </w:rPr>
              <w:t>由</w:t>
            </w:r>
            <w:r>
              <w:rPr>
                <w:rFonts w:hint="eastAsia" w:ascii="宋体" w:hAnsi="宋体" w:eastAsia="宋体"/>
                <w:sz w:val="24"/>
                <w:highlight w:val="none"/>
              </w:rPr>
              <w:t>评审小组</w:t>
            </w:r>
            <w:r>
              <w:rPr>
                <w:rFonts w:ascii="宋体" w:hAnsi="宋体" w:eastAsia="宋体"/>
                <w:sz w:val="24"/>
                <w:highlight w:val="none"/>
              </w:rPr>
              <w:t>根据项目特性结合各投标产品操控性、性能及技术先进性等进行打分：</w:t>
            </w:r>
          </w:p>
          <w:p w14:paraId="6B579708">
            <w:pPr>
              <w:jc w:val="left"/>
              <w:rPr>
                <w:rFonts w:ascii="宋体" w:hAnsi="宋体" w:eastAsia="宋体"/>
                <w:sz w:val="24"/>
                <w:highlight w:val="none"/>
              </w:rPr>
            </w:pPr>
            <w:r>
              <w:rPr>
                <w:rFonts w:ascii="宋体" w:hAnsi="宋体" w:eastAsia="宋体"/>
                <w:sz w:val="24"/>
                <w:highlight w:val="none"/>
              </w:rPr>
              <w:t>所投产品优秀，操控性强、性能好、技术先进的得</w:t>
            </w:r>
            <w:r>
              <w:rPr>
                <w:rFonts w:hint="eastAsia" w:ascii="宋体" w:hAnsi="宋体"/>
                <w:sz w:val="24"/>
                <w:highlight w:val="none"/>
                <w:lang w:val="en-US" w:eastAsia="zh-CN"/>
              </w:rPr>
              <w:t>4</w:t>
            </w:r>
            <w:r>
              <w:rPr>
                <w:rFonts w:ascii="宋体" w:hAnsi="宋体" w:eastAsia="宋体"/>
                <w:sz w:val="24"/>
                <w:highlight w:val="none"/>
              </w:rPr>
              <w:t>分；</w:t>
            </w:r>
          </w:p>
          <w:p w14:paraId="0612E96B">
            <w:pPr>
              <w:jc w:val="left"/>
              <w:rPr>
                <w:rFonts w:ascii="宋体" w:hAnsi="宋体" w:eastAsia="宋体"/>
                <w:sz w:val="24"/>
                <w:highlight w:val="none"/>
              </w:rPr>
            </w:pPr>
            <w:r>
              <w:rPr>
                <w:rFonts w:ascii="宋体" w:hAnsi="宋体" w:eastAsia="宋体"/>
                <w:sz w:val="24"/>
                <w:highlight w:val="none"/>
              </w:rPr>
              <w:t>所投产品较好，操控性较强、性能较好、技术较先进的得</w:t>
            </w:r>
            <w:r>
              <w:rPr>
                <w:rFonts w:hint="eastAsia" w:ascii="宋体" w:hAnsi="宋体"/>
                <w:sz w:val="24"/>
                <w:highlight w:val="none"/>
                <w:lang w:val="en-US" w:eastAsia="zh-CN"/>
              </w:rPr>
              <w:t>2</w:t>
            </w:r>
            <w:r>
              <w:rPr>
                <w:rFonts w:ascii="宋体" w:hAnsi="宋体" w:eastAsia="宋体"/>
                <w:sz w:val="24"/>
                <w:highlight w:val="none"/>
              </w:rPr>
              <w:t>分；</w:t>
            </w:r>
          </w:p>
          <w:p w14:paraId="65843163">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ascii="宋体" w:hAnsi="宋体" w:eastAsia="宋体"/>
                <w:sz w:val="24"/>
                <w:szCs w:val="24"/>
                <w:highlight w:val="none"/>
              </w:rPr>
            </w:pPr>
            <w:r>
              <w:rPr>
                <w:rFonts w:ascii="宋体" w:hAnsi="宋体" w:eastAsia="宋体"/>
                <w:sz w:val="24"/>
                <w:highlight w:val="none"/>
              </w:rPr>
              <w:t>所投产品一般，操控性一般、性能一般、技术保守的得1分。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6D4B96A7">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4A559F4F">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5FC21447">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期在满足采购文件的基础上，每增加一年加2分,最多加</w:t>
            </w: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分。</w:t>
            </w:r>
          </w:p>
          <w:p w14:paraId="0FAE2FC2">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注：提供承诺函（格式详见第五章 采购合同 附件3                 售后服务承诺书）</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年1月1日（以合同签订时间为准）以来所投产品销售业绩(合同甲方须为货物使用单位，业绩为生产企业或各经销商均可)，每提供1份</w:t>
            </w:r>
            <w:r>
              <w:rPr>
                <w:rFonts w:hint="eastAsia" w:cs="宋体"/>
                <w:color w:val="auto"/>
                <w:kern w:val="2"/>
                <w:sz w:val="24"/>
                <w:szCs w:val="24"/>
                <w:highlight w:val="none"/>
                <w:lang w:val="en-US" w:eastAsia="zh-CN" w:bidi="ar-SA"/>
              </w:rPr>
              <w:t>业绩证明材料</w:t>
            </w:r>
            <w:r>
              <w:rPr>
                <w:rFonts w:hint="eastAsia" w:ascii="宋体" w:hAnsi="宋体" w:eastAsia="宋体" w:cs="宋体"/>
                <w:color w:val="auto"/>
                <w:kern w:val="2"/>
                <w:sz w:val="24"/>
                <w:szCs w:val="24"/>
                <w:highlight w:val="none"/>
                <w:lang w:val="en-US" w:eastAsia="zh-CN" w:bidi="ar-SA"/>
              </w:rPr>
              <w:t>得2分，最多得6分。</w:t>
            </w:r>
          </w:p>
          <w:p w14:paraId="79754E1A">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注：需提供合同，未按要求提供不得分。</w:t>
            </w:r>
          </w:p>
        </w:tc>
      </w:tr>
      <w:tr w14:paraId="201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4DE5B97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055C689D">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8</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07DDEB1E">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根据供应商提供的</w:t>
            </w:r>
            <w:r>
              <w:rPr>
                <w:rFonts w:hint="eastAsia" w:ascii="宋体" w:hAnsi="宋体" w:cs="宋体"/>
                <w:b w:val="0"/>
                <w:bCs w:val="0"/>
                <w:color w:val="auto"/>
                <w:sz w:val="24"/>
                <w:szCs w:val="24"/>
                <w:highlight w:val="none"/>
                <w:lang w:val="en-US" w:eastAsia="zh-CN"/>
              </w:rPr>
              <w:t>售后服务网点、</w:t>
            </w:r>
            <w:r>
              <w:rPr>
                <w:rFonts w:hint="eastAsia" w:ascii="宋体" w:hAnsi="宋体" w:eastAsia="宋体" w:cs="宋体"/>
                <w:b w:val="0"/>
                <w:bCs w:val="0"/>
                <w:color w:val="auto"/>
                <w:sz w:val="24"/>
                <w:szCs w:val="24"/>
                <w:highlight w:val="none"/>
                <w:lang w:val="en-US" w:eastAsia="zh-CN"/>
              </w:rPr>
              <w:t>售后服务人员</w:t>
            </w:r>
            <w:r>
              <w:rPr>
                <w:rFonts w:hint="eastAsia" w:ascii="宋体" w:hAnsi="宋体" w:cs="宋体"/>
                <w:b w:val="0"/>
                <w:bCs w:val="0"/>
                <w:color w:val="auto"/>
                <w:sz w:val="24"/>
                <w:szCs w:val="24"/>
                <w:highlight w:val="none"/>
                <w:lang w:val="en-US" w:eastAsia="zh-CN"/>
              </w:rPr>
              <w:t>配备及专业技术能力说明、设备日常维保方案、</w:t>
            </w:r>
            <w:r>
              <w:rPr>
                <w:rFonts w:hint="eastAsia" w:ascii="宋体" w:hAnsi="宋体" w:eastAsia="宋体" w:cs="宋体"/>
                <w:b w:val="0"/>
                <w:bCs w:val="0"/>
                <w:color w:val="auto"/>
                <w:sz w:val="24"/>
                <w:szCs w:val="24"/>
                <w:highlight w:val="none"/>
                <w:lang w:val="en-US" w:eastAsia="zh-CN"/>
              </w:rPr>
              <w:t>故障响应时间、应急维修措施、培训方案等</w:t>
            </w:r>
            <w:r>
              <w:rPr>
                <w:rFonts w:hint="eastAsia" w:ascii="宋体" w:hAnsi="宋体" w:cs="宋体"/>
                <w:b w:val="0"/>
                <w:bCs w:val="0"/>
                <w:color w:val="auto"/>
                <w:sz w:val="24"/>
                <w:szCs w:val="24"/>
                <w:highlight w:val="none"/>
                <w:lang w:val="en-US" w:eastAsia="zh-CN"/>
              </w:rPr>
              <w:t>进行打分</w:t>
            </w:r>
            <w:r>
              <w:rPr>
                <w:rFonts w:hint="eastAsia" w:ascii="宋体" w:hAnsi="宋体" w:eastAsia="宋体" w:cs="宋体"/>
                <w:b w:val="0"/>
                <w:bCs w:val="0"/>
                <w:color w:val="auto"/>
                <w:sz w:val="24"/>
                <w:szCs w:val="24"/>
                <w:highlight w:val="none"/>
                <w:lang w:val="en-US" w:eastAsia="zh-CN"/>
              </w:rPr>
              <w:t>。</w:t>
            </w:r>
          </w:p>
          <w:p w14:paraId="630FFF6E">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措施详尽、日常维保措施、</w:t>
            </w:r>
            <w:r>
              <w:rPr>
                <w:rFonts w:hint="eastAsia" w:ascii="宋体" w:hAnsi="宋体" w:eastAsia="宋体" w:cs="宋体"/>
                <w:b w:val="0"/>
                <w:bCs w:val="0"/>
                <w:color w:val="auto"/>
                <w:sz w:val="24"/>
                <w:szCs w:val="24"/>
                <w:highlight w:val="none"/>
                <w:lang w:val="en-US" w:eastAsia="zh-CN"/>
              </w:rPr>
              <w:t>故障响应时间极快、应急维修措施合理且可行，有具体的培训方案，得</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分。</w:t>
            </w:r>
          </w:p>
          <w:p w14:paraId="49657CBC">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符合本项目特点，故障响应时间快、应急维修措施预案较合理，有较具体的培训方案的得</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分；</w:t>
            </w:r>
          </w:p>
          <w:p w14:paraId="77644BEA">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符合本项目特点，故障响应时间较长、应急维修措施预案不完备，培训方案不完备的得</w:t>
            </w:r>
            <w:r>
              <w:rPr>
                <w:rFonts w:hint="eastAsia" w:ascii="宋体" w:hAnsi="宋体" w:cs="宋体"/>
                <w:b w:val="0"/>
                <w:bCs w:val="0"/>
                <w:color w:val="auto"/>
                <w:sz w:val="24"/>
                <w:szCs w:val="24"/>
                <w:highlight w:val="none"/>
                <w:lang w:val="en-US" w:eastAsia="zh-CN"/>
              </w:rPr>
              <w:t>3</w:t>
            </w:r>
            <w:bookmarkStart w:id="79" w:name="_GoBack"/>
            <w:bookmarkEnd w:id="79"/>
            <w:r>
              <w:rPr>
                <w:rFonts w:hint="eastAsia" w:ascii="宋体" w:hAnsi="宋体" w:eastAsia="宋体" w:cs="宋体"/>
                <w:b w:val="0"/>
                <w:bCs w:val="0"/>
                <w:color w:val="auto"/>
                <w:sz w:val="24"/>
                <w:szCs w:val="24"/>
                <w:highlight w:val="none"/>
                <w:lang w:val="en-US" w:eastAsia="zh-CN"/>
              </w:rPr>
              <w:t>分；</w:t>
            </w:r>
          </w:p>
          <w:p w14:paraId="4AA88918">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售后服务不符合本项目特点，不能满足项目需求的得1分。</w:t>
            </w:r>
          </w:p>
          <w:p w14:paraId="5EBEFBBF">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缺项得0分</w:t>
            </w:r>
            <w:r>
              <w:rPr>
                <w:rFonts w:hint="eastAsia" w:ascii="宋体" w:hAnsi="宋体" w:eastAsia="宋体" w:cs="宋体"/>
                <w:b w:val="0"/>
                <w:bCs w:val="0"/>
                <w:color w:val="auto"/>
                <w:sz w:val="24"/>
                <w:szCs w:val="24"/>
                <w:highlight w:val="none"/>
                <w:lang w:val="en-US" w:eastAsia="zh-CN"/>
              </w:rPr>
              <w:t>。</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52C8D321">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pPr>
      <w:bookmarkStart w:id="39" w:name="_Toc1947"/>
      <w:bookmarkStart w:id="40" w:name="_Toc1482"/>
      <w:bookmarkStart w:id="41" w:name="_Toc256519703"/>
      <w:bookmarkStart w:id="42" w:name="_Toc326786897"/>
    </w:p>
    <w:p w14:paraId="1A848115">
      <w:pPr>
        <w:rPr>
          <w:rFonts w:hint="eastAsia" w:ascii="宋体" w:hAnsi="宋体" w:eastAsia="宋体" w:cs="宋体"/>
          <w:color w:val="auto"/>
          <w:sz w:val="28"/>
          <w:szCs w:val="28"/>
          <w:highlight w:val="none"/>
        </w:rPr>
      </w:pPr>
      <w:bookmarkStart w:id="43" w:name="_Toc11904"/>
      <w:r>
        <w:rPr>
          <w:rFonts w:hint="eastAsia" w:ascii="宋体" w:hAnsi="宋体" w:eastAsia="宋体" w:cs="宋体"/>
          <w:color w:val="auto"/>
          <w:sz w:val="28"/>
          <w:szCs w:val="28"/>
          <w:highlight w:val="none"/>
        </w:rPr>
        <w:br w:type="page"/>
      </w:r>
    </w:p>
    <w:p w14:paraId="5A0BE0D1">
      <w:pPr>
        <w:pStyle w:val="2"/>
        <w:snapToGrid w:val="0"/>
        <w:spacing w:before="0" w:after="0"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bookmarkEnd w:id="43"/>
    </w:p>
    <w:p w14:paraId="257448CB">
      <w:pPr>
        <w:jc w:val="center"/>
        <w:rPr>
          <w:rFonts w:hint="eastAsia"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医疗器械买卖合同</w:t>
      </w:r>
    </w:p>
    <w:p w14:paraId="0722B512">
      <w:pPr>
        <w:ind w:firstLine="480" w:firstLineChars="200"/>
        <w:rPr>
          <w:rFonts w:hint="eastAsia" w:ascii="宋体" w:hAnsi="宋体" w:eastAsia="宋体" w:cs="Times New Roman"/>
          <w:color w:val="auto"/>
          <w:sz w:val="24"/>
          <w:szCs w:val="24"/>
          <w:highlight w:val="none"/>
        </w:rPr>
      </w:pPr>
    </w:p>
    <w:p w14:paraId="675A0B6B">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合同编号： </w:t>
      </w:r>
    </w:p>
    <w:p w14:paraId="1B74E5BE">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签订地点： 河南省驻马店市中华路西段747号</w:t>
      </w:r>
    </w:p>
    <w:p w14:paraId="68CDB922">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买受人（甲方）： 驻马店市中心医院</w:t>
      </w:r>
    </w:p>
    <w:p w14:paraId="76250954">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出卖人（乙方）： </w:t>
      </w:r>
    </w:p>
    <w:p w14:paraId="5E4DDCE7">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根据《中华人民共和国政府采购法》、《中华人民共和国</w:t>
      </w:r>
      <w:r>
        <w:rPr>
          <w:rFonts w:hint="eastAsia" w:ascii="宋体" w:hAnsi="宋体" w:eastAsia="宋体" w:cs="Times New Roman"/>
          <w:color w:val="auto"/>
          <w:sz w:val="21"/>
          <w:szCs w:val="21"/>
          <w:highlight w:val="none"/>
          <w:lang w:eastAsia="zh-CN"/>
        </w:rPr>
        <w:t>民法典</w:t>
      </w:r>
      <w:r>
        <w:rPr>
          <w:rFonts w:hint="eastAsia" w:ascii="宋体" w:hAnsi="宋体" w:eastAsia="宋体" w:cs="Times New Roman"/>
          <w:color w:val="auto"/>
          <w:sz w:val="21"/>
          <w:szCs w:val="21"/>
          <w:highlight w:val="none"/>
        </w:rPr>
        <w:t>》及</w:t>
      </w:r>
      <w:r>
        <w:rPr>
          <w:rFonts w:hint="eastAsia" w:ascii="宋体" w:hAnsi="宋体" w:eastAsia="宋体" w:cs="Times New Roman"/>
          <w:b/>
          <w:color w:val="auto"/>
          <w:sz w:val="21"/>
          <w:szCs w:val="21"/>
          <w:highlight w:val="none"/>
          <w:u w:val="single"/>
        </w:rPr>
        <w:t xml:space="preserve">                      </w:t>
      </w:r>
      <w:r>
        <w:rPr>
          <w:rFonts w:hint="eastAsia" w:ascii="宋体" w:hAnsi="宋体" w:eastAsia="宋体" w:cs="Times New Roman"/>
          <w:color w:val="auto"/>
          <w:sz w:val="21"/>
          <w:szCs w:val="21"/>
          <w:highlight w:val="none"/>
        </w:rPr>
        <w:t>项目</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（项目编号：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2E5F0908">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一、买卖标的物</w:t>
      </w:r>
    </w:p>
    <w:tbl>
      <w:tblPr>
        <w:tblStyle w:val="34"/>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77D05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2636" w:type="dxa"/>
            <w:noWrap w:val="0"/>
            <w:vAlign w:val="center"/>
          </w:tcPr>
          <w:p w14:paraId="19D2F75B">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品    名</w:t>
            </w:r>
          </w:p>
        </w:tc>
        <w:tc>
          <w:tcPr>
            <w:tcW w:w="1211" w:type="dxa"/>
            <w:noWrap w:val="0"/>
            <w:vAlign w:val="center"/>
          </w:tcPr>
          <w:p w14:paraId="5BA884A0">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品牌</w:t>
            </w:r>
          </w:p>
        </w:tc>
        <w:tc>
          <w:tcPr>
            <w:tcW w:w="1236" w:type="dxa"/>
            <w:noWrap w:val="0"/>
            <w:vAlign w:val="center"/>
          </w:tcPr>
          <w:p w14:paraId="3FE873FC">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规格型号</w:t>
            </w:r>
          </w:p>
        </w:tc>
        <w:tc>
          <w:tcPr>
            <w:tcW w:w="734" w:type="dxa"/>
            <w:noWrap w:val="0"/>
            <w:vAlign w:val="center"/>
          </w:tcPr>
          <w:p w14:paraId="3AF47F6F">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单位</w:t>
            </w:r>
          </w:p>
        </w:tc>
        <w:tc>
          <w:tcPr>
            <w:tcW w:w="756" w:type="dxa"/>
            <w:noWrap w:val="0"/>
            <w:vAlign w:val="center"/>
          </w:tcPr>
          <w:p w14:paraId="77596422">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数量</w:t>
            </w:r>
          </w:p>
        </w:tc>
        <w:tc>
          <w:tcPr>
            <w:tcW w:w="1071" w:type="dxa"/>
            <w:noWrap w:val="0"/>
            <w:vAlign w:val="center"/>
          </w:tcPr>
          <w:p w14:paraId="4B8173E2">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单价</w:t>
            </w:r>
          </w:p>
          <w:p w14:paraId="184B46FE">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（万元）</w:t>
            </w:r>
          </w:p>
        </w:tc>
        <w:tc>
          <w:tcPr>
            <w:tcW w:w="1105" w:type="dxa"/>
            <w:noWrap w:val="0"/>
            <w:vAlign w:val="center"/>
          </w:tcPr>
          <w:p w14:paraId="06C45996">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总价</w:t>
            </w:r>
          </w:p>
          <w:p w14:paraId="07E4B871">
            <w:pPr>
              <w:jc w:val="center"/>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（万元）</w:t>
            </w:r>
          </w:p>
        </w:tc>
      </w:tr>
      <w:tr w14:paraId="48B49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2BC02CC2">
            <w:pPr>
              <w:keepNext w:val="0"/>
              <w:keepLines w:val="0"/>
              <w:widowControl/>
              <w:suppressLineNumbers w:val="0"/>
              <w:jc w:val="left"/>
              <w:rPr>
                <w:rFonts w:ascii="仿宋_GB2312" w:hAnsi="Calibri" w:eastAsia="仿宋_GB2312" w:cs="Times New Roman"/>
                <w:color w:val="auto"/>
                <w:sz w:val="32"/>
                <w:szCs w:val="32"/>
                <w:highlight w:val="none"/>
              </w:rPr>
            </w:pPr>
            <w:r>
              <w:rPr>
                <w:rFonts w:hint="eastAsia" w:ascii="宋体" w:hAnsi="宋体" w:eastAsia="宋体" w:cs="宋体"/>
                <w:color w:val="auto"/>
                <w:kern w:val="0"/>
                <w:sz w:val="24"/>
                <w:szCs w:val="24"/>
                <w:highlight w:val="none"/>
                <w:lang w:val="en-US" w:eastAsia="zh-CN" w:bidi="ar"/>
              </w:rPr>
              <w:t xml:space="preserve">注册证名称（发布公告 </w:t>
            </w:r>
          </w:p>
          <w:p w14:paraId="0F3E8019">
            <w:pPr>
              <w:keepNext w:val="0"/>
              <w:keepLines w:val="0"/>
              <w:widowControl/>
              <w:suppressLineNumbers w:val="0"/>
              <w:jc w:val="left"/>
              <w:rPr>
                <w:rFonts w:hint="eastAsia" w:ascii="宋体" w:hAnsi="宋体" w:eastAsia="宋体" w:cs="Times New Roman"/>
                <w:color w:val="auto"/>
                <w:sz w:val="21"/>
                <w:szCs w:val="21"/>
                <w:highlight w:val="none"/>
              </w:rPr>
            </w:pPr>
            <w:r>
              <w:rPr>
                <w:rFonts w:hint="eastAsia" w:ascii="宋体" w:hAnsi="宋体" w:eastAsia="宋体" w:cs="宋体"/>
                <w:color w:val="auto"/>
                <w:kern w:val="0"/>
                <w:sz w:val="24"/>
                <w:szCs w:val="24"/>
                <w:highlight w:val="none"/>
                <w:lang w:val="en-US" w:eastAsia="zh-CN" w:bidi="ar"/>
              </w:rPr>
              <w:t>产品名称）</w:t>
            </w:r>
          </w:p>
        </w:tc>
        <w:tc>
          <w:tcPr>
            <w:tcW w:w="1211" w:type="dxa"/>
            <w:noWrap w:val="0"/>
            <w:vAlign w:val="top"/>
          </w:tcPr>
          <w:p w14:paraId="4DEA38D9">
            <w:pPr>
              <w:jc w:val="center"/>
              <w:rPr>
                <w:rFonts w:hint="eastAsia" w:ascii="宋体" w:hAnsi="宋体" w:eastAsia="宋体" w:cs="Times New Roman"/>
                <w:color w:val="auto"/>
                <w:sz w:val="21"/>
                <w:szCs w:val="21"/>
                <w:highlight w:val="none"/>
              </w:rPr>
            </w:pPr>
          </w:p>
        </w:tc>
        <w:tc>
          <w:tcPr>
            <w:tcW w:w="1236" w:type="dxa"/>
            <w:noWrap w:val="0"/>
            <w:vAlign w:val="center"/>
          </w:tcPr>
          <w:p w14:paraId="6F40D611">
            <w:pPr>
              <w:jc w:val="center"/>
              <w:rPr>
                <w:rFonts w:hint="eastAsia" w:ascii="宋体" w:hAnsi="宋体" w:eastAsia="宋体" w:cs="Times New Roman"/>
                <w:color w:val="auto"/>
                <w:sz w:val="21"/>
                <w:szCs w:val="21"/>
                <w:highlight w:val="none"/>
              </w:rPr>
            </w:pPr>
          </w:p>
        </w:tc>
        <w:tc>
          <w:tcPr>
            <w:tcW w:w="734" w:type="dxa"/>
            <w:noWrap w:val="0"/>
            <w:vAlign w:val="center"/>
          </w:tcPr>
          <w:p w14:paraId="215C319C">
            <w:pPr>
              <w:jc w:val="center"/>
              <w:rPr>
                <w:rFonts w:hint="eastAsia" w:ascii="宋体" w:hAnsi="宋体" w:eastAsia="宋体" w:cs="Times New Roman"/>
                <w:color w:val="auto"/>
                <w:sz w:val="21"/>
                <w:szCs w:val="21"/>
                <w:highlight w:val="none"/>
              </w:rPr>
            </w:pPr>
          </w:p>
        </w:tc>
        <w:tc>
          <w:tcPr>
            <w:tcW w:w="756" w:type="dxa"/>
            <w:noWrap w:val="0"/>
            <w:vAlign w:val="center"/>
          </w:tcPr>
          <w:p w14:paraId="4DC0A07E">
            <w:pPr>
              <w:jc w:val="center"/>
              <w:rPr>
                <w:rFonts w:hint="eastAsia" w:ascii="宋体" w:hAnsi="宋体" w:eastAsia="宋体" w:cs="Times New Roman"/>
                <w:color w:val="auto"/>
                <w:sz w:val="21"/>
                <w:szCs w:val="21"/>
                <w:highlight w:val="none"/>
              </w:rPr>
            </w:pPr>
          </w:p>
        </w:tc>
        <w:tc>
          <w:tcPr>
            <w:tcW w:w="1071" w:type="dxa"/>
            <w:noWrap w:val="0"/>
            <w:vAlign w:val="center"/>
          </w:tcPr>
          <w:p w14:paraId="3CD71F6A">
            <w:pPr>
              <w:jc w:val="center"/>
              <w:rPr>
                <w:rFonts w:hint="eastAsia" w:ascii="宋体" w:hAnsi="宋体" w:eastAsia="宋体" w:cs="Times New Roman"/>
                <w:color w:val="auto"/>
                <w:sz w:val="21"/>
                <w:szCs w:val="21"/>
                <w:highlight w:val="none"/>
              </w:rPr>
            </w:pPr>
          </w:p>
        </w:tc>
        <w:tc>
          <w:tcPr>
            <w:tcW w:w="1105" w:type="dxa"/>
            <w:noWrap w:val="0"/>
            <w:vAlign w:val="center"/>
          </w:tcPr>
          <w:p w14:paraId="59C0E55F">
            <w:pPr>
              <w:jc w:val="center"/>
              <w:rPr>
                <w:rFonts w:hint="eastAsia" w:ascii="宋体" w:hAnsi="宋体" w:eastAsia="宋体" w:cs="Times New Roman"/>
                <w:color w:val="auto"/>
                <w:sz w:val="21"/>
                <w:szCs w:val="21"/>
                <w:highlight w:val="none"/>
              </w:rPr>
            </w:pPr>
          </w:p>
        </w:tc>
      </w:tr>
    </w:tbl>
    <w:p w14:paraId="3B414AE4">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二、合同价款</w:t>
      </w:r>
    </w:p>
    <w:p w14:paraId="705FDCA5">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本合同标的物总价款为人民币大写：</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，即RMB</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3D6A96F2">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三、质量标准及相关质量问题的处理</w:t>
      </w:r>
    </w:p>
    <w:p w14:paraId="5DB064DC">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1、乙方提供的标的物必须是合格出厂的全新（含零部件、配件等）产品，全部外观表面无划伤、无碰撞痕迹，产品所有权及自身涉及的各项知识产权权属清楚，不得存在侵害他人知识产权和其他权益的情形。</w:t>
      </w:r>
    </w:p>
    <w:p w14:paraId="51859C7E">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2、标的物出厂时必须符合或优于国家（没有国标时，以行标）新标准，同时符合本项目招标文件确定的各项质量要求和技术指标及出厂标准。</w:t>
      </w:r>
    </w:p>
    <w:p w14:paraId="312C0B19">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3、标的物的制造质量存在或出现问题时，乙方必须负责三包（包修、包换、包退），费用由乙方负担，甲方有权亲自派员或委托第三方到乙方生产或仓储现场查验标的物质量或生产进度。</w:t>
      </w:r>
    </w:p>
    <w:p w14:paraId="552C55A2">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4、标的物交付后由于甲方保管不当造成的质量问题，乙方应负责修理，费用由甲方负担。</w:t>
      </w:r>
    </w:p>
    <w:p w14:paraId="03AF0BA8">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四、交货及验收</w:t>
      </w:r>
    </w:p>
    <w:p w14:paraId="45515C08">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1、乙方交货期限为合同签订生效后的</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日内，交货到甲方指定地点，并由乙方随即在</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cs="Times New Roman"/>
          <w:color w:val="auto"/>
          <w:sz w:val="21"/>
          <w:szCs w:val="21"/>
          <w:highlight w:val="none"/>
          <w:lang w:eastAsia="zh-CN"/>
        </w:rPr>
        <w:t>格</w:t>
      </w:r>
      <w:r>
        <w:rPr>
          <w:rFonts w:hint="eastAsia" w:ascii="宋体" w:hAnsi="宋体" w:eastAsia="宋体" w:cs="Times New Roman"/>
          <w:color w:val="auto"/>
          <w:sz w:val="21"/>
          <w:szCs w:val="21"/>
          <w:highlight w:val="none"/>
        </w:rPr>
        <w:t>的检测报告。</w:t>
      </w:r>
    </w:p>
    <w:p w14:paraId="33BE456C">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2、验收由甲方组织，乙方配合进行：</w:t>
      </w:r>
    </w:p>
    <w:p w14:paraId="365A9187">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（1）标的物在乙方通知安装调试完毕后</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lang w:eastAsia="zh-CN"/>
        </w:rPr>
        <w:t>三</w:t>
      </w:r>
      <w:r>
        <w:rPr>
          <w:rFonts w:hint="eastAsia" w:ascii="宋体" w:hAnsi="宋体" w:eastAsia="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rPr>
        <w:t xml:space="preserve"> 日内进行初步验收。初步验收合格后，开始进入</w:t>
      </w:r>
      <w:r>
        <w:rPr>
          <w:rFonts w:hint="eastAsia" w:ascii="宋体" w:hAnsi="宋体" w:eastAsia="宋体" w:cs="Times New Roman"/>
          <w:color w:val="auto"/>
          <w:sz w:val="21"/>
          <w:szCs w:val="21"/>
          <w:highlight w:val="none"/>
          <w:u w:val="single"/>
          <w:lang w:val="en-US" w:eastAsia="zh-CN"/>
        </w:rPr>
        <w:t xml:space="preserve">  七  </w:t>
      </w:r>
      <w:r>
        <w:rPr>
          <w:rFonts w:hint="eastAsia" w:ascii="宋体" w:hAnsi="宋体" w:eastAsia="宋体" w:cs="Times New Roman"/>
          <w:color w:val="auto"/>
          <w:sz w:val="21"/>
          <w:szCs w:val="21"/>
          <w:highlight w:val="none"/>
        </w:rPr>
        <w:t xml:space="preserve"> 天试用期；试用期间发生重大质量问题，乙方应</w:t>
      </w:r>
      <w:r>
        <w:rPr>
          <w:rFonts w:hint="eastAsia" w:ascii="宋体" w:hAnsi="宋体" w:eastAsia="宋体" w:cs="Times New Roman"/>
          <w:color w:val="auto"/>
          <w:sz w:val="21"/>
          <w:szCs w:val="21"/>
          <w:highlight w:val="none"/>
          <w:lang w:eastAsia="zh-CN"/>
        </w:rPr>
        <w:t>重新</w:t>
      </w:r>
      <w:r>
        <w:rPr>
          <w:rFonts w:hint="eastAsia" w:ascii="宋体" w:hAnsi="宋体" w:eastAsia="宋体" w:cs="Times New Roman"/>
          <w:color w:val="auto"/>
          <w:sz w:val="21"/>
          <w:szCs w:val="21"/>
          <w:highlight w:val="none"/>
        </w:rPr>
        <w:t>提供符合标准的新设备</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由甲方组织重新进行初步验收，开始进入</w:t>
      </w:r>
      <w:r>
        <w:rPr>
          <w:rFonts w:hint="eastAsia" w:ascii="宋体" w:hAnsi="宋体" w:eastAsia="宋体" w:cs="Times New Roman"/>
          <w:color w:val="auto"/>
          <w:sz w:val="21"/>
          <w:szCs w:val="21"/>
          <w:highlight w:val="none"/>
          <w:u w:val="single"/>
          <w:lang w:val="en-US" w:eastAsia="zh-CN"/>
        </w:rPr>
        <w:t xml:space="preserve"> 七 </w:t>
      </w:r>
      <w:r>
        <w:rPr>
          <w:rFonts w:hint="eastAsia" w:ascii="宋体" w:hAnsi="宋体" w:eastAsia="宋体" w:cs="Times New Roman"/>
          <w:color w:val="auto"/>
          <w:sz w:val="21"/>
          <w:szCs w:val="21"/>
          <w:highlight w:val="none"/>
          <w:lang w:val="en-US" w:eastAsia="zh-CN"/>
        </w:rPr>
        <w:t>天试用期</w:t>
      </w:r>
      <w:r>
        <w:rPr>
          <w:rFonts w:hint="eastAsia" w:ascii="宋体" w:hAnsi="宋体" w:eastAsia="宋体" w:cs="Times New Roman"/>
          <w:color w:val="auto"/>
          <w:sz w:val="21"/>
          <w:szCs w:val="21"/>
          <w:highlight w:val="none"/>
        </w:rPr>
        <w:t>；试用期结束后</w:t>
      </w:r>
      <w:r>
        <w:rPr>
          <w:rFonts w:hint="eastAsia" w:ascii="宋体" w:hAnsi="宋体" w:eastAsia="宋体" w:cs="Times New Roman"/>
          <w:color w:val="auto"/>
          <w:sz w:val="21"/>
          <w:szCs w:val="21"/>
          <w:highlight w:val="none"/>
          <w:u w:val="single"/>
          <w:lang w:val="en-US" w:eastAsia="zh-CN"/>
        </w:rPr>
        <w:t xml:space="preserve">  三  </w:t>
      </w:r>
      <w:r>
        <w:rPr>
          <w:rFonts w:hint="eastAsia" w:ascii="宋体" w:hAnsi="宋体" w:eastAsia="宋体" w:cs="Times New Roman"/>
          <w:color w:val="auto"/>
          <w:sz w:val="21"/>
          <w:szCs w:val="21"/>
          <w:highlight w:val="none"/>
        </w:rPr>
        <w:t>日内完成最终验收。</w:t>
      </w:r>
    </w:p>
    <w:p w14:paraId="679D77AD">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6A061164">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169F532F">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rPr>
        <w:t>）甲方组织联合验收</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验收严格按照招标文件中的配置、质量、技术要求进行，验收通过的，双方签署书面验收报告</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如乙方提供的产品不能通过验收，按退货处理，乙方负责无条件退货。</w:t>
      </w:r>
    </w:p>
    <w:p w14:paraId="5B8A9B65">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3、标的物安装完成后，甲方无故不进行验收工作并已使用标的物的，视同已安装调试完成并验收合格。</w:t>
      </w:r>
    </w:p>
    <w:p w14:paraId="2943715A">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4、乙方应将所提供标的物的装箱清单、配件、随机工具、用户使用手册、原厂保修卡等资料交付给甲方；乙方不能完整交付标的物及本款规定的单证和工具的，必须负责补齐，否则视为未按合同约定交货。</w:t>
      </w:r>
    </w:p>
    <w:p w14:paraId="50A73084">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5、如标的物经乙方</w:t>
      </w:r>
      <w:r>
        <w:rPr>
          <w:rFonts w:hint="eastAsia" w:ascii="宋体" w:hAnsi="宋体" w:eastAsia="宋体" w:cs="Times New Roman"/>
          <w:color w:val="auto"/>
          <w:sz w:val="21"/>
          <w:szCs w:val="21"/>
          <w:highlight w:val="none"/>
          <w:u w:val="single"/>
        </w:rPr>
        <w:t xml:space="preserve"> 二 </w:t>
      </w:r>
      <w:r>
        <w:rPr>
          <w:rFonts w:hint="eastAsia" w:ascii="宋体" w:hAnsi="宋体" w:eastAsia="宋体" w:cs="Times New Roman"/>
          <w:color w:val="auto"/>
          <w:sz w:val="21"/>
          <w:szCs w:val="21"/>
          <w:highlight w:val="none"/>
        </w:rPr>
        <w:t>次维修仍不能达到合同约定的质量标准，甲方有权退货，并视作乙方不能交付标的物</w:t>
      </w:r>
      <w:r>
        <w:rPr>
          <w:rFonts w:hint="eastAsia" w:ascii="宋体" w:hAnsi="宋体" w:eastAsia="宋体" w:cs="Times New Roman"/>
          <w:color w:val="auto"/>
          <w:sz w:val="21"/>
          <w:szCs w:val="21"/>
          <w:highlight w:val="none"/>
          <w:lang w:val="en-US" w:eastAsia="zh-CN"/>
        </w:rPr>
        <w:t>,乙方应支付货款总额30%的违约赔偿金给甲方</w:t>
      </w:r>
      <w:r>
        <w:rPr>
          <w:rFonts w:hint="eastAsia" w:ascii="宋体" w:hAnsi="宋体" w:eastAsia="宋体" w:cs="Times New Roman"/>
          <w:color w:val="auto"/>
          <w:sz w:val="21"/>
          <w:szCs w:val="21"/>
          <w:highlight w:val="none"/>
        </w:rPr>
        <w:t>，甲方还可以依法追究乙方的相关法律责任。</w:t>
      </w:r>
    </w:p>
    <w:p w14:paraId="46972064">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6、其他未尽事宜应严格按照《中华人民共和国政府采购法》及相关法律法规规定的要求进行。</w:t>
      </w:r>
    </w:p>
    <w:p w14:paraId="714A6629">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五、付款方式</w:t>
      </w:r>
    </w:p>
    <w:p w14:paraId="7F64F1BD">
      <w:pPr>
        <w:ind w:firstLine="420" w:firstLineChars="200"/>
        <w:rPr>
          <w:rFonts w:hint="default" w:ascii="宋体" w:hAnsi="宋体" w:eastAsia="宋体" w:cs="Times New Roman"/>
          <w:color w:val="auto"/>
          <w:sz w:val="21"/>
          <w:szCs w:val="21"/>
          <w:highlight w:val="none"/>
          <w:lang w:val="en-US"/>
        </w:rPr>
      </w:pPr>
      <w:r>
        <w:rPr>
          <w:rFonts w:hint="eastAsia" w:ascii="宋体" w:hAnsi="宋体" w:eastAsia="宋体" w:cs="Times New Roman"/>
          <w:color w:val="auto"/>
          <w:sz w:val="21"/>
          <w:szCs w:val="21"/>
          <w:highlight w:val="none"/>
        </w:rPr>
        <w:t>全部标的物经安装调试完毕并</w:t>
      </w:r>
      <w:r>
        <w:rPr>
          <w:rFonts w:hint="eastAsia" w:ascii="宋体" w:hAnsi="宋体" w:eastAsia="宋体" w:cs="Times New Roman"/>
          <w:color w:val="auto"/>
          <w:sz w:val="21"/>
          <w:szCs w:val="21"/>
          <w:highlight w:val="none"/>
          <w:lang w:eastAsia="zh-CN"/>
        </w:rPr>
        <w:t>验收入库</w:t>
      </w:r>
      <w:r>
        <w:rPr>
          <w:rFonts w:hint="eastAsia" w:ascii="宋体" w:hAnsi="宋体" w:eastAsia="宋体" w:cs="Times New Roman"/>
          <w:color w:val="auto"/>
          <w:sz w:val="21"/>
          <w:szCs w:val="21"/>
          <w:highlight w:val="none"/>
        </w:rPr>
        <w:t>之日起，甲方接到乙方付款通知和有关票据凭证资料以后，由甲方核付合同总价的百分之</w:t>
      </w:r>
      <w:r>
        <w:rPr>
          <w:rFonts w:hint="eastAsia" w:ascii="宋体" w:hAnsi="宋体" w:eastAsia="宋体" w:cs="Times New Roman"/>
          <w:color w:val="auto"/>
          <w:sz w:val="21"/>
          <w:szCs w:val="21"/>
          <w:highlight w:val="none"/>
          <w:u w:val="single"/>
          <w:lang w:val="en-US" w:eastAsia="zh-CN"/>
        </w:rPr>
        <w:t xml:space="preserve"> 八十五 </w:t>
      </w:r>
      <w:r>
        <w:rPr>
          <w:rFonts w:hint="eastAsia" w:ascii="宋体" w:hAnsi="宋体" w:eastAsia="宋体" w:cs="Times New Roman"/>
          <w:color w:val="auto"/>
          <w:sz w:val="21"/>
          <w:szCs w:val="21"/>
          <w:highlight w:val="none"/>
        </w:rPr>
        <w:t>款项：￥</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lang w:eastAsia="zh-CN"/>
        </w:rPr>
        <w:t>万</w:t>
      </w:r>
      <w:r>
        <w:rPr>
          <w:rFonts w:hint="eastAsia" w:ascii="宋体" w:hAnsi="宋体" w:eastAsia="宋体" w:cs="Times New Roman"/>
          <w:color w:val="auto"/>
          <w:sz w:val="21"/>
          <w:szCs w:val="21"/>
          <w:highlight w:val="none"/>
        </w:rPr>
        <w:t>元，人民币大写</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lang w:eastAsia="zh-CN"/>
        </w:rPr>
        <w:t>。一年后</w:t>
      </w:r>
      <w:r>
        <w:rPr>
          <w:rFonts w:hint="eastAsia" w:ascii="宋体" w:hAnsi="宋体" w:eastAsia="宋体" w:cs="Times New Roman"/>
          <w:color w:val="auto"/>
          <w:sz w:val="21"/>
          <w:szCs w:val="21"/>
          <w:highlight w:val="none"/>
        </w:rPr>
        <w:t>由甲方核付合同总价的百分之</w:t>
      </w:r>
      <w:r>
        <w:rPr>
          <w:rFonts w:hint="eastAsia" w:ascii="宋体" w:hAnsi="宋体" w:eastAsia="宋体" w:cs="Times New Roman"/>
          <w:color w:val="auto"/>
          <w:sz w:val="21"/>
          <w:szCs w:val="21"/>
          <w:highlight w:val="none"/>
          <w:u w:val="single"/>
          <w:lang w:val="en-US" w:eastAsia="zh-CN"/>
        </w:rPr>
        <w:t xml:space="preserve"> 十 </w:t>
      </w:r>
      <w:r>
        <w:rPr>
          <w:rFonts w:hint="eastAsia" w:ascii="宋体" w:hAnsi="宋体" w:eastAsia="宋体" w:cs="Times New Roman"/>
          <w:color w:val="auto"/>
          <w:sz w:val="21"/>
          <w:szCs w:val="21"/>
          <w:highlight w:val="none"/>
        </w:rPr>
        <w:t>款项：￥</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lang w:eastAsia="zh-CN"/>
        </w:rPr>
        <w:t>万</w:t>
      </w:r>
      <w:r>
        <w:rPr>
          <w:rFonts w:hint="eastAsia" w:ascii="宋体" w:hAnsi="宋体" w:eastAsia="宋体" w:cs="Times New Roman"/>
          <w:color w:val="auto"/>
          <w:sz w:val="21"/>
          <w:szCs w:val="21"/>
          <w:highlight w:val="none"/>
        </w:rPr>
        <w:t>元，人民币大写</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三年后</w:t>
      </w:r>
      <w:r>
        <w:rPr>
          <w:rFonts w:hint="eastAsia" w:ascii="宋体" w:hAnsi="宋体" w:eastAsia="宋体" w:cs="Times New Roman"/>
          <w:color w:val="auto"/>
          <w:sz w:val="21"/>
          <w:szCs w:val="21"/>
          <w:highlight w:val="none"/>
        </w:rPr>
        <w:t>，由甲方核付合同总价的百分之</w:t>
      </w:r>
      <w:r>
        <w:rPr>
          <w:rFonts w:hint="eastAsia" w:ascii="宋体" w:hAnsi="宋体" w:eastAsia="宋体" w:cs="Times New Roman"/>
          <w:color w:val="auto"/>
          <w:sz w:val="21"/>
          <w:szCs w:val="21"/>
          <w:highlight w:val="none"/>
          <w:u w:val="single"/>
          <w:lang w:val="en-US" w:eastAsia="zh-CN"/>
        </w:rPr>
        <w:t xml:space="preserve">  五 </w:t>
      </w:r>
      <w:r>
        <w:rPr>
          <w:rFonts w:hint="eastAsia" w:ascii="宋体" w:hAnsi="宋体" w:eastAsia="宋体" w:cs="Times New Roman"/>
          <w:color w:val="auto"/>
          <w:sz w:val="21"/>
          <w:szCs w:val="21"/>
          <w:highlight w:val="none"/>
        </w:rPr>
        <w:t>款项：￥</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lang w:eastAsia="zh-CN"/>
        </w:rPr>
        <w:t>万</w:t>
      </w:r>
      <w:r>
        <w:rPr>
          <w:rFonts w:hint="eastAsia" w:ascii="宋体" w:hAnsi="宋体" w:eastAsia="宋体" w:cs="Times New Roman"/>
          <w:color w:val="auto"/>
          <w:sz w:val="21"/>
          <w:szCs w:val="21"/>
          <w:highlight w:val="none"/>
        </w:rPr>
        <w:t>元，人民币大写</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lang w:eastAsia="zh-CN"/>
        </w:rPr>
        <w:t>。每次付款前均需由乙方提供符合甲方要求的相关资料后，甲方再予以核付；如果乙方不按要求提供相关资料，甲方有权拒付款项。</w:t>
      </w:r>
    </w:p>
    <w:p w14:paraId="0CCC6DB1">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六、售后服务</w:t>
      </w:r>
    </w:p>
    <w:p w14:paraId="14F8E6DA">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1、质保期为</w:t>
      </w:r>
      <w:r>
        <w:rPr>
          <w:rFonts w:hint="eastAsia" w:ascii="宋体" w:hAnsi="宋体" w:eastAsia="宋体" w:cs="Times New Roman"/>
          <w:color w:val="auto"/>
          <w:sz w:val="21"/>
          <w:szCs w:val="21"/>
          <w:highlight w:val="none"/>
          <w:lang w:eastAsia="zh-CN"/>
        </w:rPr>
        <w:t>甲方入库之日起</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s="Times New Roman"/>
          <w:color w:val="auto"/>
          <w:sz w:val="21"/>
          <w:szCs w:val="21"/>
          <w:highlight w:val="none"/>
          <w:u w:val="single"/>
        </w:rPr>
        <w:t xml:space="preserve"> 两 </w:t>
      </w:r>
      <w:r>
        <w:rPr>
          <w:rFonts w:hint="eastAsia" w:ascii="宋体" w:hAnsi="宋体" w:eastAsia="宋体" w:cs="Times New Roman"/>
          <w:color w:val="auto"/>
          <w:sz w:val="21"/>
          <w:szCs w:val="21"/>
          <w:highlight w:val="none"/>
        </w:rPr>
        <w:t>次维修仍不能达到本合同约定的质量标准，甲方有权退货并追究乙方的违约责任。标的物到达甲方指定现场后因甲方保管不当造成的数量短缺或质量损害，乙方负责补齐或修复，费用由甲方负担。</w:t>
      </w:r>
    </w:p>
    <w:p w14:paraId="71435F27">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2、乙方须指派专人负责与甲方联系售后服务事宜。</w:t>
      </w:r>
    </w:p>
    <w:p w14:paraId="3A23856E">
      <w:pPr>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16FC6C7C">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七、违约责任</w:t>
      </w:r>
    </w:p>
    <w:p w14:paraId="6D0C87FE">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1、甲方的违约责任</w:t>
      </w:r>
    </w:p>
    <w:p w14:paraId="6B3AB027">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甲方无正当理由拒收标的物的，甲方应偿付合同总价的</w:t>
      </w:r>
      <w:r>
        <w:rPr>
          <w:rFonts w:hint="eastAsia" w:ascii="宋体" w:hAnsi="宋体" w:eastAsia="宋体" w:cs="Times New Roman"/>
          <w:color w:val="auto"/>
          <w:sz w:val="21"/>
          <w:szCs w:val="21"/>
          <w:highlight w:val="none"/>
          <w:u w:val="single"/>
        </w:rPr>
        <w:t xml:space="preserve"> 百分之三 </w:t>
      </w:r>
      <w:r>
        <w:rPr>
          <w:rFonts w:hint="eastAsia" w:ascii="宋体" w:hAnsi="宋体" w:eastAsia="宋体" w:cs="Times New Roman"/>
          <w:color w:val="auto"/>
          <w:sz w:val="21"/>
          <w:szCs w:val="21"/>
          <w:highlight w:val="none"/>
        </w:rPr>
        <w:t>的违约金；</w:t>
      </w:r>
    </w:p>
    <w:p w14:paraId="0ABAB41D">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2、乙方违约责任</w:t>
      </w:r>
    </w:p>
    <w:p w14:paraId="10F88B93">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（1）乙方交付的标的物质量不符合合同约定的，乙方应向甲方支付合同总价的百分之</w:t>
      </w:r>
      <w:r>
        <w:rPr>
          <w:rFonts w:hint="eastAsia" w:ascii="宋体" w:hAnsi="宋体" w:eastAsia="宋体" w:cs="Times New Roman"/>
          <w:color w:val="auto"/>
          <w:sz w:val="21"/>
          <w:szCs w:val="21"/>
          <w:highlight w:val="none"/>
          <w:u w:val="single"/>
        </w:rPr>
        <w:t xml:space="preserve"> 三 </w:t>
      </w:r>
      <w:r>
        <w:rPr>
          <w:rFonts w:hint="eastAsia" w:ascii="宋体" w:hAnsi="宋体" w:eastAsia="宋体" w:cs="Times New Roman"/>
          <w:color w:val="auto"/>
          <w:sz w:val="21"/>
          <w:szCs w:val="21"/>
          <w:highlight w:val="none"/>
        </w:rPr>
        <w:t>的违约金，并须在合同约定的交货时间内更换合格的标的物给甲方，否则，视作乙方不能交付标的物而违约，按本条本款下述第“（2）”项规定由乙方支付违约赔偿金给甲方。</w:t>
      </w:r>
    </w:p>
    <w:p w14:paraId="0B668075">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（2）乙方不能交付标的物或逾期交付标的物而违约的，除应及时交足标的物外，应向甲方支付逾期交货部分货款总额的万分之</w:t>
      </w:r>
      <w:r>
        <w:rPr>
          <w:rFonts w:hint="eastAsia" w:ascii="宋体" w:hAnsi="宋体" w:eastAsia="宋体" w:cs="Times New Roman"/>
          <w:color w:val="auto"/>
          <w:sz w:val="21"/>
          <w:szCs w:val="21"/>
          <w:highlight w:val="none"/>
          <w:u w:val="single"/>
        </w:rPr>
        <w:t xml:space="preserve">五 </w:t>
      </w:r>
      <w:r>
        <w:rPr>
          <w:rFonts w:hint="eastAsia" w:ascii="宋体" w:hAnsi="宋体" w:eastAsia="宋体" w:cs="Times New Roman"/>
          <w:color w:val="auto"/>
          <w:sz w:val="21"/>
          <w:szCs w:val="21"/>
          <w:highlight w:val="none"/>
        </w:rPr>
        <w:t>/日的违约金；逾期交货超过</w:t>
      </w:r>
      <w:r>
        <w:rPr>
          <w:rFonts w:hint="eastAsia" w:ascii="宋体" w:hAnsi="宋体" w:eastAsia="宋体" w:cs="Times New Roman"/>
          <w:color w:val="auto"/>
          <w:sz w:val="21"/>
          <w:szCs w:val="21"/>
          <w:highlight w:val="none"/>
          <w:u w:val="single"/>
        </w:rPr>
        <w:t xml:space="preserve"> 七 </w:t>
      </w:r>
      <w:r>
        <w:rPr>
          <w:rFonts w:hint="eastAsia" w:ascii="宋体" w:hAnsi="宋体" w:eastAsia="宋体" w:cs="Times New Roman"/>
          <w:color w:val="auto"/>
          <w:sz w:val="21"/>
          <w:szCs w:val="21"/>
          <w:highlight w:val="none"/>
        </w:rPr>
        <w:t>天，甲方有权解除合同，乙方则应按合同总价的百分之</w:t>
      </w:r>
      <w:r>
        <w:rPr>
          <w:rFonts w:hint="eastAsia" w:ascii="宋体" w:hAnsi="宋体" w:eastAsia="宋体" w:cs="Times New Roman"/>
          <w:color w:val="auto"/>
          <w:sz w:val="21"/>
          <w:szCs w:val="21"/>
          <w:highlight w:val="none"/>
          <w:u w:val="single"/>
        </w:rPr>
        <w:t xml:space="preserve"> 三 </w:t>
      </w:r>
      <w:r>
        <w:rPr>
          <w:rFonts w:hint="eastAsia" w:ascii="宋体" w:hAnsi="宋体" w:eastAsia="宋体" w:cs="Times New Roman"/>
          <w:color w:val="auto"/>
          <w:sz w:val="21"/>
          <w:szCs w:val="21"/>
          <w:highlight w:val="none"/>
        </w:rPr>
        <w:t>的款额向甲方支付赔偿金，并须全额退还甲方已经付给乙方的货款及自甲方付款至退款期间的利息（按同期银行贷款利率）。</w:t>
      </w:r>
    </w:p>
    <w:p w14:paraId="32A24124">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u w:val="single"/>
          <w:lang w:eastAsia="zh-CN"/>
        </w:rPr>
        <w:t>三</w:t>
      </w:r>
      <w:r>
        <w:rPr>
          <w:rFonts w:hint="eastAsia" w:ascii="宋体" w:hAnsi="宋体" w:eastAsia="宋体" w:cs="Times New Roman"/>
          <w:color w:val="auto"/>
          <w:sz w:val="21"/>
          <w:szCs w:val="21"/>
          <w:highlight w:val="none"/>
          <w:u w:val="single"/>
          <w:lang w:val="en-US" w:eastAsia="zh-CN"/>
        </w:rPr>
        <w:t xml:space="preserve"> </w:t>
      </w:r>
      <w:r>
        <w:rPr>
          <w:rFonts w:hint="eastAsia" w:ascii="宋体" w:hAnsi="宋体" w:eastAsia="宋体" w:cs="Times New Roman"/>
          <w:color w:val="auto"/>
          <w:sz w:val="21"/>
          <w:szCs w:val="21"/>
          <w:highlight w:val="none"/>
          <w:u w:val="single"/>
        </w:rPr>
        <w:t xml:space="preserve"> </w:t>
      </w:r>
      <w:r>
        <w:rPr>
          <w:rFonts w:hint="eastAsia" w:ascii="宋体" w:hAnsi="宋体" w:eastAsia="宋体" w:cs="Times New Roman"/>
          <w:color w:val="auto"/>
          <w:sz w:val="21"/>
          <w:szCs w:val="21"/>
          <w:highlight w:val="none"/>
        </w:rPr>
        <w:t>天内无条件更换合格标的物，如逾期不能更换合格的标的物，甲方有权终止本合同，乙方应另付合同总价的百分之</w:t>
      </w:r>
      <w:r>
        <w:rPr>
          <w:rFonts w:hint="eastAsia" w:ascii="宋体" w:hAnsi="宋体" w:eastAsia="宋体" w:cs="Times New Roman"/>
          <w:color w:val="auto"/>
          <w:sz w:val="21"/>
          <w:szCs w:val="21"/>
          <w:highlight w:val="none"/>
          <w:u w:val="single"/>
        </w:rPr>
        <w:t xml:space="preserve"> 三 </w:t>
      </w:r>
      <w:r>
        <w:rPr>
          <w:rFonts w:hint="eastAsia" w:ascii="宋体" w:hAnsi="宋体" w:eastAsia="宋体" w:cs="Times New Roman"/>
          <w:color w:val="auto"/>
          <w:sz w:val="21"/>
          <w:szCs w:val="21"/>
          <w:highlight w:val="none"/>
        </w:rPr>
        <w:t>的赔偿金给甲方。</w:t>
      </w:r>
    </w:p>
    <w:p w14:paraId="48C8299E">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cs="Times New Roman"/>
          <w:color w:val="auto"/>
          <w:sz w:val="21"/>
          <w:szCs w:val="21"/>
          <w:highlight w:val="none"/>
          <w:u w:val="single"/>
        </w:rPr>
        <w:t>五</w:t>
      </w:r>
      <w:r>
        <w:rPr>
          <w:rFonts w:hint="eastAsia" w:ascii="宋体" w:hAnsi="宋体" w:eastAsia="宋体" w:cs="Times New Roman"/>
          <w:color w:val="auto"/>
          <w:sz w:val="21"/>
          <w:szCs w:val="21"/>
          <w:highlight w:val="none"/>
        </w:rPr>
        <w:t>向甲方支付违约金并赔偿因此给甲方造成的一切损失。</w:t>
      </w:r>
    </w:p>
    <w:p w14:paraId="5E1C0E83">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（5）乙方偿付的违约金不足以弥补甲方损失的，还应按甲方损失尚未弥补的部分，支付赔偿金给甲方。</w:t>
      </w:r>
    </w:p>
    <w:p w14:paraId="3DC0819E">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八、争议解决方法</w:t>
      </w:r>
    </w:p>
    <w:p w14:paraId="56C14B02">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1、因标的物的质量发生争议，由甲方委托法定的质量技术监督部门或监督部门指定的质量鉴定机构进行质量鉴定或检测，鉴定费由乙方承担。</w:t>
      </w:r>
    </w:p>
    <w:p w14:paraId="3F9101C0">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2、因本合同发生争议，双方可协商或由有关部门调解解决；协商或调解不成的，应向甲方住所地有管辖权的人民法院提起诉讼。</w:t>
      </w:r>
    </w:p>
    <w:p w14:paraId="5156F428">
      <w:pPr>
        <w:ind w:firstLine="422" w:firstLineChars="200"/>
        <w:rPr>
          <w:rFonts w:hint="eastAsia" w:ascii="宋体" w:hAnsi="宋体" w:eastAsia="宋体" w:cs="Times New Roman"/>
          <w:b/>
          <w:color w:val="auto"/>
          <w:sz w:val="21"/>
          <w:szCs w:val="21"/>
          <w:highlight w:val="none"/>
        </w:rPr>
      </w:pPr>
      <w:r>
        <w:rPr>
          <w:rFonts w:hint="eastAsia" w:ascii="宋体" w:hAnsi="宋体" w:eastAsia="宋体" w:cs="Times New Roman"/>
          <w:b/>
          <w:color w:val="auto"/>
          <w:sz w:val="21"/>
          <w:szCs w:val="21"/>
          <w:highlight w:val="none"/>
        </w:rPr>
        <w:t>九、其他</w:t>
      </w:r>
    </w:p>
    <w:p w14:paraId="3EDA9BEC">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1、合同未尽事宜，由双方另行协商订立补充合同。</w:t>
      </w:r>
    </w:p>
    <w:p w14:paraId="299E5FC6">
      <w:pPr>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2、本合同一式</w:t>
      </w:r>
      <w:r>
        <w:rPr>
          <w:rFonts w:hint="eastAsia" w:ascii="宋体" w:hAnsi="宋体" w:eastAsia="宋体" w:cs="Times New Roman"/>
          <w:color w:val="auto"/>
          <w:sz w:val="21"/>
          <w:szCs w:val="21"/>
          <w:highlight w:val="none"/>
          <w:lang w:eastAsia="zh-CN"/>
        </w:rPr>
        <w:t>四</w:t>
      </w:r>
      <w:r>
        <w:rPr>
          <w:rFonts w:hint="eastAsia" w:ascii="宋体" w:hAnsi="宋体" w:eastAsia="宋体" w:cs="Times New Roman"/>
          <w:color w:val="auto"/>
          <w:sz w:val="21"/>
          <w:szCs w:val="21"/>
          <w:highlight w:val="none"/>
        </w:rPr>
        <w:t>份，自双方签章之日起生效。甲方</w:t>
      </w:r>
      <w:r>
        <w:rPr>
          <w:rFonts w:hint="eastAsia" w:ascii="宋体" w:hAnsi="宋体" w:eastAsia="宋体" w:cs="Times New Roman"/>
          <w:color w:val="auto"/>
          <w:sz w:val="21"/>
          <w:szCs w:val="21"/>
          <w:highlight w:val="none"/>
          <w:lang w:eastAsia="zh-CN"/>
        </w:rPr>
        <w:t>三</w:t>
      </w:r>
      <w:r>
        <w:rPr>
          <w:rFonts w:hint="eastAsia" w:ascii="宋体" w:hAnsi="宋体" w:eastAsia="宋体" w:cs="Times New Roman"/>
          <w:color w:val="auto"/>
          <w:sz w:val="21"/>
          <w:szCs w:val="21"/>
          <w:highlight w:val="none"/>
        </w:rPr>
        <w:t>份，乙方一份。</w:t>
      </w:r>
    </w:p>
    <w:p w14:paraId="24DD833C">
      <w:pPr>
        <w:ind w:firstLine="420" w:firstLineChars="200"/>
        <w:rPr>
          <w:rFonts w:hint="eastAsia" w:ascii="宋体" w:hAnsi="宋体" w:eastAsia="宋体" w:cs="Times New Roman"/>
          <w:b/>
          <w:bCs/>
          <w:color w:val="auto"/>
          <w:sz w:val="21"/>
          <w:szCs w:val="21"/>
          <w:highlight w:val="none"/>
        </w:rPr>
      </w:pPr>
      <w:r>
        <w:rPr>
          <w:rFonts w:hint="eastAsia" w:ascii="宋体" w:hAnsi="宋体" w:eastAsia="宋体" w:cs="Times New Roman"/>
          <w:color w:val="auto"/>
          <w:sz w:val="21"/>
          <w:szCs w:val="21"/>
          <w:highlight w:val="none"/>
        </w:rPr>
        <w:t>3、</w:t>
      </w:r>
      <w:r>
        <w:rPr>
          <w:rFonts w:hint="eastAsia" w:ascii="宋体" w:hAnsi="宋体" w:eastAsia="宋体" w:cs="Times New Roman"/>
          <w:b/>
          <w:bCs/>
          <w:color w:val="auto"/>
          <w:sz w:val="21"/>
          <w:szCs w:val="21"/>
          <w:highlight w:val="none"/>
        </w:rPr>
        <w:t>附件</w:t>
      </w:r>
      <w:r>
        <w:rPr>
          <w:rFonts w:hint="eastAsia" w:ascii="宋体" w:hAnsi="宋体" w:eastAsia="宋体" w:cs="Times New Roman"/>
          <w:b/>
          <w:bCs/>
          <w:color w:val="auto"/>
          <w:sz w:val="21"/>
          <w:szCs w:val="21"/>
          <w:highlight w:val="none"/>
          <w:lang w:val="en-US" w:eastAsia="zh-CN"/>
        </w:rPr>
        <w:t>1：</w:t>
      </w:r>
      <w:r>
        <w:rPr>
          <w:rFonts w:hint="eastAsia" w:ascii="宋体" w:hAnsi="宋体" w:eastAsia="宋体" w:cs="Times New Roman"/>
          <w:b/>
          <w:bCs/>
          <w:color w:val="auto"/>
          <w:sz w:val="21"/>
          <w:szCs w:val="21"/>
          <w:highlight w:val="none"/>
        </w:rPr>
        <w:t>中标通知书</w:t>
      </w:r>
    </w:p>
    <w:p w14:paraId="724284D9">
      <w:pPr>
        <w:ind w:firstLine="422" w:firstLineChars="200"/>
        <w:rPr>
          <w:rFonts w:hint="eastAsia" w:ascii="宋体" w:hAnsi="宋体" w:eastAsia="宋体" w:cs="Times New Roman"/>
          <w:b/>
          <w:bCs/>
          <w:color w:val="auto"/>
          <w:sz w:val="21"/>
          <w:szCs w:val="21"/>
          <w:highlight w:val="none"/>
        </w:rPr>
      </w:pPr>
      <w:r>
        <w:rPr>
          <w:rFonts w:hint="eastAsia" w:ascii="宋体" w:hAnsi="宋体" w:eastAsia="宋体" w:cs="Times New Roman"/>
          <w:b/>
          <w:bCs/>
          <w:color w:val="auto"/>
          <w:sz w:val="21"/>
          <w:szCs w:val="21"/>
          <w:highlight w:val="none"/>
          <w:lang w:val="en-US" w:eastAsia="zh-CN"/>
        </w:rPr>
        <w:t xml:space="preserve">   附件2：</w:t>
      </w:r>
      <w:r>
        <w:rPr>
          <w:rFonts w:hint="eastAsia" w:ascii="宋体" w:hAnsi="宋体" w:eastAsia="宋体" w:cs="Times New Roman"/>
          <w:b/>
          <w:bCs/>
          <w:color w:val="auto"/>
          <w:sz w:val="21"/>
          <w:szCs w:val="21"/>
          <w:highlight w:val="none"/>
        </w:rPr>
        <w:t>配置清单</w:t>
      </w:r>
    </w:p>
    <w:p w14:paraId="0B1480B4">
      <w:pPr>
        <w:ind w:firstLine="422" w:firstLineChars="200"/>
        <w:rPr>
          <w:rFonts w:hint="eastAsia" w:ascii="宋体" w:hAnsi="宋体" w:eastAsia="宋体" w:cs="Times New Roman"/>
          <w:b/>
          <w:bCs/>
          <w:color w:val="auto"/>
          <w:sz w:val="21"/>
          <w:szCs w:val="21"/>
          <w:highlight w:val="none"/>
          <w:lang w:eastAsia="zh-CN"/>
        </w:rPr>
      </w:pPr>
      <w:r>
        <w:rPr>
          <w:rFonts w:hint="eastAsia" w:ascii="宋体" w:hAnsi="宋体" w:eastAsia="宋体" w:cs="Times New Roman"/>
          <w:b/>
          <w:bCs/>
          <w:color w:val="auto"/>
          <w:sz w:val="21"/>
          <w:szCs w:val="21"/>
          <w:highlight w:val="none"/>
          <w:lang w:val="en-US" w:eastAsia="zh-CN"/>
        </w:rPr>
        <w:t xml:space="preserve">   附件3：</w:t>
      </w:r>
      <w:r>
        <w:rPr>
          <w:rFonts w:hint="eastAsia" w:ascii="宋体" w:hAnsi="宋体" w:eastAsia="宋体" w:cs="Times New Roman"/>
          <w:b/>
          <w:bCs/>
          <w:color w:val="auto"/>
          <w:sz w:val="21"/>
          <w:szCs w:val="21"/>
          <w:highlight w:val="none"/>
          <w:lang w:eastAsia="zh-CN"/>
        </w:rPr>
        <w:t>售后服务承诺书</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EE8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75B481E9">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甲    方：（盖章）</w:t>
            </w:r>
          </w:p>
        </w:tc>
        <w:tc>
          <w:tcPr>
            <w:tcW w:w="4261" w:type="dxa"/>
            <w:tcBorders>
              <w:top w:val="nil"/>
              <w:left w:val="nil"/>
              <w:bottom w:val="nil"/>
              <w:right w:val="nil"/>
            </w:tcBorders>
            <w:noWrap w:val="0"/>
            <w:vAlign w:val="top"/>
          </w:tcPr>
          <w:p w14:paraId="45407ACB">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乙    方：（盖章）</w:t>
            </w:r>
          </w:p>
          <w:p w14:paraId="6FB57A65">
            <w:pPr>
              <w:jc w:val="left"/>
              <w:rPr>
                <w:rFonts w:hint="eastAsia" w:ascii="宋体" w:hAnsi="宋体" w:eastAsia="宋体" w:cs="Times New Roman"/>
                <w:b/>
                <w:bCs/>
                <w:color w:val="auto"/>
                <w:sz w:val="21"/>
                <w:szCs w:val="21"/>
                <w:highlight w:val="none"/>
                <w:vertAlign w:val="baseline"/>
                <w:lang w:eastAsia="zh-CN"/>
              </w:rPr>
            </w:pPr>
          </w:p>
        </w:tc>
      </w:tr>
      <w:tr w14:paraId="0D57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8C6CBEA">
            <w:pPr>
              <w:jc w:val="both"/>
              <w:rPr>
                <w:rFonts w:hint="default" w:ascii="宋体" w:hAnsi="宋体" w:eastAsia="宋体" w:cs="Times New Roman"/>
                <w:b/>
                <w:bCs/>
                <w:color w:val="auto"/>
                <w:sz w:val="21"/>
                <w:szCs w:val="21"/>
                <w:highlight w:val="none"/>
                <w:vertAlign w:val="baseline"/>
                <w:lang w:val="en-US" w:eastAsia="zh-CN"/>
              </w:rPr>
            </w:pPr>
            <w:r>
              <w:rPr>
                <w:rFonts w:hint="eastAsia" w:ascii="宋体" w:hAnsi="宋体" w:eastAsia="宋体" w:cs="Times New Roman"/>
                <w:color w:val="auto"/>
                <w:sz w:val="21"/>
                <w:szCs w:val="21"/>
                <w:highlight w:val="none"/>
              </w:rPr>
              <w:t>授权代表：</w:t>
            </w:r>
            <w:r>
              <w:rPr>
                <w:rFonts w:hint="eastAsia" w:ascii="宋体" w:hAnsi="宋体" w:eastAsia="宋体" w:cs="Times New Roman"/>
                <w:color w:val="auto"/>
                <w:sz w:val="21"/>
                <w:szCs w:val="21"/>
                <w:highlight w:val="none"/>
                <w:lang w:val="en-US" w:eastAsia="zh-CN"/>
              </w:rPr>
              <w:t xml:space="preserve">         </w:t>
            </w:r>
          </w:p>
        </w:tc>
        <w:tc>
          <w:tcPr>
            <w:tcW w:w="4261" w:type="dxa"/>
            <w:tcBorders>
              <w:top w:val="nil"/>
              <w:left w:val="nil"/>
              <w:bottom w:val="nil"/>
              <w:right w:val="nil"/>
            </w:tcBorders>
            <w:noWrap w:val="0"/>
            <w:vAlign w:val="top"/>
          </w:tcPr>
          <w:p w14:paraId="0506E704">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法定代表人：</w:t>
            </w:r>
          </w:p>
        </w:tc>
      </w:tr>
      <w:tr w14:paraId="28F6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4261" w:type="dxa"/>
            <w:tcBorders>
              <w:top w:val="nil"/>
              <w:left w:val="nil"/>
              <w:bottom w:val="nil"/>
              <w:right w:val="nil"/>
            </w:tcBorders>
            <w:noWrap w:val="0"/>
            <w:vAlign w:val="top"/>
          </w:tcPr>
          <w:p w14:paraId="7A976A6B">
            <w:pPr>
              <w:jc w:val="left"/>
              <w:rPr>
                <w:rFonts w:hint="eastAsia" w:ascii="宋体" w:hAnsi="宋体" w:eastAsia="宋体" w:cs="Times New Roman"/>
                <w:b/>
                <w:bCs/>
                <w:color w:val="auto"/>
                <w:sz w:val="21"/>
                <w:szCs w:val="21"/>
                <w:highlight w:val="none"/>
                <w:vertAlign w:val="baseline"/>
                <w:lang w:eastAsia="zh-CN"/>
              </w:rPr>
            </w:pPr>
          </w:p>
        </w:tc>
        <w:tc>
          <w:tcPr>
            <w:tcW w:w="4261" w:type="dxa"/>
            <w:tcBorders>
              <w:top w:val="nil"/>
              <w:left w:val="nil"/>
              <w:bottom w:val="nil"/>
              <w:right w:val="nil"/>
            </w:tcBorders>
            <w:noWrap w:val="0"/>
            <w:vAlign w:val="top"/>
          </w:tcPr>
          <w:p w14:paraId="13E98F18">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授权代表</w:t>
            </w:r>
            <w:r>
              <w:rPr>
                <w:rFonts w:hint="eastAsia" w:ascii="宋体" w:hAnsi="宋体" w:eastAsia="宋体" w:cs="Times New Roman"/>
                <w:color w:val="auto"/>
                <w:sz w:val="21"/>
                <w:szCs w:val="21"/>
                <w:highlight w:val="none"/>
                <w:lang w:eastAsia="zh-CN"/>
              </w:rPr>
              <w:t>人：</w:t>
            </w:r>
          </w:p>
        </w:tc>
      </w:tr>
      <w:tr w14:paraId="5B09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76C89BA4">
            <w:pPr>
              <w:jc w:val="left"/>
              <w:rPr>
                <w:rFonts w:hint="eastAsia" w:ascii="宋体" w:hAnsi="宋体" w:eastAsia="宋体" w:cs="Times New Roman"/>
                <w:b/>
                <w:bCs/>
                <w:color w:val="auto"/>
                <w:sz w:val="21"/>
                <w:szCs w:val="21"/>
                <w:highlight w:val="none"/>
                <w:vertAlign w:val="baseline"/>
                <w:lang w:eastAsia="zh-CN"/>
              </w:rPr>
            </w:pPr>
          </w:p>
        </w:tc>
        <w:tc>
          <w:tcPr>
            <w:tcW w:w="4261" w:type="dxa"/>
            <w:tcBorders>
              <w:top w:val="nil"/>
              <w:left w:val="nil"/>
              <w:bottom w:val="nil"/>
              <w:right w:val="nil"/>
            </w:tcBorders>
            <w:noWrap w:val="0"/>
            <w:vAlign w:val="top"/>
          </w:tcPr>
          <w:p w14:paraId="0DE7D50B">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lang w:val="en-US" w:eastAsia="zh-CN"/>
              </w:rPr>
              <w:t>纳税人识别号：此项必填</w:t>
            </w:r>
          </w:p>
        </w:tc>
      </w:tr>
      <w:tr w14:paraId="7879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22CC3D7C">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地    址：</w:t>
            </w:r>
          </w:p>
        </w:tc>
        <w:tc>
          <w:tcPr>
            <w:tcW w:w="4261" w:type="dxa"/>
            <w:tcBorders>
              <w:top w:val="nil"/>
              <w:left w:val="nil"/>
              <w:bottom w:val="nil"/>
              <w:right w:val="nil"/>
            </w:tcBorders>
            <w:noWrap w:val="0"/>
            <w:vAlign w:val="top"/>
          </w:tcPr>
          <w:p w14:paraId="29A84ABB">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地    址：</w:t>
            </w:r>
          </w:p>
        </w:tc>
      </w:tr>
      <w:tr w14:paraId="73E6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3E9FC470">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开户银行：</w:t>
            </w:r>
          </w:p>
        </w:tc>
        <w:tc>
          <w:tcPr>
            <w:tcW w:w="4261" w:type="dxa"/>
            <w:tcBorders>
              <w:top w:val="nil"/>
              <w:left w:val="nil"/>
              <w:bottom w:val="nil"/>
              <w:right w:val="nil"/>
            </w:tcBorders>
            <w:noWrap w:val="0"/>
            <w:vAlign w:val="top"/>
          </w:tcPr>
          <w:p w14:paraId="16CD3AA2">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 xml:space="preserve">开户银行： </w:t>
            </w:r>
          </w:p>
        </w:tc>
      </w:tr>
      <w:tr w14:paraId="7624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5FE173F6">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账    号：</w:t>
            </w:r>
          </w:p>
        </w:tc>
        <w:tc>
          <w:tcPr>
            <w:tcW w:w="4261" w:type="dxa"/>
            <w:tcBorders>
              <w:top w:val="nil"/>
              <w:left w:val="nil"/>
              <w:bottom w:val="nil"/>
              <w:right w:val="nil"/>
            </w:tcBorders>
            <w:noWrap w:val="0"/>
            <w:vAlign w:val="top"/>
          </w:tcPr>
          <w:p w14:paraId="09B7F6A4">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账    号：</w:t>
            </w:r>
          </w:p>
        </w:tc>
      </w:tr>
      <w:tr w14:paraId="2B78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362DCFD3">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电    话：</w:t>
            </w:r>
          </w:p>
        </w:tc>
        <w:tc>
          <w:tcPr>
            <w:tcW w:w="4261" w:type="dxa"/>
            <w:tcBorders>
              <w:top w:val="nil"/>
              <w:left w:val="nil"/>
              <w:bottom w:val="nil"/>
              <w:right w:val="nil"/>
            </w:tcBorders>
            <w:noWrap w:val="0"/>
            <w:vAlign w:val="top"/>
          </w:tcPr>
          <w:p w14:paraId="2BA61279">
            <w:pPr>
              <w:jc w:val="left"/>
              <w:rPr>
                <w:rFonts w:hint="eastAsia" w:ascii="宋体" w:hAnsi="宋体" w:eastAsia="宋体" w:cs="Times New Roman"/>
                <w:b/>
                <w:bCs/>
                <w:color w:val="auto"/>
                <w:sz w:val="21"/>
                <w:szCs w:val="21"/>
                <w:highlight w:val="none"/>
                <w:vertAlign w:val="baseline"/>
                <w:lang w:eastAsia="zh-CN"/>
              </w:rPr>
            </w:pPr>
            <w:r>
              <w:rPr>
                <w:rFonts w:hint="eastAsia" w:ascii="宋体" w:hAnsi="宋体" w:eastAsia="宋体" w:cs="Times New Roman"/>
                <w:color w:val="auto"/>
                <w:sz w:val="21"/>
                <w:szCs w:val="21"/>
                <w:highlight w:val="none"/>
              </w:rPr>
              <w:t>电    话：</w:t>
            </w:r>
            <w:r>
              <w:rPr>
                <w:rFonts w:hint="eastAsia" w:ascii="宋体" w:hAnsi="宋体" w:eastAsia="宋体" w:cs="Times New Roman"/>
                <w:color w:val="auto"/>
                <w:sz w:val="21"/>
                <w:szCs w:val="21"/>
                <w:highlight w:val="none"/>
                <w:lang w:val="en-US" w:eastAsia="zh-CN"/>
              </w:rPr>
              <w:t>此项必填</w:t>
            </w:r>
          </w:p>
        </w:tc>
      </w:tr>
    </w:tbl>
    <w:p w14:paraId="522F5BDE">
      <w:pPr>
        <w:rPr>
          <w:rFonts w:hint="default" w:ascii="宋体" w:hAnsi="宋体" w:eastAsia="宋体" w:cs="Times New Roman"/>
          <w:b/>
          <w:bCs/>
          <w:color w:val="auto"/>
          <w:sz w:val="21"/>
          <w:szCs w:val="21"/>
          <w:highlight w:val="none"/>
          <w:lang w:val="en-US" w:eastAsia="zh-CN"/>
        </w:rPr>
      </w:pPr>
    </w:p>
    <w:p w14:paraId="5FF7B13B">
      <w:pPr>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签约日期：      年     月     日          </w:t>
      </w:r>
    </w:p>
    <w:p w14:paraId="4D977429">
      <w:pPr>
        <w:jc w:val="left"/>
        <w:rPr>
          <w:rFonts w:ascii="宋体" w:hAnsi="宋体" w:eastAsia="宋体" w:cs="Times New Roman"/>
          <w:color w:val="auto"/>
          <w:sz w:val="21"/>
          <w:szCs w:val="21"/>
          <w:highlight w:val="none"/>
        </w:rPr>
      </w:pPr>
    </w:p>
    <w:p w14:paraId="1C3ACEE7">
      <w:pPr>
        <w:jc w:val="left"/>
        <w:rPr>
          <w:rFonts w:hint="eastAsia" w:ascii="仿宋" w:hAnsi="仿宋" w:eastAsia="仿宋" w:cs="仿宋"/>
          <w:color w:val="auto"/>
          <w:spacing w:val="-4"/>
          <w:kern w:val="0"/>
          <w:sz w:val="32"/>
          <w:szCs w:val="32"/>
          <w:highlight w:val="none"/>
        </w:rPr>
      </w:pPr>
      <w:r>
        <w:rPr>
          <w:rFonts w:hint="eastAsia" w:ascii="宋体" w:hAnsi="宋体" w:eastAsia="宋体" w:cs="Times New Roman"/>
          <w:color w:val="auto"/>
          <w:sz w:val="21"/>
          <w:szCs w:val="21"/>
          <w:highlight w:val="none"/>
          <w:lang w:val="en-US" w:eastAsia="zh-CN"/>
        </w:rPr>
        <w:t>医学装备部合同审核人：</w:t>
      </w:r>
      <w:r>
        <w:rPr>
          <w:rFonts w:hint="eastAsia" w:ascii="仿宋" w:hAnsi="仿宋" w:eastAsia="仿宋" w:cs="仿宋"/>
          <w:color w:val="auto"/>
          <w:spacing w:val="-4"/>
          <w:kern w:val="0"/>
          <w:sz w:val="32"/>
          <w:szCs w:val="32"/>
          <w:highlight w:val="none"/>
        </w:rPr>
        <w:t xml:space="preserve"> </w:t>
      </w:r>
      <w:r>
        <w:rPr>
          <w:rFonts w:hint="eastAsia" w:ascii="宋体" w:hAnsi="宋体" w:eastAsia="宋体" w:cs="Times New Roman"/>
          <w:color w:val="auto"/>
          <w:sz w:val="21"/>
          <w:szCs w:val="21"/>
          <w:highlight w:val="none"/>
        </w:rPr>
        <w:t xml:space="preserve">             </w:t>
      </w:r>
      <w:r>
        <w:rPr>
          <w:rFonts w:hint="eastAsia" w:ascii="宋体" w:hAnsi="宋体" w:eastAsia="宋体" w:cs="Times New Roman"/>
          <w:color w:val="auto"/>
          <w:sz w:val="21"/>
          <w:szCs w:val="21"/>
          <w:highlight w:val="none"/>
          <w:lang w:val="en-US" w:eastAsia="zh-CN"/>
        </w:rPr>
        <w:t xml:space="preserve">    </w:t>
      </w:r>
    </w:p>
    <w:p w14:paraId="2874FA77">
      <w:pPr>
        <w:rPr>
          <w:rFonts w:hint="eastAsia" w:ascii="微软雅黑" w:hAnsi="Calibri" w:eastAsia="微软雅黑" w:cs="Times New Roman"/>
          <w:bCs/>
          <w:color w:val="auto"/>
          <w:sz w:val="44"/>
          <w:szCs w:val="44"/>
          <w:highlight w:val="none"/>
        </w:rPr>
      </w:pPr>
      <w:r>
        <w:rPr>
          <w:rFonts w:hint="eastAsia" w:ascii="微软雅黑" w:hAnsi="Calibri" w:eastAsia="微软雅黑" w:cs="Times New Roman"/>
          <w:bCs/>
          <w:color w:val="auto"/>
          <w:sz w:val="44"/>
          <w:szCs w:val="44"/>
          <w:highlight w:val="none"/>
        </w:rPr>
        <w:br w:type="page"/>
      </w:r>
    </w:p>
    <w:p w14:paraId="38C2CA66">
      <w:pPr>
        <w:spacing w:line="600" w:lineRule="exact"/>
        <w:jc w:val="center"/>
        <w:rPr>
          <w:rFonts w:ascii="微软雅黑" w:hAnsi="Calibri" w:eastAsia="微软雅黑" w:cs="Times New Roman"/>
          <w:bCs/>
          <w:color w:val="auto"/>
          <w:sz w:val="36"/>
          <w:szCs w:val="36"/>
          <w:highlight w:val="none"/>
        </w:rPr>
      </w:pPr>
      <w:r>
        <w:rPr>
          <w:rFonts w:hint="eastAsia" w:ascii="微软雅黑" w:hAnsi="Calibri" w:eastAsia="微软雅黑" w:cs="Times New Roman"/>
          <w:bCs/>
          <w:color w:val="auto"/>
          <w:sz w:val="36"/>
          <w:szCs w:val="36"/>
          <w:highlight w:val="none"/>
        </w:rPr>
        <w:t>安全生产承诺书</w:t>
      </w:r>
    </w:p>
    <w:p w14:paraId="7785ECD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致驻马店市中心医院：</w:t>
      </w:r>
    </w:p>
    <w:p w14:paraId="4944D088">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175EBC38">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一、遵守法规制度</w:t>
      </w:r>
    </w:p>
    <w:p w14:paraId="233C7686">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严格遵守国家有关安全生产的法律、法规、安全标准以及贵院的安全管理制度和操作规范，杜绝违规指挥、操作和违反劳动纪律的行为。</w:t>
      </w:r>
    </w:p>
    <w:p w14:paraId="42E02E69">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结合自身实际，制定并切实实施各项安全管理制度和操作规程，同时将相关制度和规程报贵院备案。积极接受贵院的监督检查，对检查中发现的安全隐患，立即举一反三，主动整改到位。</w:t>
      </w:r>
    </w:p>
    <w:p w14:paraId="3A43D9BE">
      <w:pPr>
        <w:numPr>
          <w:ilvl w:val="0"/>
          <w:numId w:val="3"/>
        </w:num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人员安全管理</w:t>
      </w:r>
    </w:p>
    <w:p w14:paraId="5D8883D0">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向现场作业人员如实告知作业场所和工作岗位存在的危险危害因素、防范措施以及事故应急措施。</w:t>
      </w:r>
    </w:p>
    <w:p w14:paraId="1C6251E4">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确保作业人员正确使用贵院提供的设施、设备、工具等，并定期进行检查，坚决杜绝使用存在安全隐患的设施、设备、工具。</w:t>
      </w:r>
    </w:p>
    <w:p w14:paraId="02F25652">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做好预防职业危害的防范措施，为现场作业人员配备符合国家标准的劳动保护用品，并监督、教育作业人员正确使用和佩戴。</w:t>
      </w:r>
    </w:p>
    <w:p w14:paraId="3BDD5B18">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47ABDB56">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对作业人员进行全面的安全生产教育和培训，保证未经安全生产教育和培训合格的作业人员不安排上岗作业。特种作业人员必须持证上岗，并将相关证件报贵院备案。</w:t>
      </w:r>
    </w:p>
    <w:p w14:paraId="1363828F">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向贵院报备公司营业执照、所有作业人员花名册、特种作业人员资格证。若中途人员有变动，及时向贵院报告备案。</w:t>
      </w:r>
    </w:p>
    <w:p w14:paraId="3CF1ECDF">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派遣人员入场前安排进行体检，体检合格后将结果报贵院备案。同时，确保派遣人员全部参加工伤保险，并向贵院提供相应证明文件。</w:t>
      </w:r>
    </w:p>
    <w:p w14:paraId="225D1BF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三、设施设备管理</w:t>
      </w:r>
    </w:p>
    <w:p w14:paraId="28FED1A7">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自行配备的设施、设备、工具等严格符合国家安全标准。</w:t>
      </w:r>
    </w:p>
    <w:p w14:paraId="7BB63FD2">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在有危险危害因素的作业区域和有关设施、设备上，设置明显的安全警示标志。</w:t>
      </w:r>
    </w:p>
    <w:p w14:paraId="138BAE77">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对设施设备进行定期维护保养和检测，确保其始终处于良好运行状态，杜绝设备带病作业。</w:t>
      </w:r>
    </w:p>
    <w:p w14:paraId="4E0E1FB6">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四、环境与作业管理</w:t>
      </w:r>
    </w:p>
    <w:p w14:paraId="5127FAF6">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按照贵院要求保持作业区域的环境卫生，做到现场环境整洁，符合安全、文明生产要求，及时设置明显的警示标识，防止人员绊倒、滑倒、砸伤等事故的发生。</w:t>
      </w:r>
    </w:p>
    <w:p w14:paraId="2A25E2C1">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涉及动火、高处、有限空间等危险作业时，严格遵循危险作业审批流程，落实各项安全防护措施，在确保安全的前提下进行作业。</w:t>
      </w:r>
    </w:p>
    <w:p w14:paraId="73464BCD">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在生产作业过程中若存在交叉作业的情况，无条件服从贵院的统一协调、指挥。</w:t>
      </w:r>
    </w:p>
    <w:p w14:paraId="60A5A2BC">
      <w:pPr>
        <w:numPr>
          <w:ilvl w:val="0"/>
          <w:numId w:val="4"/>
        </w:num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应急处置与报告</w:t>
      </w:r>
    </w:p>
    <w:p w14:paraId="375A2530">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建立安全生产台账，对安全生产工作进行详细记录。在协议履行过程中，一旦发现任何安全生产问题，立即处理，并及时告知贵院，同时做好书面记录。</w:t>
      </w:r>
    </w:p>
    <w:p w14:paraId="396BC3E1">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一旦在项目实施过程中发现存在危险因素或者发生安全事故，立即停止与该项工程相关的所有施工活动，防止事故扩大。同时，迅速采取紧急救援措施，配合贵院对伤员进行及时救治，避免二次伤害。</w:t>
      </w:r>
    </w:p>
    <w:p w14:paraId="03291E9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主动向本地有关部门报备事故情况，并积极配合有关部门的调查和处理工作。</w:t>
      </w:r>
    </w:p>
    <w:p w14:paraId="259A7A68">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对于发生的事故，接受贵院派员参与或督促事故调查。主动承担相应的赔偿责任，全力做好善后处理工作，确保事故现场尽快清理，消除安全隐患，尽快恢复正常生产秩序。</w:t>
      </w:r>
    </w:p>
    <w:p w14:paraId="3C196E76">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六、其他承诺</w:t>
      </w:r>
    </w:p>
    <w:p w14:paraId="2A759E8F">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因我单位过失等造成人员伤害和财产损失的，我司承担全部责任。涉及治安事件的，按照治安管理相关法规处理。</w:t>
      </w:r>
    </w:p>
    <w:p w14:paraId="581D727D">
      <w:pPr>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若因我司原因导致安全事故的发生或对贵院造成严重影响，贵院有权终止合作合同，因此所产生的全部损失，由我司承担。</w:t>
      </w:r>
    </w:p>
    <w:p w14:paraId="34427E4E">
      <w:pPr>
        <w:spacing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其他未尽事项：</w:t>
      </w:r>
    </w:p>
    <w:p w14:paraId="79C1C9C7">
      <w:pPr>
        <w:spacing w:line="240" w:lineRule="auto"/>
        <w:ind w:left="420" w:left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67C353AF">
      <w:pPr>
        <w:spacing w:line="240" w:lineRule="auto"/>
        <w:ind w:left="420" w:left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 xml:space="preserve">                                                        </w:t>
      </w:r>
    </w:p>
    <w:p w14:paraId="3E9788D3">
      <w:pPr>
        <w:spacing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p>
    <w:p w14:paraId="2683AEFA">
      <w:pPr>
        <w:spacing w:line="240" w:lineRule="auto"/>
        <w:jc w:val="right"/>
        <w:rPr>
          <w:rFonts w:hint="eastAsia" w:ascii="宋体" w:hAnsi="宋体" w:eastAsia="宋体" w:cs="宋体"/>
          <w:color w:val="auto"/>
          <w:sz w:val="21"/>
          <w:szCs w:val="21"/>
          <w:highlight w:val="none"/>
        </w:rPr>
      </w:pPr>
    </w:p>
    <w:p w14:paraId="7D8EF14B">
      <w:pPr>
        <w:spacing w:line="24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承诺单位(盖章):__________________</w:t>
      </w:r>
    </w:p>
    <w:p w14:paraId="6DEED7AB">
      <w:pPr>
        <w:spacing w:line="24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代表(签名):____________________</w:t>
      </w:r>
    </w:p>
    <w:p w14:paraId="363A001F">
      <w:pPr>
        <w:spacing w:line="24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时间：____年____月____日</w:t>
      </w:r>
    </w:p>
    <w:p w14:paraId="78A62442">
      <w:pPr>
        <w:rPr>
          <w:rFonts w:hint="eastAsia" w:ascii="仿宋" w:hAnsi="仿宋" w:eastAsia="仿宋" w:cs="仿宋"/>
          <w:color w:val="auto"/>
          <w:spacing w:val="-4"/>
          <w:kern w:val="0"/>
          <w:sz w:val="32"/>
          <w:szCs w:val="32"/>
          <w:highlight w:val="none"/>
        </w:rPr>
      </w:pPr>
    </w:p>
    <w:p w14:paraId="23678063">
      <w:pPr>
        <w:rPr>
          <w:rFonts w:hint="eastAsia" w:ascii="仿宋" w:hAnsi="仿宋" w:eastAsia="仿宋" w:cs="仿宋"/>
          <w:color w:val="auto"/>
          <w:spacing w:val="-4"/>
          <w:kern w:val="0"/>
          <w:sz w:val="32"/>
          <w:szCs w:val="32"/>
          <w:highlight w:val="none"/>
        </w:rPr>
      </w:pPr>
    </w:p>
    <w:p w14:paraId="18A2CBEC">
      <w:pPr>
        <w:rPr>
          <w:rFonts w:hint="eastAsia" w:ascii="仿宋" w:hAnsi="仿宋" w:eastAsia="仿宋" w:cs="仿宋"/>
          <w:color w:val="auto"/>
          <w:spacing w:val="-4"/>
          <w:kern w:val="0"/>
          <w:sz w:val="32"/>
          <w:szCs w:val="32"/>
          <w:highlight w:val="none"/>
        </w:rPr>
      </w:pPr>
    </w:p>
    <w:p w14:paraId="2DB787AA">
      <w:pPr>
        <w:rPr>
          <w:rFonts w:hint="eastAsia" w:ascii="仿宋" w:hAnsi="仿宋" w:eastAsia="仿宋" w:cs="仿宋"/>
          <w:color w:val="auto"/>
          <w:spacing w:val="-4"/>
          <w:kern w:val="0"/>
          <w:sz w:val="32"/>
          <w:szCs w:val="32"/>
          <w:highlight w:val="none"/>
        </w:rPr>
      </w:pPr>
    </w:p>
    <w:p w14:paraId="7630C076">
      <w:pPr>
        <w:rPr>
          <w:rFonts w:hint="eastAsia" w:ascii="仿宋" w:hAnsi="仿宋" w:eastAsia="仿宋" w:cs="仿宋"/>
          <w:color w:val="auto"/>
          <w:spacing w:val="-4"/>
          <w:kern w:val="0"/>
          <w:sz w:val="32"/>
          <w:szCs w:val="32"/>
          <w:highlight w:val="none"/>
        </w:rPr>
      </w:pPr>
    </w:p>
    <w:p w14:paraId="24C4CB08">
      <w:pPr>
        <w:rPr>
          <w:rFonts w:hint="eastAsia" w:ascii="仿宋" w:hAnsi="仿宋" w:eastAsia="仿宋" w:cs="仿宋"/>
          <w:color w:val="auto"/>
          <w:spacing w:val="-4"/>
          <w:kern w:val="0"/>
          <w:sz w:val="32"/>
          <w:szCs w:val="32"/>
          <w:highlight w:val="none"/>
        </w:rPr>
      </w:pPr>
    </w:p>
    <w:p w14:paraId="083525DC">
      <w:pPr>
        <w:rPr>
          <w:rFonts w:hint="eastAsia" w:ascii="仿宋" w:hAnsi="仿宋" w:eastAsia="仿宋" w:cs="仿宋"/>
          <w:color w:val="auto"/>
          <w:spacing w:val="-4"/>
          <w:kern w:val="0"/>
          <w:sz w:val="32"/>
          <w:szCs w:val="32"/>
          <w:highlight w:val="none"/>
        </w:rPr>
      </w:pPr>
    </w:p>
    <w:p w14:paraId="1A191AEC">
      <w:pPr>
        <w:rPr>
          <w:rFonts w:hint="eastAsia" w:ascii="仿宋" w:hAnsi="仿宋" w:eastAsia="仿宋" w:cs="仿宋"/>
          <w:color w:val="auto"/>
          <w:spacing w:val="-4"/>
          <w:kern w:val="0"/>
          <w:sz w:val="32"/>
          <w:szCs w:val="32"/>
          <w:highlight w:val="none"/>
        </w:rPr>
      </w:pPr>
    </w:p>
    <w:p w14:paraId="5B21F09E">
      <w:pPr>
        <w:rPr>
          <w:rFonts w:hint="eastAsia" w:ascii="仿宋" w:hAnsi="仿宋" w:eastAsia="仿宋" w:cs="仿宋"/>
          <w:color w:val="auto"/>
          <w:spacing w:val="-4"/>
          <w:kern w:val="0"/>
          <w:sz w:val="32"/>
          <w:szCs w:val="32"/>
          <w:highlight w:val="none"/>
        </w:rPr>
      </w:pPr>
    </w:p>
    <w:p w14:paraId="04A58F35">
      <w:pPr>
        <w:rPr>
          <w:rFonts w:hint="eastAsia" w:ascii="仿宋" w:hAnsi="仿宋" w:eastAsia="仿宋" w:cs="仿宋"/>
          <w:color w:val="auto"/>
          <w:spacing w:val="-4"/>
          <w:kern w:val="0"/>
          <w:sz w:val="32"/>
          <w:szCs w:val="32"/>
          <w:highlight w:val="none"/>
        </w:rPr>
      </w:pPr>
    </w:p>
    <w:p w14:paraId="204569EB">
      <w:pPr>
        <w:rPr>
          <w:rFonts w:hint="eastAsia" w:ascii="仿宋" w:hAnsi="仿宋" w:eastAsia="仿宋" w:cs="仿宋"/>
          <w:color w:val="auto"/>
          <w:spacing w:val="-4"/>
          <w:kern w:val="0"/>
          <w:sz w:val="32"/>
          <w:szCs w:val="32"/>
          <w:highlight w:val="none"/>
        </w:rPr>
      </w:pPr>
    </w:p>
    <w:p w14:paraId="6CA3C12F">
      <w:pPr>
        <w:rPr>
          <w:rFonts w:hint="eastAsia" w:ascii="仿宋" w:hAnsi="仿宋" w:eastAsia="仿宋" w:cs="仿宋"/>
          <w:color w:val="auto"/>
          <w:spacing w:val="-4"/>
          <w:kern w:val="0"/>
          <w:sz w:val="32"/>
          <w:szCs w:val="32"/>
          <w:highlight w:val="none"/>
        </w:rPr>
      </w:pPr>
    </w:p>
    <w:p w14:paraId="751F4A50">
      <w:pPr>
        <w:rPr>
          <w:rFonts w:hint="eastAsia" w:ascii="仿宋" w:hAnsi="仿宋" w:eastAsia="仿宋" w:cs="仿宋"/>
          <w:color w:val="auto"/>
          <w:spacing w:val="-4"/>
          <w:kern w:val="0"/>
          <w:sz w:val="32"/>
          <w:szCs w:val="32"/>
          <w:highlight w:val="none"/>
        </w:rPr>
      </w:pPr>
    </w:p>
    <w:p w14:paraId="19089072">
      <w:pPr>
        <w:rPr>
          <w:rFonts w:hint="eastAsia" w:ascii="仿宋" w:hAnsi="仿宋" w:eastAsia="仿宋" w:cs="仿宋"/>
          <w:color w:val="auto"/>
          <w:spacing w:val="-4"/>
          <w:kern w:val="0"/>
          <w:sz w:val="32"/>
          <w:szCs w:val="32"/>
          <w:highlight w:val="none"/>
        </w:rPr>
      </w:pPr>
    </w:p>
    <w:p w14:paraId="68E43C1D">
      <w:pPr>
        <w:rPr>
          <w:rFonts w:hint="eastAsia" w:ascii="仿宋" w:hAnsi="仿宋" w:eastAsia="仿宋" w:cs="仿宋"/>
          <w:b/>
          <w:bCs/>
          <w:color w:val="auto"/>
          <w:spacing w:val="-4"/>
          <w:kern w:val="0"/>
          <w:sz w:val="32"/>
          <w:szCs w:val="32"/>
          <w:highlight w:val="none"/>
          <w:lang w:eastAsia="zh-CN"/>
        </w:rPr>
      </w:pPr>
      <w:r>
        <w:rPr>
          <w:rFonts w:hint="eastAsia" w:ascii="仿宋" w:hAnsi="仿宋" w:eastAsia="仿宋" w:cs="仿宋"/>
          <w:b/>
          <w:bCs/>
          <w:color w:val="auto"/>
          <w:spacing w:val="-4"/>
          <w:kern w:val="0"/>
          <w:sz w:val="32"/>
          <w:szCs w:val="32"/>
          <w:highlight w:val="none"/>
          <w:lang w:eastAsia="zh-CN"/>
        </w:rPr>
        <w:br w:type="page"/>
      </w:r>
    </w:p>
    <w:p w14:paraId="76B721E5">
      <w:pPr>
        <w:rPr>
          <w:rFonts w:hint="eastAsia" w:asciiTheme="minorEastAsia" w:hAnsiTheme="minorEastAsia" w:eastAsiaTheme="minorEastAsia" w:cstheme="minorEastAsia"/>
          <w:b/>
          <w:bCs/>
          <w:color w:val="auto"/>
          <w:spacing w:val="-4"/>
          <w:kern w:val="0"/>
          <w:sz w:val="32"/>
          <w:szCs w:val="32"/>
          <w:highlight w:val="none"/>
          <w:lang w:val="en-US" w:eastAsia="zh-CN"/>
        </w:rPr>
      </w:pPr>
      <w:r>
        <w:rPr>
          <w:rFonts w:hint="eastAsia" w:asciiTheme="minorEastAsia" w:hAnsiTheme="minorEastAsia" w:eastAsiaTheme="minorEastAsia" w:cstheme="minorEastAsia"/>
          <w:b/>
          <w:bCs/>
          <w:color w:val="auto"/>
          <w:spacing w:val="-4"/>
          <w:kern w:val="0"/>
          <w:sz w:val="32"/>
          <w:szCs w:val="32"/>
          <w:highlight w:val="none"/>
          <w:lang w:eastAsia="zh-CN"/>
        </w:rPr>
        <w:t>附件</w:t>
      </w:r>
      <w:r>
        <w:rPr>
          <w:rFonts w:hint="eastAsia" w:asciiTheme="minorEastAsia" w:hAnsiTheme="minorEastAsia" w:eastAsiaTheme="minorEastAsia" w:cstheme="minorEastAsia"/>
          <w:b/>
          <w:bCs/>
          <w:color w:val="auto"/>
          <w:spacing w:val="-4"/>
          <w:kern w:val="0"/>
          <w:sz w:val="32"/>
          <w:szCs w:val="32"/>
          <w:highlight w:val="none"/>
          <w:lang w:val="en-US" w:eastAsia="zh-CN"/>
        </w:rPr>
        <w:t>2：           驻马店市中心医院</w:t>
      </w:r>
    </w:p>
    <w:p w14:paraId="1B11711B">
      <w:pPr>
        <w:jc w:val="center"/>
        <w:rPr>
          <w:rFonts w:hint="eastAsia" w:asciiTheme="minorEastAsia" w:hAnsiTheme="minorEastAsia" w:eastAsiaTheme="minorEastAsia" w:cstheme="minorEastAsia"/>
          <w:b w:val="0"/>
          <w:bCs w:val="0"/>
          <w:color w:val="auto"/>
          <w:spacing w:val="-4"/>
          <w:kern w:val="0"/>
          <w:sz w:val="24"/>
          <w:szCs w:val="24"/>
          <w:highlight w:val="no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lang w:val="en-US" w:eastAsia="zh-CN"/>
        </w:rPr>
        <w:t>（产品注册证名称）配置清单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51D4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CFF8247">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序号</w:t>
            </w:r>
          </w:p>
        </w:tc>
        <w:tc>
          <w:tcPr>
            <w:tcW w:w="1330" w:type="dxa"/>
            <w:noWrap w:val="0"/>
            <w:vAlign w:val="center"/>
          </w:tcPr>
          <w:p w14:paraId="54921339">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物品名称</w:t>
            </w:r>
          </w:p>
        </w:tc>
        <w:tc>
          <w:tcPr>
            <w:tcW w:w="935" w:type="dxa"/>
            <w:noWrap w:val="0"/>
            <w:vAlign w:val="center"/>
          </w:tcPr>
          <w:p w14:paraId="612C8576">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品牌</w:t>
            </w:r>
          </w:p>
        </w:tc>
        <w:tc>
          <w:tcPr>
            <w:tcW w:w="1195" w:type="dxa"/>
            <w:noWrap w:val="0"/>
            <w:vAlign w:val="center"/>
          </w:tcPr>
          <w:p w14:paraId="33B926E8">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规格型号</w:t>
            </w:r>
          </w:p>
        </w:tc>
        <w:tc>
          <w:tcPr>
            <w:tcW w:w="1065" w:type="dxa"/>
            <w:noWrap w:val="0"/>
            <w:vAlign w:val="center"/>
          </w:tcPr>
          <w:p w14:paraId="3CCCEFC3">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产地</w:t>
            </w:r>
          </w:p>
        </w:tc>
        <w:tc>
          <w:tcPr>
            <w:tcW w:w="1065" w:type="dxa"/>
            <w:noWrap w:val="0"/>
            <w:vAlign w:val="center"/>
          </w:tcPr>
          <w:p w14:paraId="0B1C8BE6">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数量</w:t>
            </w:r>
          </w:p>
        </w:tc>
        <w:tc>
          <w:tcPr>
            <w:tcW w:w="1066" w:type="dxa"/>
            <w:noWrap w:val="0"/>
            <w:vAlign w:val="center"/>
          </w:tcPr>
          <w:p w14:paraId="13EFF0BB">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单位</w:t>
            </w:r>
          </w:p>
        </w:tc>
        <w:tc>
          <w:tcPr>
            <w:tcW w:w="1066" w:type="dxa"/>
            <w:noWrap w:val="0"/>
            <w:vAlign w:val="center"/>
          </w:tcPr>
          <w:p w14:paraId="61B9950B">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备注</w:t>
            </w:r>
          </w:p>
        </w:tc>
      </w:tr>
      <w:tr w14:paraId="6AA8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139BFA40">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1</w:t>
            </w:r>
          </w:p>
        </w:tc>
        <w:tc>
          <w:tcPr>
            <w:tcW w:w="1330" w:type="dxa"/>
            <w:noWrap w:val="0"/>
            <w:vAlign w:val="center"/>
          </w:tcPr>
          <w:p w14:paraId="7175B3C7">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73D9FDDD">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5E9F1F85">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750C77CA">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0FA53EA8">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22AFA26E">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1BBCBB0A">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r w14:paraId="46FF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75A5D4E3">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2</w:t>
            </w:r>
          </w:p>
        </w:tc>
        <w:tc>
          <w:tcPr>
            <w:tcW w:w="1330" w:type="dxa"/>
            <w:noWrap w:val="0"/>
            <w:vAlign w:val="center"/>
          </w:tcPr>
          <w:p w14:paraId="6005A7C0">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5848F105">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64AC02FA">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53F22B46">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072D3790">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33CAC457">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31D71197">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r w14:paraId="0F0B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0AF3C3CB">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3</w:t>
            </w:r>
          </w:p>
        </w:tc>
        <w:tc>
          <w:tcPr>
            <w:tcW w:w="1330" w:type="dxa"/>
            <w:noWrap w:val="0"/>
            <w:vAlign w:val="center"/>
          </w:tcPr>
          <w:p w14:paraId="1D50A834">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5330C81F">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5BAA215F">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7C932091">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22F33394">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07A677CC">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70C223EB">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r w14:paraId="251A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7B085793">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4</w:t>
            </w:r>
          </w:p>
        </w:tc>
        <w:tc>
          <w:tcPr>
            <w:tcW w:w="1330" w:type="dxa"/>
            <w:noWrap w:val="0"/>
            <w:vAlign w:val="center"/>
          </w:tcPr>
          <w:p w14:paraId="7D1029C1">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79BC488A">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786954E1">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693B2B05">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70DC4E25">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400B67A5">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2CD6D270">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r w14:paraId="13BA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76E9C0F">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5</w:t>
            </w:r>
          </w:p>
        </w:tc>
        <w:tc>
          <w:tcPr>
            <w:tcW w:w="1330" w:type="dxa"/>
            <w:noWrap w:val="0"/>
            <w:vAlign w:val="center"/>
          </w:tcPr>
          <w:p w14:paraId="2FEC1305">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4E97AED4">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20190A07">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4390E649">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2CFACE46">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72605398">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25024B02">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r w14:paraId="4FAB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035D8366">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6</w:t>
            </w:r>
          </w:p>
        </w:tc>
        <w:tc>
          <w:tcPr>
            <w:tcW w:w="1330" w:type="dxa"/>
            <w:noWrap w:val="0"/>
            <w:vAlign w:val="center"/>
          </w:tcPr>
          <w:p w14:paraId="64DC3FDC">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4E78B549">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1D2A90C4">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4792226C">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526A530A">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10206590">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11F8C8D7">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r w14:paraId="6AB6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2580C7D">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t>7</w:t>
            </w:r>
          </w:p>
        </w:tc>
        <w:tc>
          <w:tcPr>
            <w:tcW w:w="1330" w:type="dxa"/>
            <w:noWrap w:val="0"/>
            <w:vAlign w:val="center"/>
          </w:tcPr>
          <w:p w14:paraId="3E5E84D8">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935" w:type="dxa"/>
            <w:noWrap w:val="0"/>
            <w:vAlign w:val="center"/>
          </w:tcPr>
          <w:p w14:paraId="5531BA04">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195" w:type="dxa"/>
            <w:noWrap w:val="0"/>
            <w:vAlign w:val="center"/>
          </w:tcPr>
          <w:p w14:paraId="2A8A272A">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7B073202">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5" w:type="dxa"/>
            <w:noWrap w:val="0"/>
            <w:vAlign w:val="center"/>
          </w:tcPr>
          <w:p w14:paraId="537FFFA3">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02450001">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c>
          <w:tcPr>
            <w:tcW w:w="1066" w:type="dxa"/>
            <w:noWrap w:val="0"/>
            <w:vAlign w:val="center"/>
          </w:tcPr>
          <w:p w14:paraId="1C19541D">
            <w:pPr>
              <w:jc w:val="center"/>
              <w:rPr>
                <w:rFonts w:hint="eastAsia" w:asciiTheme="minorEastAsia" w:hAnsiTheme="minorEastAsia" w:eastAsiaTheme="minorEastAsia" w:cstheme="minorEastAsia"/>
                <w:b w:val="0"/>
                <w:bCs w:val="0"/>
                <w:color w:val="auto"/>
                <w:spacing w:val="-4"/>
                <w:kern w:val="0"/>
                <w:sz w:val="24"/>
                <w:szCs w:val="24"/>
                <w:highlight w:val="none"/>
                <w:vertAlign w:val="baseline"/>
                <w:lang w:val="en-US" w:eastAsia="zh-CN"/>
              </w:rPr>
            </w:pPr>
          </w:p>
        </w:tc>
      </w:tr>
    </w:tbl>
    <w:p w14:paraId="61947A62">
      <w:pPr>
        <w:jc w:val="center"/>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4FDA2D28">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lang w:val="en-US" w:eastAsia="zh-CN"/>
        </w:rPr>
        <w:t>备注：此配置清单按单台配置填写。</w:t>
      </w:r>
    </w:p>
    <w:p w14:paraId="733472BF">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5D40CA34">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0BA7EA33">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40481A31">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19BE42F7">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38EACD33">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lang w:val="en-US" w:eastAsia="zh-CN"/>
        </w:rPr>
        <w:t xml:space="preserve">公司法定代表人或授权代表签字：                 </w:t>
      </w:r>
    </w:p>
    <w:p w14:paraId="48BE6F93">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336D2D5D">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r>
        <w:rPr>
          <w:rFonts w:hint="eastAsia" w:asciiTheme="minorEastAsia" w:hAnsiTheme="minorEastAsia" w:eastAsiaTheme="minorEastAsia" w:cstheme="minorEastAsia"/>
          <w:b w:val="0"/>
          <w:bCs w:val="0"/>
          <w:color w:val="auto"/>
          <w:spacing w:val="-4"/>
          <w:kern w:val="0"/>
          <w:sz w:val="24"/>
          <w:szCs w:val="24"/>
          <w:highlight w:val="none"/>
          <w:lang w:val="en-US" w:eastAsia="zh-CN"/>
        </w:rPr>
        <w:t xml:space="preserve">公司盖章：               </w:t>
      </w:r>
    </w:p>
    <w:p w14:paraId="6DAC9D61">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6F3AF557">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0BD4E8BA">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5F649904">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4146E078">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05296899">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02E6BC99">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00B705A5">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7487C57B">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79DF999A">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792DA93A">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0F79B921">
      <w:pPr>
        <w:jc w:val="left"/>
        <w:rPr>
          <w:rFonts w:hint="eastAsia" w:asciiTheme="minorEastAsia" w:hAnsiTheme="minorEastAsia" w:eastAsiaTheme="minorEastAsia" w:cstheme="minorEastAsia"/>
          <w:b w:val="0"/>
          <w:bCs w:val="0"/>
          <w:color w:val="auto"/>
          <w:spacing w:val="-4"/>
          <w:kern w:val="0"/>
          <w:sz w:val="24"/>
          <w:szCs w:val="24"/>
          <w:highlight w:val="none"/>
          <w:lang w:val="en-US" w:eastAsia="zh-CN"/>
        </w:rPr>
      </w:pPr>
    </w:p>
    <w:p w14:paraId="68ECB4C3">
      <w:pPr>
        <w:rPr>
          <w:rFonts w:hint="eastAsia" w:asciiTheme="minorEastAsia" w:hAnsiTheme="minorEastAsia" w:eastAsiaTheme="minorEastAsia" w:cstheme="minorEastAsia"/>
          <w:b/>
          <w:bCs/>
          <w:color w:val="auto"/>
          <w:spacing w:val="-4"/>
          <w:kern w:val="0"/>
          <w:sz w:val="30"/>
          <w:szCs w:val="30"/>
          <w:highlight w:val="none"/>
          <w:lang w:val="en-US" w:eastAsia="zh-CN"/>
        </w:rPr>
      </w:pPr>
      <w:r>
        <w:rPr>
          <w:rFonts w:hint="eastAsia" w:asciiTheme="minorEastAsia" w:hAnsiTheme="minorEastAsia" w:eastAsiaTheme="minorEastAsia" w:cstheme="minorEastAsia"/>
          <w:b/>
          <w:bCs/>
          <w:color w:val="auto"/>
          <w:spacing w:val="-4"/>
          <w:kern w:val="0"/>
          <w:sz w:val="30"/>
          <w:szCs w:val="30"/>
          <w:highlight w:val="none"/>
          <w:lang w:val="en-US" w:eastAsia="zh-CN"/>
        </w:rPr>
        <w:br w:type="page"/>
      </w:r>
    </w:p>
    <w:p w14:paraId="0C2828AF">
      <w:pPr>
        <w:jc w:val="left"/>
        <w:rPr>
          <w:rFonts w:hint="eastAsia" w:asciiTheme="minorEastAsia" w:hAnsiTheme="minorEastAsia" w:eastAsiaTheme="minorEastAsia" w:cstheme="minorEastAsia"/>
          <w:b/>
          <w:bCs/>
          <w:color w:val="auto"/>
          <w:spacing w:val="-4"/>
          <w:kern w:val="0"/>
          <w:sz w:val="30"/>
          <w:szCs w:val="30"/>
          <w:highlight w:val="none"/>
          <w:lang w:val="en-US" w:eastAsia="zh-CN"/>
        </w:rPr>
      </w:pPr>
      <w:r>
        <w:rPr>
          <w:rFonts w:hint="eastAsia" w:asciiTheme="minorEastAsia" w:hAnsiTheme="minorEastAsia" w:eastAsiaTheme="minorEastAsia" w:cstheme="minorEastAsia"/>
          <w:b/>
          <w:bCs/>
          <w:color w:val="auto"/>
          <w:spacing w:val="-4"/>
          <w:kern w:val="0"/>
          <w:sz w:val="30"/>
          <w:szCs w:val="30"/>
          <w:highlight w:val="none"/>
          <w:lang w:val="en-US" w:eastAsia="zh-CN"/>
        </w:rPr>
        <w:t>附件3                 驻马店市中心医院售后服务承诺书</w:t>
      </w:r>
    </w:p>
    <w:p w14:paraId="5908281E">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lang w:val="en-US" w:eastAsia="zh-CN"/>
        </w:rPr>
        <w:t>针对我方提供的设备，我方做出如下承诺：</w:t>
      </w:r>
    </w:p>
    <w:p w14:paraId="7D4EDE39">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lang w:val="en-US" w:eastAsia="zh-CN"/>
        </w:rPr>
        <w:t>1、设备整机原厂保修</w:t>
      </w:r>
      <w:r>
        <w:rPr>
          <w:rFonts w:hint="eastAsia" w:asciiTheme="minorEastAsia" w:hAnsiTheme="minorEastAsia" w:eastAsiaTheme="minorEastAsia" w:cstheme="minorEastAsia"/>
          <w:b w:val="0"/>
          <w:bCs w:val="0"/>
          <w:color w:val="auto"/>
          <w:spacing w:val="-4"/>
          <w:kern w:val="0"/>
          <w:sz w:val="22"/>
          <w:szCs w:val="22"/>
          <w:highlight w:val="none"/>
          <w:u w:val="single"/>
          <w:lang w:val="en-US" w:eastAsia="zh-CN"/>
        </w:rPr>
        <w:t xml:space="preserve">      </w:t>
      </w: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6ED0623C">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2E37D992">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3、为甲方提供现场维修、零备件更换等服务。 </w:t>
      </w:r>
    </w:p>
    <w:p w14:paraId="13C9FE61">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660CDFDD">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5、零备件更换：在合同有效期内，保证提供原厂全新零备件，本合同服务范围内的设备进行合同约定的维修，甲方不再额外支付费用。 </w:t>
      </w:r>
    </w:p>
    <w:p w14:paraId="7C8AFD3D">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6、质保期满后，负责设备的终身维修并继续提供优质的服务，储备足够的零配件备库，并始终能以市场上最优惠的价格提供优质的配件。</w:t>
      </w:r>
    </w:p>
    <w:p w14:paraId="4F529C45">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7、设备配套的软件终身免费升级和使用，及时提供设备新功能信息和临床应用资料。 </w:t>
      </w:r>
    </w:p>
    <w:p w14:paraId="34AB9AB6">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8、投标人、厂家认为其他必要的内容（投标文件中其他售后服务承诺）。 </w:t>
      </w:r>
    </w:p>
    <w:p w14:paraId="142FEA88">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p>
    <w:p w14:paraId="6096BF17">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p>
    <w:p w14:paraId="676CC205">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生产厂家（签章）：必填 </w:t>
      </w:r>
    </w:p>
    <w:p w14:paraId="282833FA">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地址：必填 </w:t>
      </w:r>
    </w:p>
    <w:p w14:paraId="3050C284">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 xml:space="preserve">联系人：必填 </w:t>
      </w:r>
    </w:p>
    <w:p w14:paraId="54669751">
      <w:pPr>
        <w:spacing w:line="360" w:lineRule="auto"/>
        <w:jc w:val="left"/>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pPr>
      <w:r>
        <w:rPr>
          <w:rFonts w:hint="eastAsia" w:asciiTheme="minorEastAsia" w:hAnsiTheme="minorEastAsia" w:eastAsiaTheme="minorEastAsia" w:cstheme="minorEastAsia"/>
          <w:b w:val="0"/>
          <w:bCs w:val="0"/>
          <w:color w:val="auto"/>
          <w:spacing w:val="-4"/>
          <w:kern w:val="0"/>
          <w:sz w:val="22"/>
          <w:szCs w:val="22"/>
          <w:highlight w:val="none"/>
          <w:u w:val="none"/>
          <w:lang w:val="en-US" w:eastAsia="zh-CN"/>
        </w:rPr>
        <w:t>联系方式：必填</w:t>
      </w:r>
    </w:p>
    <w:p w14:paraId="5D28ABFF">
      <w:pPr>
        <w:spacing w:line="360" w:lineRule="auto"/>
        <w:jc w:val="left"/>
        <w:rPr>
          <w:rFonts w:hint="eastAsia" w:asciiTheme="minorEastAsia" w:hAnsiTheme="minorEastAsia" w:eastAsiaTheme="minorEastAsia" w:cstheme="minorEastAsia"/>
          <w:b w:val="0"/>
          <w:bCs w:val="0"/>
          <w:color w:val="auto"/>
          <w:spacing w:val="-4"/>
          <w:kern w:val="0"/>
          <w:sz w:val="36"/>
          <w:szCs w:val="36"/>
          <w:highlight w:val="none"/>
          <w:u w:val="none"/>
          <w:lang w:val="en-US" w:eastAsia="zh-CN"/>
        </w:rPr>
      </w:pPr>
    </w:p>
    <w:p w14:paraId="72A010D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31798"/>
      <w:bookmarkStart w:id="56" w:name="_Toc24743"/>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sz w:val="24"/>
          <w:szCs w:val="24"/>
          <w:highlight w:val="none"/>
          <w:lang w:val="en-US" w:eastAsia="zh-CN"/>
        </w:rPr>
        <w:t>采购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hint="eastAsia" w:asciiTheme="minorEastAsia" w:hAnsiTheme="minorEastAsia"/>
          <w:sz w:val="24"/>
          <w:szCs w:val="24"/>
          <w:highlight w:val="none"/>
          <w:lang w:eastAsia="zh-CN"/>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我方</w:t>
      </w:r>
      <w:r>
        <w:rPr>
          <w:rFonts w:hint="eastAsia" w:asciiTheme="minorEastAsia" w:hAnsiTheme="minorEastAsia"/>
          <w:sz w:val="24"/>
          <w:szCs w:val="24"/>
          <w:highlight w:val="none"/>
        </w:rPr>
        <w:t>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9880" w:type="dxa"/>
            <w:gridSpan w:val="8"/>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3FDC4607">
      <w:pPr>
        <w:widowControl/>
        <w:snapToGrid w:val="0"/>
        <w:spacing w:line="440" w:lineRule="exact"/>
        <w:jc w:val="left"/>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注：</w:t>
      </w:r>
    </w:p>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6"/>
        <w:spacing w:line="360" w:lineRule="auto"/>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3120" w:firstLineChars="13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360" w:lineRule="auto"/>
        <w:ind w:firstLine="4560" w:firstLineChars="1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26A19139">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bookmarkStart w:id="64" w:name="_Toc15804"/>
      <w:bookmarkStart w:id="65" w:name="_Toc226"/>
      <w:r>
        <w:rPr>
          <w:rFonts w:hint="eastAsia" w:ascii="宋体" w:hAnsi="宋体" w:eastAsia="宋体" w:cs="宋体"/>
          <w:b/>
          <w:bCs/>
          <w:color w:val="auto"/>
          <w:kern w:val="2"/>
          <w:sz w:val="28"/>
          <w:szCs w:val="28"/>
          <w:highlight w:val="none"/>
          <w:lang w:val="en-US" w:eastAsia="zh-CN" w:bidi="ar-SA"/>
        </w:rPr>
        <w:t>4.1 配套试剂报价一览表（格式，如有）</w:t>
      </w:r>
    </w:p>
    <w:tbl>
      <w:tblPr>
        <w:tblStyle w:val="3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181"/>
        <w:gridCol w:w="1341"/>
        <w:gridCol w:w="1225"/>
        <w:gridCol w:w="995"/>
        <w:gridCol w:w="995"/>
        <w:gridCol w:w="1107"/>
        <w:gridCol w:w="883"/>
        <w:gridCol w:w="995"/>
        <w:gridCol w:w="1061"/>
        <w:gridCol w:w="1061"/>
        <w:gridCol w:w="1213"/>
        <w:gridCol w:w="1584"/>
      </w:tblGrid>
      <w:tr w14:paraId="1CEE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Align w:val="center"/>
          </w:tcPr>
          <w:p w14:paraId="646E05CB">
            <w:pPr>
              <w:widowControl w:val="0"/>
              <w:jc w:val="center"/>
              <w:rPr>
                <w:rFonts w:hint="eastAsia" w:eastAsia="宋体"/>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1" w:type="dxa"/>
            <w:vAlign w:val="center"/>
          </w:tcPr>
          <w:p w14:paraId="579EE2D7">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341" w:type="dxa"/>
            <w:vAlign w:val="center"/>
          </w:tcPr>
          <w:p w14:paraId="49B7222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商品名称</w:t>
            </w:r>
          </w:p>
          <w:p w14:paraId="0BC23284">
            <w:pPr>
              <w:keepNext w:val="0"/>
              <w:keepLines w:val="0"/>
              <w:widowControl/>
              <w:suppressLineNumbers w:val="0"/>
              <w:jc w:val="center"/>
              <w:rPr>
                <w:rFonts w:hint="eastAsia" w:eastAsia="宋体"/>
                <w:color w:val="auto"/>
                <w:sz w:val="21"/>
                <w:szCs w:val="21"/>
                <w:highlight w:val="none"/>
                <w:vertAlign w:val="baseline"/>
                <w:lang w:val="en-US" w:eastAsia="zh-CN"/>
              </w:rPr>
            </w:pPr>
            <w:r>
              <w:rPr>
                <w:rFonts w:hint="eastAsia" w:ascii="宋体" w:hAnsi="宋体" w:cs="宋体"/>
                <w:b/>
                <w:bCs/>
                <w:snapToGrid w:val="0"/>
                <w:color w:val="auto"/>
                <w:kern w:val="0"/>
                <w:sz w:val="21"/>
                <w:szCs w:val="21"/>
                <w:highlight w:val="none"/>
                <w:lang w:val="en-US" w:eastAsia="zh-CN" w:bidi="ar"/>
              </w:rPr>
              <w:t>（通用名）</w:t>
            </w:r>
          </w:p>
        </w:tc>
        <w:tc>
          <w:tcPr>
            <w:tcW w:w="1225" w:type="dxa"/>
            <w:vAlign w:val="center"/>
          </w:tcPr>
          <w:p w14:paraId="7B88569B">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注册</w:t>
            </w:r>
          </w:p>
          <w:p w14:paraId="5A7F3778">
            <w:pPr>
              <w:keepNext w:val="0"/>
              <w:keepLines w:val="0"/>
              <w:widowControl/>
              <w:suppressLineNumbers w:val="0"/>
              <w:jc w:val="center"/>
              <w:rPr>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995" w:type="dxa"/>
            <w:vAlign w:val="center"/>
          </w:tcPr>
          <w:p w14:paraId="13975975">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品牌</w:t>
            </w:r>
          </w:p>
          <w:p w14:paraId="715FBD17">
            <w:pPr>
              <w:keepNext w:val="0"/>
              <w:keepLines w:val="0"/>
              <w:widowControl/>
              <w:suppressLineNumbers w:val="0"/>
              <w:jc w:val="center"/>
              <w:rPr>
                <w:color w:val="auto"/>
                <w:sz w:val="21"/>
                <w:szCs w:val="21"/>
                <w:highlight w:val="none"/>
                <w:vertAlign w:val="baseline"/>
              </w:rPr>
            </w:pPr>
          </w:p>
        </w:tc>
        <w:tc>
          <w:tcPr>
            <w:tcW w:w="995" w:type="dxa"/>
            <w:vAlign w:val="center"/>
          </w:tcPr>
          <w:p w14:paraId="135D21FF">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规格型号</w:t>
            </w:r>
          </w:p>
        </w:tc>
        <w:tc>
          <w:tcPr>
            <w:tcW w:w="1107" w:type="dxa"/>
            <w:vAlign w:val="center"/>
          </w:tcPr>
          <w:p w14:paraId="5D7A74FA">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生产企业</w:t>
            </w:r>
          </w:p>
        </w:tc>
        <w:tc>
          <w:tcPr>
            <w:tcW w:w="883" w:type="dxa"/>
            <w:vAlign w:val="center"/>
          </w:tcPr>
          <w:p w14:paraId="1809A4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计价</w:t>
            </w:r>
          </w:p>
          <w:p w14:paraId="2D4AD09D">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单位</w:t>
            </w:r>
          </w:p>
        </w:tc>
        <w:tc>
          <w:tcPr>
            <w:tcW w:w="995" w:type="dxa"/>
            <w:vAlign w:val="center"/>
          </w:tcPr>
          <w:p w14:paraId="74A34D6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单价</w:t>
            </w:r>
          </w:p>
          <w:p w14:paraId="182DC433">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（元/每人份）</w:t>
            </w:r>
          </w:p>
        </w:tc>
        <w:tc>
          <w:tcPr>
            <w:tcW w:w="1061" w:type="dxa"/>
            <w:vAlign w:val="center"/>
          </w:tcPr>
          <w:p w14:paraId="317961C5">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highlight w:val="none"/>
              </w:rPr>
              <w:t>试验方法</w:t>
            </w:r>
          </w:p>
        </w:tc>
        <w:tc>
          <w:tcPr>
            <w:tcW w:w="1061" w:type="dxa"/>
            <w:vAlign w:val="center"/>
          </w:tcPr>
          <w:p w14:paraId="77478E82">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网采号</w:t>
            </w:r>
          </w:p>
        </w:tc>
        <w:tc>
          <w:tcPr>
            <w:tcW w:w="1213" w:type="dxa"/>
            <w:vAlign w:val="center"/>
          </w:tcPr>
          <w:p w14:paraId="3BAB2BE9">
            <w:pPr>
              <w:widowControl w:val="0"/>
              <w:spacing w:line="320" w:lineRule="exact"/>
              <w:jc w:val="center"/>
              <w:outlineLvl w:val="0"/>
              <w:rPr>
                <w:rFonts w:hint="default" w:eastAsia="宋体"/>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584" w:type="dxa"/>
            <w:vAlign w:val="center"/>
          </w:tcPr>
          <w:p w14:paraId="35BD6D7D">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434CA188">
            <w:pPr>
              <w:widowControl w:val="0"/>
              <w:spacing w:line="320" w:lineRule="exact"/>
              <w:jc w:val="center"/>
              <w:outlineLvl w:val="0"/>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收费金额</w:t>
            </w:r>
          </w:p>
        </w:tc>
      </w:tr>
      <w:tr w14:paraId="5034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58974EFD">
            <w:pPr>
              <w:widowControl w:val="0"/>
              <w:rPr>
                <w:color w:val="auto"/>
                <w:highlight w:val="none"/>
                <w:vertAlign w:val="baseline"/>
              </w:rPr>
            </w:pPr>
          </w:p>
        </w:tc>
        <w:tc>
          <w:tcPr>
            <w:tcW w:w="1181" w:type="dxa"/>
            <w:vMerge w:val="restart"/>
          </w:tcPr>
          <w:p w14:paraId="1411B170">
            <w:pPr>
              <w:widowControl w:val="0"/>
              <w:rPr>
                <w:color w:val="auto"/>
                <w:highlight w:val="none"/>
                <w:vertAlign w:val="baseline"/>
              </w:rPr>
            </w:pPr>
          </w:p>
        </w:tc>
        <w:tc>
          <w:tcPr>
            <w:tcW w:w="1341" w:type="dxa"/>
          </w:tcPr>
          <w:p w14:paraId="538C956D">
            <w:pPr>
              <w:widowControl w:val="0"/>
              <w:rPr>
                <w:color w:val="auto"/>
                <w:highlight w:val="none"/>
                <w:vertAlign w:val="baseline"/>
              </w:rPr>
            </w:pPr>
          </w:p>
        </w:tc>
        <w:tc>
          <w:tcPr>
            <w:tcW w:w="1225" w:type="dxa"/>
          </w:tcPr>
          <w:p w14:paraId="74877ABD">
            <w:pPr>
              <w:widowControl w:val="0"/>
              <w:rPr>
                <w:color w:val="auto"/>
                <w:highlight w:val="none"/>
                <w:vertAlign w:val="baseline"/>
              </w:rPr>
            </w:pPr>
          </w:p>
        </w:tc>
        <w:tc>
          <w:tcPr>
            <w:tcW w:w="995" w:type="dxa"/>
          </w:tcPr>
          <w:p w14:paraId="46285D21">
            <w:pPr>
              <w:widowControl w:val="0"/>
              <w:rPr>
                <w:color w:val="auto"/>
                <w:highlight w:val="none"/>
                <w:vertAlign w:val="baseline"/>
              </w:rPr>
            </w:pPr>
          </w:p>
        </w:tc>
        <w:tc>
          <w:tcPr>
            <w:tcW w:w="995" w:type="dxa"/>
          </w:tcPr>
          <w:p w14:paraId="30AA1993">
            <w:pPr>
              <w:widowControl w:val="0"/>
              <w:rPr>
                <w:color w:val="auto"/>
                <w:highlight w:val="none"/>
                <w:vertAlign w:val="baseline"/>
              </w:rPr>
            </w:pPr>
          </w:p>
        </w:tc>
        <w:tc>
          <w:tcPr>
            <w:tcW w:w="1107" w:type="dxa"/>
          </w:tcPr>
          <w:p w14:paraId="3FDE21BE">
            <w:pPr>
              <w:widowControl w:val="0"/>
              <w:rPr>
                <w:color w:val="auto"/>
                <w:highlight w:val="none"/>
                <w:vertAlign w:val="baseline"/>
              </w:rPr>
            </w:pPr>
          </w:p>
        </w:tc>
        <w:tc>
          <w:tcPr>
            <w:tcW w:w="883" w:type="dxa"/>
          </w:tcPr>
          <w:p w14:paraId="2A5C917F">
            <w:pPr>
              <w:widowControl w:val="0"/>
              <w:rPr>
                <w:color w:val="auto"/>
                <w:highlight w:val="none"/>
                <w:vertAlign w:val="baseline"/>
              </w:rPr>
            </w:pPr>
          </w:p>
        </w:tc>
        <w:tc>
          <w:tcPr>
            <w:tcW w:w="995" w:type="dxa"/>
          </w:tcPr>
          <w:p w14:paraId="2BC032BB">
            <w:pPr>
              <w:widowControl w:val="0"/>
              <w:rPr>
                <w:color w:val="auto"/>
                <w:highlight w:val="none"/>
                <w:vertAlign w:val="baseline"/>
              </w:rPr>
            </w:pPr>
          </w:p>
        </w:tc>
        <w:tc>
          <w:tcPr>
            <w:tcW w:w="1061" w:type="dxa"/>
          </w:tcPr>
          <w:p w14:paraId="43AF7AB5">
            <w:pPr>
              <w:widowControl w:val="0"/>
              <w:rPr>
                <w:color w:val="auto"/>
                <w:highlight w:val="none"/>
                <w:vertAlign w:val="baseline"/>
              </w:rPr>
            </w:pPr>
          </w:p>
        </w:tc>
        <w:tc>
          <w:tcPr>
            <w:tcW w:w="1061" w:type="dxa"/>
          </w:tcPr>
          <w:p w14:paraId="3CD0599F">
            <w:pPr>
              <w:widowControl w:val="0"/>
              <w:rPr>
                <w:color w:val="auto"/>
                <w:highlight w:val="none"/>
                <w:vertAlign w:val="baseline"/>
              </w:rPr>
            </w:pPr>
          </w:p>
        </w:tc>
        <w:tc>
          <w:tcPr>
            <w:tcW w:w="1213" w:type="dxa"/>
          </w:tcPr>
          <w:p w14:paraId="351E7283">
            <w:pPr>
              <w:widowControl w:val="0"/>
              <w:rPr>
                <w:color w:val="auto"/>
                <w:highlight w:val="none"/>
                <w:vertAlign w:val="baseline"/>
              </w:rPr>
            </w:pPr>
          </w:p>
        </w:tc>
        <w:tc>
          <w:tcPr>
            <w:tcW w:w="1584" w:type="dxa"/>
          </w:tcPr>
          <w:p w14:paraId="47A41BCD">
            <w:pPr>
              <w:widowControl w:val="0"/>
              <w:rPr>
                <w:color w:val="auto"/>
                <w:highlight w:val="none"/>
                <w:vertAlign w:val="baseline"/>
              </w:rPr>
            </w:pPr>
          </w:p>
        </w:tc>
      </w:tr>
      <w:tr w14:paraId="544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40F1BFA5">
            <w:pPr>
              <w:widowControl w:val="0"/>
              <w:rPr>
                <w:color w:val="auto"/>
                <w:highlight w:val="none"/>
                <w:vertAlign w:val="baseline"/>
              </w:rPr>
            </w:pPr>
          </w:p>
        </w:tc>
        <w:tc>
          <w:tcPr>
            <w:tcW w:w="1181" w:type="dxa"/>
            <w:vMerge w:val="continue"/>
          </w:tcPr>
          <w:p w14:paraId="040A03DA">
            <w:pPr>
              <w:widowControl w:val="0"/>
              <w:rPr>
                <w:color w:val="auto"/>
                <w:highlight w:val="none"/>
                <w:vertAlign w:val="baseline"/>
              </w:rPr>
            </w:pPr>
          </w:p>
        </w:tc>
        <w:tc>
          <w:tcPr>
            <w:tcW w:w="1341" w:type="dxa"/>
          </w:tcPr>
          <w:p w14:paraId="6D655FCD">
            <w:pPr>
              <w:widowControl w:val="0"/>
              <w:rPr>
                <w:color w:val="auto"/>
                <w:highlight w:val="none"/>
                <w:vertAlign w:val="baseline"/>
              </w:rPr>
            </w:pPr>
          </w:p>
        </w:tc>
        <w:tc>
          <w:tcPr>
            <w:tcW w:w="1225" w:type="dxa"/>
          </w:tcPr>
          <w:p w14:paraId="5E1CE5CD">
            <w:pPr>
              <w:widowControl w:val="0"/>
              <w:rPr>
                <w:color w:val="auto"/>
                <w:highlight w:val="none"/>
                <w:vertAlign w:val="baseline"/>
              </w:rPr>
            </w:pPr>
          </w:p>
        </w:tc>
        <w:tc>
          <w:tcPr>
            <w:tcW w:w="995" w:type="dxa"/>
          </w:tcPr>
          <w:p w14:paraId="6FFF8D39">
            <w:pPr>
              <w:widowControl w:val="0"/>
              <w:rPr>
                <w:color w:val="auto"/>
                <w:highlight w:val="none"/>
                <w:vertAlign w:val="baseline"/>
              </w:rPr>
            </w:pPr>
          </w:p>
        </w:tc>
        <w:tc>
          <w:tcPr>
            <w:tcW w:w="995" w:type="dxa"/>
          </w:tcPr>
          <w:p w14:paraId="69EFFFF9">
            <w:pPr>
              <w:widowControl w:val="0"/>
              <w:rPr>
                <w:color w:val="auto"/>
                <w:highlight w:val="none"/>
                <w:vertAlign w:val="baseline"/>
              </w:rPr>
            </w:pPr>
          </w:p>
        </w:tc>
        <w:tc>
          <w:tcPr>
            <w:tcW w:w="1107" w:type="dxa"/>
          </w:tcPr>
          <w:p w14:paraId="0D9181D5">
            <w:pPr>
              <w:widowControl w:val="0"/>
              <w:rPr>
                <w:color w:val="auto"/>
                <w:highlight w:val="none"/>
                <w:vertAlign w:val="baseline"/>
              </w:rPr>
            </w:pPr>
          </w:p>
        </w:tc>
        <w:tc>
          <w:tcPr>
            <w:tcW w:w="883" w:type="dxa"/>
          </w:tcPr>
          <w:p w14:paraId="55638291">
            <w:pPr>
              <w:widowControl w:val="0"/>
              <w:rPr>
                <w:color w:val="auto"/>
                <w:highlight w:val="none"/>
                <w:vertAlign w:val="baseline"/>
              </w:rPr>
            </w:pPr>
          </w:p>
        </w:tc>
        <w:tc>
          <w:tcPr>
            <w:tcW w:w="995" w:type="dxa"/>
          </w:tcPr>
          <w:p w14:paraId="18AD76A8">
            <w:pPr>
              <w:widowControl w:val="0"/>
              <w:rPr>
                <w:color w:val="auto"/>
                <w:highlight w:val="none"/>
                <w:vertAlign w:val="baseline"/>
              </w:rPr>
            </w:pPr>
          </w:p>
        </w:tc>
        <w:tc>
          <w:tcPr>
            <w:tcW w:w="1061" w:type="dxa"/>
          </w:tcPr>
          <w:p w14:paraId="3E848191">
            <w:pPr>
              <w:widowControl w:val="0"/>
              <w:rPr>
                <w:color w:val="auto"/>
                <w:highlight w:val="none"/>
                <w:vertAlign w:val="baseline"/>
              </w:rPr>
            </w:pPr>
          </w:p>
        </w:tc>
        <w:tc>
          <w:tcPr>
            <w:tcW w:w="1061" w:type="dxa"/>
          </w:tcPr>
          <w:p w14:paraId="5A6786BD">
            <w:pPr>
              <w:widowControl w:val="0"/>
              <w:rPr>
                <w:color w:val="auto"/>
                <w:highlight w:val="none"/>
                <w:vertAlign w:val="baseline"/>
              </w:rPr>
            </w:pPr>
          </w:p>
        </w:tc>
        <w:tc>
          <w:tcPr>
            <w:tcW w:w="1213" w:type="dxa"/>
          </w:tcPr>
          <w:p w14:paraId="4A951FB8">
            <w:pPr>
              <w:widowControl w:val="0"/>
              <w:rPr>
                <w:color w:val="auto"/>
                <w:highlight w:val="none"/>
                <w:vertAlign w:val="baseline"/>
              </w:rPr>
            </w:pPr>
          </w:p>
        </w:tc>
        <w:tc>
          <w:tcPr>
            <w:tcW w:w="1584" w:type="dxa"/>
          </w:tcPr>
          <w:p w14:paraId="554D3838">
            <w:pPr>
              <w:widowControl w:val="0"/>
              <w:rPr>
                <w:color w:val="auto"/>
                <w:highlight w:val="none"/>
                <w:vertAlign w:val="baseline"/>
              </w:rPr>
            </w:pPr>
          </w:p>
        </w:tc>
      </w:tr>
      <w:tr w14:paraId="0833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6D387E14">
            <w:pPr>
              <w:widowControl w:val="0"/>
              <w:rPr>
                <w:color w:val="auto"/>
                <w:highlight w:val="none"/>
                <w:vertAlign w:val="baseline"/>
              </w:rPr>
            </w:pPr>
          </w:p>
        </w:tc>
        <w:tc>
          <w:tcPr>
            <w:tcW w:w="1181" w:type="dxa"/>
            <w:vMerge w:val="restart"/>
          </w:tcPr>
          <w:p w14:paraId="0D9E80CF">
            <w:pPr>
              <w:widowControl w:val="0"/>
              <w:rPr>
                <w:color w:val="auto"/>
                <w:highlight w:val="none"/>
                <w:vertAlign w:val="baseline"/>
              </w:rPr>
            </w:pPr>
          </w:p>
        </w:tc>
        <w:tc>
          <w:tcPr>
            <w:tcW w:w="1341" w:type="dxa"/>
          </w:tcPr>
          <w:p w14:paraId="1E7399C3">
            <w:pPr>
              <w:widowControl w:val="0"/>
              <w:rPr>
                <w:color w:val="auto"/>
                <w:highlight w:val="none"/>
                <w:vertAlign w:val="baseline"/>
              </w:rPr>
            </w:pPr>
          </w:p>
        </w:tc>
        <w:tc>
          <w:tcPr>
            <w:tcW w:w="1225" w:type="dxa"/>
          </w:tcPr>
          <w:p w14:paraId="3F37E071">
            <w:pPr>
              <w:widowControl w:val="0"/>
              <w:rPr>
                <w:color w:val="auto"/>
                <w:highlight w:val="none"/>
                <w:vertAlign w:val="baseline"/>
              </w:rPr>
            </w:pPr>
          </w:p>
        </w:tc>
        <w:tc>
          <w:tcPr>
            <w:tcW w:w="995" w:type="dxa"/>
          </w:tcPr>
          <w:p w14:paraId="3C6E9A35">
            <w:pPr>
              <w:widowControl w:val="0"/>
              <w:rPr>
                <w:color w:val="auto"/>
                <w:highlight w:val="none"/>
                <w:vertAlign w:val="baseline"/>
              </w:rPr>
            </w:pPr>
          </w:p>
        </w:tc>
        <w:tc>
          <w:tcPr>
            <w:tcW w:w="995" w:type="dxa"/>
          </w:tcPr>
          <w:p w14:paraId="439A493E">
            <w:pPr>
              <w:widowControl w:val="0"/>
              <w:rPr>
                <w:color w:val="auto"/>
                <w:highlight w:val="none"/>
                <w:vertAlign w:val="baseline"/>
              </w:rPr>
            </w:pPr>
          </w:p>
        </w:tc>
        <w:tc>
          <w:tcPr>
            <w:tcW w:w="1107" w:type="dxa"/>
          </w:tcPr>
          <w:p w14:paraId="6DA472CA">
            <w:pPr>
              <w:widowControl w:val="0"/>
              <w:rPr>
                <w:color w:val="auto"/>
                <w:highlight w:val="none"/>
                <w:vertAlign w:val="baseline"/>
              </w:rPr>
            </w:pPr>
          </w:p>
        </w:tc>
        <w:tc>
          <w:tcPr>
            <w:tcW w:w="883" w:type="dxa"/>
          </w:tcPr>
          <w:p w14:paraId="4B709168">
            <w:pPr>
              <w:widowControl w:val="0"/>
              <w:rPr>
                <w:color w:val="auto"/>
                <w:highlight w:val="none"/>
                <w:vertAlign w:val="baseline"/>
              </w:rPr>
            </w:pPr>
          </w:p>
        </w:tc>
        <w:tc>
          <w:tcPr>
            <w:tcW w:w="995" w:type="dxa"/>
          </w:tcPr>
          <w:p w14:paraId="0406CE2F">
            <w:pPr>
              <w:widowControl w:val="0"/>
              <w:rPr>
                <w:color w:val="auto"/>
                <w:highlight w:val="none"/>
                <w:vertAlign w:val="baseline"/>
              </w:rPr>
            </w:pPr>
          </w:p>
        </w:tc>
        <w:tc>
          <w:tcPr>
            <w:tcW w:w="1061" w:type="dxa"/>
          </w:tcPr>
          <w:p w14:paraId="51830342">
            <w:pPr>
              <w:widowControl w:val="0"/>
              <w:rPr>
                <w:color w:val="auto"/>
                <w:highlight w:val="none"/>
                <w:vertAlign w:val="baseline"/>
              </w:rPr>
            </w:pPr>
          </w:p>
        </w:tc>
        <w:tc>
          <w:tcPr>
            <w:tcW w:w="1061" w:type="dxa"/>
          </w:tcPr>
          <w:p w14:paraId="19B6E307">
            <w:pPr>
              <w:widowControl w:val="0"/>
              <w:rPr>
                <w:color w:val="auto"/>
                <w:highlight w:val="none"/>
                <w:vertAlign w:val="baseline"/>
              </w:rPr>
            </w:pPr>
          </w:p>
        </w:tc>
        <w:tc>
          <w:tcPr>
            <w:tcW w:w="1213" w:type="dxa"/>
          </w:tcPr>
          <w:p w14:paraId="3E3FE638">
            <w:pPr>
              <w:widowControl w:val="0"/>
              <w:rPr>
                <w:color w:val="auto"/>
                <w:highlight w:val="none"/>
                <w:vertAlign w:val="baseline"/>
              </w:rPr>
            </w:pPr>
          </w:p>
        </w:tc>
        <w:tc>
          <w:tcPr>
            <w:tcW w:w="1584" w:type="dxa"/>
          </w:tcPr>
          <w:p w14:paraId="71BF78D1">
            <w:pPr>
              <w:widowControl w:val="0"/>
              <w:rPr>
                <w:color w:val="auto"/>
                <w:highlight w:val="none"/>
                <w:vertAlign w:val="baseline"/>
              </w:rPr>
            </w:pPr>
          </w:p>
        </w:tc>
      </w:tr>
      <w:tr w14:paraId="0067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5C983840">
            <w:pPr>
              <w:widowControl w:val="0"/>
              <w:rPr>
                <w:color w:val="auto"/>
                <w:highlight w:val="none"/>
                <w:vertAlign w:val="baseline"/>
              </w:rPr>
            </w:pPr>
          </w:p>
        </w:tc>
        <w:tc>
          <w:tcPr>
            <w:tcW w:w="1181" w:type="dxa"/>
            <w:vMerge w:val="continue"/>
          </w:tcPr>
          <w:p w14:paraId="321CC1BD">
            <w:pPr>
              <w:widowControl w:val="0"/>
              <w:rPr>
                <w:color w:val="auto"/>
                <w:highlight w:val="none"/>
                <w:vertAlign w:val="baseline"/>
              </w:rPr>
            </w:pPr>
          </w:p>
        </w:tc>
        <w:tc>
          <w:tcPr>
            <w:tcW w:w="1341" w:type="dxa"/>
          </w:tcPr>
          <w:p w14:paraId="177DB5E9">
            <w:pPr>
              <w:widowControl w:val="0"/>
              <w:rPr>
                <w:color w:val="auto"/>
                <w:highlight w:val="none"/>
                <w:vertAlign w:val="baseline"/>
              </w:rPr>
            </w:pPr>
          </w:p>
        </w:tc>
        <w:tc>
          <w:tcPr>
            <w:tcW w:w="1225" w:type="dxa"/>
          </w:tcPr>
          <w:p w14:paraId="74208401">
            <w:pPr>
              <w:widowControl w:val="0"/>
              <w:rPr>
                <w:color w:val="auto"/>
                <w:highlight w:val="none"/>
                <w:vertAlign w:val="baseline"/>
              </w:rPr>
            </w:pPr>
          </w:p>
        </w:tc>
        <w:tc>
          <w:tcPr>
            <w:tcW w:w="995" w:type="dxa"/>
          </w:tcPr>
          <w:p w14:paraId="1C3E1A61">
            <w:pPr>
              <w:widowControl w:val="0"/>
              <w:rPr>
                <w:color w:val="auto"/>
                <w:highlight w:val="none"/>
                <w:vertAlign w:val="baseline"/>
              </w:rPr>
            </w:pPr>
          </w:p>
        </w:tc>
        <w:tc>
          <w:tcPr>
            <w:tcW w:w="995" w:type="dxa"/>
          </w:tcPr>
          <w:p w14:paraId="045B7522">
            <w:pPr>
              <w:widowControl w:val="0"/>
              <w:rPr>
                <w:color w:val="auto"/>
                <w:highlight w:val="none"/>
                <w:vertAlign w:val="baseline"/>
              </w:rPr>
            </w:pPr>
          </w:p>
        </w:tc>
        <w:tc>
          <w:tcPr>
            <w:tcW w:w="1107" w:type="dxa"/>
          </w:tcPr>
          <w:p w14:paraId="495D32C7">
            <w:pPr>
              <w:widowControl w:val="0"/>
              <w:rPr>
                <w:color w:val="auto"/>
                <w:highlight w:val="none"/>
                <w:vertAlign w:val="baseline"/>
              </w:rPr>
            </w:pPr>
          </w:p>
        </w:tc>
        <w:tc>
          <w:tcPr>
            <w:tcW w:w="883" w:type="dxa"/>
          </w:tcPr>
          <w:p w14:paraId="6707E9BC">
            <w:pPr>
              <w:widowControl w:val="0"/>
              <w:rPr>
                <w:color w:val="auto"/>
                <w:highlight w:val="none"/>
                <w:vertAlign w:val="baseline"/>
              </w:rPr>
            </w:pPr>
          </w:p>
        </w:tc>
        <w:tc>
          <w:tcPr>
            <w:tcW w:w="995" w:type="dxa"/>
          </w:tcPr>
          <w:p w14:paraId="3D0459B3">
            <w:pPr>
              <w:widowControl w:val="0"/>
              <w:rPr>
                <w:color w:val="auto"/>
                <w:highlight w:val="none"/>
                <w:vertAlign w:val="baseline"/>
              </w:rPr>
            </w:pPr>
          </w:p>
        </w:tc>
        <w:tc>
          <w:tcPr>
            <w:tcW w:w="1061" w:type="dxa"/>
          </w:tcPr>
          <w:p w14:paraId="079689F5">
            <w:pPr>
              <w:widowControl w:val="0"/>
              <w:rPr>
                <w:color w:val="auto"/>
                <w:highlight w:val="none"/>
                <w:vertAlign w:val="baseline"/>
              </w:rPr>
            </w:pPr>
          </w:p>
        </w:tc>
        <w:tc>
          <w:tcPr>
            <w:tcW w:w="1061" w:type="dxa"/>
          </w:tcPr>
          <w:p w14:paraId="0417379A">
            <w:pPr>
              <w:widowControl w:val="0"/>
              <w:rPr>
                <w:color w:val="auto"/>
                <w:highlight w:val="none"/>
                <w:vertAlign w:val="baseline"/>
              </w:rPr>
            </w:pPr>
          </w:p>
        </w:tc>
        <w:tc>
          <w:tcPr>
            <w:tcW w:w="1213" w:type="dxa"/>
          </w:tcPr>
          <w:p w14:paraId="60DE824B">
            <w:pPr>
              <w:widowControl w:val="0"/>
              <w:rPr>
                <w:color w:val="auto"/>
                <w:highlight w:val="none"/>
                <w:vertAlign w:val="baseline"/>
              </w:rPr>
            </w:pPr>
          </w:p>
        </w:tc>
        <w:tc>
          <w:tcPr>
            <w:tcW w:w="1584" w:type="dxa"/>
          </w:tcPr>
          <w:p w14:paraId="544ED074">
            <w:pPr>
              <w:widowControl w:val="0"/>
              <w:rPr>
                <w:color w:val="auto"/>
                <w:highlight w:val="none"/>
                <w:vertAlign w:val="baseline"/>
              </w:rPr>
            </w:pPr>
          </w:p>
        </w:tc>
      </w:tr>
    </w:tbl>
    <w:p w14:paraId="5C36BDA2">
      <w:pPr>
        <w:rPr>
          <w:color w:val="auto"/>
          <w:highlight w:val="none"/>
        </w:rPr>
      </w:pPr>
    </w:p>
    <w:p w14:paraId="19F2D90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01061A6B">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3FDC8B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024AEB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eastAsia="zh-CN"/>
        </w:rPr>
        <w:t>请按照</w:t>
      </w:r>
      <w:r>
        <w:rPr>
          <w:rFonts w:hint="eastAsia" w:ascii="宋体" w:hAnsi="宋体" w:eastAsia="宋体" w:cs="宋体"/>
          <w:b/>
          <w:bCs/>
          <w:color w:val="auto"/>
          <w:szCs w:val="21"/>
          <w:highlight w:val="none"/>
          <w:lang w:val="en-US" w:eastAsia="zh-CN"/>
        </w:rPr>
        <w:t>检测项目填写试剂</w:t>
      </w:r>
      <w:r>
        <w:rPr>
          <w:rFonts w:hint="eastAsia" w:ascii="宋体" w:hAnsi="宋体" w:eastAsia="宋体" w:cs="宋体"/>
          <w:b/>
          <w:bCs/>
          <w:color w:val="auto"/>
          <w:szCs w:val="21"/>
          <w:highlight w:val="none"/>
          <w:lang w:eastAsia="zh-CN"/>
        </w:rPr>
        <w:t>。</w:t>
      </w:r>
    </w:p>
    <w:p w14:paraId="0D7F79A7">
      <w:pPr>
        <w:keepNext w:val="0"/>
        <w:keepLines w:val="0"/>
        <w:pageBreakBefore w:val="0"/>
        <w:widowControl/>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2.试剂以“每人份”为单位进行报价。</w:t>
      </w:r>
    </w:p>
    <w:p w14:paraId="6A023997">
      <w:pPr>
        <w:keepNext w:val="0"/>
        <w:keepLines w:val="0"/>
        <w:pageBreakBefore w:val="0"/>
        <w:widowControl/>
        <w:suppressLineNumbers w:val="0"/>
        <w:wordWrap/>
        <w:overflowPunct/>
        <w:topLinePunct w:val="0"/>
        <w:bidi w:val="0"/>
        <w:spacing w:line="400" w:lineRule="exact"/>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此表为产品配套试剂报价表，如没有，无需制作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3C312762">
      <w:pPr>
        <w:pStyle w:val="24"/>
        <w:rPr>
          <w:rFonts w:hint="eastAsia" w:ascii="宋体" w:hAnsi="宋体" w:cs="宋体"/>
          <w:color w:val="auto"/>
          <w:kern w:val="0"/>
          <w:sz w:val="24"/>
          <w:highlight w:val="none"/>
        </w:rPr>
      </w:pPr>
    </w:p>
    <w:p w14:paraId="5E4799A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4DAB2F81">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4.2 配套耗材报价一览表（格式，如有）</w:t>
      </w:r>
    </w:p>
    <w:p w14:paraId="34968220">
      <w:pPr>
        <w:bidi w:val="0"/>
        <w:rPr>
          <w:color w:val="auto"/>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85"/>
        <w:gridCol w:w="1185"/>
        <w:gridCol w:w="1200"/>
        <w:gridCol w:w="1134"/>
        <w:gridCol w:w="986"/>
        <w:gridCol w:w="986"/>
        <w:gridCol w:w="986"/>
        <w:gridCol w:w="708"/>
        <w:gridCol w:w="1125"/>
        <w:gridCol w:w="1275"/>
        <w:gridCol w:w="1500"/>
        <w:gridCol w:w="1405"/>
      </w:tblGrid>
      <w:tr w14:paraId="09D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Align w:val="center"/>
          </w:tcPr>
          <w:p w14:paraId="446D7DBC">
            <w:pPr>
              <w:widowControl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5" w:type="dxa"/>
            <w:vAlign w:val="center"/>
          </w:tcPr>
          <w:p w14:paraId="3CC43DE8">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185" w:type="dxa"/>
            <w:vAlign w:val="center"/>
          </w:tcPr>
          <w:p w14:paraId="601779BC">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商品名（通用名）</w:t>
            </w:r>
          </w:p>
        </w:tc>
        <w:tc>
          <w:tcPr>
            <w:tcW w:w="1200" w:type="dxa"/>
            <w:vAlign w:val="center"/>
          </w:tcPr>
          <w:p w14:paraId="32F79E07">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投标产</w:t>
            </w:r>
          </w:p>
          <w:p w14:paraId="451D1B1F">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品注册</w:t>
            </w:r>
          </w:p>
          <w:p w14:paraId="2F5AB844">
            <w:pPr>
              <w:keepNext w:val="0"/>
              <w:keepLines w:val="0"/>
              <w:widowControl/>
              <w:suppressLineNumbers w:val="0"/>
              <w:jc w:val="center"/>
              <w:rPr>
                <w:rFonts w:hint="default"/>
                <w:b/>
                <w:bCs/>
                <w:color w:val="auto"/>
                <w:sz w:val="21"/>
                <w:szCs w:val="21"/>
                <w:highlight w:val="none"/>
                <w:vertAlign w:val="baseline"/>
                <w:lang w:val="en-US"/>
              </w:rPr>
            </w:pPr>
            <w:r>
              <w:rPr>
                <w:rFonts w:hint="eastAsia" w:ascii="宋体" w:hAnsi="宋体" w:eastAsia="宋体" w:cs="宋体"/>
                <w:b/>
                <w:bCs/>
                <w:snapToGrid w:val="0"/>
                <w:color w:val="auto"/>
                <w:kern w:val="0"/>
                <w:sz w:val="21"/>
                <w:szCs w:val="21"/>
                <w:highlight w:val="none"/>
                <w:lang w:val="en-US" w:eastAsia="zh-CN" w:bidi="ar"/>
              </w:rPr>
              <w:t>证名称</w:t>
            </w:r>
            <w:r>
              <w:rPr>
                <w:rFonts w:hint="eastAsia" w:ascii="宋体" w:hAnsi="宋体" w:cs="宋体"/>
                <w:b/>
                <w:bCs/>
                <w:snapToGrid w:val="0"/>
                <w:color w:val="auto"/>
                <w:kern w:val="0"/>
                <w:sz w:val="21"/>
                <w:szCs w:val="21"/>
                <w:highlight w:val="none"/>
                <w:lang w:val="en-US" w:eastAsia="zh-CN" w:bidi="ar"/>
              </w:rPr>
              <w:t>及注册证号</w:t>
            </w:r>
          </w:p>
        </w:tc>
        <w:tc>
          <w:tcPr>
            <w:tcW w:w="1134" w:type="dxa"/>
            <w:vAlign w:val="center"/>
          </w:tcPr>
          <w:p w14:paraId="3EA06616">
            <w:pPr>
              <w:keepNext w:val="0"/>
              <w:keepLines w:val="0"/>
              <w:widowControl/>
              <w:suppressLineNumbers w:val="0"/>
              <w:jc w:val="center"/>
              <w:rPr>
                <w:rFonts w:hint="eastAsia" w:asciiTheme="minorEastAsia" w:hAnsiTheme="minorEastAsia"/>
                <w:b/>
                <w:bCs/>
                <w:szCs w:val="21"/>
                <w:highlight w:val="none"/>
              </w:rPr>
            </w:pPr>
            <w:r>
              <w:rPr>
                <w:rFonts w:hint="eastAsia" w:asciiTheme="minorEastAsia" w:hAnsiTheme="minorEastAsia"/>
                <w:b/>
                <w:bCs/>
                <w:szCs w:val="21"/>
                <w:highlight w:val="none"/>
              </w:rPr>
              <w:t>规格型号</w:t>
            </w:r>
          </w:p>
          <w:p w14:paraId="1BA4FA70">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szCs w:val="21"/>
                <w:highlight w:val="none"/>
                <w:lang w:eastAsia="zh-CN"/>
              </w:rPr>
              <w:t>（</w:t>
            </w:r>
            <w:r>
              <w:rPr>
                <w:rFonts w:hint="eastAsia" w:cs="宋体" w:asciiTheme="minorEastAsia" w:hAnsiTheme="minorEastAsia"/>
                <w:b/>
                <w:bCs/>
                <w:szCs w:val="21"/>
                <w:highlight w:val="none"/>
              </w:rPr>
              <w:t>按注册证规格型号填写</w:t>
            </w:r>
            <w:r>
              <w:rPr>
                <w:rFonts w:hint="eastAsia" w:asciiTheme="minorEastAsia" w:hAnsiTheme="minorEastAsia"/>
                <w:b/>
                <w:bCs/>
                <w:szCs w:val="21"/>
                <w:highlight w:val="none"/>
                <w:lang w:eastAsia="zh-CN"/>
              </w:rPr>
              <w:t>）</w:t>
            </w:r>
          </w:p>
        </w:tc>
        <w:tc>
          <w:tcPr>
            <w:tcW w:w="986" w:type="dxa"/>
            <w:vAlign w:val="center"/>
          </w:tcPr>
          <w:p w14:paraId="6334D0FF">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生产企业</w:t>
            </w:r>
          </w:p>
        </w:tc>
        <w:tc>
          <w:tcPr>
            <w:tcW w:w="986" w:type="dxa"/>
            <w:vAlign w:val="center"/>
          </w:tcPr>
          <w:p w14:paraId="472F7579">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品牌</w:t>
            </w:r>
          </w:p>
        </w:tc>
        <w:tc>
          <w:tcPr>
            <w:tcW w:w="986" w:type="dxa"/>
            <w:vAlign w:val="center"/>
          </w:tcPr>
          <w:p w14:paraId="18B1749A">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产地</w:t>
            </w:r>
          </w:p>
        </w:tc>
        <w:tc>
          <w:tcPr>
            <w:tcW w:w="708" w:type="dxa"/>
            <w:vAlign w:val="center"/>
          </w:tcPr>
          <w:p w14:paraId="14110869">
            <w:pPr>
              <w:keepNext w:val="0"/>
              <w:keepLines w:val="0"/>
              <w:widowControl/>
              <w:suppressLineNumbers w:val="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计价单位</w:t>
            </w:r>
          </w:p>
        </w:tc>
        <w:tc>
          <w:tcPr>
            <w:tcW w:w="1125" w:type="dxa"/>
            <w:vAlign w:val="center"/>
          </w:tcPr>
          <w:p w14:paraId="53A80B95">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投标单价</w:t>
            </w:r>
          </w:p>
          <w:p w14:paraId="4B956310">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（元/单位）</w:t>
            </w:r>
          </w:p>
        </w:tc>
        <w:tc>
          <w:tcPr>
            <w:tcW w:w="1275" w:type="dxa"/>
            <w:vAlign w:val="center"/>
          </w:tcPr>
          <w:p w14:paraId="59672E7B">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网采号</w:t>
            </w:r>
          </w:p>
        </w:tc>
        <w:tc>
          <w:tcPr>
            <w:tcW w:w="1500" w:type="dxa"/>
            <w:vAlign w:val="center"/>
          </w:tcPr>
          <w:p w14:paraId="5AC485E5">
            <w:pPr>
              <w:widowControl w:val="0"/>
              <w:spacing w:line="320" w:lineRule="exact"/>
              <w:jc w:val="center"/>
              <w:outlineLvl w:val="0"/>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405" w:type="dxa"/>
            <w:vAlign w:val="center"/>
          </w:tcPr>
          <w:p w14:paraId="41A0E20A">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750DD40B">
            <w:pPr>
              <w:widowControl w:val="0"/>
              <w:spacing w:line="320" w:lineRule="exact"/>
              <w:jc w:val="center"/>
              <w:outlineLvl w:val="0"/>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color w:val="auto"/>
                <w:sz w:val="21"/>
                <w:szCs w:val="21"/>
                <w:highlight w:val="none"/>
                <w:lang w:val="en-US" w:eastAsia="zh-CN"/>
              </w:rPr>
              <w:t>收费金额</w:t>
            </w:r>
          </w:p>
        </w:tc>
      </w:tr>
      <w:tr w14:paraId="1DE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2E41F0A7">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185" w:type="dxa"/>
            <w:vMerge w:val="restart"/>
          </w:tcPr>
          <w:p w14:paraId="2078D575">
            <w:pPr>
              <w:widowControl w:val="0"/>
              <w:rPr>
                <w:color w:val="auto"/>
                <w:highlight w:val="none"/>
                <w:vertAlign w:val="baseline"/>
              </w:rPr>
            </w:pPr>
          </w:p>
        </w:tc>
        <w:tc>
          <w:tcPr>
            <w:tcW w:w="1185" w:type="dxa"/>
          </w:tcPr>
          <w:p w14:paraId="0F341263">
            <w:pPr>
              <w:widowControl w:val="0"/>
              <w:rPr>
                <w:color w:val="auto"/>
                <w:highlight w:val="none"/>
                <w:vertAlign w:val="baseline"/>
              </w:rPr>
            </w:pPr>
          </w:p>
        </w:tc>
        <w:tc>
          <w:tcPr>
            <w:tcW w:w="1200" w:type="dxa"/>
          </w:tcPr>
          <w:p w14:paraId="5E2811FC">
            <w:pPr>
              <w:widowControl w:val="0"/>
              <w:rPr>
                <w:color w:val="auto"/>
                <w:highlight w:val="none"/>
                <w:vertAlign w:val="baseline"/>
              </w:rPr>
            </w:pPr>
          </w:p>
        </w:tc>
        <w:tc>
          <w:tcPr>
            <w:tcW w:w="1134" w:type="dxa"/>
          </w:tcPr>
          <w:p w14:paraId="4138DDFD">
            <w:pPr>
              <w:widowControl w:val="0"/>
              <w:rPr>
                <w:color w:val="auto"/>
                <w:highlight w:val="none"/>
                <w:vertAlign w:val="baseline"/>
              </w:rPr>
            </w:pPr>
          </w:p>
        </w:tc>
        <w:tc>
          <w:tcPr>
            <w:tcW w:w="986" w:type="dxa"/>
          </w:tcPr>
          <w:p w14:paraId="6406ADBC">
            <w:pPr>
              <w:widowControl w:val="0"/>
              <w:rPr>
                <w:color w:val="auto"/>
                <w:highlight w:val="none"/>
                <w:vertAlign w:val="baseline"/>
              </w:rPr>
            </w:pPr>
          </w:p>
        </w:tc>
        <w:tc>
          <w:tcPr>
            <w:tcW w:w="986" w:type="dxa"/>
          </w:tcPr>
          <w:p w14:paraId="23110391">
            <w:pPr>
              <w:widowControl w:val="0"/>
              <w:rPr>
                <w:color w:val="auto"/>
                <w:highlight w:val="none"/>
                <w:vertAlign w:val="baseline"/>
              </w:rPr>
            </w:pPr>
          </w:p>
        </w:tc>
        <w:tc>
          <w:tcPr>
            <w:tcW w:w="986" w:type="dxa"/>
          </w:tcPr>
          <w:p w14:paraId="403934A1">
            <w:pPr>
              <w:widowControl w:val="0"/>
              <w:rPr>
                <w:color w:val="auto"/>
                <w:highlight w:val="none"/>
                <w:vertAlign w:val="baseline"/>
              </w:rPr>
            </w:pPr>
          </w:p>
        </w:tc>
        <w:tc>
          <w:tcPr>
            <w:tcW w:w="708" w:type="dxa"/>
          </w:tcPr>
          <w:p w14:paraId="542CE9FA">
            <w:pPr>
              <w:widowControl w:val="0"/>
              <w:rPr>
                <w:color w:val="auto"/>
                <w:highlight w:val="none"/>
                <w:vertAlign w:val="baseline"/>
              </w:rPr>
            </w:pPr>
          </w:p>
        </w:tc>
        <w:tc>
          <w:tcPr>
            <w:tcW w:w="1125" w:type="dxa"/>
          </w:tcPr>
          <w:p w14:paraId="1C229079">
            <w:pPr>
              <w:widowControl w:val="0"/>
              <w:rPr>
                <w:color w:val="auto"/>
                <w:highlight w:val="none"/>
                <w:vertAlign w:val="baseline"/>
              </w:rPr>
            </w:pPr>
          </w:p>
        </w:tc>
        <w:tc>
          <w:tcPr>
            <w:tcW w:w="1275" w:type="dxa"/>
          </w:tcPr>
          <w:p w14:paraId="0535F847">
            <w:pPr>
              <w:widowControl w:val="0"/>
              <w:rPr>
                <w:color w:val="auto"/>
                <w:highlight w:val="none"/>
                <w:vertAlign w:val="baseline"/>
              </w:rPr>
            </w:pPr>
          </w:p>
        </w:tc>
        <w:tc>
          <w:tcPr>
            <w:tcW w:w="1500" w:type="dxa"/>
          </w:tcPr>
          <w:p w14:paraId="2034F975">
            <w:pPr>
              <w:widowControl w:val="0"/>
              <w:rPr>
                <w:color w:val="auto"/>
                <w:highlight w:val="none"/>
                <w:vertAlign w:val="baseline"/>
              </w:rPr>
            </w:pPr>
          </w:p>
        </w:tc>
        <w:tc>
          <w:tcPr>
            <w:tcW w:w="1405" w:type="dxa"/>
          </w:tcPr>
          <w:p w14:paraId="04DE4CC0">
            <w:pPr>
              <w:widowControl w:val="0"/>
              <w:rPr>
                <w:color w:val="auto"/>
                <w:highlight w:val="none"/>
                <w:vertAlign w:val="baseline"/>
              </w:rPr>
            </w:pPr>
          </w:p>
        </w:tc>
      </w:tr>
      <w:tr w14:paraId="0B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vAlign w:val="center"/>
          </w:tcPr>
          <w:p w14:paraId="0981A58C">
            <w:pPr>
              <w:widowControl w:val="0"/>
              <w:jc w:val="center"/>
              <w:rPr>
                <w:rFonts w:hint="eastAsia" w:ascii="宋体" w:hAnsi="宋体" w:eastAsia="宋体" w:cs="宋体"/>
                <w:color w:val="auto"/>
                <w:highlight w:val="none"/>
                <w:vertAlign w:val="baseline"/>
              </w:rPr>
            </w:pPr>
          </w:p>
        </w:tc>
        <w:tc>
          <w:tcPr>
            <w:tcW w:w="1185" w:type="dxa"/>
            <w:vMerge w:val="continue"/>
          </w:tcPr>
          <w:p w14:paraId="1629D171">
            <w:pPr>
              <w:widowControl w:val="0"/>
              <w:rPr>
                <w:color w:val="auto"/>
                <w:highlight w:val="none"/>
                <w:vertAlign w:val="baseline"/>
              </w:rPr>
            </w:pPr>
          </w:p>
        </w:tc>
        <w:tc>
          <w:tcPr>
            <w:tcW w:w="1185" w:type="dxa"/>
          </w:tcPr>
          <w:p w14:paraId="6F728AC8">
            <w:pPr>
              <w:widowControl w:val="0"/>
              <w:rPr>
                <w:color w:val="auto"/>
                <w:highlight w:val="none"/>
                <w:vertAlign w:val="baseline"/>
              </w:rPr>
            </w:pPr>
          </w:p>
        </w:tc>
        <w:tc>
          <w:tcPr>
            <w:tcW w:w="1200" w:type="dxa"/>
          </w:tcPr>
          <w:p w14:paraId="5DC1D47F">
            <w:pPr>
              <w:widowControl w:val="0"/>
              <w:rPr>
                <w:color w:val="auto"/>
                <w:highlight w:val="none"/>
                <w:vertAlign w:val="baseline"/>
              </w:rPr>
            </w:pPr>
          </w:p>
        </w:tc>
        <w:tc>
          <w:tcPr>
            <w:tcW w:w="1134" w:type="dxa"/>
          </w:tcPr>
          <w:p w14:paraId="0736C76F">
            <w:pPr>
              <w:widowControl w:val="0"/>
              <w:rPr>
                <w:color w:val="auto"/>
                <w:highlight w:val="none"/>
                <w:vertAlign w:val="baseline"/>
              </w:rPr>
            </w:pPr>
          </w:p>
        </w:tc>
        <w:tc>
          <w:tcPr>
            <w:tcW w:w="986" w:type="dxa"/>
          </w:tcPr>
          <w:p w14:paraId="4A635A5B">
            <w:pPr>
              <w:widowControl w:val="0"/>
              <w:rPr>
                <w:color w:val="auto"/>
                <w:highlight w:val="none"/>
                <w:vertAlign w:val="baseline"/>
              </w:rPr>
            </w:pPr>
          </w:p>
        </w:tc>
        <w:tc>
          <w:tcPr>
            <w:tcW w:w="986" w:type="dxa"/>
          </w:tcPr>
          <w:p w14:paraId="41FF43D8">
            <w:pPr>
              <w:widowControl w:val="0"/>
              <w:rPr>
                <w:color w:val="auto"/>
                <w:highlight w:val="none"/>
                <w:vertAlign w:val="baseline"/>
              </w:rPr>
            </w:pPr>
          </w:p>
        </w:tc>
        <w:tc>
          <w:tcPr>
            <w:tcW w:w="986" w:type="dxa"/>
          </w:tcPr>
          <w:p w14:paraId="739BF70B">
            <w:pPr>
              <w:widowControl w:val="0"/>
              <w:rPr>
                <w:color w:val="auto"/>
                <w:highlight w:val="none"/>
                <w:vertAlign w:val="baseline"/>
              </w:rPr>
            </w:pPr>
          </w:p>
        </w:tc>
        <w:tc>
          <w:tcPr>
            <w:tcW w:w="708" w:type="dxa"/>
          </w:tcPr>
          <w:p w14:paraId="21217D12">
            <w:pPr>
              <w:widowControl w:val="0"/>
              <w:rPr>
                <w:color w:val="auto"/>
                <w:highlight w:val="none"/>
                <w:vertAlign w:val="baseline"/>
              </w:rPr>
            </w:pPr>
          </w:p>
        </w:tc>
        <w:tc>
          <w:tcPr>
            <w:tcW w:w="1125" w:type="dxa"/>
          </w:tcPr>
          <w:p w14:paraId="2D25857A">
            <w:pPr>
              <w:widowControl w:val="0"/>
              <w:rPr>
                <w:color w:val="auto"/>
                <w:highlight w:val="none"/>
                <w:vertAlign w:val="baseline"/>
              </w:rPr>
            </w:pPr>
          </w:p>
        </w:tc>
        <w:tc>
          <w:tcPr>
            <w:tcW w:w="1275" w:type="dxa"/>
          </w:tcPr>
          <w:p w14:paraId="4976030C">
            <w:pPr>
              <w:widowControl w:val="0"/>
              <w:rPr>
                <w:color w:val="auto"/>
                <w:highlight w:val="none"/>
                <w:vertAlign w:val="baseline"/>
              </w:rPr>
            </w:pPr>
          </w:p>
        </w:tc>
        <w:tc>
          <w:tcPr>
            <w:tcW w:w="1500" w:type="dxa"/>
          </w:tcPr>
          <w:p w14:paraId="5664F5DB">
            <w:pPr>
              <w:widowControl w:val="0"/>
              <w:rPr>
                <w:color w:val="auto"/>
                <w:highlight w:val="none"/>
                <w:vertAlign w:val="baseline"/>
              </w:rPr>
            </w:pPr>
          </w:p>
        </w:tc>
        <w:tc>
          <w:tcPr>
            <w:tcW w:w="1405" w:type="dxa"/>
          </w:tcPr>
          <w:p w14:paraId="366DE966">
            <w:pPr>
              <w:widowControl w:val="0"/>
              <w:rPr>
                <w:color w:val="auto"/>
                <w:highlight w:val="none"/>
                <w:vertAlign w:val="baseline"/>
              </w:rPr>
            </w:pPr>
          </w:p>
        </w:tc>
      </w:tr>
      <w:tr w14:paraId="5D6A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71CC3CC9">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185" w:type="dxa"/>
            <w:vMerge w:val="restart"/>
          </w:tcPr>
          <w:p w14:paraId="5F7F009A">
            <w:pPr>
              <w:widowControl w:val="0"/>
              <w:rPr>
                <w:color w:val="auto"/>
                <w:highlight w:val="none"/>
                <w:vertAlign w:val="baseline"/>
              </w:rPr>
            </w:pPr>
          </w:p>
        </w:tc>
        <w:tc>
          <w:tcPr>
            <w:tcW w:w="1185" w:type="dxa"/>
          </w:tcPr>
          <w:p w14:paraId="0D8A01B7">
            <w:pPr>
              <w:widowControl w:val="0"/>
              <w:rPr>
                <w:color w:val="auto"/>
                <w:highlight w:val="none"/>
                <w:vertAlign w:val="baseline"/>
              </w:rPr>
            </w:pPr>
          </w:p>
        </w:tc>
        <w:tc>
          <w:tcPr>
            <w:tcW w:w="1200" w:type="dxa"/>
          </w:tcPr>
          <w:p w14:paraId="5D2869C6">
            <w:pPr>
              <w:widowControl w:val="0"/>
              <w:rPr>
                <w:color w:val="auto"/>
                <w:highlight w:val="none"/>
                <w:vertAlign w:val="baseline"/>
              </w:rPr>
            </w:pPr>
          </w:p>
        </w:tc>
        <w:tc>
          <w:tcPr>
            <w:tcW w:w="1134" w:type="dxa"/>
          </w:tcPr>
          <w:p w14:paraId="1AA351AF">
            <w:pPr>
              <w:widowControl w:val="0"/>
              <w:rPr>
                <w:color w:val="auto"/>
                <w:highlight w:val="none"/>
                <w:vertAlign w:val="baseline"/>
              </w:rPr>
            </w:pPr>
          </w:p>
        </w:tc>
        <w:tc>
          <w:tcPr>
            <w:tcW w:w="986" w:type="dxa"/>
          </w:tcPr>
          <w:p w14:paraId="709D356D">
            <w:pPr>
              <w:widowControl w:val="0"/>
              <w:rPr>
                <w:color w:val="auto"/>
                <w:highlight w:val="none"/>
                <w:vertAlign w:val="baseline"/>
              </w:rPr>
            </w:pPr>
          </w:p>
        </w:tc>
        <w:tc>
          <w:tcPr>
            <w:tcW w:w="986" w:type="dxa"/>
          </w:tcPr>
          <w:p w14:paraId="140B3B78">
            <w:pPr>
              <w:widowControl w:val="0"/>
              <w:rPr>
                <w:color w:val="auto"/>
                <w:highlight w:val="none"/>
                <w:vertAlign w:val="baseline"/>
              </w:rPr>
            </w:pPr>
          </w:p>
        </w:tc>
        <w:tc>
          <w:tcPr>
            <w:tcW w:w="986" w:type="dxa"/>
          </w:tcPr>
          <w:p w14:paraId="7187B6F3">
            <w:pPr>
              <w:widowControl w:val="0"/>
              <w:rPr>
                <w:color w:val="auto"/>
                <w:highlight w:val="none"/>
                <w:vertAlign w:val="baseline"/>
              </w:rPr>
            </w:pPr>
          </w:p>
        </w:tc>
        <w:tc>
          <w:tcPr>
            <w:tcW w:w="708" w:type="dxa"/>
          </w:tcPr>
          <w:p w14:paraId="782C0C79">
            <w:pPr>
              <w:widowControl w:val="0"/>
              <w:rPr>
                <w:color w:val="auto"/>
                <w:highlight w:val="none"/>
                <w:vertAlign w:val="baseline"/>
              </w:rPr>
            </w:pPr>
          </w:p>
        </w:tc>
        <w:tc>
          <w:tcPr>
            <w:tcW w:w="1125" w:type="dxa"/>
          </w:tcPr>
          <w:p w14:paraId="3BA3AD13">
            <w:pPr>
              <w:widowControl w:val="0"/>
              <w:rPr>
                <w:color w:val="auto"/>
                <w:highlight w:val="none"/>
                <w:vertAlign w:val="baseline"/>
              </w:rPr>
            </w:pPr>
          </w:p>
        </w:tc>
        <w:tc>
          <w:tcPr>
            <w:tcW w:w="1275" w:type="dxa"/>
          </w:tcPr>
          <w:p w14:paraId="3F864AE3">
            <w:pPr>
              <w:widowControl w:val="0"/>
              <w:rPr>
                <w:color w:val="auto"/>
                <w:highlight w:val="none"/>
                <w:vertAlign w:val="baseline"/>
              </w:rPr>
            </w:pPr>
          </w:p>
        </w:tc>
        <w:tc>
          <w:tcPr>
            <w:tcW w:w="1500" w:type="dxa"/>
          </w:tcPr>
          <w:p w14:paraId="6D48088E">
            <w:pPr>
              <w:widowControl w:val="0"/>
              <w:rPr>
                <w:color w:val="auto"/>
                <w:highlight w:val="none"/>
                <w:vertAlign w:val="baseline"/>
              </w:rPr>
            </w:pPr>
          </w:p>
        </w:tc>
        <w:tc>
          <w:tcPr>
            <w:tcW w:w="1405" w:type="dxa"/>
          </w:tcPr>
          <w:p w14:paraId="09F3E95E">
            <w:pPr>
              <w:widowControl w:val="0"/>
              <w:rPr>
                <w:color w:val="auto"/>
                <w:highlight w:val="none"/>
                <w:vertAlign w:val="baseline"/>
              </w:rPr>
            </w:pPr>
          </w:p>
        </w:tc>
      </w:tr>
      <w:tr w14:paraId="27E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tcPr>
          <w:p w14:paraId="4AD2190F">
            <w:pPr>
              <w:widowControl w:val="0"/>
              <w:rPr>
                <w:color w:val="auto"/>
                <w:highlight w:val="none"/>
                <w:vertAlign w:val="baseline"/>
              </w:rPr>
            </w:pPr>
          </w:p>
        </w:tc>
        <w:tc>
          <w:tcPr>
            <w:tcW w:w="1185" w:type="dxa"/>
            <w:vMerge w:val="continue"/>
          </w:tcPr>
          <w:p w14:paraId="4D0CA1FD">
            <w:pPr>
              <w:widowControl w:val="0"/>
              <w:rPr>
                <w:color w:val="auto"/>
                <w:highlight w:val="none"/>
                <w:vertAlign w:val="baseline"/>
              </w:rPr>
            </w:pPr>
          </w:p>
        </w:tc>
        <w:tc>
          <w:tcPr>
            <w:tcW w:w="1185" w:type="dxa"/>
          </w:tcPr>
          <w:p w14:paraId="23AB6B66">
            <w:pPr>
              <w:widowControl w:val="0"/>
              <w:rPr>
                <w:color w:val="auto"/>
                <w:highlight w:val="none"/>
                <w:vertAlign w:val="baseline"/>
              </w:rPr>
            </w:pPr>
          </w:p>
        </w:tc>
        <w:tc>
          <w:tcPr>
            <w:tcW w:w="1200" w:type="dxa"/>
          </w:tcPr>
          <w:p w14:paraId="6B29D694">
            <w:pPr>
              <w:widowControl w:val="0"/>
              <w:rPr>
                <w:color w:val="auto"/>
                <w:highlight w:val="none"/>
                <w:vertAlign w:val="baseline"/>
              </w:rPr>
            </w:pPr>
          </w:p>
        </w:tc>
        <w:tc>
          <w:tcPr>
            <w:tcW w:w="1134" w:type="dxa"/>
          </w:tcPr>
          <w:p w14:paraId="424656BF">
            <w:pPr>
              <w:widowControl w:val="0"/>
              <w:rPr>
                <w:color w:val="auto"/>
                <w:highlight w:val="none"/>
                <w:vertAlign w:val="baseline"/>
              </w:rPr>
            </w:pPr>
          </w:p>
        </w:tc>
        <w:tc>
          <w:tcPr>
            <w:tcW w:w="986" w:type="dxa"/>
          </w:tcPr>
          <w:p w14:paraId="7D39357A">
            <w:pPr>
              <w:widowControl w:val="0"/>
              <w:rPr>
                <w:color w:val="auto"/>
                <w:highlight w:val="none"/>
                <w:vertAlign w:val="baseline"/>
              </w:rPr>
            </w:pPr>
          </w:p>
        </w:tc>
        <w:tc>
          <w:tcPr>
            <w:tcW w:w="986" w:type="dxa"/>
          </w:tcPr>
          <w:p w14:paraId="747DFEFE">
            <w:pPr>
              <w:widowControl w:val="0"/>
              <w:rPr>
                <w:color w:val="auto"/>
                <w:highlight w:val="none"/>
                <w:vertAlign w:val="baseline"/>
              </w:rPr>
            </w:pPr>
          </w:p>
        </w:tc>
        <w:tc>
          <w:tcPr>
            <w:tcW w:w="986" w:type="dxa"/>
          </w:tcPr>
          <w:p w14:paraId="3CDE67A2">
            <w:pPr>
              <w:widowControl w:val="0"/>
              <w:rPr>
                <w:color w:val="auto"/>
                <w:highlight w:val="none"/>
                <w:vertAlign w:val="baseline"/>
              </w:rPr>
            </w:pPr>
          </w:p>
        </w:tc>
        <w:tc>
          <w:tcPr>
            <w:tcW w:w="708" w:type="dxa"/>
          </w:tcPr>
          <w:p w14:paraId="5D8AC925">
            <w:pPr>
              <w:widowControl w:val="0"/>
              <w:rPr>
                <w:color w:val="auto"/>
                <w:highlight w:val="none"/>
                <w:vertAlign w:val="baseline"/>
              </w:rPr>
            </w:pPr>
          </w:p>
        </w:tc>
        <w:tc>
          <w:tcPr>
            <w:tcW w:w="1125" w:type="dxa"/>
          </w:tcPr>
          <w:p w14:paraId="3D2C7340">
            <w:pPr>
              <w:widowControl w:val="0"/>
              <w:rPr>
                <w:color w:val="auto"/>
                <w:highlight w:val="none"/>
                <w:vertAlign w:val="baseline"/>
              </w:rPr>
            </w:pPr>
          </w:p>
        </w:tc>
        <w:tc>
          <w:tcPr>
            <w:tcW w:w="1275" w:type="dxa"/>
          </w:tcPr>
          <w:p w14:paraId="4A016A1F">
            <w:pPr>
              <w:widowControl w:val="0"/>
              <w:rPr>
                <w:color w:val="auto"/>
                <w:highlight w:val="none"/>
                <w:vertAlign w:val="baseline"/>
              </w:rPr>
            </w:pPr>
          </w:p>
        </w:tc>
        <w:tc>
          <w:tcPr>
            <w:tcW w:w="1500" w:type="dxa"/>
          </w:tcPr>
          <w:p w14:paraId="6AA74C35">
            <w:pPr>
              <w:widowControl w:val="0"/>
              <w:rPr>
                <w:color w:val="auto"/>
                <w:highlight w:val="none"/>
                <w:vertAlign w:val="baseline"/>
              </w:rPr>
            </w:pPr>
          </w:p>
        </w:tc>
        <w:tc>
          <w:tcPr>
            <w:tcW w:w="1405" w:type="dxa"/>
          </w:tcPr>
          <w:p w14:paraId="091E8271">
            <w:pPr>
              <w:widowControl w:val="0"/>
              <w:rPr>
                <w:color w:val="auto"/>
                <w:highlight w:val="none"/>
                <w:vertAlign w:val="baseline"/>
              </w:rPr>
            </w:pPr>
          </w:p>
        </w:tc>
      </w:tr>
    </w:tbl>
    <w:p w14:paraId="367C1593">
      <w:pPr>
        <w:rPr>
          <w:color w:val="auto"/>
          <w:highlight w:val="none"/>
        </w:rPr>
      </w:pPr>
    </w:p>
    <w:p w14:paraId="5F948E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5CB6035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F3401C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5393A2A">
      <w:pPr>
        <w:keepNext w:val="0"/>
        <w:keepLines w:val="0"/>
        <w:pageBreakBefore w:val="0"/>
        <w:widowControl/>
        <w:suppressLineNumbers w:val="0"/>
        <w:kinsoku w:val="0"/>
        <w:wordWrap/>
        <w:overflowPunct/>
        <w:topLinePunct w:val="0"/>
        <w:autoSpaceDE w:val="0"/>
        <w:autoSpaceDN w:val="0"/>
        <w:bidi w:val="0"/>
        <w:adjustRightInd w:val="0"/>
        <w:snapToGrid w:val="0"/>
        <w:ind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bidi="ar"/>
        </w:rPr>
      </w:pPr>
    </w:p>
    <w:p w14:paraId="5A6344A3">
      <w:pPr>
        <w:keepNext w:val="0"/>
        <w:keepLines w:val="0"/>
        <w:widowControl/>
        <w:suppressLineNumbers w:val="0"/>
        <w:ind w:firstLine="482" w:firstLineChars="20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此表为产品配套耗材报价表，如没有，无需制作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66DBF250">
      <w:pPr>
        <w:pStyle w:val="24"/>
        <w:rPr>
          <w:rFonts w:hint="eastAsia" w:ascii="宋体" w:hAnsi="宋体" w:cs="宋体"/>
          <w:color w:val="auto"/>
          <w:kern w:val="0"/>
          <w:sz w:val="24"/>
          <w:highlight w:val="none"/>
        </w:rPr>
      </w:pPr>
    </w:p>
    <w:p w14:paraId="02699B8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5986FE19">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4.3 产品配置清单一览表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default"/>
                <w:color w:val="auto"/>
                <w:highlight w:val="none"/>
                <w:vertAlign w:val="baseline"/>
                <w:lang w:val="en-US" w:eastAsia="zh-CN"/>
              </w:rPr>
            </w:pPr>
          </w:p>
        </w:tc>
        <w:tc>
          <w:tcPr>
            <w:tcW w:w="1676" w:type="dxa"/>
            <w:vAlign w:val="center"/>
          </w:tcPr>
          <w:p w14:paraId="2B2FB324">
            <w:pPr>
              <w:widowControl w:val="0"/>
              <w:jc w:val="center"/>
              <w:rPr>
                <w:rFonts w:hint="default"/>
                <w:color w:val="auto"/>
                <w:highlight w:val="none"/>
                <w:vertAlign w:val="baseline"/>
                <w:lang w:val="en-US" w:eastAsia="zh-CN"/>
              </w:rPr>
            </w:pPr>
          </w:p>
        </w:tc>
        <w:tc>
          <w:tcPr>
            <w:tcW w:w="1238" w:type="dxa"/>
            <w:vAlign w:val="center"/>
          </w:tcPr>
          <w:p w14:paraId="3FFED3C5">
            <w:pPr>
              <w:widowControl w:val="0"/>
              <w:jc w:val="center"/>
              <w:rPr>
                <w:rFonts w:hint="default"/>
                <w:color w:val="auto"/>
                <w:highlight w:val="none"/>
                <w:vertAlign w:val="baseline"/>
                <w:lang w:val="en-US" w:eastAsia="zh-CN"/>
              </w:rPr>
            </w:pPr>
          </w:p>
        </w:tc>
        <w:tc>
          <w:tcPr>
            <w:tcW w:w="1238" w:type="dxa"/>
            <w:vAlign w:val="center"/>
          </w:tcPr>
          <w:p w14:paraId="1FC676C2">
            <w:pPr>
              <w:widowControl w:val="0"/>
              <w:jc w:val="center"/>
              <w:rPr>
                <w:rFonts w:hint="default"/>
                <w:color w:val="auto"/>
                <w:highlight w:val="none"/>
                <w:vertAlign w:val="baseline"/>
                <w:lang w:val="en-US" w:eastAsia="zh-CN"/>
              </w:rPr>
            </w:pPr>
          </w:p>
        </w:tc>
        <w:tc>
          <w:tcPr>
            <w:tcW w:w="1238" w:type="dxa"/>
            <w:vAlign w:val="center"/>
          </w:tcPr>
          <w:p w14:paraId="25AACED3">
            <w:pPr>
              <w:widowControl w:val="0"/>
              <w:jc w:val="center"/>
              <w:rPr>
                <w:rFonts w:hint="default"/>
                <w:color w:val="auto"/>
                <w:highlight w:val="none"/>
                <w:vertAlign w:val="baseline"/>
                <w:lang w:val="en-US" w:eastAsia="zh-CN"/>
              </w:rPr>
            </w:pPr>
          </w:p>
        </w:tc>
        <w:tc>
          <w:tcPr>
            <w:tcW w:w="1023" w:type="dxa"/>
            <w:vAlign w:val="center"/>
          </w:tcPr>
          <w:p w14:paraId="749D014C">
            <w:pPr>
              <w:widowControl w:val="0"/>
              <w:jc w:val="center"/>
              <w:rPr>
                <w:rFonts w:hint="default"/>
                <w:color w:val="auto"/>
                <w:highlight w:val="none"/>
                <w:vertAlign w:val="baseline"/>
                <w:lang w:val="en-US" w:eastAsia="zh-CN"/>
              </w:rPr>
            </w:pPr>
          </w:p>
        </w:tc>
        <w:tc>
          <w:tcPr>
            <w:tcW w:w="1800" w:type="dxa"/>
            <w:vAlign w:val="center"/>
          </w:tcPr>
          <w:p w14:paraId="05134611">
            <w:pPr>
              <w:widowControl w:val="0"/>
              <w:jc w:val="center"/>
              <w:rPr>
                <w:rFonts w:hint="default"/>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default"/>
                <w:color w:val="auto"/>
                <w:highlight w:val="none"/>
                <w:vertAlign w:val="baseline"/>
                <w:lang w:val="en-US" w:eastAsia="zh-CN"/>
              </w:rPr>
            </w:pPr>
          </w:p>
        </w:tc>
        <w:tc>
          <w:tcPr>
            <w:tcW w:w="1676" w:type="dxa"/>
            <w:vAlign w:val="center"/>
          </w:tcPr>
          <w:p w14:paraId="31FB795C">
            <w:pPr>
              <w:widowControl w:val="0"/>
              <w:jc w:val="center"/>
              <w:rPr>
                <w:rFonts w:hint="default"/>
                <w:color w:val="auto"/>
                <w:highlight w:val="none"/>
                <w:vertAlign w:val="baseline"/>
                <w:lang w:val="en-US" w:eastAsia="zh-CN"/>
              </w:rPr>
            </w:pPr>
          </w:p>
        </w:tc>
        <w:tc>
          <w:tcPr>
            <w:tcW w:w="1238" w:type="dxa"/>
            <w:vAlign w:val="center"/>
          </w:tcPr>
          <w:p w14:paraId="3DDF1F3E">
            <w:pPr>
              <w:widowControl w:val="0"/>
              <w:jc w:val="center"/>
              <w:rPr>
                <w:rFonts w:hint="default"/>
                <w:color w:val="auto"/>
                <w:highlight w:val="none"/>
                <w:vertAlign w:val="baseline"/>
                <w:lang w:val="en-US" w:eastAsia="zh-CN"/>
              </w:rPr>
            </w:pPr>
          </w:p>
        </w:tc>
        <w:tc>
          <w:tcPr>
            <w:tcW w:w="1238" w:type="dxa"/>
            <w:vAlign w:val="center"/>
          </w:tcPr>
          <w:p w14:paraId="1AE826AF">
            <w:pPr>
              <w:widowControl w:val="0"/>
              <w:jc w:val="center"/>
              <w:rPr>
                <w:rFonts w:hint="default"/>
                <w:color w:val="auto"/>
                <w:highlight w:val="none"/>
                <w:vertAlign w:val="baseline"/>
                <w:lang w:val="en-US" w:eastAsia="zh-CN"/>
              </w:rPr>
            </w:pPr>
          </w:p>
        </w:tc>
        <w:tc>
          <w:tcPr>
            <w:tcW w:w="1238" w:type="dxa"/>
            <w:vAlign w:val="center"/>
          </w:tcPr>
          <w:p w14:paraId="439C5F96">
            <w:pPr>
              <w:widowControl w:val="0"/>
              <w:jc w:val="center"/>
              <w:rPr>
                <w:rFonts w:hint="default"/>
                <w:color w:val="auto"/>
                <w:highlight w:val="none"/>
                <w:vertAlign w:val="baseline"/>
                <w:lang w:val="en-US" w:eastAsia="zh-CN"/>
              </w:rPr>
            </w:pPr>
          </w:p>
        </w:tc>
        <w:tc>
          <w:tcPr>
            <w:tcW w:w="1023" w:type="dxa"/>
            <w:vAlign w:val="center"/>
          </w:tcPr>
          <w:p w14:paraId="674CDC80">
            <w:pPr>
              <w:widowControl w:val="0"/>
              <w:jc w:val="center"/>
              <w:rPr>
                <w:rFonts w:hint="default"/>
                <w:color w:val="auto"/>
                <w:highlight w:val="none"/>
                <w:vertAlign w:val="baseline"/>
                <w:lang w:val="en-US" w:eastAsia="zh-CN"/>
              </w:rPr>
            </w:pPr>
          </w:p>
        </w:tc>
        <w:tc>
          <w:tcPr>
            <w:tcW w:w="1800" w:type="dxa"/>
            <w:vAlign w:val="center"/>
          </w:tcPr>
          <w:p w14:paraId="1CB5057F">
            <w:pPr>
              <w:widowControl w:val="0"/>
              <w:jc w:val="center"/>
              <w:rPr>
                <w:rFonts w:hint="default"/>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default"/>
                <w:color w:val="auto"/>
                <w:highlight w:val="none"/>
                <w:vertAlign w:val="baseline"/>
                <w:lang w:val="en-US" w:eastAsia="zh-CN"/>
              </w:rPr>
            </w:pPr>
          </w:p>
        </w:tc>
        <w:tc>
          <w:tcPr>
            <w:tcW w:w="1676" w:type="dxa"/>
            <w:vAlign w:val="center"/>
          </w:tcPr>
          <w:p w14:paraId="4953F941">
            <w:pPr>
              <w:widowControl w:val="0"/>
              <w:jc w:val="center"/>
              <w:rPr>
                <w:rFonts w:hint="default"/>
                <w:color w:val="auto"/>
                <w:highlight w:val="none"/>
                <w:vertAlign w:val="baseline"/>
                <w:lang w:val="en-US" w:eastAsia="zh-CN"/>
              </w:rPr>
            </w:pPr>
          </w:p>
        </w:tc>
        <w:tc>
          <w:tcPr>
            <w:tcW w:w="1238" w:type="dxa"/>
            <w:vAlign w:val="center"/>
          </w:tcPr>
          <w:p w14:paraId="60D4163C">
            <w:pPr>
              <w:widowControl w:val="0"/>
              <w:jc w:val="center"/>
              <w:rPr>
                <w:rFonts w:hint="default"/>
                <w:color w:val="auto"/>
                <w:highlight w:val="none"/>
                <w:vertAlign w:val="baseline"/>
                <w:lang w:val="en-US" w:eastAsia="zh-CN"/>
              </w:rPr>
            </w:pPr>
          </w:p>
        </w:tc>
        <w:tc>
          <w:tcPr>
            <w:tcW w:w="1238" w:type="dxa"/>
            <w:vAlign w:val="center"/>
          </w:tcPr>
          <w:p w14:paraId="7F5D0506">
            <w:pPr>
              <w:widowControl w:val="0"/>
              <w:jc w:val="center"/>
              <w:rPr>
                <w:rFonts w:hint="default"/>
                <w:color w:val="auto"/>
                <w:highlight w:val="none"/>
                <w:vertAlign w:val="baseline"/>
                <w:lang w:val="en-US" w:eastAsia="zh-CN"/>
              </w:rPr>
            </w:pPr>
          </w:p>
        </w:tc>
        <w:tc>
          <w:tcPr>
            <w:tcW w:w="1238" w:type="dxa"/>
            <w:vAlign w:val="center"/>
          </w:tcPr>
          <w:p w14:paraId="72E86AD5">
            <w:pPr>
              <w:widowControl w:val="0"/>
              <w:jc w:val="center"/>
              <w:rPr>
                <w:rFonts w:hint="default"/>
                <w:color w:val="auto"/>
                <w:highlight w:val="none"/>
                <w:vertAlign w:val="baseline"/>
                <w:lang w:val="en-US" w:eastAsia="zh-CN"/>
              </w:rPr>
            </w:pPr>
          </w:p>
        </w:tc>
        <w:tc>
          <w:tcPr>
            <w:tcW w:w="1023" w:type="dxa"/>
            <w:vAlign w:val="center"/>
          </w:tcPr>
          <w:p w14:paraId="7134BF0D">
            <w:pPr>
              <w:widowControl w:val="0"/>
              <w:jc w:val="center"/>
              <w:rPr>
                <w:rFonts w:hint="default"/>
                <w:color w:val="auto"/>
                <w:highlight w:val="none"/>
                <w:vertAlign w:val="baseline"/>
                <w:lang w:val="en-US" w:eastAsia="zh-CN"/>
              </w:rPr>
            </w:pPr>
          </w:p>
        </w:tc>
        <w:tc>
          <w:tcPr>
            <w:tcW w:w="1800" w:type="dxa"/>
            <w:vAlign w:val="center"/>
          </w:tcPr>
          <w:p w14:paraId="0EB3CD05">
            <w:pPr>
              <w:widowControl w:val="0"/>
              <w:jc w:val="center"/>
              <w:rPr>
                <w:rFonts w:hint="default"/>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default"/>
                <w:color w:val="auto"/>
                <w:highlight w:val="none"/>
                <w:vertAlign w:val="baseline"/>
                <w:lang w:val="en-US" w:eastAsia="zh-CN"/>
              </w:rPr>
            </w:pPr>
          </w:p>
        </w:tc>
        <w:tc>
          <w:tcPr>
            <w:tcW w:w="1676" w:type="dxa"/>
            <w:vAlign w:val="center"/>
          </w:tcPr>
          <w:p w14:paraId="3A245A35">
            <w:pPr>
              <w:widowControl w:val="0"/>
              <w:jc w:val="center"/>
              <w:rPr>
                <w:rFonts w:hint="default"/>
                <w:color w:val="auto"/>
                <w:highlight w:val="none"/>
                <w:vertAlign w:val="baseline"/>
                <w:lang w:val="en-US" w:eastAsia="zh-CN"/>
              </w:rPr>
            </w:pPr>
          </w:p>
        </w:tc>
        <w:tc>
          <w:tcPr>
            <w:tcW w:w="1238" w:type="dxa"/>
            <w:vAlign w:val="center"/>
          </w:tcPr>
          <w:p w14:paraId="6D057E85">
            <w:pPr>
              <w:widowControl w:val="0"/>
              <w:jc w:val="center"/>
              <w:rPr>
                <w:rFonts w:hint="default"/>
                <w:color w:val="auto"/>
                <w:highlight w:val="none"/>
                <w:vertAlign w:val="baseline"/>
                <w:lang w:val="en-US" w:eastAsia="zh-CN"/>
              </w:rPr>
            </w:pPr>
          </w:p>
        </w:tc>
        <w:tc>
          <w:tcPr>
            <w:tcW w:w="1238" w:type="dxa"/>
            <w:vAlign w:val="center"/>
          </w:tcPr>
          <w:p w14:paraId="515422B7">
            <w:pPr>
              <w:widowControl w:val="0"/>
              <w:jc w:val="center"/>
              <w:rPr>
                <w:rFonts w:hint="default"/>
                <w:color w:val="auto"/>
                <w:highlight w:val="none"/>
                <w:vertAlign w:val="baseline"/>
                <w:lang w:val="en-US" w:eastAsia="zh-CN"/>
              </w:rPr>
            </w:pPr>
          </w:p>
        </w:tc>
        <w:tc>
          <w:tcPr>
            <w:tcW w:w="1238" w:type="dxa"/>
            <w:vAlign w:val="center"/>
          </w:tcPr>
          <w:p w14:paraId="161FB83F">
            <w:pPr>
              <w:widowControl w:val="0"/>
              <w:jc w:val="center"/>
              <w:rPr>
                <w:rFonts w:hint="default"/>
                <w:color w:val="auto"/>
                <w:highlight w:val="none"/>
                <w:vertAlign w:val="baseline"/>
                <w:lang w:val="en-US" w:eastAsia="zh-CN"/>
              </w:rPr>
            </w:pPr>
          </w:p>
        </w:tc>
        <w:tc>
          <w:tcPr>
            <w:tcW w:w="1023" w:type="dxa"/>
            <w:vAlign w:val="center"/>
          </w:tcPr>
          <w:p w14:paraId="77DF5323">
            <w:pPr>
              <w:widowControl w:val="0"/>
              <w:jc w:val="center"/>
              <w:rPr>
                <w:rFonts w:hint="default"/>
                <w:color w:val="auto"/>
                <w:highlight w:val="none"/>
                <w:vertAlign w:val="baseline"/>
                <w:lang w:val="en-US" w:eastAsia="zh-CN"/>
              </w:rPr>
            </w:pPr>
          </w:p>
        </w:tc>
        <w:tc>
          <w:tcPr>
            <w:tcW w:w="1800" w:type="dxa"/>
            <w:vAlign w:val="center"/>
          </w:tcPr>
          <w:p w14:paraId="1D8AAC89">
            <w:pPr>
              <w:widowControl w:val="0"/>
              <w:jc w:val="center"/>
              <w:rPr>
                <w:rFonts w:hint="default"/>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default"/>
                <w:color w:val="auto"/>
                <w:highlight w:val="none"/>
                <w:vertAlign w:val="baseline"/>
                <w:lang w:val="en-US" w:eastAsia="zh-CN"/>
              </w:rPr>
            </w:pPr>
          </w:p>
        </w:tc>
        <w:tc>
          <w:tcPr>
            <w:tcW w:w="1676" w:type="dxa"/>
            <w:vAlign w:val="center"/>
          </w:tcPr>
          <w:p w14:paraId="6E777249">
            <w:pPr>
              <w:widowControl w:val="0"/>
              <w:jc w:val="center"/>
              <w:rPr>
                <w:rFonts w:hint="default"/>
                <w:color w:val="auto"/>
                <w:highlight w:val="none"/>
                <w:vertAlign w:val="baseline"/>
                <w:lang w:val="en-US" w:eastAsia="zh-CN"/>
              </w:rPr>
            </w:pPr>
          </w:p>
        </w:tc>
        <w:tc>
          <w:tcPr>
            <w:tcW w:w="1238" w:type="dxa"/>
            <w:vAlign w:val="center"/>
          </w:tcPr>
          <w:p w14:paraId="4DE2A82B">
            <w:pPr>
              <w:widowControl w:val="0"/>
              <w:jc w:val="center"/>
              <w:rPr>
                <w:rFonts w:hint="default"/>
                <w:color w:val="auto"/>
                <w:highlight w:val="none"/>
                <w:vertAlign w:val="baseline"/>
                <w:lang w:val="en-US" w:eastAsia="zh-CN"/>
              </w:rPr>
            </w:pPr>
          </w:p>
        </w:tc>
        <w:tc>
          <w:tcPr>
            <w:tcW w:w="1238" w:type="dxa"/>
            <w:vAlign w:val="center"/>
          </w:tcPr>
          <w:p w14:paraId="7C5B0392">
            <w:pPr>
              <w:widowControl w:val="0"/>
              <w:jc w:val="center"/>
              <w:rPr>
                <w:rFonts w:hint="default"/>
                <w:color w:val="auto"/>
                <w:highlight w:val="none"/>
                <w:vertAlign w:val="baseline"/>
                <w:lang w:val="en-US" w:eastAsia="zh-CN"/>
              </w:rPr>
            </w:pPr>
          </w:p>
        </w:tc>
        <w:tc>
          <w:tcPr>
            <w:tcW w:w="1238" w:type="dxa"/>
            <w:vAlign w:val="center"/>
          </w:tcPr>
          <w:p w14:paraId="17137530">
            <w:pPr>
              <w:widowControl w:val="0"/>
              <w:jc w:val="center"/>
              <w:rPr>
                <w:rFonts w:hint="default"/>
                <w:color w:val="auto"/>
                <w:highlight w:val="none"/>
                <w:vertAlign w:val="baseline"/>
                <w:lang w:val="en-US" w:eastAsia="zh-CN"/>
              </w:rPr>
            </w:pPr>
          </w:p>
        </w:tc>
        <w:tc>
          <w:tcPr>
            <w:tcW w:w="1023" w:type="dxa"/>
            <w:vAlign w:val="center"/>
          </w:tcPr>
          <w:p w14:paraId="1138018C">
            <w:pPr>
              <w:widowControl w:val="0"/>
              <w:jc w:val="center"/>
              <w:rPr>
                <w:rFonts w:hint="default"/>
                <w:color w:val="auto"/>
                <w:highlight w:val="none"/>
                <w:vertAlign w:val="baseline"/>
                <w:lang w:val="en-US" w:eastAsia="zh-CN"/>
              </w:rPr>
            </w:pPr>
          </w:p>
        </w:tc>
        <w:tc>
          <w:tcPr>
            <w:tcW w:w="1800" w:type="dxa"/>
            <w:vAlign w:val="center"/>
          </w:tcPr>
          <w:p w14:paraId="4CA32857">
            <w:pPr>
              <w:widowControl w:val="0"/>
              <w:jc w:val="center"/>
              <w:rPr>
                <w:rFonts w:hint="default"/>
                <w:color w:val="auto"/>
                <w:highlight w:val="none"/>
                <w:vertAlign w:val="baseline"/>
                <w:lang w:val="en-US" w:eastAsia="zh-CN"/>
              </w:rPr>
            </w:pPr>
          </w:p>
        </w:tc>
      </w:tr>
    </w:tbl>
    <w:p w14:paraId="4690C867">
      <w:pPr>
        <w:rPr>
          <w:rFonts w:hint="default"/>
          <w:color w:val="auto"/>
          <w:highlight w:val="none"/>
          <w:lang w:val="en-US" w:eastAsia="zh-CN"/>
        </w:rPr>
      </w:pPr>
    </w:p>
    <w:p w14:paraId="708C5B50">
      <w:pPr>
        <w:bidi w:val="0"/>
        <w:rPr>
          <w:rFonts w:hint="default"/>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color w:val="auto"/>
          <w:highlight w:val="none"/>
          <w:lang w:val="en-US" w:eastAsia="zh-CN"/>
        </w:rPr>
      </w:pPr>
    </w:p>
    <w:p w14:paraId="57412C83">
      <w:pPr>
        <w:rPr>
          <w:rFonts w:hint="eastAsia" w:ascii="宋体" w:hAnsi="宋体" w:cs="宋体"/>
          <w:color w:val="auto"/>
          <w:sz w:val="24"/>
          <w:szCs w:val="24"/>
          <w:highlight w:val="none"/>
          <w:lang w:val="en-US" w:eastAsia="zh-CN"/>
        </w:rPr>
      </w:pPr>
    </w:p>
    <w:p w14:paraId="4D0AC012">
      <w:pPr>
        <w:bidi w:val="0"/>
        <w:rPr>
          <w:rFonts w:hint="eastAsia"/>
          <w:color w:val="auto"/>
          <w:highlight w:val="none"/>
          <w:lang w:val="en-US" w:eastAsia="zh-CN"/>
        </w:rPr>
      </w:pPr>
    </w:p>
    <w:p w14:paraId="591F39DF">
      <w:pPr>
        <w:pStyle w:val="24"/>
        <w:rPr>
          <w:rFonts w:hint="eastAsia" w:ascii="宋体" w:hAnsi="宋体" w:cs="宋体"/>
          <w:color w:val="auto"/>
          <w:kern w:val="0"/>
          <w:sz w:val="24"/>
          <w:highlight w:val="none"/>
          <w:lang w:val="en-US" w:eastAsia="zh-CN"/>
        </w:rPr>
      </w:pPr>
    </w:p>
    <w:p w14:paraId="0C409640">
      <w:pPr>
        <w:pStyle w:val="24"/>
        <w:rPr>
          <w:rFonts w:hint="eastAsia" w:ascii="宋体" w:hAnsi="宋体" w:cs="宋体"/>
          <w:color w:val="auto"/>
          <w:kern w:val="0"/>
          <w:sz w:val="24"/>
          <w:highlight w:val="none"/>
          <w:lang w:val="en-US" w:eastAsia="zh-CN"/>
        </w:rPr>
      </w:pPr>
    </w:p>
    <w:p w14:paraId="1C9EAA97">
      <w:pPr>
        <w:pStyle w:val="24"/>
        <w:rPr>
          <w:rFonts w:hint="eastAsia" w:ascii="宋体" w:hAnsi="宋体" w:cs="宋体"/>
          <w:color w:val="auto"/>
          <w:kern w:val="0"/>
          <w:sz w:val="24"/>
          <w:highlight w:val="none"/>
          <w:lang w:val="en-US" w:eastAsia="zh-CN"/>
        </w:rPr>
      </w:pPr>
    </w:p>
    <w:p w14:paraId="21B00144">
      <w:pPr>
        <w:pStyle w:val="24"/>
        <w:rPr>
          <w:rFonts w:hint="eastAsia" w:ascii="宋体" w:hAnsi="宋体" w:cs="宋体"/>
          <w:color w:val="auto"/>
          <w:kern w:val="0"/>
          <w:sz w:val="24"/>
          <w:highlight w:val="none"/>
          <w:lang w:val="en-US" w:eastAsia="zh-CN"/>
        </w:rPr>
      </w:pPr>
    </w:p>
    <w:p w14:paraId="2A74BFB0">
      <w:pPr>
        <w:pStyle w:val="24"/>
        <w:rPr>
          <w:rFonts w:hint="eastAsia" w:ascii="宋体" w:hAnsi="宋体" w:cs="宋体"/>
          <w:color w:val="auto"/>
          <w:kern w:val="0"/>
          <w:sz w:val="24"/>
          <w:highlight w:val="none"/>
          <w:lang w:val="en-US" w:eastAsia="zh-CN"/>
        </w:rPr>
      </w:pPr>
    </w:p>
    <w:p w14:paraId="3EF3AB43">
      <w:pPr>
        <w:pStyle w:val="24"/>
        <w:rPr>
          <w:rFonts w:hint="eastAsia" w:ascii="宋体" w:hAnsi="宋体" w:cs="宋体"/>
          <w:color w:val="auto"/>
          <w:kern w:val="0"/>
          <w:sz w:val="24"/>
          <w:highlight w:val="none"/>
          <w:lang w:val="en-US" w:eastAsia="zh-CN"/>
        </w:rPr>
      </w:pPr>
    </w:p>
    <w:p w14:paraId="4AAC2649">
      <w:pPr>
        <w:pStyle w:val="24"/>
        <w:rPr>
          <w:rFonts w:hint="default" w:ascii="宋体" w:hAnsi="宋体" w:cs="宋体"/>
          <w:color w:val="auto"/>
          <w:kern w:val="0"/>
          <w:sz w:val="24"/>
          <w:highlight w:val="none"/>
          <w:lang w:val="en-US" w:eastAsia="zh-CN"/>
        </w:rPr>
      </w:pPr>
    </w:p>
    <w:p w14:paraId="5C2F6EBC">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24"/>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4.4 质保期满后易损件、配件一览表</w:t>
      </w:r>
    </w:p>
    <w:p w14:paraId="366976F4">
      <w:pPr>
        <w:pStyle w:val="24"/>
        <w:rPr>
          <w:rFonts w:hint="default" w:ascii="宋体" w:hAnsi="宋体" w:cs="宋体"/>
          <w:color w:val="auto"/>
          <w:kern w:val="0"/>
          <w:sz w:val="24"/>
          <w:highlight w:val="none"/>
          <w:lang w:val="en-US"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default" w:ascii="宋体" w:hAnsi="宋体" w:cs="宋体"/>
          <w:color w:val="auto"/>
          <w:sz w:val="24"/>
          <w:szCs w:val="24"/>
          <w:highlight w:val="none"/>
          <w:lang w:val="en-US" w:eastAsia="zh-CN"/>
        </w:rPr>
      </w:pPr>
    </w:p>
    <w:p w14:paraId="0F50ACC9">
      <w:pPr>
        <w:bidi w:val="0"/>
        <w:rPr>
          <w:rFonts w:hint="eastAsia"/>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24"/>
        <w:rPr>
          <w:rFonts w:hint="default" w:ascii="宋体" w:hAnsi="宋体" w:cs="宋体"/>
          <w:color w:val="auto"/>
          <w:kern w:val="0"/>
          <w:sz w:val="24"/>
          <w:highlight w:val="none"/>
          <w:lang w:val="en-US" w:eastAsia="zh-CN"/>
        </w:rPr>
      </w:pPr>
    </w:p>
    <w:p w14:paraId="1C27DB87">
      <w:pPr>
        <w:pStyle w:val="24"/>
        <w:rPr>
          <w:rFonts w:hint="default" w:ascii="宋体" w:hAnsi="宋体" w:cs="宋体"/>
          <w:color w:val="auto"/>
          <w:kern w:val="0"/>
          <w:sz w:val="24"/>
          <w:highlight w:val="none"/>
          <w:lang w:val="en-US" w:eastAsia="zh-CN"/>
        </w:rPr>
      </w:pPr>
    </w:p>
    <w:p w14:paraId="43E68354">
      <w:pPr>
        <w:pStyle w:val="24"/>
        <w:rPr>
          <w:rFonts w:hint="default" w:ascii="宋体" w:hAnsi="宋体" w:cs="宋体"/>
          <w:color w:val="auto"/>
          <w:kern w:val="0"/>
          <w:sz w:val="24"/>
          <w:highlight w:val="none"/>
          <w:lang w:val="en-US" w:eastAsia="zh-CN"/>
        </w:rPr>
      </w:pPr>
    </w:p>
    <w:p w14:paraId="0647EFB8">
      <w:pPr>
        <w:pStyle w:val="24"/>
        <w:rPr>
          <w:rFonts w:hint="default" w:ascii="宋体" w:hAnsi="宋体" w:cs="宋体"/>
          <w:color w:val="auto"/>
          <w:kern w:val="0"/>
          <w:sz w:val="24"/>
          <w:highlight w:val="none"/>
          <w:lang w:val="en-US" w:eastAsia="zh-CN"/>
        </w:rPr>
      </w:pPr>
    </w:p>
    <w:p w14:paraId="5A5A959A">
      <w:pPr>
        <w:pStyle w:val="24"/>
        <w:rPr>
          <w:rFonts w:hint="default" w:ascii="宋体" w:hAnsi="宋体" w:cs="宋体"/>
          <w:color w:val="auto"/>
          <w:kern w:val="0"/>
          <w:sz w:val="24"/>
          <w:highlight w:val="none"/>
          <w:lang w:val="en-US" w:eastAsia="zh-CN"/>
        </w:rPr>
      </w:pPr>
    </w:p>
    <w:p w14:paraId="650115AD">
      <w:pPr>
        <w:pStyle w:val="24"/>
        <w:rPr>
          <w:rFonts w:hint="default" w:ascii="宋体" w:hAnsi="宋体" w:cs="宋体"/>
          <w:color w:val="auto"/>
          <w:kern w:val="0"/>
          <w:sz w:val="24"/>
          <w:highlight w:val="none"/>
          <w:lang w:val="en-US" w:eastAsia="zh-CN"/>
        </w:rPr>
      </w:pPr>
    </w:p>
    <w:p w14:paraId="4A359505">
      <w:pPr>
        <w:pStyle w:val="24"/>
        <w:rPr>
          <w:rFonts w:hint="default" w:ascii="宋体" w:hAnsi="宋体" w:cs="宋体"/>
          <w:color w:val="auto"/>
          <w:kern w:val="0"/>
          <w:sz w:val="24"/>
          <w:highlight w:val="none"/>
          <w:lang w:val="en-US" w:eastAsia="zh-CN"/>
        </w:rPr>
      </w:pPr>
    </w:p>
    <w:p w14:paraId="40B7289D">
      <w:pPr>
        <w:pStyle w:val="24"/>
        <w:rPr>
          <w:rFonts w:hint="default" w:ascii="宋体" w:hAnsi="宋体" w:cs="宋体"/>
          <w:color w:val="auto"/>
          <w:kern w:val="0"/>
          <w:sz w:val="24"/>
          <w:highlight w:val="none"/>
          <w:lang w:val="en-US" w:eastAsia="zh-CN"/>
        </w:rPr>
      </w:pPr>
    </w:p>
    <w:p w14:paraId="1B505EE5">
      <w:pPr>
        <w:pStyle w:val="24"/>
        <w:rPr>
          <w:rFonts w:hint="default" w:ascii="宋体" w:hAnsi="宋体" w:cs="宋体"/>
          <w:color w:val="auto"/>
          <w:kern w:val="0"/>
          <w:sz w:val="24"/>
          <w:highlight w:val="none"/>
          <w:lang w:val="en-US" w:eastAsia="zh-CN"/>
        </w:rPr>
      </w:pPr>
    </w:p>
    <w:p w14:paraId="4CA18EFC">
      <w:pPr>
        <w:pStyle w:val="24"/>
        <w:rPr>
          <w:rFonts w:hint="default" w:ascii="宋体" w:hAnsi="宋体" w:cs="宋体"/>
          <w:color w:val="auto"/>
          <w:kern w:val="0"/>
          <w:sz w:val="24"/>
          <w:highlight w:val="none"/>
          <w:lang w:val="en-US" w:eastAsia="zh-CN"/>
        </w:rPr>
      </w:pPr>
    </w:p>
    <w:p w14:paraId="56E07BAF">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1"/>
        <w:tblW w:w="9675"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1860"/>
        <w:gridCol w:w="1560"/>
        <w:gridCol w:w="1575"/>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1860"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56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1575" w:type="dxa"/>
            <w:noWrap w:val="0"/>
            <w:vAlign w:val="center"/>
          </w:tcPr>
          <w:p w14:paraId="3BB47D6A">
            <w:pPr>
              <w:pageBreakBefore w:val="0"/>
              <w:widowControl/>
              <w:wordWrap/>
              <w:overflowPunct/>
              <w:topLinePunct w:val="0"/>
              <w:bidi w:val="0"/>
              <w:spacing w:line="360" w:lineRule="auto"/>
              <w:jc w:val="center"/>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证明材料在响应文件的页码</w:t>
            </w:r>
          </w:p>
          <w:p w14:paraId="0737D617">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（每条参数需做标记）</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b/>
          <w:bCs/>
          <w:color w:val="auto"/>
          <w:sz w:val="24"/>
          <w:szCs w:val="32"/>
          <w:highlight w:val="none"/>
          <w:lang w:val="en-US" w:eastAsia="zh-CN"/>
        </w:rPr>
      </w:pPr>
      <w:r>
        <w:rPr>
          <w:rFonts w:hint="eastAsia" w:asciiTheme="minorEastAsia" w:hAnsiTheme="minorEastAsia"/>
          <w:b/>
          <w:bCs/>
          <w:color w:val="auto"/>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b w:val="0"/>
          <w:bCs w:val="0"/>
          <w:color w:val="auto"/>
          <w:sz w:val="24"/>
          <w:szCs w:val="32"/>
          <w:highlight w:val="none"/>
        </w:rPr>
      </w:pPr>
      <w:r>
        <w:rPr>
          <w:rFonts w:hint="eastAsia" w:asciiTheme="minorEastAsia" w:hAnsiTheme="minorEastAsia"/>
          <w:b w:val="0"/>
          <w:bCs w:val="0"/>
          <w:color w:val="auto"/>
          <w:sz w:val="24"/>
          <w:szCs w:val="32"/>
          <w:highlight w:val="none"/>
          <w:lang w:val="en-US" w:eastAsia="zh-CN"/>
        </w:rPr>
        <w:t>1.</w:t>
      </w:r>
      <w:r>
        <w:rPr>
          <w:rFonts w:hint="eastAsia" w:asciiTheme="minorEastAsia" w:hAnsiTheme="minorEastAsia"/>
          <w:b w:val="0"/>
          <w:bCs w:val="0"/>
          <w:color w:val="auto"/>
          <w:sz w:val="24"/>
          <w:szCs w:val="32"/>
          <w:highlight w:val="none"/>
        </w:rPr>
        <w:t>本表中“偏离</w:t>
      </w:r>
      <w:r>
        <w:rPr>
          <w:rFonts w:hint="eastAsia" w:asciiTheme="minorEastAsia" w:hAnsiTheme="minorEastAsia"/>
          <w:b w:val="0"/>
          <w:bCs w:val="0"/>
          <w:color w:val="auto"/>
          <w:sz w:val="24"/>
          <w:szCs w:val="32"/>
          <w:highlight w:val="none"/>
          <w:lang w:val="en-US" w:eastAsia="zh-CN"/>
        </w:rPr>
        <w:t>情况</w:t>
      </w:r>
      <w:r>
        <w:rPr>
          <w:rFonts w:hint="eastAsia" w:asciiTheme="minorEastAsia" w:hAnsiTheme="minorEastAsia"/>
          <w:b w:val="0"/>
          <w:bCs w:val="0"/>
          <w:color w:val="auto"/>
          <w:sz w:val="24"/>
          <w:szCs w:val="32"/>
          <w:highlight w:val="none"/>
        </w:rPr>
        <w:t>”只有三种状态（正偏离、无偏离、负偏离）</w:t>
      </w:r>
    </w:p>
    <w:p w14:paraId="13E353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2.评审专家逐项核对技术偏离表及证明材料，评审结合证明材料，若填写“无偏离或正偏离”但证明材料不满足或低于采购文件要求，则视为负偏离，做扣分处理。</w:t>
      </w:r>
    </w:p>
    <w:p w14:paraId="5D404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FF0000"/>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3.验收以“技术偏离表+投标文件证明材料+设备实际功能”为依据进行逐条验收，信息不一致则验收不通过。</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6" w:name="_Toc20420"/>
      <w:bookmarkStart w:id="67" w:name="_Toc29960"/>
      <w:bookmarkStart w:id="68" w:name="_Toc24168"/>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highlight w:val="none"/>
                <w:lang w:val="en-US" w:eastAsia="zh-CN"/>
              </w:rPr>
            </w:pPr>
            <w:r>
              <w:rPr>
                <w:rFonts w:hint="eastAsia" w:ascii="仿宋_GB2312" w:hAnsi="宋体" w:cs="宋体"/>
                <w:color w:val="auto"/>
                <w:kern w:val="0"/>
                <w:sz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6DC2849E">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0472149B">
            <w:pPr>
              <w:pStyle w:val="7"/>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50BB9001">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182A3E4">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C43BD33">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2301" w:type="dxa"/>
            <w:noWrap w:val="0"/>
            <w:vAlign w:val="center"/>
          </w:tcPr>
          <w:p w14:paraId="56FFBDC6">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31526"/>
      <w:bookmarkStart w:id="70" w:name="_Toc28621"/>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line="460" w:lineRule="exact"/>
        <w:ind w:firstLine="480" w:firstLineChars="200"/>
        <w:jc w:val="left"/>
        <w:rPr>
          <w:rFonts w:hint="eastAsia" w:ascii="宋体" w:hAnsi="宋体" w:eastAsia="宋体" w:cs="宋体"/>
          <w:b/>
          <w:color w:val="auto"/>
          <w:kern w:val="0"/>
          <w:sz w:val="36"/>
          <w:szCs w:val="36"/>
          <w:highlight w:val="none"/>
        </w:rPr>
      </w:pPr>
      <w:r>
        <w:rPr>
          <w:rFonts w:hint="eastAsia" w:ascii="宋体" w:hAnsi="宋体" w:eastAsia="宋体" w:cs="宋体"/>
          <w:color w:val="auto"/>
          <w:kern w:val="0"/>
          <w:sz w:val="24"/>
          <w:szCs w:val="20"/>
          <w:highlight w:val="none"/>
        </w:rPr>
        <w:t>特此证明。</w:t>
      </w: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3976"/>
      <w:bookmarkStart w:id="73" w:name="_Toc30519"/>
      <w:bookmarkStart w:id="74" w:name="_Toc1293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24693"/>
      <w:bookmarkStart w:id="76" w:name="_Toc3342"/>
      <w:bookmarkStart w:id="77" w:name="_Toc18105"/>
      <w:r>
        <w:rPr>
          <w:rFonts w:hint="eastAsia" w:ascii="宋体" w:hAnsi="宋体" w:eastAsia="宋体" w:cs="宋体"/>
          <w:color w:val="auto"/>
          <w:sz w:val="28"/>
          <w:szCs w:val="28"/>
          <w:highlight w:val="none"/>
          <w:lang w:val="en-US" w:eastAsia="zh-CN"/>
        </w:rPr>
        <w:t>附件9          证明文件</w:t>
      </w:r>
      <w:bookmarkEnd w:id="75"/>
      <w:bookmarkEnd w:id="76"/>
      <w:bookmarkEnd w:id="77"/>
    </w:p>
    <w:p w14:paraId="3BF5E483">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61FF9DDA">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2F4102D6">
      <w:pPr>
        <w:pStyle w:val="13"/>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9.2技术参数</w:t>
      </w:r>
      <w:r>
        <w:rPr>
          <w:rFonts w:hint="eastAsia" w:ascii="宋体" w:hAnsi="宋体" w:cs="宋体"/>
          <w:b/>
          <w:bCs/>
          <w:color w:val="auto"/>
          <w:sz w:val="24"/>
          <w:szCs w:val="24"/>
          <w:highlight w:val="none"/>
          <w:lang w:val="en-US" w:eastAsia="zh-CN"/>
        </w:rPr>
        <w:t>应需提供的证明材料</w:t>
      </w:r>
    </w:p>
    <w:p w14:paraId="1BE6B334">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rPr>
      </w:pPr>
      <w:r>
        <w:rPr>
          <w:rFonts w:hint="eastAsia" w:cs="宋体"/>
          <w:b/>
          <w:bCs/>
          <w:sz w:val="24"/>
          <w:szCs w:val="24"/>
          <w:highlight w:val="none"/>
          <w:lang w:val="en-US" w:eastAsia="zh-CN"/>
        </w:rPr>
        <w:t>（1）</w:t>
      </w:r>
      <w:r>
        <w:rPr>
          <w:rFonts w:hint="eastAsia" w:ascii="宋体" w:hAnsi="宋体" w:eastAsia="宋体" w:cs="宋体"/>
          <w:b/>
          <w:bCs/>
          <w:sz w:val="24"/>
          <w:szCs w:val="24"/>
          <w:highlight w:val="none"/>
          <w:lang w:val="en-US" w:eastAsia="zh-CN"/>
        </w:rPr>
        <w:t>所投产品的医疗器械注册证【含附件：产品技术要求（如有）】或医疗器械备案凭证</w:t>
      </w:r>
    </w:p>
    <w:p w14:paraId="44E82C90">
      <w:pPr>
        <w:pStyle w:val="13"/>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eastAsia" w:cs="宋体"/>
          <w:b w:val="0"/>
          <w:bCs/>
          <w:color w:val="auto"/>
          <w:sz w:val="24"/>
          <w:szCs w:val="24"/>
          <w:highlight w:val="none"/>
          <w:lang w:val="en-US" w:eastAsia="zh-CN"/>
        </w:rPr>
      </w:pPr>
      <w:r>
        <w:rPr>
          <w:rFonts w:hint="eastAsia" w:cs="宋体"/>
          <w:b w:val="0"/>
          <w:bCs/>
          <w:color w:val="auto"/>
          <w:sz w:val="24"/>
          <w:szCs w:val="24"/>
          <w:highlight w:val="none"/>
          <w:lang w:val="en-US" w:eastAsia="zh-CN"/>
        </w:rPr>
        <w:t>注：</w:t>
      </w:r>
      <w:r>
        <w:rPr>
          <w:rFonts w:hint="eastAsia" w:ascii="宋体" w:hAnsi="宋体" w:eastAsia="宋体" w:cs="宋体"/>
          <w:b w:val="0"/>
          <w:bCs/>
          <w:color w:val="auto"/>
          <w:sz w:val="24"/>
          <w:szCs w:val="24"/>
          <w:highlight w:val="none"/>
          <w:lang w:val="en-US" w:eastAsia="zh-CN"/>
        </w:rPr>
        <w:t>医疗器械注册证【含附件：产品技术要求（如有）】</w:t>
      </w:r>
      <w:r>
        <w:rPr>
          <w:rFonts w:hint="eastAsia" w:cs="宋体"/>
          <w:b w:val="0"/>
          <w:bCs/>
          <w:color w:val="auto"/>
          <w:sz w:val="24"/>
          <w:szCs w:val="24"/>
          <w:highlight w:val="none"/>
          <w:lang w:val="en-US" w:eastAsia="zh-CN"/>
        </w:rPr>
        <w:t>是指医疗器械注册证上附件如写产品技术要求，则需同步提供完整的产品技术要求相关的证明材料。</w:t>
      </w:r>
    </w:p>
    <w:p w14:paraId="01952A5B">
      <w:pPr>
        <w:pStyle w:val="13"/>
        <w:spacing w:beforeAutospacing="0" w:afterAutospacing="0" w:line="480" w:lineRule="auto"/>
        <w:ind w:firstLine="540" w:firstLineChars="224"/>
        <w:jc w:val="both"/>
        <w:rPr>
          <w:rFonts w:hint="eastAsia" w:ascii="宋体" w:hAnsi="宋体" w:eastAsia="宋体" w:cs="宋体"/>
          <w:b/>
          <w:bCs w:val="0"/>
          <w:color w:val="auto"/>
          <w:sz w:val="24"/>
          <w:szCs w:val="24"/>
          <w:highlight w:val="none"/>
        </w:rPr>
      </w:pPr>
      <w:r>
        <w:rPr>
          <w:rFonts w:hint="eastAsia" w:ascii="宋体" w:hAnsi="宋体" w:eastAsia="宋体" w:cs="宋体"/>
          <w:b/>
          <w:bCs/>
          <w:sz w:val="24"/>
          <w:szCs w:val="24"/>
          <w:highlight w:val="none"/>
          <w:lang w:val="en-US" w:eastAsia="zh-CN"/>
        </w:rPr>
        <w:t>（2）按照采购文件“第二章 采购需求 二、技术要求”及“评分标准”中的要求</w:t>
      </w:r>
      <w:r>
        <w:rPr>
          <w:rFonts w:hint="eastAsia" w:cs="宋体"/>
          <w:b/>
          <w:bCs/>
          <w:sz w:val="24"/>
          <w:szCs w:val="24"/>
          <w:highlight w:val="none"/>
          <w:lang w:val="en-US" w:eastAsia="zh-CN"/>
        </w:rPr>
        <w:t>需</w:t>
      </w:r>
      <w:r>
        <w:rPr>
          <w:rFonts w:hint="eastAsia" w:ascii="宋体" w:hAnsi="宋体" w:eastAsia="宋体" w:cs="宋体"/>
          <w:b/>
          <w:bCs/>
          <w:sz w:val="24"/>
          <w:szCs w:val="24"/>
          <w:highlight w:val="none"/>
          <w:lang w:val="en-US" w:eastAsia="zh-CN"/>
        </w:rPr>
        <w:t>提供</w:t>
      </w:r>
      <w:r>
        <w:rPr>
          <w:rFonts w:hint="eastAsia" w:cs="宋体"/>
          <w:b/>
          <w:bCs/>
          <w:sz w:val="24"/>
          <w:szCs w:val="24"/>
          <w:highlight w:val="none"/>
          <w:lang w:val="en-US" w:eastAsia="zh-CN"/>
        </w:rPr>
        <w:t>的</w:t>
      </w:r>
      <w:r>
        <w:rPr>
          <w:rFonts w:hint="eastAsia" w:ascii="宋体" w:hAnsi="宋体" w:eastAsia="宋体" w:cs="宋体"/>
          <w:b/>
          <w:bCs/>
          <w:sz w:val="24"/>
          <w:szCs w:val="24"/>
          <w:highlight w:val="none"/>
          <w:lang w:val="en-US" w:eastAsia="zh-CN"/>
        </w:rPr>
        <w:t>产品技术证明文件。</w:t>
      </w:r>
    </w:p>
    <w:p w14:paraId="78C42F92">
      <w:pPr>
        <w:pStyle w:val="13"/>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eastAsia" w:cs="宋体"/>
          <w:b w:val="0"/>
          <w:bCs/>
          <w:color w:val="FF0000"/>
          <w:sz w:val="24"/>
          <w:szCs w:val="24"/>
          <w:highlight w:val="none"/>
          <w:lang w:val="en-US" w:eastAsia="zh-CN"/>
        </w:rPr>
      </w:pPr>
    </w:p>
    <w:p w14:paraId="2F51F77D">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9.3评分标准中需提供的证明材料（除技术参数要求外）</w:t>
      </w:r>
    </w:p>
    <w:p w14:paraId="651CE1A9">
      <w:pPr>
        <w:pStyle w:val="13"/>
        <w:spacing w:beforeAutospacing="0" w:afterAutospacing="0" w:line="480" w:lineRule="auto"/>
        <w:ind w:firstLine="540" w:firstLineChars="224"/>
        <w:jc w:val="both"/>
        <w:rPr>
          <w:rFonts w:hint="default" w:cs="宋体"/>
          <w:b/>
          <w:bCs w:val="0"/>
          <w:color w:val="auto"/>
          <w:sz w:val="24"/>
          <w:szCs w:val="24"/>
          <w:highlight w:val="none"/>
          <w:lang w:val="en-US" w:eastAsia="zh-CN"/>
        </w:rPr>
      </w:pPr>
    </w:p>
    <w:p w14:paraId="44D2F11A">
      <w:pPr>
        <w:pStyle w:val="13"/>
        <w:spacing w:beforeAutospacing="0" w:afterAutospacing="0" w:line="480" w:lineRule="auto"/>
        <w:ind w:firstLine="540" w:firstLineChars="224"/>
        <w:jc w:val="both"/>
        <w:rPr>
          <w:rFonts w:cs="Arial" w:asciiTheme="minorEastAsia" w:hAnsiTheme="minorEastAsia"/>
          <w:sz w:val="24"/>
          <w:szCs w:val="24"/>
          <w:highlight w:val="none"/>
        </w:rPr>
      </w:pPr>
      <w:bookmarkStart w:id="78"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sz w:val="24"/>
          <w:szCs w:val="24"/>
          <w:highlight w:val="none"/>
        </w:rPr>
        <w:t>销售业绩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392" w:type="dxa"/>
            <w:vAlign w:val="center"/>
          </w:tcPr>
          <w:p w14:paraId="5D77AEB6">
            <w:pPr>
              <w:spacing w:before="120"/>
              <w:jc w:val="center"/>
              <w:rPr>
                <w:rFonts w:cs="Arial" w:asciiTheme="minorEastAsia" w:hAnsiTheme="minorEastAsia"/>
                <w:sz w:val="24"/>
                <w:highlight w:val="none"/>
              </w:rPr>
            </w:pPr>
            <w:r>
              <w:rPr>
                <w:rFonts w:cs="Arial" w:asciiTheme="minorEastAsia" w:hAnsiTheme="minorEastAsia"/>
                <w:sz w:val="24"/>
                <w:highlight w:val="none"/>
              </w:rPr>
              <w:t>销售用户</w:t>
            </w:r>
          </w:p>
        </w:tc>
        <w:tc>
          <w:tcPr>
            <w:tcW w:w="1485" w:type="dxa"/>
            <w:vAlign w:val="center"/>
          </w:tcPr>
          <w:p w14:paraId="4E9B63B6">
            <w:pPr>
              <w:spacing w:before="120"/>
              <w:jc w:val="center"/>
              <w:rPr>
                <w:rFonts w:cs="Arial" w:asciiTheme="minorEastAsia" w:hAnsiTheme="minorEastAsia"/>
                <w:sz w:val="24"/>
                <w:highlight w:val="none"/>
              </w:rPr>
            </w:pPr>
            <w:r>
              <w:rPr>
                <w:rFonts w:hint="eastAsia" w:cs="Arial" w:asciiTheme="minorEastAsia" w:hAnsiTheme="minorEastAsia"/>
                <w:sz w:val="24"/>
                <w:highlight w:val="none"/>
              </w:rPr>
              <w:t>产品名称</w:t>
            </w:r>
          </w:p>
        </w:tc>
        <w:tc>
          <w:tcPr>
            <w:tcW w:w="1470" w:type="dxa"/>
            <w:vAlign w:val="center"/>
          </w:tcPr>
          <w:p w14:paraId="38187210">
            <w:pPr>
              <w:spacing w:before="120"/>
              <w:jc w:val="center"/>
              <w:rPr>
                <w:rFonts w:hint="default"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品牌</w:t>
            </w:r>
          </w:p>
        </w:tc>
        <w:tc>
          <w:tcPr>
            <w:tcW w:w="1365" w:type="dxa"/>
            <w:vAlign w:val="center"/>
          </w:tcPr>
          <w:p w14:paraId="02D23B7A">
            <w:pPr>
              <w:spacing w:before="120"/>
              <w:jc w:val="center"/>
              <w:rPr>
                <w:rFonts w:hint="default"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型号</w:t>
            </w:r>
          </w:p>
        </w:tc>
        <w:tc>
          <w:tcPr>
            <w:tcW w:w="1365" w:type="dxa"/>
            <w:vAlign w:val="center"/>
          </w:tcPr>
          <w:p w14:paraId="788302A4">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1395" w:type="dxa"/>
            <w:vAlign w:val="center"/>
          </w:tcPr>
          <w:p w14:paraId="0CD37DB9">
            <w:pPr>
              <w:spacing w:before="120"/>
              <w:jc w:val="center"/>
              <w:rPr>
                <w:rFonts w:cs="Arial" w:asciiTheme="minorEastAsia" w:hAnsiTheme="minorEastAsia"/>
                <w:sz w:val="24"/>
                <w:highlight w:val="none"/>
              </w:rPr>
            </w:pPr>
            <w:r>
              <w:rPr>
                <w:rFonts w:hint="eastAsia" w:cs="Arial" w:asciiTheme="minorEastAsia" w:hAnsiTheme="minorEastAsia"/>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cs="Arial" w:asciiTheme="minorEastAsia" w:hAnsiTheme="minorEastAsia"/>
                <w:highlight w:val="none"/>
              </w:rPr>
            </w:pPr>
          </w:p>
        </w:tc>
        <w:tc>
          <w:tcPr>
            <w:tcW w:w="1392" w:type="dxa"/>
            <w:vAlign w:val="center"/>
          </w:tcPr>
          <w:p w14:paraId="0B354FD7">
            <w:pPr>
              <w:spacing w:before="120"/>
              <w:jc w:val="center"/>
              <w:rPr>
                <w:rFonts w:cs="Arial" w:asciiTheme="minorEastAsia" w:hAnsiTheme="minorEastAsia"/>
                <w:highlight w:val="none"/>
              </w:rPr>
            </w:pPr>
          </w:p>
        </w:tc>
        <w:tc>
          <w:tcPr>
            <w:tcW w:w="1485" w:type="dxa"/>
            <w:vAlign w:val="center"/>
          </w:tcPr>
          <w:p w14:paraId="37AC1C1D">
            <w:pPr>
              <w:spacing w:before="120"/>
              <w:jc w:val="center"/>
              <w:rPr>
                <w:rFonts w:cs="Arial" w:asciiTheme="minorEastAsia" w:hAnsiTheme="minorEastAsia"/>
                <w:highlight w:val="none"/>
              </w:rPr>
            </w:pPr>
          </w:p>
        </w:tc>
        <w:tc>
          <w:tcPr>
            <w:tcW w:w="1470" w:type="dxa"/>
            <w:vAlign w:val="center"/>
          </w:tcPr>
          <w:p w14:paraId="281E28E4">
            <w:pPr>
              <w:spacing w:before="120"/>
              <w:jc w:val="center"/>
              <w:rPr>
                <w:rFonts w:cs="Arial" w:asciiTheme="minorEastAsia" w:hAnsiTheme="minorEastAsia"/>
                <w:highlight w:val="none"/>
              </w:rPr>
            </w:pPr>
          </w:p>
        </w:tc>
        <w:tc>
          <w:tcPr>
            <w:tcW w:w="1365" w:type="dxa"/>
            <w:vAlign w:val="center"/>
          </w:tcPr>
          <w:p w14:paraId="771BD6AB">
            <w:pPr>
              <w:spacing w:before="120"/>
              <w:jc w:val="center"/>
              <w:rPr>
                <w:rFonts w:cs="Arial" w:asciiTheme="minorEastAsia" w:hAnsiTheme="minorEastAsia"/>
                <w:highlight w:val="none"/>
              </w:rPr>
            </w:pPr>
          </w:p>
        </w:tc>
        <w:tc>
          <w:tcPr>
            <w:tcW w:w="1365" w:type="dxa"/>
            <w:vAlign w:val="center"/>
          </w:tcPr>
          <w:p w14:paraId="61E60ADA">
            <w:pPr>
              <w:spacing w:before="120"/>
              <w:jc w:val="center"/>
              <w:rPr>
                <w:rFonts w:cs="Arial" w:asciiTheme="minorEastAsia" w:hAnsiTheme="minorEastAsia"/>
                <w:highlight w:val="none"/>
              </w:rPr>
            </w:pPr>
          </w:p>
        </w:tc>
        <w:tc>
          <w:tcPr>
            <w:tcW w:w="1395" w:type="dxa"/>
            <w:vAlign w:val="center"/>
          </w:tcPr>
          <w:p w14:paraId="04447730">
            <w:pPr>
              <w:spacing w:before="120"/>
              <w:jc w:val="center"/>
              <w:rPr>
                <w:rFonts w:cs="Arial" w:asciiTheme="minorEastAsia" w:hAnsiTheme="minorEastAsia"/>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cs="Arial" w:asciiTheme="minorEastAsia" w:hAnsiTheme="minorEastAsia"/>
                <w:highlight w:val="none"/>
              </w:rPr>
            </w:pPr>
          </w:p>
        </w:tc>
        <w:tc>
          <w:tcPr>
            <w:tcW w:w="1392" w:type="dxa"/>
            <w:vAlign w:val="center"/>
          </w:tcPr>
          <w:p w14:paraId="2DA219B5">
            <w:pPr>
              <w:spacing w:before="120"/>
              <w:jc w:val="center"/>
              <w:rPr>
                <w:rFonts w:cs="Arial" w:asciiTheme="minorEastAsia" w:hAnsiTheme="minorEastAsia"/>
                <w:highlight w:val="none"/>
              </w:rPr>
            </w:pPr>
          </w:p>
        </w:tc>
        <w:tc>
          <w:tcPr>
            <w:tcW w:w="1485" w:type="dxa"/>
            <w:vAlign w:val="center"/>
          </w:tcPr>
          <w:p w14:paraId="60964CDB">
            <w:pPr>
              <w:spacing w:before="120"/>
              <w:jc w:val="center"/>
              <w:rPr>
                <w:rFonts w:cs="Arial" w:asciiTheme="minorEastAsia" w:hAnsiTheme="minorEastAsia"/>
                <w:highlight w:val="none"/>
              </w:rPr>
            </w:pPr>
          </w:p>
        </w:tc>
        <w:tc>
          <w:tcPr>
            <w:tcW w:w="1470" w:type="dxa"/>
            <w:vAlign w:val="center"/>
          </w:tcPr>
          <w:p w14:paraId="61B640D0">
            <w:pPr>
              <w:spacing w:before="120"/>
              <w:jc w:val="center"/>
              <w:rPr>
                <w:rFonts w:cs="Arial" w:asciiTheme="minorEastAsia" w:hAnsiTheme="minorEastAsia"/>
                <w:highlight w:val="none"/>
              </w:rPr>
            </w:pPr>
          </w:p>
        </w:tc>
        <w:tc>
          <w:tcPr>
            <w:tcW w:w="1365" w:type="dxa"/>
            <w:vAlign w:val="center"/>
          </w:tcPr>
          <w:p w14:paraId="536881BB">
            <w:pPr>
              <w:spacing w:before="120"/>
              <w:jc w:val="center"/>
              <w:rPr>
                <w:rFonts w:cs="Arial" w:asciiTheme="minorEastAsia" w:hAnsiTheme="minorEastAsia"/>
                <w:highlight w:val="none"/>
              </w:rPr>
            </w:pPr>
          </w:p>
        </w:tc>
        <w:tc>
          <w:tcPr>
            <w:tcW w:w="1365" w:type="dxa"/>
            <w:vAlign w:val="center"/>
          </w:tcPr>
          <w:p w14:paraId="2C3F9359">
            <w:pPr>
              <w:spacing w:before="120"/>
              <w:jc w:val="center"/>
              <w:rPr>
                <w:rFonts w:cs="Arial" w:asciiTheme="minorEastAsia" w:hAnsiTheme="minorEastAsia"/>
                <w:highlight w:val="none"/>
              </w:rPr>
            </w:pPr>
          </w:p>
        </w:tc>
        <w:tc>
          <w:tcPr>
            <w:tcW w:w="1395" w:type="dxa"/>
            <w:vAlign w:val="center"/>
          </w:tcPr>
          <w:p w14:paraId="104FB69F">
            <w:pPr>
              <w:spacing w:before="120"/>
              <w:jc w:val="center"/>
              <w:rPr>
                <w:rFonts w:cs="Arial" w:asciiTheme="minorEastAsia" w:hAnsiTheme="minorEastAsia"/>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cs="Arial" w:asciiTheme="minorEastAsia" w:hAnsiTheme="minorEastAsia"/>
                <w:highlight w:val="none"/>
              </w:rPr>
            </w:pPr>
          </w:p>
        </w:tc>
        <w:tc>
          <w:tcPr>
            <w:tcW w:w="1392" w:type="dxa"/>
            <w:vAlign w:val="center"/>
          </w:tcPr>
          <w:p w14:paraId="0EC68B0F">
            <w:pPr>
              <w:spacing w:before="120"/>
              <w:jc w:val="center"/>
              <w:rPr>
                <w:rFonts w:cs="Arial" w:asciiTheme="minorEastAsia" w:hAnsiTheme="minorEastAsia"/>
                <w:highlight w:val="none"/>
              </w:rPr>
            </w:pPr>
          </w:p>
        </w:tc>
        <w:tc>
          <w:tcPr>
            <w:tcW w:w="1485" w:type="dxa"/>
            <w:vAlign w:val="center"/>
          </w:tcPr>
          <w:p w14:paraId="6264E41A">
            <w:pPr>
              <w:spacing w:before="120"/>
              <w:jc w:val="center"/>
              <w:rPr>
                <w:rFonts w:cs="Arial" w:asciiTheme="minorEastAsia" w:hAnsiTheme="minorEastAsia"/>
                <w:highlight w:val="none"/>
              </w:rPr>
            </w:pPr>
          </w:p>
        </w:tc>
        <w:tc>
          <w:tcPr>
            <w:tcW w:w="1470" w:type="dxa"/>
            <w:vAlign w:val="center"/>
          </w:tcPr>
          <w:p w14:paraId="07450E34">
            <w:pPr>
              <w:spacing w:before="120"/>
              <w:jc w:val="center"/>
              <w:rPr>
                <w:rFonts w:cs="Arial" w:asciiTheme="minorEastAsia" w:hAnsiTheme="minorEastAsia"/>
                <w:highlight w:val="none"/>
              </w:rPr>
            </w:pPr>
          </w:p>
        </w:tc>
        <w:tc>
          <w:tcPr>
            <w:tcW w:w="1365" w:type="dxa"/>
            <w:vAlign w:val="center"/>
          </w:tcPr>
          <w:p w14:paraId="4C553C60">
            <w:pPr>
              <w:spacing w:before="120"/>
              <w:jc w:val="center"/>
              <w:rPr>
                <w:rFonts w:cs="Arial" w:asciiTheme="minorEastAsia" w:hAnsiTheme="minorEastAsia"/>
                <w:highlight w:val="none"/>
              </w:rPr>
            </w:pPr>
          </w:p>
        </w:tc>
        <w:tc>
          <w:tcPr>
            <w:tcW w:w="1365" w:type="dxa"/>
            <w:vAlign w:val="center"/>
          </w:tcPr>
          <w:p w14:paraId="1A92A840">
            <w:pPr>
              <w:spacing w:before="120"/>
              <w:jc w:val="center"/>
              <w:rPr>
                <w:rFonts w:cs="Arial" w:asciiTheme="minorEastAsia" w:hAnsiTheme="minorEastAsia"/>
                <w:highlight w:val="none"/>
              </w:rPr>
            </w:pPr>
          </w:p>
        </w:tc>
        <w:tc>
          <w:tcPr>
            <w:tcW w:w="1395" w:type="dxa"/>
            <w:vAlign w:val="center"/>
          </w:tcPr>
          <w:p w14:paraId="4ED4F07A">
            <w:pPr>
              <w:spacing w:before="120"/>
              <w:jc w:val="center"/>
              <w:rPr>
                <w:rFonts w:cs="Arial" w:asciiTheme="minorEastAsia" w:hAnsiTheme="minorEastAsia"/>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cs="Arial" w:asciiTheme="minorEastAsia" w:hAnsiTheme="minorEastAsia"/>
                <w:highlight w:val="none"/>
              </w:rPr>
            </w:pPr>
          </w:p>
        </w:tc>
        <w:tc>
          <w:tcPr>
            <w:tcW w:w="1392" w:type="dxa"/>
            <w:vAlign w:val="center"/>
          </w:tcPr>
          <w:p w14:paraId="1B2F6ED2">
            <w:pPr>
              <w:spacing w:before="120"/>
              <w:jc w:val="center"/>
              <w:rPr>
                <w:rFonts w:cs="Arial" w:asciiTheme="minorEastAsia" w:hAnsiTheme="minorEastAsia"/>
                <w:highlight w:val="none"/>
              </w:rPr>
            </w:pPr>
          </w:p>
        </w:tc>
        <w:tc>
          <w:tcPr>
            <w:tcW w:w="1485" w:type="dxa"/>
            <w:vAlign w:val="center"/>
          </w:tcPr>
          <w:p w14:paraId="2D2D2FEC">
            <w:pPr>
              <w:spacing w:before="120"/>
              <w:jc w:val="center"/>
              <w:rPr>
                <w:rFonts w:cs="Arial" w:asciiTheme="minorEastAsia" w:hAnsiTheme="minorEastAsia"/>
                <w:highlight w:val="none"/>
              </w:rPr>
            </w:pPr>
          </w:p>
        </w:tc>
        <w:tc>
          <w:tcPr>
            <w:tcW w:w="1470" w:type="dxa"/>
            <w:vAlign w:val="center"/>
          </w:tcPr>
          <w:p w14:paraId="190C8459">
            <w:pPr>
              <w:spacing w:before="120"/>
              <w:jc w:val="center"/>
              <w:rPr>
                <w:rFonts w:cs="Arial" w:asciiTheme="minorEastAsia" w:hAnsiTheme="minorEastAsia"/>
                <w:highlight w:val="none"/>
              </w:rPr>
            </w:pPr>
          </w:p>
        </w:tc>
        <w:tc>
          <w:tcPr>
            <w:tcW w:w="1365" w:type="dxa"/>
            <w:vAlign w:val="center"/>
          </w:tcPr>
          <w:p w14:paraId="5C1E72EF">
            <w:pPr>
              <w:spacing w:before="120"/>
              <w:jc w:val="center"/>
              <w:rPr>
                <w:rFonts w:cs="Arial" w:asciiTheme="minorEastAsia" w:hAnsiTheme="minorEastAsia"/>
                <w:highlight w:val="none"/>
              </w:rPr>
            </w:pPr>
          </w:p>
        </w:tc>
        <w:tc>
          <w:tcPr>
            <w:tcW w:w="1365" w:type="dxa"/>
            <w:vAlign w:val="center"/>
          </w:tcPr>
          <w:p w14:paraId="5A6E5E8B">
            <w:pPr>
              <w:spacing w:before="120"/>
              <w:jc w:val="center"/>
              <w:rPr>
                <w:rFonts w:cs="Arial" w:asciiTheme="minorEastAsia" w:hAnsiTheme="minorEastAsia"/>
                <w:highlight w:val="none"/>
              </w:rPr>
            </w:pPr>
          </w:p>
        </w:tc>
        <w:tc>
          <w:tcPr>
            <w:tcW w:w="1395" w:type="dxa"/>
            <w:vAlign w:val="center"/>
          </w:tcPr>
          <w:p w14:paraId="2D89B567">
            <w:pPr>
              <w:spacing w:before="120"/>
              <w:jc w:val="center"/>
              <w:rPr>
                <w:rFonts w:cs="Arial" w:asciiTheme="minorEastAsia" w:hAnsiTheme="minorEastAsia"/>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cs="Arial" w:asciiTheme="minorEastAsia" w:hAnsiTheme="minorEastAsia"/>
                <w:highlight w:val="none"/>
              </w:rPr>
            </w:pPr>
          </w:p>
        </w:tc>
        <w:tc>
          <w:tcPr>
            <w:tcW w:w="1392" w:type="dxa"/>
            <w:vAlign w:val="center"/>
          </w:tcPr>
          <w:p w14:paraId="6EC5F5FE">
            <w:pPr>
              <w:spacing w:before="120"/>
              <w:jc w:val="center"/>
              <w:rPr>
                <w:rFonts w:cs="Arial" w:asciiTheme="minorEastAsia" w:hAnsiTheme="minorEastAsia"/>
                <w:highlight w:val="none"/>
              </w:rPr>
            </w:pPr>
          </w:p>
        </w:tc>
        <w:tc>
          <w:tcPr>
            <w:tcW w:w="1485" w:type="dxa"/>
            <w:vAlign w:val="center"/>
          </w:tcPr>
          <w:p w14:paraId="1226E7A2">
            <w:pPr>
              <w:spacing w:before="120"/>
              <w:jc w:val="center"/>
              <w:rPr>
                <w:rFonts w:cs="Arial" w:asciiTheme="minorEastAsia" w:hAnsiTheme="minorEastAsia"/>
                <w:highlight w:val="none"/>
              </w:rPr>
            </w:pPr>
          </w:p>
        </w:tc>
        <w:tc>
          <w:tcPr>
            <w:tcW w:w="1470" w:type="dxa"/>
            <w:vAlign w:val="center"/>
          </w:tcPr>
          <w:p w14:paraId="4369E923">
            <w:pPr>
              <w:spacing w:before="120"/>
              <w:jc w:val="center"/>
              <w:rPr>
                <w:rFonts w:cs="Arial" w:asciiTheme="minorEastAsia" w:hAnsiTheme="minorEastAsia"/>
                <w:highlight w:val="none"/>
              </w:rPr>
            </w:pPr>
          </w:p>
        </w:tc>
        <w:tc>
          <w:tcPr>
            <w:tcW w:w="1365" w:type="dxa"/>
            <w:vAlign w:val="center"/>
          </w:tcPr>
          <w:p w14:paraId="06A63D0D">
            <w:pPr>
              <w:spacing w:before="120"/>
              <w:jc w:val="center"/>
              <w:rPr>
                <w:rFonts w:cs="Arial" w:asciiTheme="minorEastAsia" w:hAnsiTheme="minorEastAsia"/>
                <w:highlight w:val="none"/>
              </w:rPr>
            </w:pPr>
          </w:p>
        </w:tc>
        <w:tc>
          <w:tcPr>
            <w:tcW w:w="1365" w:type="dxa"/>
            <w:vAlign w:val="center"/>
          </w:tcPr>
          <w:p w14:paraId="2EE9EADA">
            <w:pPr>
              <w:spacing w:before="120"/>
              <w:jc w:val="center"/>
              <w:rPr>
                <w:rFonts w:cs="Arial" w:asciiTheme="minorEastAsia" w:hAnsiTheme="minorEastAsia"/>
                <w:highlight w:val="none"/>
              </w:rPr>
            </w:pPr>
          </w:p>
        </w:tc>
        <w:tc>
          <w:tcPr>
            <w:tcW w:w="1395" w:type="dxa"/>
            <w:vAlign w:val="center"/>
          </w:tcPr>
          <w:p w14:paraId="2827C9D7">
            <w:pPr>
              <w:spacing w:before="120"/>
              <w:jc w:val="center"/>
              <w:rPr>
                <w:rFonts w:cs="Arial" w:asciiTheme="minorEastAsia" w:hAnsiTheme="minorEastAsia"/>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cs="Arial" w:asciiTheme="minorEastAsia" w:hAnsiTheme="minorEastAsia"/>
                <w:highlight w:val="none"/>
              </w:rPr>
            </w:pPr>
          </w:p>
        </w:tc>
        <w:tc>
          <w:tcPr>
            <w:tcW w:w="1392" w:type="dxa"/>
            <w:vAlign w:val="center"/>
          </w:tcPr>
          <w:p w14:paraId="3904317C">
            <w:pPr>
              <w:spacing w:before="120"/>
              <w:jc w:val="center"/>
              <w:rPr>
                <w:rFonts w:cs="Arial" w:asciiTheme="minorEastAsia" w:hAnsiTheme="minorEastAsia"/>
                <w:highlight w:val="none"/>
              </w:rPr>
            </w:pPr>
          </w:p>
        </w:tc>
        <w:tc>
          <w:tcPr>
            <w:tcW w:w="1485" w:type="dxa"/>
            <w:vAlign w:val="center"/>
          </w:tcPr>
          <w:p w14:paraId="2B41D14C">
            <w:pPr>
              <w:spacing w:before="120"/>
              <w:jc w:val="center"/>
              <w:rPr>
                <w:rFonts w:cs="Arial" w:asciiTheme="minorEastAsia" w:hAnsiTheme="minorEastAsia"/>
                <w:highlight w:val="none"/>
              </w:rPr>
            </w:pPr>
          </w:p>
        </w:tc>
        <w:tc>
          <w:tcPr>
            <w:tcW w:w="1470" w:type="dxa"/>
            <w:vAlign w:val="center"/>
          </w:tcPr>
          <w:p w14:paraId="45CFC41B">
            <w:pPr>
              <w:spacing w:before="120"/>
              <w:jc w:val="center"/>
              <w:rPr>
                <w:rFonts w:cs="Arial" w:asciiTheme="minorEastAsia" w:hAnsiTheme="minorEastAsia"/>
                <w:highlight w:val="none"/>
              </w:rPr>
            </w:pPr>
          </w:p>
        </w:tc>
        <w:tc>
          <w:tcPr>
            <w:tcW w:w="1365" w:type="dxa"/>
            <w:vAlign w:val="center"/>
          </w:tcPr>
          <w:p w14:paraId="32CFA217">
            <w:pPr>
              <w:spacing w:before="120"/>
              <w:jc w:val="center"/>
              <w:rPr>
                <w:rFonts w:cs="Arial" w:asciiTheme="minorEastAsia" w:hAnsiTheme="minorEastAsia"/>
                <w:highlight w:val="none"/>
              </w:rPr>
            </w:pPr>
          </w:p>
        </w:tc>
        <w:tc>
          <w:tcPr>
            <w:tcW w:w="1365" w:type="dxa"/>
            <w:vAlign w:val="center"/>
          </w:tcPr>
          <w:p w14:paraId="3797DB3D">
            <w:pPr>
              <w:spacing w:before="120"/>
              <w:jc w:val="center"/>
              <w:rPr>
                <w:rFonts w:cs="Arial" w:asciiTheme="minorEastAsia" w:hAnsiTheme="minorEastAsia"/>
                <w:highlight w:val="none"/>
              </w:rPr>
            </w:pPr>
          </w:p>
        </w:tc>
        <w:tc>
          <w:tcPr>
            <w:tcW w:w="1395" w:type="dxa"/>
            <w:vAlign w:val="center"/>
          </w:tcPr>
          <w:p w14:paraId="54B94AE8">
            <w:pPr>
              <w:spacing w:before="120"/>
              <w:jc w:val="center"/>
              <w:rPr>
                <w:rFonts w:cs="Arial" w:asciiTheme="minorEastAsia" w:hAnsiTheme="minorEastAsia"/>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cs="Arial" w:asciiTheme="minorEastAsia" w:hAnsiTheme="minorEastAsia"/>
                <w:highlight w:val="none"/>
              </w:rPr>
            </w:pPr>
          </w:p>
        </w:tc>
        <w:tc>
          <w:tcPr>
            <w:tcW w:w="1392" w:type="dxa"/>
            <w:vAlign w:val="center"/>
          </w:tcPr>
          <w:p w14:paraId="1313E78D">
            <w:pPr>
              <w:spacing w:before="120"/>
              <w:jc w:val="center"/>
              <w:rPr>
                <w:rFonts w:cs="Arial" w:asciiTheme="minorEastAsia" w:hAnsiTheme="minorEastAsia"/>
                <w:highlight w:val="none"/>
              </w:rPr>
            </w:pPr>
          </w:p>
        </w:tc>
        <w:tc>
          <w:tcPr>
            <w:tcW w:w="1485" w:type="dxa"/>
            <w:vAlign w:val="center"/>
          </w:tcPr>
          <w:p w14:paraId="1B7314DE">
            <w:pPr>
              <w:spacing w:before="120"/>
              <w:jc w:val="center"/>
              <w:rPr>
                <w:rFonts w:cs="Arial" w:asciiTheme="minorEastAsia" w:hAnsiTheme="minorEastAsia"/>
                <w:highlight w:val="none"/>
              </w:rPr>
            </w:pPr>
          </w:p>
        </w:tc>
        <w:tc>
          <w:tcPr>
            <w:tcW w:w="1470" w:type="dxa"/>
            <w:vAlign w:val="center"/>
          </w:tcPr>
          <w:p w14:paraId="3DF6CFC0">
            <w:pPr>
              <w:spacing w:before="120"/>
              <w:jc w:val="center"/>
              <w:rPr>
                <w:rFonts w:cs="Arial" w:asciiTheme="minorEastAsia" w:hAnsiTheme="minorEastAsia"/>
                <w:highlight w:val="none"/>
              </w:rPr>
            </w:pPr>
          </w:p>
        </w:tc>
        <w:tc>
          <w:tcPr>
            <w:tcW w:w="1365" w:type="dxa"/>
            <w:vAlign w:val="center"/>
          </w:tcPr>
          <w:p w14:paraId="755F2A9A">
            <w:pPr>
              <w:spacing w:before="120"/>
              <w:jc w:val="center"/>
              <w:rPr>
                <w:rFonts w:cs="Arial" w:asciiTheme="minorEastAsia" w:hAnsiTheme="minorEastAsia"/>
                <w:highlight w:val="none"/>
              </w:rPr>
            </w:pPr>
          </w:p>
        </w:tc>
        <w:tc>
          <w:tcPr>
            <w:tcW w:w="1365" w:type="dxa"/>
            <w:vAlign w:val="center"/>
          </w:tcPr>
          <w:p w14:paraId="2E509206">
            <w:pPr>
              <w:spacing w:before="120"/>
              <w:jc w:val="center"/>
              <w:rPr>
                <w:rFonts w:cs="Arial" w:asciiTheme="minorEastAsia" w:hAnsiTheme="minorEastAsia"/>
                <w:highlight w:val="none"/>
              </w:rPr>
            </w:pPr>
          </w:p>
        </w:tc>
        <w:tc>
          <w:tcPr>
            <w:tcW w:w="1395" w:type="dxa"/>
            <w:vAlign w:val="center"/>
          </w:tcPr>
          <w:p w14:paraId="79E06EF4">
            <w:pPr>
              <w:spacing w:before="120"/>
              <w:jc w:val="center"/>
              <w:rPr>
                <w:rFonts w:cs="Arial" w:asciiTheme="minorEastAsia" w:hAnsiTheme="minorEastAsia"/>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cs="Arial" w:asciiTheme="minorEastAsia" w:hAnsiTheme="minorEastAsia"/>
                <w:highlight w:val="none"/>
              </w:rPr>
            </w:pPr>
          </w:p>
        </w:tc>
        <w:tc>
          <w:tcPr>
            <w:tcW w:w="1392" w:type="dxa"/>
            <w:vAlign w:val="center"/>
          </w:tcPr>
          <w:p w14:paraId="561AB2CF">
            <w:pPr>
              <w:spacing w:before="120"/>
              <w:jc w:val="center"/>
              <w:rPr>
                <w:rFonts w:cs="Arial" w:asciiTheme="minorEastAsia" w:hAnsiTheme="minorEastAsia"/>
                <w:highlight w:val="none"/>
              </w:rPr>
            </w:pPr>
          </w:p>
        </w:tc>
        <w:tc>
          <w:tcPr>
            <w:tcW w:w="1485" w:type="dxa"/>
            <w:vAlign w:val="center"/>
          </w:tcPr>
          <w:p w14:paraId="4DC497D5">
            <w:pPr>
              <w:spacing w:before="120"/>
              <w:jc w:val="center"/>
              <w:rPr>
                <w:rFonts w:cs="Arial" w:asciiTheme="minorEastAsia" w:hAnsiTheme="minorEastAsia"/>
                <w:highlight w:val="none"/>
              </w:rPr>
            </w:pPr>
          </w:p>
        </w:tc>
        <w:tc>
          <w:tcPr>
            <w:tcW w:w="1470" w:type="dxa"/>
            <w:vAlign w:val="center"/>
          </w:tcPr>
          <w:p w14:paraId="6F07EB69">
            <w:pPr>
              <w:spacing w:before="120"/>
              <w:jc w:val="center"/>
              <w:rPr>
                <w:rFonts w:cs="Arial" w:asciiTheme="minorEastAsia" w:hAnsiTheme="minorEastAsia"/>
                <w:highlight w:val="none"/>
              </w:rPr>
            </w:pPr>
          </w:p>
        </w:tc>
        <w:tc>
          <w:tcPr>
            <w:tcW w:w="1365" w:type="dxa"/>
            <w:vAlign w:val="center"/>
          </w:tcPr>
          <w:p w14:paraId="67F571B3">
            <w:pPr>
              <w:spacing w:before="120"/>
              <w:jc w:val="center"/>
              <w:rPr>
                <w:rFonts w:cs="Arial" w:asciiTheme="minorEastAsia" w:hAnsiTheme="minorEastAsia"/>
                <w:highlight w:val="none"/>
              </w:rPr>
            </w:pPr>
          </w:p>
        </w:tc>
        <w:tc>
          <w:tcPr>
            <w:tcW w:w="1365" w:type="dxa"/>
            <w:vAlign w:val="center"/>
          </w:tcPr>
          <w:p w14:paraId="0E56BECE">
            <w:pPr>
              <w:spacing w:before="120"/>
              <w:jc w:val="center"/>
              <w:rPr>
                <w:rFonts w:cs="Arial" w:asciiTheme="minorEastAsia" w:hAnsiTheme="minorEastAsia"/>
                <w:highlight w:val="none"/>
              </w:rPr>
            </w:pPr>
          </w:p>
        </w:tc>
        <w:tc>
          <w:tcPr>
            <w:tcW w:w="1395" w:type="dxa"/>
            <w:vAlign w:val="center"/>
          </w:tcPr>
          <w:p w14:paraId="4147F08F">
            <w:pPr>
              <w:spacing w:before="120"/>
              <w:jc w:val="center"/>
              <w:rPr>
                <w:rFonts w:cs="Arial" w:asciiTheme="minorEastAsia" w:hAnsiTheme="minorEastAsia"/>
                <w:highlight w:val="none"/>
              </w:rPr>
            </w:pPr>
          </w:p>
        </w:tc>
      </w:tr>
    </w:tbl>
    <w:p w14:paraId="017273DD">
      <w:pPr>
        <w:spacing w:line="380" w:lineRule="exact"/>
        <w:rPr>
          <w:rFonts w:hint="eastAsia" w:ascii="宋体" w:hAnsi="宋体" w:eastAsia="宋体" w:cs="宋体"/>
          <w:b/>
          <w:bCs w:val="0"/>
          <w:color w:val="auto"/>
          <w:sz w:val="22"/>
          <w:szCs w:val="22"/>
          <w:highlight w:val="none"/>
        </w:rPr>
      </w:pPr>
      <w:r>
        <w:rPr>
          <w:rFonts w:hint="eastAsia" w:asciiTheme="minorEastAsia" w:hAnsiTheme="minorEastAsia"/>
          <w:b/>
          <w:color w:val="FF0000"/>
          <w:szCs w:val="21"/>
          <w:highlight w:val="none"/>
        </w:rPr>
        <w:t>注：供应商需在本表后附</w:t>
      </w:r>
      <w:r>
        <w:rPr>
          <w:rFonts w:hint="eastAsia" w:asciiTheme="minorEastAsia" w:hAnsiTheme="minorEastAsia"/>
          <w:b/>
          <w:color w:val="FF0000"/>
          <w:szCs w:val="21"/>
          <w:highlight w:val="none"/>
          <w:lang w:val="en-US" w:eastAsia="zh-CN"/>
        </w:rPr>
        <w:t>销售业绩</w:t>
      </w:r>
      <w:r>
        <w:rPr>
          <w:rFonts w:hint="eastAsia" w:asciiTheme="minorEastAsia" w:hAnsiTheme="minorEastAsia"/>
          <w:b/>
          <w:color w:val="FF0000"/>
          <w:szCs w:val="21"/>
          <w:highlight w:val="none"/>
        </w:rPr>
        <w:t>合同</w:t>
      </w:r>
      <w:r>
        <w:rPr>
          <w:rFonts w:hint="eastAsia" w:asciiTheme="minorEastAsia" w:hAnsiTheme="minorEastAsia"/>
          <w:b/>
          <w:color w:val="FF0000"/>
          <w:szCs w:val="21"/>
          <w:highlight w:val="none"/>
          <w:lang w:val="en-US" w:eastAsia="zh-CN"/>
        </w:rPr>
        <w:t>。</w:t>
      </w:r>
    </w:p>
    <w:p w14:paraId="335E608E">
      <w:pPr>
        <w:pStyle w:val="13"/>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bookmarkEnd w:id="78"/>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F52F260-99E7-4396-82CD-CC9CA3188AB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EDEEEC1-FA6D-404A-B752-B8B8F3E6E4A3}"/>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3" w:fontKey="{FA9B0AEA-7D82-4322-8A05-3814BB4AE840}"/>
  </w:font>
  <w:font w:name="方正公文小标宋">
    <w:panose1 w:val="02000500000000000000"/>
    <w:charset w:val="86"/>
    <w:family w:val="auto"/>
    <w:pitch w:val="default"/>
    <w:sig w:usb0="A00002BF" w:usb1="38CF7CFA" w:usb2="00000016" w:usb3="00000000" w:csb0="00040001" w:csb1="00000000"/>
    <w:embedRegular r:id="rId4" w:fontKey="{D2274369-B704-4814-B7FC-05F4446F59A4}"/>
  </w:font>
  <w:font w:name="仿宋">
    <w:panose1 w:val="02010609060101010101"/>
    <w:charset w:val="86"/>
    <w:family w:val="modern"/>
    <w:pitch w:val="default"/>
    <w:sig w:usb0="800002BF" w:usb1="38CF7CFA" w:usb2="00000016" w:usb3="00000000" w:csb0="00040001" w:csb1="00000000"/>
    <w:embedRegular r:id="rId5" w:fontKey="{358A3D36-E18A-4D6C-8C23-C8B783A0C46A}"/>
  </w:font>
  <w:font w:name="仿宋_GB2312">
    <w:panose1 w:val="02010609030101010101"/>
    <w:charset w:val="86"/>
    <w:family w:val="auto"/>
    <w:pitch w:val="default"/>
    <w:sig w:usb0="00000001" w:usb1="080E0000" w:usb2="00000000" w:usb3="00000000" w:csb0="00040000" w:csb1="00000000"/>
    <w:embedRegular r:id="rId6" w:fontKey="{388F9506-0BBF-4965-A0F6-DCC28A7D731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驻马店市中心医院放射介入诊疗设备采购项目采购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CA829215"/>
    <w:multiLevelType w:val="singleLevel"/>
    <w:tmpl w:val="CA829215"/>
    <w:lvl w:ilvl="0" w:tentative="0">
      <w:start w:val="2"/>
      <w:numFmt w:val="chineseCounting"/>
      <w:suff w:val="nothing"/>
      <w:lvlText w:val="%1、"/>
      <w:lvlJc w:val="left"/>
      <w:rPr>
        <w:rFonts w:hint="eastAsia"/>
      </w:rPr>
    </w:lvl>
  </w:abstractNum>
  <w:abstractNum w:abstractNumId="2">
    <w:nsid w:val="DC514ABB"/>
    <w:multiLevelType w:val="singleLevel"/>
    <w:tmpl w:val="DC514ABB"/>
    <w:lvl w:ilvl="0" w:tentative="0">
      <w:start w:val="1"/>
      <w:numFmt w:val="lowerLetter"/>
      <w:suff w:val="nothing"/>
      <w:lvlText w:val="%1、"/>
      <w:lvlJc w:val="left"/>
    </w:lvl>
  </w:abstractNum>
  <w:abstractNum w:abstractNumId="3">
    <w:nsid w:val="25729ADB"/>
    <w:multiLevelType w:val="singleLevel"/>
    <w:tmpl w:val="25729ADB"/>
    <w:lvl w:ilvl="0" w:tentative="0">
      <w:start w:val="1"/>
      <w:numFmt w:val="decimal"/>
      <w:lvlText w:val="%1."/>
      <w:lvlJc w:val="left"/>
      <w:pPr>
        <w:tabs>
          <w:tab w:val="left" w:pos="312"/>
        </w:tabs>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273CC"/>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80A12"/>
    <w:rsid w:val="010C3DC8"/>
    <w:rsid w:val="011E110B"/>
    <w:rsid w:val="014852B3"/>
    <w:rsid w:val="01525212"/>
    <w:rsid w:val="01564054"/>
    <w:rsid w:val="015C0A67"/>
    <w:rsid w:val="01626374"/>
    <w:rsid w:val="01745FBF"/>
    <w:rsid w:val="017E6D95"/>
    <w:rsid w:val="018D0058"/>
    <w:rsid w:val="019376D8"/>
    <w:rsid w:val="0196601E"/>
    <w:rsid w:val="01976717"/>
    <w:rsid w:val="019F1377"/>
    <w:rsid w:val="01D715BE"/>
    <w:rsid w:val="01EB45BC"/>
    <w:rsid w:val="01F0498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BC7D06"/>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7E4FBC"/>
    <w:rsid w:val="03844805"/>
    <w:rsid w:val="03845791"/>
    <w:rsid w:val="03A011E9"/>
    <w:rsid w:val="03AE7F27"/>
    <w:rsid w:val="03BC3316"/>
    <w:rsid w:val="03BD2BCD"/>
    <w:rsid w:val="03CC058D"/>
    <w:rsid w:val="03E017D2"/>
    <w:rsid w:val="03F31506"/>
    <w:rsid w:val="03F447E2"/>
    <w:rsid w:val="03F77068"/>
    <w:rsid w:val="03FB660C"/>
    <w:rsid w:val="042E37DB"/>
    <w:rsid w:val="04416C20"/>
    <w:rsid w:val="04732647"/>
    <w:rsid w:val="047968B1"/>
    <w:rsid w:val="04870542"/>
    <w:rsid w:val="04B30F7A"/>
    <w:rsid w:val="050E236F"/>
    <w:rsid w:val="0512137B"/>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C23EEE"/>
    <w:rsid w:val="05C313AC"/>
    <w:rsid w:val="05CA4074"/>
    <w:rsid w:val="05D53002"/>
    <w:rsid w:val="05D75738"/>
    <w:rsid w:val="05EB110D"/>
    <w:rsid w:val="05EB4481"/>
    <w:rsid w:val="05EB48F5"/>
    <w:rsid w:val="05F17CC7"/>
    <w:rsid w:val="05FC520E"/>
    <w:rsid w:val="06110369"/>
    <w:rsid w:val="061E7D14"/>
    <w:rsid w:val="0627193B"/>
    <w:rsid w:val="06446B44"/>
    <w:rsid w:val="06560AED"/>
    <w:rsid w:val="066469C9"/>
    <w:rsid w:val="066646A1"/>
    <w:rsid w:val="066E164D"/>
    <w:rsid w:val="068E7B23"/>
    <w:rsid w:val="06983B20"/>
    <w:rsid w:val="069A3B66"/>
    <w:rsid w:val="06A869D6"/>
    <w:rsid w:val="06A9264E"/>
    <w:rsid w:val="06B31420"/>
    <w:rsid w:val="06B91765"/>
    <w:rsid w:val="06CA2AD2"/>
    <w:rsid w:val="06CB0D68"/>
    <w:rsid w:val="06CD24E2"/>
    <w:rsid w:val="06CE3071"/>
    <w:rsid w:val="06D33DBA"/>
    <w:rsid w:val="06D73361"/>
    <w:rsid w:val="06E13F9F"/>
    <w:rsid w:val="06E710CA"/>
    <w:rsid w:val="06FB0AC5"/>
    <w:rsid w:val="06FE7278"/>
    <w:rsid w:val="070140D7"/>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47915"/>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67500"/>
    <w:rsid w:val="0BCC62FA"/>
    <w:rsid w:val="0BEF5CF6"/>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15073F"/>
    <w:rsid w:val="0D206810"/>
    <w:rsid w:val="0D4861FD"/>
    <w:rsid w:val="0D4E1EA3"/>
    <w:rsid w:val="0D735465"/>
    <w:rsid w:val="0D8238FA"/>
    <w:rsid w:val="0D9D0734"/>
    <w:rsid w:val="0DC577E0"/>
    <w:rsid w:val="0DDC6319"/>
    <w:rsid w:val="0DE1181F"/>
    <w:rsid w:val="0DFA5B87"/>
    <w:rsid w:val="0DFE4F67"/>
    <w:rsid w:val="0E0C0D4C"/>
    <w:rsid w:val="0E115DA1"/>
    <w:rsid w:val="0E1409F6"/>
    <w:rsid w:val="0E162D6D"/>
    <w:rsid w:val="0E460DCC"/>
    <w:rsid w:val="0E4B63E2"/>
    <w:rsid w:val="0E541CA2"/>
    <w:rsid w:val="0E5434E9"/>
    <w:rsid w:val="0E574D87"/>
    <w:rsid w:val="0E576B35"/>
    <w:rsid w:val="0E594756"/>
    <w:rsid w:val="0E8536A2"/>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722A26"/>
    <w:rsid w:val="0F821E7D"/>
    <w:rsid w:val="0FB3423F"/>
    <w:rsid w:val="0FC91CB4"/>
    <w:rsid w:val="0FCA42ED"/>
    <w:rsid w:val="0FDB5F4F"/>
    <w:rsid w:val="0FE7592C"/>
    <w:rsid w:val="0FFC17A5"/>
    <w:rsid w:val="0FFD20F0"/>
    <w:rsid w:val="10142F30"/>
    <w:rsid w:val="10352857"/>
    <w:rsid w:val="103E6E57"/>
    <w:rsid w:val="1041497B"/>
    <w:rsid w:val="10425FF6"/>
    <w:rsid w:val="10505F32"/>
    <w:rsid w:val="106612B1"/>
    <w:rsid w:val="109010E6"/>
    <w:rsid w:val="10B271F4"/>
    <w:rsid w:val="10B537CC"/>
    <w:rsid w:val="10C61D50"/>
    <w:rsid w:val="10C8275C"/>
    <w:rsid w:val="10C86D3B"/>
    <w:rsid w:val="10E03539"/>
    <w:rsid w:val="10E82D1F"/>
    <w:rsid w:val="10E8616A"/>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A93B4C"/>
    <w:rsid w:val="11B85B3D"/>
    <w:rsid w:val="11C12C43"/>
    <w:rsid w:val="11CC15E8"/>
    <w:rsid w:val="11CD20A0"/>
    <w:rsid w:val="11D34654"/>
    <w:rsid w:val="11E61731"/>
    <w:rsid w:val="12010480"/>
    <w:rsid w:val="12062D4C"/>
    <w:rsid w:val="120E707F"/>
    <w:rsid w:val="121D0051"/>
    <w:rsid w:val="12413D84"/>
    <w:rsid w:val="126D16E4"/>
    <w:rsid w:val="127A7D1C"/>
    <w:rsid w:val="12836D8B"/>
    <w:rsid w:val="12993BC0"/>
    <w:rsid w:val="12AB0349"/>
    <w:rsid w:val="12B66520"/>
    <w:rsid w:val="12CD57F1"/>
    <w:rsid w:val="12CE5941"/>
    <w:rsid w:val="12CE7AFA"/>
    <w:rsid w:val="12D67466"/>
    <w:rsid w:val="12DA08F3"/>
    <w:rsid w:val="13036052"/>
    <w:rsid w:val="131274CE"/>
    <w:rsid w:val="13143247"/>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EF7AC7"/>
    <w:rsid w:val="14FB646C"/>
    <w:rsid w:val="14FC36BD"/>
    <w:rsid w:val="14FF5EA7"/>
    <w:rsid w:val="15127C5A"/>
    <w:rsid w:val="15192D96"/>
    <w:rsid w:val="151E3A0F"/>
    <w:rsid w:val="152534E9"/>
    <w:rsid w:val="152A4FA3"/>
    <w:rsid w:val="153A36AA"/>
    <w:rsid w:val="15477903"/>
    <w:rsid w:val="1557566D"/>
    <w:rsid w:val="1565422D"/>
    <w:rsid w:val="156E0971"/>
    <w:rsid w:val="15785B3E"/>
    <w:rsid w:val="15811F1B"/>
    <w:rsid w:val="1585667E"/>
    <w:rsid w:val="15A30135"/>
    <w:rsid w:val="15A34015"/>
    <w:rsid w:val="15A703A2"/>
    <w:rsid w:val="15BB487B"/>
    <w:rsid w:val="15CE086D"/>
    <w:rsid w:val="15DB44F0"/>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75951"/>
    <w:rsid w:val="175B7696"/>
    <w:rsid w:val="175C542D"/>
    <w:rsid w:val="175D0ED4"/>
    <w:rsid w:val="1767428D"/>
    <w:rsid w:val="17793FC0"/>
    <w:rsid w:val="179D33A9"/>
    <w:rsid w:val="179F2E61"/>
    <w:rsid w:val="17A06264"/>
    <w:rsid w:val="17BE19D3"/>
    <w:rsid w:val="17C0574B"/>
    <w:rsid w:val="17C227C0"/>
    <w:rsid w:val="17D66D7C"/>
    <w:rsid w:val="17DE0EDF"/>
    <w:rsid w:val="17EE5BFF"/>
    <w:rsid w:val="17FA6EAF"/>
    <w:rsid w:val="18097740"/>
    <w:rsid w:val="18131D1F"/>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9BB266E"/>
    <w:rsid w:val="1A125525"/>
    <w:rsid w:val="1A1B135F"/>
    <w:rsid w:val="1A5F4342"/>
    <w:rsid w:val="1A616E2C"/>
    <w:rsid w:val="1A715D02"/>
    <w:rsid w:val="1A7F369B"/>
    <w:rsid w:val="1A8C5D82"/>
    <w:rsid w:val="1A976C37"/>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180F75"/>
    <w:rsid w:val="1C27223D"/>
    <w:rsid w:val="1C3861F8"/>
    <w:rsid w:val="1C4032FE"/>
    <w:rsid w:val="1C424981"/>
    <w:rsid w:val="1C4526C3"/>
    <w:rsid w:val="1C4E1577"/>
    <w:rsid w:val="1C4E77C9"/>
    <w:rsid w:val="1C555978"/>
    <w:rsid w:val="1C5A616E"/>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C1676"/>
    <w:rsid w:val="1D1F0050"/>
    <w:rsid w:val="1D214EDE"/>
    <w:rsid w:val="1D2222DC"/>
    <w:rsid w:val="1D3544E5"/>
    <w:rsid w:val="1D5144F7"/>
    <w:rsid w:val="1D5B3CDE"/>
    <w:rsid w:val="1D5D0701"/>
    <w:rsid w:val="1D6E2950"/>
    <w:rsid w:val="1D79298C"/>
    <w:rsid w:val="1D98209B"/>
    <w:rsid w:val="1DA23746"/>
    <w:rsid w:val="1DAA14B9"/>
    <w:rsid w:val="1DD04513"/>
    <w:rsid w:val="1DD8524D"/>
    <w:rsid w:val="1DDD2BCB"/>
    <w:rsid w:val="1E0345E3"/>
    <w:rsid w:val="1E04324C"/>
    <w:rsid w:val="1E1B7B7F"/>
    <w:rsid w:val="1E443370"/>
    <w:rsid w:val="1E546BED"/>
    <w:rsid w:val="1E656063"/>
    <w:rsid w:val="1E6B06A5"/>
    <w:rsid w:val="1E7554E1"/>
    <w:rsid w:val="1E7F7D9E"/>
    <w:rsid w:val="1E840DA4"/>
    <w:rsid w:val="1E9B2A6E"/>
    <w:rsid w:val="1EA00084"/>
    <w:rsid w:val="1EA5444C"/>
    <w:rsid w:val="1EA5569B"/>
    <w:rsid w:val="1EB350EF"/>
    <w:rsid w:val="1EC21749"/>
    <w:rsid w:val="1EEB7C4E"/>
    <w:rsid w:val="1EFE0DA3"/>
    <w:rsid w:val="1F072441"/>
    <w:rsid w:val="1F1645F6"/>
    <w:rsid w:val="1F171B83"/>
    <w:rsid w:val="1F2111C5"/>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4E201A"/>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445482"/>
    <w:rsid w:val="2355143D"/>
    <w:rsid w:val="236D1BFA"/>
    <w:rsid w:val="236D331D"/>
    <w:rsid w:val="23711FEF"/>
    <w:rsid w:val="2377331D"/>
    <w:rsid w:val="237D43DE"/>
    <w:rsid w:val="23940114"/>
    <w:rsid w:val="239A1546"/>
    <w:rsid w:val="23AE4FF1"/>
    <w:rsid w:val="23B57016"/>
    <w:rsid w:val="23C16AD3"/>
    <w:rsid w:val="23C4797E"/>
    <w:rsid w:val="23C93BD9"/>
    <w:rsid w:val="23CD5478"/>
    <w:rsid w:val="23D4764B"/>
    <w:rsid w:val="23E66539"/>
    <w:rsid w:val="23EB1DA2"/>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4D10"/>
    <w:rsid w:val="24D377A4"/>
    <w:rsid w:val="24D725E9"/>
    <w:rsid w:val="24EC31CF"/>
    <w:rsid w:val="24EF7670"/>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CA2142"/>
    <w:rsid w:val="26D1527F"/>
    <w:rsid w:val="26D23F28"/>
    <w:rsid w:val="26DB67BA"/>
    <w:rsid w:val="26DE3298"/>
    <w:rsid w:val="26E311CD"/>
    <w:rsid w:val="26EF1BA9"/>
    <w:rsid w:val="26EF24ED"/>
    <w:rsid w:val="26F1408A"/>
    <w:rsid w:val="26F86CAF"/>
    <w:rsid w:val="26F96584"/>
    <w:rsid w:val="26FC4FA5"/>
    <w:rsid w:val="27015370"/>
    <w:rsid w:val="270B421F"/>
    <w:rsid w:val="271F6B87"/>
    <w:rsid w:val="27232743"/>
    <w:rsid w:val="274E2228"/>
    <w:rsid w:val="27517A93"/>
    <w:rsid w:val="27565784"/>
    <w:rsid w:val="275E53AF"/>
    <w:rsid w:val="27606603"/>
    <w:rsid w:val="276658E8"/>
    <w:rsid w:val="276F6846"/>
    <w:rsid w:val="277D5407"/>
    <w:rsid w:val="277E30D2"/>
    <w:rsid w:val="27803F2A"/>
    <w:rsid w:val="278A18D2"/>
    <w:rsid w:val="27983FEE"/>
    <w:rsid w:val="27A34941"/>
    <w:rsid w:val="27A97FAA"/>
    <w:rsid w:val="27EE3A7B"/>
    <w:rsid w:val="27FA25B3"/>
    <w:rsid w:val="28033B5E"/>
    <w:rsid w:val="28100029"/>
    <w:rsid w:val="282B09BF"/>
    <w:rsid w:val="282E4F00"/>
    <w:rsid w:val="283C23DF"/>
    <w:rsid w:val="283D69F1"/>
    <w:rsid w:val="283F090E"/>
    <w:rsid w:val="28433F5A"/>
    <w:rsid w:val="284C16F5"/>
    <w:rsid w:val="28570AB5"/>
    <w:rsid w:val="285F2CDC"/>
    <w:rsid w:val="28622C36"/>
    <w:rsid w:val="2869172C"/>
    <w:rsid w:val="288C2D07"/>
    <w:rsid w:val="289E7E22"/>
    <w:rsid w:val="28C2534B"/>
    <w:rsid w:val="28C5525A"/>
    <w:rsid w:val="28D14B96"/>
    <w:rsid w:val="28DC7F0B"/>
    <w:rsid w:val="28E60D8A"/>
    <w:rsid w:val="29020C46"/>
    <w:rsid w:val="290240C7"/>
    <w:rsid w:val="291713AF"/>
    <w:rsid w:val="291A2B97"/>
    <w:rsid w:val="29274EE0"/>
    <w:rsid w:val="294F692F"/>
    <w:rsid w:val="295029E3"/>
    <w:rsid w:val="29543A59"/>
    <w:rsid w:val="296139CE"/>
    <w:rsid w:val="29670ED3"/>
    <w:rsid w:val="2969197F"/>
    <w:rsid w:val="29746E87"/>
    <w:rsid w:val="297939AC"/>
    <w:rsid w:val="297A7E50"/>
    <w:rsid w:val="297C03C2"/>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4E4E38"/>
    <w:rsid w:val="2A53244F"/>
    <w:rsid w:val="2A5372C6"/>
    <w:rsid w:val="2A5A558B"/>
    <w:rsid w:val="2A5B03D8"/>
    <w:rsid w:val="2A6F6D07"/>
    <w:rsid w:val="2A852253"/>
    <w:rsid w:val="2A882500"/>
    <w:rsid w:val="2AA35184"/>
    <w:rsid w:val="2AAB228B"/>
    <w:rsid w:val="2AAB4E76"/>
    <w:rsid w:val="2AB63ABC"/>
    <w:rsid w:val="2AB63D0A"/>
    <w:rsid w:val="2AC31382"/>
    <w:rsid w:val="2ACB46DB"/>
    <w:rsid w:val="2AD0584D"/>
    <w:rsid w:val="2AD549F8"/>
    <w:rsid w:val="2ADD6D4E"/>
    <w:rsid w:val="2AEA74E5"/>
    <w:rsid w:val="2AF91248"/>
    <w:rsid w:val="2AFB4FC0"/>
    <w:rsid w:val="2B003D00"/>
    <w:rsid w:val="2B074D5E"/>
    <w:rsid w:val="2B0A6991"/>
    <w:rsid w:val="2B100BA9"/>
    <w:rsid w:val="2B1B5825"/>
    <w:rsid w:val="2B1E3AFC"/>
    <w:rsid w:val="2B230073"/>
    <w:rsid w:val="2B303E8B"/>
    <w:rsid w:val="2B400742"/>
    <w:rsid w:val="2B4A5600"/>
    <w:rsid w:val="2B574FD9"/>
    <w:rsid w:val="2B642979"/>
    <w:rsid w:val="2B681F2A"/>
    <w:rsid w:val="2B7408CF"/>
    <w:rsid w:val="2B762899"/>
    <w:rsid w:val="2B88534B"/>
    <w:rsid w:val="2B8D373E"/>
    <w:rsid w:val="2B9E4F56"/>
    <w:rsid w:val="2BD96984"/>
    <w:rsid w:val="2BDB5A88"/>
    <w:rsid w:val="2BDB6BA0"/>
    <w:rsid w:val="2BE91C37"/>
    <w:rsid w:val="2BEC3F72"/>
    <w:rsid w:val="2C025EDA"/>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80119"/>
    <w:rsid w:val="2F506C6D"/>
    <w:rsid w:val="2F512253"/>
    <w:rsid w:val="2F51291F"/>
    <w:rsid w:val="2F55758A"/>
    <w:rsid w:val="2F68074A"/>
    <w:rsid w:val="2F7F15AE"/>
    <w:rsid w:val="2F912594"/>
    <w:rsid w:val="2FA54796"/>
    <w:rsid w:val="2FA674E2"/>
    <w:rsid w:val="2FCD67FF"/>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62EDC"/>
    <w:rsid w:val="306D3B35"/>
    <w:rsid w:val="307153DD"/>
    <w:rsid w:val="3083092C"/>
    <w:rsid w:val="30915A7F"/>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C42968"/>
    <w:rsid w:val="31CD297B"/>
    <w:rsid w:val="31CD73BD"/>
    <w:rsid w:val="31D245A1"/>
    <w:rsid w:val="31D66571"/>
    <w:rsid w:val="31DB4220"/>
    <w:rsid w:val="31DC56CD"/>
    <w:rsid w:val="31E63B94"/>
    <w:rsid w:val="31F27AF7"/>
    <w:rsid w:val="31FA74CA"/>
    <w:rsid w:val="3207424B"/>
    <w:rsid w:val="32176602"/>
    <w:rsid w:val="322A7699"/>
    <w:rsid w:val="322B25C6"/>
    <w:rsid w:val="32422E70"/>
    <w:rsid w:val="325E56C6"/>
    <w:rsid w:val="3275698A"/>
    <w:rsid w:val="327C0679"/>
    <w:rsid w:val="32870EE7"/>
    <w:rsid w:val="32902492"/>
    <w:rsid w:val="32943B86"/>
    <w:rsid w:val="32A93829"/>
    <w:rsid w:val="32B943EC"/>
    <w:rsid w:val="32B9519B"/>
    <w:rsid w:val="32D22AAA"/>
    <w:rsid w:val="32D3237F"/>
    <w:rsid w:val="32DC63A0"/>
    <w:rsid w:val="32E429C1"/>
    <w:rsid w:val="330503EE"/>
    <w:rsid w:val="331A1D5C"/>
    <w:rsid w:val="33274478"/>
    <w:rsid w:val="333948D8"/>
    <w:rsid w:val="333E1EEE"/>
    <w:rsid w:val="334045BE"/>
    <w:rsid w:val="334A3B2A"/>
    <w:rsid w:val="334E5EA9"/>
    <w:rsid w:val="335133F7"/>
    <w:rsid w:val="3365592E"/>
    <w:rsid w:val="336A31F3"/>
    <w:rsid w:val="336F5D12"/>
    <w:rsid w:val="336F6533"/>
    <w:rsid w:val="337E5E2F"/>
    <w:rsid w:val="3384610D"/>
    <w:rsid w:val="33886F33"/>
    <w:rsid w:val="33AA5979"/>
    <w:rsid w:val="33C03E90"/>
    <w:rsid w:val="33C96649"/>
    <w:rsid w:val="33CC3D88"/>
    <w:rsid w:val="33D939C5"/>
    <w:rsid w:val="33DC1707"/>
    <w:rsid w:val="33DC34B5"/>
    <w:rsid w:val="33DD0306"/>
    <w:rsid w:val="33FD3B57"/>
    <w:rsid w:val="33FD722F"/>
    <w:rsid w:val="3400362D"/>
    <w:rsid w:val="340B09C5"/>
    <w:rsid w:val="340F5638"/>
    <w:rsid w:val="341E4CAB"/>
    <w:rsid w:val="34205B4A"/>
    <w:rsid w:val="342235BE"/>
    <w:rsid w:val="34346E4D"/>
    <w:rsid w:val="34584EE2"/>
    <w:rsid w:val="347A1C51"/>
    <w:rsid w:val="347D373F"/>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9027A9"/>
    <w:rsid w:val="35A815CB"/>
    <w:rsid w:val="35A85BD0"/>
    <w:rsid w:val="35AA1B9C"/>
    <w:rsid w:val="35D501BC"/>
    <w:rsid w:val="35D94150"/>
    <w:rsid w:val="35DB09A6"/>
    <w:rsid w:val="35DE52C2"/>
    <w:rsid w:val="35E14DB3"/>
    <w:rsid w:val="36080591"/>
    <w:rsid w:val="3609472F"/>
    <w:rsid w:val="360A255B"/>
    <w:rsid w:val="361231BE"/>
    <w:rsid w:val="3619454C"/>
    <w:rsid w:val="36203B2D"/>
    <w:rsid w:val="363E0457"/>
    <w:rsid w:val="365B4B65"/>
    <w:rsid w:val="36625EF3"/>
    <w:rsid w:val="36687282"/>
    <w:rsid w:val="369B4CF0"/>
    <w:rsid w:val="36A93B22"/>
    <w:rsid w:val="36AE738B"/>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EF1A09"/>
    <w:rsid w:val="37F34577"/>
    <w:rsid w:val="37F848EE"/>
    <w:rsid w:val="37F912FC"/>
    <w:rsid w:val="37FA5E67"/>
    <w:rsid w:val="37FB65FF"/>
    <w:rsid w:val="380D59EE"/>
    <w:rsid w:val="38304889"/>
    <w:rsid w:val="3836588A"/>
    <w:rsid w:val="38382675"/>
    <w:rsid w:val="383B7B0D"/>
    <w:rsid w:val="3848553B"/>
    <w:rsid w:val="3851700B"/>
    <w:rsid w:val="385246B6"/>
    <w:rsid w:val="385E6B8E"/>
    <w:rsid w:val="3876113B"/>
    <w:rsid w:val="38A53DB7"/>
    <w:rsid w:val="38BD5663"/>
    <w:rsid w:val="38BF3388"/>
    <w:rsid w:val="38CC268D"/>
    <w:rsid w:val="38DF1FDA"/>
    <w:rsid w:val="38EC2960"/>
    <w:rsid w:val="38F372D7"/>
    <w:rsid w:val="390069DD"/>
    <w:rsid w:val="3902603A"/>
    <w:rsid w:val="39030CF9"/>
    <w:rsid w:val="39091F35"/>
    <w:rsid w:val="392536E2"/>
    <w:rsid w:val="393D0552"/>
    <w:rsid w:val="393D67A4"/>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9F71049"/>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A304E"/>
    <w:rsid w:val="3AA50E25"/>
    <w:rsid w:val="3AC151B3"/>
    <w:rsid w:val="3AC566E3"/>
    <w:rsid w:val="3AD6747A"/>
    <w:rsid w:val="3AD95C48"/>
    <w:rsid w:val="3ADF5D0A"/>
    <w:rsid w:val="3B0F23C2"/>
    <w:rsid w:val="3B1D4ADF"/>
    <w:rsid w:val="3B312338"/>
    <w:rsid w:val="3B337E5E"/>
    <w:rsid w:val="3B3C5B77"/>
    <w:rsid w:val="3B3D0FF2"/>
    <w:rsid w:val="3B44206B"/>
    <w:rsid w:val="3B501351"/>
    <w:rsid w:val="3B521A18"/>
    <w:rsid w:val="3B741699"/>
    <w:rsid w:val="3B8D2B96"/>
    <w:rsid w:val="3B90705F"/>
    <w:rsid w:val="3B923660"/>
    <w:rsid w:val="3BB16FD5"/>
    <w:rsid w:val="3BCA44BE"/>
    <w:rsid w:val="3C017F5D"/>
    <w:rsid w:val="3C061F3A"/>
    <w:rsid w:val="3C0A04F9"/>
    <w:rsid w:val="3C0E4427"/>
    <w:rsid w:val="3C1C6B44"/>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6C7658"/>
    <w:rsid w:val="3D7B4622"/>
    <w:rsid w:val="3D8C5F4C"/>
    <w:rsid w:val="3D8E5820"/>
    <w:rsid w:val="3D931088"/>
    <w:rsid w:val="3D942E29"/>
    <w:rsid w:val="3DA53531"/>
    <w:rsid w:val="3DA70690"/>
    <w:rsid w:val="3DB039E8"/>
    <w:rsid w:val="3DB54E0C"/>
    <w:rsid w:val="3DB900C1"/>
    <w:rsid w:val="3DDD2303"/>
    <w:rsid w:val="3DE03BA2"/>
    <w:rsid w:val="3DE51866"/>
    <w:rsid w:val="3DE91725"/>
    <w:rsid w:val="3DEC6AD0"/>
    <w:rsid w:val="3DF159B1"/>
    <w:rsid w:val="3E0B6E71"/>
    <w:rsid w:val="3E1074E4"/>
    <w:rsid w:val="3E135D25"/>
    <w:rsid w:val="3E1A106E"/>
    <w:rsid w:val="3E36303B"/>
    <w:rsid w:val="3E46434D"/>
    <w:rsid w:val="3E526044"/>
    <w:rsid w:val="3E5A3954"/>
    <w:rsid w:val="3E5C591E"/>
    <w:rsid w:val="3E6C2B3A"/>
    <w:rsid w:val="3E772758"/>
    <w:rsid w:val="3E832EAB"/>
    <w:rsid w:val="3E8C5311"/>
    <w:rsid w:val="3E8E7E55"/>
    <w:rsid w:val="3EA11583"/>
    <w:rsid w:val="3EB61473"/>
    <w:rsid w:val="3EC66011"/>
    <w:rsid w:val="3ED25BE0"/>
    <w:rsid w:val="3ED75B7F"/>
    <w:rsid w:val="3EF9316D"/>
    <w:rsid w:val="3F222DB1"/>
    <w:rsid w:val="3F315E6B"/>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C42F8"/>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9242C"/>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839F3"/>
    <w:rsid w:val="440700DA"/>
    <w:rsid w:val="44095C00"/>
    <w:rsid w:val="440A6FD2"/>
    <w:rsid w:val="440E1469"/>
    <w:rsid w:val="442A1797"/>
    <w:rsid w:val="44366C11"/>
    <w:rsid w:val="444946CA"/>
    <w:rsid w:val="444B3F54"/>
    <w:rsid w:val="44537B74"/>
    <w:rsid w:val="445B0426"/>
    <w:rsid w:val="44611430"/>
    <w:rsid w:val="4476661F"/>
    <w:rsid w:val="447E3AC5"/>
    <w:rsid w:val="44805ED4"/>
    <w:rsid w:val="44874EFA"/>
    <w:rsid w:val="448E5DEE"/>
    <w:rsid w:val="449C4CC6"/>
    <w:rsid w:val="449E4142"/>
    <w:rsid w:val="44A90BAA"/>
    <w:rsid w:val="44B24A20"/>
    <w:rsid w:val="44BC0BEE"/>
    <w:rsid w:val="44BF6C07"/>
    <w:rsid w:val="44C24001"/>
    <w:rsid w:val="44C55A88"/>
    <w:rsid w:val="44FB1C9C"/>
    <w:rsid w:val="45014B29"/>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EF26BD"/>
    <w:rsid w:val="46FF15E0"/>
    <w:rsid w:val="4700581C"/>
    <w:rsid w:val="4702516A"/>
    <w:rsid w:val="471A0124"/>
    <w:rsid w:val="4723522B"/>
    <w:rsid w:val="4724600B"/>
    <w:rsid w:val="472E597E"/>
    <w:rsid w:val="47460F19"/>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B0D8B"/>
    <w:rsid w:val="47ED7BCA"/>
    <w:rsid w:val="47F46BC7"/>
    <w:rsid w:val="48016F34"/>
    <w:rsid w:val="480556DB"/>
    <w:rsid w:val="48185C56"/>
    <w:rsid w:val="48254C34"/>
    <w:rsid w:val="48450F81"/>
    <w:rsid w:val="48455675"/>
    <w:rsid w:val="484E729D"/>
    <w:rsid w:val="48566773"/>
    <w:rsid w:val="485A23C2"/>
    <w:rsid w:val="48623B31"/>
    <w:rsid w:val="48647785"/>
    <w:rsid w:val="48691107"/>
    <w:rsid w:val="48741AB6"/>
    <w:rsid w:val="48895289"/>
    <w:rsid w:val="489857A5"/>
    <w:rsid w:val="48A16B62"/>
    <w:rsid w:val="48AE0D54"/>
    <w:rsid w:val="48BC6222"/>
    <w:rsid w:val="48C245E9"/>
    <w:rsid w:val="48DB312A"/>
    <w:rsid w:val="48DF49D9"/>
    <w:rsid w:val="491312CF"/>
    <w:rsid w:val="492108CC"/>
    <w:rsid w:val="492928A1"/>
    <w:rsid w:val="49413F52"/>
    <w:rsid w:val="494F6304"/>
    <w:rsid w:val="49553696"/>
    <w:rsid w:val="49792B95"/>
    <w:rsid w:val="498D2E30"/>
    <w:rsid w:val="49F11610"/>
    <w:rsid w:val="4A01681E"/>
    <w:rsid w:val="4A05334F"/>
    <w:rsid w:val="4A060864"/>
    <w:rsid w:val="4A244932"/>
    <w:rsid w:val="4A2922C8"/>
    <w:rsid w:val="4A344C24"/>
    <w:rsid w:val="4A4117B2"/>
    <w:rsid w:val="4A4A6F73"/>
    <w:rsid w:val="4A712751"/>
    <w:rsid w:val="4A7A4350"/>
    <w:rsid w:val="4A7B1703"/>
    <w:rsid w:val="4A7D2EA4"/>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B9615E"/>
    <w:rsid w:val="4BC06040"/>
    <w:rsid w:val="4BC66ACD"/>
    <w:rsid w:val="4BCF5981"/>
    <w:rsid w:val="4BD846DB"/>
    <w:rsid w:val="4BF441D2"/>
    <w:rsid w:val="4C003FCD"/>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381304"/>
    <w:rsid w:val="4D61085B"/>
    <w:rsid w:val="4D795A49"/>
    <w:rsid w:val="4D7F0082"/>
    <w:rsid w:val="4D910B7E"/>
    <w:rsid w:val="4D952FD9"/>
    <w:rsid w:val="4D970662"/>
    <w:rsid w:val="4D9A1FBF"/>
    <w:rsid w:val="4D9F40B3"/>
    <w:rsid w:val="4DB33393"/>
    <w:rsid w:val="4DB90B8C"/>
    <w:rsid w:val="4DBC3CE3"/>
    <w:rsid w:val="4DBD7A5B"/>
    <w:rsid w:val="4DCB51C5"/>
    <w:rsid w:val="4DCF1E0D"/>
    <w:rsid w:val="4DD632D9"/>
    <w:rsid w:val="4DD94895"/>
    <w:rsid w:val="4DE05D9E"/>
    <w:rsid w:val="4DE05DF9"/>
    <w:rsid w:val="4DE44800"/>
    <w:rsid w:val="4DE90850"/>
    <w:rsid w:val="4DEE0709"/>
    <w:rsid w:val="4DF26A56"/>
    <w:rsid w:val="4DF47921"/>
    <w:rsid w:val="4DFC14EA"/>
    <w:rsid w:val="4DFF6815"/>
    <w:rsid w:val="4E0A3427"/>
    <w:rsid w:val="4E0B6A19"/>
    <w:rsid w:val="4E2423AC"/>
    <w:rsid w:val="4E261AA5"/>
    <w:rsid w:val="4E287F63"/>
    <w:rsid w:val="4E2A50F1"/>
    <w:rsid w:val="4E304B5D"/>
    <w:rsid w:val="4E347D1E"/>
    <w:rsid w:val="4E3F66C2"/>
    <w:rsid w:val="4E611B8B"/>
    <w:rsid w:val="4E6279D7"/>
    <w:rsid w:val="4E682F8C"/>
    <w:rsid w:val="4E6A7BB7"/>
    <w:rsid w:val="4E6C5D89"/>
    <w:rsid w:val="4E9133C2"/>
    <w:rsid w:val="4EB23220"/>
    <w:rsid w:val="4EC866B8"/>
    <w:rsid w:val="4ED46303"/>
    <w:rsid w:val="4EDD216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783C60"/>
    <w:rsid w:val="50901457"/>
    <w:rsid w:val="509F43E4"/>
    <w:rsid w:val="50A54D3E"/>
    <w:rsid w:val="50B82E88"/>
    <w:rsid w:val="50BB32A7"/>
    <w:rsid w:val="50CA4969"/>
    <w:rsid w:val="50CC5CB2"/>
    <w:rsid w:val="50ED1473"/>
    <w:rsid w:val="50F1402B"/>
    <w:rsid w:val="50FD2AD9"/>
    <w:rsid w:val="51081E85"/>
    <w:rsid w:val="51097D9A"/>
    <w:rsid w:val="51195175"/>
    <w:rsid w:val="511A650F"/>
    <w:rsid w:val="51237D2E"/>
    <w:rsid w:val="51295DBA"/>
    <w:rsid w:val="514229EF"/>
    <w:rsid w:val="514E559A"/>
    <w:rsid w:val="515B06D0"/>
    <w:rsid w:val="51764AF1"/>
    <w:rsid w:val="51782617"/>
    <w:rsid w:val="51960CEF"/>
    <w:rsid w:val="51996737"/>
    <w:rsid w:val="51B408B8"/>
    <w:rsid w:val="51B80848"/>
    <w:rsid w:val="51CC0868"/>
    <w:rsid w:val="51D5340F"/>
    <w:rsid w:val="52043EAB"/>
    <w:rsid w:val="52287B99"/>
    <w:rsid w:val="52382F2A"/>
    <w:rsid w:val="52386E3D"/>
    <w:rsid w:val="523A7DD1"/>
    <w:rsid w:val="523B7711"/>
    <w:rsid w:val="5257222D"/>
    <w:rsid w:val="5271774C"/>
    <w:rsid w:val="527A416D"/>
    <w:rsid w:val="528D5323"/>
    <w:rsid w:val="528D7B65"/>
    <w:rsid w:val="5299416C"/>
    <w:rsid w:val="52AA11D3"/>
    <w:rsid w:val="52D4387D"/>
    <w:rsid w:val="52DE008D"/>
    <w:rsid w:val="52EE341E"/>
    <w:rsid w:val="52F201A7"/>
    <w:rsid w:val="52F37FE6"/>
    <w:rsid w:val="52FC1CAF"/>
    <w:rsid w:val="52FE08FA"/>
    <w:rsid w:val="52FF22FE"/>
    <w:rsid w:val="53004672"/>
    <w:rsid w:val="530B071F"/>
    <w:rsid w:val="531A330F"/>
    <w:rsid w:val="53237654"/>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B70D0"/>
    <w:rsid w:val="53EC4BF7"/>
    <w:rsid w:val="53F671DE"/>
    <w:rsid w:val="53F758A1"/>
    <w:rsid w:val="540D5A7F"/>
    <w:rsid w:val="542E2BC2"/>
    <w:rsid w:val="54352A96"/>
    <w:rsid w:val="54447390"/>
    <w:rsid w:val="544B514D"/>
    <w:rsid w:val="545E1D01"/>
    <w:rsid w:val="54674051"/>
    <w:rsid w:val="54705828"/>
    <w:rsid w:val="5472334E"/>
    <w:rsid w:val="547A0454"/>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1641AD"/>
    <w:rsid w:val="56234F28"/>
    <w:rsid w:val="562C1C22"/>
    <w:rsid w:val="564E71EA"/>
    <w:rsid w:val="56586573"/>
    <w:rsid w:val="56666B5B"/>
    <w:rsid w:val="56717635"/>
    <w:rsid w:val="56764C4B"/>
    <w:rsid w:val="56990B7C"/>
    <w:rsid w:val="569E1126"/>
    <w:rsid w:val="56A8690E"/>
    <w:rsid w:val="56B51C18"/>
    <w:rsid w:val="56B679AB"/>
    <w:rsid w:val="56B80DEB"/>
    <w:rsid w:val="56CA56C3"/>
    <w:rsid w:val="56D976B4"/>
    <w:rsid w:val="56E0560F"/>
    <w:rsid w:val="56E06E61"/>
    <w:rsid w:val="56E9366F"/>
    <w:rsid w:val="56EF3C74"/>
    <w:rsid w:val="56F653FE"/>
    <w:rsid w:val="57007337"/>
    <w:rsid w:val="57272B15"/>
    <w:rsid w:val="572A6162"/>
    <w:rsid w:val="574448FC"/>
    <w:rsid w:val="57561D39"/>
    <w:rsid w:val="575B7AFD"/>
    <w:rsid w:val="576176AA"/>
    <w:rsid w:val="57660D3F"/>
    <w:rsid w:val="5774562F"/>
    <w:rsid w:val="5785783C"/>
    <w:rsid w:val="578D66F1"/>
    <w:rsid w:val="578F06BB"/>
    <w:rsid w:val="57A469A0"/>
    <w:rsid w:val="57C32112"/>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5965"/>
    <w:rsid w:val="58DB0535"/>
    <w:rsid w:val="58E467E4"/>
    <w:rsid w:val="58E62E0E"/>
    <w:rsid w:val="58EA3D0E"/>
    <w:rsid w:val="58F24A5D"/>
    <w:rsid w:val="58F71269"/>
    <w:rsid w:val="58FE045E"/>
    <w:rsid w:val="58FE78A6"/>
    <w:rsid w:val="59014CEF"/>
    <w:rsid w:val="59017396"/>
    <w:rsid w:val="59442D7E"/>
    <w:rsid w:val="59561946"/>
    <w:rsid w:val="59670F51"/>
    <w:rsid w:val="596A44F9"/>
    <w:rsid w:val="596B474B"/>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585171"/>
    <w:rsid w:val="5B585B78"/>
    <w:rsid w:val="5B6D62B9"/>
    <w:rsid w:val="5B746CFA"/>
    <w:rsid w:val="5B9A2B59"/>
    <w:rsid w:val="5BA652E6"/>
    <w:rsid w:val="5BB406F0"/>
    <w:rsid w:val="5BC0085A"/>
    <w:rsid w:val="5BC326E1"/>
    <w:rsid w:val="5BE03293"/>
    <w:rsid w:val="5BF03D58"/>
    <w:rsid w:val="5BF20AFB"/>
    <w:rsid w:val="5C1A6BB2"/>
    <w:rsid w:val="5C284A34"/>
    <w:rsid w:val="5C306D31"/>
    <w:rsid w:val="5C37233A"/>
    <w:rsid w:val="5C4557EC"/>
    <w:rsid w:val="5C4C0928"/>
    <w:rsid w:val="5C5355FE"/>
    <w:rsid w:val="5C5872CD"/>
    <w:rsid w:val="5C5A49A5"/>
    <w:rsid w:val="5C6519EA"/>
    <w:rsid w:val="5C6715FE"/>
    <w:rsid w:val="5C6F4105"/>
    <w:rsid w:val="5C8442F7"/>
    <w:rsid w:val="5CBB7F6F"/>
    <w:rsid w:val="5CC248CE"/>
    <w:rsid w:val="5CC826A5"/>
    <w:rsid w:val="5CF1327E"/>
    <w:rsid w:val="5D042FB1"/>
    <w:rsid w:val="5D2750C3"/>
    <w:rsid w:val="5D3A2E77"/>
    <w:rsid w:val="5D442CB4"/>
    <w:rsid w:val="5D4C6846"/>
    <w:rsid w:val="5D7C3F11"/>
    <w:rsid w:val="5D971C5A"/>
    <w:rsid w:val="5D9D49E0"/>
    <w:rsid w:val="5DA01E9E"/>
    <w:rsid w:val="5DAD3649"/>
    <w:rsid w:val="5DC310BE"/>
    <w:rsid w:val="5DC32E6C"/>
    <w:rsid w:val="5DDF1821"/>
    <w:rsid w:val="5DE2656A"/>
    <w:rsid w:val="5DE74DAC"/>
    <w:rsid w:val="5DEA2F91"/>
    <w:rsid w:val="5DF94AE0"/>
    <w:rsid w:val="5DFA5883"/>
    <w:rsid w:val="5E055233"/>
    <w:rsid w:val="5E224037"/>
    <w:rsid w:val="5E3146A3"/>
    <w:rsid w:val="5E3B6EA6"/>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312D8D"/>
    <w:rsid w:val="5F3C4923"/>
    <w:rsid w:val="5F4160B0"/>
    <w:rsid w:val="5F426012"/>
    <w:rsid w:val="5F5875E4"/>
    <w:rsid w:val="5F5A7800"/>
    <w:rsid w:val="5F6368E9"/>
    <w:rsid w:val="5F7811D3"/>
    <w:rsid w:val="5F9A65E6"/>
    <w:rsid w:val="5F9B2627"/>
    <w:rsid w:val="5FA66B60"/>
    <w:rsid w:val="5FAA6092"/>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BB607C"/>
    <w:rsid w:val="60F35816"/>
    <w:rsid w:val="60FF21D9"/>
    <w:rsid w:val="610C0686"/>
    <w:rsid w:val="611063C8"/>
    <w:rsid w:val="611E37D0"/>
    <w:rsid w:val="613021B3"/>
    <w:rsid w:val="61306A6A"/>
    <w:rsid w:val="613253FD"/>
    <w:rsid w:val="61421F29"/>
    <w:rsid w:val="61521F2D"/>
    <w:rsid w:val="615F221E"/>
    <w:rsid w:val="61637D56"/>
    <w:rsid w:val="61712185"/>
    <w:rsid w:val="618B7207"/>
    <w:rsid w:val="61907E69"/>
    <w:rsid w:val="61932B55"/>
    <w:rsid w:val="61A90D68"/>
    <w:rsid w:val="61B43A15"/>
    <w:rsid w:val="61DA0425"/>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0C2BBF"/>
    <w:rsid w:val="631B2E02"/>
    <w:rsid w:val="631F3FB4"/>
    <w:rsid w:val="63273E9D"/>
    <w:rsid w:val="6333639E"/>
    <w:rsid w:val="63364F75"/>
    <w:rsid w:val="6340438B"/>
    <w:rsid w:val="6353238E"/>
    <w:rsid w:val="63612AB8"/>
    <w:rsid w:val="6379289B"/>
    <w:rsid w:val="637B1AF3"/>
    <w:rsid w:val="637D0978"/>
    <w:rsid w:val="638906B4"/>
    <w:rsid w:val="638968B0"/>
    <w:rsid w:val="638A282C"/>
    <w:rsid w:val="6390559E"/>
    <w:rsid w:val="6393508F"/>
    <w:rsid w:val="639A3568"/>
    <w:rsid w:val="63A177AC"/>
    <w:rsid w:val="63A75341"/>
    <w:rsid w:val="63A85E90"/>
    <w:rsid w:val="63A962DB"/>
    <w:rsid w:val="63AB1A91"/>
    <w:rsid w:val="63B75221"/>
    <w:rsid w:val="63B82D47"/>
    <w:rsid w:val="63C74D38"/>
    <w:rsid w:val="63D11D80"/>
    <w:rsid w:val="63EA73A4"/>
    <w:rsid w:val="63EE4692"/>
    <w:rsid w:val="63FD622D"/>
    <w:rsid w:val="64177A6E"/>
    <w:rsid w:val="641F42FB"/>
    <w:rsid w:val="642F4DB7"/>
    <w:rsid w:val="643F32F9"/>
    <w:rsid w:val="64582686"/>
    <w:rsid w:val="64673C87"/>
    <w:rsid w:val="64852C29"/>
    <w:rsid w:val="64877733"/>
    <w:rsid w:val="64925346"/>
    <w:rsid w:val="64A170D2"/>
    <w:rsid w:val="64A251DD"/>
    <w:rsid w:val="64A357A5"/>
    <w:rsid w:val="64BC182A"/>
    <w:rsid w:val="64F46001"/>
    <w:rsid w:val="64F8164D"/>
    <w:rsid w:val="650242F0"/>
    <w:rsid w:val="65365B2B"/>
    <w:rsid w:val="653F447E"/>
    <w:rsid w:val="65542778"/>
    <w:rsid w:val="655829AF"/>
    <w:rsid w:val="65670581"/>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5B6338"/>
    <w:rsid w:val="66660838"/>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9D64D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DE6DAC"/>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25601"/>
    <w:rsid w:val="6A3C6480"/>
    <w:rsid w:val="6A417049"/>
    <w:rsid w:val="6A4B221F"/>
    <w:rsid w:val="6A576E16"/>
    <w:rsid w:val="6A7903E5"/>
    <w:rsid w:val="6A8219B9"/>
    <w:rsid w:val="6A822A1B"/>
    <w:rsid w:val="6A8641F2"/>
    <w:rsid w:val="6A8B6AC0"/>
    <w:rsid w:val="6A9701A5"/>
    <w:rsid w:val="6A995680"/>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25202"/>
    <w:rsid w:val="6C234DED"/>
    <w:rsid w:val="6C29198B"/>
    <w:rsid w:val="6C3A67D1"/>
    <w:rsid w:val="6C3D2157"/>
    <w:rsid w:val="6C3D2D5C"/>
    <w:rsid w:val="6C4800AA"/>
    <w:rsid w:val="6C4D28F8"/>
    <w:rsid w:val="6C573E9C"/>
    <w:rsid w:val="6C5C23DC"/>
    <w:rsid w:val="6C6770B8"/>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0B3EE8"/>
    <w:rsid w:val="6D231231"/>
    <w:rsid w:val="6D266F73"/>
    <w:rsid w:val="6D2F6F7D"/>
    <w:rsid w:val="6D480984"/>
    <w:rsid w:val="6D8079F9"/>
    <w:rsid w:val="6D8C5028"/>
    <w:rsid w:val="6D9B526C"/>
    <w:rsid w:val="6DB13E57"/>
    <w:rsid w:val="6DC245A2"/>
    <w:rsid w:val="6DC71662"/>
    <w:rsid w:val="6DCD5126"/>
    <w:rsid w:val="6DD24A05"/>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C069A"/>
    <w:rsid w:val="6ECD7F59"/>
    <w:rsid w:val="6ECF449B"/>
    <w:rsid w:val="6ED975CA"/>
    <w:rsid w:val="6EED7C80"/>
    <w:rsid w:val="6EF03395"/>
    <w:rsid w:val="6EF773A4"/>
    <w:rsid w:val="6F03756C"/>
    <w:rsid w:val="6F06705D"/>
    <w:rsid w:val="6F174DC6"/>
    <w:rsid w:val="6F1E2E65"/>
    <w:rsid w:val="6F26325B"/>
    <w:rsid w:val="6F286FD3"/>
    <w:rsid w:val="6F2F2D9E"/>
    <w:rsid w:val="6F3A05FC"/>
    <w:rsid w:val="6F4147D9"/>
    <w:rsid w:val="6F455D89"/>
    <w:rsid w:val="6F5002D8"/>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F7EED"/>
    <w:rsid w:val="7038498C"/>
    <w:rsid w:val="703F45D4"/>
    <w:rsid w:val="70637B96"/>
    <w:rsid w:val="70797317"/>
    <w:rsid w:val="707E201F"/>
    <w:rsid w:val="7099044B"/>
    <w:rsid w:val="709A06E1"/>
    <w:rsid w:val="709D518F"/>
    <w:rsid w:val="709E387E"/>
    <w:rsid w:val="70B76860"/>
    <w:rsid w:val="70BA1EAD"/>
    <w:rsid w:val="70C268FE"/>
    <w:rsid w:val="70C759D3"/>
    <w:rsid w:val="70CD7E32"/>
    <w:rsid w:val="70CF2B23"/>
    <w:rsid w:val="70CF74E9"/>
    <w:rsid w:val="70D70CB1"/>
    <w:rsid w:val="70D80585"/>
    <w:rsid w:val="70FA674D"/>
    <w:rsid w:val="710952C1"/>
    <w:rsid w:val="711F61B4"/>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F437A4"/>
    <w:rsid w:val="721919B3"/>
    <w:rsid w:val="721A6098"/>
    <w:rsid w:val="721D18D3"/>
    <w:rsid w:val="72310D1A"/>
    <w:rsid w:val="7252306F"/>
    <w:rsid w:val="725D6B54"/>
    <w:rsid w:val="7294672D"/>
    <w:rsid w:val="7295497F"/>
    <w:rsid w:val="72986FA0"/>
    <w:rsid w:val="729B7ABC"/>
    <w:rsid w:val="72A17C99"/>
    <w:rsid w:val="72A2709C"/>
    <w:rsid w:val="72A5093A"/>
    <w:rsid w:val="72AD7197"/>
    <w:rsid w:val="72AF6F7E"/>
    <w:rsid w:val="72B15531"/>
    <w:rsid w:val="72BD2C86"/>
    <w:rsid w:val="72CD226C"/>
    <w:rsid w:val="72D27981"/>
    <w:rsid w:val="73047407"/>
    <w:rsid w:val="73047904"/>
    <w:rsid w:val="731A4E85"/>
    <w:rsid w:val="73253EFA"/>
    <w:rsid w:val="73353A6C"/>
    <w:rsid w:val="733C304D"/>
    <w:rsid w:val="734C1A6A"/>
    <w:rsid w:val="73555EBD"/>
    <w:rsid w:val="735663B7"/>
    <w:rsid w:val="735C5949"/>
    <w:rsid w:val="73671287"/>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8527D2"/>
    <w:rsid w:val="74A23383"/>
    <w:rsid w:val="74AA2238"/>
    <w:rsid w:val="74AC3224"/>
    <w:rsid w:val="74B21065"/>
    <w:rsid w:val="74BB2C83"/>
    <w:rsid w:val="74C01A5C"/>
    <w:rsid w:val="74C0380A"/>
    <w:rsid w:val="74C33758"/>
    <w:rsid w:val="74C72DEA"/>
    <w:rsid w:val="74D476FB"/>
    <w:rsid w:val="74D72451"/>
    <w:rsid w:val="74DE4E5F"/>
    <w:rsid w:val="74EB54AB"/>
    <w:rsid w:val="74F0689A"/>
    <w:rsid w:val="74FF6D43"/>
    <w:rsid w:val="750201A2"/>
    <w:rsid w:val="750D2EF3"/>
    <w:rsid w:val="750E70AC"/>
    <w:rsid w:val="75137DDD"/>
    <w:rsid w:val="751A76AF"/>
    <w:rsid w:val="75241FEA"/>
    <w:rsid w:val="75250574"/>
    <w:rsid w:val="75306BE1"/>
    <w:rsid w:val="753649D0"/>
    <w:rsid w:val="754459E0"/>
    <w:rsid w:val="754B57C9"/>
    <w:rsid w:val="7550443E"/>
    <w:rsid w:val="755503F6"/>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679B7"/>
    <w:rsid w:val="76F72258"/>
    <w:rsid w:val="76FA74A7"/>
    <w:rsid w:val="77000835"/>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60C91"/>
    <w:rsid w:val="77FE3468"/>
    <w:rsid w:val="780B1240"/>
    <w:rsid w:val="78175E36"/>
    <w:rsid w:val="782347DB"/>
    <w:rsid w:val="78250553"/>
    <w:rsid w:val="783B17B1"/>
    <w:rsid w:val="783B7D77"/>
    <w:rsid w:val="784E2046"/>
    <w:rsid w:val="78546F0C"/>
    <w:rsid w:val="786778FE"/>
    <w:rsid w:val="786A543B"/>
    <w:rsid w:val="786F5A4D"/>
    <w:rsid w:val="7883527A"/>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865022"/>
    <w:rsid w:val="79983E9C"/>
    <w:rsid w:val="7999527A"/>
    <w:rsid w:val="79AF76C5"/>
    <w:rsid w:val="79C25EE1"/>
    <w:rsid w:val="79C618C2"/>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9C262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AC2D3A"/>
    <w:rsid w:val="7BB46FBD"/>
    <w:rsid w:val="7BC62E00"/>
    <w:rsid w:val="7BC73B55"/>
    <w:rsid w:val="7BCD518A"/>
    <w:rsid w:val="7BD04C7A"/>
    <w:rsid w:val="7BD502E4"/>
    <w:rsid w:val="7BE35E2A"/>
    <w:rsid w:val="7BF538C2"/>
    <w:rsid w:val="7BF66C24"/>
    <w:rsid w:val="7BFA1CC7"/>
    <w:rsid w:val="7BFB70B3"/>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5441"/>
    <w:rsid w:val="7CD2318A"/>
    <w:rsid w:val="7CD2702A"/>
    <w:rsid w:val="7CD34C42"/>
    <w:rsid w:val="7CD442F6"/>
    <w:rsid w:val="7CD46B29"/>
    <w:rsid w:val="7CD9190C"/>
    <w:rsid w:val="7CDE3FF9"/>
    <w:rsid w:val="7CE26EBF"/>
    <w:rsid w:val="7CE50319"/>
    <w:rsid w:val="7CEE3130"/>
    <w:rsid w:val="7CFC08E8"/>
    <w:rsid w:val="7CFE75C5"/>
    <w:rsid w:val="7D0448EF"/>
    <w:rsid w:val="7D0E5A5A"/>
    <w:rsid w:val="7D1E1A15"/>
    <w:rsid w:val="7D1F6674"/>
    <w:rsid w:val="7D227BCA"/>
    <w:rsid w:val="7D475E29"/>
    <w:rsid w:val="7D480B34"/>
    <w:rsid w:val="7D5E006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462FD2"/>
    <w:rsid w:val="7E682F48"/>
    <w:rsid w:val="7E6E3E85"/>
    <w:rsid w:val="7E7C7B82"/>
    <w:rsid w:val="7E8F4979"/>
    <w:rsid w:val="7E991353"/>
    <w:rsid w:val="7E9C184B"/>
    <w:rsid w:val="7EA72948"/>
    <w:rsid w:val="7EB31EDB"/>
    <w:rsid w:val="7ED61132"/>
    <w:rsid w:val="7EE70CC0"/>
    <w:rsid w:val="7EEB48DB"/>
    <w:rsid w:val="7EF27444"/>
    <w:rsid w:val="7F007624"/>
    <w:rsid w:val="7F185A04"/>
    <w:rsid w:val="7F265C58"/>
    <w:rsid w:val="7F3B240A"/>
    <w:rsid w:val="7F4C4618"/>
    <w:rsid w:val="7F4D13A6"/>
    <w:rsid w:val="7F582CF2"/>
    <w:rsid w:val="7F951B40"/>
    <w:rsid w:val="7FA501CC"/>
    <w:rsid w:val="7FA820A8"/>
    <w:rsid w:val="7FAF2DF8"/>
    <w:rsid w:val="7FB56661"/>
    <w:rsid w:val="7FB90D50"/>
    <w:rsid w:val="7FBE053E"/>
    <w:rsid w:val="7FBF10B0"/>
    <w:rsid w:val="7FD12D6F"/>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f33bbc41-02c8-40b8-94d1-dafe8caa5336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507142FB</paraID>
      <start>0</start>
      <end>2</end>
      <status>modified</status>
      <modifiedWord>5.</modifiedWord>
      <trackRevisions>false</trackRevisions>
    </reviewItem>
    <reviewItem>
      <errorID>fb9f39d1-4564-46d9-962e-efecd79b927b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3F8D40C9</paraID>
      <start>0</start>
      <end>2</end>
      <status>ignored</status>
      <modifiedWord/>
      <trackRevisions>false</trackRevisions>
    </reviewItem>
    <reviewItem>
      <errorID>9c5844f8-776d-45e6-9226-5e8a2a5ab74c</errorID>
      <errorWord>【2016】125号</errorWord>
      <group>L1_Knowledge</group>
      <groupName>知识性问题</groupName>
      <ability>L2_Knowledge</ability>
      <abilityName>其他知识</abilityName>
      <candidateList>
        <item>〔2016〕125号</item>
      </candidateList>
      <explain>发文字号格式错误。</explain>
      <paraID>3F8D40C9</paraID>
      <start>35</start>
      <end>45</end>
      <status>ignored</status>
      <modifiedWord/>
      <trackRevisions>false</trackRevisions>
    </reviewItem>
    <reviewItem>
      <errorID>b60b85f8-cc15-4d8c-a258-360bcc9aa713</errorID>
      <errorWord>做为</errorWord>
      <group>L1_Word</group>
      <groupName>字词问题</groupName>
      <ability>L2_Typo</ability>
      <abilityName>字词错误</abilityName>
      <candidateList>
        <item>作为</item>
      </candidateList>
      <explain/>
      <paraID>3F8D40C9</paraID>
      <start>247</start>
      <end>249</end>
      <status>modified</status>
      <modifiedWord>作为</modifiedWord>
      <trackRevisions>false</trackRevisions>
    </reviewItem>
    <reviewItem>
      <errorID>a3ac0176-6013-43c1-a980-820668f39c8a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ignored</status>
      <modifiedWord/>
      <trackRevisions>false</trackRevisions>
    </reviewItem>
    <reviewItem>
      <errorID>3dbbc5cc-2002-459a-a4ab-e1b224032c0e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3A22D49D</paraID>
      <start>0</start>
      <end>2</end>
      <status>ignored</status>
      <modifiedWord/>
      <trackRevisions>false</trackRevisions>
    </reviewItem>
    <reviewItem>
      <errorID>3938a12a-72f7-4d72-b91a-149da52d49b2</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 8BDA343</paraID>
      <start>152</start>
      <end>162</end>
      <status>ignored</status>
      <modifiedWord/>
      <trackRevisions>false</trackRevisions>
    </reviewItem>
    <reviewItem>
      <errorID>ebdd092e-7fd8-4bd8-834e-fae04403f8e1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ignored</status>
      <modifiedWord/>
      <trackRevisions>false</trackRevisions>
    </reviewItem>
    <reviewItem>
      <errorID>e3b68b65-6d2c-450c-9df3-954397df685e</errorID>
      <errorWord>：</errorWord>
      <group>L1_Format</group>
      <groupName>格式问题</groupName>
      <ability>L2_HalfPunc_CN</ability>
      <abilityName>全半角问题</abilityName>
      <candidateList>
        <item>:</item>
      </candidateList>
      <explain>文本全半角错误。</explain>
      <paraID>638A410B</paraID>
      <start>46</start>
      <end>47</end>
      <status>ignored</status>
      <modifiedWord/>
      <trackRevisions>false</trackRevisions>
    </reviewItem>
    <reviewItem>
      <errorID>ff6a5605-4d2c-44e8-869b-a4e0c16c0c42</errorID>
      <errorWord>-</errorWord>
      <group>L1_Format</group>
      <groupName>格式问题</groupName>
      <ability>L2_HalfPunc_CN</ability>
      <abilityName>全半角问题</abilityName>
      <candidateList>
        <item>－</item>
      </candidateList>
      <explain>文本全半角错误。</explain>
      <paraID>638A410B</paraID>
      <start>49</start>
      <end>50</end>
      <status>ignored</status>
      <modifiedWord/>
      <trackRevisions>false</trackRevisions>
    </reviewItem>
    <reviewItem>
      <errorID>dcf201bc-456f-489f-8ae9-f4455ba4d5b7</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ignored</status>
      <modifiedWord/>
      <trackRevisions>false</trackRevisions>
    </reviewItem>
    <reviewItem>
      <errorID>532cd750-0910-4714-9dc9-5a30cdfc9d60</errorID>
      <errorWord>,</errorWord>
      <group>L1_Format</group>
      <groupName>格式问题</groupName>
      <ability>L2_HalfPunc_CN</ability>
      <abilityName>全半角问题</abilityName>
      <candidateList>
        <item>，</item>
      </candidateList>
      <explain>文本全半角错误。</explain>
      <paraID>381837FA</paraID>
      <start>145</start>
      <end>146</end>
      <status>ignored</status>
      <modifiedWord/>
      <trackRevisions>false</trackRevisions>
    </reviewItem>
    <reviewItem>
      <errorID>7d1fa505-86d0-4728-afe2-7cc45d333e87</errorID>
      <errorWord>网络联接</errorWord>
      <group>L1_Word</group>
      <groupName>字词问题</groupName>
      <ability>L2_Typo</ability>
      <abilityName>字词错误</abilityName>
      <candidateList>
        <item>网络连接</item>
      </candidateList>
      <explain>存在发音相同字词的误用。</explain>
      <paraID> 2E1E8A4</paraID>
      <start>30</start>
      <end>34</end>
      <status>modified</status>
      <modifiedWord>网络连接</modifiedWord>
      <trackRevisions>false</trackRevisions>
    </reviewItem>
    <reviewItem>
      <errorID>d819a54e-13c8-4572-8e8f-6b010f67db29</errorID>
      <errorWord>,</errorWord>
      <group>L1_Format</group>
      <groupName>格式问题</groupName>
      <ability>L2_HalfPunc_CN</ability>
      <abilityName>全半角问题</abilityName>
      <candidateList>
        <item>，</item>
      </candidateList>
      <explain>文本全半角错误。</explain>
      <paraID> 2E1E8A4</paraID>
      <start>40</start>
      <end>41</end>
      <status>ignored</status>
      <modifiedWord/>
      <trackRevisions>false</trackRevisions>
    </reviewItem>
    <reviewItem>
      <errorID>1aac3280-8ab6-461e-9be3-df3977251952</errorID>
      <errorWord>制定计划</errorWord>
      <group>L1_Knowledge</group>
      <groupName>知识性问题</groupName>
      <ability>L2_Knowledge</ability>
      <abilityName>其他知识</abilityName>
      <candidateList>
        <item>制订计划</item>
      </candidateList>
      <explain/>
      <paraID>543FE947</paraID>
      <start>41</start>
      <end>45</end>
      <status>modified</status>
      <modifiedWord>制订计划</modifiedWord>
      <trackRevisions>false</trackRevisions>
    </reviewItem>
    <reviewItem>
      <errorID>3cf32b8a-86a7-4cc3-ab45-347f8c0561ab</errorID>
      <errorWord>的图象</errorWord>
      <group>L1_Word</group>
      <groupName>字词问题</groupName>
      <ability>L2_Variant</ability>
      <abilityName>异形词</abilityName>
      <candidateList>
        <item>的图像</item>
      </candidateList>
      <explain>词汇[的图象]的规范词形写作[的图像]。</explain>
      <paraID>543FE947</paraID>
      <start>73</start>
      <end>76</end>
      <status>modified</status>
      <modifiedWord>的图像</modifiedWord>
      <trackRevisions>false</trackRevisions>
    </reviewItem>
    <reviewItem>
      <errorID>33017068-997f-4d01-acef-104709f2b15d</errorID>
      <errorWord>失状面</errorWord>
      <group>L1_Word</group>
      <groupName>字词问题</groupName>
      <ability>L2_Typo</ability>
      <abilityName>字词错误</abilityName>
      <candidateList>
        <item>矢状面</item>
      </candidateList>
      <explain/>
      <paraID>225A7E51</paraID>
      <start>28</start>
      <end>31</end>
      <status>modified</status>
      <modifiedWord>矢状面</modifiedWord>
      <trackRevisions>false</trackRevisions>
    </reviewItem>
    <reviewItem>
      <errorID>39eb6a08-b14d-4781-b2d8-257f99765eca</errorID>
      <errorWord>模版</errorWord>
      <group>L1_Word</group>
      <groupName>字词问题</groupName>
      <ability>L2_Typo</ability>
      <abilityName>字词错误</abilityName>
      <candidateList>
        <item>模板</item>
      </candidateList>
      <explain>存在发音相同字词的误用。</explain>
      <paraID>6D1E72F5</paraID>
      <start>27</start>
      <end>29</end>
      <status>modified</status>
      <modifiedWord>模板</modifiedWord>
      <trackRevisions>false</trackRevisions>
    </reviewItem>
    <reviewItem>
      <errorID>3ffb7a8b-7c7d-499b-bcf1-7a582af9638f</errorID>
      <errorWord>模版</errorWord>
      <group>L1_Word</group>
      <groupName>字词问题</groupName>
      <ability>L2_Typo</ability>
      <abilityName>字词错误</abilityName>
      <candidateList>
        <item>模板</item>
      </candidateList>
      <explain>存在发音相同字词的误用。</explain>
      <paraID>3103D343</paraID>
      <start>8</start>
      <end>10</end>
      <status>modified</status>
      <modifiedWord>模板</modifiedWord>
      <trackRevisions>false</trackRevisions>
    </reviewItem>
    <reviewItem>
      <errorID>5fae804e-6ee2-4be9-80b3-1c9c201d0bc0</errorID>
      <errorWord>数据的提取</errorWord>
      <group>L1_Grammar</group>
      <groupName>语法问题</groupName>
      <ability>L2_Order</ability>
      <abilityName>语序不当</abilityName>
      <candidateList>
        <item>提取数据的</item>
      </candidateList>
      <explain>句子可能没有遵循时空、逻辑顺序，或者介词、关联词等位置不当。</explain>
      <paraID>3103D343</paraID>
      <start>16</start>
      <end>21</end>
      <status>ignored</status>
      <modifiedWord/>
      <trackRevisions>false</trackRevisions>
    </reviewItem>
    <reviewItem>
      <errorID>a328bec1-d67b-4bd5-a22f-c916a9122279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358897D2</paraID>
      <start>0</start>
      <end>2</end>
      <status>ignored</status>
      <modifiedWord/>
      <trackRevisions>false</trackRevisions>
    </reviewItem>
    <reviewItem>
      <errorID>ea62fc9a-737f-4b97-80f5-6539f40a40b7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5E73EDE3</paraID>
      <start>0</start>
      <end>2</end>
      <status>ignored</status>
      <modifiedWord/>
      <trackRevisions>false</trackRevisions>
    </reviewItem>
    <reviewItem>
      <errorID>b5569f8d-65a3-404e-ad11-97e11dbb2bda</errorID>
      <errorWord>中、术前</errorWord>
      <group>L1_Grammar</group>
      <groupName>语法问题</groupName>
      <ability>L2_Order</ability>
      <abilityName>语序不当</abilityName>
      <candidateList>
        <item>前、术中</item>
      </candidateList>
      <explain>句子可能没有遵循时空、逻辑顺序，或者介词、关联词等位置不当。</explain>
      <paraID>4F5A0EDD</paraID>
      <start>9</start>
      <end>13</end>
      <status>ignored</status>
      <modifiedWord/>
      <trackRevisions>false</trackRevisions>
    </reviewItem>
    <reviewItem>
      <errorID>d1bd489d-d6d5-4dcd-a0ac-fcbaed1f35a1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16328332</paraID>
      <start>0</start>
      <end>2</end>
      <status>ignored</status>
      <modifiedWord/>
      <trackRevisions>false</trackRevisions>
    </reviewItem>
    <reviewItem>
      <errorID>4deaa805-fd6f-4414-bf03-878d741a7add</errorID>
      <errorWord>,</errorWord>
      <group>L1_Format</group>
      <groupName>格式问题</groupName>
      <ability>L2_HalfPunc_CN</ability>
      <abilityName>全半角问题</abilityName>
      <candidateList>
        <item>，</item>
      </candidateList>
      <explain>文本全半角错误。</explain>
      <paraID>34E48BF2</paraID>
      <start>15</start>
      <end>16</end>
      <status>unmodified</status>
      <modifiedWord/>
      <trackRevisions>false</trackRevisions>
    </reviewItem>
    <reviewItem>
      <errorID>d35b9651-8ead-4c8f-a819-4658cf6b6b57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A6D83E0</paraID>
      <start>0</start>
      <end>2</end>
      <status>ignored</status>
      <modifiedWord/>
      <trackRevisions>false</trackRevisions>
    </reviewItem>
    <reviewItem>
      <errorID>e59923b5-3660-4076-a76f-0982d0555263</errorID>
      <errorWord>:</errorWord>
      <group>L1_Format</group>
      <groupName>格式问题</groupName>
      <ability>L2_HalfPunc_CN</ability>
      <abilityName>全半角问题</abilityName>
      <candidateList>
        <item>：</item>
      </candidateList>
      <explain>文本全半角错误。</explain>
      <paraID>1C441D95</paraID>
      <start>17</start>
      <end>18</end>
      <status>unmodified</status>
      <modifiedWord/>
      <trackRevisions>false</trackRevisions>
    </reviewItem>
    <reviewItem>
      <errorID>d7af8a82-b188-430d-9bc4-29dcf4a24ef8</errorID>
      <errorWord>*</errorWord>
      <group>L1_Punc</group>
      <groupName>标点问题</groupName>
      <ability>L2_Punc_CN</ability>
      <abilityName>标点符号问题</abilityName>
      <candidateList/>
      <explain/>
      <paraID>761751CD</paraID>
      <start>0</start>
      <end>1</end>
      <status>ignored</status>
      <modifiedWord/>
      <trackRevisions>false</trackRevisions>
    </reviewItem>
    <reviewItem>
      <errorID>96cec534-77de-4df6-8860-980a3c4cec17</errorID>
      <errorWord>:</errorWord>
      <group>L1_Format</group>
      <groupName>格式问题</groupName>
      <ability>L2_HalfPunc_CN</ability>
      <abilityName>全半角问题</abilityName>
      <candidateList>
        <item>：</item>
      </candidateList>
      <explain>文本全半角错误。</explain>
      <paraID>761751CD</paraID>
      <start>18</start>
      <end>19</end>
      <status>modified</status>
      <modifiedWord>：</modifiedWord>
      <trackRevisions>false</trackRevisions>
    </reviewItem>
    <reviewItem>
      <errorID>7286f308-5b76-43ee-9882-a6c6ef31c62e</errorID>
      <errorWord>*</errorWord>
      <group>L1_Punc</group>
      <groupName>标点问题</groupName>
      <ability>L2_Punc_CN</ability>
      <abilityName>标点符号问题</abilityName>
      <candidateList/>
      <explain/>
      <paraID>7B222273</paraID>
      <start>0</start>
      <end>1</end>
      <status>ignored</status>
      <modifiedWord/>
      <trackRevisions>false</trackRevisions>
    </reviewItem>
    <reviewItem>
      <errorID>9766f301-0837-4142-96ea-6092c89f4445</errorID>
      <errorWord>:</errorWord>
      <group>L1_Format</group>
      <groupName>格式问题</groupName>
      <ability>L2_HalfPunc_CN</ability>
      <abilityName>全半角问题</abilityName>
      <candidateList>
        <item>：</item>
      </candidateList>
      <explain>文本全半角错误。</explain>
      <paraID>7B222273</paraID>
      <start>44</start>
      <end>45</end>
      <status>modified</status>
      <modifiedWord>：</modifiedWord>
      <trackRevisions>false</trackRevisions>
    </reviewItem>
    <reviewItem>
      <errorID>d2af8a08-3a38-450b-8b58-56b826a848f0</errorID>
      <errorWord>的</errorWord>
      <group>L1_Word</group>
      <groupName>字词问题</groupName>
      <ability>L2_DDD</ability>
      <abilityName>的地得用法</abilityName>
      <candidateList>
        <item>地</item>
      </candidateList>
      <explain/>
      <paraID>7B222273</paraID>
      <start>83</start>
      <end>84</end>
      <status>modified</status>
      <modifiedWord>地</modifiedWord>
      <trackRevisions>false</trackRevisions>
    </reviewItem>
    <reviewItem>
      <errorID>8311c3da-fa76-4e58-a657-a0f79ef5e81b</errorID>
      <errorWord>*</errorWord>
      <group>L1_Punc</group>
      <groupName>标点问题</groupName>
      <ability>L2_Punc_CN</ability>
      <abilityName>标点符号问题</abilityName>
      <candidateList/>
      <explain/>
      <paraID>28A845D0</paraID>
      <start>0</start>
      <end>1</end>
      <status>ignored</status>
      <modifiedWord/>
      <trackRevisions>false</trackRevisions>
    </reviewItem>
    <reviewItem>
      <errorID>8f6e2169-e680-47af-9b49-e0579f29ab94</errorID>
      <errorWord>"</errorWord>
      <group>L1_Format</group>
      <groupName>格式问题</groupName>
      <ability>L2_HalfPunc_CN</ability>
      <abilityName>全半角问题</abilityName>
      <candidateList>
        <item>”</item>
      </candidateList>
      <explain>文本全半角错误。</explain>
      <paraID>7D4EBBB3</paraID>
      <start>10</start>
      <end>11</end>
      <status>ignored</status>
      <modifiedWord/>
      <trackRevisions>false</trackRevisions>
    </reviewItem>
    <reviewItem>
      <errorID>a1f33866-16fb-4dcf-b6d5-3c9aad67a21a</errorID>
      <errorWord>:</errorWord>
      <group>L1_Format</group>
      <groupName>格式问题</groupName>
      <ability>L2_HalfPunc_CN</ability>
      <abilityName>全半角问题</abilityName>
      <candidateList>
        <item>：</item>
      </candidateList>
      <explain>文本全半角错误。</explain>
      <paraID>7281966C</paraID>
      <start>40</start>
      <end>41</end>
      <status>modified</status>
      <modifiedWord>：</modifiedWord>
      <trackRevisions>false</trackRevisions>
    </reviewItem>
    <reviewItem>
      <errorID>680f6dd3-ae10-4e00-8570-167a0297e1f8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20E6B0C9</paraID>
      <start>48</start>
      <end>49</end>
      <status>unmodified</status>
      <modifiedWord/>
      <trackRevisions>false</trackRevisions>
    </reviewItem>
    <reviewItem>
      <errorID>8fb9b684-d3bd-405c-8d5f-dcaa150c97d2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1901BC67</paraID>
      <start>0</start>
      <end>2</end>
      <status>unmodified</status>
      <modifiedWord/>
      <trackRevisions>false</trackRevisions>
    </reviewItem>
    <reviewItem>
      <errorID>be714cd8-b478-4763-aad2-bb2daa27a6bf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56762FD6</paraID>
      <start>0</start>
      <end>2</end>
      <status>unmodified</status>
      <modifiedWord/>
      <trackRevisions>false</trackRevisions>
    </reviewItem>
    <reviewItem>
      <errorID>2b927f9a-c05b-42e9-9bc2-a1f43fb3219d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4D5A0AD</paraID>
      <start>0</start>
      <end>2</end>
      <status>unmodified</status>
      <modifiedWord/>
      <trackRevisions>false</trackRevisions>
    </reviewItem>
    <reviewItem>
      <errorID>b70849d5-1e90-4849-a240-ecd8efebe265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4DA22248</paraID>
      <start>0</start>
      <end>2</end>
      <status>unmodified</status>
      <modifiedWord/>
      <trackRevisions>false</trackRevisions>
    </reviewItem>
    <reviewItem>
      <errorID>6b66add0-dfa2-482d-8744-51536a0d25b0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401FC41F</paraID>
      <start>0</start>
      <end>2</end>
      <status>unmodified</status>
      <modifiedWord/>
      <trackRevisions>false</trackRevisions>
    </reviewItem>
    <reviewItem>
      <errorID>4fd4a7dd-0fe7-4a88-ad05-d39cabb0a1ef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2B8A74AE</paraID>
      <start>0</start>
      <end>2</end>
      <status>unmodified</status>
      <modifiedWord/>
      <trackRevisions>false</trackRevisions>
    </reviewItem>
    <reviewItem>
      <errorID>a4d163ac-5afb-4073-ade0-4280ae45b7b0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5C70B08A</paraID>
      <start>0</start>
      <end>2</end>
      <status>unmodified</status>
      <modifiedWord/>
      <trackRevisions>false</trackRevisions>
    </reviewItem>
    <reviewItem>
      <errorID>722e771e-ddb2-4028-ace0-2ba99a60f198</errorID>
      <errorWord>应当应</errorWord>
      <group>L1_Word</group>
      <groupName>字词问题</groupName>
      <ability>L2_Typo</ability>
      <abilityName>字词错误</abilityName>
      <candidateList>
        <item>应当</item>
      </candidateList>
      <explain/>
      <paraID>206A227F</paraID>
      <start>84</start>
      <end>86</end>
      <status>modified</status>
      <modifiedWord>应当</modifiedWord>
      <trackRevisions>false</trackRevisions>
    </reviewItem>
    <reviewItem>
      <errorID>8b34ffcd-9461-4b83-82f8-86c2ff070478</errorID>
      <errorWord>,</errorWord>
      <group>L1_Format</group>
      <groupName>格式问题</groupName>
      <ability>L2_HalfPunc_CN</ability>
      <abilityName>全半角问题</abilityName>
      <candidateList>
        <item>，</item>
      </candidateList>
      <explain>文本全半角错误。</explain>
      <paraID>206A227F</paraID>
      <start>102</start>
      <end>103</end>
      <status>ignored</status>
      <modifiedWord/>
      <trackRevisions>false</trackRevisions>
    </reviewItem>
    <reviewItem>
      <errorID>b6e75779-17b3-43b6-9280-9ae3571887b7</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206A227F</paraID>
      <start>272</start>
      <end>284</end>
      <status>ignored</status>
      <modifiedWord/>
      <trackRevisions>false</trackRevisions>
    </reviewItem>
    <reviewItem>
      <errorID>9f7cfc98-09fa-41f8-b181-f2bf6e3f24bf</errorID>
      <errorWord>,</errorWord>
      <group>L1_Format</group>
      <groupName>格式问题</groupName>
      <ability>L2_HalfPunc_CN</ability>
      <abilityName>全半角问题</abilityName>
      <candidateList>
        <item>，</item>
      </candidateList>
      <explain>文本全半角错误。</explain>
      <paraID>204B6284</paraID>
      <start>104</start>
      <end>105</end>
      <status>ignored</status>
      <modifiedWord/>
      <trackRevisions>false</trackRevisions>
    </reviewItem>
    <reviewItem>
      <errorID>af614c2b-b454-4005-a0b9-d9652357ece3</errorID>
      <errorWord>具有有</errorWord>
      <group>L1_Word</group>
      <groupName>字词问题</groupName>
      <ability>L2_Typo</ability>
      <abilityName>字词错误</abilityName>
      <candidateList>
        <item>具有</item>
      </candidateList>
      <explain/>
      <paraID>7E6169D9</paraID>
      <start>177</start>
      <end>179</end>
      <status>modified</status>
      <modifiedWord>具有</modifiedWord>
      <trackRevisions>false</trackRevisions>
    </reviewItem>
    <reviewItem>
      <errorID>0807b8c1-40fc-4ef9-b9b4-e67f1ebe5a48</errorID>
      <errorWord>:</errorWord>
      <group>L1_Format</group>
      <groupName>格式问题</groupName>
      <ability>L2_HalfPunc_CN</ability>
      <abilityName>全半角问题</abilityName>
      <candidateList>
        <item>：</item>
      </candidateList>
      <explain>文本全半角错误。</explain>
      <paraID>7F12ABCE</paraID>
      <start>16</start>
      <end>17</end>
      <status>modified</status>
      <modifiedWord>：</modifiedWord>
      <trackRevisions>false</trackRevisions>
    </reviewItem>
    <reviewItem>
      <errorID>663af58b-40f0-4683-8d83-8c604cd29c85</errorID>
      <errorWord>[2002]1980号</errorWord>
      <group>L1_Knowledge</group>
      <groupName>知识性问题</groupName>
      <ability>L2_Knowledge</ability>
      <abilityName>其他知识</abilityName>
      <candidateList>
        <item>〔2002〕1980号</item>
      </candidateList>
      <explain>发文字号格式错误。</explain>
      <paraID>2834DD74</paraID>
      <start>50</start>
      <end>61</end>
      <status>ignored</status>
      <modifiedWord/>
      <trackRevisions>false</trackRevisions>
    </reviewItem>
    <reviewItem>
      <errorID>f4a01066-e8a2-4d55-b245-91b0d761bbd2</errorID>
      <errorWord>,</errorWord>
      <group>L1_Format</group>
      <groupName>格式问题</groupName>
      <ability>L2_HalfPunc_CN</ability>
      <abilityName>全半角问题</abilityName>
      <candidateList>
        <item>，</item>
      </candidateList>
      <explain>文本全半角错误。</explain>
      <paraID>4F0B1EE1</paraID>
      <start>42</start>
      <end>43</end>
      <status>ignored</status>
      <modifiedWord/>
      <trackRevisions>false</trackRevisions>
    </reviewItem>
    <reviewItem>
      <errorID>34304726-100e-46f2-823b-919a492dbf62</errorID>
      <errorWord>【2016】125号</errorWord>
      <group>L1_Knowledge</group>
      <groupName>知识性问题</groupName>
      <ability>L2_Knowledge</ability>
      <abilityName>其他知识</abilityName>
      <candidateList>
        <item>〔2016〕125号</item>
      </candidateList>
      <explain>发文字号格式错误。</explain>
      <paraID>18593BC4</paraID>
      <start>36</start>
      <end>46</end>
      <status>ignored</status>
      <modifiedWord/>
      <trackRevisions>false</trackRevisions>
    </reviewItem>
    <reviewItem>
      <errorID>422ead25-cc16-4f64-adad-eadb78fd0cda</errorID>
      <errorWord>做为</errorWord>
      <group>L1_Word</group>
      <groupName>字词问题</groupName>
      <ability>L2_Typo</ability>
      <abilityName>字词错误</abilityName>
      <candidateList>
        <item>作为</item>
      </candidateList>
      <explain/>
      <paraID>18593BC4</paraID>
      <start>248</start>
      <end>250</end>
      <status>modified</status>
      <modifiedWord>作为</modifiedWord>
      <trackRevisions>false</trackRevisions>
    </reviewItem>
    <reviewItem>
      <errorID>6a5135c3-6594-4958-acfe-46a1a1a3b952</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2921A74C</paraID>
      <start>154</start>
      <end>164</end>
      <status>ignored</status>
      <modifiedWord/>
      <trackRevisions>false</trackRevisions>
    </reviewItem>
    <reviewItem>
      <errorID>977a6d46-4bc9-4d8a-a556-687c588e86c3</errorID>
      <errorWord>,</errorWord>
      <group>L1_Format</group>
      <groupName>格式问题</groupName>
      <ability>L2_HalfPunc_CN</ability>
      <abilityName>全半角问题</abilityName>
      <candidateList>
        <item>，</item>
      </candidateList>
      <explain>文本全半角错误。</explain>
      <paraID>511BE383</paraID>
      <start>15</start>
      <end>16</end>
      <status>ignored</status>
      <modifiedWord/>
      <trackRevisions>false</trackRevisions>
    </reviewItem>
    <reviewItem>
      <errorID>2eb82be5-9063-4119-a50e-9199d93dcc9f</errorID>
      <errorWord>,</errorWord>
      <group>L1_Format</group>
      <groupName>格式问题</groupName>
      <ability>L2_HalfPunc_CN</ability>
      <abilityName>全半角问题</abilityName>
      <candidateList>
        <item>，</item>
      </candidateList>
      <explain>文本全半角错误。</explain>
      <paraID>43287587</paraID>
      <start>9</start>
      <end>10</end>
      <status>ignored</status>
      <modifiedWord/>
      <trackRevisions>false</trackRevisions>
    </reviewItem>
    <reviewItem>
      <errorID>b313710e-731f-4913-aec9-237389d71ff4</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4AA06270</paraID>
      <start>4</start>
      <end>16</end>
      <status>modified</status>
      <modifiedWord>中华人民共和国政府采购法</modifiedWord>
      <trackRevisions>false</trackRevisions>
    </reviewItem>
    <reviewItem>
      <errorID>b98c5536-4f01-4a5e-b5ae-422098751bd8</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4AA06270</paraID>
      <start>56</start>
      <end>68</end>
      <status>modified</status>
      <modifiedWord>中华人民共和国政府采购法</modifiedWord>
      <trackRevisions>false</trackRevisions>
    </reviewItem>
    <reviewItem>
      <errorID>7689be7d-64e5-4b65-819c-488b9c887819</errorID>
      <errorWord>&lt;</errorWord>
      <group>L1_Format</group>
      <groupName>格式问题</groupName>
      <ability>L2_HalfPunc_CN</ability>
      <abilityName>全半角问题</abilityName>
      <candidateList>
        <item>〈</item>
      </candidateList>
      <explain>文本全半角错误。</explain>
      <paraID>4AA06270</paraID>
      <start>142</start>
      <end>143</end>
      <status>ignored</status>
      <modifiedWord/>
      <trackRevisions>false</trackRevisions>
    </reviewItem>
    <reviewItem>
      <errorID>896fd33f-21e6-4fe6-b425-17bd814bdba1</errorID>
      <errorWord>&gt;</errorWord>
      <group>L1_Format</group>
      <groupName>格式问题</groupName>
      <ability>L2_HalfPunc_CN</ability>
      <abilityName>全半角问题</abilityName>
      <candidateList>
        <item>〉</item>
      </candidateList>
      <explain>文本全半角错误。</explain>
      <paraID>4AA06270</paraID>
      <start>159</start>
      <end>160</end>
      <status>ignored</status>
      <modifiedWord/>
      <trackRevisions>false</trackRevisions>
    </reviewItem>
    <reviewItem>
      <errorID>ef10f40a-5f38-4244-9e8e-67d4f1af2891</errorID>
      <errorWord>,</errorWord>
      <group>L1_Format</group>
      <groupName>格式问题</groupName>
      <ability>L2_HalfPunc_CN</ability>
      <abilityName>全半角问题</abilityName>
      <candidateList>
        <item>，</item>
      </candidateList>
      <explain>文本全半角错误。</explain>
      <paraID>2827C549</paraID>
      <start>28</start>
      <end>29</end>
      <status>ignored</status>
      <modifiedWord/>
      <trackRevisions>false</trackRevisions>
    </reviewItem>
    <reviewItem>
      <errorID>dc588f66-9676-49ad-8225-639e29d70dc6</errorID>
      <errorWord>,</errorWord>
      <group>L1_Format</group>
      <groupName>格式问题</groupName>
      <ability>L2_HalfPunc_CN</ability>
      <abilityName>全半角问题</abilityName>
      <candidateList>
        <item>，</item>
      </candidateList>
      <explain>文本全半角错误。</explain>
      <paraID> C544B71</paraID>
      <start>132</start>
      <end>133</end>
      <status>ignored</status>
      <modifiedWord/>
      <trackRevisions>false</trackRevisions>
    </reviewItem>
    <reviewItem>
      <errorID>29c9f869-9d42-479d-9199-81a068f0acd5</errorID>
      <errorWord>,</errorWord>
      <group>L1_Format</group>
      <groupName>格式问题</groupName>
      <ability>L2_HalfPunc_CN</ability>
      <abilityName>全半角问题</abilityName>
      <candidateList>
        <item>，</item>
      </candidateList>
      <explain>文本全半角错误。</explain>
      <paraID> C544B71</paraID>
      <start>176</start>
      <end>177</end>
      <status>ignored</status>
      <modifiedWord/>
      <trackRevisions>false</trackRevisions>
    </reviewItem>
    <reviewItem>
      <errorID>bbe1cd2f-3633-4683-b5e6-90519e7451f3</errorID>
      <errorWord>间</errorWord>
      <group>L1_Word</group>
      <groupName>字词问题</groupName>
      <ability>L2_Typo</ability>
      <abilityName>字词错误</abilityName>
      <candidateList>
        <item>间之</item>
      </candidateList>
      <explain/>
      <paraID>719856B9</paraID>
      <start>14</start>
      <end>16</end>
      <status>modified</status>
      <modifiedWord>间之</modifiedWord>
      <trackRevisions>false</trackRevisions>
    </reviewItem>
    <reviewItem>
      <errorID>c726521a-4b09-494c-b850-88e9df437fb0</errorID>
      <errorWord>原则做出结论</errorWord>
      <group>L1_Word</group>
      <groupName>字词问题</groupName>
      <ability>L2_Typo</ability>
      <abilityName>字词错误</abilityName>
      <candidateList>
        <item>原则作出结论</item>
      </candidateList>
      <explain/>
      <paraID>784A1239</paraID>
      <start>62</start>
      <end>68</end>
      <status>ignored</status>
      <modifiedWord/>
      <trackRevisions>false</trackRevisions>
    </reviewItem>
    <reviewItem>
      <errorID>d1de8ab4-e719-4c13-8c8e-51dee3c202e9</errorID>
      <errorWord>,</errorWord>
      <group>L1_Format</group>
      <groupName>格式问题</groupName>
      <ability>L2_HalfPunc_CN</ability>
      <abilityName>全半角问题</abilityName>
      <candidateList>
        <item>，</item>
      </candidateList>
      <explain>文本全半角错误。</explain>
      <paraID>4024825A</paraID>
      <start>57</start>
      <end>58</end>
      <status>ignored</status>
      <modifiedWord/>
      <trackRevisions>false</trackRevisions>
    </reviewItem>
    <reviewItem>
      <errorID>88faa063-97e9-4b2b-bb0a-a7355b95fd8b</errorID>
      <errorWord>,</errorWord>
      <group>L1_Format</group>
      <groupName>格式问题</groupName>
      <ability>L2_HalfPunc_CN</ability>
      <abilityName>全半角问题</abilityName>
      <candidateList>
        <item>，</item>
      </candidateList>
      <explain>文本全半角错误。</explain>
      <paraID>4024825A</paraID>
      <start>110</start>
      <end>111</end>
      <status>ignored</status>
      <modifiedWord/>
      <trackRevisions>false</trackRevisions>
    </reviewItem>
    <reviewItem>
      <errorID>0c3ce620-a0dc-4c5e-bdbc-267b2ab8124b</errorID>
      <errorWord>,</errorWord>
      <group>L1_Format</group>
      <groupName>格式问题</groupName>
      <ability>L2_HalfPunc_CN</ability>
      <abilityName>全半角问题</abilityName>
      <candidateList>
        <item>，</item>
      </candidateList>
      <explain>文本全半角错误。</explain>
      <paraID>26B5CC76</paraID>
      <start>61</start>
      <end>62</end>
      <status>ignored</status>
      <modifiedWord/>
      <trackRevisions>false</trackRevisions>
    </reviewItem>
    <reviewItem>
      <errorID>a66dc36e-eb6c-4363-8c94-2af44a5d573c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5807D4BC</paraID>
      <start>0</start>
      <end>2</end>
      <status>ignored</status>
      <modifiedWord/>
      <trackRevisions>false</trackRevisions>
    </reviewItem>
    <reviewItem>
      <errorID>e1b07eee-2e3d-4b44-9d12-bb091ebb1af6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3CDF010F</paraID>
      <start>0</start>
      <end>2</end>
      <status>ignored</status>
      <modifiedWord/>
      <trackRevisions>false</trackRevisions>
    </reviewItem>
    <reviewItem>
      <errorID>59a26774-d579-4119-be52-058079ecd6c8</errorID>
      <errorWord>做</errorWord>
      <group>L1_Word</group>
      <groupName>字词问题</groupName>
      <ability>L2_Typo</ability>
      <abilityName>字词错误</abilityName>
      <candidateList>
        <item>作</item>
      </candidateList>
      <explain/>
      <paraID>4B6A7976</paraID>
      <start>92</start>
      <end>93</end>
      <status>modified</status>
      <modifiedWord>作</modifiedWord>
      <trackRevisions>false</trackRevisions>
    </reviewItem>
    <reviewItem>
      <errorID>36ac389d-a0e5-4bc6-81a4-6e922549ccda</errorID>
      <errorWord>,</errorWord>
      <group>L1_Format</group>
      <groupName>格式问题</groupName>
      <ability>L2_HalfPunc_CN</ability>
      <abilityName>全半角问题</abilityName>
      <candidateList>
        <item>，</item>
      </candidateList>
      <explain>文本全半角错误。</explain>
      <paraID>5FC21447</paraID>
      <start>23</start>
      <end>24</end>
      <status>ignored</status>
      <modifiedWord/>
      <trackRevisions>false</trackRevisions>
    </reviewItem>
    <reviewItem>
      <errorID>a9a2a3d0-8d10-4968-9351-5a33488a4d9c</errorID>
      <errorWord>:</errorWord>
      <group>L1_Format</group>
      <groupName>格式问题</groupName>
      <ability>L2_HalfPunc_CN</ability>
      <abilityName>全半角问题</abilityName>
      <candidateList>
        <item>：</item>
      </candidateList>
      <explain>文本全半角错误。</explain>
      <paraID>719699C1</paraID>
      <start>62</start>
      <end>63</end>
      <status>modified</status>
      <modifiedWord>：</modifiedWord>
      <trackRevisions>false</trackRevisions>
    </reviewItem>
    <reviewItem>
      <errorID>4271d460-4733-4862-8492-956f6dcb3824</errorID>
      <errorWord>我方我方</errorWord>
      <group>L1_Word</group>
      <groupName>字词问题</groupName>
      <ability>L2_Typo</ability>
      <abilityName>字词错误</abilityName>
      <candidateList>
        <item>我方</item>
      </candidateList>
      <explain/>
      <paraID>77530AF8</paraID>
      <start>2</start>
      <end>4</end>
      <status>modified</status>
      <modifiedWord>我方</modifiedWord>
      <trackRevisions>false</trackRevisions>
    </reviewItem>
    <reviewItem>
      <errorID>94bd8953-f598-4f4a-99f3-c09b28933dcc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ignored</status>
      <modifiedWord/>
      <trackRevisions>false</trackRevisions>
    </reviewItem>
    <reviewItem>
      <errorID>ef39bfc8-c145-4c61-9c1b-a6ec0f8a900b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ignored</status>
      <modifiedWord/>
      <trackRevisions>false</trackRevisions>
    </reviewItem>
    <reviewItem>
      <errorID>b3aa5819-a612-4179-94c3-45a2a83a0f72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ignored</status>
      <modifiedWord/>
      <trackRevisions>false</trackRevisions>
    </reviewItem>
    <reviewItem>
      <errorID>1afaaa2a-2c83-4091-b7ba-5a26e4eb38a6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ignored</status>
      <modifiedWord/>
      <trackRevisions>false</trackRevisions>
    </reviewItem>
    <reviewItem>
      <errorID>8ece3eae-4e0c-4e76-b040-2999acceaedb</errorID>
      <errorWord>:</errorWord>
      <group>L1_Format</group>
      <groupName>格式问题</groupName>
      <ability>L2_HalfPunc_CN</ability>
      <abilityName>全半角问题</abilityName>
      <candidateList>
        <item>：</item>
      </candidateList>
      <explain>文本全半角错误。</explain>
      <paraID>6A023997</paraID>
      <start>2</start>
      <end>3</end>
      <status>modified</status>
      <modifiedWord>：</modifiedWord>
      <trackRevisions>false</trackRevisions>
    </reviewItem>
    <reviewItem>
      <errorID>6810e9b7-dd0e-43c5-b920-f35f548bc1ab</errorID>
      <errorWord>:</errorWord>
      <group>L1_Format</group>
      <groupName>格式问题</groupName>
      <ability>L2_HalfPunc_CN</ability>
      <abilityName>全半角问题</abilityName>
      <candidateList>
        <item>：</item>
      </candidateList>
      <explain>文本全半角错误。</explain>
      <paraID>5A6344A3</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136290-4332-42a8-8a3b-521a8499975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17878</Words>
  <Characters>18600</Characters>
  <Lines>50</Lines>
  <Paragraphs>68</Paragraphs>
  <TotalTime>1</TotalTime>
  <ScaleCrop>false</ScaleCrop>
  <LinksUpToDate>false</LinksUpToDate>
  <CharactersWithSpaces>19374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2026-08-11T07:29:51Z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