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5CFD308">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bookmarkStart w:id="0" w:name="_Toc22804073"/>
      <w:bookmarkEnd w:id="0"/>
      <w:bookmarkStart w:id="1" w:name="_Toc22953395"/>
      <w:bookmarkEnd w:id="1"/>
    </w:p>
    <w:p w14:paraId="1D8746F7">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4"/>
          <w:szCs w:val="44"/>
          <w:highlight w:val="none"/>
          <w:lang w:val="en-US" w:eastAsia="zh-CN"/>
        </w:rPr>
      </w:pPr>
      <w:r>
        <w:rPr>
          <w:rFonts w:hint="eastAsia" w:cs="宋体"/>
          <w:b/>
          <w:bCs/>
          <w:color w:val="auto"/>
          <w:sz w:val="44"/>
          <w:szCs w:val="44"/>
          <w:highlight w:val="none"/>
          <w:lang w:val="en-US" w:eastAsia="zh-CN"/>
        </w:rPr>
        <w:t>驻马店市中心医院16排CT维修项目</w:t>
      </w:r>
    </w:p>
    <w:p w14:paraId="20826E73">
      <w:pPr>
        <w:pStyle w:val="20"/>
        <w:bidi w:val="0"/>
        <w:jc w:val="both"/>
        <w:rPr>
          <w:rStyle w:val="44"/>
          <w:rFonts w:hint="eastAsia" w:ascii="宋体" w:hAnsi="宋体" w:eastAsia="宋体" w:cs="宋体"/>
          <w:b/>
          <w:bCs/>
          <w:color w:val="auto"/>
          <w:sz w:val="48"/>
          <w:szCs w:val="48"/>
          <w:highlight w:val="none"/>
        </w:rPr>
      </w:pPr>
    </w:p>
    <w:p w14:paraId="72164425">
      <w:pPr>
        <w:pStyle w:val="20"/>
        <w:bidi w:val="0"/>
        <w:jc w:val="center"/>
        <w:rPr>
          <w:rStyle w:val="44"/>
          <w:rFonts w:hint="eastAsia" w:ascii="方正公文小标宋" w:hAnsi="方正公文小标宋" w:eastAsia="方正公文小标宋" w:cs="方正公文小标宋"/>
          <w:b/>
          <w:bCs/>
          <w:color w:val="auto"/>
          <w:sz w:val="56"/>
          <w:szCs w:val="56"/>
          <w:highlight w:val="none"/>
        </w:rPr>
      </w:pPr>
      <w:r>
        <w:rPr>
          <w:rStyle w:val="44"/>
          <w:rFonts w:hint="eastAsia" w:ascii="方正公文小标宋" w:hAnsi="方正公文小标宋" w:eastAsia="方正公文小标宋" w:cs="方正公文小标宋"/>
          <w:b/>
          <w:bCs/>
          <w:color w:val="auto"/>
          <w:sz w:val="56"/>
          <w:szCs w:val="56"/>
          <w:highlight w:val="none"/>
          <w:lang w:val="en-US" w:eastAsia="zh-CN"/>
        </w:rPr>
        <w:t>竞争性磋商</w:t>
      </w:r>
      <w:r>
        <w:rPr>
          <w:rStyle w:val="44"/>
          <w:rFonts w:hint="eastAsia" w:ascii="方正公文小标宋" w:hAnsi="方正公文小标宋" w:eastAsia="方正公文小标宋" w:cs="方正公文小标宋"/>
          <w:b/>
          <w:bCs/>
          <w:color w:val="auto"/>
          <w:sz w:val="56"/>
          <w:szCs w:val="56"/>
          <w:highlight w:val="none"/>
        </w:rPr>
        <w:t>文件</w:t>
      </w:r>
    </w:p>
    <w:p w14:paraId="31CBF58E">
      <w:pPr>
        <w:tabs>
          <w:tab w:val="left" w:pos="2700"/>
          <w:tab w:val="left" w:pos="2880"/>
          <w:tab w:val="left" w:pos="3060"/>
          <w:tab w:val="left" w:pos="7560"/>
        </w:tabs>
        <w:snapToGrid w:val="0"/>
        <w:spacing w:line="360" w:lineRule="auto"/>
        <w:ind w:firstLine="1928" w:firstLineChars="600"/>
        <w:jc w:val="both"/>
        <w:rPr>
          <w:rFonts w:hint="eastAsia" w:ascii="宋体" w:hAnsi="宋体" w:eastAsia="宋体" w:cs="宋体"/>
          <w:b/>
          <w:bCs/>
          <w:color w:val="auto"/>
          <w:spacing w:val="-10"/>
          <w:sz w:val="34"/>
          <w:szCs w:val="34"/>
          <w:highlight w:val="none"/>
          <w:lang w:val="en-US" w:eastAsia="zh-CN"/>
        </w:rPr>
      </w:pPr>
    </w:p>
    <w:p w14:paraId="30933B8F">
      <w:pPr>
        <w:snapToGrid w:val="0"/>
        <w:spacing w:line="380" w:lineRule="exact"/>
        <w:jc w:val="center"/>
        <w:rPr>
          <w:rFonts w:hint="eastAsia" w:ascii="宋体" w:hAnsi="宋体" w:eastAsia="宋体" w:cs="宋体"/>
          <w:b/>
          <w:color w:val="auto"/>
          <w:sz w:val="32"/>
          <w:szCs w:val="32"/>
          <w:highlight w:val="none"/>
        </w:rPr>
      </w:pPr>
    </w:p>
    <w:p w14:paraId="41A0088B">
      <w:pPr>
        <w:pStyle w:val="31"/>
        <w:rPr>
          <w:rFonts w:hint="eastAsia" w:ascii="宋体" w:hAnsi="宋体" w:eastAsia="宋体" w:cs="宋体"/>
          <w:color w:val="auto"/>
          <w:highlight w:val="none"/>
        </w:rPr>
      </w:pPr>
    </w:p>
    <w:p w14:paraId="1478C157">
      <w:pPr>
        <w:pStyle w:val="60"/>
        <w:rPr>
          <w:rFonts w:hint="eastAsia" w:ascii="宋体" w:hAnsi="宋体" w:eastAsia="宋体" w:cs="宋体"/>
          <w:bCs/>
          <w:color w:val="auto"/>
          <w:sz w:val="2"/>
          <w:szCs w:val="2"/>
          <w:highlight w:val="none"/>
        </w:rPr>
      </w:pPr>
    </w:p>
    <w:p w14:paraId="6F43A5E5">
      <w:pPr>
        <w:rPr>
          <w:rFonts w:hint="eastAsia" w:ascii="宋体" w:hAnsi="宋体" w:eastAsia="宋体" w:cs="宋体"/>
          <w:bCs/>
          <w:color w:val="auto"/>
          <w:sz w:val="2"/>
          <w:szCs w:val="2"/>
          <w:highlight w:val="none"/>
        </w:rPr>
      </w:pPr>
    </w:p>
    <w:p w14:paraId="21FDF0F3">
      <w:pPr>
        <w:spacing w:line="20" w:lineRule="exact"/>
        <w:rPr>
          <w:rFonts w:hint="eastAsia" w:ascii="宋体" w:hAnsi="宋体" w:eastAsia="宋体" w:cs="宋体"/>
          <w:bCs/>
          <w:color w:val="auto"/>
          <w:sz w:val="2"/>
          <w:szCs w:val="2"/>
          <w:highlight w:val="none"/>
        </w:rPr>
      </w:pPr>
    </w:p>
    <w:p w14:paraId="1BBFEEC3">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p>
    <w:p w14:paraId="1E415EDD">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p>
    <w:p w14:paraId="03C3D827">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p>
    <w:p w14:paraId="52EC6FE8">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p>
    <w:p w14:paraId="7D27EEAE">
      <w:pPr>
        <w:tabs>
          <w:tab w:val="left" w:pos="2700"/>
          <w:tab w:val="left" w:pos="2880"/>
          <w:tab w:val="left" w:pos="3060"/>
          <w:tab w:val="left" w:pos="7560"/>
        </w:tabs>
        <w:snapToGrid w:val="0"/>
        <w:spacing w:line="480" w:lineRule="auto"/>
        <w:ind w:left="0" w:leftChars="0" w:firstLine="0" w:firstLineChars="0"/>
        <w:jc w:val="center"/>
        <w:rPr>
          <w:rFonts w:hint="eastAsia" w:ascii="宋体" w:hAnsi="宋体" w:eastAsia="宋体" w:cs="宋体"/>
          <w:b/>
          <w:bCs/>
          <w:color w:val="auto"/>
          <w:spacing w:val="-10"/>
          <w:sz w:val="34"/>
          <w:szCs w:val="34"/>
          <w:highlight w:val="none"/>
          <w:lang w:val="en-US" w:eastAsia="zh-CN"/>
        </w:rPr>
      </w:pPr>
    </w:p>
    <w:p w14:paraId="5CC28899">
      <w:pPr>
        <w:tabs>
          <w:tab w:val="left" w:pos="2700"/>
          <w:tab w:val="left" w:pos="2880"/>
          <w:tab w:val="left" w:pos="3060"/>
          <w:tab w:val="left" w:pos="7560"/>
        </w:tabs>
        <w:snapToGrid w:val="0"/>
        <w:spacing w:line="480" w:lineRule="auto"/>
        <w:ind w:left="0" w:leftChars="0" w:firstLine="0" w:firstLineChars="0"/>
        <w:jc w:val="center"/>
        <w:rPr>
          <w:rFonts w:hint="eastAsia" w:ascii="宋体" w:hAnsi="宋体" w:eastAsia="宋体" w:cs="宋体"/>
          <w:b/>
          <w:bCs/>
          <w:color w:val="auto"/>
          <w:spacing w:val="-10"/>
          <w:sz w:val="34"/>
          <w:szCs w:val="34"/>
          <w:highlight w:val="none"/>
        </w:rPr>
      </w:pPr>
      <w:r>
        <w:rPr>
          <w:rFonts w:hint="eastAsia" w:ascii="宋体" w:hAnsi="宋体" w:eastAsia="宋体" w:cs="宋体"/>
          <w:b/>
          <w:bCs/>
          <w:color w:val="auto"/>
          <w:spacing w:val="-10"/>
          <w:sz w:val="34"/>
          <w:szCs w:val="34"/>
          <w:highlight w:val="none"/>
          <w:lang w:val="en-US" w:eastAsia="zh-CN"/>
        </w:rPr>
        <w:t>采 购</w:t>
      </w:r>
      <w:r>
        <w:rPr>
          <w:rFonts w:hint="eastAsia" w:ascii="宋体" w:hAnsi="宋体" w:eastAsia="宋体" w:cs="宋体"/>
          <w:b/>
          <w:bCs/>
          <w:color w:val="auto"/>
          <w:spacing w:val="-10"/>
          <w:sz w:val="34"/>
          <w:szCs w:val="34"/>
          <w:highlight w:val="none"/>
        </w:rPr>
        <w:t xml:space="preserve"> 人：驻马店市中心医院</w:t>
      </w:r>
    </w:p>
    <w:p w14:paraId="05F153CD">
      <w:pPr>
        <w:tabs>
          <w:tab w:val="left" w:pos="2700"/>
          <w:tab w:val="left" w:pos="2880"/>
          <w:tab w:val="left" w:pos="3060"/>
          <w:tab w:val="left" w:pos="7560"/>
        </w:tabs>
        <w:snapToGrid w:val="0"/>
        <w:spacing w:line="480" w:lineRule="auto"/>
        <w:ind w:left="0" w:leftChars="0" w:firstLine="0" w:firstLineChars="0"/>
        <w:jc w:val="center"/>
        <w:rPr>
          <w:rFonts w:hint="default" w:ascii="宋体" w:hAnsi="宋体" w:eastAsia="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采购代理机构：河南恒越工程咨询有限公司</w:t>
      </w:r>
    </w:p>
    <w:p w14:paraId="2652F7AA">
      <w:pPr>
        <w:tabs>
          <w:tab w:val="left" w:pos="2505"/>
          <w:tab w:val="center" w:pos="4535"/>
        </w:tabs>
        <w:snapToGrid w:val="0"/>
        <w:spacing w:line="480" w:lineRule="auto"/>
        <w:jc w:val="center"/>
        <w:rPr>
          <w:rFonts w:hint="default" w:ascii="宋体" w:hAnsi="宋体" w:eastAsia="宋体" w:cs="宋体"/>
          <w:b/>
          <w:color w:val="auto"/>
          <w:sz w:val="36"/>
          <w:szCs w:val="36"/>
          <w:highlight w:val="none"/>
          <w:lang w:val="en-US"/>
        </w:rPr>
        <w:sectPr>
          <w:pgSz w:w="11923" w:h="16838"/>
          <w:pgMar w:top="1304" w:right="1417" w:bottom="992" w:left="1417" w:header="720" w:footer="720" w:gutter="0"/>
          <w:pgNumType w:fmt="decimal" w:start="1"/>
          <w:cols w:space="720" w:num="1"/>
          <w:docGrid w:type="lines" w:linePitch="312" w:charSpace="0"/>
        </w:sectPr>
      </w:pPr>
      <w:r>
        <w:rPr>
          <w:rFonts w:hint="eastAsia" w:ascii="宋体" w:hAnsi="宋体" w:eastAsia="宋体" w:cs="宋体"/>
          <w:b/>
          <w:bCs/>
          <w:color w:val="auto"/>
          <w:spacing w:val="40"/>
          <w:sz w:val="34"/>
          <w:szCs w:val="34"/>
          <w:highlight w:val="none"/>
          <w:lang w:val="en-US" w:eastAsia="zh-CN"/>
        </w:rPr>
        <w:t>202</w:t>
      </w:r>
      <w:r>
        <w:rPr>
          <w:rFonts w:hint="eastAsia" w:ascii="宋体" w:hAnsi="宋体" w:cs="宋体"/>
          <w:b/>
          <w:bCs/>
          <w:color w:val="auto"/>
          <w:spacing w:val="40"/>
          <w:sz w:val="34"/>
          <w:szCs w:val="34"/>
          <w:highlight w:val="none"/>
          <w:lang w:val="en-US" w:eastAsia="zh-CN"/>
        </w:rPr>
        <w:t>6</w:t>
      </w:r>
      <w:r>
        <w:rPr>
          <w:rFonts w:hint="eastAsia" w:ascii="宋体" w:hAnsi="宋体" w:eastAsia="宋体" w:cs="宋体"/>
          <w:b/>
          <w:bCs/>
          <w:color w:val="auto"/>
          <w:spacing w:val="40"/>
          <w:sz w:val="34"/>
          <w:szCs w:val="34"/>
          <w:highlight w:val="none"/>
        </w:rPr>
        <w:t>年</w:t>
      </w:r>
      <w:r>
        <w:rPr>
          <w:rFonts w:hint="eastAsia" w:ascii="宋体" w:hAnsi="宋体" w:eastAsia="宋体" w:cs="宋体"/>
          <w:b/>
          <w:bCs/>
          <w:color w:val="auto"/>
          <w:spacing w:val="40"/>
          <w:sz w:val="34"/>
          <w:szCs w:val="34"/>
          <w:highlight w:val="none"/>
          <w:lang w:val="en-US" w:eastAsia="zh-CN"/>
        </w:rPr>
        <w:t>0</w:t>
      </w:r>
      <w:r>
        <w:rPr>
          <w:rFonts w:hint="eastAsia" w:ascii="宋体" w:hAnsi="宋体" w:cs="宋体"/>
          <w:b/>
          <w:bCs/>
          <w:color w:val="auto"/>
          <w:spacing w:val="40"/>
          <w:sz w:val="34"/>
          <w:szCs w:val="34"/>
          <w:highlight w:val="none"/>
          <w:lang w:val="en-US" w:eastAsia="zh-CN"/>
        </w:rPr>
        <w:t>8月</w:t>
      </w:r>
    </w:p>
    <w:p w14:paraId="3A96B5B9">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5DADC621">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_Toc28866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第一章  </w:t>
      </w:r>
      <w:r>
        <w:rPr>
          <w:rFonts w:hint="eastAsia" w:ascii="宋体" w:hAnsi="宋体" w:eastAsia="宋体" w:cs="宋体"/>
          <w:sz w:val="24"/>
          <w:szCs w:val="24"/>
          <w:highlight w:val="none"/>
          <w:lang w:val="en-US" w:eastAsia="zh-CN"/>
        </w:rPr>
        <w:t>竞争性磋商</w:t>
      </w:r>
      <w:r>
        <w:rPr>
          <w:rFonts w:hint="eastAsia" w:ascii="宋体" w:hAnsi="宋体" w:eastAsia="宋体" w:cs="宋体"/>
          <w:sz w:val="24"/>
          <w:szCs w:val="24"/>
          <w:highlight w:val="none"/>
        </w:rPr>
        <w:t>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_Toc28866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288E9A6D">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_Toc28866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w:t>
      </w:r>
      <w:r>
        <w:rPr>
          <w:rFonts w:hint="eastAsia" w:ascii="宋体" w:hAnsi="宋体" w:cs="宋体"/>
          <w:sz w:val="24"/>
          <w:szCs w:val="24"/>
          <w:highlight w:val="none"/>
          <w:lang w:val="en-US" w:eastAsia="zh-CN"/>
        </w:rPr>
        <w:t>二</w:t>
      </w:r>
      <w:r>
        <w:rPr>
          <w:rFonts w:hint="eastAsia" w:ascii="宋体" w:hAnsi="宋体" w:eastAsia="宋体" w:cs="宋体"/>
          <w:sz w:val="24"/>
          <w:szCs w:val="24"/>
          <w:highlight w:val="none"/>
        </w:rPr>
        <w:t xml:space="preserve">章  </w:t>
      </w:r>
      <w:r>
        <w:rPr>
          <w:rFonts w:hint="eastAsia" w:ascii="宋体" w:hAnsi="宋体" w:cs="宋体"/>
          <w:sz w:val="24"/>
          <w:szCs w:val="24"/>
          <w:highlight w:val="none"/>
          <w:lang w:val="en-US" w:eastAsia="zh-CN"/>
        </w:rPr>
        <w:t>采购需求</w:t>
      </w:r>
      <w:r>
        <w:rPr>
          <w:rFonts w:hint="eastAsia" w:ascii="宋体" w:hAnsi="宋体" w:eastAsia="宋体" w:cs="宋体"/>
          <w:sz w:val="24"/>
          <w:szCs w:val="24"/>
        </w:rPr>
        <w:tab/>
      </w:r>
      <w:r>
        <w:rPr>
          <w:rFonts w:hint="eastAsia" w:ascii="宋体" w:hAnsi="宋体" w:cs="宋体"/>
          <w:sz w:val="24"/>
          <w:szCs w:val="24"/>
          <w:lang w:val="en-US" w:eastAsia="zh-CN"/>
        </w:rPr>
        <w:t>4</w:t>
      </w:r>
      <w:r>
        <w:rPr>
          <w:rFonts w:hint="eastAsia" w:ascii="宋体" w:hAnsi="宋体" w:eastAsia="宋体" w:cs="宋体"/>
          <w:bCs/>
          <w:color w:val="auto"/>
          <w:sz w:val="24"/>
          <w:szCs w:val="24"/>
          <w:highlight w:val="none"/>
        </w:rPr>
        <w:fldChar w:fldCharType="end"/>
      </w:r>
    </w:p>
    <w:p w14:paraId="3C741CF6">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_Toc27226 </w:instrText>
      </w:r>
      <w:r>
        <w:rPr>
          <w:rFonts w:hint="eastAsia" w:ascii="宋体" w:hAnsi="宋体" w:eastAsia="宋体" w:cs="宋体"/>
          <w:bCs/>
          <w:sz w:val="24"/>
          <w:szCs w:val="24"/>
          <w:highlight w:val="none"/>
        </w:rPr>
        <w:fldChar w:fldCharType="separate"/>
      </w:r>
      <w:r>
        <w:rPr>
          <w:rFonts w:hint="eastAsia" w:ascii="宋体" w:hAnsi="宋体" w:eastAsia="宋体" w:cs="宋体"/>
          <w:bCs/>
          <w:sz w:val="24"/>
          <w:szCs w:val="24"/>
          <w:highlight w:val="none"/>
        </w:rPr>
        <w:t xml:space="preserve">第三章  </w:t>
      </w:r>
      <w:r>
        <w:rPr>
          <w:rFonts w:hint="eastAsia" w:ascii="宋体" w:hAnsi="宋体" w:eastAsia="宋体" w:cs="宋体"/>
          <w:bCs/>
          <w:sz w:val="24"/>
          <w:szCs w:val="24"/>
          <w:highlight w:val="none"/>
          <w:lang w:eastAsia="zh-CN"/>
        </w:rPr>
        <w:t>供应商</w:t>
      </w:r>
      <w:r>
        <w:rPr>
          <w:rFonts w:hint="eastAsia" w:ascii="宋体" w:hAnsi="宋体" w:eastAsia="宋体" w:cs="宋体"/>
          <w:bCs/>
          <w:sz w:val="24"/>
          <w:szCs w:val="24"/>
          <w:highlight w:val="none"/>
        </w:rPr>
        <w:t>须知</w:t>
      </w:r>
      <w:r>
        <w:rPr>
          <w:rFonts w:hint="eastAsia" w:ascii="宋体" w:hAnsi="宋体" w:eastAsia="宋体" w:cs="宋体"/>
          <w:sz w:val="24"/>
          <w:szCs w:val="24"/>
        </w:rPr>
        <w:tab/>
      </w:r>
      <w:r>
        <w:rPr>
          <w:rFonts w:hint="eastAsia" w:ascii="宋体" w:hAnsi="宋体" w:cs="宋体"/>
          <w:sz w:val="24"/>
          <w:szCs w:val="24"/>
          <w:lang w:val="en-US" w:eastAsia="zh-CN"/>
        </w:rPr>
        <w:t>5</w:t>
      </w:r>
      <w:r>
        <w:rPr>
          <w:rFonts w:hint="eastAsia" w:ascii="宋体" w:hAnsi="宋体" w:eastAsia="宋体" w:cs="宋体"/>
          <w:bCs/>
          <w:color w:val="auto"/>
          <w:sz w:val="24"/>
          <w:szCs w:val="24"/>
          <w:highlight w:val="none"/>
        </w:rPr>
        <w:fldChar w:fldCharType="end"/>
      </w:r>
    </w:p>
    <w:p w14:paraId="21E92FD5">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_Toc24084 </w:instrText>
      </w:r>
      <w:r>
        <w:rPr>
          <w:rFonts w:hint="eastAsia" w:ascii="宋体" w:hAnsi="宋体" w:eastAsia="宋体" w:cs="宋体"/>
          <w:bCs/>
          <w:sz w:val="24"/>
          <w:szCs w:val="24"/>
          <w:highlight w:val="none"/>
        </w:rPr>
        <w:fldChar w:fldCharType="separate"/>
      </w:r>
      <w:r>
        <w:rPr>
          <w:rFonts w:hint="eastAsia" w:ascii="宋体" w:hAnsi="宋体" w:eastAsia="宋体" w:cs="宋体"/>
          <w:bCs/>
          <w:kern w:val="0"/>
          <w:sz w:val="24"/>
          <w:szCs w:val="24"/>
          <w:highlight w:val="none"/>
        </w:rPr>
        <w:t>第四章  评标办法及评分标准</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bCs/>
          <w:color w:val="auto"/>
          <w:sz w:val="24"/>
          <w:szCs w:val="24"/>
          <w:highlight w:val="none"/>
        </w:rPr>
        <w:fldChar w:fldCharType="end"/>
      </w:r>
      <w:r>
        <w:rPr>
          <w:rFonts w:hint="eastAsia" w:ascii="宋体" w:hAnsi="宋体" w:cs="宋体"/>
          <w:bCs/>
          <w:color w:val="auto"/>
          <w:sz w:val="24"/>
          <w:szCs w:val="24"/>
          <w:highlight w:val="none"/>
          <w:lang w:val="en-US" w:eastAsia="zh-CN"/>
        </w:rPr>
        <w:t>4</w:t>
      </w:r>
    </w:p>
    <w:p w14:paraId="3E09CBC8">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_Toc31636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第五章  采购合同</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bCs/>
          <w:color w:val="auto"/>
          <w:sz w:val="24"/>
          <w:szCs w:val="24"/>
          <w:highlight w:val="none"/>
        </w:rPr>
        <w:fldChar w:fldCharType="end"/>
      </w:r>
      <w:r>
        <w:rPr>
          <w:rFonts w:hint="eastAsia" w:ascii="宋体" w:hAnsi="宋体" w:cs="宋体"/>
          <w:bCs/>
          <w:color w:val="auto"/>
          <w:sz w:val="24"/>
          <w:szCs w:val="24"/>
          <w:highlight w:val="none"/>
          <w:lang w:val="en-US" w:eastAsia="zh-CN"/>
        </w:rPr>
        <w:t>7</w:t>
      </w:r>
    </w:p>
    <w:p w14:paraId="3272DA9B">
      <w:pPr>
        <w:pStyle w:val="24"/>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eastAsia="宋体"/>
          <w:lang w:val="en-US" w:eastAsia="zh-CN"/>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_Toc10874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第六章  </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文件格式</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bCs/>
          <w:color w:val="auto"/>
          <w:sz w:val="24"/>
          <w:szCs w:val="24"/>
          <w:highlight w:val="none"/>
        </w:rPr>
        <w:fldChar w:fldCharType="end"/>
      </w:r>
      <w:r>
        <w:rPr>
          <w:rFonts w:hint="eastAsia" w:ascii="宋体" w:hAnsi="宋体" w:cs="宋体"/>
          <w:bCs/>
          <w:color w:val="auto"/>
          <w:sz w:val="24"/>
          <w:szCs w:val="24"/>
          <w:highlight w:val="none"/>
          <w:lang w:val="en-US" w:eastAsia="zh-CN"/>
        </w:rPr>
        <w:t>8</w:t>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460" w:lineRule="exact"/>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keepNext w:val="0"/>
        <w:keepLines w:val="0"/>
        <w:pageBreakBefore w:val="0"/>
        <w:kinsoku/>
        <w:overflowPunct/>
        <w:topLinePunct w:val="0"/>
        <w:autoSpaceDE/>
        <w:autoSpaceDN/>
        <w:bidi w:val="0"/>
        <w:spacing w:line="440" w:lineRule="exact"/>
        <w:jc w:val="center"/>
        <w:textAlignment w:val="auto"/>
        <w:outlineLvl w:val="0"/>
        <w:rPr>
          <w:rFonts w:hint="eastAsia" w:ascii="宋体" w:hAnsi="宋体" w:eastAsia="宋体" w:cs="宋体"/>
          <w:b/>
          <w:color w:val="auto"/>
          <w:sz w:val="32"/>
          <w:szCs w:val="32"/>
          <w:highlight w:val="none"/>
        </w:rPr>
      </w:pPr>
      <w:bookmarkStart w:id="2" w:name="_Toc28866"/>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45525306">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bookmarkStart w:id="3" w:name="_Toc29890"/>
      <w:bookmarkStart w:id="4" w:name="_Toc23793"/>
      <w:r>
        <w:rPr>
          <w:rFonts w:hint="eastAsia" w:ascii="宋体" w:hAnsi="宋体" w:cs="宋体"/>
          <w:b/>
          <w:bCs w:val="0"/>
          <w:color w:val="auto"/>
          <w:kern w:val="0"/>
          <w:sz w:val="28"/>
          <w:szCs w:val="28"/>
          <w:highlight w:val="none"/>
          <w:u w:val="none"/>
          <w:lang w:val="en-US" w:eastAsia="zh-CN"/>
        </w:rPr>
        <w:t>驻马店市中心医院16排CT维修项目</w:t>
      </w:r>
    </w:p>
    <w:p w14:paraId="6BA08B1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6B46C42A">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驻马店市中心医院现对</w:t>
      </w:r>
      <w:r>
        <w:rPr>
          <w:rFonts w:hint="eastAsia" w:ascii="宋体" w:hAnsi="宋体" w:cs="宋体"/>
          <w:color w:val="auto"/>
          <w:sz w:val="24"/>
          <w:szCs w:val="24"/>
          <w:highlight w:val="none"/>
          <w:u w:val="single"/>
          <w:lang w:val="en-US" w:eastAsia="zh-CN"/>
        </w:rPr>
        <w:t>16排CT维修项目</w:t>
      </w:r>
      <w:r>
        <w:rPr>
          <w:rFonts w:hint="eastAsia" w:ascii="宋体" w:hAnsi="宋体" w:eastAsia="宋体" w:cs="宋体"/>
          <w:color w:val="auto"/>
          <w:sz w:val="24"/>
          <w:szCs w:val="24"/>
          <w:highlight w:val="none"/>
        </w:rPr>
        <w:t>进行院内</w:t>
      </w:r>
      <w:r>
        <w:rPr>
          <w:rFonts w:hint="eastAsia" w:ascii="宋体" w:hAnsi="宋体" w:eastAsia="宋体" w:cs="宋体"/>
          <w:color w:val="auto"/>
          <w:sz w:val="24"/>
          <w:szCs w:val="24"/>
          <w:highlight w:val="none"/>
          <w:lang w:val="en-US" w:eastAsia="zh-CN"/>
        </w:rPr>
        <w:t>竞争性磋商</w:t>
      </w:r>
      <w:r>
        <w:rPr>
          <w:rFonts w:hint="eastAsia" w:ascii="宋体" w:hAnsi="宋体" w:eastAsia="宋体" w:cs="宋体"/>
          <w:color w:val="auto"/>
          <w:sz w:val="24"/>
          <w:szCs w:val="24"/>
          <w:highlight w:val="none"/>
        </w:rPr>
        <w:t>采购，欢迎符合资格条件的供应商前来</w:t>
      </w:r>
      <w:r>
        <w:rPr>
          <w:rFonts w:hint="eastAsia" w:ascii="宋体" w:hAnsi="宋体" w:eastAsia="宋体" w:cs="宋体"/>
          <w:color w:val="auto"/>
          <w:sz w:val="24"/>
          <w:szCs w:val="24"/>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0B03292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C2441F0">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cs="宋体"/>
          <w:color w:val="auto"/>
          <w:sz w:val="24"/>
          <w:szCs w:val="24"/>
          <w:highlight w:val="none"/>
          <w:shd w:val="clear" w:color="auto" w:fill="FFFFFF"/>
          <w:lang w:val="en-US" w:eastAsia="zh-CN"/>
        </w:rPr>
        <w:t>驻马店市中心医院16排CT维修项目</w:t>
      </w:r>
      <w:r>
        <w:rPr>
          <w:rFonts w:hint="eastAsia" w:ascii="宋体" w:hAnsi="宋体" w:eastAsia="宋体" w:cs="宋体"/>
          <w:color w:val="auto"/>
          <w:sz w:val="24"/>
          <w:szCs w:val="24"/>
          <w:highlight w:val="none"/>
          <w:shd w:val="clear" w:color="auto" w:fill="FFFFFF"/>
          <w:lang w:eastAsia="zh-CN"/>
        </w:rPr>
        <w:t>；</w:t>
      </w:r>
    </w:p>
    <w:p w14:paraId="1FA3404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具体要求详见附件</w:t>
      </w:r>
      <w:r>
        <w:rPr>
          <w:rFonts w:hint="eastAsia" w:ascii="宋体" w:hAnsi="宋体" w:eastAsia="宋体" w:cs="宋体"/>
          <w:color w:val="auto"/>
          <w:sz w:val="24"/>
          <w:szCs w:val="24"/>
          <w:highlight w:val="none"/>
          <w:shd w:val="clear" w:color="auto" w:fill="FFFFFF"/>
          <w:lang w:eastAsia="zh-CN"/>
        </w:rPr>
        <w:t>；</w:t>
      </w:r>
    </w:p>
    <w:p w14:paraId="2E31094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5" w:name="_Toc26725"/>
      <w:r>
        <w:rPr>
          <w:rFonts w:hint="eastAsia" w:ascii="宋体" w:hAnsi="宋体" w:eastAsia="宋体" w:cs="宋体"/>
          <w:color w:val="auto"/>
          <w:sz w:val="24"/>
          <w:szCs w:val="24"/>
          <w:highlight w:val="none"/>
          <w:shd w:val="clear" w:color="auto" w:fill="FFFFFF"/>
        </w:rPr>
        <w:t>、预算金额：</w:t>
      </w:r>
      <w:r>
        <w:rPr>
          <w:rFonts w:hint="eastAsia" w:ascii="宋体" w:hAnsi="宋体" w:eastAsia="宋体" w:cs="宋体"/>
          <w:color w:val="auto"/>
          <w:sz w:val="24"/>
          <w:szCs w:val="24"/>
          <w:highlight w:val="none"/>
          <w:shd w:val="clear" w:color="auto" w:fill="FFFFFF"/>
          <w:lang w:val="en-US" w:eastAsia="zh-CN"/>
        </w:rPr>
        <w:t>48.5万元；</w:t>
      </w:r>
    </w:p>
    <w:p w14:paraId="67E1C39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6" w:name="_Toc27704"/>
      <w:bookmarkStart w:id="7" w:name="_Toc18607"/>
      <w:bookmarkStart w:id="8" w:name="_Toc16639"/>
      <w:bookmarkStart w:id="9" w:name="_Toc23626"/>
      <w:r>
        <w:rPr>
          <w:rFonts w:hint="eastAsia" w:ascii="宋体" w:hAnsi="宋体" w:eastAsia="宋体" w:cs="宋体"/>
          <w:b/>
          <w:bCs/>
          <w:color w:val="auto"/>
          <w:kern w:val="2"/>
          <w:sz w:val="24"/>
          <w:szCs w:val="24"/>
          <w:highlight w:val="none"/>
          <w:shd w:val="clear" w:color="auto" w:fill="FFFFFF"/>
          <w:lang w:val="en-US" w:eastAsia="zh-CN" w:bidi="ar-SA"/>
        </w:rPr>
        <w:t>二、</w:t>
      </w:r>
      <w:bookmarkEnd w:id="5"/>
      <w:bookmarkEnd w:id="6"/>
      <w:bookmarkEnd w:id="7"/>
      <w:bookmarkEnd w:id="8"/>
      <w:bookmarkEnd w:id="9"/>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021FB4C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bookmarkStart w:id="10" w:name="_Toc30971"/>
      <w:bookmarkStart w:id="11" w:name="_Toc9562"/>
      <w:bookmarkStart w:id="12" w:name="_Toc23395"/>
      <w:bookmarkStart w:id="13" w:name="_Toc7823"/>
      <w:bookmarkStart w:id="14" w:name="_Toc30643"/>
      <w:r>
        <w:rPr>
          <w:rFonts w:hint="eastAsia" w:ascii="宋体" w:hAnsi="宋体" w:eastAsia="宋体" w:cs="宋体"/>
          <w:color w:val="auto"/>
          <w:sz w:val="24"/>
          <w:szCs w:val="24"/>
          <w:highlight w:val="none"/>
          <w:shd w:val="clear" w:color="auto" w:fill="FFFFFF"/>
          <w:lang w:val="en-US" w:eastAsia="zh-CN"/>
        </w:rPr>
        <w:t>1、供应商具有独立承担民事责任能力，提供营业执照或其他证明材料。</w:t>
      </w:r>
    </w:p>
    <w:p w14:paraId="7B226220">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2、具有良好的商业信誉和健全的财务会计制度（提供经审计的2025年度财务报告或者其基本开户银行出具的资信证明）；</w:t>
      </w:r>
    </w:p>
    <w:p w14:paraId="1CFF1713">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2AFD340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1E62A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B7D61E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894581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、单位负责人为同一人或者存在直接控股、管理关系的不同供应商，不得参加同一合同项下的磋商（提供承诺函）。</w:t>
      </w:r>
    </w:p>
    <w:p w14:paraId="2761E98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cs="宋体"/>
          <w:color w:val="auto"/>
          <w:sz w:val="24"/>
          <w:szCs w:val="24"/>
          <w:highlight w:val="none"/>
          <w:shd w:val="clear" w:color="auto" w:fill="FFFFFF"/>
          <w:lang w:val="en-US" w:eastAsia="zh-CN"/>
        </w:rPr>
        <w:t>投标人须是在中华人民共和国境内注册的设备原制造厂商或原制造厂商授权的单位或具备相关设备维修能力的单位。（提供证明文件）</w:t>
      </w:r>
    </w:p>
    <w:p w14:paraId="77BC54E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9、不接受联合体磋商。</w:t>
      </w:r>
    </w:p>
    <w:p w14:paraId="4E5B7D78">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10"/>
      <w:bookmarkEnd w:id="11"/>
      <w:bookmarkEnd w:id="12"/>
      <w:bookmarkEnd w:id="13"/>
      <w:bookmarkEnd w:id="14"/>
    </w:p>
    <w:p w14:paraId="638A410B">
      <w:pPr>
        <w:keepNext w:val="0"/>
        <w:keepLines w:val="0"/>
        <w:pageBreakBefore w:val="0"/>
        <w:widowControl/>
        <w:kinsoku/>
        <w:overflowPunct/>
        <w:topLinePunct w:val="0"/>
        <w:autoSpaceDE/>
        <w:autoSpaceDN/>
        <w:bidi w:val="0"/>
        <w:adjustRightInd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rPr>
      </w:pPr>
      <w:bookmarkStart w:id="15" w:name="_Toc10738"/>
      <w:bookmarkStart w:id="16" w:name="_Toc15135"/>
      <w:bookmarkStart w:id="17" w:name="_Toc25869"/>
      <w:bookmarkStart w:id="18" w:name="_Toc15111"/>
      <w:bookmarkStart w:id="19" w:name="_Toc27480"/>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31</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440" w:lineRule="exact"/>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3.采购文件获取方式：供应商须把填写</w:t>
      </w:r>
      <w:bookmarkStart w:id="78" w:name="_GoBack"/>
      <w:bookmarkEnd w:id="78"/>
      <w:r>
        <w:rPr>
          <w:rFonts w:hint="eastAsia" w:ascii="宋体" w:hAnsi="宋体" w:eastAsia="宋体" w:cs="宋体"/>
          <w:color w:val="auto"/>
          <w:kern w:val="0"/>
          <w:sz w:val="24"/>
          <w:szCs w:val="24"/>
          <w:highlight w:val="none"/>
          <w:shd w:val="clear" w:color="auto" w:fill="FFFFFF"/>
          <w:lang w:val="en-US" w:eastAsia="zh-CN" w:bidi="ar-SA"/>
        </w:rPr>
        <w:t>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eastAsia="宋体" w:cs="宋体"/>
          <w:color w:val="auto"/>
          <w:kern w:val="0"/>
          <w:sz w:val="24"/>
          <w:szCs w:val="24"/>
          <w:highlight w:val="none"/>
          <w:shd w:val="clear" w:color="auto" w:fill="FFFFFF"/>
          <w:lang w:val="en-US" w:eastAsia="zh-CN" w:bidi="ar-SA"/>
        </w:rPr>
        <w:t>270922989@qq.com,并标明“XX公司XX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440" w:lineRule="exact"/>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4.报名表：请从附件中下载。</w:t>
      </w:r>
    </w:p>
    <w:p w14:paraId="4F6F17C5">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5"/>
      <w:bookmarkEnd w:id="16"/>
      <w:bookmarkEnd w:id="17"/>
      <w:bookmarkEnd w:id="18"/>
      <w:bookmarkEnd w:id="19"/>
    </w:p>
    <w:p w14:paraId="457E8FA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63DFBB1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718F9493">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4B61FD9">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BBDF4C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3E51DA6">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0" w:name="_Toc6523"/>
      <w:bookmarkStart w:id="21" w:name="_Toc20287"/>
      <w:bookmarkStart w:id="22" w:name="_Toc30918"/>
      <w:bookmarkStart w:id="23" w:name="_Toc29784"/>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20"/>
      <w:bookmarkEnd w:id="21"/>
      <w:bookmarkEnd w:id="22"/>
      <w:bookmarkEnd w:id="23"/>
    </w:p>
    <w:p w14:paraId="4CB0D849">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4" w:name="_Toc35393626"/>
      <w:bookmarkStart w:id="25" w:name="_Toc35393795"/>
    </w:p>
    <w:bookmarkEnd w:id="24"/>
    <w:bookmarkEnd w:id="25"/>
    <w:p w14:paraId="68358F3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6" w:name="_Toc24274"/>
      <w:bookmarkStart w:id="27" w:name="_Toc27370"/>
      <w:bookmarkStart w:id="28" w:name="_Toc31928"/>
      <w:bookmarkStart w:id="29" w:name="_Toc16291"/>
      <w:bookmarkStart w:id="30" w:name="_Toc3604"/>
      <w:r>
        <w:rPr>
          <w:rFonts w:hint="eastAsia" w:ascii="宋体" w:hAnsi="宋体" w:eastAsia="宋体" w:cs="宋体"/>
          <w:b/>
          <w:bCs/>
          <w:color w:val="auto"/>
          <w:kern w:val="2"/>
          <w:sz w:val="24"/>
          <w:szCs w:val="24"/>
          <w:highlight w:val="none"/>
          <w:shd w:val="clear" w:color="auto" w:fill="FFFFFF"/>
          <w:lang w:val="en-US" w:eastAsia="zh-CN" w:bidi="ar-SA"/>
        </w:rPr>
        <w:t>七、</w:t>
      </w:r>
      <w:bookmarkEnd w:id="26"/>
      <w:bookmarkEnd w:id="27"/>
      <w:bookmarkEnd w:id="28"/>
      <w:bookmarkEnd w:id="29"/>
      <w:bookmarkEnd w:id="30"/>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383CBB74">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E0B2CD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0AB06B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4E82977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08C4C84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2.采购代理机构：河南恒越工程咨询有限公司</w:t>
      </w:r>
    </w:p>
    <w:p w14:paraId="538EFB0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　　址：驻马店市淮河大道与蔡都路交叉口华尔大厦B座21层</w:t>
      </w:r>
    </w:p>
    <w:p w14:paraId="11E3DC9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 xml:space="preserve">联 系 人：王先生      </w:t>
      </w:r>
    </w:p>
    <w:p w14:paraId="1B1B2FDA">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联系方式：15038468262</w:t>
      </w:r>
    </w:p>
    <w:p w14:paraId="321DEE42">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1093BA8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AD0AA35">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16467DB6">
      <w:pPr>
        <w:pStyle w:val="29"/>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28</w:t>
      </w:r>
      <w:r>
        <w:rPr>
          <w:rFonts w:hint="eastAsia" w:ascii="宋体" w:hAnsi="宋体" w:eastAsia="宋体" w:cs="宋体"/>
          <w:color w:val="auto"/>
          <w:sz w:val="24"/>
          <w:szCs w:val="24"/>
          <w:highlight w:val="none"/>
          <w:shd w:val="clear" w:color="auto" w:fill="FFFFFF"/>
        </w:rPr>
        <w:t>日</w:t>
      </w:r>
    </w:p>
    <w:p w14:paraId="72889AD7">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32464726">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Start w:id="31" w:name="_Toc31536"/>
      <w:bookmarkStart w:id="32" w:name="_Toc9989"/>
      <w:bookmarkStart w:id="33" w:name="_Toc23610"/>
    </w:p>
    <w:p w14:paraId="2B8DED66">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b w:val="0"/>
          <w:bCs w:val="0"/>
          <w:i w:val="0"/>
          <w:iCs/>
          <w:color w:val="auto"/>
          <w:sz w:val="24"/>
          <w:szCs w:val="24"/>
          <w:highlight w:val="none"/>
          <w:u w:val="none"/>
          <w:lang w:val="en-US" w:eastAsia="zh-CN"/>
        </w:rPr>
        <w:t>驻马店市中心医院16排CT维修项目</w:t>
      </w:r>
    </w:p>
    <w:p w14:paraId="560284E9">
      <w:pPr>
        <w:pStyle w:val="15"/>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spacing w:val="28"/>
          <w:sz w:val="24"/>
          <w:szCs w:val="24"/>
          <w:highlight w:val="none"/>
        </w:rPr>
      </w:pPr>
      <w:r>
        <w:rPr>
          <w:rFonts w:hint="eastAsia"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4"/>
        <w:tblW w:w="9585"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990"/>
        <w:gridCol w:w="5"/>
        <w:gridCol w:w="2134"/>
        <w:gridCol w:w="850"/>
        <w:gridCol w:w="967"/>
        <w:gridCol w:w="1393"/>
        <w:gridCol w:w="1101"/>
        <w:gridCol w:w="5"/>
        <w:gridCol w:w="1240"/>
      </w:tblGrid>
      <w:tr w14:paraId="1183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3F52256E">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包号</w:t>
            </w:r>
          </w:p>
        </w:tc>
        <w:tc>
          <w:tcPr>
            <w:tcW w:w="990" w:type="dxa"/>
            <w:vAlign w:val="center"/>
          </w:tcPr>
          <w:p w14:paraId="16F2C7A6">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序号</w:t>
            </w:r>
          </w:p>
        </w:tc>
        <w:tc>
          <w:tcPr>
            <w:tcW w:w="2139" w:type="dxa"/>
            <w:gridSpan w:val="2"/>
            <w:vAlign w:val="center"/>
          </w:tcPr>
          <w:p w14:paraId="46D2134A">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标的名称</w:t>
            </w:r>
          </w:p>
        </w:tc>
        <w:tc>
          <w:tcPr>
            <w:tcW w:w="850" w:type="dxa"/>
            <w:vAlign w:val="center"/>
          </w:tcPr>
          <w:p w14:paraId="41CCE26A">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单位</w:t>
            </w:r>
          </w:p>
        </w:tc>
        <w:tc>
          <w:tcPr>
            <w:tcW w:w="967" w:type="dxa"/>
            <w:vAlign w:val="center"/>
          </w:tcPr>
          <w:p w14:paraId="78A9F1D6">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数量</w:t>
            </w:r>
          </w:p>
        </w:tc>
        <w:tc>
          <w:tcPr>
            <w:tcW w:w="1393" w:type="dxa"/>
            <w:vAlign w:val="center"/>
          </w:tcPr>
          <w:p w14:paraId="665A7C5C">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资金</w:t>
            </w:r>
          </w:p>
          <w:p w14:paraId="2259F43F">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预算</w:t>
            </w:r>
          </w:p>
        </w:tc>
        <w:tc>
          <w:tcPr>
            <w:tcW w:w="1101" w:type="dxa"/>
            <w:vAlign w:val="center"/>
          </w:tcPr>
          <w:p w14:paraId="0C32BA6B">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资金</w:t>
            </w:r>
          </w:p>
          <w:p w14:paraId="0F2FBFFE">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性质</w:t>
            </w:r>
          </w:p>
        </w:tc>
        <w:tc>
          <w:tcPr>
            <w:tcW w:w="1245" w:type="dxa"/>
            <w:gridSpan w:val="2"/>
            <w:vAlign w:val="center"/>
          </w:tcPr>
          <w:p w14:paraId="0D5173FD">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国产/</w:t>
            </w:r>
          </w:p>
          <w:p w14:paraId="5E8880A2">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进口</w:t>
            </w:r>
          </w:p>
        </w:tc>
      </w:tr>
      <w:tr w14:paraId="077F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3FA5EC0F">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990" w:type="dxa"/>
            <w:vAlign w:val="center"/>
          </w:tcPr>
          <w:p w14:paraId="6DE60D5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139" w:type="dxa"/>
            <w:gridSpan w:val="2"/>
            <w:vAlign w:val="center"/>
          </w:tcPr>
          <w:p w14:paraId="0DB5E1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16排CT维修</w:t>
            </w:r>
          </w:p>
        </w:tc>
        <w:tc>
          <w:tcPr>
            <w:tcW w:w="850" w:type="dxa"/>
            <w:vAlign w:val="center"/>
          </w:tcPr>
          <w:p w14:paraId="43C735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w:t>
            </w:r>
          </w:p>
        </w:tc>
        <w:tc>
          <w:tcPr>
            <w:tcW w:w="967" w:type="dxa"/>
            <w:vAlign w:val="center"/>
          </w:tcPr>
          <w:p w14:paraId="532C83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w:t>
            </w:r>
          </w:p>
        </w:tc>
        <w:tc>
          <w:tcPr>
            <w:tcW w:w="1393" w:type="dxa"/>
            <w:vAlign w:val="center"/>
          </w:tcPr>
          <w:p w14:paraId="0DDD2F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48.5万元</w:t>
            </w:r>
          </w:p>
        </w:tc>
        <w:tc>
          <w:tcPr>
            <w:tcW w:w="1101" w:type="dxa"/>
            <w:vAlign w:val="center"/>
          </w:tcPr>
          <w:p w14:paraId="5577EB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自筹</w:t>
            </w:r>
          </w:p>
        </w:tc>
        <w:tc>
          <w:tcPr>
            <w:tcW w:w="1245" w:type="dxa"/>
            <w:gridSpan w:val="2"/>
            <w:vAlign w:val="center"/>
          </w:tcPr>
          <w:p w14:paraId="790268A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3"/>
            <w:vAlign w:val="center"/>
          </w:tcPr>
          <w:p w14:paraId="3709E48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合计</w:t>
            </w:r>
          </w:p>
        </w:tc>
        <w:tc>
          <w:tcPr>
            <w:tcW w:w="2134" w:type="dxa"/>
            <w:vAlign w:val="center"/>
          </w:tcPr>
          <w:p w14:paraId="5151F71C">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p>
        </w:tc>
        <w:tc>
          <w:tcPr>
            <w:tcW w:w="850" w:type="dxa"/>
            <w:vAlign w:val="center"/>
          </w:tcPr>
          <w:p w14:paraId="4C408693">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p>
        </w:tc>
        <w:tc>
          <w:tcPr>
            <w:tcW w:w="967" w:type="dxa"/>
            <w:vAlign w:val="center"/>
          </w:tcPr>
          <w:p w14:paraId="1DF1113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p>
        </w:tc>
        <w:tc>
          <w:tcPr>
            <w:tcW w:w="1393" w:type="dxa"/>
            <w:vAlign w:val="center"/>
          </w:tcPr>
          <w:p w14:paraId="0306BC83">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48.5万元</w:t>
            </w:r>
          </w:p>
        </w:tc>
        <w:tc>
          <w:tcPr>
            <w:tcW w:w="1106" w:type="dxa"/>
            <w:gridSpan w:val="2"/>
            <w:vAlign w:val="center"/>
          </w:tcPr>
          <w:p w14:paraId="6C7B119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p>
        </w:tc>
        <w:tc>
          <w:tcPr>
            <w:tcW w:w="1240" w:type="dxa"/>
            <w:vAlign w:val="center"/>
          </w:tcPr>
          <w:p w14:paraId="658FFDEA">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p>
        </w:tc>
      </w:tr>
      <w:tr w14:paraId="3A52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0" w:type="dxa"/>
            <w:gridSpan w:val="2"/>
            <w:vAlign w:val="center"/>
          </w:tcPr>
          <w:p w14:paraId="62331FB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备注</w:t>
            </w:r>
          </w:p>
        </w:tc>
        <w:tc>
          <w:tcPr>
            <w:tcW w:w="7695" w:type="dxa"/>
            <w:gridSpan w:val="8"/>
            <w:vAlign w:val="center"/>
          </w:tcPr>
          <w:p w14:paraId="4F1CEB2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p>
        </w:tc>
      </w:tr>
    </w:tbl>
    <w:p w14:paraId="18FFFA10">
      <w:pPr>
        <w:spacing w:line="360" w:lineRule="auto"/>
        <w:rPr>
          <w:rFonts w:hint="eastAsia" w:ascii="宋体" w:hAnsi="宋体" w:eastAsia="宋体" w:cs="宋体"/>
          <w:color w:val="auto"/>
          <w:sz w:val="24"/>
          <w:szCs w:val="24"/>
          <w:highlight w:val="none"/>
        </w:rPr>
      </w:pPr>
    </w:p>
    <w:p w14:paraId="1B88A58D">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二、服务技术要求</w:t>
      </w:r>
      <w:r>
        <w:rPr>
          <w:rFonts w:hint="eastAsia" w:ascii="宋体" w:hAnsi="宋体" w:eastAsia="宋体" w:cs="宋体"/>
          <w:b/>
          <w:bCs/>
          <w:color w:val="auto"/>
          <w:kern w:val="2"/>
          <w:sz w:val="24"/>
          <w:szCs w:val="24"/>
          <w:highlight w:val="none"/>
          <w:lang w:val="en-US" w:eastAsia="zh-CN" w:bidi="ar-SA"/>
        </w:rPr>
        <w:t>：</w:t>
      </w:r>
    </w:p>
    <w:p w14:paraId="3D041B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1、设备型号为Brilliance16，故障现象为无法曝光，需解决问题并使机器正常使用，维修后的图像质量达到原机和临床检查要求。</w:t>
      </w:r>
    </w:p>
    <w:p w14:paraId="7FA2E5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2、针对此故障点维修后要完成规定的校准和测试，并符合行业检测标准。</w:t>
      </w:r>
    </w:p>
    <w:p w14:paraId="3BC2BB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3、为保证设备稳定运行，须提供先维修，后付费服务。</w:t>
      </w:r>
    </w:p>
    <w:p w14:paraId="575C67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4、维修期间提供与设备相匹配的合规备用配件，维修后完成安装调试，无额外费用。</w:t>
      </w:r>
    </w:p>
    <w:p w14:paraId="76D1F8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5、人员配备:服务于本项目的供应商具有影像设备维修技术支持团队≥2人。</w:t>
      </w:r>
    </w:p>
    <w:p w14:paraId="43D6A4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三、</w:t>
      </w:r>
      <w:r>
        <w:rPr>
          <w:rFonts w:hint="eastAsia" w:ascii="宋体" w:hAnsi="宋体" w:eastAsia="宋体" w:cs="宋体"/>
          <w:b/>
          <w:bCs/>
          <w:color w:val="auto"/>
          <w:kern w:val="2"/>
          <w:sz w:val="24"/>
          <w:szCs w:val="24"/>
          <w:highlight w:val="none"/>
          <w:lang w:val="en-US" w:eastAsia="zh-CN" w:bidi="ar-SA"/>
        </w:rPr>
        <w:t>商务要求</w:t>
      </w:r>
    </w:p>
    <w:tbl>
      <w:tblPr>
        <w:tblStyle w:val="33"/>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399FF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09E94F26">
            <w:pPr>
              <w:pStyle w:val="15"/>
              <w:ind w:left="0" w:leftChars="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77B0CCF3">
            <w:pPr>
              <w:pStyle w:val="15"/>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采购人指定地点</w:t>
            </w:r>
          </w:p>
        </w:tc>
      </w:tr>
      <w:tr w14:paraId="6FA277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3B911CF">
            <w:pPr>
              <w:pStyle w:val="15"/>
              <w:ind w:left="0" w:leftChars="0"/>
              <w:jc w:val="center"/>
              <w:rPr>
                <w:rFonts w:hint="default" w:cs="宋体"/>
                <w:color w:val="auto"/>
                <w:sz w:val="24"/>
                <w:szCs w:val="24"/>
                <w:highlight w:val="none"/>
                <w:lang w:val="en-US" w:eastAsia="zh-CN"/>
              </w:rPr>
            </w:pPr>
            <w:r>
              <w:rPr>
                <w:rFonts w:hint="eastAsia" w:cs="宋体"/>
                <w:color w:val="auto"/>
                <w:sz w:val="24"/>
                <w:szCs w:val="24"/>
                <w:highlight w:val="none"/>
                <w:lang w:val="en-US" w:eastAsia="zh-CN"/>
              </w:rPr>
              <w:t>服务质量</w:t>
            </w:r>
          </w:p>
        </w:tc>
        <w:tc>
          <w:tcPr>
            <w:tcW w:w="7354" w:type="dxa"/>
            <w:tcBorders>
              <w:top w:val="single" w:color="auto" w:sz="4" w:space="0"/>
              <w:left w:val="single" w:color="auto" w:sz="4" w:space="0"/>
              <w:bottom w:val="single" w:color="auto" w:sz="4" w:space="0"/>
              <w:right w:val="single" w:color="auto" w:sz="4" w:space="0"/>
            </w:tcBorders>
            <w:noWrap/>
            <w:vAlign w:val="center"/>
          </w:tcPr>
          <w:p w14:paraId="7C9C39A5">
            <w:pPr>
              <w:pStyle w:val="15"/>
              <w:ind w:left="0" w:lef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符合采购文件规定且满足采购人要求。</w:t>
            </w:r>
          </w:p>
        </w:tc>
      </w:tr>
      <w:tr w14:paraId="15D9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01C2F15">
            <w:pPr>
              <w:pStyle w:val="15"/>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25DB0019">
            <w:pPr>
              <w:pStyle w:val="15"/>
              <w:ind w:left="0" w:lef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所需配件安装维修完成后，自交付使用的次日起，提供所安装配件6个月质保期；如发生球管维修相关配件，需提供15万秒次或6个月的质保服务(以先到为准)，保证该配件在保修期内正常使用。</w:t>
            </w:r>
          </w:p>
        </w:tc>
      </w:tr>
      <w:tr w14:paraId="4F9CD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481E1749">
            <w:pPr>
              <w:pStyle w:val="15"/>
              <w:ind w:left="0"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付款</w:t>
            </w:r>
            <w:r>
              <w:rPr>
                <w:rFonts w:hint="eastAsia" w:cs="宋体"/>
                <w:color w:val="auto"/>
                <w:sz w:val="24"/>
                <w:szCs w:val="24"/>
                <w:highlight w:val="none"/>
                <w:lang w:val="en-US" w:eastAsia="zh-CN"/>
              </w:rPr>
              <w:t>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606629E0">
            <w:pPr>
              <w:pStyle w:val="15"/>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维修调试验收完成后付款90%，自维修调试验收完成起满6个月，且乙方完成当期服务，结束后付款10%。</w:t>
            </w:r>
          </w:p>
        </w:tc>
      </w:tr>
      <w:tr w14:paraId="6E8D8F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16CEEB09">
            <w:pPr>
              <w:pStyle w:val="15"/>
              <w:ind w:left="0" w:leftChars="0"/>
              <w:jc w:val="center"/>
              <w:rPr>
                <w:rFonts w:hint="default" w:ascii="宋体" w:hAnsi="宋体" w:eastAsia="宋体" w:cs="宋体"/>
                <w:color w:val="auto"/>
                <w:sz w:val="24"/>
                <w:szCs w:val="24"/>
                <w:highlight w:val="none"/>
                <w:lang w:val="en-US"/>
              </w:rPr>
            </w:pPr>
            <w:r>
              <w:rPr>
                <w:rFonts w:hint="eastAsia" w:cs="宋体"/>
                <w:color w:val="auto"/>
                <w:sz w:val="24"/>
                <w:szCs w:val="24"/>
                <w:highlight w:val="none"/>
                <w:lang w:val="en-US" w:eastAsia="zh-CN"/>
              </w:rPr>
              <w:t>其他要求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5106BF5A">
            <w:pPr>
              <w:pStyle w:val="15"/>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中标方承担包装和运输费用</w:t>
            </w:r>
          </w:p>
        </w:tc>
      </w:tr>
    </w:tbl>
    <w:p w14:paraId="780176DE">
      <w:pPr>
        <w:pStyle w:val="16"/>
        <w:rPr>
          <w:rFonts w:hint="eastAsia" w:ascii="宋体" w:hAnsi="宋体" w:eastAsia="宋体" w:cs="宋体"/>
          <w:color w:val="auto"/>
          <w:highlight w:val="none"/>
        </w:rPr>
      </w:pPr>
    </w:p>
    <w:p w14:paraId="3E3E650D">
      <w:pPr>
        <w:rPr>
          <w:rFonts w:hint="eastAsia" w:ascii="宋体" w:hAnsi="宋体" w:eastAsia="宋体" w:cs="宋体"/>
          <w:color w:val="auto"/>
          <w:highlight w:val="none"/>
        </w:rPr>
      </w:pPr>
    </w:p>
    <w:p w14:paraId="7B830EE0">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bookmarkEnd w:id="3"/>
    <w:bookmarkEnd w:id="4"/>
    <w:bookmarkEnd w:id="31"/>
    <w:bookmarkEnd w:id="32"/>
    <w:bookmarkEnd w:id="33"/>
    <w:p w14:paraId="5850CAA7">
      <w:pPr>
        <w:jc w:val="center"/>
        <w:outlineLvl w:val="0"/>
        <w:rPr>
          <w:rFonts w:hint="eastAsia" w:ascii="宋体" w:hAnsi="宋体" w:eastAsia="宋体" w:cs="宋体"/>
          <w:b/>
          <w:bCs/>
          <w:color w:val="auto"/>
          <w:sz w:val="32"/>
          <w:szCs w:val="32"/>
          <w:highlight w:val="none"/>
        </w:rPr>
      </w:pPr>
      <w:bookmarkStart w:id="34" w:name="_Toc27226"/>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4"/>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3"/>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eastAsia="宋体" w:cs="宋体"/>
                <w:color w:val="auto"/>
                <w:kern w:val="0"/>
                <w:sz w:val="24"/>
                <w:szCs w:val="24"/>
                <w:highlight w:val="none"/>
                <w:lang w:val="en-US" w:eastAsia="zh-CN"/>
              </w:rPr>
              <w:t>48.5</w:t>
            </w:r>
            <w:r>
              <w:rPr>
                <w:rFonts w:hint="eastAsia" w:ascii="宋体" w:hAnsi="宋体" w:cs="宋体"/>
                <w:color w:val="auto"/>
                <w:kern w:val="0"/>
                <w:sz w:val="24"/>
                <w:szCs w:val="24"/>
                <w:highlight w:val="none"/>
                <w:lang w:val="en-US" w:eastAsia="zh-CN"/>
              </w:rPr>
              <w:t>万元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:48.5</w:t>
            </w:r>
            <w:r>
              <w:rPr>
                <w:rFonts w:hint="eastAsia" w:ascii="宋体" w:hAnsi="宋体" w:cs="宋体"/>
                <w:color w:val="auto"/>
                <w:sz w:val="24"/>
                <w:szCs w:val="32"/>
                <w:highlight w:val="none"/>
                <w:lang w:val="en-US" w:eastAsia="zh-CN"/>
              </w:rPr>
              <w:t>万元。</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代理服务费不得高于《招标代理机构服务管理暂行办法》（计价格[2002]1980号）相应标准：</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。胶装方式装订，不得采用活页装订</w:t>
            </w:r>
            <w:r>
              <w:rPr>
                <w:rFonts w:hint="eastAsia" w:ascii="宋体" w:hAnsi="宋体" w:cs="宋体"/>
                <w:color w:val="auto"/>
                <w:sz w:val="24"/>
                <w:szCs w:val="32"/>
                <w:highlight w:val="none"/>
                <w:lang w:eastAsia="zh-CN"/>
              </w:rPr>
              <w:t>。</w:t>
            </w:r>
          </w:p>
        </w:tc>
      </w:tr>
      <w:tr w14:paraId="5E101D7D">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r>
              <w:rPr>
                <w:rFonts w:hint="eastAsia" w:ascii="宋体" w:hAnsi="宋体" w:cs="宋体"/>
                <w:color w:val="auto"/>
                <w:kern w:val="0"/>
                <w:sz w:val="24"/>
                <w:szCs w:val="24"/>
                <w:highlight w:val="none"/>
                <w:lang w:val="en-US" w:eastAsia="zh-CN"/>
              </w:rPr>
              <w:t>。</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5C8BD7E8">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bookmarkStart w:id="35" w:name="_Toc4700"/>
      <w:bookmarkStart w:id="36" w:name="_Toc16669"/>
    </w:p>
    <w:p w14:paraId="2F34B8A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0EF8AC9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1、供应商具有独立承担民事责任能力，提供营业执照或其他证明材料。</w:t>
      </w:r>
    </w:p>
    <w:p w14:paraId="01F7A511">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2、具有良好的商业信誉和健全的财务会计制度（提供经审计的2025年度财务报告或者其基本开户银行出具的资信证明）；</w:t>
      </w:r>
    </w:p>
    <w:p w14:paraId="4707087A">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51A1C75B">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4、具有履行合同所必需的设备和专业技术能力（提供书面承诺函）；</w:t>
      </w:r>
    </w:p>
    <w:p w14:paraId="0E8564C7">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5、参加本采购活动前三年内，在经营活动中没有重大违法记录（提供书面承诺函）；</w:t>
      </w:r>
    </w:p>
    <w:p w14:paraId="5DB7530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52E133DF">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7、单位负责人为同一人或者存在直接控股、管理关系的不同供应商，不得参加同一合同项下的磋商（提供承诺函）。</w:t>
      </w:r>
    </w:p>
    <w:p w14:paraId="2F371A73">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cs="宋体"/>
          <w:color w:val="auto"/>
          <w:sz w:val="24"/>
          <w:szCs w:val="24"/>
          <w:highlight w:val="none"/>
          <w:shd w:val="clear" w:color="auto" w:fill="FFFFFF"/>
          <w:lang w:val="en-US" w:eastAsia="zh-CN"/>
        </w:rPr>
        <w:t>投标人须是在中华人民共和国境内注册的设备原制造厂商或原制造厂商授权的单位或具备相关设备维修能力的单位。（提供证明文件）</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4服务</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委托采购代理机构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29"/>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.2 本次竞争性磋商进行</w:t>
      </w:r>
      <w:r>
        <w:rPr>
          <w:rFonts w:hint="eastAsia" w:ascii="宋体" w:hAnsi="宋体" w:eastAsia="宋体" w:cs="宋体"/>
          <w:b/>
          <w:bCs/>
          <w:color w:val="auto"/>
          <w:sz w:val="24"/>
          <w:szCs w:val="24"/>
          <w:highlight w:val="none"/>
          <w:u w:val="single"/>
          <w:lang w:val="en-US" w:eastAsia="zh-CN"/>
        </w:rPr>
        <w:t xml:space="preserve"> 多 </w:t>
      </w:r>
      <w:r>
        <w:rPr>
          <w:rFonts w:hint="eastAsia" w:ascii="宋体" w:hAnsi="宋体" w:eastAsia="宋体" w:cs="宋体"/>
          <w:b/>
          <w:bCs/>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7" w:name="_Toc24084"/>
      <w:r>
        <w:rPr>
          <w:rFonts w:hint="eastAsia" w:ascii="宋体" w:hAnsi="宋体" w:eastAsia="宋体" w:cs="宋体"/>
          <w:b/>
          <w:bCs/>
          <w:color w:val="auto"/>
          <w:kern w:val="0"/>
          <w:sz w:val="32"/>
          <w:szCs w:val="32"/>
          <w:highlight w:val="none"/>
        </w:rPr>
        <w:t>第四章  评标办法及评分标准</w:t>
      </w:r>
      <w:bookmarkEnd w:id="35"/>
      <w:bookmarkEnd w:id="37"/>
    </w:p>
    <w:p w14:paraId="6F4C4186">
      <w:pPr>
        <w:rPr>
          <w:rFonts w:hint="eastAsia" w:ascii="宋体" w:hAnsi="宋体" w:eastAsia="宋体" w:cs="宋体"/>
          <w:color w:val="auto"/>
          <w:highlight w:val="none"/>
        </w:rPr>
      </w:pPr>
    </w:p>
    <w:p w14:paraId="5FA8D29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本项目采用综合评分法，总分为100分。</w:t>
      </w:r>
    </w:p>
    <w:p w14:paraId="3CDF010F">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3.评标结果按评审后得分由高到低顺序排列，得分相同的，按投标报价由低到高顺序排列。得分且投标报价相同的，按技术部分得分顺序排列。</w:t>
      </w:r>
    </w:p>
    <w:p w14:paraId="1E8C2FF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3"/>
        <w:tblW w:w="9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D7F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482" w:type="dxa"/>
            <w:gridSpan w:val="3"/>
            <w:noWrap w:val="0"/>
            <w:vAlign w:val="center"/>
          </w:tcPr>
          <w:p w14:paraId="022AB0A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31A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jc w:val="center"/>
        </w:trPr>
        <w:tc>
          <w:tcPr>
            <w:tcW w:w="1239" w:type="dxa"/>
            <w:noWrap w:val="0"/>
            <w:vAlign w:val="center"/>
          </w:tcPr>
          <w:p w14:paraId="41FBD822">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56A5BCC6">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说明：当</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发现</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的</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报价明显低于其他</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报价，使其</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报价可能低于其个别成本的，</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可对其质询，并要求该</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做出书面说明和提供相关的证明材料；该</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不能合理说明或提供证明材料的，</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应按无效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处理。</w:t>
            </w:r>
          </w:p>
          <w:p w14:paraId="1C7B52D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631C2FD4">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055B195D">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r>
      <w:tr w14:paraId="6C25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1239" w:type="dxa"/>
            <w:vMerge w:val="restart"/>
            <w:noWrap w:val="0"/>
            <w:vAlign w:val="center"/>
          </w:tcPr>
          <w:p w14:paraId="52623056">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p>
          <w:p w14:paraId="346E9670">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p>
          <w:p w14:paraId="121639E2">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p>
          <w:p w14:paraId="72FAF8DC">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p>
          <w:p w14:paraId="0E3D8443">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p>
          <w:p w14:paraId="0EC21DE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p>
          <w:p w14:paraId="3E1FBD85">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p>
          <w:p w14:paraId="281FD7E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p>
          <w:p w14:paraId="6F81154E">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p>
          <w:p w14:paraId="27BFB916">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p>
          <w:p w14:paraId="323DCE54">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p>
          <w:p w14:paraId="17FB7171">
            <w:pPr>
              <w:keepNext w:val="0"/>
              <w:keepLines w:val="0"/>
              <w:pageBreakBefore w:val="0"/>
              <w:tabs>
                <w:tab w:val="left" w:pos="1620"/>
              </w:tabs>
              <w:kinsoku/>
              <w:overflowPunct/>
              <w:topLinePunct w:val="0"/>
              <w:bidi w:val="0"/>
              <w:snapToGrid w:val="0"/>
              <w:spacing w:line="360" w:lineRule="auto"/>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技术部分（54分）</w:t>
            </w:r>
          </w:p>
        </w:tc>
        <w:tc>
          <w:tcPr>
            <w:tcW w:w="1473" w:type="dxa"/>
            <w:tcBorders>
              <w:top w:val="single" w:color="auto" w:sz="4" w:space="0"/>
            </w:tcBorders>
            <w:noWrap w:val="0"/>
            <w:vAlign w:val="center"/>
          </w:tcPr>
          <w:p w14:paraId="10FFCA19">
            <w:pPr>
              <w:keepNext w:val="0"/>
              <w:keepLines w:val="0"/>
              <w:pageBreakBefore w:val="0"/>
              <w:tabs>
                <w:tab w:val="left" w:pos="1620"/>
              </w:tabs>
              <w:kinsoku/>
              <w:overflowPunct/>
              <w:topLinePunct w:val="0"/>
              <w:bidi w:val="0"/>
              <w:snapToGrid w:val="0"/>
              <w:spacing w:line="360" w:lineRule="auto"/>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技术服务响应（20分）</w:t>
            </w:r>
          </w:p>
        </w:tc>
        <w:tc>
          <w:tcPr>
            <w:tcW w:w="6770" w:type="dxa"/>
            <w:noWrap w:val="0"/>
            <w:vAlign w:val="center"/>
          </w:tcPr>
          <w:p w14:paraId="45713001">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根据“第二章 采购需求  二、服务技术要求”进行响应。完全符合磋商文件服务要求的得20分，每有一项负偏离在20分基础上扣4分，扣完为止；若得分为0，则磋商无效。</w:t>
            </w:r>
          </w:p>
          <w:p w14:paraId="231205E3">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注：供应商需如实填写服务技术响应表，并标注偏离情况。</w:t>
            </w:r>
          </w:p>
        </w:tc>
      </w:tr>
      <w:tr w14:paraId="015A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3" w:hRule="atLeast"/>
          <w:jc w:val="center"/>
        </w:trPr>
        <w:tc>
          <w:tcPr>
            <w:tcW w:w="1239" w:type="dxa"/>
            <w:vMerge w:val="continue"/>
            <w:noWrap w:val="0"/>
            <w:vAlign w:val="center"/>
          </w:tcPr>
          <w:p w14:paraId="1E6A3878">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58F4F5C3">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故障诊断及修复实施方案</w:t>
            </w:r>
            <w:r>
              <w:rPr>
                <w:rFonts w:hint="eastAsia" w:ascii="宋体" w:hAnsi="宋体" w:cs="宋体"/>
                <w:b w:val="0"/>
                <w:bCs w:val="0"/>
                <w:color w:val="auto"/>
                <w:sz w:val="24"/>
                <w:szCs w:val="24"/>
                <w:highlight w:val="none"/>
                <w:lang w:val="en-US" w:eastAsia="zh-CN"/>
              </w:rPr>
              <w:t>（12分）</w:t>
            </w:r>
          </w:p>
        </w:tc>
        <w:tc>
          <w:tcPr>
            <w:tcW w:w="6770" w:type="dxa"/>
            <w:noWrap w:val="0"/>
            <w:vAlign w:val="center"/>
          </w:tcPr>
          <w:p w14:paraId="084D1297">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提供针对该设备的故障维修实施方案，包括但不限于故障诊断流；维修步骤、解决方案、整机恢复保障措施。</w:t>
            </w:r>
          </w:p>
          <w:p w14:paraId="59C7F4B6">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提供的方案完整、针对性强，内容详尽，完全匹配本机故障的得12分</w:t>
            </w:r>
            <w:r>
              <w:rPr>
                <w:rFonts w:hint="eastAsia" w:ascii="宋体" w:hAnsi="宋体" w:cs="宋体"/>
                <w:b w:val="0"/>
                <w:bCs w:val="0"/>
                <w:color w:val="auto"/>
                <w:sz w:val="24"/>
                <w:szCs w:val="24"/>
                <w:highlight w:val="none"/>
                <w:lang w:val="en-US" w:eastAsia="zh-CN"/>
              </w:rPr>
              <w:t>；</w:t>
            </w:r>
          </w:p>
          <w:p w14:paraId="54CCAB38">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提供的方案较科学，内容较详细，较能满足采购需求的得8分；</w:t>
            </w:r>
          </w:p>
          <w:p w14:paraId="43DF81E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提供的方案无缺项漏项但可行性有待提升的得4分；</w:t>
            </w:r>
          </w:p>
          <w:p w14:paraId="31B1C372">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提供的响应方案有缺项漏项等得1分；</w:t>
            </w:r>
          </w:p>
          <w:p w14:paraId="4DBA01C6">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未提供者不得分。</w:t>
            </w:r>
          </w:p>
        </w:tc>
      </w:tr>
      <w:tr w14:paraId="1690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3" w:hRule="atLeast"/>
          <w:jc w:val="center"/>
        </w:trPr>
        <w:tc>
          <w:tcPr>
            <w:tcW w:w="1239" w:type="dxa"/>
            <w:vMerge w:val="continue"/>
            <w:noWrap w:val="0"/>
            <w:vAlign w:val="center"/>
          </w:tcPr>
          <w:p w14:paraId="371B80D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0A00FFEF">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维修后校准、测试及图像质量保障</w:t>
            </w:r>
            <w:r>
              <w:rPr>
                <w:rFonts w:hint="eastAsia" w:ascii="宋体" w:hAnsi="宋体" w:cs="宋体"/>
                <w:b w:val="0"/>
                <w:bCs w:val="0"/>
                <w:color w:val="auto"/>
                <w:sz w:val="24"/>
                <w:szCs w:val="24"/>
                <w:highlight w:val="none"/>
                <w:lang w:val="en-US" w:eastAsia="zh-CN"/>
              </w:rPr>
              <w:t>（12分）</w:t>
            </w:r>
          </w:p>
        </w:tc>
        <w:tc>
          <w:tcPr>
            <w:tcW w:w="6770" w:type="dxa"/>
            <w:noWrap w:val="0"/>
            <w:vAlign w:val="center"/>
          </w:tcPr>
          <w:p w14:paraId="03B83567">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供应商</w:t>
            </w:r>
            <w:r>
              <w:rPr>
                <w:rFonts w:ascii="宋体" w:hAnsi="宋体" w:eastAsia="宋体" w:cs="宋体"/>
                <w:sz w:val="24"/>
                <w:szCs w:val="24"/>
              </w:rPr>
              <w:t>提供维修后设备校准、检测及验收方案</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包括但不限于：</w:t>
            </w:r>
            <w:r>
              <w:rPr>
                <w:rFonts w:hint="eastAsia" w:ascii="宋体" w:hAnsi="宋体" w:eastAsia="宋体" w:cs="宋体"/>
                <w:b w:val="0"/>
                <w:bCs w:val="0"/>
                <w:color w:val="auto"/>
                <w:sz w:val="24"/>
                <w:szCs w:val="24"/>
                <w:highlight w:val="none"/>
                <w:lang w:val="en-US" w:eastAsia="zh-CN"/>
              </w:rPr>
              <w:t>CT整机校准、参数调试、图像质量测试、稳定性测试、</w:t>
            </w:r>
            <w:r>
              <w:rPr>
                <w:rFonts w:ascii="宋体" w:hAnsi="宋体" w:eastAsia="宋体" w:cs="宋体"/>
                <w:sz w:val="24"/>
                <w:szCs w:val="24"/>
              </w:rPr>
              <w:t>现场验收流程</w:t>
            </w:r>
            <w:r>
              <w:rPr>
                <w:rFonts w:hint="eastAsia" w:ascii="宋体" w:hAnsi="宋体" w:eastAsia="宋体" w:cs="宋体"/>
                <w:sz w:val="24"/>
                <w:szCs w:val="24"/>
                <w:lang w:val="en-US" w:eastAsia="zh-CN"/>
              </w:rPr>
              <w:t>等</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确保设备</w:t>
            </w:r>
            <w:r>
              <w:rPr>
                <w:rFonts w:hint="eastAsia" w:ascii="宋体" w:hAnsi="宋体" w:eastAsia="宋体" w:cs="宋体"/>
                <w:b w:val="0"/>
                <w:bCs w:val="0"/>
                <w:color w:val="auto"/>
                <w:sz w:val="24"/>
                <w:szCs w:val="24"/>
                <w:highlight w:val="none"/>
                <w:lang w:val="en-US" w:eastAsia="zh-CN"/>
              </w:rPr>
              <w:t>达到原机标准及临床诊断要求、符合医疗设备行业检测标准。</w:t>
            </w:r>
          </w:p>
          <w:p w14:paraId="7DB1DAD1">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kern w:val="2"/>
                <w:sz w:val="24"/>
                <w:szCs w:val="24"/>
                <w:lang w:val="en-US" w:eastAsia="zh-CN" w:bidi="ar-SA"/>
              </w:rPr>
            </w:pPr>
            <w:r>
              <w:rPr>
                <w:rFonts w:ascii="宋体" w:hAnsi="宋体" w:eastAsia="宋体" w:cs="宋体"/>
                <w:b w:val="0"/>
                <w:bCs w:val="0"/>
                <w:kern w:val="2"/>
                <w:sz w:val="24"/>
                <w:szCs w:val="24"/>
                <w:lang w:val="en-US" w:eastAsia="zh-CN" w:bidi="ar-SA"/>
              </w:rPr>
              <w:t>提供的</w:t>
            </w:r>
            <w:r>
              <w:rPr>
                <w:rFonts w:hint="eastAsia" w:ascii="宋体" w:hAnsi="宋体" w:eastAsia="宋体" w:cs="宋体"/>
                <w:b w:val="0"/>
                <w:bCs w:val="0"/>
                <w:kern w:val="2"/>
                <w:sz w:val="24"/>
                <w:szCs w:val="24"/>
                <w:lang w:val="en-US" w:eastAsia="zh-CN" w:bidi="ar-SA"/>
              </w:rPr>
              <w:t>方案</w:t>
            </w:r>
            <w:r>
              <w:rPr>
                <w:rFonts w:hint="eastAsia" w:ascii="宋体" w:hAnsi="宋体" w:eastAsia="宋体" w:cs="宋体"/>
                <w:sz w:val="24"/>
                <w:szCs w:val="24"/>
                <w:lang w:val="en-US" w:eastAsia="zh-CN"/>
              </w:rPr>
              <w:t>完整、</w:t>
            </w:r>
            <w:r>
              <w:rPr>
                <w:rFonts w:ascii="宋体" w:hAnsi="宋体" w:eastAsia="宋体" w:cs="宋体"/>
                <w:sz w:val="24"/>
                <w:szCs w:val="24"/>
              </w:rPr>
              <w:t>内容齐全可落地，</w:t>
            </w:r>
            <w:r>
              <w:rPr>
                <w:rFonts w:ascii="宋体" w:hAnsi="宋体" w:eastAsia="宋体" w:cs="宋体"/>
                <w:b w:val="0"/>
                <w:bCs w:val="0"/>
                <w:kern w:val="2"/>
                <w:sz w:val="24"/>
                <w:szCs w:val="24"/>
                <w:lang w:val="en-US" w:eastAsia="zh-CN" w:bidi="ar-SA"/>
              </w:rPr>
              <w:t>完全满足采购需求的得</w:t>
            </w:r>
            <w:r>
              <w:rPr>
                <w:rFonts w:hint="eastAsia" w:ascii="宋体" w:hAnsi="宋体" w:cs="宋体"/>
                <w:b w:val="0"/>
                <w:bCs w:val="0"/>
                <w:kern w:val="2"/>
                <w:sz w:val="24"/>
                <w:szCs w:val="24"/>
                <w:lang w:val="en-US" w:eastAsia="zh-CN" w:bidi="ar-SA"/>
              </w:rPr>
              <w:t>12</w:t>
            </w:r>
            <w:r>
              <w:rPr>
                <w:rFonts w:ascii="宋体" w:hAnsi="宋体" w:eastAsia="宋体" w:cs="宋体"/>
                <w:b w:val="0"/>
                <w:bCs w:val="0"/>
                <w:kern w:val="2"/>
                <w:sz w:val="24"/>
                <w:szCs w:val="24"/>
                <w:lang w:val="en-US" w:eastAsia="zh-CN" w:bidi="ar-SA"/>
              </w:rPr>
              <w:t>分</w:t>
            </w:r>
            <w:r>
              <w:rPr>
                <w:rFonts w:hint="eastAsia" w:ascii="宋体" w:hAnsi="宋体" w:eastAsia="宋体" w:cs="宋体"/>
                <w:sz w:val="24"/>
                <w:szCs w:val="24"/>
                <w:lang w:val="en-US" w:eastAsia="zh-CN"/>
              </w:rPr>
              <w:t>方案</w:t>
            </w:r>
            <w:r>
              <w:rPr>
                <w:rFonts w:ascii="宋体" w:hAnsi="宋体" w:eastAsia="宋体" w:cs="宋体"/>
                <w:sz w:val="24"/>
                <w:szCs w:val="24"/>
              </w:rPr>
              <w:t>有校准、测试内容，</w:t>
            </w:r>
            <w:r>
              <w:rPr>
                <w:rFonts w:ascii="宋体" w:hAnsi="宋体" w:eastAsia="宋体" w:cs="宋体"/>
                <w:b w:val="0"/>
                <w:bCs w:val="0"/>
                <w:kern w:val="2"/>
                <w:sz w:val="24"/>
                <w:szCs w:val="24"/>
                <w:lang w:val="en-US" w:eastAsia="zh-CN" w:bidi="ar-SA"/>
              </w:rPr>
              <w:t>内容较详细，较能满足采购需求的得</w:t>
            </w:r>
            <w:r>
              <w:rPr>
                <w:rFonts w:hint="eastAsia" w:ascii="宋体" w:hAnsi="宋体" w:eastAsia="宋体" w:cs="宋体"/>
                <w:b w:val="0"/>
                <w:bCs w:val="0"/>
                <w:kern w:val="2"/>
                <w:sz w:val="24"/>
                <w:szCs w:val="24"/>
                <w:lang w:val="en-US" w:eastAsia="zh-CN" w:bidi="ar-SA"/>
              </w:rPr>
              <w:t>8</w:t>
            </w:r>
            <w:r>
              <w:rPr>
                <w:rFonts w:ascii="宋体" w:hAnsi="宋体" w:eastAsia="宋体" w:cs="宋体"/>
                <w:b w:val="0"/>
                <w:bCs w:val="0"/>
                <w:kern w:val="2"/>
                <w:sz w:val="24"/>
                <w:szCs w:val="24"/>
                <w:lang w:val="en-US" w:eastAsia="zh-CN" w:bidi="ar-SA"/>
              </w:rPr>
              <w:t>分</w:t>
            </w:r>
            <w:r>
              <w:rPr>
                <w:rFonts w:hint="eastAsia" w:ascii="宋体" w:hAnsi="宋体" w:cs="宋体"/>
                <w:b w:val="0"/>
                <w:bCs w:val="0"/>
                <w:kern w:val="2"/>
                <w:sz w:val="24"/>
                <w:szCs w:val="24"/>
                <w:lang w:val="en-US" w:eastAsia="zh-CN" w:bidi="ar-SA"/>
              </w:rPr>
              <w:t>；</w:t>
            </w:r>
          </w:p>
          <w:p w14:paraId="0935F3AD">
            <w:pPr>
              <w:keepNext w:val="0"/>
              <w:keepLines w:val="0"/>
              <w:pageBreakBefore w:val="0"/>
              <w:tabs>
                <w:tab w:val="left" w:pos="1620"/>
              </w:tabs>
              <w:kinsoku/>
              <w:overflowPunct/>
              <w:topLinePunct w:val="0"/>
              <w:bidi w:val="0"/>
              <w:snapToGrid w:val="0"/>
              <w:spacing w:line="360" w:lineRule="auto"/>
              <w:textAlignment w:val="auto"/>
              <w:rPr>
                <w:rFonts w:ascii="宋体" w:hAnsi="宋体" w:eastAsia="宋体" w:cs="宋体"/>
                <w:b w:val="0"/>
                <w:bCs w:val="0"/>
                <w:kern w:val="2"/>
                <w:sz w:val="24"/>
                <w:szCs w:val="24"/>
                <w:lang w:val="en-US" w:eastAsia="zh-CN" w:bidi="ar-SA"/>
              </w:rPr>
            </w:pPr>
            <w:r>
              <w:rPr>
                <w:rFonts w:hint="eastAsia" w:ascii="宋体" w:hAnsi="宋体" w:eastAsia="宋体" w:cs="宋体"/>
                <w:sz w:val="24"/>
                <w:szCs w:val="24"/>
                <w:lang w:val="en-US" w:eastAsia="zh-CN"/>
              </w:rPr>
              <w:t>方案</w:t>
            </w:r>
            <w:r>
              <w:rPr>
                <w:rFonts w:ascii="宋体" w:hAnsi="宋体" w:eastAsia="宋体" w:cs="宋体"/>
                <w:sz w:val="24"/>
                <w:szCs w:val="24"/>
              </w:rPr>
              <w:t>缺少部分关键项目或验收流程不够完整</w:t>
            </w:r>
            <w:r>
              <w:rPr>
                <w:rFonts w:ascii="宋体" w:hAnsi="宋体" w:eastAsia="宋体" w:cs="宋体"/>
                <w:b w:val="0"/>
                <w:bCs w:val="0"/>
                <w:kern w:val="2"/>
                <w:sz w:val="24"/>
                <w:szCs w:val="24"/>
                <w:lang w:val="en-US" w:eastAsia="zh-CN" w:bidi="ar-SA"/>
              </w:rPr>
              <w:t>的得</w:t>
            </w:r>
            <w:r>
              <w:rPr>
                <w:rFonts w:hint="eastAsia" w:ascii="宋体" w:hAnsi="宋体" w:eastAsia="宋体" w:cs="宋体"/>
                <w:b w:val="0"/>
                <w:bCs w:val="0"/>
                <w:kern w:val="2"/>
                <w:sz w:val="24"/>
                <w:szCs w:val="24"/>
                <w:lang w:val="en-US" w:eastAsia="zh-CN" w:bidi="ar-SA"/>
              </w:rPr>
              <w:t>4</w:t>
            </w:r>
            <w:r>
              <w:rPr>
                <w:rFonts w:ascii="宋体" w:hAnsi="宋体" w:eastAsia="宋体" w:cs="宋体"/>
                <w:b w:val="0"/>
                <w:bCs w:val="0"/>
                <w:kern w:val="2"/>
                <w:sz w:val="24"/>
                <w:szCs w:val="24"/>
                <w:lang w:val="en-US" w:eastAsia="zh-CN" w:bidi="ar-SA"/>
              </w:rPr>
              <w:t>分；</w:t>
            </w:r>
          </w:p>
          <w:p w14:paraId="11856275">
            <w:pPr>
              <w:keepNext w:val="0"/>
              <w:keepLines w:val="0"/>
              <w:pageBreakBefore w:val="0"/>
              <w:tabs>
                <w:tab w:val="left" w:pos="1620"/>
              </w:tabs>
              <w:kinsoku/>
              <w:overflowPunct/>
              <w:topLinePunct w:val="0"/>
              <w:bidi w:val="0"/>
              <w:snapToGrid w:val="0"/>
              <w:spacing w:line="360" w:lineRule="auto"/>
              <w:textAlignment w:val="auto"/>
              <w:rPr>
                <w:rFonts w:ascii="宋体" w:hAnsi="宋体" w:eastAsia="宋体" w:cs="宋体"/>
                <w:b w:val="0"/>
                <w:bCs w:val="0"/>
                <w:kern w:val="2"/>
                <w:sz w:val="24"/>
                <w:szCs w:val="24"/>
                <w:lang w:val="en-US" w:eastAsia="zh-CN" w:bidi="ar-SA"/>
              </w:rPr>
            </w:pPr>
            <w:r>
              <w:rPr>
                <w:rFonts w:hint="eastAsia" w:ascii="宋体" w:hAnsi="宋体" w:eastAsia="宋体" w:cs="宋体"/>
                <w:sz w:val="24"/>
                <w:szCs w:val="24"/>
                <w:lang w:val="en-US" w:eastAsia="zh-CN"/>
              </w:rPr>
              <w:t>方案</w:t>
            </w:r>
            <w:r>
              <w:rPr>
                <w:rFonts w:ascii="宋体" w:hAnsi="宋体" w:eastAsia="宋体" w:cs="宋体"/>
                <w:sz w:val="24"/>
                <w:szCs w:val="24"/>
              </w:rPr>
              <w:t>仅有简单文字提及校准测试，无具体方案</w:t>
            </w:r>
            <w:r>
              <w:rPr>
                <w:rFonts w:ascii="宋体" w:hAnsi="宋体" w:eastAsia="宋体" w:cs="宋体"/>
                <w:b w:val="0"/>
                <w:bCs w:val="0"/>
                <w:kern w:val="2"/>
                <w:sz w:val="24"/>
                <w:szCs w:val="24"/>
                <w:lang w:val="en-US" w:eastAsia="zh-CN" w:bidi="ar-SA"/>
              </w:rPr>
              <w:t>得</w:t>
            </w:r>
            <w:r>
              <w:rPr>
                <w:rFonts w:hint="eastAsia" w:ascii="宋体" w:hAnsi="宋体" w:cs="宋体"/>
                <w:b w:val="0"/>
                <w:bCs w:val="0"/>
                <w:kern w:val="2"/>
                <w:sz w:val="24"/>
                <w:szCs w:val="24"/>
                <w:lang w:val="en-US" w:eastAsia="zh-CN" w:bidi="ar-SA"/>
              </w:rPr>
              <w:t>1</w:t>
            </w:r>
            <w:r>
              <w:rPr>
                <w:rFonts w:ascii="宋体" w:hAnsi="宋体" w:eastAsia="宋体" w:cs="宋体"/>
                <w:b w:val="0"/>
                <w:bCs w:val="0"/>
                <w:kern w:val="2"/>
                <w:sz w:val="24"/>
                <w:szCs w:val="24"/>
                <w:lang w:val="en-US" w:eastAsia="zh-CN" w:bidi="ar-SA"/>
              </w:rPr>
              <w:t>分；</w:t>
            </w:r>
          </w:p>
          <w:p w14:paraId="39C766F9">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ascii="宋体" w:hAnsi="宋体" w:eastAsia="宋体" w:cs="宋体"/>
                <w:b w:val="0"/>
                <w:bCs w:val="0"/>
                <w:kern w:val="2"/>
                <w:sz w:val="24"/>
                <w:szCs w:val="24"/>
                <w:lang w:val="en-US" w:eastAsia="zh-CN" w:bidi="ar-SA"/>
              </w:rPr>
              <w:t>未提供者不得分。</w:t>
            </w:r>
          </w:p>
        </w:tc>
      </w:tr>
      <w:tr w14:paraId="1B8B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9" w:type="dxa"/>
            <w:vMerge w:val="continue"/>
            <w:noWrap w:val="0"/>
            <w:vAlign w:val="center"/>
          </w:tcPr>
          <w:p w14:paraId="4149A585">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51075E13">
            <w:pPr>
              <w:keepNext w:val="0"/>
              <w:keepLines w:val="0"/>
              <w:pageBreakBefore w:val="0"/>
              <w:widowControl/>
              <w:kinsoku/>
              <w:wordWrap/>
              <w:overflowPunct/>
              <w:topLinePunct w:val="0"/>
              <w:autoSpaceDE/>
              <w:autoSpaceDN/>
              <w:bidi w:val="0"/>
              <w:adjustRightInd/>
              <w:snapToGrid w:val="0"/>
              <w:spacing w:line="32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配件质量保障措施方案</w:t>
            </w:r>
            <w:r>
              <w:rPr>
                <w:rFonts w:hint="eastAsia" w:asciiTheme="minorEastAsia" w:hAnsiTheme="minorEastAsia" w:eastAsiaTheme="minorEastAsia" w:cstheme="minorEastAsia"/>
                <w:color w:val="auto"/>
                <w:sz w:val="24"/>
                <w:szCs w:val="24"/>
                <w:highlight w:val="none"/>
                <w:lang w:val="en-US" w:eastAsia="zh-CN"/>
              </w:rPr>
              <w:t>（10分）</w:t>
            </w:r>
          </w:p>
        </w:tc>
        <w:tc>
          <w:tcPr>
            <w:tcW w:w="6770" w:type="dxa"/>
            <w:noWrap w:val="0"/>
            <w:vAlign w:val="center"/>
          </w:tcPr>
          <w:p w14:paraId="312842C5">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供应商提供配件质量保障措施方案，包含但不限于：配件准入源头管控、</w:t>
            </w:r>
            <w:r>
              <w:rPr>
                <w:rFonts w:hint="default" w:ascii="宋体" w:hAnsi="宋体" w:eastAsia="宋体" w:cs="宋体"/>
                <w:b w:val="0"/>
                <w:bCs w:val="0"/>
                <w:color w:val="auto"/>
                <w:sz w:val="24"/>
                <w:szCs w:val="24"/>
                <w:highlight w:val="none"/>
                <w:lang w:val="en-US" w:eastAsia="zh-CN"/>
              </w:rPr>
              <w:t>配件仓储与预处理质量管控</w:t>
            </w:r>
            <w:r>
              <w:rPr>
                <w:rFonts w:hint="eastAsia" w:ascii="宋体" w:hAnsi="宋体" w:eastAsia="宋体" w:cs="宋体"/>
                <w:b w:val="0"/>
                <w:bCs w:val="0"/>
                <w:color w:val="auto"/>
                <w:sz w:val="24"/>
                <w:szCs w:val="24"/>
                <w:highlight w:val="none"/>
                <w:lang w:val="en-US" w:eastAsia="zh-CN"/>
              </w:rPr>
              <w:t>、配件防护管理等。</w:t>
            </w:r>
          </w:p>
          <w:p w14:paraId="0A1CE287">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提供的方案配件源头、质量管控、配件防护等内容完整、详尽，承诺无额外费用，完全满足采购需求的得10分；</w:t>
            </w:r>
          </w:p>
          <w:p w14:paraId="4A30F61E">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方案配件源头、质量管控、配件防护等内容内容较详细，较能满足采购需求的得7分；</w:t>
            </w:r>
          </w:p>
          <w:p w14:paraId="2E7D8716">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方案缺少部分关键项目或配件质量相关保障内容描述不完整、不详尽的得4分；</w:t>
            </w:r>
          </w:p>
          <w:p w14:paraId="04DFE928">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方案仅有简单文字描述，或不满足本项采购需求得1分；</w:t>
            </w:r>
          </w:p>
          <w:p w14:paraId="25107E80">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未提供者不得分。</w:t>
            </w:r>
          </w:p>
        </w:tc>
      </w:tr>
      <w:tr w14:paraId="42BA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3" w:hRule="atLeast"/>
          <w:jc w:val="center"/>
        </w:trPr>
        <w:tc>
          <w:tcPr>
            <w:tcW w:w="1239" w:type="dxa"/>
            <w:vMerge w:val="restart"/>
            <w:noWrap w:val="0"/>
            <w:vAlign w:val="center"/>
          </w:tcPr>
          <w:p w14:paraId="18590974">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eastAsia="zh-CN"/>
              </w:rPr>
            </w:pPr>
          </w:p>
          <w:p w14:paraId="73FB12C8">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eastAsia="zh-CN"/>
              </w:rPr>
            </w:pPr>
          </w:p>
          <w:p w14:paraId="050D518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eastAsia="zh-CN"/>
              </w:rPr>
            </w:pPr>
          </w:p>
          <w:p w14:paraId="211643F4">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7AE0FE21">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26</w:t>
            </w:r>
            <w:r>
              <w:rPr>
                <w:rFonts w:hint="eastAsia" w:ascii="宋体" w:hAnsi="宋体" w:eastAsia="宋体" w:cs="宋体"/>
                <w:b w:val="0"/>
                <w:bCs w:val="0"/>
                <w:color w:val="auto"/>
                <w:sz w:val="24"/>
                <w:szCs w:val="24"/>
                <w:highlight w:val="none"/>
                <w:lang w:eastAsia="zh-CN"/>
              </w:rPr>
              <w:t>分)</w:t>
            </w:r>
          </w:p>
        </w:tc>
        <w:tc>
          <w:tcPr>
            <w:tcW w:w="1473" w:type="dxa"/>
            <w:tcBorders>
              <w:top w:val="single" w:color="auto" w:sz="4" w:space="0"/>
            </w:tcBorders>
            <w:noWrap w:val="0"/>
            <w:vAlign w:val="center"/>
          </w:tcPr>
          <w:p w14:paraId="6CF776E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人员配备</w:t>
            </w:r>
            <w:r>
              <w:rPr>
                <w:rFonts w:hint="eastAsia" w:ascii="宋体" w:hAnsi="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分）</w:t>
            </w:r>
          </w:p>
        </w:tc>
        <w:tc>
          <w:tcPr>
            <w:tcW w:w="6770" w:type="dxa"/>
            <w:noWrap w:val="0"/>
            <w:vAlign w:val="center"/>
          </w:tcPr>
          <w:p w14:paraId="44339DBC">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供应商针对本项目配备的影像设备专业维修技术团队，专业维修人员配备≥2名。</w:t>
            </w:r>
          </w:p>
          <w:p w14:paraId="03189969">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人员配备安排合理、专业技术能力强、设备维护经验丰富且持证上岗，能完全满足采购需求的得10分；</w:t>
            </w:r>
          </w:p>
          <w:p w14:paraId="3ED0FF9A">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人员配备较合理、专业能力较强，经验较丰富，基本满足采购需求的得7分；</w:t>
            </w:r>
          </w:p>
          <w:p w14:paraId="06E672B1">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人员配备合理，专业性有待提升的得4分；</w:t>
            </w:r>
          </w:p>
          <w:p w14:paraId="25BF8B6E">
            <w:pPr>
              <w:keepNext w:val="0"/>
              <w:keepLines w:val="0"/>
              <w:pageBreakBefore w:val="0"/>
              <w:tabs>
                <w:tab w:val="left" w:pos="1620"/>
              </w:tabs>
              <w:kinsoku/>
              <w:overflowPunct/>
              <w:topLinePunct w:val="0"/>
              <w:bidi w:val="0"/>
              <w:snapToGrid w:val="0"/>
              <w:spacing w:line="360" w:lineRule="auto"/>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人员配备及专业能力难以满足采购需求的得1分。</w:t>
            </w:r>
          </w:p>
          <w:p w14:paraId="117A310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未提供不得分。</w:t>
            </w:r>
          </w:p>
          <w:p w14:paraId="539492E5">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注：提供人员证书及工作经验证明材料。</w:t>
            </w:r>
          </w:p>
        </w:tc>
      </w:tr>
      <w:tr w14:paraId="5AAD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39" w:type="dxa"/>
            <w:vMerge w:val="continue"/>
            <w:noWrap w:val="0"/>
            <w:vAlign w:val="center"/>
          </w:tcPr>
          <w:p w14:paraId="3D1E7882">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0FFA80A0">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分）</w:t>
            </w:r>
          </w:p>
        </w:tc>
        <w:tc>
          <w:tcPr>
            <w:tcW w:w="6770" w:type="dxa"/>
            <w:noWrap w:val="0"/>
            <w:vAlign w:val="center"/>
          </w:tcPr>
          <w:p w14:paraId="3A1F8A85">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提供自202</w:t>
            </w: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年1月1日（以合同签订时间为准）以来的</w:t>
            </w:r>
            <w:r>
              <w:rPr>
                <w:rFonts w:hint="eastAsia" w:ascii="宋体" w:hAnsi="宋体" w:eastAsia="宋体" w:cs="宋体"/>
                <w:b w:val="0"/>
                <w:bCs w:val="0"/>
                <w:color w:val="auto"/>
                <w:sz w:val="24"/>
                <w:szCs w:val="24"/>
                <w:highlight w:val="none"/>
                <w:lang w:val="en-US" w:eastAsia="zh-CN"/>
              </w:rPr>
              <w:t>类似</w:t>
            </w:r>
            <w:r>
              <w:rPr>
                <w:rFonts w:hint="eastAsia" w:ascii="宋体" w:hAnsi="宋体" w:cs="宋体"/>
                <w:b w:val="0"/>
                <w:bCs w:val="0"/>
                <w:color w:val="auto"/>
                <w:sz w:val="24"/>
                <w:szCs w:val="24"/>
                <w:highlight w:val="none"/>
                <w:lang w:val="en-US" w:eastAsia="zh-CN"/>
              </w:rPr>
              <w:t>业绩（16排CT维保/维修服务类）</w:t>
            </w:r>
            <w:r>
              <w:rPr>
                <w:rFonts w:hint="eastAsia" w:ascii="宋体" w:hAnsi="宋体" w:eastAsia="宋体" w:cs="宋体"/>
                <w:b w:val="0"/>
                <w:bCs w:val="0"/>
                <w:color w:val="auto"/>
                <w:sz w:val="24"/>
                <w:szCs w:val="24"/>
                <w:highlight w:val="none"/>
                <w:lang w:val="en-US" w:eastAsia="zh-CN"/>
              </w:rPr>
              <w:t>，每提供一份得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分，最多得</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r>
      <w:tr w14:paraId="39E3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39" w:type="dxa"/>
            <w:vMerge w:val="continue"/>
            <w:noWrap w:val="0"/>
            <w:vAlign w:val="center"/>
          </w:tcPr>
          <w:p w14:paraId="7A875051">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3E3C7FE2">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eastAsia="宋体" w:cs="宋体"/>
                <w:b w:val="0"/>
                <w:bCs w:val="0"/>
                <w:color w:val="auto"/>
                <w:sz w:val="24"/>
                <w:szCs w:val="24"/>
                <w:highlight w:val="none"/>
              </w:rPr>
            </w:pPr>
            <w:r>
              <w:rPr>
                <w:rFonts w:hint="eastAsia" w:ascii="宋体" w:hAnsi="宋体" w:cs="宋体"/>
                <w:sz w:val="24"/>
                <w:szCs w:val="24"/>
                <w:lang w:val="en-US" w:eastAsia="zh-CN"/>
              </w:rPr>
              <w:t>3.</w:t>
            </w:r>
            <w:r>
              <w:rPr>
                <w:rFonts w:ascii="宋体" w:hAnsi="宋体" w:eastAsia="宋体" w:cs="宋体"/>
                <w:sz w:val="24"/>
                <w:szCs w:val="24"/>
              </w:rPr>
              <w:t>质保</w:t>
            </w:r>
            <w:r>
              <w:rPr>
                <w:rFonts w:hint="eastAsia" w:ascii="宋体" w:hAnsi="宋体" w:cs="宋体"/>
                <w:sz w:val="24"/>
                <w:szCs w:val="24"/>
                <w:lang w:val="en-US" w:eastAsia="zh-CN"/>
              </w:rPr>
              <w:t>期内</w:t>
            </w:r>
            <w:r>
              <w:rPr>
                <w:rFonts w:ascii="宋体" w:hAnsi="宋体" w:eastAsia="宋体" w:cs="宋体"/>
                <w:sz w:val="24"/>
                <w:szCs w:val="24"/>
              </w:rPr>
              <w:t>服务方案</w:t>
            </w:r>
            <w:r>
              <w:rPr>
                <w:rFonts w:hint="eastAsia" w:asciiTheme="minorEastAsia" w:hAnsiTheme="minorEastAsia" w:eastAsiaTheme="minorEastAsia" w:cstheme="minorEastAsia"/>
                <w:color w:val="auto"/>
                <w:sz w:val="24"/>
                <w:szCs w:val="24"/>
                <w:highlight w:val="none"/>
                <w:lang w:val="en-US" w:eastAsia="zh-CN"/>
              </w:rPr>
              <w:t>（10分）</w:t>
            </w:r>
          </w:p>
        </w:tc>
        <w:tc>
          <w:tcPr>
            <w:tcW w:w="6770" w:type="dxa"/>
            <w:noWrap w:val="0"/>
            <w:vAlign w:val="center"/>
          </w:tcPr>
          <w:p w14:paraId="74CA509F">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sz w:val="24"/>
                <w:szCs w:val="24"/>
                <w:lang w:val="en-US" w:eastAsia="zh-CN"/>
              </w:rPr>
              <w:t>供</w:t>
            </w:r>
            <w:r>
              <w:rPr>
                <w:rFonts w:hint="eastAsia" w:ascii="宋体" w:hAnsi="宋体" w:eastAsia="宋体" w:cs="宋体"/>
                <w:b w:val="0"/>
                <w:bCs w:val="0"/>
                <w:color w:val="auto"/>
                <w:sz w:val="24"/>
                <w:szCs w:val="24"/>
                <w:highlight w:val="none"/>
                <w:lang w:val="en-US" w:eastAsia="zh-CN"/>
              </w:rPr>
              <w:t>应商提供质保期内服务方案，包括但不限于：质保期限、质保范围、故障响应及时率、售后人员配备。</w:t>
            </w:r>
          </w:p>
          <w:p w14:paraId="0E9CE6D2">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提供的方案完整、针对性强，内容详尽，完全满足采购需求的得10分；</w:t>
            </w:r>
          </w:p>
          <w:p w14:paraId="72E95B72">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提供的方案较科学，内容较详细，较能满足采购需求的得7分；</w:t>
            </w:r>
          </w:p>
          <w:p w14:paraId="3783E640">
            <w:pPr>
              <w:keepNext w:val="0"/>
              <w:keepLines w:val="0"/>
              <w:pageBreakBefore w:val="0"/>
              <w:tabs>
                <w:tab w:val="left" w:pos="1620"/>
              </w:tabs>
              <w:kinsoku/>
              <w:overflowPunct/>
              <w:topLinePunct w:val="0"/>
              <w:bidi w:val="0"/>
              <w:snapToGrid w:val="0"/>
              <w:spacing w:line="360" w:lineRule="auto"/>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提供的方案质保响应、故障处置流程等描述不全的得4分；</w:t>
            </w:r>
          </w:p>
          <w:p w14:paraId="7DCC7324">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提供的响应方案有缺项漏项等得1分；</w:t>
            </w:r>
          </w:p>
          <w:p w14:paraId="3C95125C">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未提供者不得分。</w:t>
            </w:r>
          </w:p>
        </w:tc>
      </w:tr>
      <w:tr w14:paraId="3C5E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239" w:type="dxa"/>
            <w:noWrap w:val="0"/>
            <w:vAlign w:val="top"/>
          </w:tcPr>
          <w:p w14:paraId="13A55534">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0EBCC37">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1734448">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3276D47F">
      <w:pPr>
        <w:keepNext w:val="0"/>
        <w:keepLines w:val="0"/>
        <w:pageBreakBefore w:val="0"/>
        <w:numPr>
          <w:ilvl w:val="0"/>
          <w:numId w:val="0"/>
        </w:numPr>
        <w:kinsoku/>
        <w:overflowPunct/>
        <w:topLinePunct w:val="0"/>
        <w:bidi w:val="0"/>
        <w:snapToGrid w:val="0"/>
        <w:spacing w:line="360" w:lineRule="auto"/>
        <w:ind w:firstLine="420" w:firstLineChars="200"/>
        <w:textAlignment w:val="auto"/>
        <w:rPr>
          <w:rFonts w:hint="eastAsia" w:ascii="宋体" w:hAnsi="宋体" w:eastAsia="宋体" w:cs="宋体"/>
          <w:b w:val="0"/>
          <w:bCs w:val="0"/>
          <w:color w:val="auto"/>
          <w:sz w:val="21"/>
          <w:szCs w:val="21"/>
          <w:highlight w:val="none"/>
        </w:rPr>
      </w:pPr>
    </w:p>
    <w:p w14:paraId="7E86A89C">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p>
    <w:p w14:paraId="76638E9F">
      <w:pP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br w:type="page"/>
      </w:r>
    </w:p>
    <w:p w14:paraId="069D52B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p>
    <w:bookmarkEnd w:id="36"/>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38" w:name="_Toc31636"/>
      <w:bookmarkStart w:id="39" w:name="_Toc1947"/>
      <w:bookmarkStart w:id="40" w:name="_Toc1482"/>
      <w:bookmarkStart w:id="41" w:name="_Toc326786897"/>
      <w:bookmarkStart w:id="42" w:name="_Toc256519703"/>
      <w:r>
        <w:rPr>
          <w:rFonts w:hint="eastAsia" w:ascii="宋体" w:hAnsi="宋体" w:eastAsia="宋体" w:cs="宋体"/>
          <w:color w:val="auto"/>
          <w:sz w:val="28"/>
          <w:szCs w:val="28"/>
          <w:highlight w:val="none"/>
        </w:rPr>
        <w:t>第五章  采购合同</w:t>
      </w:r>
      <w:bookmarkEnd w:id="38"/>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1"/>
        <w:rPr>
          <w:rFonts w:hint="eastAsia" w:ascii="宋体" w:hAnsi="宋体" w:eastAsia="宋体" w:cs="宋体"/>
          <w:color w:val="auto"/>
          <w:highlight w:val="none"/>
        </w:rPr>
      </w:pPr>
    </w:p>
    <w:p w14:paraId="5164A6B6">
      <w:pPr>
        <w:pStyle w:val="2"/>
        <w:jc w:val="center"/>
        <w:rPr>
          <w:rFonts w:hint="eastAsia" w:ascii="宋体" w:hAnsi="宋体" w:eastAsia="宋体" w:cs="宋体"/>
          <w:color w:val="auto"/>
          <w:sz w:val="24"/>
          <w:highlight w:val="none"/>
        </w:rPr>
      </w:pPr>
      <w:bookmarkStart w:id="43" w:name="_Toc10874"/>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3"/>
    </w:p>
    <w:p w14:paraId="1238A038">
      <w:pPr>
        <w:jc w:val="center"/>
        <w:rPr>
          <w:rFonts w:hint="eastAsia" w:ascii="宋体" w:hAnsi="宋体" w:eastAsia="宋体" w:cs="宋体"/>
          <w:b/>
          <w:bCs/>
          <w:color w:val="auto"/>
          <w:sz w:val="32"/>
          <w:szCs w:val="32"/>
          <w:highlight w:val="none"/>
        </w:rPr>
      </w:pPr>
      <w:bookmarkStart w:id="44" w:name="_Toc13604"/>
      <w:r>
        <w:rPr>
          <w:rFonts w:hint="eastAsia" w:ascii="宋体" w:hAnsi="宋体" w:eastAsia="宋体" w:cs="宋体"/>
          <w:b/>
          <w:bCs/>
          <w:color w:val="auto"/>
          <w:sz w:val="32"/>
          <w:szCs w:val="32"/>
          <w:highlight w:val="none"/>
        </w:rPr>
        <w:t>目    录</w:t>
      </w:r>
      <w:bookmarkEnd w:id="44"/>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5"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5"/>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6"/>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7"/>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8" w:name="_Toc9579"/>
      <w:r>
        <w:rPr>
          <w:rFonts w:hint="eastAsia" w:ascii="宋体" w:hAnsi="宋体" w:eastAsia="宋体" w:cs="宋体"/>
          <w:color w:val="auto"/>
          <w:sz w:val="24"/>
          <w:highlight w:val="none"/>
        </w:rPr>
        <w:t xml:space="preserve">附件4 </w:t>
      </w:r>
      <w:bookmarkEnd w:id="48"/>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28392"/>
      <w:r>
        <w:rPr>
          <w:rFonts w:hint="eastAsia" w:ascii="宋体" w:hAnsi="宋体" w:eastAsia="宋体" w:cs="宋体"/>
          <w:color w:val="auto"/>
          <w:sz w:val="24"/>
          <w:highlight w:val="none"/>
        </w:rPr>
        <w:t>附件5</w:t>
      </w:r>
      <w:r>
        <w:rPr>
          <w:rFonts w:hint="eastAsia" w:ascii="宋体" w:hAnsi="宋体" w:cs="宋体"/>
          <w:color w:val="auto"/>
          <w:sz w:val="24"/>
          <w:highlight w:val="none"/>
          <w:lang w:val="en-US" w:eastAsia="zh-CN"/>
        </w:rPr>
        <w:t>服务</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49"/>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0" w:name="_Toc6234"/>
      <w:r>
        <w:rPr>
          <w:rFonts w:hint="eastAsia" w:ascii="宋体" w:hAnsi="宋体" w:eastAsia="宋体" w:cs="宋体"/>
          <w:color w:val="auto"/>
          <w:sz w:val="24"/>
          <w:highlight w:val="none"/>
        </w:rPr>
        <w:t>附件6 商务</w:t>
      </w:r>
      <w:bookmarkEnd w:id="50"/>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1"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1"/>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2"/>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31857"/>
      <w:r>
        <w:rPr>
          <w:rFonts w:hint="eastAsia" w:ascii="宋体" w:hAnsi="宋体" w:eastAsia="宋体" w:cs="宋体"/>
          <w:color w:val="auto"/>
          <w:sz w:val="24"/>
          <w:highlight w:val="none"/>
        </w:rPr>
        <w:t>附件9 证明文件</w:t>
      </w:r>
      <w:bookmarkEnd w:id="53"/>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1"/>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6"/>
        <w:rPr>
          <w:rFonts w:hint="eastAsia" w:ascii="宋体" w:hAnsi="宋体" w:eastAsia="宋体" w:cs="宋体"/>
          <w:color w:val="auto"/>
          <w:highlight w:val="none"/>
        </w:rPr>
      </w:pPr>
    </w:p>
    <w:p w14:paraId="67FE75CD">
      <w:pPr>
        <w:pStyle w:val="6"/>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4" w:name="_Toc31798"/>
      <w:bookmarkStart w:id="55"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4"/>
      <w:bookmarkEnd w:id="55"/>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6"/>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6" w:name="_Toc8818"/>
      <w:bookmarkStart w:id="57" w:name="_Toc14560"/>
      <w:r>
        <w:rPr>
          <w:rFonts w:hint="eastAsia" w:ascii="宋体" w:hAnsi="宋体" w:eastAsia="宋体" w:cs="宋体"/>
          <w:color w:val="auto"/>
          <w:sz w:val="28"/>
          <w:szCs w:val="28"/>
          <w:highlight w:val="none"/>
          <w:lang w:val="en-US" w:eastAsia="zh-CN"/>
        </w:rPr>
        <w:t>附件2      竞争性磋商响应书（格式）</w:t>
      </w:r>
      <w:bookmarkEnd w:id="56"/>
      <w:bookmarkEnd w:id="57"/>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color w:val="auto"/>
          <w:sz w:val="24"/>
          <w:szCs w:val="24"/>
          <w:highlight w:val="none"/>
          <w:lang w:val="en-US" w:eastAsia="zh-CN"/>
        </w:rPr>
        <w:t>采</w:t>
      </w:r>
      <w:r>
        <w:rPr>
          <w:rFonts w:hint="eastAsia" w:asciiTheme="minorEastAsia" w:hAnsiTheme="minorEastAsia"/>
          <w:sz w:val="24"/>
          <w:szCs w:val="24"/>
          <w:highlight w:val="none"/>
          <w:lang w:val="en-US" w:eastAsia="zh-CN"/>
        </w:rPr>
        <w:t>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8" w:name="_Toc7838"/>
      <w:r>
        <w:rPr>
          <w:rFonts w:hint="eastAsia" w:ascii="宋体" w:hAnsi="宋体" w:eastAsia="宋体" w:cs="宋体"/>
          <w:color w:val="auto"/>
          <w:sz w:val="28"/>
          <w:szCs w:val="28"/>
          <w:highlight w:val="none"/>
          <w:lang w:val="en-US" w:eastAsia="zh-CN"/>
        </w:rPr>
        <w:t>附件3            初次报价一览表</w:t>
      </w:r>
      <w:bookmarkEnd w:id="58"/>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3"/>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59" w:name="_Toc20877"/>
      <w:bookmarkStart w:id="60" w:name="_Toc11620"/>
    </w:p>
    <w:bookmarkEnd w:id="59"/>
    <w:bookmarkEnd w:id="60"/>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1" w:name="_Toc22004"/>
      <w:bookmarkStart w:id="62"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1"/>
      <w:bookmarkEnd w:id="62"/>
      <w:r>
        <w:rPr>
          <w:rFonts w:hint="eastAsia" w:ascii="宋体" w:hAnsi="宋体" w:eastAsia="宋体" w:cs="宋体"/>
          <w:color w:val="auto"/>
          <w:sz w:val="28"/>
          <w:szCs w:val="28"/>
          <w:highlight w:val="none"/>
          <w:lang w:val="en-US" w:eastAsia="zh-CN"/>
        </w:rPr>
        <w:t>报价明细表（格式）</w:t>
      </w:r>
    </w:p>
    <w:p w14:paraId="31679111">
      <w:pPr>
        <w:widowControl/>
        <w:wordWrap w:val="0"/>
        <w:snapToGrid w:val="0"/>
        <w:spacing w:before="50" w:after="50"/>
        <w:ind w:right="-817" w:rightChars="-389"/>
        <w:jc w:val="both"/>
        <w:rPr>
          <w:rFonts w:ascii="宋体" w:hAnsi="宋体" w:cs="宋体"/>
          <w:color w:val="auto"/>
          <w:kern w:val="0"/>
          <w:sz w:val="24"/>
          <w:highlight w:val="none"/>
        </w:rPr>
      </w:pPr>
      <w:r>
        <w:rPr>
          <w:rFonts w:hint="eastAsia" w:ascii="宋体" w:hAnsi="宋体" w:cs="宋体"/>
          <w:color w:val="auto"/>
          <w:kern w:val="0"/>
          <w:sz w:val="24"/>
          <w:highlight w:val="none"/>
        </w:rPr>
        <w:t>金额单位：人民币（元）</w:t>
      </w:r>
    </w:p>
    <w:tbl>
      <w:tblPr>
        <w:tblStyle w:val="33"/>
        <w:tblW w:w="9387" w:type="dxa"/>
        <w:tblInd w:w="1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3222"/>
        <w:gridCol w:w="1425"/>
        <w:gridCol w:w="1200"/>
        <w:gridCol w:w="1545"/>
        <w:gridCol w:w="1095"/>
      </w:tblGrid>
      <w:tr w14:paraId="40408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46" w:hRule="atLeast"/>
        </w:trPr>
        <w:tc>
          <w:tcPr>
            <w:tcW w:w="900" w:type="dxa"/>
            <w:tcBorders>
              <w:top w:val="single" w:color="auto" w:sz="4" w:space="0"/>
              <w:left w:val="single" w:color="auto" w:sz="4" w:space="0"/>
              <w:bottom w:val="nil"/>
              <w:right w:val="single" w:color="auto" w:sz="4" w:space="0"/>
            </w:tcBorders>
            <w:vAlign w:val="center"/>
          </w:tcPr>
          <w:p w14:paraId="7BAC3558">
            <w:pPr>
              <w:widowControl/>
              <w:tabs>
                <w:tab w:val="left" w:pos="1418"/>
              </w:tabs>
              <w:snapToGrid w:val="0"/>
              <w:spacing w:before="50" w:after="50" w:line="360" w:lineRule="exact"/>
              <w:jc w:val="center"/>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3222" w:type="dxa"/>
            <w:tcBorders>
              <w:top w:val="single" w:color="auto" w:sz="4" w:space="0"/>
              <w:left w:val="single" w:color="auto" w:sz="4" w:space="0"/>
              <w:bottom w:val="nil"/>
              <w:right w:val="single" w:color="auto" w:sz="4" w:space="0"/>
            </w:tcBorders>
            <w:vAlign w:val="center"/>
          </w:tcPr>
          <w:p w14:paraId="3E60304F">
            <w:pPr>
              <w:widowControl/>
              <w:tabs>
                <w:tab w:val="left" w:pos="1418"/>
              </w:tabs>
              <w:snapToGrid w:val="0"/>
              <w:spacing w:before="50" w:after="50" w:line="360" w:lineRule="exact"/>
              <w:jc w:val="center"/>
              <w:rPr>
                <w:rFonts w:hint="default"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名称</w:t>
            </w:r>
          </w:p>
        </w:tc>
        <w:tc>
          <w:tcPr>
            <w:tcW w:w="1425" w:type="dxa"/>
            <w:tcBorders>
              <w:top w:val="single" w:color="auto" w:sz="4" w:space="0"/>
              <w:left w:val="single" w:color="auto" w:sz="4" w:space="0"/>
              <w:bottom w:val="nil"/>
              <w:right w:val="single" w:color="auto" w:sz="4" w:space="0"/>
            </w:tcBorders>
            <w:vAlign w:val="center"/>
          </w:tcPr>
          <w:p w14:paraId="4332CEC2">
            <w:pPr>
              <w:widowControl/>
              <w:tabs>
                <w:tab w:val="left" w:pos="1418"/>
              </w:tabs>
              <w:snapToGrid w:val="0"/>
              <w:spacing w:before="50" w:after="50" w:line="360" w:lineRule="exact"/>
              <w:jc w:val="center"/>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1200" w:type="dxa"/>
            <w:tcBorders>
              <w:top w:val="single" w:color="auto" w:sz="4" w:space="0"/>
              <w:left w:val="single" w:color="auto" w:sz="4" w:space="0"/>
              <w:bottom w:val="nil"/>
              <w:right w:val="single" w:color="auto" w:sz="4" w:space="0"/>
            </w:tcBorders>
            <w:vAlign w:val="center"/>
          </w:tcPr>
          <w:p w14:paraId="2E4609EA">
            <w:pPr>
              <w:widowControl/>
              <w:tabs>
                <w:tab w:val="left" w:pos="1418"/>
              </w:tabs>
              <w:snapToGrid w:val="0"/>
              <w:spacing w:before="50" w:after="50" w:line="360" w:lineRule="exact"/>
              <w:jc w:val="center"/>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545" w:type="dxa"/>
            <w:tcBorders>
              <w:top w:val="single" w:color="auto" w:sz="4" w:space="0"/>
              <w:left w:val="single" w:color="auto" w:sz="4" w:space="0"/>
              <w:bottom w:val="nil"/>
              <w:right w:val="single" w:color="auto" w:sz="4" w:space="0"/>
            </w:tcBorders>
            <w:vAlign w:val="center"/>
          </w:tcPr>
          <w:p w14:paraId="088F864C">
            <w:pPr>
              <w:widowControl/>
              <w:tabs>
                <w:tab w:val="left" w:pos="1418"/>
              </w:tabs>
              <w:snapToGrid w:val="0"/>
              <w:spacing w:before="50" w:after="50" w:line="360" w:lineRule="exact"/>
              <w:jc w:val="center"/>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金额</w:t>
            </w:r>
          </w:p>
        </w:tc>
        <w:tc>
          <w:tcPr>
            <w:tcW w:w="1095" w:type="dxa"/>
            <w:tcBorders>
              <w:top w:val="single" w:color="auto" w:sz="4" w:space="0"/>
              <w:left w:val="single" w:color="auto" w:sz="4" w:space="0"/>
              <w:bottom w:val="nil"/>
              <w:right w:val="single" w:color="auto" w:sz="4" w:space="0"/>
            </w:tcBorders>
            <w:vAlign w:val="center"/>
          </w:tcPr>
          <w:p w14:paraId="2A225AAF">
            <w:pPr>
              <w:widowControl/>
              <w:tabs>
                <w:tab w:val="left" w:pos="1418"/>
              </w:tabs>
              <w:snapToGrid w:val="0"/>
              <w:spacing w:before="50" w:after="50" w:line="360" w:lineRule="exact"/>
              <w:jc w:val="center"/>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备注</w:t>
            </w:r>
          </w:p>
        </w:tc>
      </w:tr>
      <w:tr w14:paraId="23BDF3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5E8B3B5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6DD7DC19">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4C1C2B6">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42634129">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9326FB9">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1B266CD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171B3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60BB88C5">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76A2AA4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DD3ABE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2F0A1DB1">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1DC0F82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A957F4E">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2DB305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18D68496">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26FB858D">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519402F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577AB51B">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EF1C6B3">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73EB492">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2A8FE4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07FEE5C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47E8BC4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26EA71B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0C3C89A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6117B45F">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7C10118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193F4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59DCE928">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3CA6FE3A">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FCC9B05">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42901853">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34C3D0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14C8C8EF">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05D94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747" w:type="dxa"/>
            <w:gridSpan w:val="4"/>
            <w:tcBorders>
              <w:top w:val="single" w:color="auto" w:sz="4" w:space="0"/>
              <w:left w:val="single" w:color="auto" w:sz="4" w:space="0"/>
              <w:bottom w:val="single" w:color="auto" w:sz="4" w:space="0"/>
              <w:right w:val="single" w:color="auto" w:sz="4" w:space="0"/>
            </w:tcBorders>
            <w:vAlign w:val="top"/>
          </w:tcPr>
          <w:p w14:paraId="26AC852F">
            <w:pPr>
              <w:widowControl/>
              <w:tabs>
                <w:tab w:val="left" w:pos="1418"/>
              </w:tabs>
              <w:snapToGrid w:val="0"/>
              <w:spacing w:before="50" w:after="50" w:line="360" w:lineRule="exact"/>
              <w:jc w:val="left"/>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c>
          <w:tcPr>
            <w:tcW w:w="1545" w:type="dxa"/>
            <w:tcBorders>
              <w:top w:val="single" w:color="auto" w:sz="4" w:space="0"/>
              <w:left w:val="single" w:color="auto" w:sz="4" w:space="0"/>
              <w:bottom w:val="single" w:color="auto" w:sz="4" w:space="0"/>
              <w:right w:val="single" w:color="auto" w:sz="4" w:space="0"/>
            </w:tcBorders>
            <w:vAlign w:val="top"/>
          </w:tcPr>
          <w:p w14:paraId="135016DF">
            <w:pPr>
              <w:widowControl/>
              <w:tabs>
                <w:tab w:val="left" w:pos="1418"/>
              </w:tabs>
              <w:snapToGrid w:val="0"/>
              <w:spacing w:before="50" w:after="50" w:line="360" w:lineRule="exact"/>
              <w:jc w:val="left"/>
              <w:rPr>
                <w:rFonts w:hint="eastAsia" w:ascii="宋体" w:hAnsi="宋体" w:cs="宋体"/>
                <w:color w:val="auto"/>
                <w:spacing w:val="20"/>
                <w:kern w:val="0"/>
                <w:sz w:val="24"/>
                <w:highlight w:val="none"/>
                <w:lang w:val="en-US" w:eastAsia="zh-CN"/>
              </w:rPr>
            </w:pPr>
            <w:r>
              <w:rPr>
                <w:rFonts w:hint="eastAsia" w:ascii="宋体" w:hAnsi="宋体" w:cs="宋体"/>
                <w:color w:val="auto"/>
                <w:kern w:val="0"/>
                <w:sz w:val="24"/>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top"/>
          </w:tcPr>
          <w:p w14:paraId="4E4F9D16">
            <w:pPr>
              <w:widowControl/>
              <w:tabs>
                <w:tab w:val="left" w:pos="1418"/>
              </w:tabs>
              <w:snapToGrid w:val="0"/>
              <w:spacing w:before="50" w:after="50" w:line="360" w:lineRule="exact"/>
              <w:jc w:val="left"/>
              <w:rPr>
                <w:rFonts w:hint="eastAsia" w:ascii="宋体" w:hAnsi="宋体" w:cs="宋体"/>
                <w:color w:val="auto"/>
                <w:kern w:val="0"/>
                <w:sz w:val="24"/>
                <w:szCs w:val="21"/>
                <w:highlight w:val="none"/>
              </w:rPr>
            </w:pPr>
          </w:p>
        </w:tc>
      </w:tr>
    </w:tbl>
    <w:p w14:paraId="310B7D93">
      <w:pPr>
        <w:widowControl/>
        <w:wordWrap w:val="0"/>
        <w:spacing w:line="460" w:lineRule="exact"/>
        <w:ind w:firstLine="2760" w:firstLineChars="1150"/>
        <w:jc w:val="left"/>
        <w:rPr>
          <w:rFonts w:ascii="宋体" w:hAnsi="宋体" w:cs="宋体"/>
          <w:color w:val="auto"/>
          <w:kern w:val="0"/>
          <w:sz w:val="24"/>
          <w:highlight w:val="none"/>
        </w:rPr>
      </w:pPr>
    </w:p>
    <w:p w14:paraId="0C700E74">
      <w:pPr>
        <w:pStyle w:val="31"/>
        <w:ind w:firstLine="3990" w:firstLineChars="1900"/>
        <w:rPr>
          <w:rFonts w:hint="eastAsia" w:ascii="宋体" w:hAnsi="宋体" w:eastAsia="宋体" w:cs="宋体"/>
          <w:color w:val="auto"/>
          <w:sz w:val="21"/>
          <w:szCs w:val="21"/>
          <w:highlight w:val="none"/>
          <w:lang w:eastAsia="zh-CN"/>
        </w:rPr>
      </w:pPr>
    </w:p>
    <w:p w14:paraId="7B4A5544">
      <w:pPr>
        <w:pStyle w:val="31"/>
        <w:ind w:firstLine="3990" w:firstLineChars="19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（全称并加盖公章）：</w:t>
      </w:r>
    </w:p>
    <w:p w14:paraId="6B8300FC">
      <w:pPr>
        <w:widowControl/>
        <w:shd w:val="clear" w:color="auto" w:fill="FFFFFF"/>
        <w:spacing w:line="360" w:lineRule="auto"/>
        <w:ind w:left="1480" w:leftChars="705" w:firstLine="1524" w:firstLineChars="726"/>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法定代表人或委托代理人（签字</w:t>
      </w:r>
      <w:r>
        <w:rPr>
          <w:rFonts w:hint="eastAsia" w:ascii="宋体" w:hAnsi="宋体" w:eastAsia="宋体" w:cs="宋体"/>
          <w:color w:val="auto"/>
          <w:kern w:val="0"/>
          <w:sz w:val="21"/>
          <w:szCs w:val="21"/>
          <w:highlight w:val="none"/>
          <w:lang w:val="en-US" w:eastAsia="zh-CN"/>
        </w:rPr>
        <w:t>或盖章</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p>
    <w:p w14:paraId="42EC243C">
      <w:pPr>
        <w:widowControl/>
        <w:wordWrap w:val="0"/>
        <w:spacing w:line="460" w:lineRule="exact"/>
        <w:ind w:firstLine="4410" w:firstLineChars="2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年    月    日</w:t>
      </w:r>
    </w:p>
    <w:p w14:paraId="7BB69D1D">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76C9301">
      <w:pPr>
        <w:pStyle w:val="16"/>
        <w:rPr>
          <w:rFonts w:hint="eastAsia" w:ascii="宋体" w:hAnsi="宋体" w:eastAsia="宋体" w:cs="宋体"/>
          <w:color w:val="auto"/>
          <w:kern w:val="0"/>
          <w:sz w:val="24"/>
          <w:highlight w:val="none"/>
        </w:rPr>
        <w:sectPr>
          <w:footerReference r:id="rId5" w:type="default"/>
          <w:pgSz w:w="11906" w:h="16838"/>
          <w:pgMar w:top="1417" w:right="1474" w:bottom="1417" w:left="1474" w:header="851" w:footer="624" w:gutter="0"/>
          <w:pgNumType w:fmt="decimal"/>
          <w:cols w:space="720" w:num="1"/>
          <w:docGrid w:type="lines" w:linePitch="319" w:charSpace="0"/>
        </w:sectPr>
      </w:pPr>
    </w:p>
    <w:p w14:paraId="63C4702C">
      <w:pPr>
        <w:jc w:val="both"/>
        <w:rPr>
          <w:rFonts w:hint="eastAsia" w:ascii="宋体" w:hAnsi="宋体" w:cs="宋体"/>
          <w:color w:val="auto"/>
          <w:kern w:val="0"/>
          <w:sz w:val="24"/>
          <w:highlight w:val="none"/>
        </w:rPr>
      </w:pPr>
    </w:p>
    <w:p w14:paraId="57412C83">
      <w:pPr>
        <w:rPr>
          <w:rFonts w:hint="eastAsia" w:ascii="宋体" w:hAnsi="宋体" w:cs="宋体"/>
          <w:color w:val="auto"/>
          <w:sz w:val="24"/>
          <w:szCs w:val="24"/>
          <w:highlight w:val="none"/>
          <w:lang w:val="en-US" w:eastAsia="zh-CN"/>
        </w:rPr>
      </w:pPr>
      <w:bookmarkStart w:id="63" w:name="_Toc226"/>
      <w:bookmarkStart w:id="64" w:name="_Toc15804"/>
    </w:p>
    <w:p w14:paraId="568848E2">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3"/>
      <w:bookmarkEnd w:id="64"/>
      <w:r>
        <w:rPr>
          <w:rFonts w:hint="eastAsia" w:ascii="宋体" w:hAnsi="宋体" w:eastAsia="宋体" w:cs="宋体"/>
          <w:color w:val="auto"/>
          <w:sz w:val="28"/>
          <w:szCs w:val="28"/>
          <w:highlight w:val="none"/>
          <w:lang w:val="en-US" w:eastAsia="zh-CN"/>
        </w:rPr>
        <w:t xml:space="preserve">  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5" w:name="_Toc24168"/>
      <w:bookmarkStart w:id="66" w:name="_Toc29960"/>
      <w:bookmarkStart w:id="67" w:name="_Toc20420"/>
      <w:r>
        <w:rPr>
          <w:rFonts w:hint="eastAsia" w:ascii="宋体" w:hAnsi="宋体" w:eastAsia="宋体" w:cs="宋体"/>
          <w:color w:val="auto"/>
          <w:sz w:val="28"/>
          <w:szCs w:val="28"/>
          <w:highlight w:val="none"/>
          <w:lang w:val="en-US" w:eastAsia="zh-CN"/>
        </w:rPr>
        <w:t>附件6            商务响应</w:t>
      </w:r>
      <w:bookmarkEnd w:id="65"/>
      <w:bookmarkEnd w:id="66"/>
      <w:bookmarkEnd w:id="67"/>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2301" w:type="dxa"/>
            <w:noWrap w:val="0"/>
            <w:vAlign w:val="center"/>
          </w:tcPr>
          <w:p w14:paraId="6DC2849E">
            <w:pPr>
              <w:pStyle w:val="15"/>
              <w:ind w:left="0" w:leftChars="0"/>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服务地点</w:t>
            </w: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301" w:type="dxa"/>
            <w:noWrap w:val="0"/>
            <w:vAlign w:val="center"/>
          </w:tcPr>
          <w:p w14:paraId="0472149B">
            <w:pPr>
              <w:pStyle w:val="15"/>
              <w:ind w:left="0" w:leftChars="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服务质量</w:t>
            </w: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2301" w:type="dxa"/>
            <w:noWrap w:val="0"/>
            <w:vAlign w:val="center"/>
          </w:tcPr>
          <w:p w14:paraId="50BB9001">
            <w:pPr>
              <w:pStyle w:val="15"/>
              <w:ind w:left="0" w:leftChars="0"/>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质保期</w:t>
            </w: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2301" w:type="dxa"/>
            <w:noWrap w:val="0"/>
            <w:vAlign w:val="center"/>
          </w:tcPr>
          <w:p w14:paraId="6182A3E4">
            <w:pPr>
              <w:pStyle w:val="15"/>
              <w:ind w:left="0"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w:t>
            </w:r>
            <w:r>
              <w:rPr>
                <w:rFonts w:hint="eastAsia" w:cs="宋体"/>
                <w:color w:val="auto"/>
                <w:sz w:val="24"/>
                <w:szCs w:val="24"/>
                <w:highlight w:val="none"/>
                <w:lang w:val="en-US" w:eastAsia="zh-CN"/>
              </w:rPr>
              <w:t>方式</w:t>
            </w: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48150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3C7FED66">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2301" w:type="dxa"/>
            <w:noWrap w:val="0"/>
            <w:vAlign w:val="center"/>
          </w:tcPr>
          <w:p w14:paraId="6AA223D2">
            <w:pPr>
              <w:pStyle w:val="15"/>
              <w:ind w:left="0" w:leftChars="0"/>
              <w:jc w:val="center"/>
              <w:rPr>
                <w:rFonts w:hint="eastAsia" w:ascii="宋体" w:hAnsi="宋体" w:eastAsia="宋体" w:cs="宋体"/>
                <w:color w:val="auto"/>
                <w:sz w:val="21"/>
                <w:szCs w:val="21"/>
                <w:highlight w:val="none"/>
                <w:lang w:val="zh-CN" w:eastAsia="zh-CN"/>
              </w:rPr>
            </w:pPr>
            <w:r>
              <w:rPr>
                <w:rFonts w:hint="eastAsia" w:cs="宋体"/>
                <w:color w:val="auto"/>
                <w:sz w:val="24"/>
                <w:szCs w:val="24"/>
                <w:highlight w:val="none"/>
                <w:lang w:val="en-US" w:eastAsia="zh-CN"/>
              </w:rPr>
              <w:t>其他要求</w:t>
            </w:r>
          </w:p>
        </w:tc>
        <w:tc>
          <w:tcPr>
            <w:tcW w:w="2198" w:type="dxa"/>
            <w:noWrap w:val="0"/>
            <w:vAlign w:val="center"/>
          </w:tcPr>
          <w:p w14:paraId="219D3F5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432117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0639D6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083D40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A155EA2">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1"/>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3B714DB3">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8" w:name="_Toc31526"/>
      <w:bookmarkStart w:id="69" w:name="_Toc28621"/>
      <w:r>
        <w:rPr>
          <w:rFonts w:hint="eastAsia" w:ascii="宋体" w:hAnsi="宋体" w:eastAsia="宋体" w:cs="宋体"/>
          <w:b/>
          <w:color w:val="auto"/>
          <w:sz w:val="28"/>
          <w:highlight w:val="none"/>
        </w:rPr>
        <w:br w:type="page"/>
      </w:r>
    </w:p>
    <w:p w14:paraId="40257B9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0" w:name="_Toc29406"/>
      <w:r>
        <w:rPr>
          <w:rFonts w:hint="eastAsia" w:ascii="宋体" w:hAnsi="宋体" w:eastAsia="宋体" w:cs="宋体"/>
          <w:color w:val="auto"/>
          <w:sz w:val="28"/>
          <w:szCs w:val="28"/>
          <w:highlight w:val="none"/>
          <w:lang w:val="en-US" w:eastAsia="zh-CN"/>
        </w:rPr>
        <w:t>附件7         法定代表人身份证明（格式）</w:t>
      </w:r>
      <w:bookmarkEnd w:id="68"/>
      <w:bookmarkEnd w:id="69"/>
      <w:bookmarkEnd w:id="70"/>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3"/>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13976"/>
      <w:bookmarkStart w:id="72" w:name="_Toc30519"/>
      <w:bookmarkStart w:id="73" w:name="_Toc12939"/>
      <w:r>
        <w:rPr>
          <w:rFonts w:hint="eastAsia" w:ascii="宋体" w:hAnsi="宋体" w:eastAsia="宋体" w:cs="宋体"/>
          <w:color w:val="auto"/>
          <w:sz w:val="28"/>
          <w:szCs w:val="28"/>
          <w:highlight w:val="none"/>
          <w:lang w:val="en-US" w:eastAsia="zh-CN"/>
        </w:rPr>
        <w:t>附件8         法定代表人授权书（格式）</w:t>
      </w:r>
      <w:bookmarkEnd w:id="71"/>
      <w:bookmarkEnd w:id="72"/>
      <w:bookmarkEnd w:id="73"/>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3"/>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1E3A1A41">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4" w:name="_Toc24693"/>
      <w:bookmarkStart w:id="75" w:name="_Toc3342"/>
      <w:bookmarkStart w:id="76" w:name="_Toc18105"/>
      <w:r>
        <w:rPr>
          <w:rFonts w:hint="eastAsia" w:ascii="宋体" w:hAnsi="宋体" w:eastAsia="宋体" w:cs="宋体"/>
          <w:color w:val="auto"/>
          <w:sz w:val="28"/>
          <w:szCs w:val="28"/>
          <w:highlight w:val="none"/>
          <w:lang w:val="en-US" w:eastAsia="zh-CN"/>
        </w:rPr>
        <w:t>附件9          证明文件</w:t>
      </w:r>
      <w:bookmarkEnd w:id="74"/>
      <w:bookmarkEnd w:id="75"/>
      <w:bookmarkEnd w:id="76"/>
    </w:p>
    <w:p w14:paraId="5288D328">
      <w:pPr>
        <w:pStyle w:val="11"/>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1251DFC5">
      <w:pPr>
        <w:pStyle w:val="11"/>
        <w:spacing w:beforeAutospacing="0" w:afterAutospacing="0" w:line="480" w:lineRule="auto"/>
        <w:jc w:val="both"/>
        <w:rPr>
          <w:rFonts w:hint="eastAsia" w:cs="宋体"/>
          <w:b/>
          <w:bCs w:val="0"/>
          <w:color w:val="auto"/>
          <w:sz w:val="24"/>
          <w:szCs w:val="24"/>
          <w:highlight w:val="none"/>
          <w:lang w:val="en-US" w:eastAsia="zh-CN"/>
        </w:rPr>
      </w:pPr>
    </w:p>
    <w:p w14:paraId="6AB6FA3E">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08F93559">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9.2评分标准中需提供的证明材料</w:t>
      </w:r>
    </w:p>
    <w:p w14:paraId="1E901B7F">
      <w:pPr>
        <w:pStyle w:val="11"/>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bookmarkStart w:id="77" w:name="_Toc17966"/>
    </w:p>
    <w:p w14:paraId="5F97554B">
      <w:pPr>
        <w:pStyle w:val="11"/>
        <w:spacing w:beforeAutospacing="0" w:afterAutospacing="0" w:line="480" w:lineRule="auto"/>
        <w:ind w:firstLine="540" w:firstLineChars="224"/>
        <w:jc w:val="both"/>
        <w:rPr>
          <w:rFonts w:cs="Arial" w:asciiTheme="minorEastAsia" w:hAnsiTheme="minorEastAsia"/>
          <w:sz w:val="24"/>
          <w:szCs w:val="24"/>
          <w:highlight w:val="none"/>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3</w:t>
      </w:r>
      <w:r>
        <w:rPr>
          <w:rFonts w:cs="Arial" w:asciiTheme="minorEastAsia" w:hAnsiTheme="minorEastAsia"/>
          <w:b/>
          <w:sz w:val="24"/>
          <w:szCs w:val="24"/>
          <w:highlight w:val="none"/>
        </w:rPr>
        <w:t>业绩</w:t>
      </w:r>
    </w:p>
    <w:tbl>
      <w:tblPr>
        <w:tblStyle w:val="33"/>
        <w:tblW w:w="94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392"/>
        <w:gridCol w:w="1485"/>
        <w:gridCol w:w="1470"/>
        <w:gridCol w:w="1365"/>
        <w:gridCol w:w="1365"/>
        <w:gridCol w:w="1395"/>
      </w:tblGrid>
      <w:tr w14:paraId="7BECA1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78225D4">
            <w:pPr>
              <w:spacing w:before="120"/>
              <w:jc w:val="center"/>
              <w:rPr>
                <w:rFonts w:hint="eastAsia"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序号</w:t>
            </w:r>
          </w:p>
        </w:tc>
        <w:tc>
          <w:tcPr>
            <w:tcW w:w="1392" w:type="dxa"/>
            <w:vAlign w:val="center"/>
          </w:tcPr>
          <w:p w14:paraId="376FB868">
            <w:pPr>
              <w:spacing w:before="120"/>
              <w:jc w:val="center"/>
              <w:rPr>
                <w:rFonts w:hint="default"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用户名称</w:t>
            </w:r>
          </w:p>
        </w:tc>
        <w:tc>
          <w:tcPr>
            <w:tcW w:w="1485" w:type="dxa"/>
            <w:vAlign w:val="center"/>
          </w:tcPr>
          <w:p w14:paraId="519C55DC">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设备</w:t>
            </w:r>
            <w:r>
              <w:rPr>
                <w:rFonts w:hint="eastAsia" w:cs="Arial" w:asciiTheme="minorEastAsia" w:hAnsiTheme="minorEastAsia"/>
                <w:sz w:val="24"/>
                <w:highlight w:val="none"/>
              </w:rPr>
              <w:t>名称</w:t>
            </w:r>
          </w:p>
        </w:tc>
        <w:tc>
          <w:tcPr>
            <w:tcW w:w="1470" w:type="dxa"/>
            <w:vAlign w:val="center"/>
          </w:tcPr>
          <w:p w14:paraId="202E0754">
            <w:pPr>
              <w:spacing w:before="120"/>
              <w:jc w:val="center"/>
              <w:rPr>
                <w:rFonts w:hint="default"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品牌</w:t>
            </w:r>
          </w:p>
        </w:tc>
        <w:tc>
          <w:tcPr>
            <w:tcW w:w="1365" w:type="dxa"/>
            <w:vAlign w:val="center"/>
          </w:tcPr>
          <w:p w14:paraId="773DBC49">
            <w:pPr>
              <w:spacing w:before="120"/>
              <w:jc w:val="center"/>
              <w:rPr>
                <w:rFonts w:hint="default"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型号</w:t>
            </w:r>
          </w:p>
        </w:tc>
        <w:tc>
          <w:tcPr>
            <w:tcW w:w="1365" w:type="dxa"/>
            <w:vAlign w:val="center"/>
          </w:tcPr>
          <w:p w14:paraId="454A8B8B">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联系人及</w:t>
            </w:r>
            <w:r>
              <w:rPr>
                <w:rFonts w:cs="Arial" w:asciiTheme="minorEastAsia" w:hAnsiTheme="minorEastAsia"/>
                <w:sz w:val="24"/>
                <w:highlight w:val="none"/>
              </w:rPr>
              <w:t>联系</w:t>
            </w:r>
            <w:r>
              <w:rPr>
                <w:rFonts w:hint="eastAsia" w:cs="Arial" w:asciiTheme="minorEastAsia" w:hAnsiTheme="minorEastAsia"/>
                <w:sz w:val="24"/>
                <w:highlight w:val="none"/>
              </w:rPr>
              <w:t>电话</w:t>
            </w:r>
          </w:p>
        </w:tc>
        <w:tc>
          <w:tcPr>
            <w:tcW w:w="1395" w:type="dxa"/>
            <w:vAlign w:val="center"/>
          </w:tcPr>
          <w:p w14:paraId="558486AB">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业绩</w:t>
            </w:r>
            <w:r>
              <w:rPr>
                <w:rFonts w:hint="eastAsia" w:cs="Arial" w:asciiTheme="minorEastAsia" w:hAnsiTheme="minorEastAsia"/>
                <w:sz w:val="24"/>
                <w:highlight w:val="none"/>
              </w:rPr>
              <w:t>年份</w:t>
            </w:r>
          </w:p>
        </w:tc>
      </w:tr>
      <w:tr w14:paraId="11E1BA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E396FFF">
            <w:pPr>
              <w:spacing w:before="120"/>
              <w:jc w:val="center"/>
              <w:rPr>
                <w:rFonts w:cs="Arial" w:asciiTheme="minorEastAsia" w:hAnsiTheme="minorEastAsia"/>
                <w:highlight w:val="none"/>
              </w:rPr>
            </w:pPr>
          </w:p>
        </w:tc>
        <w:tc>
          <w:tcPr>
            <w:tcW w:w="1392" w:type="dxa"/>
            <w:vAlign w:val="center"/>
          </w:tcPr>
          <w:p w14:paraId="5F0A3BF3">
            <w:pPr>
              <w:spacing w:before="120"/>
              <w:jc w:val="center"/>
              <w:rPr>
                <w:rFonts w:cs="Arial" w:asciiTheme="minorEastAsia" w:hAnsiTheme="minorEastAsia"/>
                <w:highlight w:val="none"/>
              </w:rPr>
            </w:pPr>
          </w:p>
        </w:tc>
        <w:tc>
          <w:tcPr>
            <w:tcW w:w="1485" w:type="dxa"/>
            <w:vAlign w:val="center"/>
          </w:tcPr>
          <w:p w14:paraId="44341682">
            <w:pPr>
              <w:spacing w:before="120"/>
              <w:jc w:val="center"/>
              <w:rPr>
                <w:rFonts w:cs="Arial" w:asciiTheme="minorEastAsia" w:hAnsiTheme="minorEastAsia"/>
                <w:highlight w:val="none"/>
              </w:rPr>
            </w:pPr>
          </w:p>
        </w:tc>
        <w:tc>
          <w:tcPr>
            <w:tcW w:w="1470" w:type="dxa"/>
            <w:vAlign w:val="center"/>
          </w:tcPr>
          <w:p w14:paraId="34308A42">
            <w:pPr>
              <w:spacing w:before="120"/>
              <w:jc w:val="center"/>
              <w:rPr>
                <w:rFonts w:cs="Arial" w:asciiTheme="minorEastAsia" w:hAnsiTheme="minorEastAsia"/>
                <w:highlight w:val="none"/>
              </w:rPr>
            </w:pPr>
          </w:p>
        </w:tc>
        <w:tc>
          <w:tcPr>
            <w:tcW w:w="1365" w:type="dxa"/>
            <w:vAlign w:val="center"/>
          </w:tcPr>
          <w:p w14:paraId="05040DCC">
            <w:pPr>
              <w:spacing w:before="120"/>
              <w:jc w:val="center"/>
              <w:rPr>
                <w:rFonts w:cs="Arial" w:asciiTheme="minorEastAsia" w:hAnsiTheme="minorEastAsia"/>
                <w:highlight w:val="none"/>
              </w:rPr>
            </w:pPr>
          </w:p>
        </w:tc>
        <w:tc>
          <w:tcPr>
            <w:tcW w:w="1365" w:type="dxa"/>
            <w:vAlign w:val="center"/>
          </w:tcPr>
          <w:p w14:paraId="33B805FB">
            <w:pPr>
              <w:spacing w:before="120"/>
              <w:jc w:val="center"/>
              <w:rPr>
                <w:rFonts w:cs="Arial" w:asciiTheme="minorEastAsia" w:hAnsiTheme="minorEastAsia"/>
                <w:highlight w:val="none"/>
              </w:rPr>
            </w:pPr>
          </w:p>
        </w:tc>
        <w:tc>
          <w:tcPr>
            <w:tcW w:w="1395" w:type="dxa"/>
            <w:vAlign w:val="center"/>
          </w:tcPr>
          <w:p w14:paraId="1EB991EA">
            <w:pPr>
              <w:spacing w:before="120"/>
              <w:jc w:val="center"/>
              <w:rPr>
                <w:rFonts w:cs="Arial" w:asciiTheme="minorEastAsia" w:hAnsiTheme="minorEastAsia"/>
                <w:highlight w:val="none"/>
              </w:rPr>
            </w:pPr>
          </w:p>
        </w:tc>
      </w:tr>
      <w:tr w14:paraId="56438B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1092FBDE">
            <w:pPr>
              <w:spacing w:before="120"/>
              <w:jc w:val="center"/>
              <w:rPr>
                <w:rFonts w:cs="Arial" w:asciiTheme="minorEastAsia" w:hAnsiTheme="minorEastAsia"/>
                <w:highlight w:val="none"/>
              </w:rPr>
            </w:pPr>
          </w:p>
        </w:tc>
        <w:tc>
          <w:tcPr>
            <w:tcW w:w="1392" w:type="dxa"/>
            <w:vAlign w:val="center"/>
          </w:tcPr>
          <w:p w14:paraId="68F605FA">
            <w:pPr>
              <w:spacing w:before="120"/>
              <w:jc w:val="center"/>
              <w:rPr>
                <w:rFonts w:cs="Arial" w:asciiTheme="minorEastAsia" w:hAnsiTheme="minorEastAsia"/>
                <w:highlight w:val="none"/>
              </w:rPr>
            </w:pPr>
          </w:p>
        </w:tc>
        <w:tc>
          <w:tcPr>
            <w:tcW w:w="1485" w:type="dxa"/>
            <w:vAlign w:val="center"/>
          </w:tcPr>
          <w:p w14:paraId="1BF7A170">
            <w:pPr>
              <w:spacing w:before="120"/>
              <w:jc w:val="center"/>
              <w:rPr>
                <w:rFonts w:cs="Arial" w:asciiTheme="minorEastAsia" w:hAnsiTheme="minorEastAsia"/>
                <w:highlight w:val="none"/>
              </w:rPr>
            </w:pPr>
          </w:p>
        </w:tc>
        <w:tc>
          <w:tcPr>
            <w:tcW w:w="1470" w:type="dxa"/>
            <w:vAlign w:val="center"/>
          </w:tcPr>
          <w:p w14:paraId="50DFB60C">
            <w:pPr>
              <w:spacing w:before="120"/>
              <w:jc w:val="center"/>
              <w:rPr>
                <w:rFonts w:cs="Arial" w:asciiTheme="minorEastAsia" w:hAnsiTheme="minorEastAsia"/>
                <w:highlight w:val="none"/>
              </w:rPr>
            </w:pPr>
          </w:p>
        </w:tc>
        <w:tc>
          <w:tcPr>
            <w:tcW w:w="1365" w:type="dxa"/>
            <w:vAlign w:val="center"/>
          </w:tcPr>
          <w:p w14:paraId="7C40DF2D">
            <w:pPr>
              <w:spacing w:before="120"/>
              <w:jc w:val="center"/>
              <w:rPr>
                <w:rFonts w:cs="Arial" w:asciiTheme="minorEastAsia" w:hAnsiTheme="minorEastAsia"/>
                <w:highlight w:val="none"/>
              </w:rPr>
            </w:pPr>
          </w:p>
        </w:tc>
        <w:tc>
          <w:tcPr>
            <w:tcW w:w="1365" w:type="dxa"/>
            <w:vAlign w:val="center"/>
          </w:tcPr>
          <w:p w14:paraId="35C09FC3">
            <w:pPr>
              <w:spacing w:before="120"/>
              <w:jc w:val="center"/>
              <w:rPr>
                <w:rFonts w:cs="Arial" w:asciiTheme="minorEastAsia" w:hAnsiTheme="minorEastAsia"/>
                <w:highlight w:val="none"/>
              </w:rPr>
            </w:pPr>
          </w:p>
        </w:tc>
        <w:tc>
          <w:tcPr>
            <w:tcW w:w="1395" w:type="dxa"/>
            <w:vAlign w:val="center"/>
          </w:tcPr>
          <w:p w14:paraId="07AC0250">
            <w:pPr>
              <w:spacing w:before="120"/>
              <w:jc w:val="center"/>
              <w:rPr>
                <w:rFonts w:cs="Arial" w:asciiTheme="minorEastAsia" w:hAnsiTheme="minorEastAsia"/>
                <w:highlight w:val="none"/>
              </w:rPr>
            </w:pPr>
          </w:p>
        </w:tc>
      </w:tr>
      <w:tr w14:paraId="51F7A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0DE8BE4">
            <w:pPr>
              <w:spacing w:before="120"/>
              <w:jc w:val="center"/>
              <w:rPr>
                <w:rFonts w:cs="Arial" w:asciiTheme="minorEastAsia" w:hAnsiTheme="minorEastAsia"/>
                <w:highlight w:val="none"/>
              </w:rPr>
            </w:pPr>
          </w:p>
        </w:tc>
        <w:tc>
          <w:tcPr>
            <w:tcW w:w="1392" w:type="dxa"/>
            <w:vAlign w:val="center"/>
          </w:tcPr>
          <w:p w14:paraId="131D6272">
            <w:pPr>
              <w:spacing w:before="120"/>
              <w:jc w:val="center"/>
              <w:rPr>
                <w:rFonts w:cs="Arial" w:asciiTheme="minorEastAsia" w:hAnsiTheme="minorEastAsia"/>
                <w:highlight w:val="none"/>
              </w:rPr>
            </w:pPr>
          </w:p>
        </w:tc>
        <w:tc>
          <w:tcPr>
            <w:tcW w:w="1485" w:type="dxa"/>
            <w:vAlign w:val="center"/>
          </w:tcPr>
          <w:p w14:paraId="0BB35565">
            <w:pPr>
              <w:spacing w:before="120"/>
              <w:jc w:val="center"/>
              <w:rPr>
                <w:rFonts w:cs="Arial" w:asciiTheme="minorEastAsia" w:hAnsiTheme="minorEastAsia"/>
                <w:highlight w:val="none"/>
              </w:rPr>
            </w:pPr>
          </w:p>
        </w:tc>
        <w:tc>
          <w:tcPr>
            <w:tcW w:w="1470" w:type="dxa"/>
            <w:vAlign w:val="center"/>
          </w:tcPr>
          <w:p w14:paraId="343995BD">
            <w:pPr>
              <w:spacing w:before="120"/>
              <w:jc w:val="center"/>
              <w:rPr>
                <w:rFonts w:cs="Arial" w:asciiTheme="minorEastAsia" w:hAnsiTheme="minorEastAsia"/>
                <w:highlight w:val="none"/>
              </w:rPr>
            </w:pPr>
          </w:p>
        </w:tc>
        <w:tc>
          <w:tcPr>
            <w:tcW w:w="1365" w:type="dxa"/>
            <w:vAlign w:val="center"/>
          </w:tcPr>
          <w:p w14:paraId="533E3C22">
            <w:pPr>
              <w:spacing w:before="120"/>
              <w:jc w:val="center"/>
              <w:rPr>
                <w:rFonts w:cs="Arial" w:asciiTheme="minorEastAsia" w:hAnsiTheme="minorEastAsia"/>
                <w:highlight w:val="none"/>
              </w:rPr>
            </w:pPr>
          </w:p>
        </w:tc>
        <w:tc>
          <w:tcPr>
            <w:tcW w:w="1365" w:type="dxa"/>
            <w:vAlign w:val="center"/>
          </w:tcPr>
          <w:p w14:paraId="2F73E4C2">
            <w:pPr>
              <w:spacing w:before="120"/>
              <w:jc w:val="center"/>
              <w:rPr>
                <w:rFonts w:cs="Arial" w:asciiTheme="minorEastAsia" w:hAnsiTheme="minorEastAsia"/>
                <w:highlight w:val="none"/>
              </w:rPr>
            </w:pPr>
          </w:p>
        </w:tc>
        <w:tc>
          <w:tcPr>
            <w:tcW w:w="1395" w:type="dxa"/>
            <w:vAlign w:val="center"/>
          </w:tcPr>
          <w:p w14:paraId="2BA4347D">
            <w:pPr>
              <w:spacing w:before="120"/>
              <w:jc w:val="center"/>
              <w:rPr>
                <w:rFonts w:cs="Arial" w:asciiTheme="minorEastAsia" w:hAnsiTheme="minorEastAsia"/>
                <w:highlight w:val="none"/>
              </w:rPr>
            </w:pPr>
          </w:p>
        </w:tc>
      </w:tr>
      <w:tr w14:paraId="58180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5BAB90B">
            <w:pPr>
              <w:spacing w:before="120"/>
              <w:jc w:val="center"/>
              <w:rPr>
                <w:rFonts w:cs="Arial" w:asciiTheme="minorEastAsia" w:hAnsiTheme="minorEastAsia"/>
                <w:highlight w:val="none"/>
              </w:rPr>
            </w:pPr>
          </w:p>
        </w:tc>
        <w:tc>
          <w:tcPr>
            <w:tcW w:w="1392" w:type="dxa"/>
            <w:vAlign w:val="center"/>
          </w:tcPr>
          <w:p w14:paraId="0800B310">
            <w:pPr>
              <w:spacing w:before="120"/>
              <w:jc w:val="center"/>
              <w:rPr>
                <w:rFonts w:cs="Arial" w:asciiTheme="minorEastAsia" w:hAnsiTheme="minorEastAsia"/>
                <w:highlight w:val="none"/>
              </w:rPr>
            </w:pPr>
          </w:p>
        </w:tc>
        <w:tc>
          <w:tcPr>
            <w:tcW w:w="1485" w:type="dxa"/>
            <w:vAlign w:val="center"/>
          </w:tcPr>
          <w:p w14:paraId="1B2F1EF3">
            <w:pPr>
              <w:spacing w:before="120"/>
              <w:jc w:val="center"/>
              <w:rPr>
                <w:rFonts w:cs="Arial" w:asciiTheme="minorEastAsia" w:hAnsiTheme="minorEastAsia"/>
                <w:highlight w:val="none"/>
              </w:rPr>
            </w:pPr>
          </w:p>
        </w:tc>
        <w:tc>
          <w:tcPr>
            <w:tcW w:w="1470" w:type="dxa"/>
            <w:vAlign w:val="center"/>
          </w:tcPr>
          <w:p w14:paraId="11086BFD">
            <w:pPr>
              <w:spacing w:before="120"/>
              <w:jc w:val="center"/>
              <w:rPr>
                <w:rFonts w:cs="Arial" w:asciiTheme="minorEastAsia" w:hAnsiTheme="minorEastAsia"/>
                <w:highlight w:val="none"/>
              </w:rPr>
            </w:pPr>
          </w:p>
        </w:tc>
        <w:tc>
          <w:tcPr>
            <w:tcW w:w="1365" w:type="dxa"/>
            <w:vAlign w:val="center"/>
          </w:tcPr>
          <w:p w14:paraId="3B3CC5C2">
            <w:pPr>
              <w:spacing w:before="120"/>
              <w:jc w:val="center"/>
              <w:rPr>
                <w:rFonts w:cs="Arial" w:asciiTheme="minorEastAsia" w:hAnsiTheme="minorEastAsia"/>
                <w:highlight w:val="none"/>
              </w:rPr>
            </w:pPr>
          </w:p>
        </w:tc>
        <w:tc>
          <w:tcPr>
            <w:tcW w:w="1365" w:type="dxa"/>
            <w:vAlign w:val="center"/>
          </w:tcPr>
          <w:p w14:paraId="09BF0422">
            <w:pPr>
              <w:spacing w:before="120"/>
              <w:jc w:val="center"/>
              <w:rPr>
                <w:rFonts w:cs="Arial" w:asciiTheme="minorEastAsia" w:hAnsiTheme="minorEastAsia"/>
                <w:highlight w:val="none"/>
              </w:rPr>
            </w:pPr>
          </w:p>
        </w:tc>
        <w:tc>
          <w:tcPr>
            <w:tcW w:w="1395" w:type="dxa"/>
            <w:vAlign w:val="center"/>
          </w:tcPr>
          <w:p w14:paraId="5ADAEA69">
            <w:pPr>
              <w:spacing w:before="120"/>
              <w:jc w:val="center"/>
              <w:rPr>
                <w:rFonts w:cs="Arial" w:asciiTheme="minorEastAsia" w:hAnsiTheme="minorEastAsia"/>
                <w:highlight w:val="none"/>
              </w:rPr>
            </w:pPr>
          </w:p>
        </w:tc>
      </w:tr>
      <w:tr w14:paraId="3BB4D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207DBD5">
            <w:pPr>
              <w:spacing w:before="120"/>
              <w:jc w:val="center"/>
              <w:rPr>
                <w:rFonts w:cs="Arial" w:asciiTheme="minorEastAsia" w:hAnsiTheme="minorEastAsia"/>
                <w:highlight w:val="none"/>
              </w:rPr>
            </w:pPr>
          </w:p>
        </w:tc>
        <w:tc>
          <w:tcPr>
            <w:tcW w:w="1392" w:type="dxa"/>
            <w:vAlign w:val="center"/>
          </w:tcPr>
          <w:p w14:paraId="4B353F0C">
            <w:pPr>
              <w:spacing w:before="120"/>
              <w:jc w:val="center"/>
              <w:rPr>
                <w:rFonts w:cs="Arial" w:asciiTheme="minorEastAsia" w:hAnsiTheme="minorEastAsia"/>
                <w:highlight w:val="none"/>
              </w:rPr>
            </w:pPr>
          </w:p>
        </w:tc>
        <w:tc>
          <w:tcPr>
            <w:tcW w:w="1485" w:type="dxa"/>
            <w:vAlign w:val="center"/>
          </w:tcPr>
          <w:p w14:paraId="32FC2DC6">
            <w:pPr>
              <w:spacing w:before="120"/>
              <w:jc w:val="center"/>
              <w:rPr>
                <w:rFonts w:cs="Arial" w:asciiTheme="minorEastAsia" w:hAnsiTheme="minorEastAsia"/>
                <w:highlight w:val="none"/>
              </w:rPr>
            </w:pPr>
          </w:p>
        </w:tc>
        <w:tc>
          <w:tcPr>
            <w:tcW w:w="1470" w:type="dxa"/>
            <w:vAlign w:val="center"/>
          </w:tcPr>
          <w:p w14:paraId="270DBBD7">
            <w:pPr>
              <w:spacing w:before="120"/>
              <w:jc w:val="center"/>
              <w:rPr>
                <w:rFonts w:cs="Arial" w:asciiTheme="minorEastAsia" w:hAnsiTheme="minorEastAsia"/>
                <w:highlight w:val="none"/>
              </w:rPr>
            </w:pPr>
          </w:p>
        </w:tc>
        <w:tc>
          <w:tcPr>
            <w:tcW w:w="1365" w:type="dxa"/>
            <w:vAlign w:val="center"/>
          </w:tcPr>
          <w:p w14:paraId="5EB87B43">
            <w:pPr>
              <w:spacing w:before="120"/>
              <w:jc w:val="center"/>
              <w:rPr>
                <w:rFonts w:cs="Arial" w:asciiTheme="minorEastAsia" w:hAnsiTheme="minorEastAsia"/>
                <w:highlight w:val="none"/>
              </w:rPr>
            </w:pPr>
          </w:p>
        </w:tc>
        <w:tc>
          <w:tcPr>
            <w:tcW w:w="1365" w:type="dxa"/>
            <w:vAlign w:val="center"/>
          </w:tcPr>
          <w:p w14:paraId="74C06A52">
            <w:pPr>
              <w:spacing w:before="120"/>
              <w:jc w:val="center"/>
              <w:rPr>
                <w:rFonts w:cs="Arial" w:asciiTheme="minorEastAsia" w:hAnsiTheme="minorEastAsia"/>
                <w:highlight w:val="none"/>
              </w:rPr>
            </w:pPr>
          </w:p>
        </w:tc>
        <w:tc>
          <w:tcPr>
            <w:tcW w:w="1395" w:type="dxa"/>
            <w:vAlign w:val="center"/>
          </w:tcPr>
          <w:p w14:paraId="60CC3008">
            <w:pPr>
              <w:spacing w:before="120"/>
              <w:jc w:val="center"/>
              <w:rPr>
                <w:rFonts w:cs="Arial" w:asciiTheme="minorEastAsia" w:hAnsiTheme="minorEastAsia"/>
                <w:highlight w:val="none"/>
              </w:rPr>
            </w:pPr>
          </w:p>
        </w:tc>
      </w:tr>
      <w:tr w14:paraId="1B773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7B097D8">
            <w:pPr>
              <w:spacing w:before="120"/>
              <w:jc w:val="center"/>
              <w:rPr>
                <w:rFonts w:cs="Arial" w:asciiTheme="minorEastAsia" w:hAnsiTheme="minorEastAsia"/>
                <w:highlight w:val="none"/>
              </w:rPr>
            </w:pPr>
          </w:p>
        </w:tc>
        <w:tc>
          <w:tcPr>
            <w:tcW w:w="1392" w:type="dxa"/>
            <w:vAlign w:val="center"/>
          </w:tcPr>
          <w:p w14:paraId="2D34DDFD">
            <w:pPr>
              <w:spacing w:before="120"/>
              <w:jc w:val="center"/>
              <w:rPr>
                <w:rFonts w:cs="Arial" w:asciiTheme="minorEastAsia" w:hAnsiTheme="minorEastAsia"/>
                <w:highlight w:val="none"/>
              </w:rPr>
            </w:pPr>
          </w:p>
        </w:tc>
        <w:tc>
          <w:tcPr>
            <w:tcW w:w="1485" w:type="dxa"/>
            <w:vAlign w:val="center"/>
          </w:tcPr>
          <w:p w14:paraId="3EA97619">
            <w:pPr>
              <w:spacing w:before="120"/>
              <w:jc w:val="center"/>
              <w:rPr>
                <w:rFonts w:cs="Arial" w:asciiTheme="minorEastAsia" w:hAnsiTheme="minorEastAsia"/>
                <w:highlight w:val="none"/>
              </w:rPr>
            </w:pPr>
          </w:p>
        </w:tc>
        <w:tc>
          <w:tcPr>
            <w:tcW w:w="1470" w:type="dxa"/>
            <w:vAlign w:val="center"/>
          </w:tcPr>
          <w:p w14:paraId="5D293133">
            <w:pPr>
              <w:spacing w:before="120"/>
              <w:jc w:val="center"/>
              <w:rPr>
                <w:rFonts w:cs="Arial" w:asciiTheme="minorEastAsia" w:hAnsiTheme="minorEastAsia"/>
                <w:highlight w:val="none"/>
              </w:rPr>
            </w:pPr>
          </w:p>
        </w:tc>
        <w:tc>
          <w:tcPr>
            <w:tcW w:w="1365" w:type="dxa"/>
            <w:vAlign w:val="center"/>
          </w:tcPr>
          <w:p w14:paraId="7C0E3595">
            <w:pPr>
              <w:spacing w:before="120"/>
              <w:jc w:val="center"/>
              <w:rPr>
                <w:rFonts w:cs="Arial" w:asciiTheme="minorEastAsia" w:hAnsiTheme="minorEastAsia"/>
                <w:highlight w:val="none"/>
              </w:rPr>
            </w:pPr>
          </w:p>
        </w:tc>
        <w:tc>
          <w:tcPr>
            <w:tcW w:w="1365" w:type="dxa"/>
            <w:vAlign w:val="center"/>
          </w:tcPr>
          <w:p w14:paraId="22C9D1F3">
            <w:pPr>
              <w:spacing w:before="120"/>
              <w:jc w:val="center"/>
              <w:rPr>
                <w:rFonts w:cs="Arial" w:asciiTheme="minorEastAsia" w:hAnsiTheme="minorEastAsia"/>
                <w:highlight w:val="none"/>
              </w:rPr>
            </w:pPr>
          </w:p>
        </w:tc>
        <w:tc>
          <w:tcPr>
            <w:tcW w:w="1395" w:type="dxa"/>
            <w:vAlign w:val="center"/>
          </w:tcPr>
          <w:p w14:paraId="4F8389C6">
            <w:pPr>
              <w:spacing w:before="120"/>
              <w:jc w:val="center"/>
              <w:rPr>
                <w:rFonts w:cs="Arial" w:asciiTheme="minorEastAsia" w:hAnsiTheme="minorEastAsia"/>
                <w:highlight w:val="none"/>
              </w:rPr>
            </w:pPr>
          </w:p>
        </w:tc>
      </w:tr>
      <w:tr w14:paraId="0BD83E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D893BB2">
            <w:pPr>
              <w:spacing w:before="120"/>
              <w:jc w:val="center"/>
              <w:rPr>
                <w:rFonts w:cs="Arial" w:asciiTheme="minorEastAsia" w:hAnsiTheme="minorEastAsia"/>
                <w:highlight w:val="none"/>
              </w:rPr>
            </w:pPr>
          </w:p>
        </w:tc>
        <w:tc>
          <w:tcPr>
            <w:tcW w:w="1392" w:type="dxa"/>
            <w:vAlign w:val="center"/>
          </w:tcPr>
          <w:p w14:paraId="4BEA1830">
            <w:pPr>
              <w:spacing w:before="120"/>
              <w:jc w:val="center"/>
              <w:rPr>
                <w:rFonts w:cs="Arial" w:asciiTheme="minorEastAsia" w:hAnsiTheme="minorEastAsia"/>
                <w:highlight w:val="none"/>
              </w:rPr>
            </w:pPr>
          </w:p>
        </w:tc>
        <w:tc>
          <w:tcPr>
            <w:tcW w:w="1485" w:type="dxa"/>
            <w:vAlign w:val="center"/>
          </w:tcPr>
          <w:p w14:paraId="5B7DD00F">
            <w:pPr>
              <w:spacing w:before="120"/>
              <w:jc w:val="center"/>
              <w:rPr>
                <w:rFonts w:cs="Arial" w:asciiTheme="minorEastAsia" w:hAnsiTheme="minorEastAsia"/>
                <w:highlight w:val="none"/>
              </w:rPr>
            </w:pPr>
          </w:p>
        </w:tc>
        <w:tc>
          <w:tcPr>
            <w:tcW w:w="1470" w:type="dxa"/>
            <w:vAlign w:val="center"/>
          </w:tcPr>
          <w:p w14:paraId="25E990A4">
            <w:pPr>
              <w:spacing w:before="120"/>
              <w:jc w:val="center"/>
              <w:rPr>
                <w:rFonts w:cs="Arial" w:asciiTheme="minorEastAsia" w:hAnsiTheme="minorEastAsia"/>
                <w:highlight w:val="none"/>
              </w:rPr>
            </w:pPr>
          </w:p>
        </w:tc>
        <w:tc>
          <w:tcPr>
            <w:tcW w:w="1365" w:type="dxa"/>
            <w:vAlign w:val="center"/>
          </w:tcPr>
          <w:p w14:paraId="1F6C0D83">
            <w:pPr>
              <w:spacing w:before="120"/>
              <w:jc w:val="center"/>
              <w:rPr>
                <w:rFonts w:cs="Arial" w:asciiTheme="minorEastAsia" w:hAnsiTheme="minorEastAsia"/>
                <w:highlight w:val="none"/>
              </w:rPr>
            </w:pPr>
          </w:p>
        </w:tc>
        <w:tc>
          <w:tcPr>
            <w:tcW w:w="1365" w:type="dxa"/>
            <w:vAlign w:val="center"/>
          </w:tcPr>
          <w:p w14:paraId="14101C44">
            <w:pPr>
              <w:spacing w:before="120"/>
              <w:jc w:val="center"/>
              <w:rPr>
                <w:rFonts w:cs="Arial" w:asciiTheme="minorEastAsia" w:hAnsiTheme="minorEastAsia"/>
                <w:highlight w:val="none"/>
              </w:rPr>
            </w:pPr>
          </w:p>
        </w:tc>
        <w:tc>
          <w:tcPr>
            <w:tcW w:w="1395" w:type="dxa"/>
            <w:vAlign w:val="center"/>
          </w:tcPr>
          <w:p w14:paraId="1E2D65CE">
            <w:pPr>
              <w:spacing w:before="120"/>
              <w:jc w:val="center"/>
              <w:rPr>
                <w:rFonts w:cs="Arial" w:asciiTheme="minorEastAsia" w:hAnsiTheme="minorEastAsia"/>
                <w:highlight w:val="none"/>
              </w:rPr>
            </w:pPr>
          </w:p>
        </w:tc>
      </w:tr>
      <w:tr w14:paraId="6E9F8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165B9A7F">
            <w:pPr>
              <w:spacing w:before="120"/>
              <w:jc w:val="center"/>
              <w:rPr>
                <w:rFonts w:cs="Arial" w:asciiTheme="minorEastAsia" w:hAnsiTheme="minorEastAsia"/>
                <w:highlight w:val="none"/>
              </w:rPr>
            </w:pPr>
          </w:p>
        </w:tc>
        <w:tc>
          <w:tcPr>
            <w:tcW w:w="1392" w:type="dxa"/>
            <w:vAlign w:val="center"/>
          </w:tcPr>
          <w:p w14:paraId="3E128E6D">
            <w:pPr>
              <w:spacing w:before="120"/>
              <w:jc w:val="center"/>
              <w:rPr>
                <w:rFonts w:cs="Arial" w:asciiTheme="minorEastAsia" w:hAnsiTheme="minorEastAsia"/>
                <w:highlight w:val="none"/>
              </w:rPr>
            </w:pPr>
          </w:p>
        </w:tc>
        <w:tc>
          <w:tcPr>
            <w:tcW w:w="1485" w:type="dxa"/>
            <w:vAlign w:val="center"/>
          </w:tcPr>
          <w:p w14:paraId="6878332A">
            <w:pPr>
              <w:spacing w:before="120"/>
              <w:jc w:val="center"/>
              <w:rPr>
                <w:rFonts w:cs="Arial" w:asciiTheme="minorEastAsia" w:hAnsiTheme="minorEastAsia"/>
                <w:highlight w:val="none"/>
              </w:rPr>
            </w:pPr>
          </w:p>
        </w:tc>
        <w:tc>
          <w:tcPr>
            <w:tcW w:w="1470" w:type="dxa"/>
            <w:vAlign w:val="center"/>
          </w:tcPr>
          <w:p w14:paraId="370D20F0">
            <w:pPr>
              <w:spacing w:before="120"/>
              <w:jc w:val="center"/>
              <w:rPr>
                <w:rFonts w:cs="Arial" w:asciiTheme="minorEastAsia" w:hAnsiTheme="minorEastAsia"/>
                <w:highlight w:val="none"/>
              </w:rPr>
            </w:pPr>
          </w:p>
        </w:tc>
        <w:tc>
          <w:tcPr>
            <w:tcW w:w="1365" w:type="dxa"/>
            <w:vAlign w:val="center"/>
          </w:tcPr>
          <w:p w14:paraId="0D4BD9AE">
            <w:pPr>
              <w:spacing w:before="120"/>
              <w:jc w:val="center"/>
              <w:rPr>
                <w:rFonts w:cs="Arial" w:asciiTheme="minorEastAsia" w:hAnsiTheme="minorEastAsia"/>
                <w:highlight w:val="none"/>
              </w:rPr>
            </w:pPr>
          </w:p>
        </w:tc>
        <w:tc>
          <w:tcPr>
            <w:tcW w:w="1365" w:type="dxa"/>
            <w:vAlign w:val="center"/>
          </w:tcPr>
          <w:p w14:paraId="02582AD3">
            <w:pPr>
              <w:spacing w:before="120"/>
              <w:jc w:val="center"/>
              <w:rPr>
                <w:rFonts w:cs="Arial" w:asciiTheme="minorEastAsia" w:hAnsiTheme="minorEastAsia"/>
                <w:highlight w:val="none"/>
              </w:rPr>
            </w:pPr>
          </w:p>
        </w:tc>
        <w:tc>
          <w:tcPr>
            <w:tcW w:w="1395" w:type="dxa"/>
            <w:vAlign w:val="center"/>
          </w:tcPr>
          <w:p w14:paraId="19F0C316">
            <w:pPr>
              <w:spacing w:before="120"/>
              <w:jc w:val="center"/>
              <w:rPr>
                <w:rFonts w:cs="Arial" w:asciiTheme="minorEastAsia" w:hAnsiTheme="minorEastAsia"/>
                <w:highlight w:val="none"/>
              </w:rPr>
            </w:pPr>
          </w:p>
        </w:tc>
      </w:tr>
    </w:tbl>
    <w:p w14:paraId="4CE9BEBF">
      <w:pPr>
        <w:spacing w:line="380" w:lineRule="exact"/>
        <w:rPr>
          <w:rFonts w:hint="default" w:eastAsia="宋体" w:asciiTheme="minorEastAsia" w:hAnsiTheme="minorEastAsia"/>
          <w:b/>
          <w:color w:val="auto"/>
          <w:szCs w:val="21"/>
          <w:highlight w:val="none"/>
          <w:lang w:val="en-US" w:eastAsia="zh-CN"/>
        </w:rPr>
      </w:pPr>
      <w:r>
        <w:rPr>
          <w:rFonts w:hint="eastAsia" w:asciiTheme="minorEastAsia" w:hAnsiTheme="minorEastAsia"/>
          <w:b/>
          <w:color w:val="auto"/>
          <w:szCs w:val="21"/>
          <w:highlight w:val="none"/>
        </w:rPr>
        <w:t>注：供应商需在本表后附</w:t>
      </w:r>
      <w:r>
        <w:rPr>
          <w:rFonts w:hint="eastAsia" w:asciiTheme="minorEastAsia" w:hAnsiTheme="minorEastAsia"/>
          <w:b/>
          <w:color w:val="auto"/>
          <w:szCs w:val="21"/>
          <w:highlight w:val="none"/>
          <w:lang w:val="en-US" w:eastAsia="zh-CN"/>
        </w:rPr>
        <w:t>业绩</w:t>
      </w:r>
      <w:r>
        <w:rPr>
          <w:rFonts w:hint="eastAsia" w:asciiTheme="minorEastAsia" w:hAnsiTheme="minorEastAsia"/>
          <w:b/>
          <w:color w:val="auto"/>
          <w:szCs w:val="21"/>
          <w:highlight w:val="none"/>
        </w:rPr>
        <w:t>合同</w:t>
      </w:r>
      <w:r>
        <w:rPr>
          <w:rFonts w:hint="eastAsia" w:asciiTheme="minorEastAsia" w:hAnsiTheme="minorEastAsia"/>
          <w:b/>
          <w:color w:val="auto"/>
          <w:szCs w:val="21"/>
          <w:highlight w:val="none"/>
          <w:lang w:val="en-US" w:eastAsia="zh-CN"/>
        </w:rPr>
        <w:t>。</w:t>
      </w:r>
    </w:p>
    <w:p w14:paraId="08DDC717">
      <w:pPr>
        <w:pStyle w:val="11"/>
        <w:spacing w:beforeAutospacing="0" w:afterAutospacing="0" w:line="480" w:lineRule="auto"/>
        <w:ind w:firstLine="470" w:firstLineChars="224"/>
        <w:jc w:val="both"/>
        <w:rPr>
          <w:rFonts w:hint="eastAsia" w:ascii="宋体" w:hAnsi="宋体" w:eastAsia="宋体" w:cs="宋体"/>
          <w:bCs/>
          <w:color w:val="auto"/>
          <w:sz w:val="21"/>
          <w:szCs w:val="21"/>
          <w:highlight w:val="green"/>
        </w:rPr>
      </w:pPr>
    </w:p>
    <w:p w14:paraId="5E27F5E1">
      <w:pPr>
        <w:pStyle w:val="11"/>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4670E9AE">
      <w:pPr>
        <w:pStyle w:val="11"/>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4</w:t>
      </w:r>
      <w:r>
        <w:rPr>
          <w:rFonts w:hint="eastAsia" w:ascii="宋体" w:hAnsi="宋体" w:eastAsia="宋体" w:cs="宋体"/>
          <w:b/>
          <w:bCs w:val="0"/>
          <w:color w:val="auto"/>
          <w:sz w:val="22"/>
          <w:szCs w:val="22"/>
          <w:highlight w:val="none"/>
          <w:lang w:val="en-US" w:eastAsia="zh-CN"/>
        </w:rPr>
        <w:t xml:space="preserve"> 供应商认为其他应提供的证明材料</w:t>
      </w:r>
    </w:p>
    <w:bookmarkEnd w:id="77"/>
    <w:p w14:paraId="5C5E4BC5">
      <w:pPr>
        <w:pStyle w:val="11"/>
        <w:spacing w:beforeAutospacing="0" w:afterAutospacing="0" w:line="480" w:lineRule="auto"/>
        <w:jc w:val="both"/>
        <w:rPr>
          <w:rFonts w:hint="eastAsia" w:cs="宋体"/>
          <w:b/>
          <w:bCs w:val="0"/>
          <w:color w:val="auto"/>
          <w:sz w:val="24"/>
          <w:szCs w:val="24"/>
          <w:highlight w:val="none"/>
          <w:lang w:val="en-US" w:eastAsia="zh-CN"/>
        </w:rPr>
      </w:pPr>
    </w:p>
    <w:sectPr>
      <w:footerReference r:id="rId6" w:type="default"/>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C6A9360-2DFA-4A27-B85A-1DA9C705F93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2" w:fontKey="{B1DFB30A-A927-4402-93F3-F405072E27BD}"/>
  </w:font>
  <w:font w:name="仿宋_GB2312">
    <w:panose1 w:val="02010609030101010101"/>
    <w:charset w:val="86"/>
    <w:family w:val="auto"/>
    <w:pitch w:val="default"/>
    <w:sig w:usb0="00000001" w:usb1="080E0000" w:usb2="00000000" w:usb3="00000000" w:csb0="00040000" w:csb1="00000000"/>
    <w:embedRegular r:id="rId3" w:fontKey="{799C2969-842F-47B4-B73C-B27C8419D2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543BC">
    <w:pPr>
      <w:pStyle w:val="23"/>
      <w:pBdr>
        <w:top w:val="single" w:color="auto" w:sz="4" w:space="1"/>
      </w:pBdr>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14605</wp:posOffset>
              </wp:positionV>
              <wp:extent cx="144780" cy="204470"/>
              <wp:effectExtent l="0" t="0" r="0" b="0"/>
              <wp:wrapNone/>
              <wp:docPr id="6"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4655FE3F">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2336;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MtPeWy6AQAAdAMAAA4AAAAAAAAAAQAgAAAAIwEAAGRycy9lMm9Eb2MueG1sUEsFBgAA&#10;AAAGAAYAWQEAAE8FAAAAAA==&#10;">
              <v:fill on="f" focussize="0,0"/>
              <v:stroke on="f"/>
              <v:imagedata o:title=""/>
              <o:lock v:ext="edit" aspectratio="f"/>
              <v:textbox inset="0mm,0mm,0mm,0mm">
                <w:txbxContent>
                  <w:p w14:paraId="4655FE3F">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461C152A">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5E24E7"/>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834A3"/>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0C60"/>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76717"/>
    <w:rsid w:val="019F1377"/>
    <w:rsid w:val="01B146CA"/>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479CA"/>
    <w:rsid w:val="02890D36"/>
    <w:rsid w:val="02B04EBD"/>
    <w:rsid w:val="02B97DFD"/>
    <w:rsid w:val="02C1356F"/>
    <w:rsid w:val="02C866AB"/>
    <w:rsid w:val="02CB7F49"/>
    <w:rsid w:val="02D92EF7"/>
    <w:rsid w:val="02DA4665"/>
    <w:rsid w:val="02ED6112"/>
    <w:rsid w:val="02F40325"/>
    <w:rsid w:val="02FA082F"/>
    <w:rsid w:val="031126C4"/>
    <w:rsid w:val="03116CDA"/>
    <w:rsid w:val="031C0676"/>
    <w:rsid w:val="0323019C"/>
    <w:rsid w:val="034733B8"/>
    <w:rsid w:val="03475E56"/>
    <w:rsid w:val="0353518A"/>
    <w:rsid w:val="035916AE"/>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3FD4132"/>
    <w:rsid w:val="042E37DB"/>
    <w:rsid w:val="043D465B"/>
    <w:rsid w:val="04416C20"/>
    <w:rsid w:val="04732647"/>
    <w:rsid w:val="047968B1"/>
    <w:rsid w:val="04870542"/>
    <w:rsid w:val="04B30F7A"/>
    <w:rsid w:val="05045994"/>
    <w:rsid w:val="050E236F"/>
    <w:rsid w:val="05121E5F"/>
    <w:rsid w:val="053973EC"/>
    <w:rsid w:val="054C0111"/>
    <w:rsid w:val="05545DD3"/>
    <w:rsid w:val="056E2AD6"/>
    <w:rsid w:val="05720B50"/>
    <w:rsid w:val="057228FE"/>
    <w:rsid w:val="05806815"/>
    <w:rsid w:val="058251D3"/>
    <w:rsid w:val="058C28F1"/>
    <w:rsid w:val="05945CCE"/>
    <w:rsid w:val="059652F0"/>
    <w:rsid w:val="059D05A4"/>
    <w:rsid w:val="059D5E17"/>
    <w:rsid w:val="059E1E1A"/>
    <w:rsid w:val="05AB0A28"/>
    <w:rsid w:val="05AB0F81"/>
    <w:rsid w:val="05B93D6B"/>
    <w:rsid w:val="05BD626F"/>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7F1777"/>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AD26BE"/>
    <w:rsid w:val="07B02D9F"/>
    <w:rsid w:val="07B10EA5"/>
    <w:rsid w:val="07C36608"/>
    <w:rsid w:val="07C510CB"/>
    <w:rsid w:val="07CD6512"/>
    <w:rsid w:val="07CE3FA1"/>
    <w:rsid w:val="07DD49A7"/>
    <w:rsid w:val="07EC2ECB"/>
    <w:rsid w:val="07FE66CB"/>
    <w:rsid w:val="0802440D"/>
    <w:rsid w:val="080B4D47"/>
    <w:rsid w:val="08144141"/>
    <w:rsid w:val="081B727D"/>
    <w:rsid w:val="081D2FF5"/>
    <w:rsid w:val="082C4FE6"/>
    <w:rsid w:val="08321601"/>
    <w:rsid w:val="08326375"/>
    <w:rsid w:val="083D5C91"/>
    <w:rsid w:val="0847191F"/>
    <w:rsid w:val="08591DC3"/>
    <w:rsid w:val="085B58CB"/>
    <w:rsid w:val="08672793"/>
    <w:rsid w:val="08695E80"/>
    <w:rsid w:val="087C4541"/>
    <w:rsid w:val="087E5595"/>
    <w:rsid w:val="088C3CD7"/>
    <w:rsid w:val="08955281"/>
    <w:rsid w:val="08BC0A60"/>
    <w:rsid w:val="08C52D6F"/>
    <w:rsid w:val="08E42BE4"/>
    <w:rsid w:val="08EB30F3"/>
    <w:rsid w:val="08EF0201"/>
    <w:rsid w:val="08F41DE8"/>
    <w:rsid w:val="092640A5"/>
    <w:rsid w:val="092A0EA6"/>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E6D2E"/>
    <w:rsid w:val="0A4232E4"/>
    <w:rsid w:val="0A4C7BC2"/>
    <w:rsid w:val="0A4F145F"/>
    <w:rsid w:val="0A8455AD"/>
    <w:rsid w:val="0A8729A8"/>
    <w:rsid w:val="0ABA2D7D"/>
    <w:rsid w:val="0AD13A85"/>
    <w:rsid w:val="0AE0655C"/>
    <w:rsid w:val="0B091954"/>
    <w:rsid w:val="0B195776"/>
    <w:rsid w:val="0B1A7CC0"/>
    <w:rsid w:val="0B224DC6"/>
    <w:rsid w:val="0B34773E"/>
    <w:rsid w:val="0B3B7D65"/>
    <w:rsid w:val="0B434C20"/>
    <w:rsid w:val="0B536D2E"/>
    <w:rsid w:val="0B5F0822"/>
    <w:rsid w:val="0B637D77"/>
    <w:rsid w:val="0B6B6A4F"/>
    <w:rsid w:val="0B7006C4"/>
    <w:rsid w:val="0B726646"/>
    <w:rsid w:val="0B7606E8"/>
    <w:rsid w:val="0B8B471A"/>
    <w:rsid w:val="0B924545"/>
    <w:rsid w:val="0BAC324F"/>
    <w:rsid w:val="0BB40DF1"/>
    <w:rsid w:val="0BC11EE9"/>
    <w:rsid w:val="0BCC62FA"/>
    <w:rsid w:val="0BF16C73"/>
    <w:rsid w:val="0BF71E5C"/>
    <w:rsid w:val="0BF72F1E"/>
    <w:rsid w:val="0C0A7D34"/>
    <w:rsid w:val="0C1464BD"/>
    <w:rsid w:val="0C230DF6"/>
    <w:rsid w:val="0C3152C1"/>
    <w:rsid w:val="0C3957A5"/>
    <w:rsid w:val="0C4636CB"/>
    <w:rsid w:val="0C4E6409"/>
    <w:rsid w:val="0C507E2F"/>
    <w:rsid w:val="0C600D66"/>
    <w:rsid w:val="0C626DA7"/>
    <w:rsid w:val="0C6876AE"/>
    <w:rsid w:val="0C71390F"/>
    <w:rsid w:val="0C720EC8"/>
    <w:rsid w:val="0C7D22B4"/>
    <w:rsid w:val="0C820A5E"/>
    <w:rsid w:val="0C880C59"/>
    <w:rsid w:val="0C942042"/>
    <w:rsid w:val="0C9D50DC"/>
    <w:rsid w:val="0CA5271D"/>
    <w:rsid w:val="0CAA0BCF"/>
    <w:rsid w:val="0CAC4D10"/>
    <w:rsid w:val="0CC53C5B"/>
    <w:rsid w:val="0CC72121"/>
    <w:rsid w:val="0CEE5A21"/>
    <w:rsid w:val="0D05268E"/>
    <w:rsid w:val="0D0646E7"/>
    <w:rsid w:val="0D0C38CA"/>
    <w:rsid w:val="0D123874"/>
    <w:rsid w:val="0D206810"/>
    <w:rsid w:val="0D4861FD"/>
    <w:rsid w:val="0D735465"/>
    <w:rsid w:val="0D9D0734"/>
    <w:rsid w:val="0DC577E0"/>
    <w:rsid w:val="0DDC6319"/>
    <w:rsid w:val="0DE1181F"/>
    <w:rsid w:val="0DFA5B87"/>
    <w:rsid w:val="0DFE4F67"/>
    <w:rsid w:val="0E0C0D4C"/>
    <w:rsid w:val="0E115DA1"/>
    <w:rsid w:val="0E1409F6"/>
    <w:rsid w:val="0E162D6D"/>
    <w:rsid w:val="0E460DCC"/>
    <w:rsid w:val="0E541CA2"/>
    <w:rsid w:val="0E576B35"/>
    <w:rsid w:val="0E594756"/>
    <w:rsid w:val="0E72396F"/>
    <w:rsid w:val="0E95596D"/>
    <w:rsid w:val="0EAE6205"/>
    <w:rsid w:val="0EAE6579"/>
    <w:rsid w:val="0EAF71BF"/>
    <w:rsid w:val="0ECE1FF2"/>
    <w:rsid w:val="0ECE6257"/>
    <w:rsid w:val="0EE14479"/>
    <w:rsid w:val="0EE24651"/>
    <w:rsid w:val="0EE4129D"/>
    <w:rsid w:val="0EFE3455"/>
    <w:rsid w:val="0F171032"/>
    <w:rsid w:val="0F335E69"/>
    <w:rsid w:val="0F372614"/>
    <w:rsid w:val="0F3D59C9"/>
    <w:rsid w:val="0F515A6B"/>
    <w:rsid w:val="0F516D5A"/>
    <w:rsid w:val="0F565B36"/>
    <w:rsid w:val="0F684933"/>
    <w:rsid w:val="0F6E2388"/>
    <w:rsid w:val="0F7E0E96"/>
    <w:rsid w:val="0F821E7D"/>
    <w:rsid w:val="0FB3423F"/>
    <w:rsid w:val="0FC91CB4"/>
    <w:rsid w:val="0FCA42ED"/>
    <w:rsid w:val="0FD970F4"/>
    <w:rsid w:val="0FDB5F4F"/>
    <w:rsid w:val="0FE7592C"/>
    <w:rsid w:val="0FEB5776"/>
    <w:rsid w:val="0FFC17A5"/>
    <w:rsid w:val="0FFD20F0"/>
    <w:rsid w:val="10142F30"/>
    <w:rsid w:val="10352857"/>
    <w:rsid w:val="103E6E57"/>
    <w:rsid w:val="1041497B"/>
    <w:rsid w:val="10425FF6"/>
    <w:rsid w:val="105646EB"/>
    <w:rsid w:val="106612B1"/>
    <w:rsid w:val="109010E6"/>
    <w:rsid w:val="10B271F4"/>
    <w:rsid w:val="10B537CC"/>
    <w:rsid w:val="10C61D50"/>
    <w:rsid w:val="10C8275C"/>
    <w:rsid w:val="10C86D3B"/>
    <w:rsid w:val="10CF6E57"/>
    <w:rsid w:val="10E03539"/>
    <w:rsid w:val="10E82D1F"/>
    <w:rsid w:val="10EE5C94"/>
    <w:rsid w:val="10F5757C"/>
    <w:rsid w:val="10F93ED3"/>
    <w:rsid w:val="110F36F7"/>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C256F"/>
    <w:rsid w:val="121D0051"/>
    <w:rsid w:val="12413D84"/>
    <w:rsid w:val="12437AFC"/>
    <w:rsid w:val="12655CC4"/>
    <w:rsid w:val="127A7D1C"/>
    <w:rsid w:val="12836D8B"/>
    <w:rsid w:val="12993BC0"/>
    <w:rsid w:val="129B7938"/>
    <w:rsid w:val="129F0AAB"/>
    <w:rsid w:val="12AB0349"/>
    <w:rsid w:val="12B66520"/>
    <w:rsid w:val="12CD57F1"/>
    <w:rsid w:val="12CE5941"/>
    <w:rsid w:val="12CE7AFA"/>
    <w:rsid w:val="12D67466"/>
    <w:rsid w:val="12E36BE9"/>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3F6294C"/>
    <w:rsid w:val="140D6614"/>
    <w:rsid w:val="142123F7"/>
    <w:rsid w:val="142A11D8"/>
    <w:rsid w:val="144B544C"/>
    <w:rsid w:val="14553B17"/>
    <w:rsid w:val="145B7B45"/>
    <w:rsid w:val="14627FE2"/>
    <w:rsid w:val="14717443"/>
    <w:rsid w:val="14825F8A"/>
    <w:rsid w:val="148C70AD"/>
    <w:rsid w:val="148D52E3"/>
    <w:rsid w:val="14992B90"/>
    <w:rsid w:val="149F10C7"/>
    <w:rsid w:val="14AF1856"/>
    <w:rsid w:val="14AF19A3"/>
    <w:rsid w:val="14B22D17"/>
    <w:rsid w:val="14B53957"/>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7903"/>
    <w:rsid w:val="1557566D"/>
    <w:rsid w:val="155D0ED5"/>
    <w:rsid w:val="1565422D"/>
    <w:rsid w:val="156E0971"/>
    <w:rsid w:val="15785B3E"/>
    <w:rsid w:val="15811F1B"/>
    <w:rsid w:val="15A30135"/>
    <w:rsid w:val="15A34015"/>
    <w:rsid w:val="15A703A2"/>
    <w:rsid w:val="15A811A8"/>
    <w:rsid w:val="15BB487B"/>
    <w:rsid w:val="15CE086D"/>
    <w:rsid w:val="15E2236F"/>
    <w:rsid w:val="16005D04"/>
    <w:rsid w:val="16092E0B"/>
    <w:rsid w:val="161517B0"/>
    <w:rsid w:val="161D09ED"/>
    <w:rsid w:val="162323A3"/>
    <w:rsid w:val="162F30B1"/>
    <w:rsid w:val="1650762F"/>
    <w:rsid w:val="16510F12"/>
    <w:rsid w:val="1653052A"/>
    <w:rsid w:val="166448F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70D06E0"/>
    <w:rsid w:val="17233E03"/>
    <w:rsid w:val="172F215D"/>
    <w:rsid w:val="17332185"/>
    <w:rsid w:val="17475951"/>
    <w:rsid w:val="175B7696"/>
    <w:rsid w:val="175C542D"/>
    <w:rsid w:val="175D0ED4"/>
    <w:rsid w:val="1767428D"/>
    <w:rsid w:val="17680005"/>
    <w:rsid w:val="17793FC0"/>
    <w:rsid w:val="179D33A9"/>
    <w:rsid w:val="179F2E61"/>
    <w:rsid w:val="17A06264"/>
    <w:rsid w:val="17BE19D3"/>
    <w:rsid w:val="17C227C0"/>
    <w:rsid w:val="17D66D7C"/>
    <w:rsid w:val="17DE0EDF"/>
    <w:rsid w:val="17EE5BFF"/>
    <w:rsid w:val="17FA6EAF"/>
    <w:rsid w:val="18097740"/>
    <w:rsid w:val="180A4C18"/>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EA6F23"/>
    <w:rsid w:val="18F67868"/>
    <w:rsid w:val="18FC0A05"/>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A7"/>
    <w:rsid w:val="19B117EF"/>
    <w:rsid w:val="19E971DB"/>
    <w:rsid w:val="1A0A0E60"/>
    <w:rsid w:val="1A125525"/>
    <w:rsid w:val="1A5F4342"/>
    <w:rsid w:val="1A616E2C"/>
    <w:rsid w:val="1A715D02"/>
    <w:rsid w:val="1A7F369B"/>
    <w:rsid w:val="1A8C5D82"/>
    <w:rsid w:val="1A994988"/>
    <w:rsid w:val="1A9B546C"/>
    <w:rsid w:val="1A9E141F"/>
    <w:rsid w:val="1A9F789A"/>
    <w:rsid w:val="1AA3511F"/>
    <w:rsid w:val="1AAE3B54"/>
    <w:rsid w:val="1AC10987"/>
    <w:rsid w:val="1ACD11E1"/>
    <w:rsid w:val="1ADF238C"/>
    <w:rsid w:val="1AEB6F83"/>
    <w:rsid w:val="1AF423FA"/>
    <w:rsid w:val="1B0C5B32"/>
    <w:rsid w:val="1B0D3E82"/>
    <w:rsid w:val="1B1333D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EA723A"/>
    <w:rsid w:val="1BED0AD9"/>
    <w:rsid w:val="1BF14125"/>
    <w:rsid w:val="1C002CEE"/>
    <w:rsid w:val="1C0876C1"/>
    <w:rsid w:val="1C180F75"/>
    <w:rsid w:val="1C27223D"/>
    <w:rsid w:val="1C3404B6"/>
    <w:rsid w:val="1C3861F8"/>
    <w:rsid w:val="1C4032FE"/>
    <w:rsid w:val="1C424981"/>
    <w:rsid w:val="1C4E77C9"/>
    <w:rsid w:val="1C555978"/>
    <w:rsid w:val="1C6554A1"/>
    <w:rsid w:val="1C705992"/>
    <w:rsid w:val="1C7971B7"/>
    <w:rsid w:val="1C8036FB"/>
    <w:rsid w:val="1C917D91"/>
    <w:rsid w:val="1CAB1D11"/>
    <w:rsid w:val="1CAB2820"/>
    <w:rsid w:val="1CD402EC"/>
    <w:rsid w:val="1CDF6F49"/>
    <w:rsid w:val="1CED16EF"/>
    <w:rsid w:val="1CF02333"/>
    <w:rsid w:val="1D036806"/>
    <w:rsid w:val="1D047E88"/>
    <w:rsid w:val="1D0C33A2"/>
    <w:rsid w:val="1D0C4F8F"/>
    <w:rsid w:val="1D113E6E"/>
    <w:rsid w:val="1D114E5E"/>
    <w:rsid w:val="1D1F0050"/>
    <w:rsid w:val="1D214EDE"/>
    <w:rsid w:val="1D2222DC"/>
    <w:rsid w:val="1D5144F7"/>
    <w:rsid w:val="1D531D19"/>
    <w:rsid w:val="1D596426"/>
    <w:rsid w:val="1D5B3CDE"/>
    <w:rsid w:val="1D5D0701"/>
    <w:rsid w:val="1D5F77B4"/>
    <w:rsid w:val="1D6E2950"/>
    <w:rsid w:val="1D79298C"/>
    <w:rsid w:val="1D98209B"/>
    <w:rsid w:val="1DA23746"/>
    <w:rsid w:val="1DAA14B9"/>
    <w:rsid w:val="1DD04513"/>
    <w:rsid w:val="1DD8524D"/>
    <w:rsid w:val="1DDD2BCB"/>
    <w:rsid w:val="1DE1641B"/>
    <w:rsid w:val="1E0345E3"/>
    <w:rsid w:val="1E1B7B7F"/>
    <w:rsid w:val="1E443370"/>
    <w:rsid w:val="1E656063"/>
    <w:rsid w:val="1E6B06A5"/>
    <w:rsid w:val="1E7554E1"/>
    <w:rsid w:val="1E7A2AF8"/>
    <w:rsid w:val="1E7F7D9E"/>
    <w:rsid w:val="1E840DA4"/>
    <w:rsid w:val="1EA00084"/>
    <w:rsid w:val="1EA5444C"/>
    <w:rsid w:val="1EA5569B"/>
    <w:rsid w:val="1EB350EF"/>
    <w:rsid w:val="1EC21749"/>
    <w:rsid w:val="1EEB7C4E"/>
    <w:rsid w:val="1EFE0DA3"/>
    <w:rsid w:val="1F020B5B"/>
    <w:rsid w:val="1F072441"/>
    <w:rsid w:val="1F171B83"/>
    <w:rsid w:val="1F2D4691"/>
    <w:rsid w:val="1F2D491A"/>
    <w:rsid w:val="1F3F789D"/>
    <w:rsid w:val="1F4E5D32"/>
    <w:rsid w:val="1F503858"/>
    <w:rsid w:val="1F66355F"/>
    <w:rsid w:val="1F664E2A"/>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274E96"/>
    <w:rsid w:val="20310B02"/>
    <w:rsid w:val="20344F28"/>
    <w:rsid w:val="206F0406"/>
    <w:rsid w:val="207417C9"/>
    <w:rsid w:val="20784063"/>
    <w:rsid w:val="207E346A"/>
    <w:rsid w:val="208E12C3"/>
    <w:rsid w:val="209502A3"/>
    <w:rsid w:val="20AD0837"/>
    <w:rsid w:val="20B16579"/>
    <w:rsid w:val="20EA3839"/>
    <w:rsid w:val="2100305C"/>
    <w:rsid w:val="210F579E"/>
    <w:rsid w:val="21163FF0"/>
    <w:rsid w:val="211B39F2"/>
    <w:rsid w:val="21224762"/>
    <w:rsid w:val="212550B5"/>
    <w:rsid w:val="213056EF"/>
    <w:rsid w:val="21592B62"/>
    <w:rsid w:val="21617C51"/>
    <w:rsid w:val="2172049B"/>
    <w:rsid w:val="21747CD2"/>
    <w:rsid w:val="21815F4B"/>
    <w:rsid w:val="219263AA"/>
    <w:rsid w:val="219E5782"/>
    <w:rsid w:val="21D10545"/>
    <w:rsid w:val="21E72B0B"/>
    <w:rsid w:val="21E76A4A"/>
    <w:rsid w:val="21EE607E"/>
    <w:rsid w:val="21F11323"/>
    <w:rsid w:val="21F229A5"/>
    <w:rsid w:val="21F66F4C"/>
    <w:rsid w:val="22056B7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F06957"/>
    <w:rsid w:val="22F369D5"/>
    <w:rsid w:val="23057681"/>
    <w:rsid w:val="23122833"/>
    <w:rsid w:val="23137077"/>
    <w:rsid w:val="231D4917"/>
    <w:rsid w:val="23223458"/>
    <w:rsid w:val="23225D32"/>
    <w:rsid w:val="23357BE6"/>
    <w:rsid w:val="233F60BE"/>
    <w:rsid w:val="2342574E"/>
    <w:rsid w:val="2355143D"/>
    <w:rsid w:val="235654CA"/>
    <w:rsid w:val="236D1BFA"/>
    <w:rsid w:val="236D331D"/>
    <w:rsid w:val="2377331D"/>
    <w:rsid w:val="237D43DE"/>
    <w:rsid w:val="2386783E"/>
    <w:rsid w:val="23940114"/>
    <w:rsid w:val="239A1546"/>
    <w:rsid w:val="23A5414A"/>
    <w:rsid w:val="23AE4FF1"/>
    <w:rsid w:val="23B57016"/>
    <w:rsid w:val="23C16AD3"/>
    <w:rsid w:val="23C4797E"/>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507029"/>
    <w:rsid w:val="24607F91"/>
    <w:rsid w:val="246C581B"/>
    <w:rsid w:val="247C52A2"/>
    <w:rsid w:val="248A3369"/>
    <w:rsid w:val="24942917"/>
    <w:rsid w:val="24AE34FB"/>
    <w:rsid w:val="24CC106B"/>
    <w:rsid w:val="24D00598"/>
    <w:rsid w:val="24D377A4"/>
    <w:rsid w:val="24D725E9"/>
    <w:rsid w:val="24EC31CF"/>
    <w:rsid w:val="24F2250B"/>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DF5936"/>
    <w:rsid w:val="25E60A73"/>
    <w:rsid w:val="260B2287"/>
    <w:rsid w:val="261879A7"/>
    <w:rsid w:val="261A071C"/>
    <w:rsid w:val="262670C1"/>
    <w:rsid w:val="26395046"/>
    <w:rsid w:val="26415CA9"/>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1852"/>
    <w:rsid w:val="27232743"/>
    <w:rsid w:val="27400656"/>
    <w:rsid w:val="274E2228"/>
    <w:rsid w:val="27517A93"/>
    <w:rsid w:val="27565784"/>
    <w:rsid w:val="275E53AF"/>
    <w:rsid w:val="27606603"/>
    <w:rsid w:val="27624129"/>
    <w:rsid w:val="276658E8"/>
    <w:rsid w:val="276E0D20"/>
    <w:rsid w:val="276F6846"/>
    <w:rsid w:val="277E30D2"/>
    <w:rsid w:val="27803F2A"/>
    <w:rsid w:val="278A18D2"/>
    <w:rsid w:val="27983FEE"/>
    <w:rsid w:val="27A34941"/>
    <w:rsid w:val="27A97FAA"/>
    <w:rsid w:val="27EE3A7B"/>
    <w:rsid w:val="27FA25B3"/>
    <w:rsid w:val="2803197D"/>
    <w:rsid w:val="28033B5E"/>
    <w:rsid w:val="28100029"/>
    <w:rsid w:val="282B09BF"/>
    <w:rsid w:val="282E4F00"/>
    <w:rsid w:val="283B7B44"/>
    <w:rsid w:val="283C0132"/>
    <w:rsid w:val="283C23DF"/>
    <w:rsid w:val="283D69F1"/>
    <w:rsid w:val="283F090E"/>
    <w:rsid w:val="284C16F5"/>
    <w:rsid w:val="284E28FF"/>
    <w:rsid w:val="28570AB5"/>
    <w:rsid w:val="285F2CDC"/>
    <w:rsid w:val="28622C36"/>
    <w:rsid w:val="2869172C"/>
    <w:rsid w:val="288C2D07"/>
    <w:rsid w:val="289E7E22"/>
    <w:rsid w:val="28AC37AC"/>
    <w:rsid w:val="28C2534B"/>
    <w:rsid w:val="28C5525A"/>
    <w:rsid w:val="28D14B96"/>
    <w:rsid w:val="28E60D8A"/>
    <w:rsid w:val="29020C46"/>
    <w:rsid w:val="290240C7"/>
    <w:rsid w:val="290D27BA"/>
    <w:rsid w:val="291713AF"/>
    <w:rsid w:val="291A2B97"/>
    <w:rsid w:val="29274EE0"/>
    <w:rsid w:val="29384AFF"/>
    <w:rsid w:val="29451F54"/>
    <w:rsid w:val="294F692F"/>
    <w:rsid w:val="295029E3"/>
    <w:rsid w:val="29543A59"/>
    <w:rsid w:val="29670ED3"/>
    <w:rsid w:val="2969197F"/>
    <w:rsid w:val="29714AF7"/>
    <w:rsid w:val="29746E87"/>
    <w:rsid w:val="297939AC"/>
    <w:rsid w:val="297C03C2"/>
    <w:rsid w:val="299573AB"/>
    <w:rsid w:val="29AF3D04"/>
    <w:rsid w:val="29B05804"/>
    <w:rsid w:val="29BD1AEA"/>
    <w:rsid w:val="29BE5BD0"/>
    <w:rsid w:val="29C01572"/>
    <w:rsid w:val="29C25353"/>
    <w:rsid w:val="29CA4207"/>
    <w:rsid w:val="29D82DC8"/>
    <w:rsid w:val="29DA08EE"/>
    <w:rsid w:val="29DB6414"/>
    <w:rsid w:val="29E74CE2"/>
    <w:rsid w:val="2A133E00"/>
    <w:rsid w:val="2A1A7DD5"/>
    <w:rsid w:val="2A241B69"/>
    <w:rsid w:val="2A306A36"/>
    <w:rsid w:val="2A457300"/>
    <w:rsid w:val="2A5372C6"/>
    <w:rsid w:val="2A5A558B"/>
    <w:rsid w:val="2A5B03D8"/>
    <w:rsid w:val="2A6C5136"/>
    <w:rsid w:val="2A6F6D07"/>
    <w:rsid w:val="2A852253"/>
    <w:rsid w:val="2A882500"/>
    <w:rsid w:val="2A9E191C"/>
    <w:rsid w:val="2A9E7B6E"/>
    <w:rsid w:val="2AA35184"/>
    <w:rsid w:val="2AAB228B"/>
    <w:rsid w:val="2AAB4E76"/>
    <w:rsid w:val="2AB63ABC"/>
    <w:rsid w:val="2AB63D0A"/>
    <w:rsid w:val="2AC31382"/>
    <w:rsid w:val="2ACA2711"/>
    <w:rsid w:val="2AD0584D"/>
    <w:rsid w:val="2AD549F8"/>
    <w:rsid w:val="2AEA74E5"/>
    <w:rsid w:val="2AF91248"/>
    <w:rsid w:val="2AFB4FC0"/>
    <w:rsid w:val="2B003D00"/>
    <w:rsid w:val="2B074D5E"/>
    <w:rsid w:val="2B0A6991"/>
    <w:rsid w:val="2B100BA9"/>
    <w:rsid w:val="2B1B5825"/>
    <w:rsid w:val="2B1E3AFC"/>
    <w:rsid w:val="2B303E8B"/>
    <w:rsid w:val="2B400742"/>
    <w:rsid w:val="2B4A5600"/>
    <w:rsid w:val="2B574FD9"/>
    <w:rsid w:val="2B5C6CCB"/>
    <w:rsid w:val="2B642979"/>
    <w:rsid w:val="2B681F2A"/>
    <w:rsid w:val="2B7408CF"/>
    <w:rsid w:val="2B88534B"/>
    <w:rsid w:val="2B8D373E"/>
    <w:rsid w:val="2B9E4F56"/>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6F3975"/>
    <w:rsid w:val="2C7566AC"/>
    <w:rsid w:val="2C7843EE"/>
    <w:rsid w:val="2C864D5D"/>
    <w:rsid w:val="2C9C00DD"/>
    <w:rsid w:val="2CA25191"/>
    <w:rsid w:val="2CAC022C"/>
    <w:rsid w:val="2CC11807"/>
    <w:rsid w:val="2CC66CD6"/>
    <w:rsid w:val="2CE327BC"/>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50E50"/>
    <w:rsid w:val="2E0665A9"/>
    <w:rsid w:val="2E085834"/>
    <w:rsid w:val="2E1034F8"/>
    <w:rsid w:val="2E112405"/>
    <w:rsid w:val="2E120D8E"/>
    <w:rsid w:val="2E310CF9"/>
    <w:rsid w:val="2E443652"/>
    <w:rsid w:val="2E505773"/>
    <w:rsid w:val="2E586286"/>
    <w:rsid w:val="2E5C0A3D"/>
    <w:rsid w:val="2E742F70"/>
    <w:rsid w:val="2E837BD7"/>
    <w:rsid w:val="2E9077CD"/>
    <w:rsid w:val="2E9574DA"/>
    <w:rsid w:val="2E9A689E"/>
    <w:rsid w:val="2EC612D6"/>
    <w:rsid w:val="2ED61D9E"/>
    <w:rsid w:val="2EDC2A13"/>
    <w:rsid w:val="2EEC7A71"/>
    <w:rsid w:val="2EFD7DB9"/>
    <w:rsid w:val="2F1A081D"/>
    <w:rsid w:val="2F1C72B3"/>
    <w:rsid w:val="2F1E1306"/>
    <w:rsid w:val="2F1E3DC0"/>
    <w:rsid w:val="2F2D326E"/>
    <w:rsid w:val="2F3112DE"/>
    <w:rsid w:val="2F3B6922"/>
    <w:rsid w:val="2F3D7B25"/>
    <w:rsid w:val="2F3E6A71"/>
    <w:rsid w:val="2F464330"/>
    <w:rsid w:val="2F480119"/>
    <w:rsid w:val="2F4A4EE0"/>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8A0377"/>
    <w:rsid w:val="30930D2E"/>
    <w:rsid w:val="30B8125D"/>
    <w:rsid w:val="30B87D63"/>
    <w:rsid w:val="30BF439A"/>
    <w:rsid w:val="30CF6A37"/>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32D34"/>
    <w:rsid w:val="31580A38"/>
    <w:rsid w:val="316177A4"/>
    <w:rsid w:val="31700E4B"/>
    <w:rsid w:val="3172683C"/>
    <w:rsid w:val="318F773E"/>
    <w:rsid w:val="31A359FC"/>
    <w:rsid w:val="31A67308"/>
    <w:rsid w:val="31AC744B"/>
    <w:rsid w:val="31AD0D61"/>
    <w:rsid w:val="31AF440F"/>
    <w:rsid w:val="31B61C41"/>
    <w:rsid w:val="31C42968"/>
    <w:rsid w:val="31CD297B"/>
    <w:rsid w:val="31CD73BD"/>
    <w:rsid w:val="31D245A1"/>
    <w:rsid w:val="31D66571"/>
    <w:rsid w:val="31DB4220"/>
    <w:rsid w:val="31DC56CD"/>
    <w:rsid w:val="31E63B94"/>
    <w:rsid w:val="31F27AF7"/>
    <w:rsid w:val="31F462C5"/>
    <w:rsid w:val="31FA74CA"/>
    <w:rsid w:val="32176602"/>
    <w:rsid w:val="322A7699"/>
    <w:rsid w:val="322B25C6"/>
    <w:rsid w:val="32422E70"/>
    <w:rsid w:val="325E56C6"/>
    <w:rsid w:val="3275698A"/>
    <w:rsid w:val="327C0679"/>
    <w:rsid w:val="3281224F"/>
    <w:rsid w:val="32870EE7"/>
    <w:rsid w:val="32931F82"/>
    <w:rsid w:val="32943B86"/>
    <w:rsid w:val="32A93829"/>
    <w:rsid w:val="32B943EC"/>
    <w:rsid w:val="32B9519B"/>
    <w:rsid w:val="32CB5278"/>
    <w:rsid w:val="32D22AAA"/>
    <w:rsid w:val="32DC63A0"/>
    <w:rsid w:val="32E429C1"/>
    <w:rsid w:val="330503EE"/>
    <w:rsid w:val="33122EA7"/>
    <w:rsid w:val="33274478"/>
    <w:rsid w:val="333E1EEE"/>
    <w:rsid w:val="334045BE"/>
    <w:rsid w:val="334A3B2A"/>
    <w:rsid w:val="334E5EA9"/>
    <w:rsid w:val="335133F7"/>
    <w:rsid w:val="335A65FC"/>
    <w:rsid w:val="3365592E"/>
    <w:rsid w:val="33666E2C"/>
    <w:rsid w:val="336A31F3"/>
    <w:rsid w:val="336F5D12"/>
    <w:rsid w:val="336F6533"/>
    <w:rsid w:val="337E5E2F"/>
    <w:rsid w:val="3384610D"/>
    <w:rsid w:val="33886F33"/>
    <w:rsid w:val="33AA5979"/>
    <w:rsid w:val="33C03E90"/>
    <w:rsid w:val="33C96649"/>
    <w:rsid w:val="33CC3D88"/>
    <w:rsid w:val="33D939C5"/>
    <w:rsid w:val="33DD0306"/>
    <w:rsid w:val="33FD3B57"/>
    <w:rsid w:val="33FD722F"/>
    <w:rsid w:val="3400362D"/>
    <w:rsid w:val="340B09C5"/>
    <w:rsid w:val="341E4CAB"/>
    <w:rsid w:val="34205B4A"/>
    <w:rsid w:val="34360E17"/>
    <w:rsid w:val="34584EE2"/>
    <w:rsid w:val="345D45F6"/>
    <w:rsid w:val="3461350E"/>
    <w:rsid w:val="346F4329"/>
    <w:rsid w:val="347A1C51"/>
    <w:rsid w:val="347D373F"/>
    <w:rsid w:val="34922A93"/>
    <w:rsid w:val="34956481"/>
    <w:rsid w:val="34A35871"/>
    <w:rsid w:val="34B65AB4"/>
    <w:rsid w:val="34C06C9D"/>
    <w:rsid w:val="34C71A6F"/>
    <w:rsid w:val="34C93A39"/>
    <w:rsid w:val="34DF24AE"/>
    <w:rsid w:val="34E77055"/>
    <w:rsid w:val="351C4931"/>
    <w:rsid w:val="351C4EAC"/>
    <w:rsid w:val="351D4C26"/>
    <w:rsid w:val="351F3659"/>
    <w:rsid w:val="352B46F4"/>
    <w:rsid w:val="352E7D40"/>
    <w:rsid w:val="35361A77"/>
    <w:rsid w:val="35461A22"/>
    <w:rsid w:val="35483CC9"/>
    <w:rsid w:val="354B08F2"/>
    <w:rsid w:val="35571045"/>
    <w:rsid w:val="356E46AA"/>
    <w:rsid w:val="357235B0"/>
    <w:rsid w:val="3578502D"/>
    <w:rsid w:val="3586192A"/>
    <w:rsid w:val="358625C7"/>
    <w:rsid w:val="35A40002"/>
    <w:rsid w:val="35A815CB"/>
    <w:rsid w:val="35A85BD0"/>
    <w:rsid w:val="35AA1B9C"/>
    <w:rsid w:val="35D501BC"/>
    <w:rsid w:val="35D94150"/>
    <w:rsid w:val="35DB09A6"/>
    <w:rsid w:val="35DE52C2"/>
    <w:rsid w:val="36080591"/>
    <w:rsid w:val="3609472F"/>
    <w:rsid w:val="3619454C"/>
    <w:rsid w:val="36203B2D"/>
    <w:rsid w:val="36376D1A"/>
    <w:rsid w:val="363E0457"/>
    <w:rsid w:val="365B4B65"/>
    <w:rsid w:val="36687282"/>
    <w:rsid w:val="369B4CF0"/>
    <w:rsid w:val="36A93B22"/>
    <w:rsid w:val="36D62629"/>
    <w:rsid w:val="36D76172"/>
    <w:rsid w:val="36D84407"/>
    <w:rsid w:val="36E833BB"/>
    <w:rsid w:val="36EB1E1B"/>
    <w:rsid w:val="36F17F0D"/>
    <w:rsid w:val="36FB00F6"/>
    <w:rsid w:val="37103BA1"/>
    <w:rsid w:val="37224581"/>
    <w:rsid w:val="3735197D"/>
    <w:rsid w:val="373756A2"/>
    <w:rsid w:val="3747333B"/>
    <w:rsid w:val="374A416C"/>
    <w:rsid w:val="375E0DA6"/>
    <w:rsid w:val="377639AE"/>
    <w:rsid w:val="377E111B"/>
    <w:rsid w:val="378142CB"/>
    <w:rsid w:val="378B61A6"/>
    <w:rsid w:val="37920A5A"/>
    <w:rsid w:val="37A323CD"/>
    <w:rsid w:val="37B90F0B"/>
    <w:rsid w:val="37BA1D5F"/>
    <w:rsid w:val="37CD3F98"/>
    <w:rsid w:val="37DF75BA"/>
    <w:rsid w:val="37E148E2"/>
    <w:rsid w:val="37F4125D"/>
    <w:rsid w:val="37F848EE"/>
    <w:rsid w:val="37F912FC"/>
    <w:rsid w:val="37FB65FF"/>
    <w:rsid w:val="37FF59C4"/>
    <w:rsid w:val="380D59EE"/>
    <w:rsid w:val="38304889"/>
    <w:rsid w:val="38356F36"/>
    <w:rsid w:val="3836588A"/>
    <w:rsid w:val="38382675"/>
    <w:rsid w:val="383B7B0D"/>
    <w:rsid w:val="3848553B"/>
    <w:rsid w:val="3851700B"/>
    <w:rsid w:val="385246B6"/>
    <w:rsid w:val="385E6B8E"/>
    <w:rsid w:val="3876113B"/>
    <w:rsid w:val="38855EC9"/>
    <w:rsid w:val="389C4783"/>
    <w:rsid w:val="38A53DB7"/>
    <w:rsid w:val="38A9519D"/>
    <w:rsid w:val="38AC5B4C"/>
    <w:rsid w:val="38AD5420"/>
    <w:rsid w:val="38BF3388"/>
    <w:rsid w:val="38CC268D"/>
    <w:rsid w:val="38DF1FDA"/>
    <w:rsid w:val="38EC2960"/>
    <w:rsid w:val="390069DD"/>
    <w:rsid w:val="3902603A"/>
    <w:rsid w:val="39030CF9"/>
    <w:rsid w:val="39091F35"/>
    <w:rsid w:val="392536E2"/>
    <w:rsid w:val="39465F15"/>
    <w:rsid w:val="39505209"/>
    <w:rsid w:val="396453C5"/>
    <w:rsid w:val="39922CCF"/>
    <w:rsid w:val="39A24859"/>
    <w:rsid w:val="39A65327"/>
    <w:rsid w:val="39A65C9B"/>
    <w:rsid w:val="39BC5ED6"/>
    <w:rsid w:val="39BD78E5"/>
    <w:rsid w:val="39C40C73"/>
    <w:rsid w:val="39D0586A"/>
    <w:rsid w:val="39D27231"/>
    <w:rsid w:val="39E15381"/>
    <w:rsid w:val="39E82BB3"/>
    <w:rsid w:val="39EB39E0"/>
    <w:rsid w:val="39EE7A9E"/>
    <w:rsid w:val="39EF02D4"/>
    <w:rsid w:val="3A08699C"/>
    <w:rsid w:val="3A11342A"/>
    <w:rsid w:val="3A146946"/>
    <w:rsid w:val="3A153110"/>
    <w:rsid w:val="3A2149EA"/>
    <w:rsid w:val="3A2507C0"/>
    <w:rsid w:val="3A285AD8"/>
    <w:rsid w:val="3A393FA7"/>
    <w:rsid w:val="3A3A5A22"/>
    <w:rsid w:val="3A524858"/>
    <w:rsid w:val="3A64203E"/>
    <w:rsid w:val="3A663D00"/>
    <w:rsid w:val="3A7428D0"/>
    <w:rsid w:val="3A747EDD"/>
    <w:rsid w:val="3A7D68D2"/>
    <w:rsid w:val="3A8F302F"/>
    <w:rsid w:val="3A923AE4"/>
    <w:rsid w:val="3AA50E25"/>
    <w:rsid w:val="3AC566E3"/>
    <w:rsid w:val="3AD6747A"/>
    <w:rsid w:val="3AD95C48"/>
    <w:rsid w:val="3ADA69F8"/>
    <w:rsid w:val="3ADF5D0A"/>
    <w:rsid w:val="3B034B01"/>
    <w:rsid w:val="3B0F23C2"/>
    <w:rsid w:val="3B312338"/>
    <w:rsid w:val="3B3C5B77"/>
    <w:rsid w:val="3B3D0FF2"/>
    <w:rsid w:val="3B44206B"/>
    <w:rsid w:val="3B451940"/>
    <w:rsid w:val="3B501351"/>
    <w:rsid w:val="3B521A18"/>
    <w:rsid w:val="3B741699"/>
    <w:rsid w:val="3B8D2B96"/>
    <w:rsid w:val="3B90705F"/>
    <w:rsid w:val="3B923660"/>
    <w:rsid w:val="3B936B4F"/>
    <w:rsid w:val="3BB16FD5"/>
    <w:rsid w:val="3BB6283D"/>
    <w:rsid w:val="3BCA44BE"/>
    <w:rsid w:val="3C017F5D"/>
    <w:rsid w:val="3C035A0C"/>
    <w:rsid w:val="3C061F3A"/>
    <w:rsid w:val="3C0A04F9"/>
    <w:rsid w:val="3C1C6B44"/>
    <w:rsid w:val="3C491519"/>
    <w:rsid w:val="3C495480"/>
    <w:rsid w:val="3C4C3A42"/>
    <w:rsid w:val="3C557EA4"/>
    <w:rsid w:val="3C6F0167"/>
    <w:rsid w:val="3C71667B"/>
    <w:rsid w:val="3C7C75E3"/>
    <w:rsid w:val="3C914F3B"/>
    <w:rsid w:val="3C9E1C4F"/>
    <w:rsid w:val="3CA8604E"/>
    <w:rsid w:val="3CB44FCF"/>
    <w:rsid w:val="3CC17F13"/>
    <w:rsid w:val="3CCD42E3"/>
    <w:rsid w:val="3CD15B81"/>
    <w:rsid w:val="3CD50B40"/>
    <w:rsid w:val="3CE320A3"/>
    <w:rsid w:val="3CE9196C"/>
    <w:rsid w:val="3CEC29BB"/>
    <w:rsid w:val="3CF15105"/>
    <w:rsid w:val="3D0C04B9"/>
    <w:rsid w:val="3D1414C5"/>
    <w:rsid w:val="3D1837B0"/>
    <w:rsid w:val="3D1C763E"/>
    <w:rsid w:val="3D201AA5"/>
    <w:rsid w:val="3D2B37EA"/>
    <w:rsid w:val="3D2F7FF3"/>
    <w:rsid w:val="3D3B56F0"/>
    <w:rsid w:val="3D3D1507"/>
    <w:rsid w:val="3D595B76"/>
    <w:rsid w:val="3D62085B"/>
    <w:rsid w:val="3D6B12FD"/>
    <w:rsid w:val="3D7B4622"/>
    <w:rsid w:val="3D7E1D00"/>
    <w:rsid w:val="3D8E5820"/>
    <w:rsid w:val="3D931088"/>
    <w:rsid w:val="3D942E29"/>
    <w:rsid w:val="3DA53531"/>
    <w:rsid w:val="3DA70690"/>
    <w:rsid w:val="3DB039E8"/>
    <w:rsid w:val="3DB35286"/>
    <w:rsid w:val="3DB54E0C"/>
    <w:rsid w:val="3DB900C1"/>
    <w:rsid w:val="3DBB413B"/>
    <w:rsid w:val="3DE03BA2"/>
    <w:rsid w:val="3DE51866"/>
    <w:rsid w:val="3DE91725"/>
    <w:rsid w:val="3DF159B1"/>
    <w:rsid w:val="3E135D25"/>
    <w:rsid w:val="3E1A106E"/>
    <w:rsid w:val="3E263CAA"/>
    <w:rsid w:val="3E36303B"/>
    <w:rsid w:val="3E526044"/>
    <w:rsid w:val="3E5C591E"/>
    <w:rsid w:val="3E6C2B3A"/>
    <w:rsid w:val="3E832EAB"/>
    <w:rsid w:val="3E8C5311"/>
    <w:rsid w:val="3E8E7E55"/>
    <w:rsid w:val="3EB61473"/>
    <w:rsid w:val="3EC66011"/>
    <w:rsid w:val="3ED25BE0"/>
    <w:rsid w:val="3ED5122D"/>
    <w:rsid w:val="3ED75B7F"/>
    <w:rsid w:val="3EF9316D"/>
    <w:rsid w:val="3F222DB1"/>
    <w:rsid w:val="3F300006"/>
    <w:rsid w:val="3F315E6B"/>
    <w:rsid w:val="3F4A5F01"/>
    <w:rsid w:val="3F5175E2"/>
    <w:rsid w:val="3F56276A"/>
    <w:rsid w:val="3F6C10E0"/>
    <w:rsid w:val="3F963015"/>
    <w:rsid w:val="3F964D35"/>
    <w:rsid w:val="3FA327ED"/>
    <w:rsid w:val="3FB11738"/>
    <w:rsid w:val="3FB5581B"/>
    <w:rsid w:val="3FC33D05"/>
    <w:rsid w:val="3FC90D91"/>
    <w:rsid w:val="3FF46B18"/>
    <w:rsid w:val="3FF74A2E"/>
    <w:rsid w:val="3FFC36E2"/>
    <w:rsid w:val="4005572D"/>
    <w:rsid w:val="402833BA"/>
    <w:rsid w:val="40283C2B"/>
    <w:rsid w:val="40394FD1"/>
    <w:rsid w:val="403A3A3D"/>
    <w:rsid w:val="40425879"/>
    <w:rsid w:val="405C1C05"/>
    <w:rsid w:val="405E3BCF"/>
    <w:rsid w:val="406B3DDC"/>
    <w:rsid w:val="40713895"/>
    <w:rsid w:val="40765D15"/>
    <w:rsid w:val="407B4FC1"/>
    <w:rsid w:val="407F2DE9"/>
    <w:rsid w:val="40866C82"/>
    <w:rsid w:val="40891E40"/>
    <w:rsid w:val="40920B61"/>
    <w:rsid w:val="40953369"/>
    <w:rsid w:val="40991379"/>
    <w:rsid w:val="409B3C3D"/>
    <w:rsid w:val="409F1D81"/>
    <w:rsid w:val="40A35A86"/>
    <w:rsid w:val="40BB2DD0"/>
    <w:rsid w:val="40E66965"/>
    <w:rsid w:val="40F701DF"/>
    <w:rsid w:val="40FD480A"/>
    <w:rsid w:val="411B59C4"/>
    <w:rsid w:val="412A32F8"/>
    <w:rsid w:val="414C7ECC"/>
    <w:rsid w:val="41642FEF"/>
    <w:rsid w:val="41650F8E"/>
    <w:rsid w:val="417F433E"/>
    <w:rsid w:val="418A1D66"/>
    <w:rsid w:val="418A4550"/>
    <w:rsid w:val="419C4043"/>
    <w:rsid w:val="41B161BF"/>
    <w:rsid w:val="41B7239D"/>
    <w:rsid w:val="41C95079"/>
    <w:rsid w:val="41D852BC"/>
    <w:rsid w:val="41DF2AEE"/>
    <w:rsid w:val="41FF3845"/>
    <w:rsid w:val="420A743F"/>
    <w:rsid w:val="420E33D3"/>
    <w:rsid w:val="42101488"/>
    <w:rsid w:val="421104A9"/>
    <w:rsid w:val="42143B88"/>
    <w:rsid w:val="42164586"/>
    <w:rsid w:val="422936B2"/>
    <w:rsid w:val="422E75D1"/>
    <w:rsid w:val="42440BA3"/>
    <w:rsid w:val="424566C9"/>
    <w:rsid w:val="42475850"/>
    <w:rsid w:val="424C7A58"/>
    <w:rsid w:val="424E1A22"/>
    <w:rsid w:val="425B5DD1"/>
    <w:rsid w:val="4260300C"/>
    <w:rsid w:val="42621029"/>
    <w:rsid w:val="42755200"/>
    <w:rsid w:val="42772802"/>
    <w:rsid w:val="427C799E"/>
    <w:rsid w:val="427F607F"/>
    <w:rsid w:val="42800B9B"/>
    <w:rsid w:val="4281223D"/>
    <w:rsid w:val="42843695"/>
    <w:rsid w:val="428E1E1E"/>
    <w:rsid w:val="428E62C2"/>
    <w:rsid w:val="42A06B6C"/>
    <w:rsid w:val="42A06FBC"/>
    <w:rsid w:val="42A27996"/>
    <w:rsid w:val="42A45E72"/>
    <w:rsid w:val="42AA04E2"/>
    <w:rsid w:val="42BD0BDC"/>
    <w:rsid w:val="42C972FA"/>
    <w:rsid w:val="42D737C5"/>
    <w:rsid w:val="42EA5650"/>
    <w:rsid w:val="42F16B4A"/>
    <w:rsid w:val="431408DA"/>
    <w:rsid w:val="431B7C78"/>
    <w:rsid w:val="4331401E"/>
    <w:rsid w:val="433805EC"/>
    <w:rsid w:val="433A2396"/>
    <w:rsid w:val="43486FC5"/>
    <w:rsid w:val="434A21E9"/>
    <w:rsid w:val="43591DDA"/>
    <w:rsid w:val="435A0DF2"/>
    <w:rsid w:val="436C30B1"/>
    <w:rsid w:val="436C42E1"/>
    <w:rsid w:val="437102E7"/>
    <w:rsid w:val="437C210F"/>
    <w:rsid w:val="43847F02"/>
    <w:rsid w:val="438F113C"/>
    <w:rsid w:val="439E7EFB"/>
    <w:rsid w:val="439F6030"/>
    <w:rsid w:val="43B1568A"/>
    <w:rsid w:val="43B64E08"/>
    <w:rsid w:val="43BD7F58"/>
    <w:rsid w:val="43D43ECA"/>
    <w:rsid w:val="43D60064"/>
    <w:rsid w:val="43DD305D"/>
    <w:rsid w:val="43DD452F"/>
    <w:rsid w:val="43DE6CD4"/>
    <w:rsid w:val="43E51150"/>
    <w:rsid w:val="43EF28BB"/>
    <w:rsid w:val="43EF56D3"/>
    <w:rsid w:val="43F026AF"/>
    <w:rsid w:val="43F47D80"/>
    <w:rsid w:val="43F565F9"/>
    <w:rsid w:val="43F839F3"/>
    <w:rsid w:val="44055A2D"/>
    <w:rsid w:val="44095C00"/>
    <w:rsid w:val="440A6FD2"/>
    <w:rsid w:val="440E1469"/>
    <w:rsid w:val="44192408"/>
    <w:rsid w:val="442A1797"/>
    <w:rsid w:val="44353685"/>
    <w:rsid w:val="44366C11"/>
    <w:rsid w:val="444946CA"/>
    <w:rsid w:val="444B3F54"/>
    <w:rsid w:val="445B0426"/>
    <w:rsid w:val="44611430"/>
    <w:rsid w:val="44641089"/>
    <w:rsid w:val="446472DA"/>
    <w:rsid w:val="4476661F"/>
    <w:rsid w:val="447E3AC5"/>
    <w:rsid w:val="44805ED4"/>
    <w:rsid w:val="448E5DEE"/>
    <w:rsid w:val="449C4CC6"/>
    <w:rsid w:val="449E4142"/>
    <w:rsid w:val="44A90BAA"/>
    <w:rsid w:val="44B24A20"/>
    <w:rsid w:val="44B33DBE"/>
    <w:rsid w:val="44BC0BEE"/>
    <w:rsid w:val="44BF6C07"/>
    <w:rsid w:val="44C24001"/>
    <w:rsid w:val="44C55A88"/>
    <w:rsid w:val="44ED72D0"/>
    <w:rsid w:val="44FB1C9C"/>
    <w:rsid w:val="450C05A0"/>
    <w:rsid w:val="451322E6"/>
    <w:rsid w:val="45392A13"/>
    <w:rsid w:val="453D0C3C"/>
    <w:rsid w:val="453E3FCF"/>
    <w:rsid w:val="454F1836"/>
    <w:rsid w:val="45637592"/>
    <w:rsid w:val="45887B45"/>
    <w:rsid w:val="458B66DF"/>
    <w:rsid w:val="45940F0E"/>
    <w:rsid w:val="45AC5DBA"/>
    <w:rsid w:val="45C647AF"/>
    <w:rsid w:val="45CF3374"/>
    <w:rsid w:val="45DD529D"/>
    <w:rsid w:val="45E57886"/>
    <w:rsid w:val="45E945CC"/>
    <w:rsid w:val="46003076"/>
    <w:rsid w:val="46010751"/>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04C97"/>
    <w:rsid w:val="46C3037C"/>
    <w:rsid w:val="46CB1893"/>
    <w:rsid w:val="46CE6E3B"/>
    <w:rsid w:val="46EF26BD"/>
    <w:rsid w:val="46FF15E0"/>
    <w:rsid w:val="4700581C"/>
    <w:rsid w:val="4702516A"/>
    <w:rsid w:val="4724600B"/>
    <w:rsid w:val="472E597E"/>
    <w:rsid w:val="474A4B33"/>
    <w:rsid w:val="47543636"/>
    <w:rsid w:val="47645D34"/>
    <w:rsid w:val="47665A15"/>
    <w:rsid w:val="47677941"/>
    <w:rsid w:val="477C2B8D"/>
    <w:rsid w:val="477F1660"/>
    <w:rsid w:val="4788232A"/>
    <w:rsid w:val="478B0398"/>
    <w:rsid w:val="478F5D0B"/>
    <w:rsid w:val="479D5A47"/>
    <w:rsid w:val="47A04ACD"/>
    <w:rsid w:val="47A11E6C"/>
    <w:rsid w:val="47A31F5F"/>
    <w:rsid w:val="47A345BE"/>
    <w:rsid w:val="47A84BA6"/>
    <w:rsid w:val="47AD5DB0"/>
    <w:rsid w:val="47B52444"/>
    <w:rsid w:val="47B8724E"/>
    <w:rsid w:val="47CB141F"/>
    <w:rsid w:val="47ED7BCA"/>
    <w:rsid w:val="47F46BC7"/>
    <w:rsid w:val="48016F34"/>
    <w:rsid w:val="480556DB"/>
    <w:rsid w:val="48185C56"/>
    <w:rsid w:val="48254C34"/>
    <w:rsid w:val="4829193B"/>
    <w:rsid w:val="48450F81"/>
    <w:rsid w:val="48455675"/>
    <w:rsid w:val="484E729D"/>
    <w:rsid w:val="48566773"/>
    <w:rsid w:val="485A23C2"/>
    <w:rsid w:val="48623B31"/>
    <w:rsid w:val="48691107"/>
    <w:rsid w:val="48895289"/>
    <w:rsid w:val="48934632"/>
    <w:rsid w:val="48A16B62"/>
    <w:rsid w:val="48AE0D54"/>
    <w:rsid w:val="48B247B1"/>
    <w:rsid w:val="48BC6222"/>
    <w:rsid w:val="48C055EE"/>
    <w:rsid w:val="48C245E9"/>
    <w:rsid w:val="48DB312A"/>
    <w:rsid w:val="48DF49D9"/>
    <w:rsid w:val="492108CC"/>
    <w:rsid w:val="492928A1"/>
    <w:rsid w:val="49301E81"/>
    <w:rsid w:val="49413F52"/>
    <w:rsid w:val="494F6304"/>
    <w:rsid w:val="49792B95"/>
    <w:rsid w:val="49F11610"/>
    <w:rsid w:val="4A01681E"/>
    <w:rsid w:val="4A05334F"/>
    <w:rsid w:val="4A060864"/>
    <w:rsid w:val="4A244932"/>
    <w:rsid w:val="4A2922C8"/>
    <w:rsid w:val="4A344C24"/>
    <w:rsid w:val="4A396B13"/>
    <w:rsid w:val="4A4117B2"/>
    <w:rsid w:val="4A4A6F73"/>
    <w:rsid w:val="4A712751"/>
    <w:rsid w:val="4A7A4350"/>
    <w:rsid w:val="4A7B1703"/>
    <w:rsid w:val="4A7E2497"/>
    <w:rsid w:val="4A896826"/>
    <w:rsid w:val="4A8E50B1"/>
    <w:rsid w:val="4A993A56"/>
    <w:rsid w:val="4ABF5E17"/>
    <w:rsid w:val="4ACB00B3"/>
    <w:rsid w:val="4ACF7478"/>
    <w:rsid w:val="4AD52CE0"/>
    <w:rsid w:val="4AD5594C"/>
    <w:rsid w:val="4AD60806"/>
    <w:rsid w:val="4AE01A66"/>
    <w:rsid w:val="4AE104D6"/>
    <w:rsid w:val="4AE724D1"/>
    <w:rsid w:val="4AE77140"/>
    <w:rsid w:val="4AEA4061"/>
    <w:rsid w:val="4AEB3612"/>
    <w:rsid w:val="4AED707B"/>
    <w:rsid w:val="4AFA2F07"/>
    <w:rsid w:val="4B015D61"/>
    <w:rsid w:val="4B0B7979"/>
    <w:rsid w:val="4B1530DD"/>
    <w:rsid w:val="4B3E3B79"/>
    <w:rsid w:val="4B520DF4"/>
    <w:rsid w:val="4B603107"/>
    <w:rsid w:val="4B6E6C91"/>
    <w:rsid w:val="4B773D97"/>
    <w:rsid w:val="4B7A5635"/>
    <w:rsid w:val="4B7C0820"/>
    <w:rsid w:val="4B8E10E1"/>
    <w:rsid w:val="4B964EB0"/>
    <w:rsid w:val="4B9802B0"/>
    <w:rsid w:val="4B9E65BE"/>
    <w:rsid w:val="4B9F33A8"/>
    <w:rsid w:val="4BA80AFD"/>
    <w:rsid w:val="4BB033BA"/>
    <w:rsid w:val="4BB469AD"/>
    <w:rsid w:val="4BBE19C6"/>
    <w:rsid w:val="4BC06040"/>
    <w:rsid w:val="4BC66ACD"/>
    <w:rsid w:val="4BC82845"/>
    <w:rsid w:val="4BCF5981"/>
    <w:rsid w:val="4BD846DB"/>
    <w:rsid w:val="4BF441D2"/>
    <w:rsid w:val="4C196BFC"/>
    <w:rsid w:val="4C1C2A09"/>
    <w:rsid w:val="4C284AD9"/>
    <w:rsid w:val="4C423098"/>
    <w:rsid w:val="4C694192"/>
    <w:rsid w:val="4C7964D9"/>
    <w:rsid w:val="4C8229F4"/>
    <w:rsid w:val="4C891FD4"/>
    <w:rsid w:val="4C8C5620"/>
    <w:rsid w:val="4C9269F6"/>
    <w:rsid w:val="4CB75F07"/>
    <w:rsid w:val="4CBA03DF"/>
    <w:rsid w:val="4CC24B4C"/>
    <w:rsid w:val="4CC4733F"/>
    <w:rsid w:val="4CC84335"/>
    <w:rsid w:val="4CD22B0F"/>
    <w:rsid w:val="4CDA3E72"/>
    <w:rsid w:val="4CE4545C"/>
    <w:rsid w:val="4CE9350A"/>
    <w:rsid w:val="4D014937"/>
    <w:rsid w:val="4D1E2466"/>
    <w:rsid w:val="4D2256CD"/>
    <w:rsid w:val="4D225F85"/>
    <w:rsid w:val="4D297BF3"/>
    <w:rsid w:val="4D2D0EAF"/>
    <w:rsid w:val="4D5679DC"/>
    <w:rsid w:val="4D795A49"/>
    <w:rsid w:val="4D7F0082"/>
    <w:rsid w:val="4D910B7E"/>
    <w:rsid w:val="4D952FD9"/>
    <w:rsid w:val="4D970662"/>
    <w:rsid w:val="4D9A1FBF"/>
    <w:rsid w:val="4D9F40B3"/>
    <w:rsid w:val="4DAD5669"/>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0E49F1"/>
    <w:rsid w:val="4E2423AC"/>
    <w:rsid w:val="4E261AA5"/>
    <w:rsid w:val="4E287F63"/>
    <w:rsid w:val="4E304B5D"/>
    <w:rsid w:val="4E3F66C2"/>
    <w:rsid w:val="4E611B8B"/>
    <w:rsid w:val="4E6279D7"/>
    <w:rsid w:val="4E682F8C"/>
    <w:rsid w:val="4E6A7BB7"/>
    <w:rsid w:val="4E6C5D89"/>
    <w:rsid w:val="4E9133C2"/>
    <w:rsid w:val="4EB23220"/>
    <w:rsid w:val="4EC866B8"/>
    <w:rsid w:val="4ED46303"/>
    <w:rsid w:val="4EDB463D"/>
    <w:rsid w:val="4EE661F8"/>
    <w:rsid w:val="4EF27A04"/>
    <w:rsid w:val="4F0773B4"/>
    <w:rsid w:val="4F0C69BB"/>
    <w:rsid w:val="4F241019"/>
    <w:rsid w:val="4F307BB1"/>
    <w:rsid w:val="4F336227"/>
    <w:rsid w:val="4F3C3EF2"/>
    <w:rsid w:val="4F3D562D"/>
    <w:rsid w:val="4F5C4EE0"/>
    <w:rsid w:val="4F681AF1"/>
    <w:rsid w:val="4F6E1972"/>
    <w:rsid w:val="4F943166"/>
    <w:rsid w:val="4F9C19A5"/>
    <w:rsid w:val="4FAE1D52"/>
    <w:rsid w:val="4FBA02A1"/>
    <w:rsid w:val="4FC275AB"/>
    <w:rsid w:val="4FD86DCF"/>
    <w:rsid w:val="4FE7106E"/>
    <w:rsid w:val="4FF82FCD"/>
    <w:rsid w:val="4FFC288D"/>
    <w:rsid w:val="50053943"/>
    <w:rsid w:val="50260569"/>
    <w:rsid w:val="50374A3C"/>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3242BC"/>
    <w:rsid w:val="514069D9"/>
    <w:rsid w:val="514229EF"/>
    <w:rsid w:val="515B06D0"/>
    <w:rsid w:val="51764AF1"/>
    <w:rsid w:val="51996737"/>
    <w:rsid w:val="51B408B8"/>
    <w:rsid w:val="51B80848"/>
    <w:rsid w:val="51CC0868"/>
    <w:rsid w:val="51D33CF1"/>
    <w:rsid w:val="51D5340F"/>
    <w:rsid w:val="520B348B"/>
    <w:rsid w:val="52287B99"/>
    <w:rsid w:val="52382F2A"/>
    <w:rsid w:val="52386E3D"/>
    <w:rsid w:val="523A7DD1"/>
    <w:rsid w:val="523B7711"/>
    <w:rsid w:val="524E3378"/>
    <w:rsid w:val="52522E68"/>
    <w:rsid w:val="5271774C"/>
    <w:rsid w:val="527A416D"/>
    <w:rsid w:val="528D5323"/>
    <w:rsid w:val="528D7B65"/>
    <w:rsid w:val="5299416C"/>
    <w:rsid w:val="52AA11D3"/>
    <w:rsid w:val="52B61649"/>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B7F1F"/>
    <w:rsid w:val="53AC6F7B"/>
    <w:rsid w:val="53C01F4F"/>
    <w:rsid w:val="53C421A6"/>
    <w:rsid w:val="53EB297B"/>
    <w:rsid w:val="53EC4BF7"/>
    <w:rsid w:val="53F671DE"/>
    <w:rsid w:val="53F758A1"/>
    <w:rsid w:val="540C3BAA"/>
    <w:rsid w:val="540D5A7F"/>
    <w:rsid w:val="542E2BC2"/>
    <w:rsid w:val="54352A96"/>
    <w:rsid w:val="54447390"/>
    <w:rsid w:val="544B514D"/>
    <w:rsid w:val="545E1D01"/>
    <w:rsid w:val="54674051"/>
    <w:rsid w:val="5472334E"/>
    <w:rsid w:val="547F2161"/>
    <w:rsid w:val="54935B8F"/>
    <w:rsid w:val="54994D7E"/>
    <w:rsid w:val="54996B2C"/>
    <w:rsid w:val="549D3677"/>
    <w:rsid w:val="54AD4386"/>
    <w:rsid w:val="54B03E76"/>
    <w:rsid w:val="54BB2F47"/>
    <w:rsid w:val="54BF230B"/>
    <w:rsid w:val="54CC6227"/>
    <w:rsid w:val="54D10F9B"/>
    <w:rsid w:val="54D97871"/>
    <w:rsid w:val="54DC4C6B"/>
    <w:rsid w:val="54EF1BF5"/>
    <w:rsid w:val="550B5550"/>
    <w:rsid w:val="551D586C"/>
    <w:rsid w:val="55200298"/>
    <w:rsid w:val="55335E1B"/>
    <w:rsid w:val="5536079B"/>
    <w:rsid w:val="554B7EF0"/>
    <w:rsid w:val="556F3D99"/>
    <w:rsid w:val="556F788D"/>
    <w:rsid w:val="55720837"/>
    <w:rsid w:val="55860894"/>
    <w:rsid w:val="558F6181"/>
    <w:rsid w:val="55B02DF1"/>
    <w:rsid w:val="55C4407D"/>
    <w:rsid w:val="55C71477"/>
    <w:rsid w:val="55D47A00"/>
    <w:rsid w:val="55D5456D"/>
    <w:rsid w:val="55DC290C"/>
    <w:rsid w:val="55DD5EA6"/>
    <w:rsid w:val="55E71B19"/>
    <w:rsid w:val="55EA5D64"/>
    <w:rsid w:val="55F01FA1"/>
    <w:rsid w:val="55F028DC"/>
    <w:rsid w:val="55FC19B9"/>
    <w:rsid w:val="560857B6"/>
    <w:rsid w:val="56130B60"/>
    <w:rsid w:val="56234F28"/>
    <w:rsid w:val="562C1C22"/>
    <w:rsid w:val="56352885"/>
    <w:rsid w:val="564725B8"/>
    <w:rsid w:val="56586573"/>
    <w:rsid w:val="56666B5B"/>
    <w:rsid w:val="56717635"/>
    <w:rsid w:val="56764C4B"/>
    <w:rsid w:val="567D72FD"/>
    <w:rsid w:val="56990B7C"/>
    <w:rsid w:val="569E1126"/>
    <w:rsid w:val="56A678AF"/>
    <w:rsid w:val="56A8690E"/>
    <w:rsid w:val="56B51C18"/>
    <w:rsid w:val="56B679AB"/>
    <w:rsid w:val="56B80DEB"/>
    <w:rsid w:val="56D976B4"/>
    <w:rsid w:val="56E0560F"/>
    <w:rsid w:val="56E06E61"/>
    <w:rsid w:val="56E9366F"/>
    <w:rsid w:val="56EF3C74"/>
    <w:rsid w:val="56F653FE"/>
    <w:rsid w:val="57007337"/>
    <w:rsid w:val="570B1AB1"/>
    <w:rsid w:val="57233025"/>
    <w:rsid w:val="57272B15"/>
    <w:rsid w:val="574448FC"/>
    <w:rsid w:val="574F7976"/>
    <w:rsid w:val="57561D39"/>
    <w:rsid w:val="575B7AFD"/>
    <w:rsid w:val="576176AA"/>
    <w:rsid w:val="57660D3F"/>
    <w:rsid w:val="576A09DC"/>
    <w:rsid w:val="5774562F"/>
    <w:rsid w:val="5785783C"/>
    <w:rsid w:val="578F06BB"/>
    <w:rsid w:val="57A469A0"/>
    <w:rsid w:val="57A557E8"/>
    <w:rsid w:val="57BA3FF9"/>
    <w:rsid w:val="57CC4BC2"/>
    <w:rsid w:val="57D10760"/>
    <w:rsid w:val="57D1153D"/>
    <w:rsid w:val="57D77297"/>
    <w:rsid w:val="57FA3774"/>
    <w:rsid w:val="58084A3C"/>
    <w:rsid w:val="582772A7"/>
    <w:rsid w:val="5847689F"/>
    <w:rsid w:val="58482C7F"/>
    <w:rsid w:val="58531B77"/>
    <w:rsid w:val="58564D34"/>
    <w:rsid w:val="585D2975"/>
    <w:rsid w:val="585D4315"/>
    <w:rsid w:val="585E3492"/>
    <w:rsid w:val="585F64F9"/>
    <w:rsid w:val="587E3341"/>
    <w:rsid w:val="587F428B"/>
    <w:rsid w:val="58843A9C"/>
    <w:rsid w:val="5895585D"/>
    <w:rsid w:val="58B31855"/>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DE1485"/>
    <w:rsid w:val="59F64E82"/>
    <w:rsid w:val="5A0A5DD6"/>
    <w:rsid w:val="5A10435C"/>
    <w:rsid w:val="5A111C53"/>
    <w:rsid w:val="5A2654CC"/>
    <w:rsid w:val="5A323A44"/>
    <w:rsid w:val="5A395E66"/>
    <w:rsid w:val="5A476FBE"/>
    <w:rsid w:val="5A484352"/>
    <w:rsid w:val="5A5321A5"/>
    <w:rsid w:val="5A783688"/>
    <w:rsid w:val="5A845B89"/>
    <w:rsid w:val="5A8734AF"/>
    <w:rsid w:val="5A955FE8"/>
    <w:rsid w:val="5A9D3E45"/>
    <w:rsid w:val="5AA4101D"/>
    <w:rsid w:val="5AAD7751"/>
    <w:rsid w:val="5AB17576"/>
    <w:rsid w:val="5ABA59C8"/>
    <w:rsid w:val="5ABD68E6"/>
    <w:rsid w:val="5ABF73D2"/>
    <w:rsid w:val="5ACB3D8A"/>
    <w:rsid w:val="5ACC12DE"/>
    <w:rsid w:val="5ACE32A8"/>
    <w:rsid w:val="5AE12FDB"/>
    <w:rsid w:val="5AE1508F"/>
    <w:rsid w:val="5AF80256"/>
    <w:rsid w:val="5B110CC9"/>
    <w:rsid w:val="5B136165"/>
    <w:rsid w:val="5B1851F5"/>
    <w:rsid w:val="5B1F7B5D"/>
    <w:rsid w:val="5B24736C"/>
    <w:rsid w:val="5B585171"/>
    <w:rsid w:val="5B585B78"/>
    <w:rsid w:val="5B6D62B9"/>
    <w:rsid w:val="5B746CFA"/>
    <w:rsid w:val="5B9A2B59"/>
    <w:rsid w:val="5BA652E6"/>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BB7F6F"/>
    <w:rsid w:val="5CC248CE"/>
    <w:rsid w:val="5CC826A5"/>
    <w:rsid w:val="5CE366FE"/>
    <w:rsid w:val="5CE736CC"/>
    <w:rsid w:val="5CF1327E"/>
    <w:rsid w:val="5D042FB1"/>
    <w:rsid w:val="5D3A2E77"/>
    <w:rsid w:val="5D442CB4"/>
    <w:rsid w:val="5D4C6846"/>
    <w:rsid w:val="5D746389"/>
    <w:rsid w:val="5D7C3F11"/>
    <w:rsid w:val="5D971C5A"/>
    <w:rsid w:val="5D9D49E0"/>
    <w:rsid w:val="5DA01E9E"/>
    <w:rsid w:val="5DA2083C"/>
    <w:rsid w:val="5DAD3649"/>
    <w:rsid w:val="5DC310BE"/>
    <w:rsid w:val="5DC32E6C"/>
    <w:rsid w:val="5DDF1821"/>
    <w:rsid w:val="5DE2656A"/>
    <w:rsid w:val="5DEA2F91"/>
    <w:rsid w:val="5DEF5A0F"/>
    <w:rsid w:val="5DF94AE0"/>
    <w:rsid w:val="5DFA5883"/>
    <w:rsid w:val="5E224037"/>
    <w:rsid w:val="5E3146A3"/>
    <w:rsid w:val="5E442F62"/>
    <w:rsid w:val="5E543DE5"/>
    <w:rsid w:val="5E695530"/>
    <w:rsid w:val="5E6C2C5B"/>
    <w:rsid w:val="5E6E2DD8"/>
    <w:rsid w:val="5E6E7698"/>
    <w:rsid w:val="5E7251A2"/>
    <w:rsid w:val="5E7C3591"/>
    <w:rsid w:val="5E9842F9"/>
    <w:rsid w:val="5E9D0E18"/>
    <w:rsid w:val="5EA26F25"/>
    <w:rsid w:val="5EA341D7"/>
    <w:rsid w:val="5EA755DE"/>
    <w:rsid w:val="5EA93E10"/>
    <w:rsid w:val="5EAE7678"/>
    <w:rsid w:val="5ED35F0E"/>
    <w:rsid w:val="5EDF7832"/>
    <w:rsid w:val="5EE44E48"/>
    <w:rsid w:val="5EFC1390"/>
    <w:rsid w:val="5EFC3EB6"/>
    <w:rsid w:val="5F00622C"/>
    <w:rsid w:val="5F03335D"/>
    <w:rsid w:val="5F0368C7"/>
    <w:rsid w:val="5F1544E7"/>
    <w:rsid w:val="5F197EE8"/>
    <w:rsid w:val="5F205334"/>
    <w:rsid w:val="5F312D8D"/>
    <w:rsid w:val="5F3C4923"/>
    <w:rsid w:val="5F4160B0"/>
    <w:rsid w:val="5F426012"/>
    <w:rsid w:val="5F5A7800"/>
    <w:rsid w:val="5F6368E9"/>
    <w:rsid w:val="5F7811D3"/>
    <w:rsid w:val="5F9A65E6"/>
    <w:rsid w:val="5F9B2627"/>
    <w:rsid w:val="5FA66B60"/>
    <w:rsid w:val="5FAC7B1F"/>
    <w:rsid w:val="5FB5266F"/>
    <w:rsid w:val="5FB80E3D"/>
    <w:rsid w:val="5FB831B4"/>
    <w:rsid w:val="5FBE2259"/>
    <w:rsid w:val="5FD40999"/>
    <w:rsid w:val="5FE5522B"/>
    <w:rsid w:val="5FF03F08"/>
    <w:rsid w:val="5FF2548E"/>
    <w:rsid w:val="5FF313D3"/>
    <w:rsid w:val="602610FD"/>
    <w:rsid w:val="602808B2"/>
    <w:rsid w:val="602C2F4B"/>
    <w:rsid w:val="602C4CF9"/>
    <w:rsid w:val="602D0A71"/>
    <w:rsid w:val="60307A2A"/>
    <w:rsid w:val="603814FF"/>
    <w:rsid w:val="604109A8"/>
    <w:rsid w:val="60522285"/>
    <w:rsid w:val="60536729"/>
    <w:rsid w:val="605D2617"/>
    <w:rsid w:val="60616CDC"/>
    <w:rsid w:val="60624E53"/>
    <w:rsid w:val="606319E5"/>
    <w:rsid w:val="607A77D8"/>
    <w:rsid w:val="607B3C50"/>
    <w:rsid w:val="608B6567"/>
    <w:rsid w:val="60902A4E"/>
    <w:rsid w:val="60AA3E6F"/>
    <w:rsid w:val="60AE3960"/>
    <w:rsid w:val="60BB607C"/>
    <w:rsid w:val="60EF5D26"/>
    <w:rsid w:val="60FF21D9"/>
    <w:rsid w:val="610C0686"/>
    <w:rsid w:val="611063C8"/>
    <w:rsid w:val="611E37D0"/>
    <w:rsid w:val="613021B3"/>
    <w:rsid w:val="61306A6A"/>
    <w:rsid w:val="613253FD"/>
    <w:rsid w:val="613D4CE3"/>
    <w:rsid w:val="61421F29"/>
    <w:rsid w:val="6151078F"/>
    <w:rsid w:val="61521F2D"/>
    <w:rsid w:val="615F221E"/>
    <w:rsid w:val="61637D56"/>
    <w:rsid w:val="61712185"/>
    <w:rsid w:val="618B7207"/>
    <w:rsid w:val="61907E69"/>
    <w:rsid w:val="61A90D68"/>
    <w:rsid w:val="61B43A15"/>
    <w:rsid w:val="61D92C5E"/>
    <w:rsid w:val="61DA0425"/>
    <w:rsid w:val="62065A1D"/>
    <w:rsid w:val="6213792C"/>
    <w:rsid w:val="62145A44"/>
    <w:rsid w:val="621775E2"/>
    <w:rsid w:val="62186578"/>
    <w:rsid w:val="621C0D9D"/>
    <w:rsid w:val="622F7552"/>
    <w:rsid w:val="6250406E"/>
    <w:rsid w:val="626369CC"/>
    <w:rsid w:val="6267666C"/>
    <w:rsid w:val="627D6831"/>
    <w:rsid w:val="62811B1C"/>
    <w:rsid w:val="62A20409"/>
    <w:rsid w:val="62AC0373"/>
    <w:rsid w:val="62B54B44"/>
    <w:rsid w:val="62CE02E9"/>
    <w:rsid w:val="62E045DA"/>
    <w:rsid w:val="62E23D94"/>
    <w:rsid w:val="62E33669"/>
    <w:rsid w:val="62E454A1"/>
    <w:rsid w:val="62E541D8"/>
    <w:rsid w:val="62E95123"/>
    <w:rsid w:val="62EF025F"/>
    <w:rsid w:val="62F36E4C"/>
    <w:rsid w:val="62F47F8F"/>
    <w:rsid w:val="62F7233F"/>
    <w:rsid w:val="631B2E02"/>
    <w:rsid w:val="631F3FB4"/>
    <w:rsid w:val="63273E9D"/>
    <w:rsid w:val="63364F75"/>
    <w:rsid w:val="6340438B"/>
    <w:rsid w:val="6353238E"/>
    <w:rsid w:val="635F7193"/>
    <w:rsid w:val="63600D6B"/>
    <w:rsid w:val="63612AB8"/>
    <w:rsid w:val="6379289B"/>
    <w:rsid w:val="637B1AF3"/>
    <w:rsid w:val="637C5F97"/>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460F1"/>
    <w:rsid w:val="63FD622D"/>
    <w:rsid w:val="64177A6E"/>
    <w:rsid w:val="641F42FB"/>
    <w:rsid w:val="643F32F9"/>
    <w:rsid w:val="64582686"/>
    <w:rsid w:val="64673C87"/>
    <w:rsid w:val="647E189B"/>
    <w:rsid w:val="64877733"/>
    <w:rsid w:val="64925346"/>
    <w:rsid w:val="64A170D2"/>
    <w:rsid w:val="64A251DD"/>
    <w:rsid w:val="64A31AB1"/>
    <w:rsid w:val="64BC182A"/>
    <w:rsid w:val="64F46001"/>
    <w:rsid w:val="650242F0"/>
    <w:rsid w:val="65365B2B"/>
    <w:rsid w:val="653F447E"/>
    <w:rsid w:val="65542778"/>
    <w:rsid w:val="655829AF"/>
    <w:rsid w:val="656B70C3"/>
    <w:rsid w:val="657038D9"/>
    <w:rsid w:val="65711400"/>
    <w:rsid w:val="658F4798"/>
    <w:rsid w:val="65921AA2"/>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03D4A"/>
    <w:rsid w:val="66A870A3"/>
    <w:rsid w:val="66B31B01"/>
    <w:rsid w:val="66CE1E80"/>
    <w:rsid w:val="66DB1226"/>
    <w:rsid w:val="66E362F9"/>
    <w:rsid w:val="66E47FD9"/>
    <w:rsid w:val="66E520A5"/>
    <w:rsid w:val="66F04175"/>
    <w:rsid w:val="66F127F8"/>
    <w:rsid w:val="67071922"/>
    <w:rsid w:val="670E33AA"/>
    <w:rsid w:val="673B73C0"/>
    <w:rsid w:val="674743C8"/>
    <w:rsid w:val="674E19F8"/>
    <w:rsid w:val="675608B6"/>
    <w:rsid w:val="6760172C"/>
    <w:rsid w:val="67754402"/>
    <w:rsid w:val="677D54ED"/>
    <w:rsid w:val="678B726C"/>
    <w:rsid w:val="67B25E27"/>
    <w:rsid w:val="67B4646D"/>
    <w:rsid w:val="67B464CA"/>
    <w:rsid w:val="67C4383B"/>
    <w:rsid w:val="67CE48E7"/>
    <w:rsid w:val="67D35E1A"/>
    <w:rsid w:val="67D839B8"/>
    <w:rsid w:val="67DB0DB2"/>
    <w:rsid w:val="67EE31DB"/>
    <w:rsid w:val="67F35317"/>
    <w:rsid w:val="67F73E3E"/>
    <w:rsid w:val="68016A6B"/>
    <w:rsid w:val="680201B7"/>
    <w:rsid w:val="68040309"/>
    <w:rsid w:val="68060525"/>
    <w:rsid w:val="68362BFB"/>
    <w:rsid w:val="683D085A"/>
    <w:rsid w:val="683F1130"/>
    <w:rsid w:val="684456A1"/>
    <w:rsid w:val="684C2838"/>
    <w:rsid w:val="685E1363"/>
    <w:rsid w:val="687234C5"/>
    <w:rsid w:val="687731D1"/>
    <w:rsid w:val="6878475E"/>
    <w:rsid w:val="688B4E68"/>
    <w:rsid w:val="688E1089"/>
    <w:rsid w:val="68993219"/>
    <w:rsid w:val="689E42BA"/>
    <w:rsid w:val="68A026F3"/>
    <w:rsid w:val="68AF6C13"/>
    <w:rsid w:val="68F25680"/>
    <w:rsid w:val="68FE11FC"/>
    <w:rsid w:val="69074555"/>
    <w:rsid w:val="690E07C7"/>
    <w:rsid w:val="69140A20"/>
    <w:rsid w:val="691B590A"/>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26794C"/>
    <w:rsid w:val="6A3C6480"/>
    <w:rsid w:val="6A417049"/>
    <w:rsid w:val="6A576E16"/>
    <w:rsid w:val="6A5D6ABC"/>
    <w:rsid w:val="6A7903E5"/>
    <w:rsid w:val="6A8219B9"/>
    <w:rsid w:val="6A822A1B"/>
    <w:rsid w:val="6A8641F2"/>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A7D9B"/>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C4B46"/>
    <w:rsid w:val="6C4D28F8"/>
    <w:rsid w:val="6C573E9C"/>
    <w:rsid w:val="6C5A5BBF"/>
    <w:rsid w:val="6C5C23DC"/>
    <w:rsid w:val="6C5F2DDD"/>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16E6B"/>
    <w:rsid w:val="6CE70FA1"/>
    <w:rsid w:val="6CF05300"/>
    <w:rsid w:val="6CFA6351"/>
    <w:rsid w:val="6CFC3C40"/>
    <w:rsid w:val="6D231231"/>
    <w:rsid w:val="6D266F73"/>
    <w:rsid w:val="6D2F6F7D"/>
    <w:rsid w:val="6D480984"/>
    <w:rsid w:val="6D8079F9"/>
    <w:rsid w:val="6D8C5028"/>
    <w:rsid w:val="6D9B526C"/>
    <w:rsid w:val="6DAA074A"/>
    <w:rsid w:val="6DB13E57"/>
    <w:rsid w:val="6DC245A2"/>
    <w:rsid w:val="6DC42A14"/>
    <w:rsid w:val="6DC71662"/>
    <w:rsid w:val="6DCD5126"/>
    <w:rsid w:val="6DDB6CB0"/>
    <w:rsid w:val="6DE21877"/>
    <w:rsid w:val="6DE36C13"/>
    <w:rsid w:val="6DE52ACD"/>
    <w:rsid w:val="6DF36E56"/>
    <w:rsid w:val="6DFC0B44"/>
    <w:rsid w:val="6E0458E7"/>
    <w:rsid w:val="6E1F5E9D"/>
    <w:rsid w:val="6E212037"/>
    <w:rsid w:val="6E25722B"/>
    <w:rsid w:val="6E263D90"/>
    <w:rsid w:val="6E3B221B"/>
    <w:rsid w:val="6E475779"/>
    <w:rsid w:val="6E51424D"/>
    <w:rsid w:val="6E6022AE"/>
    <w:rsid w:val="6E663C68"/>
    <w:rsid w:val="6E7764EF"/>
    <w:rsid w:val="6E8403F6"/>
    <w:rsid w:val="6E8757F0"/>
    <w:rsid w:val="6E952B9A"/>
    <w:rsid w:val="6EA75E92"/>
    <w:rsid w:val="6EAD447C"/>
    <w:rsid w:val="6EAE5472"/>
    <w:rsid w:val="6EBC069A"/>
    <w:rsid w:val="6ECD7F59"/>
    <w:rsid w:val="6ECF449B"/>
    <w:rsid w:val="6ED975CA"/>
    <w:rsid w:val="6EED7C80"/>
    <w:rsid w:val="6EF03395"/>
    <w:rsid w:val="6EF773A4"/>
    <w:rsid w:val="6F174DC6"/>
    <w:rsid w:val="6F1E2E65"/>
    <w:rsid w:val="6F26325B"/>
    <w:rsid w:val="6F286FD3"/>
    <w:rsid w:val="6F2F2D9E"/>
    <w:rsid w:val="6F3A05FC"/>
    <w:rsid w:val="6F4147D9"/>
    <w:rsid w:val="6F437969"/>
    <w:rsid w:val="6F581F47"/>
    <w:rsid w:val="6F5B0D5A"/>
    <w:rsid w:val="6F5C35EA"/>
    <w:rsid w:val="6F63625D"/>
    <w:rsid w:val="6F6B6A15"/>
    <w:rsid w:val="6F6D49E6"/>
    <w:rsid w:val="6F947E4B"/>
    <w:rsid w:val="6F9957DB"/>
    <w:rsid w:val="6FA30BDA"/>
    <w:rsid w:val="6FB21D4C"/>
    <w:rsid w:val="6FB80698"/>
    <w:rsid w:val="6FE63CCB"/>
    <w:rsid w:val="6FFD5E0F"/>
    <w:rsid w:val="70076BE8"/>
    <w:rsid w:val="701021F4"/>
    <w:rsid w:val="701C29A6"/>
    <w:rsid w:val="7024611F"/>
    <w:rsid w:val="702C664F"/>
    <w:rsid w:val="702F7EED"/>
    <w:rsid w:val="7038498C"/>
    <w:rsid w:val="703F45D4"/>
    <w:rsid w:val="70637B96"/>
    <w:rsid w:val="70797317"/>
    <w:rsid w:val="707E201F"/>
    <w:rsid w:val="7099044B"/>
    <w:rsid w:val="709A06E1"/>
    <w:rsid w:val="709D518F"/>
    <w:rsid w:val="709E387E"/>
    <w:rsid w:val="70B76860"/>
    <w:rsid w:val="70C759D3"/>
    <w:rsid w:val="70C94FA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724535"/>
    <w:rsid w:val="71764F23"/>
    <w:rsid w:val="71881188"/>
    <w:rsid w:val="71946576"/>
    <w:rsid w:val="71967E84"/>
    <w:rsid w:val="7197629F"/>
    <w:rsid w:val="71A61873"/>
    <w:rsid w:val="71AF4936"/>
    <w:rsid w:val="71B12351"/>
    <w:rsid w:val="71B47ED3"/>
    <w:rsid w:val="71BB4E1E"/>
    <w:rsid w:val="71C511FD"/>
    <w:rsid w:val="71CD79BE"/>
    <w:rsid w:val="71D07496"/>
    <w:rsid w:val="71D75D0F"/>
    <w:rsid w:val="71F437A4"/>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D2C86"/>
    <w:rsid w:val="72CD226C"/>
    <w:rsid w:val="72D27981"/>
    <w:rsid w:val="72D7068F"/>
    <w:rsid w:val="72FF004B"/>
    <w:rsid w:val="73047407"/>
    <w:rsid w:val="73047904"/>
    <w:rsid w:val="731A4E85"/>
    <w:rsid w:val="73253EFA"/>
    <w:rsid w:val="73353A6C"/>
    <w:rsid w:val="734C1A6A"/>
    <w:rsid w:val="73555EBD"/>
    <w:rsid w:val="735663B7"/>
    <w:rsid w:val="735B1379"/>
    <w:rsid w:val="735C5949"/>
    <w:rsid w:val="73671287"/>
    <w:rsid w:val="73737DA5"/>
    <w:rsid w:val="73740A39"/>
    <w:rsid w:val="73783823"/>
    <w:rsid w:val="73814F04"/>
    <w:rsid w:val="73820B6A"/>
    <w:rsid w:val="73887B3E"/>
    <w:rsid w:val="73892412"/>
    <w:rsid w:val="73A12E13"/>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942A15"/>
    <w:rsid w:val="749B5040"/>
    <w:rsid w:val="74A51180"/>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5EE3BA9"/>
    <w:rsid w:val="76360227"/>
    <w:rsid w:val="76366479"/>
    <w:rsid w:val="76377AFB"/>
    <w:rsid w:val="76393874"/>
    <w:rsid w:val="763F09AA"/>
    <w:rsid w:val="764F12E9"/>
    <w:rsid w:val="764F3FCC"/>
    <w:rsid w:val="7650339F"/>
    <w:rsid w:val="76564426"/>
    <w:rsid w:val="76595CC4"/>
    <w:rsid w:val="765E32DA"/>
    <w:rsid w:val="76603C9A"/>
    <w:rsid w:val="766B00E5"/>
    <w:rsid w:val="7680773A"/>
    <w:rsid w:val="76832D41"/>
    <w:rsid w:val="768B2C28"/>
    <w:rsid w:val="76944F4E"/>
    <w:rsid w:val="76BB1CAB"/>
    <w:rsid w:val="76C04050"/>
    <w:rsid w:val="76D67314"/>
    <w:rsid w:val="76E00193"/>
    <w:rsid w:val="76E65049"/>
    <w:rsid w:val="76FA74A7"/>
    <w:rsid w:val="77076007"/>
    <w:rsid w:val="770C64FD"/>
    <w:rsid w:val="770F77AA"/>
    <w:rsid w:val="77183DD1"/>
    <w:rsid w:val="771A36A5"/>
    <w:rsid w:val="77413F7E"/>
    <w:rsid w:val="77464076"/>
    <w:rsid w:val="7758241F"/>
    <w:rsid w:val="777A7D22"/>
    <w:rsid w:val="777E28EC"/>
    <w:rsid w:val="77835654"/>
    <w:rsid w:val="7797109C"/>
    <w:rsid w:val="779A2A38"/>
    <w:rsid w:val="779F004E"/>
    <w:rsid w:val="77AA4396"/>
    <w:rsid w:val="77B4450A"/>
    <w:rsid w:val="77B46E73"/>
    <w:rsid w:val="77D45F4A"/>
    <w:rsid w:val="77E37A12"/>
    <w:rsid w:val="77F42148"/>
    <w:rsid w:val="77FE3468"/>
    <w:rsid w:val="780B1240"/>
    <w:rsid w:val="782347DB"/>
    <w:rsid w:val="78250553"/>
    <w:rsid w:val="783B17B1"/>
    <w:rsid w:val="783C0EB5"/>
    <w:rsid w:val="784E2046"/>
    <w:rsid w:val="78546F0C"/>
    <w:rsid w:val="786778FE"/>
    <w:rsid w:val="789D588A"/>
    <w:rsid w:val="78B65E3A"/>
    <w:rsid w:val="78C95383"/>
    <w:rsid w:val="78D87374"/>
    <w:rsid w:val="78E0091E"/>
    <w:rsid w:val="78EB11BD"/>
    <w:rsid w:val="78EE1C79"/>
    <w:rsid w:val="78EE6B97"/>
    <w:rsid w:val="78EF46BD"/>
    <w:rsid w:val="78F85605"/>
    <w:rsid w:val="78FA66FA"/>
    <w:rsid w:val="79345B6A"/>
    <w:rsid w:val="79424F6E"/>
    <w:rsid w:val="794F33AE"/>
    <w:rsid w:val="795F3706"/>
    <w:rsid w:val="796C3E3C"/>
    <w:rsid w:val="797239CC"/>
    <w:rsid w:val="797D616D"/>
    <w:rsid w:val="797F54AB"/>
    <w:rsid w:val="79831473"/>
    <w:rsid w:val="79983E9C"/>
    <w:rsid w:val="7999527A"/>
    <w:rsid w:val="79AF76C5"/>
    <w:rsid w:val="79C25EE1"/>
    <w:rsid w:val="79CE2967"/>
    <w:rsid w:val="79E30EE8"/>
    <w:rsid w:val="79E34934"/>
    <w:rsid w:val="79EA664C"/>
    <w:rsid w:val="79F205CB"/>
    <w:rsid w:val="79F9627A"/>
    <w:rsid w:val="79FC3536"/>
    <w:rsid w:val="79FF6948"/>
    <w:rsid w:val="7A044199"/>
    <w:rsid w:val="7A0657CF"/>
    <w:rsid w:val="7A1F5BDD"/>
    <w:rsid w:val="7A2F3BBF"/>
    <w:rsid w:val="7A2F459A"/>
    <w:rsid w:val="7A322A39"/>
    <w:rsid w:val="7A517022"/>
    <w:rsid w:val="7A6B41BF"/>
    <w:rsid w:val="7A6D61E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2F4DDF"/>
    <w:rsid w:val="7B31720F"/>
    <w:rsid w:val="7B345AA9"/>
    <w:rsid w:val="7B4048C1"/>
    <w:rsid w:val="7B4C4049"/>
    <w:rsid w:val="7B4C5DF7"/>
    <w:rsid w:val="7B590514"/>
    <w:rsid w:val="7B73082F"/>
    <w:rsid w:val="7B7B492E"/>
    <w:rsid w:val="7B98728E"/>
    <w:rsid w:val="7B9A3D1D"/>
    <w:rsid w:val="7BB46FBD"/>
    <w:rsid w:val="7BC62E00"/>
    <w:rsid w:val="7BC73B55"/>
    <w:rsid w:val="7BD04C7A"/>
    <w:rsid w:val="7BE35E2A"/>
    <w:rsid w:val="7BF538C2"/>
    <w:rsid w:val="7BF66C24"/>
    <w:rsid w:val="7BFA1CC7"/>
    <w:rsid w:val="7BFB70B3"/>
    <w:rsid w:val="7C0251DA"/>
    <w:rsid w:val="7C0C0E4A"/>
    <w:rsid w:val="7C0E41D1"/>
    <w:rsid w:val="7C1052F2"/>
    <w:rsid w:val="7C21292C"/>
    <w:rsid w:val="7C2154D6"/>
    <w:rsid w:val="7C2668D9"/>
    <w:rsid w:val="7C32497F"/>
    <w:rsid w:val="7C3C69AE"/>
    <w:rsid w:val="7C631577"/>
    <w:rsid w:val="7C691974"/>
    <w:rsid w:val="7C8613C2"/>
    <w:rsid w:val="7C8A6570"/>
    <w:rsid w:val="7C8B7390"/>
    <w:rsid w:val="7C9B0D0E"/>
    <w:rsid w:val="7CA42B03"/>
    <w:rsid w:val="7CBF12EF"/>
    <w:rsid w:val="7CC55E61"/>
    <w:rsid w:val="7CCC5441"/>
    <w:rsid w:val="7CD2318A"/>
    <w:rsid w:val="7CD2702A"/>
    <w:rsid w:val="7CD34C42"/>
    <w:rsid w:val="7CD46B29"/>
    <w:rsid w:val="7CDE3FF9"/>
    <w:rsid w:val="7CE26EBF"/>
    <w:rsid w:val="7CEE3130"/>
    <w:rsid w:val="7CFC08E8"/>
    <w:rsid w:val="7D0E5A5A"/>
    <w:rsid w:val="7D1E1A15"/>
    <w:rsid w:val="7D1F6674"/>
    <w:rsid w:val="7D425704"/>
    <w:rsid w:val="7D475E29"/>
    <w:rsid w:val="7D480B34"/>
    <w:rsid w:val="7D511DEB"/>
    <w:rsid w:val="7D741635"/>
    <w:rsid w:val="7D777A3E"/>
    <w:rsid w:val="7D883F06"/>
    <w:rsid w:val="7D8E6457"/>
    <w:rsid w:val="7D9005BC"/>
    <w:rsid w:val="7D983576"/>
    <w:rsid w:val="7D9F0AD0"/>
    <w:rsid w:val="7DB22BDF"/>
    <w:rsid w:val="7DBA173E"/>
    <w:rsid w:val="7DD12BB7"/>
    <w:rsid w:val="7DF223A2"/>
    <w:rsid w:val="7DFF0955"/>
    <w:rsid w:val="7E0B750E"/>
    <w:rsid w:val="7E1939E8"/>
    <w:rsid w:val="7E1D3A7B"/>
    <w:rsid w:val="7E2400E7"/>
    <w:rsid w:val="7E2822EA"/>
    <w:rsid w:val="7E2A20CE"/>
    <w:rsid w:val="7E355A7B"/>
    <w:rsid w:val="7E455322"/>
    <w:rsid w:val="7E553215"/>
    <w:rsid w:val="7E682F48"/>
    <w:rsid w:val="7E6E3E85"/>
    <w:rsid w:val="7E7C7B82"/>
    <w:rsid w:val="7E8F4979"/>
    <w:rsid w:val="7E991353"/>
    <w:rsid w:val="7E9C184B"/>
    <w:rsid w:val="7EA72948"/>
    <w:rsid w:val="7EB31EDB"/>
    <w:rsid w:val="7ED61132"/>
    <w:rsid w:val="7EE70CC0"/>
    <w:rsid w:val="7EEB48DB"/>
    <w:rsid w:val="7EF27444"/>
    <w:rsid w:val="7F185A04"/>
    <w:rsid w:val="7F192494"/>
    <w:rsid w:val="7F265C58"/>
    <w:rsid w:val="7F3B240A"/>
    <w:rsid w:val="7F4C4618"/>
    <w:rsid w:val="7F4D13A6"/>
    <w:rsid w:val="7F582CF2"/>
    <w:rsid w:val="7F951B40"/>
    <w:rsid w:val="7F9E0BEB"/>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6">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paragraph" w:styleId="8">
    <w:name w:val="heading 4"/>
    <w:basedOn w:val="1"/>
    <w:next w:val="1"/>
    <w:autoRedefine/>
    <w:qFormat/>
    <w:uiPriority w:val="0"/>
    <w:pPr>
      <w:keepNext/>
      <w:keepLines/>
      <w:spacing w:line="360" w:lineRule="auto"/>
      <w:outlineLvl w:val="3"/>
    </w:pPr>
    <w:rPr>
      <w:rFonts w:ascii="Arial" w:hAnsi="Arial"/>
      <w:b/>
      <w:bCs/>
      <w:szCs w:val="28"/>
    </w:rPr>
  </w:style>
  <w:style w:type="paragraph" w:styleId="9">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Number"/>
    <w:basedOn w:val="1"/>
    <w:autoRedefine/>
    <w:qFormat/>
    <w:uiPriority w:val="0"/>
    <w:pPr>
      <w:widowControl/>
      <w:spacing w:beforeAutospacing="1" w:afterAutospacing="1"/>
      <w:jc w:val="left"/>
    </w:pPr>
    <w:rPr>
      <w:rFonts w:ascii="宋体" w:hAnsi="宋体" w:cs="宋体"/>
      <w:kern w:val="0"/>
      <w:sz w:val="24"/>
    </w:rPr>
  </w:style>
  <w:style w:type="paragraph" w:styleId="11">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2">
    <w:name w:val="Document Map"/>
    <w:basedOn w:val="1"/>
    <w:link w:val="77"/>
    <w:autoRedefine/>
    <w:qFormat/>
    <w:uiPriority w:val="0"/>
    <w:rPr>
      <w:rFonts w:ascii="宋体" w:hAnsi="Calibri"/>
      <w:sz w:val="18"/>
      <w:szCs w:val="18"/>
    </w:rPr>
  </w:style>
  <w:style w:type="paragraph" w:styleId="13">
    <w:name w:val="annotation text"/>
    <w:basedOn w:val="1"/>
    <w:autoRedefine/>
    <w:qFormat/>
    <w:uiPriority w:val="0"/>
    <w:pPr>
      <w:jc w:val="left"/>
    </w:pPr>
  </w:style>
  <w:style w:type="paragraph" w:styleId="14">
    <w:name w:val="Body Text 3"/>
    <w:basedOn w:val="1"/>
    <w:autoRedefine/>
    <w:qFormat/>
    <w:uiPriority w:val="0"/>
    <w:rPr>
      <w:sz w:val="16"/>
      <w:szCs w:val="16"/>
    </w:rPr>
  </w:style>
  <w:style w:type="paragraph" w:styleId="15">
    <w:name w:val="Body Text Indent"/>
    <w:basedOn w:val="1"/>
    <w:next w:val="16"/>
    <w:autoRedefine/>
    <w:qFormat/>
    <w:uiPriority w:val="0"/>
    <w:pPr>
      <w:widowControl/>
      <w:spacing w:beforeAutospacing="1" w:afterAutospacing="1"/>
      <w:jc w:val="left"/>
    </w:pPr>
    <w:rPr>
      <w:rFonts w:ascii="宋体" w:hAnsi="宋体" w:cs="宋体"/>
      <w:kern w:val="0"/>
      <w:sz w:val="24"/>
    </w:rPr>
  </w:style>
  <w:style w:type="paragraph" w:styleId="16">
    <w:name w:val="envelope return"/>
    <w:basedOn w:val="1"/>
    <w:autoRedefine/>
    <w:unhideWhenUsed/>
    <w:qFormat/>
    <w:uiPriority w:val="99"/>
    <w:pPr>
      <w:snapToGrid w:val="0"/>
    </w:pPr>
    <w:rPr>
      <w:rFonts w:ascii="Arial" w:hAnsi="Arial"/>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toc 1"/>
    <w:basedOn w:val="1"/>
    <w:next w:val="1"/>
    <w:autoRedefine/>
    <w:qFormat/>
    <w:uiPriority w:val="0"/>
  </w:style>
  <w:style w:type="paragraph" w:styleId="25">
    <w:name w:val="List"/>
    <w:basedOn w:val="1"/>
    <w:autoRedefine/>
    <w:qFormat/>
    <w:uiPriority w:val="0"/>
    <w:pPr>
      <w:ind w:left="200" w:hanging="200" w:hangingChars="200"/>
    </w:pPr>
  </w:style>
  <w:style w:type="paragraph" w:styleId="26">
    <w:name w:val="Body Text 2"/>
    <w:basedOn w:val="1"/>
    <w:next w:val="3"/>
    <w:autoRedefine/>
    <w:qFormat/>
    <w:uiPriority w:val="0"/>
    <w:pPr>
      <w:spacing w:line="480" w:lineRule="auto"/>
    </w:pPr>
  </w:style>
  <w:style w:type="paragraph" w:styleId="27">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2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9">
    <w:name w:val="Normal (Web)"/>
    <w:basedOn w:val="1"/>
    <w:autoRedefine/>
    <w:qFormat/>
    <w:uiPriority w:val="99"/>
    <w:pPr>
      <w:spacing w:before="100" w:beforeAutospacing="1" w:after="100" w:afterAutospacing="1"/>
      <w:jc w:val="left"/>
    </w:pPr>
    <w:rPr>
      <w:kern w:val="0"/>
      <w:sz w:val="24"/>
    </w:rPr>
  </w:style>
  <w:style w:type="paragraph" w:styleId="30">
    <w:name w:val="Title"/>
    <w:basedOn w:val="1"/>
    <w:autoRedefine/>
    <w:qFormat/>
    <w:uiPriority w:val="0"/>
    <w:pPr>
      <w:jc w:val="center"/>
      <w:outlineLvl w:val="0"/>
    </w:pPr>
    <w:rPr>
      <w:rFonts w:ascii="Arial" w:hAnsi="Arial" w:cs="Arial"/>
      <w:b/>
      <w:bCs/>
      <w:sz w:val="32"/>
      <w:szCs w:val="32"/>
    </w:rPr>
  </w:style>
  <w:style w:type="paragraph" w:styleId="31">
    <w:name w:val="Body Text First Indent"/>
    <w:basedOn w:val="3"/>
    <w:next w:val="32"/>
    <w:autoRedefine/>
    <w:qFormat/>
    <w:uiPriority w:val="0"/>
    <w:pPr>
      <w:spacing w:line="360" w:lineRule="auto"/>
      <w:ind w:firstLine="420" w:firstLineChars="100"/>
    </w:pPr>
    <w:rPr>
      <w:szCs w:val="21"/>
    </w:rPr>
  </w:style>
  <w:style w:type="paragraph" w:styleId="32">
    <w:name w:val="Body Text First Indent 2"/>
    <w:basedOn w:val="15"/>
    <w:autoRedefine/>
    <w:qFormat/>
    <w:uiPriority w:val="0"/>
    <w:pPr>
      <w:ind w:firstLine="420" w:firstLineChars="200"/>
    </w:pPr>
  </w:style>
  <w:style w:type="table" w:styleId="34">
    <w:name w:val="Table Grid"/>
    <w:basedOn w:val="33"/>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autoRedefine/>
    <w:qFormat/>
    <w:uiPriority w:val="0"/>
    <w:rPr>
      <w:b/>
      <w:bCs/>
      <w:szCs w:val="24"/>
    </w:rPr>
  </w:style>
  <w:style w:type="character" w:styleId="37">
    <w:name w:val="page number"/>
    <w:basedOn w:val="35"/>
    <w:autoRedefine/>
    <w:qFormat/>
    <w:uiPriority w:val="0"/>
  </w:style>
  <w:style w:type="character" w:styleId="38">
    <w:name w:val="FollowedHyperlink"/>
    <w:autoRedefine/>
    <w:qFormat/>
    <w:uiPriority w:val="0"/>
    <w:rPr>
      <w:color w:val="333333"/>
      <w:szCs w:val="24"/>
      <w:u w:val="none"/>
    </w:rPr>
  </w:style>
  <w:style w:type="character" w:styleId="39">
    <w:name w:val="Emphasis"/>
    <w:basedOn w:val="35"/>
    <w:autoRedefine/>
    <w:qFormat/>
    <w:uiPriority w:val="0"/>
  </w:style>
  <w:style w:type="character" w:styleId="40">
    <w:name w:val="HTML Definition"/>
    <w:basedOn w:val="35"/>
    <w:autoRedefine/>
    <w:qFormat/>
    <w:uiPriority w:val="0"/>
  </w:style>
  <w:style w:type="character" w:styleId="41">
    <w:name w:val="HTML Typewriter"/>
    <w:basedOn w:val="35"/>
    <w:autoRedefine/>
    <w:qFormat/>
    <w:uiPriority w:val="0"/>
    <w:rPr>
      <w:rFonts w:hint="default" w:ascii="monospace" w:hAnsi="monospace" w:eastAsia="monospace" w:cs="monospace"/>
      <w:sz w:val="20"/>
    </w:rPr>
  </w:style>
  <w:style w:type="character" w:styleId="42">
    <w:name w:val="HTML Acronym"/>
    <w:basedOn w:val="35"/>
    <w:autoRedefine/>
    <w:qFormat/>
    <w:uiPriority w:val="0"/>
  </w:style>
  <w:style w:type="character" w:styleId="43">
    <w:name w:val="HTML Variable"/>
    <w:basedOn w:val="35"/>
    <w:autoRedefine/>
    <w:qFormat/>
    <w:uiPriority w:val="0"/>
  </w:style>
  <w:style w:type="character" w:styleId="44">
    <w:name w:val="Hyperlink"/>
    <w:basedOn w:val="35"/>
    <w:autoRedefine/>
    <w:qFormat/>
    <w:uiPriority w:val="0"/>
    <w:rPr>
      <w:color w:val="333333"/>
      <w:szCs w:val="24"/>
      <w:u w:val="none"/>
    </w:rPr>
  </w:style>
  <w:style w:type="character" w:styleId="45">
    <w:name w:val="HTML Code"/>
    <w:basedOn w:val="35"/>
    <w:autoRedefine/>
    <w:qFormat/>
    <w:uiPriority w:val="0"/>
    <w:rPr>
      <w:rFonts w:ascii="monospace" w:hAnsi="monospace" w:eastAsia="monospace" w:cs="monospace"/>
      <w:sz w:val="20"/>
    </w:rPr>
  </w:style>
  <w:style w:type="character" w:styleId="46">
    <w:name w:val="HTML Cite"/>
    <w:basedOn w:val="35"/>
    <w:autoRedefine/>
    <w:qFormat/>
    <w:uiPriority w:val="0"/>
  </w:style>
  <w:style w:type="character" w:styleId="47">
    <w:name w:val="HTML Keyboard"/>
    <w:basedOn w:val="35"/>
    <w:autoRedefine/>
    <w:qFormat/>
    <w:uiPriority w:val="0"/>
    <w:rPr>
      <w:rFonts w:hint="default" w:ascii="monospace" w:hAnsi="monospace" w:eastAsia="monospace" w:cs="monospace"/>
      <w:sz w:val="20"/>
    </w:rPr>
  </w:style>
  <w:style w:type="character" w:styleId="48">
    <w:name w:val="HTML Sample"/>
    <w:basedOn w:val="35"/>
    <w:autoRedefine/>
    <w:qFormat/>
    <w:uiPriority w:val="0"/>
    <w:rPr>
      <w:rFonts w:hint="default" w:ascii="monospace" w:hAnsi="monospace" w:eastAsia="monospace" w:cs="monospace"/>
    </w:rPr>
  </w:style>
  <w:style w:type="paragraph" w:customStyle="1" w:styleId="49">
    <w:name w:val="大标题"/>
    <w:basedOn w:val="1"/>
    <w:next w:val="32"/>
    <w:autoRedefine/>
    <w:qFormat/>
    <w:uiPriority w:val="0"/>
    <w:pPr>
      <w:jc w:val="center"/>
    </w:pPr>
    <w:rPr>
      <w:rFonts w:ascii="Arial" w:hAnsi="Arial"/>
      <w:b/>
      <w:sz w:val="28"/>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5"/>
    <w:link w:val="3"/>
    <w:autoRedefine/>
    <w:qFormat/>
    <w:uiPriority w:val="0"/>
  </w:style>
  <w:style w:type="character" w:customStyle="1" w:styleId="76">
    <w:name w:val="apple-converted-space"/>
    <w:basedOn w:val="35"/>
    <w:autoRedefine/>
    <w:qFormat/>
    <w:uiPriority w:val="0"/>
  </w:style>
  <w:style w:type="character" w:customStyle="1" w:styleId="77">
    <w:name w:val="文档结构图 Char"/>
    <w:link w:val="12"/>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5"/>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5"/>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5"/>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5"/>
    <w:qFormat/>
    <w:uiPriority w:val="0"/>
    <w:rPr>
      <w:rFonts w:ascii="宋体" w:hAnsi="宋体" w:eastAsia="宋体" w:cs="宋体"/>
      <w:color w:val="000000"/>
      <w:sz w:val="24"/>
      <w:szCs w:val="24"/>
      <w:u w:val="none"/>
    </w:rPr>
  </w:style>
  <w:style w:type="character" w:customStyle="1" w:styleId="96">
    <w:name w:val="font81"/>
    <w:basedOn w:val="35"/>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28</Pages>
  <Words>11070</Words>
  <Characters>11582</Characters>
  <Lines>50</Lines>
  <Paragraphs>68</Paragraphs>
  <TotalTime>0</TotalTime>
  <ScaleCrop>false</ScaleCrop>
  <LinksUpToDate>false</LinksUpToDate>
  <CharactersWithSpaces>12308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2026-08-28T08:55:09Z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