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驻马店市中心医院大孔径CT阳极高压维修采购项目</w:t>
      </w:r>
    </w:p>
    <w:p w14:paraId="43B7407E">
      <w:pPr>
        <w:pStyle w:val="20"/>
        <w:bidi w:val="0"/>
        <w:jc w:val="center"/>
        <w:rPr>
          <w:rStyle w:val="44"/>
          <w:rFonts w:hint="eastAsia" w:cs="宋体"/>
          <w:b/>
          <w:bCs/>
          <w:color w:val="auto"/>
          <w:sz w:val="44"/>
          <w:szCs w:val="44"/>
          <w:highlight w:val="none"/>
          <w:lang w:val="en-US" w:eastAsia="zh-CN"/>
        </w:rPr>
      </w:pPr>
    </w:p>
    <w:p w14:paraId="3041D311">
      <w:pPr>
        <w:pStyle w:val="20"/>
        <w:bidi w:val="0"/>
        <w:jc w:val="center"/>
        <w:rPr>
          <w:rStyle w:val="44"/>
          <w:rFonts w:hint="eastAsia" w:cs="宋体"/>
          <w:b/>
          <w:bCs/>
          <w:color w:val="auto"/>
          <w:sz w:val="44"/>
          <w:szCs w:val="44"/>
          <w:highlight w:val="none"/>
          <w:lang w:val="en-US" w:eastAsia="zh-CN"/>
        </w:rPr>
      </w:pPr>
    </w:p>
    <w:p w14:paraId="460BAE4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竞争性磋商文件</w:t>
      </w:r>
    </w:p>
    <w:p w14:paraId="74AA7271">
      <w:pPr>
        <w:tabs>
          <w:tab w:val="left" w:pos="2700"/>
          <w:tab w:val="left" w:pos="2880"/>
          <w:tab w:val="left" w:pos="3060"/>
          <w:tab w:val="left" w:pos="7560"/>
        </w:tabs>
        <w:snapToGrid w:val="0"/>
        <w:spacing w:line="360" w:lineRule="auto"/>
        <w:ind w:firstLine="1928" w:firstLineChars="600"/>
        <w:jc w:val="both"/>
        <w:rPr>
          <w:rFonts w:hint="eastAsia" w:ascii="宋体" w:hAnsi="宋体" w:eastAsia="宋体" w:cs="宋体"/>
          <w:b/>
          <w:bCs/>
          <w:color w:val="auto"/>
          <w:spacing w:val="-10"/>
          <w:sz w:val="34"/>
          <w:szCs w:val="34"/>
          <w:highlight w:val="none"/>
          <w:lang w:val="en-US" w:eastAsia="zh-CN"/>
        </w:rPr>
      </w:pPr>
    </w:p>
    <w:p w14:paraId="30933B8F">
      <w:pPr>
        <w:snapToGrid w:val="0"/>
        <w:spacing w:line="380" w:lineRule="exact"/>
        <w:jc w:val="center"/>
        <w:rPr>
          <w:rFonts w:hint="eastAsia" w:ascii="宋体" w:hAnsi="宋体" w:eastAsia="宋体" w:cs="宋体"/>
          <w:b/>
          <w:color w:val="auto"/>
          <w:sz w:val="32"/>
          <w:szCs w:val="32"/>
          <w:highlight w:val="none"/>
        </w:rPr>
      </w:pPr>
    </w:p>
    <w:p w14:paraId="41A0088B">
      <w:pPr>
        <w:pStyle w:val="31"/>
        <w:rPr>
          <w:rFonts w:hint="eastAsia" w:ascii="宋体" w:hAnsi="宋体" w:eastAsia="宋体" w:cs="宋体"/>
          <w:color w:val="auto"/>
          <w:highlight w:val="none"/>
        </w:rPr>
      </w:pPr>
    </w:p>
    <w:p w14:paraId="1478C157">
      <w:pPr>
        <w:pStyle w:val="60"/>
        <w:rPr>
          <w:rFonts w:hint="eastAsia" w:ascii="宋体" w:hAnsi="宋体" w:eastAsia="宋体" w:cs="宋体"/>
          <w:bCs/>
          <w:color w:val="auto"/>
          <w:sz w:val="2"/>
          <w:szCs w:val="2"/>
          <w:highlight w:val="none"/>
        </w:rPr>
      </w:pPr>
    </w:p>
    <w:p w14:paraId="6F43A5E5">
      <w:pPr>
        <w:rPr>
          <w:rFonts w:hint="eastAsia" w:ascii="宋体" w:hAnsi="宋体" w:eastAsia="宋体" w:cs="宋体"/>
          <w:bCs/>
          <w:color w:val="auto"/>
          <w:sz w:val="2"/>
          <w:szCs w:val="2"/>
          <w:highlight w:val="none"/>
        </w:rPr>
      </w:pPr>
    </w:p>
    <w:p w14:paraId="21FDF0F3">
      <w:pPr>
        <w:spacing w:line="20" w:lineRule="exact"/>
        <w:rPr>
          <w:rFonts w:hint="eastAsia" w:ascii="宋体" w:hAnsi="宋体" w:eastAsia="宋体" w:cs="宋体"/>
          <w:bCs/>
          <w:color w:val="auto"/>
          <w:sz w:val="2"/>
          <w:szCs w:val="2"/>
          <w:highlight w:val="none"/>
        </w:rPr>
      </w:pPr>
    </w:p>
    <w:p w14:paraId="1BBFEEC3">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1E415ED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7D27EEAE">
      <w:pPr>
        <w:tabs>
          <w:tab w:val="left" w:pos="2700"/>
          <w:tab w:val="left" w:pos="2880"/>
          <w:tab w:val="left" w:pos="3060"/>
          <w:tab w:val="left" w:pos="7560"/>
        </w:tabs>
        <w:snapToGrid w:val="0"/>
        <w:spacing w:line="480" w:lineRule="auto"/>
        <w:ind w:left="0" w:leftChars="0" w:firstLine="0" w:firstLineChars="0"/>
        <w:jc w:val="both"/>
        <w:rPr>
          <w:rFonts w:hint="eastAsia" w:ascii="宋体" w:hAnsi="宋体" w:eastAsia="宋体" w:cs="宋体"/>
          <w:b/>
          <w:bCs/>
          <w:color w:val="auto"/>
          <w:spacing w:val="-10"/>
          <w:sz w:val="34"/>
          <w:szCs w:val="34"/>
          <w:highlight w:val="none"/>
          <w:lang w:val="en-US" w:eastAsia="zh-CN"/>
        </w:rPr>
      </w:pPr>
    </w:p>
    <w:p w14:paraId="5CC28899">
      <w:pPr>
        <w:tabs>
          <w:tab w:val="left" w:pos="2700"/>
          <w:tab w:val="left" w:pos="2880"/>
          <w:tab w:val="left" w:pos="3060"/>
          <w:tab w:val="left" w:pos="7560"/>
        </w:tabs>
        <w:snapToGrid w:val="0"/>
        <w:spacing w:line="480" w:lineRule="auto"/>
        <w:ind w:left="0" w:leftChars="0" w:firstLine="0" w:firstLineChars="0"/>
        <w:jc w:val="center"/>
        <w:rPr>
          <w:rFonts w:hint="eastAsia" w:ascii="宋体" w:hAnsi="宋体" w:eastAsia="宋体" w:cs="宋体"/>
          <w:b/>
          <w:bCs/>
          <w:color w:val="auto"/>
          <w:spacing w:val="-10"/>
          <w:sz w:val="34"/>
          <w:szCs w:val="34"/>
          <w:highlight w:val="none"/>
        </w:rPr>
      </w:pPr>
      <w:r>
        <w:rPr>
          <w:rFonts w:hint="eastAsia" w:ascii="宋体" w:hAnsi="宋体" w:eastAsia="宋体" w:cs="宋体"/>
          <w:b/>
          <w:bCs/>
          <w:color w:val="auto"/>
          <w:spacing w:val="-10"/>
          <w:sz w:val="34"/>
          <w:szCs w:val="34"/>
          <w:highlight w:val="none"/>
          <w:lang w:val="en-US" w:eastAsia="zh-CN"/>
        </w:rPr>
        <w:t>采 购</w:t>
      </w:r>
      <w:r>
        <w:rPr>
          <w:rFonts w:hint="eastAsia" w:ascii="宋体" w:hAnsi="宋体" w:eastAsia="宋体" w:cs="宋体"/>
          <w:b/>
          <w:bCs/>
          <w:color w:val="auto"/>
          <w:spacing w:val="-10"/>
          <w:sz w:val="34"/>
          <w:szCs w:val="34"/>
          <w:highlight w:val="none"/>
        </w:rPr>
        <w:t xml:space="preserve"> 人：驻马店市中心医院</w:t>
      </w:r>
    </w:p>
    <w:p w14:paraId="05F153CD">
      <w:pPr>
        <w:tabs>
          <w:tab w:val="left" w:pos="2700"/>
          <w:tab w:val="left" w:pos="2880"/>
          <w:tab w:val="left" w:pos="3060"/>
          <w:tab w:val="left" w:pos="7560"/>
        </w:tabs>
        <w:snapToGrid w:val="0"/>
        <w:spacing w:line="480" w:lineRule="auto"/>
        <w:ind w:left="0" w:leftChars="0" w:firstLine="0" w:firstLineChars="0"/>
        <w:jc w:val="center"/>
        <w:rPr>
          <w:rFonts w:hint="default" w:ascii="宋体" w:hAnsi="宋体" w:eastAsia="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采购代理机构：河南恒越工程咨询有限公司</w:t>
      </w:r>
    </w:p>
    <w:p w14:paraId="2652F7AA">
      <w:pPr>
        <w:tabs>
          <w:tab w:val="left" w:pos="2505"/>
          <w:tab w:val="center" w:pos="4535"/>
        </w:tabs>
        <w:snapToGrid w:val="0"/>
        <w:spacing w:line="480" w:lineRule="auto"/>
        <w:jc w:val="center"/>
        <w:rPr>
          <w:rFonts w:hint="default" w:ascii="宋体" w:hAnsi="宋体" w:eastAsia="宋体" w:cs="宋体"/>
          <w:b/>
          <w:color w:val="auto"/>
          <w:sz w:val="36"/>
          <w:szCs w:val="36"/>
          <w:highlight w:val="none"/>
          <w:lang w:val="en-US"/>
        </w:rPr>
        <w:sectPr>
          <w:pgSz w:w="11923" w:h="16838"/>
          <w:pgMar w:top="1304" w:right="1417" w:bottom="992" w:left="1417" w:header="720" w:footer="720" w:gutter="0"/>
          <w:pgNumType w:fmt="decimal" w:start="1"/>
          <w:cols w:space="720" w:num="1"/>
          <w:docGrid w:type="lines" w:linePitch="312" w:charSpace="0"/>
        </w:sectPr>
      </w:pPr>
      <w:r>
        <w:rPr>
          <w:rFonts w:hint="eastAsia" w:ascii="宋体" w:hAnsi="宋体" w:eastAsia="宋体" w:cs="宋体"/>
          <w:b/>
          <w:bCs/>
          <w:color w:val="auto"/>
          <w:spacing w:val="40"/>
          <w:sz w:val="34"/>
          <w:szCs w:val="34"/>
          <w:highlight w:val="none"/>
          <w:lang w:val="en-US" w:eastAsia="zh-CN"/>
        </w:rPr>
        <w:t>202</w:t>
      </w:r>
      <w:r>
        <w:rPr>
          <w:rFonts w:hint="eastAsia" w:ascii="宋体" w:hAnsi="宋体" w:cs="宋体"/>
          <w:b/>
          <w:bCs/>
          <w:color w:val="auto"/>
          <w:spacing w:val="40"/>
          <w:sz w:val="34"/>
          <w:szCs w:val="34"/>
          <w:highlight w:val="none"/>
          <w:lang w:val="en-US" w:eastAsia="zh-CN"/>
        </w:rPr>
        <w:t>6</w:t>
      </w:r>
      <w:r>
        <w:rPr>
          <w:rFonts w:hint="eastAsia" w:ascii="宋体" w:hAnsi="宋体" w:eastAsia="宋体" w:cs="宋体"/>
          <w:b/>
          <w:bCs/>
          <w:color w:val="auto"/>
          <w:spacing w:val="40"/>
          <w:sz w:val="34"/>
          <w:szCs w:val="34"/>
          <w:highlight w:val="none"/>
        </w:rPr>
        <w:t>年</w:t>
      </w:r>
      <w:r>
        <w:rPr>
          <w:rFonts w:hint="eastAsia" w:ascii="宋体" w:hAnsi="宋体" w:eastAsia="宋体" w:cs="宋体"/>
          <w:b/>
          <w:bCs/>
          <w:color w:val="auto"/>
          <w:spacing w:val="40"/>
          <w:sz w:val="34"/>
          <w:szCs w:val="34"/>
          <w:highlight w:val="none"/>
          <w:lang w:val="en-US" w:eastAsia="zh-CN"/>
        </w:rPr>
        <w:t>0</w:t>
      </w:r>
      <w:r>
        <w:rPr>
          <w:rFonts w:hint="eastAsia" w:ascii="宋体" w:hAnsi="宋体" w:cs="宋体"/>
          <w:b/>
          <w:bCs/>
          <w:color w:val="auto"/>
          <w:spacing w:val="40"/>
          <w:sz w:val="34"/>
          <w:szCs w:val="34"/>
          <w:highlight w:val="none"/>
          <w:lang w:val="en-US" w:eastAsia="zh-CN"/>
        </w:rPr>
        <w:t>8月</w:t>
      </w:r>
    </w:p>
    <w:p w14:paraId="1F6817FA">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1F1A086B">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TOC \o "1-1" \h \u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_Toc17704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第一章  竞争性磋商采购公告</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PAGEREF _Toc17704 \h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fldChar w:fldCharType="end"/>
      </w:r>
    </w:p>
    <w:p w14:paraId="6C336171">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_Toc31623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第二章  采购需求</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PAGEREF _Toc31623 \h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fldChar w:fldCharType="end"/>
      </w:r>
    </w:p>
    <w:p w14:paraId="46BC03F6">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_Toc21206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第三章  供应商须知</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CN"/>
        </w:rPr>
        <w:fldChar w:fldCharType="end"/>
      </w:r>
    </w:p>
    <w:p w14:paraId="7CEA46B1">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_Toc10839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第四章  评标办法及评分标准</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4</w:t>
      </w:r>
    </w:p>
    <w:p w14:paraId="71663C5E">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_Toc25977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第五章  采购合同</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7</w:t>
      </w:r>
    </w:p>
    <w:p w14:paraId="59B06D2F">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_Toc8528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第六章  响应文件格式</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8</w:t>
      </w:r>
    </w:p>
    <w:p w14:paraId="583C03D8">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2" w:name="_Toc17704"/>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驻马店市中心医院大孔径CT阳极高压维修采购项目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大孔径CT阳极高压维修采购项目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驻马店市中心医院大孔径CT阳极高压维修采购项目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6万元；</w:t>
      </w:r>
    </w:p>
    <w:p w14:paraId="03CB215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3626"/>
      <w:bookmarkStart w:id="5" w:name="_Toc16639"/>
      <w:bookmarkStart w:id="6" w:name="_Toc27704"/>
      <w:bookmarkStart w:id="7" w:name="_Toc18607"/>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7823"/>
      <w:bookmarkStart w:id="9" w:name="_Toc30971"/>
      <w:bookmarkStart w:id="10" w:name="_Toc9562"/>
      <w:bookmarkStart w:id="11" w:name="_Toc23395"/>
      <w:bookmarkStart w:id="12" w:name="_Toc30643"/>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r>
        <w:rPr>
          <w:rFonts w:hint="eastAsia" w:ascii="宋体" w:hAnsi="宋体" w:cs="宋体"/>
          <w:color w:val="auto"/>
          <w:sz w:val="24"/>
          <w:szCs w:val="24"/>
          <w:highlight w:val="none"/>
          <w:shd w:val="clear" w:color="auto" w:fill="FFFFFF"/>
          <w:lang w:val="en-US" w:eastAsia="zh-CN"/>
        </w:rPr>
        <w:t>；</w:t>
      </w:r>
    </w:p>
    <w:p w14:paraId="523822FE">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31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eastAsia="宋体" w:cs="宋体"/>
          <w:color w:val="auto"/>
          <w:kern w:val="0"/>
          <w:sz w:val="24"/>
          <w:szCs w:val="24"/>
          <w:highlight w:val="none"/>
          <w:shd w:val="clear" w:color="auto" w:fill="FFFFFF"/>
          <w:lang w:val="en-US" w:eastAsia="zh-CN" w:bidi="ar-SA"/>
        </w:rPr>
        <w:t>270922989@qq.com,并标</w:t>
      </w:r>
      <w:bookmarkStart w:id="79" w:name="_GoBack"/>
      <w:bookmarkEnd w:id="79"/>
      <w:r>
        <w:rPr>
          <w:rFonts w:hint="eastAsia" w:ascii="宋体" w:hAnsi="宋体" w:eastAsia="宋体" w:cs="宋体"/>
          <w:color w:val="auto"/>
          <w:kern w:val="0"/>
          <w:sz w:val="24"/>
          <w:szCs w:val="24"/>
          <w:highlight w:val="none"/>
          <w:shd w:val="clear" w:color="auto" w:fill="FFFFFF"/>
          <w:lang w:val="en-US" w:eastAsia="zh-CN" w:bidi="ar-SA"/>
        </w:rPr>
        <w:t>明“XX公司XX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2B7675CF">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7480"/>
      <w:bookmarkStart w:id="14" w:name="_Toc25869"/>
      <w:bookmarkStart w:id="15" w:name="_Toc10738"/>
      <w:bookmarkStart w:id="16" w:name="_Toc15135"/>
      <w:bookmarkStart w:id="17" w:name="_Toc15111"/>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6523"/>
      <w:bookmarkStart w:id="19" w:name="_Toc29784"/>
      <w:bookmarkStart w:id="20" w:name="_Toc30918"/>
      <w:bookmarkStart w:id="21"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4274"/>
      <w:bookmarkStart w:id="25" w:name="_Toc3604"/>
      <w:bookmarkStart w:id="26" w:name="_Toc16291"/>
      <w:bookmarkStart w:id="27" w:name="_Toc27370"/>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2320BC0C">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2062C334">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F3C77B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411F03D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3EB78C6F">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2.采购代理机构：河南恒越工程咨询有限公司</w:t>
      </w:r>
    </w:p>
    <w:p w14:paraId="4FF0D2DC">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地址：驻马店市淮河大道与蔡都路交叉口华尔大厦B座21层</w:t>
      </w:r>
    </w:p>
    <w:p w14:paraId="29FB3073">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联系人：王先生</w:t>
      </w:r>
    </w:p>
    <w:p w14:paraId="3688528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联系方式：15038468262</w:t>
      </w:r>
    </w:p>
    <w:p w14:paraId="2BB1501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29"/>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28</w:t>
      </w:r>
      <w:r>
        <w:rPr>
          <w:rFonts w:hint="eastAsia" w:ascii="宋体" w:hAnsi="宋体" w:eastAsia="宋体" w:cs="宋体"/>
          <w:color w:val="auto"/>
          <w:sz w:val="24"/>
          <w:szCs w:val="24"/>
          <w:highlight w:val="none"/>
          <w:shd w:val="clear" w:color="auto" w:fill="FFFFFF"/>
        </w:rPr>
        <w:t>日</w:t>
      </w:r>
    </w:p>
    <w:p w14:paraId="32464726">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29" w:name="_Toc31623"/>
      <w:bookmarkStart w:id="30" w:name="_Toc23793"/>
      <w:bookmarkStart w:id="31" w:name="_Toc29890"/>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2" w:name="_Toc9989"/>
      <w:bookmarkStart w:id="33" w:name="_Toc23610"/>
      <w:bookmarkStart w:id="34" w:name="_Toc31536"/>
    </w:p>
    <w:bookmarkEnd w:id="30"/>
    <w:bookmarkEnd w:id="31"/>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驻马店市中心医院大孔径CT阳极高压维修采购项目</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4"/>
        <w:tblW w:w="9585"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985"/>
        <w:gridCol w:w="2144"/>
        <w:gridCol w:w="850"/>
        <w:gridCol w:w="967"/>
        <w:gridCol w:w="1375"/>
        <w:gridCol w:w="9"/>
        <w:gridCol w:w="1110"/>
        <w:gridCol w:w="5"/>
        <w:gridCol w:w="1240"/>
      </w:tblGrid>
      <w:tr w14:paraId="38CA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F52256E">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包号</w:t>
            </w:r>
          </w:p>
        </w:tc>
        <w:tc>
          <w:tcPr>
            <w:tcW w:w="985" w:type="dxa"/>
            <w:vAlign w:val="center"/>
          </w:tcPr>
          <w:p w14:paraId="5DF51A23">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序号</w:t>
            </w:r>
          </w:p>
        </w:tc>
        <w:tc>
          <w:tcPr>
            <w:tcW w:w="2144" w:type="dxa"/>
            <w:vAlign w:val="center"/>
          </w:tcPr>
          <w:p w14:paraId="240B5FB6">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标的名称</w:t>
            </w:r>
          </w:p>
        </w:tc>
        <w:tc>
          <w:tcPr>
            <w:tcW w:w="850" w:type="dxa"/>
            <w:vAlign w:val="center"/>
          </w:tcPr>
          <w:p w14:paraId="1FC2EC56">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单位</w:t>
            </w:r>
          </w:p>
        </w:tc>
        <w:tc>
          <w:tcPr>
            <w:tcW w:w="967" w:type="dxa"/>
            <w:vAlign w:val="center"/>
          </w:tcPr>
          <w:p w14:paraId="78A9F1D6">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数量</w:t>
            </w:r>
          </w:p>
        </w:tc>
        <w:tc>
          <w:tcPr>
            <w:tcW w:w="1384" w:type="dxa"/>
            <w:gridSpan w:val="2"/>
            <w:vAlign w:val="center"/>
          </w:tcPr>
          <w:p w14:paraId="665A7C5C">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资金</w:t>
            </w:r>
          </w:p>
          <w:p w14:paraId="2259F43F">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预算</w:t>
            </w:r>
          </w:p>
        </w:tc>
        <w:tc>
          <w:tcPr>
            <w:tcW w:w="1110" w:type="dxa"/>
            <w:vAlign w:val="center"/>
          </w:tcPr>
          <w:p w14:paraId="0C32BA6B">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资金</w:t>
            </w:r>
          </w:p>
          <w:p w14:paraId="0F2FBFFE">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性质</w:t>
            </w:r>
          </w:p>
        </w:tc>
        <w:tc>
          <w:tcPr>
            <w:tcW w:w="1245" w:type="dxa"/>
            <w:gridSpan w:val="2"/>
            <w:vAlign w:val="center"/>
          </w:tcPr>
          <w:p w14:paraId="0D5173FD">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国产/</w:t>
            </w:r>
          </w:p>
          <w:p w14:paraId="5E8880A2">
            <w:pPr>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b/>
                <w:bCs/>
                <w:kern w:val="2"/>
                <w:sz w:val="24"/>
                <w:szCs w:val="24"/>
                <w:lang w:val="en-US" w:eastAsia="zh-CN" w:bidi="ar-SA"/>
              </w:rPr>
              <w:t>进口</w:t>
            </w:r>
          </w:p>
        </w:tc>
      </w:tr>
      <w:tr w14:paraId="077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FA5EC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p>
        </w:tc>
        <w:tc>
          <w:tcPr>
            <w:tcW w:w="985" w:type="dxa"/>
            <w:vAlign w:val="center"/>
          </w:tcPr>
          <w:p w14:paraId="6DE60D5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p>
        </w:tc>
        <w:tc>
          <w:tcPr>
            <w:tcW w:w="2144" w:type="dxa"/>
            <w:vAlign w:val="center"/>
          </w:tcPr>
          <w:p w14:paraId="0DB5E17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b w:val="0"/>
                <w:bCs w:val="0"/>
                <w:sz w:val="24"/>
                <w:szCs w:val="24"/>
                <w:u w:val="none"/>
                <w:lang w:val="en-US" w:eastAsia="zh-CN"/>
              </w:rPr>
              <w:t>大孔径CT阳极高压维修</w:t>
            </w:r>
          </w:p>
        </w:tc>
        <w:tc>
          <w:tcPr>
            <w:tcW w:w="850" w:type="dxa"/>
            <w:vAlign w:val="center"/>
          </w:tcPr>
          <w:p w14:paraId="43C7356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次</w:t>
            </w:r>
          </w:p>
        </w:tc>
        <w:tc>
          <w:tcPr>
            <w:tcW w:w="967" w:type="dxa"/>
            <w:vAlign w:val="center"/>
          </w:tcPr>
          <w:p w14:paraId="532C836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384" w:type="dxa"/>
            <w:gridSpan w:val="2"/>
            <w:vAlign w:val="center"/>
          </w:tcPr>
          <w:p w14:paraId="0DDD2FA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6万元</w:t>
            </w:r>
          </w:p>
        </w:tc>
        <w:tc>
          <w:tcPr>
            <w:tcW w:w="1110" w:type="dxa"/>
            <w:vAlign w:val="center"/>
          </w:tcPr>
          <w:p w14:paraId="5577EB1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自筹</w:t>
            </w:r>
          </w:p>
        </w:tc>
        <w:tc>
          <w:tcPr>
            <w:tcW w:w="1245" w:type="dxa"/>
            <w:gridSpan w:val="2"/>
            <w:vAlign w:val="center"/>
          </w:tcPr>
          <w:p w14:paraId="790268A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sz w:val="24"/>
                <w:szCs w:val="24"/>
                <w:vertAlign w:val="baseline"/>
                <w:lang w:val="en-US" w:eastAsia="zh-CN"/>
              </w:rPr>
            </w:pP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vAlign w:val="center"/>
          </w:tcPr>
          <w:p w14:paraId="3709E48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合计</w:t>
            </w:r>
          </w:p>
        </w:tc>
        <w:tc>
          <w:tcPr>
            <w:tcW w:w="2144" w:type="dxa"/>
            <w:vAlign w:val="center"/>
          </w:tcPr>
          <w:p w14:paraId="5151F71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c>
          <w:tcPr>
            <w:tcW w:w="850" w:type="dxa"/>
            <w:vAlign w:val="center"/>
          </w:tcPr>
          <w:p w14:paraId="4C40869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c>
          <w:tcPr>
            <w:tcW w:w="967" w:type="dxa"/>
            <w:vAlign w:val="center"/>
          </w:tcPr>
          <w:p w14:paraId="1DF111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c>
          <w:tcPr>
            <w:tcW w:w="1375" w:type="dxa"/>
            <w:vAlign w:val="center"/>
          </w:tcPr>
          <w:p w14:paraId="0306BC8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cs="宋体"/>
                <w:b/>
                <w:bCs/>
                <w:sz w:val="24"/>
                <w:szCs w:val="24"/>
                <w:vertAlign w:val="baseline"/>
                <w:lang w:val="en-US" w:eastAsia="zh-CN"/>
              </w:rPr>
              <w:t>6万元</w:t>
            </w:r>
          </w:p>
        </w:tc>
        <w:tc>
          <w:tcPr>
            <w:tcW w:w="1124" w:type="dxa"/>
            <w:gridSpan w:val="3"/>
            <w:vAlign w:val="center"/>
          </w:tcPr>
          <w:p w14:paraId="6C7B119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c>
          <w:tcPr>
            <w:tcW w:w="1240" w:type="dxa"/>
            <w:vAlign w:val="center"/>
          </w:tcPr>
          <w:p w14:paraId="658FFD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vAlign w:val="center"/>
          </w:tcPr>
          <w:p w14:paraId="62331FB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备注</w:t>
            </w:r>
          </w:p>
        </w:tc>
        <w:tc>
          <w:tcPr>
            <w:tcW w:w="7700" w:type="dxa"/>
            <w:gridSpan w:val="8"/>
            <w:vAlign w:val="center"/>
          </w:tcPr>
          <w:p w14:paraId="4F1CEB2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sz w:val="24"/>
                <w:szCs w:val="24"/>
                <w:vertAlign w:val="baseline"/>
                <w:lang w:val="en-US" w:eastAsia="zh-CN"/>
              </w:rPr>
            </w:pPr>
          </w:p>
        </w:tc>
      </w:tr>
    </w:tbl>
    <w:p w14:paraId="42F53B27">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7F3C509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both"/>
        <w:textAlignment w:val="auto"/>
        <w:rPr>
          <w:rFonts w:hint="eastAsia" w:ascii="宋体" w:hAnsi="宋体" w:eastAsia="宋体" w:cs="宋体"/>
          <w:b w:val="0"/>
          <w:bCs w:val="0"/>
          <w:i w:val="0"/>
          <w:iCs/>
          <w:color w:val="auto"/>
          <w:sz w:val="24"/>
          <w:szCs w:val="24"/>
          <w:highlight w:val="none"/>
          <w:u w:val="none"/>
          <w:lang w:val="zh-CN" w:eastAsia="zh-CN"/>
        </w:rPr>
      </w:pPr>
      <w:r>
        <w:rPr>
          <w:rFonts w:hint="eastAsia" w:ascii="宋体" w:hAnsi="宋体" w:eastAsia="宋体" w:cs="宋体"/>
          <w:b w:val="0"/>
          <w:bCs w:val="0"/>
          <w:i w:val="0"/>
          <w:iCs/>
          <w:color w:val="auto"/>
          <w:sz w:val="24"/>
          <w:szCs w:val="24"/>
          <w:highlight w:val="none"/>
          <w:u w:val="none"/>
          <w:lang w:val="zh-CN" w:eastAsia="zh-CN"/>
        </w:rPr>
        <w:t>1、设备型号为Big bore CT，故障现象为阳极高压故障导致机器无法扫描，需解决问题并使机器正常扫描和符合临床检查要求。</w:t>
      </w:r>
    </w:p>
    <w:p w14:paraId="4F18737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both"/>
        <w:textAlignment w:val="auto"/>
        <w:rPr>
          <w:rFonts w:hint="eastAsia" w:ascii="宋体" w:hAnsi="宋体" w:eastAsia="宋体" w:cs="宋体"/>
          <w:b w:val="0"/>
          <w:bCs w:val="0"/>
          <w:i w:val="0"/>
          <w:iCs/>
          <w:color w:val="auto"/>
          <w:sz w:val="24"/>
          <w:szCs w:val="24"/>
          <w:highlight w:val="none"/>
          <w:u w:val="none"/>
          <w:lang w:val="zh-CN" w:eastAsia="zh-CN"/>
        </w:rPr>
      </w:pPr>
      <w:r>
        <w:rPr>
          <w:rFonts w:hint="eastAsia" w:ascii="宋体" w:hAnsi="宋体" w:eastAsia="宋体" w:cs="宋体"/>
          <w:b w:val="0"/>
          <w:bCs w:val="0"/>
          <w:i w:val="0"/>
          <w:iCs/>
          <w:color w:val="auto"/>
          <w:sz w:val="24"/>
          <w:szCs w:val="24"/>
          <w:highlight w:val="none"/>
          <w:u w:val="none"/>
          <w:lang w:val="zh-CN" w:eastAsia="zh-CN"/>
        </w:rPr>
        <w:t>2、针对阳极高压故障，维修后要完成规定的校准和测试，并符合行业检测标准。配件维修故障最终以维修工单为准。</w:t>
      </w:r>
    </w:p>
    <w:p w14:paraId="65B39A1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both"/>
        <w:textAlignment w:val="auto"/>
        <w:rPr>
          <w:rFonts w:hint="eastAsia" w:ascii="宋体" w:hAnsi="宋体" w:eastAsia="宋体" w:cs="宋体"/>
          <w:b w:val="0"/>
          <w:bCs w:val="0"/>
          <w:i w:val="0"/>
          <w:iCs/>
          <w:color w:val="auto"/>
          <w:sz w:val="24"/>
          <w:szCs w:val="24"/>
          <w:highlight w:val="none"/>
          <w:u w:val="none"/>
          <w:lang w:val="zh-CN" w:eastAsia="zh-CN"/>
        </w:rPr>
      </w:pPr>
      <w:r>
        <w:rPr>
          <w:rFonts w:hint="eastAsia" w:ascii="宋体" w:hAnsi="宋体" w:eastAsia="宋体" w:cs="宋体"/>
          <w:b w:val="0"/>
          <w:bCs w:val="0"/>
          <w:i w:val="0"/>
          <w:iCs/>
          <w:color w:val="auto"/>
          <w:sz w:val="24"/>
          <w:szCs w:val="24"/>
          <w:highlight w:val="none"/>
          <w:u w:val="none"/>
          <w:lang w:val="zh-CN" w:eastAsia="zh-CN"/>
        </w:rPr>
        <w:t>3、为保证设备稳定运行，须提供先维修，后付费服务。</w:t>
      </w:r>
    </w:p>
    <w:p w14:paraId="730E4360">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both"/>
        <w:textAlignment w:val="auto"/>
        <w:rPr>
          <w:rFonts w:hint="eastAsia" w:ascii="宋体" w:hAnsi="宋体" w:eastAsia="宋体" w:cs="宋体"/>
          <w:b w:val="0"/>
          <w:bCs w:val="0"/>
          <w:i w:val="0"/>
          <w:iCs/>
          <w:color w:val="auto"/>
          <w:sz w:val="24"/>
          <w:szCs w:val="24"/>
          <w:highlight w:val="none"/>
          <w:u w:val="none"/>
          <w:lang w:val="zh-CN" w:eastAsia="zh-CN"/>
        </w:rPr>
      </w:pPr>
      <w:r>
        <w:rPr>
          <w:rFonts w:hint="eastAsia" w:ascii="宋体" w:hAnsi="宋体" w:eastAsia="宋体" w:cs="宋体"/>
          <w:b w:val="0"/>
          <w:bCs w:val="0"/>
          <w:i w:val="0"/>
          <w:iCs/>
          <w:color w:val="auto"/>
          <w:sz w:val="24"/>
          <w:szCs w:val="24"/>
          <w:highlight w:val="none"/>
          <w:u w:val="none"/>
          <w:lang w:val="zh-CN" w:eastAsia="zh-CN"/>
        </w:rPr>
        <w:t>4、维修期间提供与设备相匹配的合规备用配件，维修后完成安装调试，无额外费用。</w:t>
      </w:r>
    </w:p>
    <w:p w14:paraId="0333867F">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both"/>
        <w:textAlignment w:val="auto"/>
        <w:rPr>
          <w:rFonts w:hint="eastAsia" w:ascii="宋体" w:hAnsi="宋体" w:eastAsia="宋体" w:cs="宋体"/>
          <w:b w:val="0"/>
          <w:bCs w:val="0"/>
          <w:i w:val="0"/>
          <w:iCs/>
          <w:color w:val="auto"/>
          <w:sz w:val="24"/>
          <w:szCs w:val="24"/>
          <w:highlight w:val="none"/>
          <w:u w:val="none"/>
          <w:lang w:val="zh-CN" w:eastAsia="zh-CN"/>
        </w:rPr>
      </w:pPr>
      <w:r>
        <w:rPr>
          <w:rFonts w:hint="eastAsia" w:ascii="宋体" w:hAnsi="宋体" w:eastAsia="宋体" w:cs="宋体"/>
          <w:b w:val="0"/>
          <w:bCs w:val="0"/>
          <w:i w:val="0"/>
          <w:iCs/>
          <w:color w:val="auto"/>
          <w:sz w:val="24"/>
          <w:szCs w:val="24"/>
          <w:highlight w:val="none"/>
          <w:u w:val="none"/>
          <w:lang w:val="zh-CN" w:eastAsia="zh-CN"/>
        </w:rPr>
        <w:t>5、人员配备:服务于本项目的供应商具有影像设备维修技术支持团队≥2人。</w:t>
      </w:r>
    </w:p>
    <w:p w14:paraId="106ADFC5">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713F3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33EE2560">
            <w:pPr>
              <w:pStyle w:val="15"/>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59FFBD4E">
            <w:pPr>
              <w:pStyle w:val="15"/>
              <w:ind w:left="0" w:leftChars="0"/>
              <w:jc w:val="left"/>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采购人指定地点。</w:t>
            </w:r>
          </w:p>
        </w:tc>
      </w:tr>
      <w:tr w14:paraId="574C8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2EA8A14">
            <w:pPr>
              <w:pStyle w:val="15"/>
              <w:ind w:left="0" w:leftChars="0"/>
              <w:jc w:val="center"/>
              <w:rPr>
                <w:rFonts w:hint="eastAsia" w:cs="宋体"/>
                <w:color w:val="auto"/>
                <w:sz w:val="24"/>
                <w:szCs w:val="24"/>
                <w:highlight w:val="none"/>
                <w:lang w:val="en-US" w:eastAsia="zh-CN"/>
              </w:rPr>
            </w:pPr>
            <w:r>
              <w:rPr>
                <w:rFonts w:hint="eastAsia" w:cs="宋体"/>
                <w:color w:val="auto"/>
                <w:sz w:val="24"/>
                <w:szCs w:val="24"/>
                <w:highlight w:val="none"/>
                <w:lang w:val="en-US" w:eastAsia="zh-CN"/>
              </w:rPr>
              <w:t>质量要求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6D93696B">
            <w:pPr>
              <w:pStyle w:val="15"/>
              <w:spacing w:beforeAutospacing="0"/>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符合国家有关法律法规及行业标准要求。</w:t>
            </w:r>
          </w:p>
        </w:tc>
      </w:tr>
      <w:tr w14:paraId="35AAE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4"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BBA815B">
            <w:pPr>
              <w:pStyle w:val="15"/>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B754E1">
            <w:pPr>
              <w:pStyle w:val="15"/>
              <w:spacing w:beforeAutospacing="0"/>
              <w:ind w:left="0" w:left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所需配件安装维修完成后，自交付使用的次日起，针对配件此故障相同问题提供</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val="zh-CN" w:eastAsia="zh-CN"/>
              </w:rPr>
              <w:t>个月的质保服务，保证该配件在保修期内正常使用，配件故障信息以维修工单为准。</w:t>
            </w:r>
          </w:p>
        </w:tc>
      </w:tr>
      <w:tr w14:paraId="31211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C45281C">
            <w:pPr>
              <w:pStyle w:val="15"/>
              <w:ind w:left="0" w:lef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E284B96">
            <w:pPr>
              <w:pStyle w:val="15"/>
              <w:spacing w:beforeAutospacing="0"/>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设备维修调试完成投入使用后，自维修调试完成起满</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val="zh-CN" w:eastAsia="zh-CN"/>
              </w:rPr>
              <w:t>个月，且乙方完成当期服务内</w:t>
            </w:r>
            <w:r>
              <w:rPr>
                <w:rFonts w:hint="eastAsia" w:ascii="宋体" w:hAnsi="宋体" w:eastAsia="宋体" w:cs="宋体"/>
                <w:color w:val="auto"/>
                <w:sz w:val="24"/>
                <w:szCs w:val="24"/>
                <w:highlight w:val="none"/>
                <w:lang w:val="en-US" w:eastAsia="zh-CN"/>
              </w:rPr>
              <w:t>容</w:t>
            </w:r>
            <w:r>
              <w:rPr>
                <w:rFonts w:hint="eastAsia" w:ascii="宋体" w:hAnsi="宋体" w:eastAsia="宋体" w:cs="宋体"/>
                <w:color w:val="auto"/>
                <w:sz w:val="24"/>
                <w:szCs w:val="24"/>
                <w:highlight w:val="none"/>
                <w:lang w:val="zh-CN" w:eastAsia="zh-CN"/>
              </w:rPr>
              <w:t>后，付款100%。</w:t>
            </w:r>
          </w:p>
        </w:tc>
      </w:tr>
      <w:tr w14:paraId="183A2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4E8A874">
            <w:pPr>
              <w:pStyle w:val="15"/>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13A11AC4">
            <w:pPr>
              <w:pStyle w:val="15"/>
              <w:spacing w:beforeAutospacing="0"/>
              <w:ind w:left="0" w:leftChars="0"/>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中标方承担包装和运输费用。</w:t>
            </w:r>
          </w:p>
        </w:tc>
      </w:tr>
    </w:tbl>
    <w:p w14:paraId="5850CAA7">
      <w:pPr>
        <w:jc w:val="center"/>
        <w:outlineLvl w:val="0"/>
        <w:rPr>
          <w:rFonts w:hint="eastAsia" w:ascii="宋体" w:hAnsi="宋体" w:eastAsia="宋体" w:cs="宋体"/>
          <w:b/>
          <w:bCs/>
          <w:color w:val="auto"/>
          <w:sz w:val="32"/>
          <w:szCs w:val="32"/>
          <w:highlight w:val="none"/>
        </w:rPr>
      </w:pPr>
      <w:bookmarkStart w:id="35" w:name="_Toc2120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6万元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6</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代理服务费不得高于《招标代理机构服务管理暂行办法》（计价格[2002]1980号）相应标准：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。胶装方式装订，不得采用活页装订</w:t>
            </w:r>
            <w:r>
              <w:rPr>
                <w:rFonts w:hint="eastAsia" w:ascii="宋体" w:hAnsi="宋体" w:cs="宋体"/>
                <w:color w:val="auto"/>
                <w:sz w:val="24"/>
                <w:szCs w:val="32"/>
                <w:highlight w:val="none"/>
                <w:lang w:eastAsia="zh-CN"/>
              </w:rPr>
              <w:t>。</w:t>
            </w:r>
          </w:p>
        </w:tc>
      </w:tr>
      <w:tr w14:paraId="5E101D7D">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02EB6AEF">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6" w:name="_Toc4700"/>
      <w:bookmarkStart w:id="37" w:name="_Toc16669"/>
    </w:p>
    <w:p w14:paraId="78433DA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.2 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lang w:eastAsia="zh-CN"/>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r>
        <w:rPr>
          <w:rFonts w:hint="eastAsia" w:ascii="宋体" w:hAnsi="宋体" w:cs="宋体"/>
          <w:color w:val="auto"/>
          <w:sz w:val="24"/>
          <w:szCs w:val="24"/>
          <w:highlight w:val="none"/>
          <w:lang w:eastAsia="zh-CN"/>
        </w:rPr>
        <w:t>。</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1083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rPr>
          <w:rFonts w:hint="eastAsia" w:ascii="宋体" w:hAnsi="宋体" w:eastAsia="宋体" w:cs="宋体"/>
          <w:color w:val="auto"/>
          <w:highlight w:val="none"/>
        </w:rPr>
      </w:pPr>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bookmarkEnd w:id="37"/>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7C81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2D38D6A">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bookmarkStart w:id="39" w:name="_Toc1947"/>
            <w:bookmarkStart w:id="40" w:name="_Toc1482"/>
            <w:bookmarkStart w:id="41" w:name="_Toc256519703"/>
            <w:bookmarkStart w:id="42" w:name="_Toc326786897"/>
            <w:r>
              <w:rPr>
                <w:rFonts w:hint="eastAsia" w:ascii="宋体" w:hAnsi="宋体" w:eastAsia="宋体" w:cs="宋体"/>
                <w:b w:val="0"/>
                <w:bCs w:val="0"/>
                <w:color w:val="auto"/>
                <w:sz w:val="24"/>
                <w:szCs w:val="24"/>
                <w:highlight w:val="none"/>
              </w:rPr>
              <w:t>评审内容</w:t>
            </w:r>
          </w:p>
        </w:tc>
      </w:tr>
      <w:tr w14:paraId="4768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62FF729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18E10CDC">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6EEB01BA">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9DDBC75">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66FF4216">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r>
      <w:tr w14:paraId="0B68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7241594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p>
          <w:p w14:paraId="78DE426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p>
          <w:p w14:paraId="2FBEE9A9">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p>
          <w:p w14:paraId="242FEAD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p>
          <w:p w14:paraId="7F7FF16D">
            <w:pPr>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lang w:val="en-US" w:eastAsia="zh-CN"/>
              </w:rPr>
            </w:pPr>
          </w:p>
          <w:p w14:paraId="1B7AA78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54</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16EBD837">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1.技术服务响应（20分）</w:t>
            </w:r>
          </w:p>
        </w:tc>
        <w:tc>
          <w:tcPr>
            <w:tcW w:w="6770" w:type="dxa"/>
            <w:noWrap w:val="0"/>
            <w:vAlign w:val="center"/>
          </w:tcPr>
          <w:p w14:paraId="41B56EEC">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根据“第二章 采购需求  二、服务技术要求”进行响应。完全符合磋商文件服务要求的得</w:t>
            </w:r>
            <w:r>
              <w:rPr>
                <w:rFonts w:hint="eastAsia" w:ascii="宋体" w:hAnsi="宋体" w:cs="宋体"/>
                <w:sz w:val="24"/>
                <w:szCs w:val="24"/>
                <w:lang w:val="en-US" w:eastAsia="zh-CN"/>
              </w:rPr>
              <w:t>20</w:t>
            </w:r>
            <w:r>
              <w:rPr>
                <w:rFonts w:hint="eastAsia" w:ascii="宋体" w:hAnsi="宋体" w:eastAsia="宋体" w:cs="宋体"/>
                <w:sz w:val="24"/>
                <w:szCs w:val="24"/>
                <w:lang w:val="en-US" w:eastAsia="zh-CN"/>
              </w:rPr>
              <w:t>分，每有一项负偏离在</w:t>
            </w:r>
            <w:r>
              <w:rPr>
                <w:rFonts w:hint="eastAsia" w:ascii="宋体" w:hAnsi="宋体" w:cs="宋体"/>
                <w:sz w:val="24"/>
                <w:szCs w:val="24"/>
                <w:lang w:val="en-US" w:eastAsia="zh-CN"/>
              </w:rPr>
              <w:t>20</w:t>
            </w:r>
            <w:r>
              <w:rPr>
                <w:rFonts w:hint="eastAsia" w:ascii="宋体" w:hAnsi="宋体" w:eastAsia="宋体" w:cs="宋体"/>
                <w:sz w:val="24"/>
                <w:szCs w:val="24"/>
                <w:lang w:val="en-US" w:eastAsia="zh-CN"/>
              </w:rPr>
              <w:t>分基础上扣</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分，扣完为止；若得分为0，则磋商无效。</w:t>
            </w:r>
          </w:p>
          <w:p w14:paraId="642DC76C">
            <w:pPr>
              <w:jc w:val="left"/>
              <w:rPr>
                <w:rFonts w:hint="default"/>
                <w:lang w:val="en-US" w:eastAsia="zh-CN"/>
              </w:rPr>
            </w:pPr>
            <w:r>
              <w:rPr>
                <w:rFonts w:hint="eastAsia" w:ascii="宋体" w:hAnsi="宋体" w:cs="宋体"/>
                <w:sz w:val="24"/>
                <w:szCs w:val="24"/>
                <w:lang w:val="en-US" w:eastAsia="zh-CN"/>
              </w:rPr>
              <w:t>注：</w:t>
            </w:r>
            <w:r>
              <w:rPr>
                <w:rFonts w:hint="eastAsia" w:ascii="宋体" w:hAnsi="宋体" w:eastAsia="宋体" w:cs="宋体"/>
                <w:sz w:val="24"/>
                <w:szCs w:val="24"/>
                <w:lang w:val="en-US" w:eastAsia="zh-CN"/>
              </w:rPr>
              <w:t>供应商需如实填写</w:t>
            </w:r>
            <w:r>
              <w:rPr>
                <w:rFonts w:hint="eastAsia" w:ascii="宋体" w:hAnsi="宋体" w:cs="宋体"/>
                <w:sz w:val="24"/>
                <w:szCs w:val="24"/>
                <w:lang w:val="en-US" w:eastAsia="zh-CN"/>
              </w:rPr>
              <w:t>服务</w:t>
            </w:r>
            <w:r>
              <w:rPr>
                <w:rFonts w:hint="eastAsia" w:ascii="宋体" w:hAnsi="宋体" w:eastAsia="宋体" w:cs="宋体"/>
                <w:sz w:val="24"/>
                <w:szCs w:val="24"/>
                <w:lang w:val="en-US" w:eastAsia="zh-CN"/>
              </w:rPr>
              <w:t>技术响应表，并标注偏离情况。</w:t>
            </w:r>
          </w:p>
        </w:tc>
      </w:tr>
      <w:tr w14:paraId="760B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550F690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E82775F">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ascii="宋体" w:hAnsi="宋体" w:eastAsia="宋体" w:cs="宋体"/>
                <w:sz w:val="24"/>
                <w:szCs w:val="24"/>
              </w:rPr>
              <w:t>故障维修实施方案</w:t>
            </w:r>
          </w:p>
          <w:p w14:paraId="1294ADAD">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分）</w:t>
            </w:r>
          </w:p>
        </w:tc>
        <w:tc>
          <w:tcPr>
            <w:tcW w:w="6770" w:type="dxa"/>
            <w:noWrap w:val="0"/>
            <w:vAlign w:val="center"/>
          </w:tcPr>
          <w:p w14:paraId="084D1297">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提供针对该设备的故障维修实施方案，包括但不限于故障诊断流程；维修步骤、解决方案、整机恢复保障措施。</w:t>
            </w:r>
          </w:p>
          <w:p w14:paraId="7BEC1928">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提供的方案完整、针对性强，内容详尽，完全匹配本机故障的得12分；</w:t>
            </w:r>
          </w:p>
          <w:p w14:paraId="546AF7C5">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提供的方案较科学，内容较详细，较能满足采购需求的得8分；提供的方案无缺项漏项但可行性有待提升的得4分；</w:t>
            </w:r>
          </w:p>
          <w:p w14:paraId="7AD098B0">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提供的响应方案有缺项漏项等得1分；</w:t>
            </w:r>
          </w:p>
          <w:p w14:paraId="19FD17B2">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lang w:val="en-US" w:eastAsia="zh-CN"/>
              </w:rPr>
              <w:t>未提供者不得分。</w:t>
            </w:r>
          </w:p>
        </w:tc>
      </w:tr>
      <w:tr w14:paraId="0BB4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0F3D60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4491540">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维修后校准、测试及质量保障</w:t>
            </w:r>
            <w:r>
              <w:rPr>
                <w:rFonts w:hint="eastAsia" w:ascii="宋体" w:hAnsi="宋体" w:cs="宋体"/>
                <w:b w:val="0"/>
                <w:bCs w:val="0"/>
                <w:color w:val="auto"/>
                <w:sz w:val="24"/>
                <w:szCs w:val="24"/>
                <w:highlight w:val="none"/>
                <w:lang w:val="en-US" w:eastAsia="zh-CN"/>
              </w:rPr>
              <w:t>（12分）</w:t>
            </w:r>
          </w:p>
        </w:tc>
        <w:tc>
          <w:tcPr>
            <w:tcW w:w="6770" w:type="dxa"/>
            <w:noWrap w:val="0"/>
            <w:vAlign w:val="center"/>
          </w:tcPr>
          <w:p w14:paraId="03B8356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供应商</w:t>
            </w:r>
            <w:r>
              <w:rPr>
                <w:rFonts w:ascii="宋体" w:hAnsi="宋体" w:eastAsia="宋体" w:cs="宋体"/>
                <w:sz w:val="24"/>
                <w:szCs w:val="24"/>
              </w:rPr>
              <w:t>提供维修后设备校准、检测及验收方案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包括但不限于：CT整机校准、参数调试、图像质量测试、稳定性测试、</w:t>
            </w:r>
            <w:r>
              <w:rPr>
                <w:rFonts w:ascii="宋体" w:hAnsi="宋体" w:eastAsia="宋体" w:cs="宋体"/>
                <w:sz w:val="24"/>
                <w:szCs w:val="24"/>
              </w:rPr>
              <w:t>现场验收流程</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确保设备达到原机标准及临床诊断要求、符合医疗设备行业检测标准。</w:t>
            </w:r>
          </w:p>
          <w:p w14:paraId="36A43F37">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lang w:val="en-US" w:eastAsia="zh-CN"/>
              </w:rPr>
            </w:pPr>
            <w:r>
              <w:rPr>
                <w:rFonts w:ascii="宋体" w:hAnsi="宋体" w:eastAsia="宋体" w:cs="宋体"/>
                <w:sz w:val="24"/>
                <w:szCs w:val="24"/>
                <w:lang w:val="en-US" w:eastAsia="zh-CN"/>
              </w:rPr>
              <w:t>提供的</w:t>
            </w:r>
            <w:r>
              <w:rPr>
                <w:rFonts w:hint="eastAsia" w:ascii="宋体" w:hAnsi="宋体" w:eastAsia="宋体" w:cs="宋体"/>
                <w:sz w:val="24"/>
                <w:szCs w:val="24"/>
                <w:lang w:val="en-US" w:eastAsia="zh-CN"/>
              </w:rPr>
              <w:t>方案完整、</w:t>
            </w:r>
            <w:r>
              <w:rPr>
                <w:rFonts w:ascii="宋体" w:hAnsi="宋体" w:eastAsia="宋体" w:cs="宋体"/>
                <w:sz w:val="24"/>
                <w:szCs w:val="24"/>
              </w:rPr>
              <w:t>内容齐全可落地，</w:t>
            </w:r>
            <w:r>
              <w:rPr>
                <w:rFonts w:ascii="宋体" w:hAnsi="宋体" w:eastAsia="宋体" w:cs="宋体"/>
                <w:sz w:val="24"/>
                <w:szCs w:val="24"/>
                <w:lang w:val="en-US" w:eastAsia="zh-CN"/>
              </w:rPr>
              <w:t>完全满足采购需求的得</w:t>
            </w:r>
            <w:r>
              <w:rPr>
                <w:rFonts w:hint="eastAsia" w:ascii="宋体" w:hAnsi="宋体" w:eastAsia="宋体" w:cs="宋体"/>
                <w:sz w:val="24"/>
                <w:szCs w:val="24"/>
                <w:lang w:val="en-US" w:eastAsia="zh-CN"/>
              </w:rPr>
              <w:t>12</w:t>
            </w:r>
            <w:r>
              <w:rPr>
                <w:rFonts w:ascii="宋体" w:hAnsi="宋体" w:eastAsia="宋体" w:cs="宋体"/>
                <w:sz w:val="24"/>
                <w:szCs w:val="24"/>
                <w:lang w:val="en-US" w:eastAsia="zh-CN"/>
              </w:rPr>
              <w:t>分；</w:t>
            </w:r>
          </w:p>
          <w:p w14:paraId="07AEF403">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lang w:val="en-US" w:eastAsia="zh-CN"/>
              </w:rPr>
            </w:pPr>
            <w:r>
              <w:rPr>
                <w:rFonts w:hint="eastAsia" w:ascii="宋体" w:hAnsi="宋体" w:eastAsia="宋体" w:cs="宋体"/>
                <w:sz w:val="24"/>
                <w:szCs w:val="24"/>
                <w:lang w:val="en-US" w:eastAsia="zh-CN"/>
              </w:rPr>
              <w:t>方案</w:t>
            </w:r>
            <w:r>
              <w:rPr>
                <w:rFonts w:ascii="宋体" w:hAnsi="宋体" w:eastAsia="宋体" w:cs="宋体"/>
                <w:sz w:val="24"/>
                <w:szCs w:val="24"/>
              </w:rPr>
              <w:t>有校准、测试内容，</w:t>
            </w:r>
            <w:r>
              <w:rPr>
                <w:rFonts w:ascii="宋体" w:hAnsi="宋体" w:eastAsia="宋体" w:cs="宋体"/>
                <w:sz w:val="24"/>
                <w:szCs w:val="24"/>
                <w:lang w:val="en-US" w:eastAsia="zh-CN"/>
              </w:rPr>
              <w:t>内容较详细，较能满足采购需求的得</w:t>
            </w:r>
            <w:r>
              <w:rPr>
                <w:rFonts w:hint="eastAsia" w:ascii="宋体" w:hAnsi="宋体" w:eastAsia="宋体" w:cs="宋体"/>
                <w:sz w:val="24"/>
                <w:szCs w:val="24"/>
                <w:lang w:val="en-US" w:eastAsia="zh-CN"/>
              </w:rPr>
              <w:t>8</w:t>
            </w:r>
            <w:r>
              <w:rPr>
                <w:rFonts w:ascii="宋体" w:hAnsi="宋体" w:eastAsia="宋体" w:cs="宋体"/>
                <w:sz w:val="24"/>
                <w:szCs w:val="24"/>
                <w:lang w:val="en-US" w:eastAsia="zh-CN"/>
              </w:rPr>
              <w:t>分；</w:t>
            </w:r>
          </w:p>
          <w:p w14:paraId="3BF3CBA4">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lang w:val="en-US" w:eastAsia="zh-CN"/>
              </w:rPr>
            </w:pPr>
            <w:r>
              <w:rPr>
                <w:rFonts w:hint="eastAsia" w:ascii="宋体" w:hAnsi="宋体" w:eastAsia="宋体" w:cs="宋体"/>
                <w:sz w:val="24"/>
                <w:szCs w:val="24"/>
                <w:lang w:val="en-US" w:eastAsia="zh-CN"/>
              </w:rPr>
              <w:t>方案</w:t>
            </w:r>
            <w:r>
              <w:rPr>
                <w:rFonts w:ascii="宋体" w:hAnsi="宋体" w:eastAsia="宋体" w:cs="宋体"/>
                <w:sz w:val="24"/>
                <w:szCs w:val="24"/>
              </w:rPr>
              <w:t>缺少部分关键项目或验收流程不够完整</w:t>
            </w:r>
            <w:r>
              <w:rPr>
                <w:rFonts w:ascii="宋体" w:hAnsi="宋体" w:eastAsia="宋体" w:cs="宋体"/>
                <w:sz w:val="24"/>
                <w:szCs w:val="24"/>
                <w:lang w:val="en-US" w:eastAsia="zh-CN"/>
              </w:rPr>
              <w:t>的得</w:t>
            </w:r>
            <w:r>
              <w:rPr>
                <w:rFonts w:hint="eastAsia" w:ascii="宋体" w:hAnsi="宋体" w:eastAsia="宋体" w:cs="宋体"/>
                <w:sz w:val="24"/>
                <w:szCs w:val="24"/>
                <w:lang w:val="en-US" w:eastAsia="zh-CN"/>
              </w:rPr>
              <w:t>4</w:t>
            </w:r>
            <w:r>
              <w:rPr>
                <w:rFonts w:ascii="宋体" w:hAnsi="宋体" w:eastAsia="宋体" w:cs="宋体"/>
                <w:sz w:val="24"/>
                <w:szCs w:val="24"/>
                <w:lang w:val="en-US" w:eastAsia="zh-CN"/>
              </w:rPr>
              <w:t>分；</w:t>
            </w:r>
          </w:p>
          <w:p w14:paraId="1B6D9790">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lang w:val="en-US" w:eastAsia="zh-CN"/>
              </w:rPr>
            </w:pPr>
            <w:r>
              <w:rPr>
                <w:rFonts w:hint="eastAsia" w:ascii="宋体" w:hAnsi="宋体" w:eastAsia="宋体" w:cs="宋体"/>
                <w:sz w:val="24"/>
                <w:szCs w:val="24"/>
                <w:lang w:val="en-US" w:eastAsia="zh-CN"/>
              </w:rPr>
              <w:t>方案</w:t>
            </w:r>
            <w:r>
              <w:rPr>
                <w:rFonts w:ascii="宋体" w:hAnsi="宋体" w:eastAsia="宋体" w:cs="宋体"/>
                <w:sz w:val="24"/>
                <w:szCs w:val="24"/>
              </w:rPr>
              <w:t>仅有简单文字提及校准测试，无具体方案</w:t>
            </w:r>
            <w:r>
              <w:rPr>
                <w:rFonts w:ascii="宋体" w:hAnsi="宋体" w:eastAsia="宋体" w:cs="宋体"/>
                <w:sz w:val="24"/>
                <w:szCs w:val="24"/>
                <w:lang w:val="en-US" w:eastAsia="zh-CN"/>
              </w:rPr>
              <w:t>得</w:t>
            </w:r>
            <w:r>
              <w:rPr>
                <w:rFonts w:hint="eastAsia" w:ascii="宋体" w:hAnsi="宋体" w:eastAsia="宋体" w:cs="宋体"/>
                <w:sz w:val="24"/>
                <w:szCs w:val="24"/>
                <w:lang w:val="en-US" w:eastAsia="zh-CN"/>
              </w:rPr>
              <w:t>1</w:t>
            </w:r>
            <w:r>
              <w:rPr>
                <w:rFonts w:ascii="宋体" w:hAnsi="宋体" w:eastAsia="宋体" w:cs="宋体"/>
                <w:sz w:val="24"/>
                <w:szCs w:val="24"/>
                <w:lang w:val="en-US" w:eastAsia="zh-CN"/>
              </w:rPr>
              <w:t>分；</w:t>
            </w:r>
          </w:p>
          <w:p w14:paraId="4B7BB43F">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ascii="宋体" w:hAnsi="宋体" w:eastAsia="宋体" w:cs="宋体"/>
                <w:sz w:val="24"/>
                <w:szCs w:val="24"/>
                <w:lang w:val="en-US" w:eastAsia="zh-CN"/>
              </w:rPr>
              <w:t>未提供者不得分。</w:t>
            </w:r>
          </w:p>
        </w:tc>
      </w:tr>
      <w:tr w14:paraId="39BA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78958D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4A4674B">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szCs w:val="24"/>
                <w:lang w:val="en-US" w:eastAsia="zh-CN"/>
              </w:rPr>
              <w:t>4.</w:t>
            </w:r>
            <w:r>
              <w:rPr>
                <w:rFonts w:ascii="宋体" w:hAnsi="宋体" w:eastAsia="宋体" w:cs="宋体"/>
                <w:sz w:val="24"/>
                <w:szCs w:val="24"/>
              </w:rPr>
              <w:t>备用配件保障方案</w:t>
            </w:r>
            <w:r>
              <w:rPr>
                <w:rFonts w:hint="eastAsia" w:asciiTheme="minorEastAsia" w:hAnsiTheme="minorEastAsia" w:eastAsiaTheme="minorEastAsia" w:cstheme="minorEastAsia"/>
                <w:color w:val="auto"/>
                <w:sz w:val="24"/>
                <w:szCs w:val="24"/>
                <w:highlight w:val="none"/>
                <w:lang w:val="en-US" w:eastAsia="zh-CN"/>
              </w:rPr>
              <w:t>（10分）</w:t>
            </w:r>
          </w:p>
        </w:tc>
        <w:tc>
          <w:tcPr>
            <w:tcW w:w="6770" w:type="dxa"/>
            <w:noWrap w:val="0"/>
            <w:vAlign w:val="center"/>
          </w:tcPr>
          <w:p w14:paraId="2D8DF0E1">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供应商提供配件质量保障措施方案，包含但不限于：配件准入源头管控、配件仓储与预处理质量管控、配件防护管理等。</w:t>
            </w:r>
          </w:p>
          <w:p w14:paraId="5E43B9E2">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提供的方案配件源头、质量管控、配件防护等内容完整、详尽，承诺无额外费用，完全满足采购需求的得10分；</w:t>
            </w:r>
          </w:p>
          <w:p w14:paraId="2C0CB666">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方案配件源头、质量管控、配件防护等内容内容较详细，较能满足采购需求的得7分；</w:t>
            </w:r>
          </w:p>
          <w:p w14:paraId="544A6268">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方案缺少部分关键项目或配件质量相关保障内容描述不完整、不详尽的得4分；</w:t>
            </w:r>
          </w:p>
          <w:p w14:paraId="719D288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方案仅有简单文字描述，或不满足本项采购需求得1分；</w:t>
            </w:r>
          </w:p>
          <w:p w14:paraId="5487501D">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未提供者不得分。</w:t>
            </w:r>
          </w:p>
        </w:tc>
      </w:tr>
      <w:tr w14:paraId="126F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34293B6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w:t>
            </w:r>
            <w:r>
              <w:rPr>
                <w:rFonts w:hint="eastAsia" w:ascii="宋体" w:hAnsi="宋体" w:cs="宋体"/>
                <w:b w:val="0"/>
                <w:bCs w:val="0"/>
                <w:color w:val="auto"/>
                <w:sz w:val="24"/>
                <w:szCs w:val="24"/>
                <w:highlight w:val="none"/>
                <w:lang w:val="en-US" w:eastAsia="zh-CN"/>
              </w:rPr>
              <w:t>部分</w:t>
            </w:r>
          </w:p>
          <w:p w14:paraId="30DEE300">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45CE6ABE">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1.人员配备方案（</w:t>
            </w:r>
            <w:r>
              <w:rPr>
                <w:rFonts w:hint="eastAsia" w:ascii="宋体" w:hAnsi="宋体" w:cs="宋体"/>
                <w:b w:val="0"/>
                <w:bCs w:val="0"/>
                <w:kern w:val="2"/>
                <w:sz w:val="24"/>
                <w:szCs w:val="24"/>
                <w:lang w:val="en-US" w:eastAsia="zh-CN" w:bidi="ar-SA"/>
              </w:rPr>
              <w:t>10</w:t>
            </w:r>
            <w:r>
              <w:rPr>
                <w:rFonts w:hint="eastAsia" w:ascii="宋体" w:hAnsi="宋体" w:eastAsia="宋体" w:cs="宋体"/>
                <w:b w:val="0"/>
                <w:bCs w:val="0"/>
                <w:kern w:val="2"/>
                <w:sz w:val="24"/>
                <w:szCs w:val="24"/>
                <w:lang w:val="en-US" w:eastAsia="zh-CN" w:bidi="ar-SA"/>
              </w:rPr>
              <w:t>分）</w:t>
            </w:r>
          </w:p>
        </w:tc>
        <w:tc>
          <w:tcPr>
            <w:tcW w:w="6770" w:type="dxa"/>
            <w:noWrap w:val="0"/>
            <w:vAlign w:val="center"/>
          </w:tcPr>
          <w:p w14:paraId="44339DB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供应商针对本项目配备的影像设备专业维修技术团队，专业维修人员配备≥2名。</w:t>
            </w:r>
          </w:p>
          <w:p w14:paraId="03189969">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人员配备安排合理、专业技术能力强、设备维护经验丰富且持证上岗，能完全满足采购需求的得10分；</w:t>
            </w:r>
          </w:p>
          <w:p w14:paraId="3ED0FF9A">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人员配备较合理、专业能力较强，经验较丰富，基本满足采购需求的得7分；</w:t>
            </w:r>
          </w:p>
          <w:p w14:paraId="06E672B1">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人员配备合理，专业性有待提升的得4分；</w:t>
            </w:r>
          </w:p>
          <w:p w14:paraId="25BF8B6E">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人员配备及专业能力难以满足采购需求的得1分。</w:t>
            </w:r>
          </w:p>
          <w:p w14:paraId="256A448E">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注：提供人员证书及工作经验证明材料</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未提供不得分。</w:t>
            </w:r>
          </w:p>
        </w:tc>
      </w:tr>
      <w:tr w14:paraId="1B33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F34C87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6B8665A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03A06199">
            <w:pPr>
              <w:pStyle w:val="92"/>
              <w:keepNext w:val="0"/>
              <w:keepLines w:val="0"/>
              <w:pageBreakBefore w:val="0"/>
              <w:widowControl w:val="0"/>
              <w:kinsoku/>
              <w:wordWrap/>
              <w:overflowPunct/>
              <w:topLinePunct w:val="0"/>
              <w:autoSpaceDE/>
              <w:autoSpaceDN/>
              <w:bidi w:val="0"/>
              <w:adjustRightInd/>
              <w:snapToGrid/>
              <w:spacing w:before="70" w:line="288" w:lineRule="auto"/>
              <w:ind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供应商</w:t>
            </w:r>
            <w:r>
              <w:rPr>
                <w:rFonts w:hint="eastAsia" w:cs="宋体"/>
                <w:b w:val="0"/>
                <w:bCs w:val="0"/>
                <w:color w:val="auto"/>
                <w:sz w:val="24"/>
                <w:szCs w:val="24"/>
                <w:highlight w:val="none"/>
                <w:lang w:val="en-US" w:eastAsia="zh-CN"/>
              </w:rPr>
              <w:t>自</w:t>
            </w:r>
            <w:r>
              <w:rPr>
                <w:rFonts w:hint="eastAsia" w:ascii="宋体" w:hAnsi="宋体" w:eastAsia="宋体" w:cs="宋体"/>
                <w:b w:val="0"/>
                <w:bCs w:val="0"/>
                <w:color w:val="auto"/>
                <w:sz w:val="24"/>
                <w:szCs w:val="24"/>
                <w:highlight w:val="none"/>
                <w:lang w:val="en-US" w:eastAsia="zh-CN"/>
              </w:rPr>
              <w:t>202</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年1月1日</w:t>
            </w:r>
            <w:r>
              <w:rPr>
                <w:rFonts w:hint="eastAsia" w:cs="宋体"/>
                <w:b w:val="0"/>
                <w:bCs w:val="0"/>
                <w:color w:val="auto"/>
                <w:sz w:val="24"/>
                <w:szCs w:val="24"/>
                <w:highlight w:val="none"/>
                <w:lang w:val="en-US" w:eastAsia="zh-CN"/>
              </w:rPr>
              <w:t>以来</w:t>
            </w:r>
            <w:r>
              <w:rPr>
                <w:rFonts w:hint="eastAsia" w:ascii="宋体" w:hAnsi="宋体" w:eastAsia="宋体" w:cs="宋体"/>
                <w:b w:val="0"/>
                <w:bCs w:val="0"/>
                <w:color w:val="auto"/>
                <w:sz w:val="24"/>
                <w:szCs w:val="24"/>
                <w:highlight w:val="none"/>
                <w:lang w:val="en-US" w:eastAsia="zh-CN"/>
              </w:rPr>
              <w:t>(以合同文件为准）具有的类似服务业绩</w:t>
            </w:r>
            <w:r>
              <w:rPr>
                <w:rFonts w:hint="eastAsia" w:cs="宋体"/>
                <w:b w:val="0"/>
                <w:bCs w:val="0"/>
                <w:color w:val="auto"/>
                <w:sz w:val="24"/>
                <w:szCs w:val="24"/>
                <w:highlight w:val="none"/>
                <w:lang w:val="en-US" w:eastAsia="zh-CN"/>
              </w:rPr>
              <w:t>（大孔径CT维修/维保类项目）</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每提供1份合同证明材料得</w:t>
            </w:r>
            <w:r>
              <w:rPr>
                <w:rFonts w:hint="eastAsia"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分，最多得</w:t>
            </w:r>
            <w:r>
              <w:rPr>
                <w:rFonts w:hint="eastAsia"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分。</w:t>
            </w:r>
          </w:p>
          <w:p w14:paraId="55E6DF4A">
            <w:pPr>
              <w:pStyle w:val="92"/>
              <w:keepNext w:val="0"/>
              <w:keepLines w:val="0"/>
              <w:pageBreakBefore w:val="0"/>
              <w:widowControl w:val="0"/>
              <w:kinsoku/>
              <w:wordWrap/>
              <w:overflowPunct/>
              <w:topLinePunct w:val="0"/>
              <w:autoSpaceDE/>
              <w:autoSpaceDN/>
              <w:bidi w:val="0"/>
              <w:adjustRightInd/>
              <w:snapToGrid/>
              <w:spacing w:before="70" w:line="288" w:lineRule="auto"/>
              <w:ind w:right="255"/>
              <w:jc w:val="both"/>
              <w:textAlignment w:val="auto"/>
              <w:rPr>
                <w:rFonts w:hint="eastAsia" w:ascii="宋体" w:hAnsi="宋体" w:eastAsia="宋体" w:cs="宋体"/>
                <w:color w:val="auto"/>
                <w:sz w:val="24"/>
                <w:szCs w:val="24"/>
                <w:highlight w:val="none"/>
                <w:lang w:val="en-US" w:eastAsia="zh-CN"/>
              </w:rPr>
            </w:pPr>
            <w:r>
              <w:rPr>
                <w:rFonts w:hint="eastAsia" w:cs="宋体"/>
                <w:color w:val="auto"/>
                <w:kern w:val="2"/>
                <w:sz w:val="24"/>
                <w:szCs w:val="24"/>
                <w:highlight w:val="none"/>
                <w:lang w:val="en-US" w:eastAsia="zh-CN" w:bidi="ar-SA"/>
              </w:rPr>
              <w:t>注：</w:t>
            </w:r>
            <w:r>
              <w:rPr>
                <w:rFonts w:hint="eastAsia" w:ascii="宋体" w:hAnsi="宋体" w:cs="宋体"/>
                <w:color w:val="auto"/>
                <w:sz w:val="24"/>
                <w:szCs w:val="24"/>
                <w:highlight w:val="none"/>
                <w:lang w:val="en-US" w:eastAsia="zh-CN"/>
              </w:rPr>
              <w:t>响应文件内提供合同复印件</w:t>
            </w:r>
            <w:r>
              <w:rPr>
                <w:rFonts w:hint="eastAsia" w:ascii="宋体" w:hAnsi="宋体" w:eastAsia="宋体" w:cs="宋体"/>
                <w:color w:val="auto"/>
                <w:kern w:val="2"/>
                <w:sz w:val="24"/>
                <w:szCs w:val="24"/>
                <w:highlight w:val="none"/>
                <w:lang w:val="en-US" w:eastAsia="zh-CN" w:bidi="ar-SA"/>
              </w:rPr>
              <w:t>。</w:t>
            </w:r>
          </w:p>
        </w:tc>
      </w:tr>
      <w:tr w14:paraId="0679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335FCBC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7985E2AA">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sz w:val="24"/>
                <w:szCs w:val="24"/>
                <w:lang w:val="en-US" w:eastAsia="zh-CN"/>
              </w:rPr>
              <w:t>3.</w:t>
            </w:r>
            <w:r>
              <w:rPr>
                <w:rFonts w:ascii="宋体" w:hAnsi="宋体" w:eastAsia="宋体" w:cs="宋体"/>
                <w:sz w:val="24"/>
                <w:szCs w:val="24"/>
              </w:rPr>
              <w:t>质保</w:t>
            </w:r>
            <w:r>
              <w:rPr>
                <w:rFonts w:hint="eastAsia" w:ascii="宋体" w:hAnsi="宋体" w:cs="宋体"/>
                <w:sz w:val="24"/>
                <w:szCs w:val="24"/>
                <w:lang w:val="en-US" w:eastAsia="zh-CN"/>
              </w:rPr>
              <w:t>期内</w:t>
            </w:r>
            <w:r>
              <w:rPr>
                <w:rFonts w:ascii="宋体" w:hAnsi="宋体" w:eastAsia="宋体" w:cs="宋体"/>
                <w:sz w:val="24"/>
                <w:szCs w:val="24"/>
              </w:rPr>
              <w:t>服务方案</w:t>
            </w:r>
            <w:r>
              <w:rPr>
                <w:rFonts w:hint="eastAsia" w:asciiTheme="minorEastAsia" w:hAnsiTheme="minorEastAsia" w:eastAsiaTheme="minorEastAsia" w:cstheme="minorEastAsia"/>
                <w:color w:val="auto"/>
                <w:sz w:val="24"/>
                <w:szCs w:val="24"/>
                <w:highlight w:val="none"/>
                <w:lang w:val="en-US" w:eastAsia="zh-CN"/>
              </w:rPr>
              <w:t>（10分）</w:t>
            </w:r>
          </w:p>
        </w:tc>
        <w:tc>
          <w:tcPr>
            <w:tcW w:w="6770" w:type="dxa"/>
            <w:noWrap w:val="0"/>
            <w:vAlign w:val="center"/>
          </w:tcPr>
          <w:p w14:paraId="5BD44356">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cs="宋体"/>
                <w:sz w:val="24"/>
                <w:szCs w:val="24"/>
                <w:lang w:val="en-US" w:eastAsia="zh-CN"/>
              </w:rPr>
            </w:pP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提供</w:t>
            </w:r>
            <w:r>
              <w:rPr>
                <w:rFonts w:ascii="宋体" w:hAnsi="宋体" w:eastAsia="宋体" w:cs="宋体"/>
                <w:sz w:val="24"/>
                <w:szCs w:val="24"/>
              </w:rPr>
              <w:t>质保</w:t>
            </w:r>
            <w:r>
              <w:rPr>
                <w:rFonts w:hint="eastAsia" w:ascii="宋体" w:hAnsi="宋体" w:cs="宋体"/>
                <w:sz w:val="24"/>
                <w:szCs w:val="24"/>
                <w:lang w:val="en-US" w:eastAsia="zh-CN"/>
              </w:rPr>
              <w:t>期内</w:t>
            </w:r>
            <w:r>
              <w:rPr>
                <w:rFonts w:ascii="宋体" w:hAnsi="宋体" w:eastAsia="宋体" w:cs="宋体"/>
                <w:sz w:val="24"/>
                <w:szCs w:val="24"/>
              </w:rPr>
              <w:t>服务方案</w:t>
            </w:r>
            <w:r>
              <w:rPr>
                <w:rFonts w:hint="eastAsia" w:ascii="宋体" w:hAnsi="宋体" w:cs="宋体"/>
                <w:sz w:val="24"/>
                <w:szCs w:val="24"/>
                <w:lang w:eastAsia="zh-CN"/>
              </w:rPr>
              <w:t>，</w:t>
            </w:r>
            <w:r>
              <w:rPr>
                <w:rFonts w:hint="eastAsia" w:ascii="宋体" w:hAnsi="宋体" w:eastAsia="宋体" w:cs="宋体"/>
                <w:sz w:val="24"/>
                <w:szCs w:val="24"/>
                <w:lang w:val="en-US" w:eastAsia="zh-CN"/>
              </w:rPr>
              <w:t>包括但不限于：</w:t>
            </w:r>
            <w:r>
              <w:rPr>
                <w:rFonts w:ascii="宋体" w:hAnsi="宋体" w:eastAsia="宋体" w:cs="宋体"/>
                <w:sz w:val="24"/>
                <w:szCs w:val="24"/>
              </w:rPr>
              <w:t>质保</w:t>
            </w:r>
            <w:r>
              <w:rPr>
                <w:rFonts w:hint="eastAsia" w:ascii="宋体" w:hAnsi="宋体" w:eastAsia="宋体" w:cs="宋体"/>
                <w:sz w:val="24"/>
                <w:szCs w:val="24"/>
                <w:lang w:val="en-US" w:eastAsia="zh-CN"/>
              </w:rPr>
              <w:t>期限</w:t>
            </w:r>
            <w:r>
              <w:rPr>
                <w:rFonts w:hint="eastAsia" w:ascii="宋体" w:hAnsi="宋体" w:cs="宋体"/>
                <w:sz w:val="24"/>
                <w:szCs w:val="24"/>
                <w:lang w:val="en-US" w:eastAsia="zh-CN"/>
              </w:rPr>
              <w:t>、</w:t>
            </w:r>
            <w:r>
              <w:rPr>
                <w:rFonts w:ascii="宋体" w:hAnsi="宋体" w:eastAsia="宋体" w:cs="宋体"/>
                <w:sz w:val="24"/>
                <w:szCs w:val="24"/>
              </w:rPr>
              <w:t>质保范围</w:t>
            </w:r>
            <w:r>
              <w:rPr>
                <w:rFonts w:hint="eastAsia" w:ascii="宋体" w:hAnsi="宋体" w:cs="宋体"/>
                <w:sz w:val="24"/>
                <w:szCs w:val="24"/>
                <w:lang w:eastAsia="zh-CN"/>
              </w:rPr>
              <w:t>、</w:t>
            </w:r>
            <w:r>
              <w:rPr>
                <w:rFonts w:hint="eastAsia" w:ascii="宋体" w:hAnsi="宋体" w:cs="宋体"/>
                <w:sz w:val="24"/>
                <w:szCs w:val="24"/>
                <w:lang w:val="en-US" w:eastAsia="zh-CN"/>
              </w:rPr>
              <w:t>故障</w:t>
            </w:r>
            <w:r>
              <w:rPr>
                <w:rFonts w:ascii="宋体" w:hAnsi="宋体" w:eastAsia="宋体" w:cs="宋体"/>
                <w:sz w:val="24"/>
                <w:szCs w:val="24"/>
              </w:rPr>
              <w:t>响应</w:t>
            </w:r>
            <w:r>
              <w:rPr>
                <w:rFonts w:hint="eastAsia" w:ascii="宋体" w:hAnsi="宋体" w:cs="宋体"/>
                <w:sz w:val="24"/>
                <w:szCs w:val="24"/>
                <w:lang w:val="en-US" w:eastAsia="zh-CN"/>
              </w:rPr>
              <w:t>及时率</w:t>
            </w:r>
            <w:r>
              <w:rPr>
                <w:rFonts w:hint="eastAsia" w:ascii="宋体" w:hAnsi="宋体" w:cs="宋体"/>
                <w:sz w:val="24"/>
                <w:szCs w:val="24"/>
                <w:lang w:eastAsia="zh-CN"/>
              </w:rPr>
              <w:t>、</w:t>
            </w:r>
            <w:r>
              <w:rPr>
                <w:rFonts w:hint="eastAsia" w:ascii="宋体" w:hAnsi="宋体" w:cs="宋体"/>
                <w:sz w:val="24"/>
                <w:szCs w:val="24"/>
                <w:lang w:val="en-US" w:eastAsia="zh-CN"/>
              </w:rPr>
              <w:t>售后人员配备。</w:t>
            </w:r>
          </w:p>
          <w:p w14:paraId="361BE2A3">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w:t>
            </w:r>
            <w:r>
              <w:rPr>
                <w:rFonts w:hint="eastAsia" w:ascii="宋体" w:hAnsi="宋体" w:eastAsia="宋体" w:cs="宋体"/>
                <w:b w:val="0"/>
                <w:bCs w:val="0"/>
                <w:kern w:val="2"/>
                <w:sz w:val="24"/>
                <w:szCs w:val="24"/>
                <w:lang w:val="en-US" w:eastAsia="zh-CN" w:bidi="ar-SA"/>
              </w:rPr>
              <w:t>方案</w:t>
            </w:r>
            <w:r>
              <w:rPr>
                <w:rFonts w:hint="eastAsia" w:ascii="宋体" w:hAnsi="宋体" w:eastAsia="宋体" w:cs="宋体"/>
                <w:sz w:val="24"/>
                <w:szCs w:val="24"/>
                <w:lang w:val="en-US" w:eastAsia="zh-CN"/>
              </w:rPr>
              <w:t>完整、针对性强</w:t>
            </w:r>
            <w:r>
              <w:rPr>
                <w:rFonts w:ascii="宋体" w:hAnsi="宋体" w:eastAsia="宋体" w:cs="宋体"/>
                <w:b w:val="0"/>
                <w:bCs w:val="0"/>
                <w:kern w:val="2"/>
                <w:sz w:val="24"/>
                <w:szCs w:val="24"/>
                <w:lang w:val="en-US" w:eastAsia="zh-CN" w:bidi="ar-SA"/>
              </w:rPr>
              <w:t>，内容详尽，完全满足采购需求的得</w:t>
            </w:r>
            <w:r>
              <w:rPr>
                <w:rFonts w:hint="eastAsia" w:ascii="宋体" w:hAnsi="宋体" w:eastAsia="宋体" w:cs="宋体"/>
                <w:b w:val="0"/>
                <w:bCs w:val="0"/>
                <w:kern w:val="2"/>
                <w:sz w:val="24"/>
                <w:szCs w:val="24"/>
                <w:lang w:val="en-US" w:eastAsia="zh-CN" w:bidi="ar-SA"/>
              </w:rPr>
              <w:t>10</w:t>
            </w:r>
            <w:r>
              <w:rPr>
                <w:rFonts w:ascii="宋体" w:hAnsi="宋体" w:eastAsia="宋体" w:cs="宋体"/>
                <w:b w:val="0"/>
                <w:bCs w:val="0"/>
                <w:kern w:val="2"/>
                <w:sz w:val="24"/>
                <w:szCs w:val="24"/>
                <w:lang w:val="en-US" w:eastAsia="zh-CN" w:bidi="ar-SA"/>
              </w:rPr>
              <w:t>分；</w:t>
            </w:r>
          </w:p>
          <w:p w14:paraId="74FD465B">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提供的方案较科学，内容较详细，较能满足采购需求的得</w:t>
            </w:r>
            <w:r>
              <w:rPr>
                <w:rFonts w:hint="eastAsia" w:ascii="宋体" w:hAnsi="宋体" w:eastAsia="宋体" w:cs="宋体"/>
                <w:b w:val="0"/>
                <w:bCs w:val="0"/>
                <w:kern w:val="2"/>
                <w:sz w:val="24"/>
                <w:szCs w:val="24"/>
                <w:lang w:val="en-US" w:eastAsia="zh-CN" w:bidi="ar-SA"/>
              </w:rPr>
              <w:t>7</w:t>
            </w:r>
            <w:r>
              <w:rPr>
                <w:rFonts w:ascii="宋体" w:hAnsi="宋体" w:eastAsia="宋体" w:cs="宋体"/>
                <w:b w:val="0"/>
                <w:bCs w:val="0"/>
                <w:kern w:val="2"/>
                <w:sz w:val="24"/>
                <w:szCs w:val="24"/>
                <w:lang w:val="en-US" w:eastAsia="zh-CN" w:bidi="ar-SA"/>
              </w:rPr>
              <w:t>分；</w:t>
            </w:r>
          </w:p>
          <w:p w14:paraId="038D1926">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提供的方案</w:t>
            </w:r>
            <w:r>
              <w:rPr>
                <w:rFonts w:ascii="宋体" w:hAnsi="宋体" w:eastAsia="宋体" w:cs="宋体"/>
                <w:sz w:val="24"/>
                <w:szCs w:val="24"/>
              </w:rPr>
              <w:t>质保响应、故障处置流程</w:t>
            </w:r>
            <w:r>
              <w:rPr>
                <w:rFonts w:hint="eastAsia" w:ascii="宋体" w:hAnsi="宋体" w:eastAsia="宋体" w:cs="宋体"/>
                <w:sz w:val="24"/>
                <w:szCs w:val="24"/>
                <w:lang w:val="en-US" w:eastAsia="zh-CN"/>
              </w:rPr>
              <w:t>等</w:t>
            </w:r>
            <w:r>
              <w:rPr>
                <w:rFonts w:ascii="宋体" w:hAnsi="宋体" w:eastAsia="宋体" w:cs="宋体"/>
                <w:sz w:val="24"/>
                <w:szCs w:val="24"/>
              </w:rPr>
              <w:t>描述不全</w:t>
            </w:r>
            <w:r>
              <w:rPr>
                <w:rFonts w:hint="eastAsia" w:ascii="宋体" w:hAnsi="宋体" w:eastAsia="宋体" w:cs="宋体"/>
                <w:b w:val="0"/>
                <w:bCs w:val="0"/>
                <w:kern w:val="2"/>
                <w:sz w:val="24"/>
                <w:szCs w:val="24"/>
                <w:lang w:val="en-US" w:eastAsia="zh-CN" w:bidi="ar-SA"/>
              </w:rPr>
              <w:t>的得4分；</w:t>
            </w:r>
          </w:p>
          <w:p w14:paraId="26B04693">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提供的响应方案有缺项漏项等得</w:t>
            </w:r>
            <w:r>
              <w:rPr>
                <w:rFonts w:hint="eastAsia" w:ascii="宋体" w:hAnsi="宋体" w:eastAsia="宋体" w:cs="宋体"/>
                <w:b w:val="0"/>
                <w:bCs w:val="0"/>
                <w:kern w:val="2"/>
                <w:sz w:val="24"/>
                <w:szCs w:val="24"/>
                <w:lang w:val="en-US" w:eastAsia="zh-CN" w:bidi="ar-SA"/>
              </w:rPr>
              <w:t>1</w:t>
            </w:r>
            <w:r>
              <w:rPr>
                <w:rFonts w:ascii="宋体" w:hAnsi="宋体" w:eastAsia="宋体" w:cs="宋体"/>
                <w:b w:val="0"/>
                <w:bCs w:val="0"/>
                <w:kern w:val="2"/>
                <w:sz w:val="24"/>
                <w:szCs w:val="24"/>
                <w:lang w:val="en-US" w:eastAsia="zh-CN" w:bidi="ar-SA"/>
              </w:rPr>
              <w:t>分；</w:t>
            </w:r>
          </w:p>
          <w:p w14:paraId="1DD1325D">
            <w:pPr>
              <w:keepNext w:val="0"/>
              <w:keepLines w:val="0"/>
              <w:pageBreakBefore w:val="0"/>
              <w:widowControl/>
              <w:kinsoku/>
              <w:wordWrap/>
              <w:overflowPunct/>
              <w:topLinePunct w:val="0"/>
              <w:autoSpaceDE/>
              <w:autoSpaceDN/>
              <w:bidi w:val="0"/>
              <w:adjustRightInd/>
              <w:snapToGrid w:val="0"/>
              <w:spacing w:line="320" w:lineRule="exact"/>
              <w:jc w:val="left"/>
              <w:rPr>
                <w:rFonts w:hint="eastAsia" w:cs="宋体"/>
                <w:color w:val="auto"/>
                <w:kern w:val="2"/>
                <w:sz w:val="24"/>
                <w:szCs w:val="24"/>
                <w:highlight w:val="none"/>
                <w:lang w:val="en-US" w:eastAsia="zh-CN" w:bidi="ar-SA"/>
              </w:rPr>
            </w:pPr>
            <w:r>
              <w:rPr>
                <w:rFonts w:ascii="宋体" w:hAnsi="宋体" w:eastAsia="宋体" w:cs="宋体"/>
                <w:b w:val="0"/>
                <w:bCs w:val="0"/>
                <w:kern w:val="2"/>
                <w:sz w:val="24"/>
                <w:szCs w:val="24"/>
                <w:lang w:val="en-US" w:eastAsia="zh-CN" w:bidi="ar-SA"/>
              </w:rPr>
              <w:t>未提供者不得分。</w:t>
            </w:r>
          </w:p>
        </w:tc>
      </w:tr>
      <w:tr w14:paraId="601B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63DCD37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28E7FD0E">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096819F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4F6BE0A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25977"/>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8528"/>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6"/>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11620"/>
      <w:bookmarkStart w:id="61" w:name="_Toc20877"/>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638D930B">
      <w:pPr>
        <w:widowControl/>
        <w:wordWrap w:val="0"/>
        <w:snapToGrid w:val="0"/>
        <w:spacing w:before="50" w:after="50"/>
        <w:ind w:right="-817" w:rightChars="-389"/>
        <w:jc w:val="both"/>
        <w:rPr>
          <w:rFonts w:hint="eastAsia" w:ascii="宋体" w:hAnsi="宋体" w:eastAsia="宋体" w:cs="宋体"/>
          <w:color w:val="auto"/>
          <w:kern w:val="0"/>
          <w:sz w:val="24"/>
          <w:highlight w:val="none"/>
        </w:rPr>
      </w:pPr>
      <w:bookmarkStart w:id="64" w:name="_Toc226"/>
      <w:bookmarkStart w:id="65" w:name="_Toc15804"/>
    </w:p>
    <w:p w14:paraId="31679111">
      <w:pPr>
        <w:widowControl/>
        <w:wordWrap w:val="0"/>
        <w:snapToGrid w:val="0"/>
        <w:spacing w:before="50" w:after="50"/>
        <w:ind w:right="-817" w:rightChars="-389"/>
        <w:jc w:val="both"/>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金额单位：人民币（元）</w:t>
      </w:r>
    </w:p>
    <w:tbl>
      <w:tblPr>
        <w:tblStyle w:val="33"/>
        <w:tblW w:w="9387" w:type="dxa"/>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3222"/>
        <w:gridCol w:w="1425"/>
        <w:gridCol w:w="1200"/>
        <w:gridCol w:w="1545"/>
        <w:gridCol w:w="1095"/>
      </w:tblGrid>
      <w:tr w14:paraId="40408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900" w:type="dxa"/>
            <w:tcBorders>
              <w:top w:val="single" w:color="auto" w:sz="4" w:space="0"/>
              <w:left w:val="single" w:color="auto" w:sz="4" w:space="0"/>
              <w:bottom w:val="nil"/>
              <w:right w:val="single" w:color="auto" w:sz="4" w:space="0"/>
            </w:tcBorders>
            <w:vAlign w:val="center"/>
          </w:tcPr>
          <w:p w14:paraId="7BAC3558">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r>
              <w:rPr>
                <w:rFonts w:hint="eastAsia" w:ascii="宋体" w:hAnsi="宋体" w:eastAsia="宋体" w:cs="宋体"/>
                <w:color w:val="auto"/>
                <w:kern w:val="0"/>
                <w:sz w:val="24"/>
                <w:highlight w:val="none"/>
              </w:rPr>
              <w:t>序号</w:t>
            </w:r>
          </w:p>
        </w:tc>
        <w:tc>
          <w:tcPr>
            <w:tcW w:w="3222" w:type="dxa"/>
            <w:tcBorders>
              <w:top w:val="single" w:color="auto" w:sz="4" w:space="0"/>
              <w:left w:val="single" w:color="auto" w:sz="4" w:space="0"/>
              <w:bottom w:val="nil"/>
              <w:right w:val="single" w:color="auto" w:sz="4" w:space="0"/>
            </w:tcBorders>
            <w:vAlign w:val="center"/>
          </w:tcPr>
          <w:p w14:paraId="3E60304F">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名称</w:t>
            </w:r>
          </w:p>
        </w:tc>
        <w:tc>
          <w:tcPr>
            <w:tcW w:w="1425" w:type="dxa"/>
            <w:tcBorders>
              <w:top w:val="single" w:color="auto" w:sz="4" w:space="0"/>
              <w:left w:val="single" w:color="auto" w:sz="4" w:space="0"/>
              <w:bottom w:val="nil"/>
              <w:right w:val="single" w:color="auto" w:sz="4" w:space="0"/>
            </w:tcBorders>
            <w:vAlign w:val="center"/>
          </w:tcPr>
          <w:p w14:paraId="4332CEC2">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数量</w:t>
            </w:r>
          </w:p>
        </w:tc>
        <w:tc>
          <w:tcPr>
            <w:tcW w:w="1200" w:type="dxa"/>
            <w:tcBorders>
              <w:top w:val="single" w:color="auto" w:sz="4" w:space="0"/>
              <w:left w:val="single" w:color="auto" w:sz="4" w:space="0"/>
              <w:bottom w:val="nil"/>
              <w:right w:val="single" w:color="auto" w:sz="4" w:space="0"/>
            </w:tcBorders>
            <w:vAlign w:val="center"/>
          </w:tcPr>
          <w:p w14:paraId="2E4609EA">
            <w:pPr>
              <w:widowControl/>
              <w:tabs>
                <w:tab w:val="left" w:pos="1418"/>
              </w:tabs>
              <w:snapToGrid w:val="0"/>
              <w:spacing w:before="50" w:after="50" w:line="360" w:lineRule="exact"/>
              <w:jc w:val="center"/>
              <w:rPr>
                <w:rFonts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单价</w:t>
            </w:r>
          </w:p>
        </w:tc>
        <w:tc>
          <w:tcPr>
            <w:tcW w:w="1545" w:type="dxa"/>
            <w:tcBorders>
              <w:top w:val="single" w:color="auto" w:sz="4" w:space="0"/>
              <w:left w:val="single" w:color="auto" w:sz="4" w:space="0"/>
              <w:bottom w:val="nil"/>
              <w:right w:val="single" w:color="auto" w:sz="4" w:space="0"/>
            </w:tcBorders>
            <w:vAlign w:val="center"/>
          </w:tcPr>
          <w:p w14:paraId="088F864C">
            <w:pPr>
              <w:widowControl/>
              <w:tabs>
                <w:tab w:val="left" w:pos="1418"/>
              </w:tabs>
              <w:snapToGrid w:val="0"/>
              <w:spacing w:before="50" w:after="50" w:line="360" w:lineRule="exact"/>
              <w:jc w:val="center"/>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highlight w:val="none"/>
                <w:lang w:val="en-US" w:eastAsia="zh-CN"/>
              </w:rPr>
              <w:t>金额</w:t>
            </w:r>
          </w:p>
        </w:tc>
        <w:tc>
          <w:tcPr>
            <w:tcW w:w="1095" w:type="dxa"/>
            <w:tcBorders>
              <w:top w:val="single" w:color="auto" w:sz="4" w:space="0"/>
              <w:left w:val="single" w:color="auto" w:sz="4" w:space="0"/>
              <w:bottom w:val="nil"/>
              <w:right w:val="single" w:color="auto" w:sz="4" w:space="0"/>
            </w:tcBorders>
            <w:vAlign w:val="center"/>
          </w:tcPr>
          <w:p w14:paraId="2A225AAF">
            <w:pPr>
              <w:widowControl/>
              <w:tabs>
                <w:tab w:val="left" w:pos="1418"/>
              </w:tabs>
              <w:snapToGrid w:val="0"/>
              <w:spacing w:before="50" w:after="50" w:line="360" w:lineRule="exact"/>
              <w:jc w:val="center"/>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备注</w:t>
            </w:r>
          </w:p>
        </w:tc>
      </w:tr>
      <w:tr w14:paraId="23BDF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E8B3B54">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6DD7DC19">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4C1C2B6">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634129">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9326FB9">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B266CD7">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r>
      <w:tr w14:paraId="171B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60BB88C5">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76A2AA44">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DD3ABE4">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2F0A1DB1">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1DC0F824">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A957F4E">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r>
      <w:tr w14:paraId="2DB30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18D68496">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26FB858D">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519402FC">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577AB51B">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EF1C6B3">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73EB492">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r>
      <w:tr w14:paraId="2A8FE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07FEE5CC">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47E8BC4C">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26EA71B7">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0C3C89AC">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117B45F">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C101187">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r>
      <w:tr w14:paraId="193F4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9DCE928">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3CA6FE3A">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FCC9B05">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901853">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34C3D07">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4C8C8EF">
            <w:pPr>
              <w:widowControl/>
              <w:tabs>
                <w:tab w:val="left" w:pos="1418"/>
              </w:tabs>
              <w:snapToGrid w:val="0"/>
              <w:spacing w:before="50" w:after="50" w:line="360" w:lineRule="exact"/>
              <w:jc w:val="center"/>
              <w:rPr>
                <w:rFonts w:ascii="宋体" w:hAnsi="宋体" w:eastAsia="宋体" w:cs="宋体"/>
                <w:color w:val="auto"/>
                <w:spacing w:val="20"/>
                <w:kern w:val="0"/>
                <w:sz w:val="24"/>
                <w:highlight w:val="none"/>
              </w:rPr>
            </w:pPr>
          </w:p>
        </w:tc>
      </w:tr>
      <w:tr w14:paraId="05D94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747" w:type="dxa"/>
            <w:gridSpan w:val="4"/>
            <w:tcBorders>
              <w:top w:val="single" w:color="auto" w:sz="4" w:space="0"/>
              <w:left w:val="single" w:color="auto" w:sz="4" w:space="0"/>
              <w:bottom w:val="single" w:color="auto" w:sz="4" w:space="0"/>
              <w:right w:val="single" w:color="auto" w:sz="4" w:space="0"/>
            </w:tcBorders>
            <w:vAlign w:val="top"/>
          </w:tcPr>
          <w:p w14:paraId="26AC852F">
            <w:pPr>
              <w:widowControl/>
              <w:tabs>
                <w:tab w:val="left" w:pos="1418"/>
              </w:tabs>
              <w:snapToGrid w:val="0"/>
              <w:spacing w:before="50" w:after="50" w:line="360" w:lineRule="exact"/>
              <w:jc w:val="left"/>
              <w:rPr>
                <w:rFonts w:hint="default"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磋商</w:t>
            </w:r>
            <w:r>
              <w:rPr>
                <w:rFonts w:hint="eastAsia" w:ascii="宋体" w:hAnsi="宋体" w:eastAsia="宋体" w:cs="宋体"/>
                <w:color w:val="auto"/>
                <w:spacing w:val="20"/>
                <w:kern w:val="0"/>
                <w:sz w:val="24"/>
                <w:highlight w:val="none"/>
              </w:rPr>
              <w:t>报价(</w:t>
            </w:r>
            <w:r>
              <w:rPr>
                <w:rFonts w:hint="eastAsia" w:ascii="宋体" w:hAnsi="宋体" w:eastAsia="宋体" w:cs="宋体"/>
                <w:color w:val="auto"/>
                <w:kern w:val="0"/>
                <w:sz w:val="24"/>
                <w:szCs w:val="21"/>
                <w:highlight w:val="none"/>
              </w:rPr>
              <w:t>大写)：</w:t>
            </w:r>
          </w:p>
        </w:tc>
        <w:tc>
          <w:tcPr>
            <w:tcW w:w="1545" w:type="dxa"/>
            <w:tcBorders>
              <w:top w:val="single" w:color="auto" w:sz="4" w:space="0"/>
              <w:left w:val="single" w:color="auto" w:sz="4" w:space="0"/>
              <w:bottom w:val="single" w:color="auto" w:sz="4" w:space="0"/>
              <w:right w:val="single" w:color="auto" w:sz="4" w:space="0"/>
            </w:tcBorders>
            <w:vAlign w:val="top"/>
          </w:tcPr>
          <w:p w14:paraId="135016DF">
            <w:pPr>
              <w:widowControl/>
              <w:tabs>
                <w:tab w:val="left" w:pos="1418"/>
              </w:tabs>
              <w:snapToGrid w:val="0"/>
              <w:spacing w:before="50" w:after="50" w:line="360" w:lineRule="exact"/>
              <w:jc w:val="left"/>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kern w:val="0"/>
                <w:sz w:val="24"/>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top"/>
          </w:tcPr>
          <w:p w14:paraId="4E4F9D16">
            <w:pPr>
              <w:widowControl/>
              <w:tabs>
                <w:tab w:val="left" w:pos="1418"/>
              </w:tabs>
              <w:snapToGrid w:val="0"/>
              <w:spacing w:before="50" w:after="50" w:line="360" w:lineRule="exact"/>
              <w:jc w:val="left"/>
              <w:rPr>
                <w:rFonts w:hint="eastAsia" w:ascii="宋体" w:hAnsi="宋体" w:eastAsia="宋体" w:cs="宋体"/>
                <w:color w:val="auto"/>
                <w:kern w:val="0"/>
                <w:sz w:val="24"/>
                <w:szCs w:val="21"/>
                <w:highlight w:val="none"/>
              </w:rPr>
            </w:pPr>
          </w:p>
        </w:tc>
      </w:tr>
    </w:tbl>
    <w:p w14:paraId="310B7D93">
      <w:pPr>
        <w:widowControl/>
        <w:wordWrap w:val="0"/>
        <w:spacing w:line="460" w:lineRule="exact"/>
        <w:ind w:firstLine="2760" w:firstLineChars="1150"/>
        <w:jc w:val="left"/>
        <w:rPr>
          <w:rFonts w:ascii="宋体" w:hAnsi="宋体" w:eastAsia="宋体" w:cs="宋体"/>
          <w:color w:val="auto"/>
          <w:kern w:val="0"/>
          <w:sz w:val="24"/>
          <w:highlight w:val="none"/>
        </w:rPr>
      </w:pPr>
    </w:p>
    <w:p w14:paraId="0C700E74">
      <w:pPr>
        <w:widowControl w:val="0"/>
        <w:spacing w:line="360" w:lineRule="auto"/>
        <w:ind w:firstLine="3990" w:firstLineChars="1900"/>
        <w:jc w:val="both"/>
        <w:rPr>
          <w:rFonts w:hint="eastAsia" w:ascii="宋体" w:hAnsi="宋体" w:eastAsia="宋体" w:cs="宋体"/>
          <w:color w:val="auto"/>
          <w:kern w:val="2"/>
          <w:sz w:val="21"/>
          <w:szCs w:val="21"/>
          <w:highlight w:val="none"/>
          <w:lang w:val="en-US" w:eastAsia="zh-CN" w:bidi="ar-SA"/>
        </w:rPr>
      </w:pPr>
    </w:p>
    <w:p w14:paraId="7B4A5544">
      <w:pPr>
        <w:widowControl w:val="0"/>
        <w:spacing w:line="360" w:lineRule="auto"/>
        <w:ind w:firstLine="3990" w:firstLineChars="19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供应商（全称并加盖公章）：</w:t>
      </w:r>
    </w:p>
    <w:p w14:paraId="6B8300FC">
      <w:pPr>
        <w:widowControl/>
        <w:shd w:val="clear" w:color="auto" w:fill="FFFFFF"/>
        <w:spacing w:line="360" w:lineRule="auto"/>
        <w:ind w:left="1480" w:leftChars="705" w:firstLine="1524" w:firstLineChars="726"/>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法定代表人或委托代理人（签字</w:t>
      </w:r>
      <w:r>
        <w:rPr>
          <w:rFonts w:hint="eastAsia" w:ascii="宋体" w:hAnsi="宋体" w:eastAsia="宋体" w:cs="宋体"/>
          <w:color w:val="auto"/>
          <w:kern w:val="0"/>
          <w:sz w:val="21"/>
          <w:szCs w:val="21"/>
          <w:highlight w:val="none"/>
          <w:lang w:val="en-US" w:eastAsia="zh-CN"/>
        </w:rPr>
        <w:t>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p>
    <w:p w14:paraId="42EC243C">
      <w:pPr>
        <w:widowControl/>
        <w:wordWrap w:val="0"/>
        <w:spacing w:line="460" w:lineRule="exact"/>
        <w:ind w:firstLine="4410" w:firstLineChars="2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年    月    日</w:t>
      </w:r>
    </w:p>
    <w:p w14:paraId="7BB69D1D">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76C9301">
      <w:pPr>
        <w:rPr>
          <w:rFonts w:hint="eastAsia" w:ascii="宋体" w:hAnsi="宋体" w:eastAsia="宋体" w:cs="宋体"/>
          <w:color w:val="auto"/>
          <w:kern w:val="0"/>
          <w:sz w:val="24"/>
          <w:highlight w:val="none"/>
        </w:rPr>
        <w:sectPr>
          <w:footerReference r:id="rId6" w:type="default"/>
          <w:pgSz w:w="11906" w:h="16838"/>
          <w:pgMar w:top="1417" w:right="1474" w:bottom="1417" w:left="1474" w:header="851" w:footer="624" w:gutter="0"/>
          <w:pgNumType w:fmt="decimal"/>
          <w:cols w:space="720" w:num="1"/>
          <w:docGrid w:type="lines" w:linePitch="319" w:charSpace="0"/>
        </w:sectPr>
      </w:pPr>
    </w:p>
    <w:p w14:paraId="23DE2712">
      <w:pPr>
        <w:rPr>
          <w:rFonts w:hint="eastAsia" w:ascii="宋体" w:hAnsi="宋体" w:cs="宋体"/>
          <w:color w:val="auto"/>
          <w:sz w:val="24"/>
          <w:szCs w:val="24"/>
          <w:highlight w:val="none"/>
          <w:lang w:val="en-US" w:eastAsia="zh-CN"/>
        </w:rPr>
      </w:pPr>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9960"/>
      <w:bookmarkStart w:id="67" w:name="_Toc24168"/>
      <w:bookmarkStart w:id="68" w:name="_Toc2042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15"/>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15"/>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质量要求</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15"/>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15"/>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付款方式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301" w:type="dxa"/>
            <w:noWrap w:val="0"/>
            <w:vAlign w:val="center"/>
          </w:tcPr>
          <w:p w14:paraId="5C43BD33">
            <w:pPr>
              <w:pStyle w:val="15"/>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其他要求</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11848D07">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1"/>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13976"/>
      <w:bookmarkStart w:id="74" w:name="_Toc3051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24693"/>
      <w:bookmarkStart w:id="76" w:name="_Toc3342"/>
      <w:bookmarkStart w:id="77" w:name="_Toc18105"/>
      <w:r>
        <w:rPr>
          <w:rFonts w:hint="eastAsia" w:ascii="宋体" w:hAnsi="宋体" w:eastAsia="宋体" w:cs="宋体"/>
          <w:color w:val="auto"/>
          <w:sz w:val="28"/>
          <w:szCs w:val="28"/>
          <w:highlight w:val="none"/>
          <w:lang w:val="en-US" w:eastAsia="zh-CN"/>
        </w:rPr>
        <w:t>附件9          证明文件</w:t>
      </w:r>
      <w:bookmarkEnd w:id="75"/>
      <w:bookmarkEnd w:id="76"/>
      <w:bookmarkEnd w:id="77"/>
    </w:p>
    <w:p w14:paraId="74E9D5B4">
      <w:pPr>
        <w:pStyle w:val="11"/>
        <w:spacing w:beforeAutospacing="0" w:afterAutospacing="0" w:line="480" w:lineRule="auto"/>
        <w:ind w:firstLine="540" w:firstLineChars="224"/>
        <w:jc w:val="both"/>
        <w:rPr>
          <w:rFonts w:hint="default" w:cs="宋体"/>
          <w:b/>
          <w:bCs w:val="0"/>
          <w:color w:val="auto"/>
          <w:sz w:val="24"/>
          <w:szCs w:val="24"/>
          <w:highlight w:val="none"/>
          <w:lang w:val="en-US" w:eastAsia="zh-CN"/>
        </w:rPr>
      </w:pPr>
      <w:r>
        <w:rPr>
          <w:rFonts w:hint="eastAsia" w:cs="宋体"/>
          <w:b/>
          <w:bCs w:val="0"/>
          <w:color w:val="auto"/>
          <w:sz w:val="24"/>
          <w:szCs w:val="24"/>
          <w:highlight w:val="none"/>
          <w:lang w:val="en-US" w:eastAsia="zh-CN"/>
        </w:rPr>
        <w:t>9.1 供应商资格审查证明材料</w:t>
      </w:r>
    </w:p>
    <w:p w14:paraId="16CBA079">
      <w:pPr>
        <w:pStyle w:val="11"/>
        <w:spacing w:beforeAutospacing="0" w:afterAutospacing="0" w:line="480" w:lineRule="auto"/>
        <w:jc w:val="both"/>
        <w:rPr>
          <w:rFonts w:hint="eastAsia" w:cs="宋体"/>
          <w:b/>
          <w:bCs w:val="0"/>
          <w:color w:val="auto"/>
          <w:sz w:val="24"/>
          <w:szCs w:val="24"/>
          <w:highlight w:val="none"/>
          <w:lang w:val="en-US" w:eastAsia="zh-CN"/>
        </w:rPr>
      </w:pPr>
    </w:p>
    <w:p w14:paraId="428EF1CE">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2774AB44">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9.2评分标准中需提供的证明材料</w:t>
      </w:r>
    </w:p>
    <w:p w14:paraId="6921EB86">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bookmarkStart w:id="78" w:name="_Toc17966"/>
    </w:p>
    <w:bookmarkEnd w:id="78"/>
    <w:p w14:paraId="5F97554B">
      <w:pPr>
        <w:pStyle w:val="11"/>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cs="Arial" w:asciiTheme="minorEastAsia" w:hAnsiTheme="minorEastAsia"/>
          <w:b/>
          <w:sz w:val="24"/>
          <w:szCs w:val="24"/>
          <w:highlight w:val="none"/>
        </w:rPr>
        <w:t>业绩</w:t>
      </w:r>
    </w:p>
    <w:tbl>
      <w:tblPr>
        <w:tblStyle w:val="33"/>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7BECA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78225D4">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392" w:type="dxa"/>
            <w:vAlign w:val="center"/>
          </w:tcPr>
          <w:p w14:paraId="376FB868">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485" w:type="dxa"/>
            <w:vAlign w:val="center"/>
          </w:tcPr>
          <w:p w14:paraId="519C55DC">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设备</w:t>
            </w:r>
            <w:r>
              <w:rPr>
                <w:rFonts w:hint="eastAsia" w:cs="Arial" w:asciiTheme="minorEastAsia" w:hAnsiTheme="minorEastAsia"/>
                <w:sz w:val="24"/>
                <w:highlight w:val="none"/>
              </w:rPr>
              <w:t>名称</w:t>
            </w:r>
          </w:p>
        </w:tc>
        <w:tc>
          <w:tcPr>
            <w:tcW w:w="1470" w:type="dxa"/>
            <w:vAlign w:val="center"/>
          </w:tcPr>
          <w:p w14:paraId="202E0754">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品牌</w:t>
            </w:r>
          </w:p>
        </w:tc>
        <w:tc>
          <w:tcPr>
            <w:tcW w:w="1365" w:type="dxa"/>
            <w:vAlign w:val="center"/>
          </w:tcPr>
          <w:p w14:paraId="773DBC49">
            <w:pPr>
              <w:spacing w:before="120"/>
              <w:jc w:val="center"/>
              <w:rPr>
                <w:rFonts w:hint="default"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型号</w:t>
            </w:r>
          </w:p>
        </w:tc>
        <w:tc>
          <w:tcPr>
            <w:tcW w:w="1365" w:type="dxa"/>
            <w:vAlign w:val="center"/>
          </w:tcPr>
          <w:p w14:paraId="454A8B8B">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395" w:type="dxa"/>
            <w:vAlign w:val="center"/>
          </w:tcPr>
          <w:p w14:paraId="558486AB">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业绩</w:t>
            </w:r>
            <w:r>
              <w:rPr>
                <w:rFonts w:hint="eastAsia" w:cs="Arial" w:asciiTheme="minorEastAsia" w:hAnsiTheme="minorEastAsia"/>
                <w:sz w:val="24"/>
                <w:highlight w:val="none"/>
              </w:rPr>
              <w:t>年份</w:t>
            </w:r>
          </w:p>
        </w:tc>
      </w:tr>
      <w:tr w14:paraId="11E1B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E396FFF">
            <w:pPr>
              <w:spacing w:before="120"/>
              <w:jc w:val="center"/>
              <w:rPr>
                <w:rFonts w:cs="Arial" w:asciiTheme="minorEastAsia" w:hAnsiTheme="minorEastAsia"/>
                <w:highlight w:val="none"/>
              </w:rPr>
            </w:pPr>
          </w:p>
        </w:tc>
        <w:tc>
          <w:tcPr>
            <w:tcW w:w="1392" w:type="dxa"/>
            <w:vAlign w:val="center"/>
          </w:tcPr>
          <w:p w14:paraId="5F0A3BF3">
            <w:pPr>
              <w:spacing w:before="120"/>
              <w:jc w:val="center"/>
              <w:rPr>
                <w:rFonts w:cs="Arial" w:asciiTheme="minorEastAsia" w:hAnsiTheme="minorEastAsia"/>
                <w:highlight w:val="none"/>
              </w:rPr>
            </w:pPr>
          </w:p>
        </w:tc>
        <w:tc>
          <w:tcPr>
            <w:tcW w:w="1485" w:type="dxa"/>
            <w:vAlign w:val="center"/>
          </w:tcPr>
          <w:p w14:paraId="44341682">
            <w:pPr>
              <w:spacing w:before="120"/>
              <w:jc w:val="center"/>
              <w:rPr>
                <w:rFonts w:cs="Arial" w:asciiTheme="minorEastAsia" w:hAnsiTheme="minorEastAsia"/>
                <w:highlight w:val="none"/>
              </w:rPr>
            </w:pPr>
          </w:p>
        </w:tc>
        <w:tc>
          <w:tcPr>
            <w:tcW w:w="1470" w:type="dxa"/>
            <w:vAlign w:val="center"/>
          </w:tcPr>
          <w:p w14:paraId="34308A42">
            <w:pPr>
              <w:spacing w:before="120"/>
              <w:jc w:val="center"/>
              <w:rPr>
                <w:rFonts w:cs="Arial" w:asciiTheme="minorEastAsia" w:hAnsiTheme="minorEastAsia"/>
                <w:highlight w:val="none"/>
              </w:rPr>
            </w:pPr>
          </w:p>
        </w:tc>
        <w:tc>
          <w:tcPr>
            <w:tcW w:w="1365" w:type="dxa"/>
            <w:vAlign w:val="center"/>
          </w:tcPr>
          <w:p w14:paraId="05040DCC">
            <w:pPr>
              <w:spacing w:before="120"/>
              <w:jc w:val="center"/>
              <w:rPr>
                <w:rFonts w:cs="Arial" w:asciiTheme="minorEastAsia" w:hAnsiTheme="minorEastAsia"/>
                <w:highlight w:val="none"/>
              </w:rPr>
            </w:pPr>
          </w:p>
        </w:tc>
        <w:tc>
          <w:tcPr>
            <w:tcW w:w="1365" w:type="dxa"/>
            <w:vAlign w:val="center"/>
          </w:tcPr>
          <w:p w14:paraId="33B805FB">
            <w:pPr>
              <w:spacing w:before="120"/>
              <w:jc w:val="center"/>
              <w:rPr>
                <w:rFonts w:cs="Arial" w:asciiTheme="minorEastAsia" w:hAnsiTheme="minorEastAsia"/>
                <w:highlight w:val="none"/>
              </w:rPr>
            </w:pPr>
          </w:p>
        </w:tc>
        <w:tc>
          <w:tcPr>
            <w:tcW w:w="1395" w:type="dxa"/>
            <w:vAlign w:val="center"/>
          </w:tcPr>
          <w:p w14:paraId="1EB991EA">
            <w:pPr>
              <w:spacing w:before="120"/>
              <w:jc w:val="center"/>
              <w:rPr>
                <w:rFonts w:cs="Arial" w:asciiTheme="minorEastAsia" w:hAnsiTheme="minorEastAsia"/>
                <w:highlight w:val="none"/>
              </w:rPr>
            </w:pPr>
          </w:p>
        </w:tc>
      </w:tr>
      <w:tr w14:paraId="56438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092FBDE">
            <w:pPr>
              <w:spacing w:before="120"/>
              <w:jc w:val="center"/>
              <w:rPr>
                <w:rFonts w:cs="Arial" w:asciiTheme="minorEastAsia" w:hAnsiTheme="minorEastAsia"/>
                <w:highlight w:val="none"/>
              </w:rPr>
            </w:pPr>
          </w:p>
        </w:tc>
        <w:tc>
          <w:tcPr>
            <w:tcW w:w="1392" w:type="dxa"/>
            <w:vAlign w:val="center"/>
          </w:tcPr>
          <w:p w14:paraId="68F605FA">
            <w:pPr>
              <w:spacing w:before="120"/>
              <w:jc w:val="center"/>
              <w:rPr>
                <w:rFonts w:cs="Arial" w:asciiTheme="minorEastAsia" w:hAnsiTheme="minorEastAsia"/>
                <w:highlight w:val="none"/>
              </w:rPr>
            </w:pPr>
          </w:p>
        </w:tc>
        <w:tc>
          <w:tcPr>
            <w:tcW w:w="1485" w:type="dxa"/>
            <w:vAlign w:val="center"/>
          </w:tcPr>
          <w:p w14:paraId="1BF7A170">
            <w:pPr>
              <w:spacing w:before="120"/>
              <w:jc w:val="center"/>
              <w:rPr>
                <w:rFonts w:cs="Arial" w:asciiTheme="minorEastAsia" w:hAnsiTheme="minorEastAsia"/>
                <w:highlight w:val="none"/>
              </w:rPr>
            </w:pPr>
          </w:p>
        </w:tc>
        <w:tc>
          <w:tcPr>
            <w:tcW w:w="1470" w:type="dxa"/>
            <w:vAlign w:val="center"/>
          </w:tcPr>
          <w:p w14:paraId="50DFB60C">
            <w:pPr>
              <w:spacing w:before="120"/>
              <w:jc w:val="center"/>
              <w:rPr>
                <w:rFonts w:cs="Arial" w:asciiTheme="minorEastAsia" w:hAnsiTheme="minorEastAsia"/>
                <w:highlight w:val="none"/>
              </w:rPr>
            </w:pPr>
          </w:p>
        </w:tc>
        <w:tc>
          <w:tcPr>
            <w:tcW w:w="1365" w:type="dxa"/>
            <w:vAlign w:val="center"/>
          </w:tcPr>
          <w:p w14:paraId="7C40DF2D">
            <w:pPr>
              <w:spacing w:before="120"/>
              <w:jc w:val="center"/>
              <w:rPr>
                <w:rFonts w:cs="Arial" w:asciiTheme="minorEastAsia" w:hAnsiTheme="minorEastAsia"/>
                <w:highlight w:val="none"/>
              </w:rPr>
            </w:pPr>
          </w:p>
        </w:tc>
        <w:tc>
          <w:tcPr>
            <w:tcW w:w="1365" w:type="dxa"/>
            <w:vAlign w:val="center"/>
          </w:tcPr>
          <w:p w14:paraId="35C09FC3">
            <w:pPr>
              <w:spacing w:before="120"/>
              <w:jc w:val="center"/>
              <w:rPr>
                <w:rFonts w:cs="Arial" w:asciiTheme="minorEastAsia" w:hAnsiTheme="minorEastAsia"/>
                <w:highlight w:val="none"/>
              </w:rPr>
            </w:pPr>
          </w:p>
        </w:tc>
        <w:tc>
          <w:tcPr>
            <w:tcW w:w="1395" w:type="dxa"/>
            <w:vAlign w:val="center"/>
          </w:tcPr>
          <w:p w14:paraId="07AC0250">
            <w:pPr>
              <w:spacing w:before="120"/>
              <w:jc w:val="center"/>
              <w:rPr>
                <w:rFonts w:cs="Arial" w:asciiTheme="minorEastAsia" w:hAnsiTheme="minorEastAsia"/>
                <w:highlight w:val="none"/>
              </w:rPr>
            </w:pPr>
          </w:p>
        </w:tc>
      </w:tr>
      <w:tr w14:paraId="51F7A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0DE8BE4">
            <w:pPr>
              <w:spacing w:before="120"/>
              <w:jc w:val="center"/>
              <w:rPr>
                <w:rFonts w:cs="Arial" w:asciiTheme="minorEastAsia" w:hAnsiTheme="minorEastAsia"/>
                <w:highlight w:val="none"/>
              </w:rPr>
            </w:pPr>
          </w:p>
        </w:tc>
        <w:tc>
          <w:tcPr>
            <w:tcW w:w="1392" w:type="dxa"/>
            <w:vAlign w:val="center"/>
          </w:tcPr>
          <w:p w14:paraId="131D6272">
            <w:pPr>
              <w:spacing w:before="120"/>
              <w:jc w:val="center"/>
              <w:rPr>
                <w:rFonts w:cs="Arial" w:asciiTheme="minorEastAsia" w:hAnsiTheme="minorEastAsia"/>
                <w:highlight w:val="none"/>
              </w:rPr>
            </w:pPr>
          </w:p>
        </w:tc>
        <w:tc>
          <w:tcPr>
            <w:tcW w:w="1485" w:type="dxa"/>
            <w:vAlign w:val="center"/>
          </w:tcPr>
          <w:p w14:paraId="0BB35565">
            <w:pPr>
              <w:spacing w:before="120"/>
              <w:jc w:val="center"/>
              <w:rPr>
                <w:rFonts w:cs="Arial" w:asciiTheme="minorEastAsia" w:hAnsiTheme="minorEastAsia"/>
                <w:highlight w:val="none"/>
              </w:rPr>
            </w:pPr>
          </w:p>
        </w:tc>
        <w:tc>
          <w:tcPr>
            <w:tcW w:w="1470" w:type="dxa"/>
            <w:vAlign w:val="center"/>
          </w:tcPr>
          <w:p w14:paraId="343995BD">
            <w:pPr>
              <w:spacing w:before="120"/>
              <w:jc w:val="center"/>
              <w:rPr>
                <w:rFonts w:cs="Arial" w:asciiTheme="minorEastAsia" w:hAnsiTheme="minorEastAsia"/>
                <w:highlight w:val="none"/>
              </w:rPr>
            </w:pPr>
          </w:p>
        </w:tc>
        <w:tc>
          <w:tcPr>
            <w:tcW w:w="1365" w:type="dxa"/>
            <w:vAlign w:val="center"/>
          </w:tcPr>
          <w:p w14:paraId="533E3C22">
            <w:pPr>
              <w:spacing w:before="120"/>
              <w:jc w:val="center"/>
              <w:rPr>
                <w:rFonts w:cs="Arial" w:asciiTheme="minorEastAsia" w:hAnsiTheme="minorEastAsia"/>
                <w:highlight w:val="none"/>
              </w:rPr>
            </w:pPr>
          </w:p>
        </w:tc>
        <w:tc>
          <w:tcPr>
            <w:tcW w:w="1365" w:type="dxa"/>
            <w:vAlign w:val="center"/>
          </w:tcPr>
          <w:p w14:paraId="2F73E4C2">
            <w:pPr>
              <w:spacing w:before="120"/>
              <w:jc w:val="center"/>
              <w:rPr>
                <w:rFonts w:cs="Arial" w:asciiTheme="minorEastAsia" w:hAnsiTheme="minorEastAsia"/>
                <w:highlight w:val="none"/>
              </w:rPr>
            </w:pPr>
          </w:p>
        </w:tc>
        <w:tc>
          <w:tcPr>
            <w:tcW w:w="1395" w:type="dxa"/>
            <w:vAlign w:val="center"/>
          </w:tcPr>
          <w:p w14:paraId="2BA4347D">
            <w:pPr>
              <w:spacing w:before="120"/>
              <w:jc w:val="center"/>
              <w:rPr>
                <w:rFonts w:cs="Arial" w:asciiTheme="minorEastAsia" w:hAnsiTheme="minorEastAsia"/>
                <w:highlight w:val="none"/>
              </w:rPr>
            </w:pPr>
          </w:p>
        </w:tc>
      </w:tr>
      <w:tr w14:paraId="58180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5BAB90B">
            <w:pPr>
              <w:spacing w:before="120"/>
              <w:jc w:val="center"/>
              <w:rPr>
                <w:rFonts w:cs="Arial" w:asciiTheme="minorEastAsia" w:hAnsiTheme="minorEastAsia"/>
                <w:highlight w:val="none"/>
              </w:rPr>
            </w:pPr>
          </w:p>
        </w:tc>
        <w:tc>
          <w:tcPr>
            <w:tcW w:w="1392" w:type="dxa"/>
            <w:vAlign w:val="center"/>
          </w:tcPr>
          <w:p w14:paraId="0800B310">
            <w:pPr>
              <w:spacing w:before="120"/>
              <w:jc w:val="center"/>
              <w:rPr>
                <w:rFonts w:cs="Arial" w:asciiTheme="minorEastAsia" w:hAnsiTheme="minorEastAsia"/>
                <w:highlight w:val="none"/>
              </w:rPr>
            </w:pPr>
          </w:p>
        </w:tc>
        <w:tc>
          <w:tcPr>
            <w:tcW w:w="1485" w:type="dxa"/>
            <w:vAlign w:val="center"/>
          </w:tcPr>
          <w:p w14:paraId="1B2F1EF3">
            <w:pPr>
              <w:spacing w:before="120"/>
              <w:jc w:val="center"/>
              <w:rPr>
                <w:rFonts w:cs="Arial" w:asciiTheme="minorEastAsia" w:hAnsiTheme="minorEastAsia"/>
                <w:highlight w:val="none"/>
              </w:rPr>
            </w:pPr>
          </w:p>
        </w:tc>
        <w:tc>
          <w:tcPr>
            <w:tcW w:w="1470" w:type="dxa"/>
            <w:vAlign w:val="center"/>
          </w:tcPr>
          <w:p w14:paraId="11086BFD">
            <w:pPr>
              <w:spacing w:before="120"/>
              <w:jc w:val="center"/>
              <w:rPr>
                <w:rFonts w:cs="Arial" w:asciiTheme="minorEastAsia" w:hAnsiTheme="minorEastAsia"/>
                <w:highlight w:val="none"/>
              </w:rPr>
            </w:pPr>
          </w:p>
        </w:tc>
        <w:tc>
          <w:tcPr>
            <w:tcW w:w="1365" w:type="dxa"/>
            <w:vAlign w:val="center"/>
          </w:tcPr>
          <w:p w14:paraId="3B3CC5C2">
            <w:pPr>
              <w:spacing w:before="120"/>
              <w:jc w:val="center"/>
              <w:rPr>
                <w:rFonts w:cs="Arial" w:asciiTheme="minorEastAsia" w:hAnsiTheme="minorEastAsia"/>
                <w:highlight w:val="none"/>
              </w:rPr>
            </w:pPr>
          </w:p>
        </w:tc>
        <w:tc>
          <w:tcPr>
            <w:tcW w:w="1365" w:type="dxa"/>
            <w:vAlign w:val="center"/>
          </w:tcPr>
          <w:p w14:paraId="09BF0422">
            <w:pPr>
              <w:spacing w:before="120"/>
              <w:jc w:val="center"/>
              <w:rPr>
                <w:rFonts w:cs="Arial" w:asciiTheme="minorEastAsia" w:hAnsiTheme="minorEastAsia"/>
                <w:highlight w:val="none"/>
              </w:rPr>
            </w:pPr>
          </w:p>
        </w:tc>
        <w:tc>
          <w:tcPr>
            <w:tcW w:w="1395" w:type="dxa"/>
            <w:vAlign w:val="center"/>
          </w:tcPr>
          <w:p w14:paraId="5ADAEA69">
            <w:pPr>
              <w:spacing w:before="120"/>
              <w:jc w:val="center"/>
              <w:rPr>
                <w:rFonts w:cs="Arial" w:asciiTheme="minorEastAsia" w:hAnsiTheme="minorEastAsia"/>
                <w:highlight w:val="none"/>
              </w:rPr>
            </w:pPr>
          </w:p>
        </w:tc>
      </w:tr>
      <w:tr w14:paraId="3BB4D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207DBD5">
            <w:pPr>
              <w:spacing w:before="120"/>
              <w:jc w:val="center"/>
              <w:rPr>
                <w:rFonts w:cs="Arial" w:asciiTheme="minorEastAsia" w:hAnsiTheme="minorEastAsia"/>
                <w:highlight w:val="none"/>
              </w:rPr>
            </w:pPr>
          </w:p>
        </w:tc>
        <w:tc>
          <w:tcPr>
            <w:tcW w:w="1392" w:type="dxa"/>
            <w:vAlign w:val="center"/>
          </w:tcPr>
          <w:p w14:paraId="4B353F0C">
            <w:pPr>
              <w:spacing w:before="120"/>
              <w:jc w:val="center"/>
              <w:rPr>
                <w:rFonts w:cs="Arial" w:asciiTheme="minorEastAsia" w:hAnsiTheme="minorEastAsia"/>
                <w:highlight w:val="none"/>
              </w:rPr>
            </w:pPr>
          </w:p>
        </w:tc>
        <w:tc>
          <w:tcPr>
            <w:tcW w:w="1485" w:type="dxa"/>
            <w:vAlign w:val="center"/>
          </w:tcPr>
          <w:p w14:paraId="32FC2DC6">
            <w:pPr>
              <w:spacing w:before="120"/>
              <w:jc w:val="center"/>
              <w:rPr>
                <w:rFonts w:cs="Arial" w:asciiTheme="minorEastAsia" w:hAnsiTheme="minorEastAsia"/>
                <w:highlight w:val="none"/>
              </w:rPr>
            </w:pPr>
          </w:p>
        </w:tc>
        <w:tc>
          <w:tcPr>
            <w:tcW w:w="1470" w:type="dxa"/>
            <w:vAlign w:val="center"/>
          </w:tcPr>
          <w:p w14:paraId="270DBBD7">
            <w:pPr>
              <w:spacing w:before="120"/>
              <w:jc w:val="center"/>
              <w:rPr>
                <w:rFonts w:cs="Arial" w:asciiTheme="minorEastAsia" w:hAnsiTheme="minorEastAsia"/>
                <w:highlight w:val="none"/>
              </w:rPr>
            </w:pPr>
          </w:p>
        </w:tc>
        <w:tc>
          <w:tcPr>
            <w:tcW w:w="1365" w:type="dxa"/>
            <w:vAlign w:val="center"/>
          </w:tcPr>
          <w:p w14:paraId="5EB87B43">
            <w:pPr>
              <w:spacing w:before="120"/>
              <w:jc w:val="center"/>
              <w:rPr>
                <w:rFonts w:cs="Arial" w:asciiTheme="minorEastAsia" w:hAnsiTheme="minorEastAsia"/>
                <w:highlight w:val="none"/>
              </w:rPr>
            </w:pPr>
          </w:p>
        </w:tc>
        <w:tc>
          <w:tcPr>
            <w:tcW w:w="1365" w:type="dxa"/>
            <w:vAlign w:val="center"/>
          </w:tcPr>
          <w:p w14:paraId="74C06A52">
            <w:pPr>
              <w:spacing w:before="120"/>
              <w:jc w:val="center"/>
              <w:rPr>
                <w:rFonts w:cs="Arial" w:asciiTheme="minorEastAsia" w:hAnsiTheme="minorEastAsia"/>
                <w:highlight w:val="none"/>
              </w:rPr>
            </w:pPr>
          </w:p>
        </w:tc>
        <w:tc>
          <w:tcPr>
            <w:tcW w:w="1395" w:type="dxa"/>
            <w:vAlign w:val="center"/>
          </w:tcPr>
          <w:p w14:paraId="60CC3008">
            <w:pPr>
              <w:spacing w:before="120"/>
              <w:jc w:val="center"/>
              <w:rPr>
                <w:rFonts w:cs="Arial" w:asciiTheme="minorEastAsia" w:hAnsiTheme="minorEastAsia"/>
                <w:highlight w:val="none"/>
              </w:rPr>
            </w:pPr>
          </w:p>
        </w:tc>
      </w:tr>
      <w:tr w14:paraId="1B773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7B097D8">
            <w:pPr>
              <w:spacing w:before="120"/>
              <w:jc w:val="center"/>
              <w:rPr>
                <w:rFonts w:cs="Arial" w:asciiTheme="minorEastAsia" w:hAnsiTheme="minorEastAsia"/>
                <w:highlight w:val="none"/>
              </w:rPr>
            </w:pPr>
          </w:p>
        </w:tc>
        <w:tc>
          <w:tcPr>
            <w:tcW w:w="1392" w:type="dxa"/>
            <w:vAlign w:val="center"/>
          </w:tcPr>
          <w:p w14:paraId="2D34DDFD">
            <w:pPr>
              <w:spacing w:before="120"/>
              <w:jc w:val="center"/>
              <w:rPr>
                <w:rFonts w:cs="Arial" w:asciiTheme="minorEastAsia" w:hAnsiTheme="minorEastAsia"/>
                <w:highlight w:val="none"/>
              </w:rPr>
            </w:pPr>
          </w:p>
        </w:tc>
        <w:tc>
          <w:tcPr>
            <w:tcW w:w="1485" w:type="dxa"/>
            <w:vAlign w:val="center"/>
          </w:tcPr>
          <w:p w14:paraId="3EA97619">
            <w:pPr>
              <w:spacing w:before="120"/>
              <w:jc w:val="center"/>
              <w:rPr>
                <w:rFonts w:cs="Arial" w:asciiTheme="minorEastAsia" w:hAnsiTheme="minorEastAsia"/>
                <w:highlight w:val="none"/>
              </w:rPr>
            </w:pPr>
          </w:p>
        </w:tc>
        <w:tc>
          <w:tcPr>
            <w:tcW w:w="1470" w:type="dxa"/>
            <w:vAlign w:val="center"/>
          </w:tcPr>
          <w:p w14:paraId="5D293133">
            <w:pPr>
              <w:spacing w:before="120"/>
              <w:jc w:val="center"/>
              <w:rPr>
                <w:rFonts w:cs="Arial" w:asciiTheme="minorEastAsia" w:hAnsiTheme="minorEastAsia"/>
                <w:highlight w:val="none"/>
              </w:rPr>
            </w:pPr>
          </w:p>
        </w:tc>
        <w:tc>
          <w:tcPr>
            <w:tcW w:w="1365" w:type="dxa"/>
            <w:vAlign w:val="center"/>
          </w:tcPr>
          <w:p w14:paraId="7C0E3595">
            <w:pPr>
              <w:spacing w:before="120"/>
              <w:jc w:val="center"/>
              <w:rPr>
                <w:rFonts w:cs="Arial" w:asciiTheme="minorEastAsia" w:hAnsiTheme="minorEastAsia"/>
                <w:highlight w:val="none"/>
              </w:rPr>
            </w:pPr>
          </w:p>
        </w:tc>
        <w:tc>
          <w:tcPr>
            <w:tcW w:w="1365" w:type="dxa"/>
            <w:vAlign w:val="center"/>
          </w:tcPr>
          <w:p w14:paraId="22C9D1F3">
            <w:pPr>
              <w:spacing w:before="120"/>
              <w:jc w:val="center"/>
              <w:rPr>
                <w:rFonts w:cs="Arial" w:asciiTheme="minorEastAsia" w:hAnsiTheme="minorEastAsia"/>
                <w:highlight w:val="none"/>
              </w:rPr>
            </w:pPr>
          </w:p>
        </w:tc>
        <w:tc>
          <w:tcPr>
            <w:tcW w:w="1395" w:type="dxa"/>
            <w:vAlign w:val="center"/>
          </w:tcPr>
          <w:p w14:paraId="4F8389C6">
            <w:pPr>
              <w:spacing w:before="120"/>
              <w:jc w:val="center"/>
              <w:rPr>
                <w:rFonts w:cs="Arial" w:asciiTheme="minorEastAsia" w:hAnsiTheme="minorEastAsia"/>
                <w:highlight w:val="none"/>
              </w:rPr>
            </w:pPr>
          </w:p>
        </w:tc>
      </w:tr>
      <w:tr w14:paraId="0BD83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D893BB2">
            <w:pPr>
              <w:spacing w:before="120"/>
              <w:jc w:val="center"/>
              <w:rPr>
                <w:rFonts w:cs="Arial" w:asciiTheme="minorEastAsia" w:hAnsiTheme="minorEastAsia"/>
                <w:highlight w:val="none"/>
              </w:rPr>
            </w:pPr>
          </w:p>
        </w:tc>
        <w:tc>
          <w:tcPr>
            <w:tcW w:w="1392" w:type="dxa"/>
            <w:vAlign w:val="center"/>
          </w:tcPr>
          <w:p w14:paraId="4BEA1830">
            <w:pPr>
              <w:spacing w:before="120"/>
              <w:jc w:val="center"/>
              <w:rPr>
                <w:rFonts w:cs="Arial" w:asciiTheme="minorEastAsia" w:hAnsiTheme="minorEastAsia"/>
                <w:highlight w:val="none"/>
              </w:rPr>
            </w:pPr>
          </w:p>
        </w:tc>
        <w:tc>
          <w:tcPr>
            <w:tcW w:w="1485" w:type="dxa"/>
            <w:vAlign w:val="center"/>
          </w:tcPr>
          <w:p w14:paraId="5B7DD00F">
            <w:pPr>
              <w:spacing w:before="120"/>
              <w:jc w:val="center"/>
              <w:rPr>
                <w:rFonts w:cs="Arial" w:asciiTheme="minorEastAsia" w:hAnsiTheme="minorEastAsia"/>
                <w:highlight w:val="none"/>
              </w:rPr>
            </w:pPr>
          </w:p>
        </w:tc>
        <w:tc>
          <w:tcPr>
            <w:tcW w:w="1470" w:type="dxa"/>
            <w:vAlign w:val="center"/>
          </w:tcPr>
          <w:p w14:paraId="25E990A4">
            <w:pPr>
              <w:spacing w:before="120"/>
              <w:jc w:val="center"/>
              <w:rPr>
                <w:rFonts w:cs="Arial" w:asciiTheme="minorEastAsia" w:hAnsiTheme="minorEastAsia"/>
                <w:highlight w:val="none"/>
              </w:rPr>
            </w:pPr>
          </w:p>
        </w:tc>
        <w:tc>
          <w:tcPr>
            <w:tcW w:w="1365" w:type="dxa"/>
            <w:vAlign w:val="center"/>
          </w:tcPr>
          <w:p w14:paraId="1F6C0D83">
            <w:pPr>
              <w:spacing w:before="120"/>
              <w:jc w:val="center"/>
              <w:rPr>
                <w:rFonts w:cs="Arial" w:asciiTheme="minorEastAsia" w:hAnsiTheme="minorEastAsia"/>
                <w:highlight w:val="none"/>
              </w:rPr>
            </w:pPr>
          </w:p>
        </w:tc>
        <w:tc>
          <w:tcPr>
            <w:tcW w:w="1365" w:type="dxa"/>
            <w:vAlign w:val="center"/>
          </w:tcPr>
          <w:p w14:paraId="14101C44">
            <w:pPr>
              <w:spacing w:before="120"/>
              <w:jc w:val="center"/>
              <w:rPr>
                <w:rFonts w:cs="Arial" w:asciiTheme="minorEastAsia" w:hAnsiTheme="minorEastAsia"/>
                <w:highlight w:val="none"/>
              </w:rPr>
            </w:pPr>
          </w:p>
        </w:tc>
        <w:tc>
          <w:tcPr>
            <w:tcW w:w="1395" w:type="dxa"/>
            <w:vAlign w:val="center"/>
          </w:tcPr>
          <w:p w14:paraId="1E2D65CE">
            <w:pPr>
              <w:spacing w:before="120"/>
              <w:jc w:val="center"/>
              <w:rPr>
                <w:rFonts w:cs="Arial" w:asciiTheme="minorEastAsia" w:hAnsiTheme="minorEastAsia"/>
                <w:highlight w:val="none"/>
              </w:rPr>
            </w:pPr>
          </w:p>
        </w:tc>
      </w:tr>
      <w:tr w14:paraId="6E9F8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65B9A7F">
            <w:pPr>
              <w:spacing w:before="120"/>
              <w:jc w:val="center"/>
              <w:rPr>
                <w:rFonts w:cs="Arial" w:asciiTheme="minorEastAsia" w:hAnsiTheme="minorEastAsia"/>
                <w:highlight w:val="none"/>
              </w:rPr>
            </w:pPr>
          </w:p>
        </w:tc>
        <w:tc>
          <w:tcPr>
            <w:tcW w:w="1392" w:type="dxa"/>
            <w:vAlign w:val="center"/>
          </w:tcPr>
          <w:p w14:paraId="3E128E6D">
            <w:pPr>
              <w:spacing w:before="120"/>
              <w:jc w:val="center"/>
              <w:rPr>
                <w:rFonts w:cs="Arial" w:asciiTheme="minorEastAsia" w:hAnsiTheme="minorEastAsia"/>
                <w:highlight w:val="none"/>
              </w:rPr>
            </w:pPr>
          </w:p>
        </w:tc>
        <w:tc>
          <w:tcPr>
            <w:tcW w:w="1485" w:type="dxa"/>
            <w:vAlign w:val="center"/>
          </w:tcPr>
          <w:p w14:paraId="6878332A">
            <w:pPr>
              <w:spacing w:before="120"/>
              <w:jc w:val="center"/>
              <w:rPr>
                <w:rFonts w:cs="Arial" w:asciiTheme="minorEastAsia" w:hAnsiTheme="minorEastAsia"/>
                <w:highlight w:val="none"/>
              </w:rPr>
            </w:pPr>
          </w:p>
        </w:tc>
        <w:tc>
          <w:tcPr>
            <w:tcW w:w="1470" w:type="dxa"/>
            <w:vAlign w:val="center"/>
          </w:tcPr>
          <w:p w14:paraId="370D20F0">
            <w:pPr>
              <w:spacing w:before="120"/>
              <w:jc w:val="center"/>
              <w:rPr>
                <w:rFonts w:cs="Arial" w:asciiTheme="minorEastAsia" w:hAnsiTheme="minorEastAsia"/>
                <w:highlight w:val="none"/>
              </w:rPr>
            </w:pPr>
          </w:p>
        </w:tc>
        <w:tc>
          <w:tcPr>
            <w:tcW w:w="1365" w:type="dxa"/>
            <w:vAlign w:val="center"/>
          </w:tcPr>
          <w:p w14:paraId="0D4BD9AE">
            <w:pPr>
              <w:spacing w:before="120"/>
              <w:jc w:val="center"/>
              <w:rPr>
                <w:rFonts w:cs="Arial" w:asciiTheme="minorEastAsia" w:hAnsiTheme="minorEastAsia"/>
                <w:highlight w:val="none"/>
              </w:rPr>
            </w:pPr>
          </w:p>
        </w:tc>
        <w:tc>
          <w:tcPr>
            <w:tcW w:w="1365" w:type="dxa"/>
            <w:vAlign w:val="center"/>
          </w:tcPr>
          <w:p w14:paraId="02582AD3">
            <w:pPr>
              <w:spacing w:before="120"/>
              <w:jc w:val="center"/>
              <w:rPr>
                <w:rFonts w:cs="Arial" w:asciiTheme="minorEastAsia" w:hAnsiTheme="minorEastAsia"/>
                <w:highlight w:val="none"/>
              </w:rPr>
            </w:pPr>
          </w:p>
        </w:tc>
        <w:tc>
          <w:tcPr>
            <w:tcW w:w="1395" w:type="dxa"/>
            <w:vAlign w:val="center"/>
          </w:tcPr>
          <w:p w14:paraId="19F0C316">
            <w:pPr>
              <w:spacing w:before="120"/>
              <w:jc w:val="center"/>
              <w:rPr>
                <w:rFonts w:cs="Arial" w:asciiTheme="minorEastAsia" w:hAnsiTheme="minorEastAsia"/>
                <w:highlight w:val="none"/>
              </w:rPr>
            </w:pPr>
          </w:p>
        </w:tc>
      </w:tr>
    </w:tbl>
    <w:p w14:paraId="4CE9BEBF">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08DDC717">
      <w:pPr>
        <w:pStyle w:val="11"/>
        <w:spacing w:beforeAutospacing="0" w:afterAutospacing="0" w:line="480" w:lineRule="auto"/>
        <w:ind w:firstLine="470" w:firstLineChars="224"/>
        <w:jc w:val="both"/>
        <w:rPr>
          <w:rFonts w:hint="eastAsia" w:ascii="宋体" w:hAnsi="宋体" w:eastAsia="宋体" w:cs="宋体"/>
          <w:bCs/>
          <w:color w:val="auto"/>
          <w:sz w:val="21"/>
          <w:szCs w:val="21"/>
          <w:highlight w:val="green"/>
        </w:rPr>
      </w:pPr>
    </w:p>
    <w:p w14:paraId="5E27F5E1">
      <w:pPr>
        <w:pStyle w:val="11"/>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4670E9AE">
      <w:pPr>
        <w:pStyle w:val="11"/>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 xml:space="preserve"> 供应商认为其他应提供的证明材料</w:t>
      </w:r>
    </w:p>
    <w:p w14:paraId="128B76E4">
      <w:pPr>
        <w:pStyle w:val="11"/>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81B74AF-A9BA-43B0-B231-AACC6A027DF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3B81C215-D7F4-4AA3-8387-C7A4052410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43BC">
    <w:pPr>
      <w:widowControl w:val="0"/>
      <w:pBdr>
        <w:top w:val="single" w:color="auto" w:sz="4" w:space="1"/>
      </w:pBdr>
      <w:snapToGrid w:val="0"/>
      <w:jc w:val="both"/>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14605</wp:posOffset>
              </wp:positionV>
              <wp:extent cx="144780" cy="20447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4655FE3F">
                          <w:pPr>
                            <w:widowControl w:val="0"/>
                            <w:snapToGrid w:val="0"/>
                            <w:jc w:val="left"/>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18</w:t>
                          </w:r>
                          <w:r>
                            <w:rPr>
                              <w:rFonts w:hint="eastAsia" w:ascii="宋体" w:hAnsi="宋体" w:eastAsia="宋体" w:cs="宋体"/>
                              <w:kern w:val="2"/>
                              <w:sz w:val="18"/>
                              <w:szCs w:val="18"/>
                              <w:lang w:val="en-US" w:eastAsia="zh-CN" w:bidi="ar-SA"/>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2336;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MtPeWy6AQAAdAMAAA4AAAAAAAAAAQAgAAAAIwEAAGRycy9lMm9Eb2MueG1sUEsFBgAA&#10;AAAGAAYAWQEAAE8FAAAAAA==&#10;">
              <v:fill on="f" focussize="0,0"/>
              <v:stroke on="f"/>
              <v:imagedata o:title=""/>
              <o:lock v:ext="edit" aspectratio="f"/>
              <v:textbox inset="0mm,0mm,0mm,0mm">
                <w:txbxContent>
                  <w:p w14:paraId="4655FE3F">
                    <w:pPr>
                      <w:widowControl w:val="0"/>
                      <w:snapToGrid w:val="0"/>
                      <w:jc w:val="left"/>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ascii="宋体" w:hAnsi="宋体" w:eastAsia="宋体" w:cs="宋体"/>
                        <w:kern w:val="2"/>
                        <w:sz w:val="18"/>
                        <w:szCs w:val="18"/>
                        <w:lang w:val="en-US" w:eastAsia="zh-CN" w:bidi="ar-SA"/>
                      </w:rPr>
                      <w:t>18</w:t>
                    </w:r>
                    <w:r>
                      <w:rPr>
                        <w:rFonts w:hint="eastAsia" w:ascii="宋体" w:hAnsi="宋体" w:eastAsia="宋体" w:cs="宋体"/>
                        <w:kern w:val="2"/>
                        <w:sz w:val="18"/>
                        <w:szCs w:val="18"/>
                        <w:lang w:val="en-US" w:eastAsia="zh-CN" w:bidi="ar-SA"/>
                      </w:rPr>
                      <w:fldChar w:fldCharType="end"/>
                    </w:r>
                  </w:p>
                </w:txbxContent>
              </v:textbox>
            </v:shape>
          </w:pict>
        </mc:Fallback>
      </mc:AlternateContent>
    </w:r>
    <w:r>
      <w:rPr>
        <w:rFonts w:hint="eastAsia" w:ascii="Times New Roman" w:hAnsi="Times New Roman" w:eastAsia="宋体" w:cs="Times New Roman"/>
        <w:kern w:val="2"/>
        <w:sz w:val="18"/>
        <w:szCs w:val="18"/>
        <w:lang w:val="en-US" w:eastAsia="zh-CN" w:bidi="ar-SA"/>
      </w:rPr>
      <w:t xml:space="preserve">        </w:t>
    </w:r>
  </w:p>
  <w:p w14:paraId="461C152A">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驻马店市中心医院大孔径CT阳极高压维修采购项目采购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B146CA"/>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2FF7C6D"/>
    <w:rsid w:val="031126C4"/>
    <w:rsid w:val="031C0676"/>
    <w:rsid w:val="0323019C"/>
    <w:rsid w:val="034733B8"/>
    <w:rsid w:val="03475E56"/>
    <w:rsid w:val="0353518A"/>
    <w:rsid w:val="035916AE"/>
    <w:rsid w:val="035E4919"/>
    <w:rsid w:val="036056EE"/>
    <w:rsid w:val="03675F31"/>
    <w:rsid w:val="036A009A"/>
    <w:rsid w:val="037A734D"/>
    <w:rsid w:val="038002F5"/>
    <w:rsid w:val="03844805"/>
    <w:rsid w:val="03845791"/>
    <w:rsid w:val="03A011E9"/>
    <w:rsid w:val="03AE7F27"/>
    <w:rsid w:val="03BC3316"/>
    <w:rsid w:val="03BD2BCD"/>
    <w:rsid w:val="03CC058D"/>
    <w:rsid w:val="03E017D2"/>
    <w:rsid w:val="03F447E2"/>
    <w:rsid w:val="03F77068"/>
    <w:rsid w:val="03FB660C"/>
    <w:rsid w:val="03FD4132"/>
    <w:rsid w:val="042E37DB"/>
    <w:rsid w:val="04416C20"/>
    <w:rsid w:val="0442248D"/>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C5085"/>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1C7E25"/>
    <w:rsid w:val="07260519"/>
    <w:rsid w:val="072916E2"/>
    <w:rsid w:val="072C5514"/>
    <w:rsid w:val="0737768A"/>
    <w:rsid w:val="074A5B92"/>
    <w:rsid w:val="075A7AEE"/>
    <w:rsid w:val="075D0147"/>
    <w:rsid w:val="075E3193"/>
    <w:rsid w:val="078E18EB"/>
    <w:rsid w:val="079F5564"/>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6156B"/>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C7BC2"/>
    <w:rsid w:val="0A4F145F"/>
    <w:rsid w:val="0A8455AD"/>
    <w:rsid w:val="0A8729A8"/>
    <w:rsid w:val="0ABA2D7D"/>
    <w:rsid w:val="0AD13A85"/>
    <w:rsid w:val="0AE0655C"/>
    <w:rsid w:val="0AF81AF7"/>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636CB"/>
    <w:rsid w:val="0C4E6409"/>
    <w:rsid w:val="0C507E2F"/>
    <w:rsid w:val="0C600D66"/>
    <w:rsid w:val="0C626DA7"/>
    <w:rsid w:val="0C6876AE"/>
    <w:rsid w:val="0C71390F"/>
    <w:rsid w:val="0C720EC8"/>
    <w:rsid w:val="0C820A5E"/>
    <w:rsid w:val="0C880C59"/>
    <w:rsid w:val="0C942042"/>
    <w:rsid w:val="0C9615C8"/>
    <w:rsid w:val="0C9D50DC"/>
    <w:rsid w:val="0CA5271D"/>
    <w:rsid w:val="0CAA0BCF"/>
    <w:rsid w:val="0CAC4D10"/>
    <w:rsid w:val="0CBB30A6"/>
    <w:rsid w:val="0CC53C5B"/>
    <w:rsid w:val="0CC72121"/>
    <w:rsid w:val="0CEE5A21"/>
    <w:rsid w:val="0D05268E"/>
    <w:rsid w:val="0D0646E7"/>
    <w:rsid w:val="0D0C38CA"/>
    <w:rsid w:val="0D123874"/>
    <w:rsid w:val="0D206810"/>
    <w:rsid w:val="0D4861FD"/>
    <w:rsid w:val="0D735465"/>
    <w:rsid w:val="0D9D0734"/>
    <w:rsid w:val="0DC577E0"/>
    <w:rsid w:val="0DDC6319"/>
    <w:rsid w:val="0DE1181F"/>
    <w:rsid w:val="0DED0B60"/>
    <w:rsid w:val="0DFA5B87"/>
    <w:rsid w:val="0DFE4F67"/>
    <w:rsid w:val="0E0C0D4C"/>
    <w:rsid w:val="0E115DA1"/>
    <w:rsid w:val="0E1409F6"/>
    <w:rsid w:val="0E162D6D"/>
    <w:rsid w:val="0E460DCC"/>
    <w:rsid w:val="0E541CA2"/>
    <w:rsid w:val="0E576B35"/>
    <w:rsid w:val="0E594756"/>
    <w:rsid w:val="0E72396F"/>
    <w:rsid w:val="0E95596D"/>
    <w:rsid w:val="0EAE6205"/>
    <w:rsid w:val="0EAE6579"/>
    <w:rsid w:val="0EAF71BF"/>
    <w:rsid w:val="0ECE6257"/>
    <w:rsid w:val="0ECF2B6F"/>
    <w:rsid w:val="0EE24651"/>
    <w:rsid w:val="0EE4129D"/>
    <w:rsid w:val="0EFE3455"/>
    <w:rsid w:val="0F171032"/>
    <w:rsid w:val="0F335E69"/>
    <w:rsid w:val="0F372614"/>
    <w:rsid w:val="0F3D59C9"/>
    <w:rsid w:val="0F515A6B"/>
    <w:rsid w:val="0F516D5A"/>
    <w:rsid w:val="0F565B36"/>
    <w:rsid w:val="0F684933"/>
    <w:rsid w:val="0F6E2388"/>
    <w:rsid w:val="0F7E0E96"/>
    <w:rsid w:val="0F821E7D"/>
    <w:rsid w:val="0F957915"/>
    <w:rsid w:val="0F9811B3"/>
    <w:rsid w:val="0FB3423F"/>
    <w:rsid w:val="0FC91CB4"/>
    <w:rsid w:val="0FCA42ED"/>
    <w:rsid w:val="0FDB5F4F"/>
    <w:rsid w:val="0FE7592C"/>
    <w:rsid w:val="0FFC17A5"/>
    <w:rsid w:val="0FFD20F0"/>
    <w:rsid w:val="10142F30"/>
    <w:rsid w:val="10352857"/>
    <w:rsid w:val="103E6E57"/>
    <w:rsid w:val="1041497B"/>
    <w:rsid w:val="10425FF6"/>
    <w:rsid w:val="105646EB"/>
    <w:rsid w:val="106612B1"/>
    <w:rsid w:val="108077CC"/>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44419"/>
    <w:rsid w:val="11CD20A0"/>
    <w:rsid w:val="11D34654"/>
    <w:rsid w:val="11E61731"/>
    <w:rsid w:val="12010480"/>
    <w:rsid w:val="12045226"/>
    <w:rsid w:val="12062D4C"/>
    <w:rsid w:val="120E707F"/>
    <w:rsid w:val="121C256F"/>
    <w:rsid w:val="121D0051"/>
    <w:rsid w:val="12413D84"/>
    <w:rsid w:val="127A7D1C"/>
    <w:rsid w:val="12836D8B"/>
    <w:rsid w:val="12993BC0"/>
    <w:rsid w:val="129F0AAB"/>
    <w:rsid w:val="12A460C1"/>
    <w:rsid w:val="12AB0349"/>
    <w:rsid w:val="12B66520"/>
    <w:rsid w:val="12CD57F1"/>
    <w:rsid w:val="12CE5941"/>
    <w:rsid w:val="12CE7AFA"/>
    <w:rsid w:val="12D67466"/>
    <w:rsid w:val="12E36BE9"/>
    <w:rsid w:val="12E942B5"/>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34EB0"/>
    <w:rsid w:val="13DF575E"/>
    <w:rsid w:val="13E470BD"/>
    <w:rsid w:val="13EE3A98"/>
    <w:rsid w:val="13F3280A"/>
    <w:rsid w:val="140D6614"/>
    <w:rsid w:val="142123F7"/>
    <w:rsid w:val="142863E4"/>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16B1"/>
    <w:rsid w:val="15477903"/>
    <w:rsid w:val="1557566D"/>
    <w:rsid w:val="155D0ED5"/>
    <w:rsid w:val="1565422D"/>
    <w:rsid w:val="156E0971"/>
    <w:rsid w:val="15785B3E"/>
    <w:rsid w:val="15811F1B"/>
    <w:rsid w:val="15966A1F"/>
    <w:rsid w:val="15A30135"/>
    <w:rsid w:val="15A34015"/>
    <w:rsid w:val="15A703A2"/>
    <w:rsid w:val="15BB487B"/>
    <w:rsid w:val="15CE086D"/>
    <w:rsid w:val="15D31197"/>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8FC0A05"/>
    <w:rsid w:val="190B2D88"/>
    <w:rsid w:val="190E6B63"/>
    <w:rsid w:val="19123928"/>
    <w:rsid w:val="19153926"/>
    <w:rsid w:val="19194264"/>
    <w:rsid w:val="19283048"/>
    <w:rsid w:val="192B3098"/>
    <w:rsid w:val="19420786"/>
    <w:rsid w:val="19427EC0"/>
    <w:rsid w:val="195711D7"/>
    <w:rsid w:val="195D2A3F"/>
    <w:rsid w:val="198310E9"/>
    <w:rsid w:val="198D747A"/>
    <w:rsid w:val="19A05F53"/>
    <w:rsid w:val="19A15638"/>
    <w:rsid w:val="19A74DFE"/>
    <w:rsid w:val="19A753EF"/>
    <w:rsid w:val="19B117EF"/>
    <w:rsid w:val="1A0A0E60"/>
    <w:rsid w:val="1A125525"/>
    <w:rsid w:val="1A5F4342"/>
    <w:rsid w:val="1A616E2C"/>
    <w:rsid w:val="1A715D02"/>
    <w:rsid w:val="1A7F369B"/>
    <w:rsid w:val="1A8C5D82"/>
    <w:rsid w:val="1A994988"/>
    <w:rsid w:val="1A9B546C"/>
    <w:rsid w:val="1A9E141F"/>
    <w:rsid w:val="1AA3511F"/>
    <w:rsid w:val="1AAE3B54"/>
    <w:rsid w:val="1AC10987"/>
    <w:rsid w:val="1ACD11E1"/>
    <w:rsid w:val="1ADF238C"/>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ED0AD9"/>
    <w:rsid w:val="1BF14125"/>
    <w:rsid w:val="1C002CEE"/>
    <w:rsid w:val="1C0876C1"/>
    <w:rsid w:val="1C127044"/>
    <w:rsid w:val="1C180F75"/>
    <w:rsid w:val="1C27223D"/>
    <w:rsid w:val="1C3861F8"/>
    <w:rsid w:val="1C4032FE"/>
    <w:rsid w:val="1C424981"/>
    <w:rsid w:val="1C4E77C9"/>
    <w:rsid w:val="1C555978"/>
    <w:rsid w:val="1C6554A1"/>
    <w:rsid w:val="1C705992"/>
    <w:rsid w:val="1C7971B7"/>
    <w:rsid w:val="1C8036FB"/>
    <w:rsid w:val="1C917D91"/>
    <w:rsid w:val="1CAB1D11"/>
    <w:rsid w:val="1CAB2820"/>
    <w:rsid w:val="1CAC44F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8A4831"/>
    <w:rsid w:val="1D927B8A"/>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0218B"/>
    <w:rsid w:val="1EB350EF"/>
    <w:rsid w:val="1EC21749"/>
    <w:rsid w:val="1EE066D3"/>
    <w:rsid w:val="1EEB7C4E"/>
    <w:rsid w:val="1EFE0DA3"/>
    <w:rsid w:val="1F072441"/>
    <w:rsid w:val="1F171B83"/>
    <w:rsid w:val="1F2D4691"/>
    <w:rsid w:val="1F2D491A"/>
    <w:rsid w:val="1F3F789D"/>
    <w:rsid w:val="1F4E5D32"/>
    <w:rsid w:val="1F503858"/>
    <w:rsid w:val="1F66355F"/>
    <w:rsid w:val="1F664E2A"/>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617C51"/>
    <w:rsid w:val="2172049B"/>
    <w:rsid w:val="21747CD2"/>
    <w:rsid w:val="21815F4B"/>
    <w:rsid w:val="219263AA"/>
    <w:rsid w:val="219E5782"/>
    <w:rsid w:val="21D10545"/>
    <w:rsid w:val="21D520B1"/>
    <w:rsid w:val="21D95D87"/>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A0E2F"/>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86783E"/>
    <w:rsid w:val="23940114"/>
    <w:rsid w:val="239A1546"/>
    <w:rsid w:val="23A5414A"/>
    <w:rsid w:val="23AE4FF1"/>
    <w:rsid w:val="23B57016"/>
    <w:rsid w:val="23C16AD3"/>
    <w:rsid w:val="23C4797E"/>
    <w:rsid w:val="23CB16FF"/>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33DFD"/>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15CA9"/>
    <w:rsid w:val="264B0BA4"/>
    <w:rsid w:val="264F4111"/>
    <w:rsid w:val="265E0AEC"/>
    <w:rsid w:val="2661459D"/>
    <w:rsid w:val="26865DB2"/>
    <w:rsid w:val="268C5256"/>
    <w:rsid w:val="268E455B"/>
    <w:rsid w:val="26912B30"/>
    <w:rsid w:val="269772F0"/>
    <w:rsid w:val="26997893"/>
    <w:rsid w:val="26A30712"/>
    <w:rsid w:val="26AC0C27"/>
    <w:rsid w:val="26B20955"/>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1852"/>
    <w:rsid w:val="27232743"/>
    <w:rsid w:val="27400656"/>
    <w:rsid w:val="274E2228"/>
    <w:rsid w:val="27517A93"/>
    <w:rsid w:val="27565784"/>
    <w:rsid w:val="275E53AF"/>
    <w:rsid w:val="27606603"/>
    <w:rsid w:val="27624129"/>
    <w:rsid w:val="276658E8"/>
    <w:rsid w:val="276E0D20"/>
    <w:rsid w:val="276F6846"/>
    <w:rsid w:val="27764078"/>
    <w:rsid w:val="277E30D2"/>
    <w:rsid w:val="27803F2A"/>
    <w:rsid w:val="278A18D2"/>
    <w:rsid w:val="27983FEE"/>
    <w:rsid w:val="27A34941"/>
    <w:rsid w:val="27A97FAA"/>
    <w:rsid w:val="27EE3A7B"/>
    <w:rsid w:val="27FA25B3"/>
    <w:rsid w:val="28033B5E"/>
    <w:rsid w:val="28100029"/>
    <w:rsid w:val="282B09BF"/>
    <w:rsid w:val="282E4F00"/>
    <w:rsid w:val="283B7B44"/>
    <w:rsid w:val="283C0132"/>
    <w:rsid w:val="283C23DF"/>
    <w:rsid w:val="283D69F1"/>
    <w:rsid w:val="283F090E"/>
    <w:rsid w:val="284C16F5"/>
    <w:rsid w:val="28570AB5"/>
    <w:rsid w:val="285F2CDC"/>
    <w:rsid w:val="28622C36"/>
    <w:rsid w:val="2869172C"/>
    <w:rsid w:val="288C2D07"/>
    <w:rsid w:val="289E7E22"/>
    <w:rsid w:val="28A360BD"/>
    <w:rsid w:val="28AC37AC"/>
    <w:rsid w:val="28C2534B"/>
    <w:rsid w:val="28C5525A"/>
    <w:rsid w:val="28D14B96"/>
    <w:rsid w:val="28E60D8A"/>
    <w:rsid w:val="29020C46"/>
    <w:rsid w:val="290240C7"/>
    <w:rsid w:val="29073071"/>
    <w:rsid w:val="290D27BA"/>
    <w:rsid w:val="291713AF"/>
    <w:rsid w:val="291A2B97"/>
    <w:rsid w:val="29274EE0"/>
    <w:rsid w:val="29384AFF"/>
    <w:rsid w:val="29451F54"/>
    <w:rsid w:val="294F692F"/>
    <w:rsid w:val="295029E3"/>
    <w:rsid w:val="29543A59"/>
    <w:rsid w:val="29670ED3"/>
    <w:rsid w:val="2969197F"/>
    <w:rsid w:val="29714AF7"/>
    <w:rsid w:val="29746E87"/>
    <w:rsid w:val="29785E86"/>
    <w:rsid w:val="297939AC"/>
    <w:rsid w:val="297C03C2"/>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191C"/>
    <w:rsid w:val="2A9E7B6E"/>
    <w:rsid w:val="2AA35184"/>
    <w:rsid w:val="2AAB228B"/>
    <w:rsid w:val="2AAB4E76"/>
    <w:rsid w:val="2AB63ABC"/>
    <w:rsid w:val="2AB63D0A"/>
    <w:rsid w:val="2AC31382"/>
    <w:rsid w:val="2ACA2711"/>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5C6CCB"/>
    <w:rsid w:val="2B642979"/>
    <w:rsid w:val="2B681F2A"/>
    <w:rsid w:val="2B7408CF"/>
    <w:rsid w:val="2B88534B"/>
    <w:rsid w:val="2B8D373E"/>
    <w:rsid w:val="2B8F5708"/>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6F3975"/>
    <w:rsid w:val="2C7566AC"/>
    <w:rsid w:val="2C7843EE"/>
    <w:rsid w:val="2C9C00DD"/>
    <w:rsid w:val="2CA25191"/>
    <w:rsid w:val="2CAC022C"/>
    <w:rsid w:val="2CC11807"/>
    <w:rsid w:val="2CC66CD6"/>
    <w:rsid w:val="2CE327BC"/>
    <w:rsid w:val="2CF16074"/>
    <w:rsid w:val="2CF81D1B"/>
    <w:rsid w:val="2D1005BF"/>
    <w:rsid w:val="2D3F2453"/>
    <w:rsid w:val="2D4743E0"/>
    <w:rsid w:val="2D536CB5"/>
    <w:rsid w:val="2D6F134E"/>
    <w:rsid w:val="2D835174"/>
    <w:rsid w:val="2D9331F9"/>
    <w:rsid w:val="2D99461C"/>
    <w:rsid w:val="2DA541FC"/>
    <w:rsid w:val="2DB256DE"/>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3E6A71"/>
    <w:rsid w:val="2F464330"/>
    <w:rsid w:val="2F480119"/>
    <w:rsid w:val="2F506C6D"/>
    <w:rsid w:val="2F512253"/>
    <w:rsid w:val="2F51291F"/>
    <w:rsid w:val="2F55758A"/>
    <w:rsid w:val="2F5922B5"/>
    <w:rsid w:val="2F68074A"/>
    <w:rsid w:val="2F7075FF"/>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231F"/>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32D34"/>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31F82"/>
    <w:rsid w:val="32943B86"/>
    <w:rsid w:val="32A93829"/>
    <w:rsid w:val="32B943EC"/>
    <w:rsid w:val="32B9519B"/>
    <w:rsid w:val="32CB5278"/>
    <w:rsid w:val="32D22AAA"/>
    <w:rsid w:val="32DC63A0"/>
    <w:rsid w:val="32E429C1"/>
    <w:rsid w:val="330503EE"/>
    <w:rsid w:val="33122EA7"/>
    <w:rsid w:val="331C5AD4"/>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906305"/>
    <w:rsid w:val="35A815CB"/>
    <w:rsid w:val="35A85BD0"/>
    <w:rsid w:val="35AA1B9C"/>
    <w:rsid w:val="35D501BC"/>
    <w:rsid w:val="35D94150"/>
    <w:rsid w:val="35DB09A6"/>
    <w:rsid w:val="35DE52C2"/>
    <w:rsid w:val="36080591"/>
    <w:rsid w:val="3609472F"/>
    <w:rsid w:val="36127662"/>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A437E"/>
    <w:rsid w:val="36FB00F6"/>
    <w:rsid w:val="37103BA1"/>
    <w:rsid w:val="37224581"/>
    <w:rsid w:val="3735197D"/>
    <w:rsid w:val="373756A2"/>
    <w:rsid w:val="374A416C"/>
    <w:rsid w:val="375E0DA6"/>
    <w:rsid w:val="377639AE"/>
    <w:rsid w:val="377E111B"/>
    <w:rsid w:val="378142CB"/>
    <w:rsid w:val="378B61A6"/>
    <w:rsid w:val="37920A5A"/>
    <w:rsid w:val="37A323CD"/>
    <w:rsid w:val="37B90F0B"/>
    <w:rsid w:val="37BA1D5F"/>
    <w:rsid w:val="37CD3F98"/>
    <w:rsid w:val="37DF75BA"/>
    <w:rsid w:val="37E148E2"/>
    <w:rsid w:val="37F848EE"/>
    <w:rsid w:val="37F912FC"/>
    <w:rsid w:val="37FB65FF"/>
    <w:rsid w:val="37FF59C4"/>
    <w:rsid w:val="380D59EE"/>
    <w:rsid w:val="38304889"/>
    <w:rsid w:val="3836588A"/>
    <w:rsid w:val="38382675"/>
    <w:rsid w:val="383B7B0D"/>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D0586A"/>
    <w:rsid w:val="39D27231"/>
    <w:rsid w:val="39E15381"/>
    <w:rsid w:val="39E82BB3"/>
    <w:rsid w:val="39EB39E0"/>
    <w:rsid w:val="39EE7A9E"/>
    <w:rsid w:val="39EF02D4"/>
    <w:rsid w:val="39FA4695"/>
    <w:rsid w:val="3A08699C"/>
    <w:rsid w:val="3A11342A"/>
    <w:rsid w:val="3A146946"/>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A69F8"/>
    <w:rsid w:val="3ADF5D0A"/>
    <w:rsid w:val="3AEA4709"/>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542ED"/>
    <w:rsid w:val="3C491519"/>
    <w:rsid w:val="3C495480"/>
    <w:rsid w:val="3C4C3A42"/>
    <w:rsid w:val="3C557EA4"/>
    <w:rsid w:val="3C6F0167"/>
    <w:rsid w:val="3C71667B"/>
    <w:rsid w:val="3C7C75E3"/>
    <w:rsid w:val="3C914F3B"/>
    <w:rsid w:val="3C9E1C4F"/>
    <w:rsid w:val="3CB44FCF"/>
    <w:rsid w:val="3CC17F13"/>
    <w:rsid w:val="3CD15B81"/>
    <w:rsid w:val="3CD50B40"/>
    <w:rsid w:val="3CE320A3"/>
    <w:rsid w:val="3CE9196C"/>
    <w:rsid w:val="3CEC29BB"/>
    <w:rsid w:val="3CF15105"/>
    <w:rsid w:val="3D0C04B9"/>
    <w:rsid w:val="3D1414C5"/>
    <w:rsid w:val="3D1837B0"/>
    <w:rsid w:val="3D1C763E"/>
    <w:rsid w:val="3D201AA5"/>
    <w:rsid w:val="3D2B37EA"/>
    <w:rsid w:val="3D2F7FF3"/>
    <w:rsid w:val="3D3B56F0"/>
    <w:rsid w:val="3D3D1507"/>
    <w:rsid w:val="3D62085B"/>
    <w:rsid w:val="3D6B12FD"/>
    <w:rsid w:val="3D7B3D3F"/>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6E73FF"/>
    <w:rsid w:val="3E832EAB"/>
    <w:rsid w:val="3E8C5311"/>
    <w:rsid w:val="3E8E7E55"/>
    <w:rsid w:val="3EB61473"/>
    <w:rsid w:val="3EC66011"/>
    <w:rsid w:val="3ED25BE0"/>
    <w:rsid w:val="3ED75B7F"/>
    <w:rsid w:val="3EF9316D"/>
    <w:rsid w:val="3F1D32FF"/>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06FBC"/>
    <w:rsid w:val="42A27996"/>
    <w:rsid w:val="42A45E72"/>
    <w:rsid w:val="42AA04E2"/>
    <w:rsid w:val="42C972FA"/>
    <w:rsid w:val="42D737C5"/>
    <w:rsid w:val="42EA5650"/>
    <w:rsid w:val="42F06635"/>
    <w:rsid w:val="42F16B4A"/>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22422"/>
    <w:rsid w:val="43E51150"/>
    <w:rsid w:val="43EF28BB"/>
    <w:rsid w:val="43EF56D3"/>
    <w:rsid w:val="43F026AF"/>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33DBE"/>
    <w:rsid w:val="44BC0BEE"/>
    <w:rsid w:val="44BF6C07"/>
    <w:rsid w:val="44C24001"/>
    <w:rsid w:val="44C55A88"/>
    <w:rsid w:val="44ED72D0"/>
    <w:rsid w:val="44FB1C9C"/>
    <w:rsid w:val="450C05A0"/>
    <w:rsid w:val="45392A13"/>
    <w:rsid w:val="453D0C3C"/>
    <w:rsid w:val="453E3FCF"/>
    <w:rsid w:val="454F1836"/>
    <w:rsid w:val="45637592"/>
    <w:rsid w:val="45887B45"/>
    <w:rsid w:val="458B66DF"/>
    <w:rsid w:val="45940F0E"/>
    <w:rsid w:val="45AC5DBA"/>
    <w:rsid w:val="45C647AF"/>
    <w:rsid w:val="45CF3374"/>
    <w:rsid w:val="45DD529D"/>
    <w:rsid w:val="45DE4E6B"/>
    <w:rsid w:val="45E57886"/>
    <w:rsid w:val="45E945CC"/>
    <w:rsid w:val="46003076"/>
    <w:rsid w:val="46010751"/>
    <w:rsid w:val="46026F63"/>
    <w:rsid w:val="46113492"/>
    <w:rsid w:val="46164604"/>
    <w:rsid w:val="46177E29"/>
    <w:rsid w:val="46205B7F"/>
    <w:rsid w:val="462A00B0"/>
    <w:rsid w:val="462A4554"/>
    <w:rsid w:val="462A6010"/>
    <w:rsid w:val="462F1B6A"/>
    <w:rsid w:val="465B295F"/>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6B6BD2"/>
    <w:rsid w:val="477F1660"/>
    <w:rsid w:val="4788232A"/>
    <w:rsid w:val="478B0398"/>
    <w:rsid w:val="478F5D0B"/>
    <w:rsid w:val="479D5A47"/>
    <w:rsid w:val="47A04ACD"/>
    <w:rsid w:val="47A11E6C"/>
    <w:rsid w:val="47A31F5F"/>
    <w:rsid w:val="47A345BE"/>
    <w:rsid w:val="47A84BA6"/>
    <w:rsid w:val="47AD5DB0"/>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247B1"/>
    <w:rsid w:val="48BC6222"/>
    <w:rsid w:val="48C055EE"/>
    <w:rsid w:val="48C245E9"/>
    <w:rsid w:val="48DB312A"/>
    <w:rsid w:val="48DF49D9"/>
    <w:rsid w:val="492108CC"/>
    <w:rsid w:val="492928A1"/>
    <w:rsid w:val="49301E81"/>
    <w:rsid w:val="49413F52"/>
    <w:rsid w:val="494F6304"/>
    <w:rsid w:val="49792B95"/>
    <w:rsid w:val="49E52C6C"/>
    <w:rsid w:val="49F11610"/>
    <w:rsid w:val="4A01681E"/>
    <w:rsid w:val="4A05334F"/>
    <w:rsid w:val="4A060864"/>
    <w:rsid w:val="4A244932"/>
    <w:rsid w:val="4A2922C8"/>
    <w:rsid w:val="4A344C24"/>
    <w:rsid w:val="4A4117B2"/>
    <w:rsid w:val="4A4200BE"/>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6E6C91"/>
    <w:rsid w:val="4B773D97"/>
    <w:rsid w:val="4B7A5635"/>
    <w:rsid w:val="4B8E10E1"/>
    <w:rsid w:val="4B9802B0"/>
    <w:rsid w:val="4B9E65BE"/>
    <w:rsid w:val="4B9F33A8"/>
    <w:rsid w:val="4BA80AFD"/>
    <w:rsid w:val="4BB033BA"/>
    <w:rsid w:val="4BB469AD"/>
    <w:rsid w:val="4BC06040"/>
    <w:rsid w:val="4BC66ACD"/>
    <w:rsid w:val="4BC82845"/>
    <w:rsid w:val="4BCF5981"/>
    <w:rsid w:val="4BD846DB"/>
    <w:rsid w:val="4BF441D2"/>
    <w:rsid w:val="4C1C2A09"/>
    <w:rsid w:val="4C284AD9"/>
    <w:rsid w:val="4C423098"/>
    <w:rsid w:val="4C694192"/>
    <w:rsid w:val="4C7964D9"/>
    <w:rsid w:val="4C8229F4"/>
    <w:rsid w:val="4C891FD4"/>
    <w:rsid w:val="4C8C5620"/>
    <w:rsid w:val="4C9269F6"/>
    <w:rsid w:val="4CB75F07"/>
    <w:rsid w:val="4CC24B4C"/>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EE35C0"/>
    <w:rsid w:val="4DF26A56"/>
    <w:rsid w:val="4DF47921"/>
    <w:rsid w:val="4DFC14EA"/>
    <w:rsid w:val="4DFF6815"/>
    <w:rsid w:val="4E0A3427"/>
    <w:rsid w:val="4E0E49F1"/>
    <w:rsid w:val="4E2423AC"/>
    <w:rsid w:val="4E261AA5"/>
    <w:rsid w:val="4E287F63"/>
    <w:rsid w:val="4E304B5D"/>
    <w:rsid w:val="4E3F66C2"/>
    <w:rsid w:val="4E611B8B"/>
    <w:rsid w:val="4E6279D7"/>
    <w:rsid w:val="4E682F8C"/>
    <w:rsid w:val="4E6A7BB7"/>
    <w:rsid w:val="4E6C5D89"/>
    <w:rsid w:val="4E766588"/>
    <w:rsid w:val="4E9133C2"/>
    <w:rsid w:val="4EB23220"/>
    <w:rsid w:val="4EC866B8"/>
    <w:rsid w:val="4ED46303"/>
    <w:rsid w:val="4EDB463D"/>
    <w:rsid w:val="4EE661F8"/>
    <w:rsid w:val="4EF27A04"/>
    <w:rsid w:val="4F0773B4"/>
    <w:rsid w:val="4F0C69BB"/>
    <w:rsid w:val="4F241019"/>
    <w:rsid w:val="4F307BB1"/>
    <w:rsid w:val="4F336227"/>
    <w:rsid w:val="4F3C3EF2"/>
    <w:rsid w:val="4F3D562D"/>
    <w:rsid w:val="4F5C4EE0"/>
    <w:rsid w:val="4F681AF1"/>
    <w:rsid w:val="4F6E1972"/>
    <w:rsid w:val="4F943166"/>
    <w:rsid w:val="4F9C19A5"/>
    <w:rsid w:val="4FAE1D52"/>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242BC"/>
    <w:rsid w:val="514229EF"/>
    <w:rsid w:val="515B06D0"/>
    <w:rsid w:val="51764AF1"/>
    <w:rsid w:val="51996737"/>
    <w:rsid w:val="51B408B8"/>
    <w:rsid w:val="51B80848"/>
    <w:rsid w:val="51CC0868"/>
    <w:rsid w:val="51D33CF1"/>
    <w:rsid w:val="51D5340F"/>
    <w:rsid w:val="51D81308"/>
    <w:rsid w:val="520B348B"/>
    <w:rsid w:val="52287B99"/>
    <w:rsid w:val="52382F2A"/>
    <w:rsid w:val="52386E3D"/>
    <w:rsid w:val="523A7DD1"/>
    <w:rsid w:val="523B7711"/>
    <w:rsid w:val="524E3378"/>
    <w:rsid w:val="52522E6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AD4386"/>
    <w:rsid w:val="54B03E76"/>
    <w:rsid w:val="54BB2F47"/>
    <w:rsid w:val="54BF230B"/>
    <w:rsid w:val="54C94F38"/>
    <w:rsid w:val="54CC6227"/>
    <w:rsid w:val="54D10F9B"/>
    <w:rsid w:val="54D97871"/>
    <w:rsid w:val="54DC4C6B"/>
    <w:rsid w:val="54EF1BF5"/>
    <w:rsid w:val="550B5550"/>
    <w:rsid w:val="551D586C"/>
    <w:rsid w:val="55200298"/>
    <w:rsid w:val="55335E1B"/>
    <w:rsid w:val="5536079B"/>
    <w:rsid w:val="554B7EF0"/>
    <w:rsid w:val="556F3D99"/>
    <w:rsid w:val="556F788D"/>
    <w:rsid w:val="55720837"/>
    <w:rsid w:val="55860894"/>
    <w:rsid w:val="558B4F16"/>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33025"/>
    <w:rsid w:val="57272B15"/>
    <w:rsid w:val="574448FC"/>
    <w:rsid w:val="57561D39"/>
    <w:rsid w:val="575B7AFD"/>
    <w:rsid w:val="575C22BB"/>
    <w:rsid w:val="576176AA"/>
    <w:rsid w:val="57660D3F"/>
    <w:rsid w:val="576A09DC"/>
    <w:rsid w:val="5774562F"/>
    <w:rsid w:val="5785783C"/>
    <w:rsid w:val="578F06BB"/>
    <w:rsid w:val="57A469A0"/>
    <w:rsid w:val="57A557E8"/>
    <w:rsid w:val="57CC4BC2"/>
    <w:rsid w:val="57D10760"/>
    <w:rsid w:val="57D1153D"/>
    <w:rsid w:val="57D77297"/>
    <w:rsid w:val="57FA3774"/>
    <w:rsid w:val="58084A3C"/>
    <w:rsid w:val="5818420C"/>
    <w:rsid w:val="582772A7"/>
    <w:rsid w:val="5847689F"/>
    <w:rsid w:val="58531B77"/>
    <w:rsid w:val="58564D34"/>
    <w:rsid w:val="585D2975"/>
    <w:rsid w:val="585D4315"/>
    <w:rsid w:val="585E160F"/>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DE1485"/>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CC1A69"/>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EC14F9"/>
    <w:rsid w:val="5DEF5A0F"/>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93E10"/>
    <w:rsid w:val="5EAE7678"/>
    <w:rsid w:val="5ED35F0E"/>
    <w:rsid w:val="5EDF7832"/>
    <w:rsid w:val="5EE44E48"/>
    <w:rsid w:val="5EFC1390"/>
    <w:rsid w:val="5EFC3EB6"/>
    <w:rsid w:val="5F00622C"/>
    <w:rsid w:val="5F03335D"/>
    <w:rsid w:val="5F0368C7"/>
    <w:rsid w:val="5F1544E7"/>
    <w:rsid w:val="5F197EE8"/>
    <w:rsid w:val="5F205334"/>
    <w:rsid w:val="5F312D8D"/>
    <w:rsid w:val="5F3C4923"/>
    <w:rsid w:val="5F4160B0"/>
    <w:rsid w:val="5F426012"/>
    <w:rsid w:val="5F5A7800"/>
    <w:rsid w:val="5F6368E9"/>
    <w:rsid w:val="5F7811D3"/>
    <w:rsid w:val="5F8607FD"/>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C4CF9"/>
    <w:rsid w:val="602D0A71"/>
    <w:rsid w:val="60307A2A"/>
    <w:rsid w:val="603814FF"/>
    <w:rsid w:val="604109A8"/>
    <w:rsid w:val="60522285"/>
    <w:rsid w:val="60536729"/>
    <w:rsid w:val="605D2617"/>
    <w:rsid w:val="60616CDC"/>
    <w:rsid w:val="60624E53"/>
    <w:rsid w:val="606319E5"/>
    <w:rsid w:val="607A77D8"/>
    <w:rsid w:val="607B3C50"/>
    <w:rsid w:val="608B6567"/>
    <w:rsid w:val="60902A4E"/>
    <w:rsid w:val="60AA3E6F"/>
    <w:rsid w:val="60AE3960"/>
    <w:rsid w:val="60BB607C"/>
    <w:rsid w:val="60F647D1"/>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1F00AA9"/>
    <w:rsid w:val="62065A1D"/>
    <w:rsid w:val="6213792C"/>
    <w:rsid w:val="62145A44"/>
    <w:rsid w:val="621775E2"/>
    <w:rsid w:val="62186578"/>
    <w:rsid w:val="621C0D9D"/>
    <w:rsid w:val="622F7552"/>
    <w:rsid w:val="62306F99"/>
    <w:rsid w:val="6250406E"/>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C5F97"/>
    <w:rsid w:val="637D0978"/>
    <w:rsid w:val="638906B4"/>
    <w:rsid w:val="638968B0"/>
    <w:rsid w:val="638A282C"/>
    <w:rsid w:val="6393508F"/>
    <w:rsid w:val="639A3568"/>
    <w:rsid w:val="63A75341"/>
    <w:rsid w:val="63A85E90"/>
    <w:rsid w:val="63A962DB"/>
    <w:rsid w:val="63AB1A91"/>
    <w:rsid w:val="63B55005"/>
    <w:rsid w:val="63B75221"/>
    <w:rsid w:val="63B82D47"/>
    <w:rsid w:val="63C74D38"/>
    <w:rsid w:val="63E458EA"/>
    <w:rsid w:val="63EA73A4"/>
    <w:rsid w:val="63EE4692"/>
    <w:rsid w:val="63F460F1"/>
    <w:rsid w:val="63FD622D"/>
    <w:rsid w:val="64177A6E"/>
    <w:rsid w:val="641F42FB"/>
    <w:rsid w:val="643F32F9"/>
    <w:rsid w:val="64582686"/>
    <w:rsid w:val="64673C87"/>
    <w:rsid w:val="647E189B"/>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21AA2"/>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4C796B"/>
    <w:rsid w:val="665A1E94"/>
    <w:rsid w:val="66736112"/>
    <w:rsid w:val="667F5B5B"/>
    <w:rsid w:val="66911D59"/>
    <w:rsid w:val="6694262A"/>
    <w:rsid w:val="66990381"/>
    <w:rsid w:val="66996E60"/>
    <w:rsid w:val="66A870A3"/>
    <w:rsid w:val="66B31B01"/>
    <w:rsid w:val="66CE1E80"/>
    <w:rsid w:val="66DB1226"/>
    <w:rsid w:val="66E362F9"/>
    <w:rsid w:val="66E47FD9"/>
    <w:rsid w:val="66E520A5"/>
    <w:rsid w:val="66F04175"/>
    <w:rsid w:val="66F127F8"/>
    <w:rsid w:val="67071922"/>
    <w:rsid w:val="670E33AA"/>
    <w:rsid w:val="672F50CE"/>
    <w:rsid w:val="673B73C0"/>
    <w:rsid w:val="673F17B5"/>
    <w:rsid w:val="674743C8"/>
    <w:rsid w:val="674E19F8"/>
    <w:rsid w:val="675608B6"/>
    <w:rsid w:val="6760172C"/>
    <w:rsid w:val="67754402"/>
    <w:rsid w:val="677D54ED"/>
    <w:rsid w:val="678B726C"/>
    <w:rsid w:val="67B25E27"/>
    <w:rsid w:val="67B4646D"/>
    <w:rsid w:val="67B464CA"/>
    <w:rsid w:val="67C4383B"/>
    <w:rsid w:val="67CE48E7"/>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A4CB2"/>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26794C"/>
    <w:rsid w:val="6A3C6480"/>
    <w:rsid w:val="6A417049"/>
    <w:rsid w:val="6A4C5F97"/>
    <w:rsid w:val="6A576E16"/>
    <w:rsid w:val="6A5D6ABC"/>
    <w:rsid w:val="6A7903E5"/>
    <w:rsid w:val="6A8219B9"/>
    <w:rsid w:val="6A822A1B"/>
    <w:rsid w:val="6A8641F2"/>
    <w:rsid w:val="6A9701A5"/>
    <w:rsid w:val="6AA03032"/>
    <w:rsid w:val="6AA86FEC"/>
    <w:rsid w:val="6AB06526"/>
    <w:rsid w:val="6AC67AF8"/>
    <w:rsid w:val="6ACB20F7"/>
    <w:rsid w:val="6AD54E94"/>
    <w:rsid w:val="6ADA6AC4"/>
    <w:rsid w:val="6ADB11D6"/>
    <w:rsid w:val="6B1A2C3C"/>
    <w:rsid w:val="6B204A1A"/>
    <w:rsid w:val="6B221F4E"/>
    <w:rsid w:val="6B31644D"/>
    <w:rsid w:val="6B486C86"/>
    <w:rsid w:val="6B524FCF"/>
    <w:rsid w:val="6B546244"/>
    <w:rsid w:val="6B554C72"/>
    <w:rsid w:val="6B680BAF"/>
    <w:rsid w:val="6B774DF2"/>
    <w:rsid w:val="6B7834E8"/>
    <w:rsid w:val="6B847AD7"/>
    <w:rsid w:val="6B961F07"/>
    <w:rsid w:val="6B9A2DF9"/>
    <w:rsid w:val="6BA22313"/>
    <w:rsid w:val="6BA56BC7"/>
    <w:rsid w:val="6BAA11C7"/>
    <w:rsid w:val="6BAA566B"/>
    <w:rsid w:val="6BAC4619"/>
    <w:rsid w:val="6BB118FD"/>
    <w:rsid w:val="6BC60150"/>
    <w:rsid w:val="6BCA7D9B"/>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A5BBF"/>
    <w:rsid w:val="6C5C23DC"/>
    <w:rsid w:val="6C5F2DDD"/>
    <w:rsid w:val="6C6D1126"/>
    <w:rsid w:val="6C7672FB"/>
    <w:rsid w:val="6C967DB5"/>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34120"/>
    <w:rsid w:val="6DA774D6"/>
    <w:rsid w:val="6DAA074A"/>
    <w:rsid w:val="6DB13E57"/>
    <w:rsid w:val="6DC245A2"/>
    <w:rsid w:val="6DC42A14"/>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682806"/>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66F73"/>
    <w:rsid w:val="6F286FD3"/>
    <w:rsid w:val="6F2F2D9E"/>
    <w:rsid w:val="6F3A05FC"/>
    <w:rsid w:val="6F4147D9"/>
    <w:rsid w:val="6F437969"/>
    <w:rsid w:val="6F581F47"/>
    <w:rsid w:val="6F5B0D5A"/>
    <w:rsid w:val="6F5C35EA"/>
    <w:rsid w:val="6F63625D"/>
    <w:rsid w:val="6F6B6A15"/>
    <w:rsid w:val="6F6D49E6"/>
    <w:rsid w:val="6F947E4B"/>
    <w:rsid w:val="6F9957DB"/>
    <w:rsid w:val="6FA30BDA"/>
    <w:rsid w:val="6FB21D4C"/>
    <w:rsid w:val="6FB80698"/>
    <w:rsid w:val="6FF9096F"/>
    <w:rsid w:val="6FFD5E0F"/>
    <w:rsid w:val="70076BE8"/>
    <w:rsid w:val="701021F4"/>
    <w:rsid w:val="701C29A6"/>
    <w:rsid w:val="7024611F"/>
    <w:rsid w:val="702C664F"/>
    <w:rsid w:val="702F7EED"/>
    <w:rsid w:val="7038498C"/>
    <w:rsid w:val="703F45D4"/>
    <w:rsid w:val="70453F88"/>
    <w:rsid w:val="70637B96"/>
    <w:rsid w:val="70797317"/>
    <w:rsid w:val="707E201F"/>
    <w:rsid w:val="7099044B"/>
    <w:rsid w:val="709A06E1"/>
    <w:rsid w:val="709D518F"/>
    <w:rsid w:val="709E387E"/>
    <w:rsid w:val="70A97C9F"/>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2D7068F"/>
    <w:rsid w:val="72FF004B"/>
    <w:rsid w:val="73047407"/>
    <w:rsid w:val="73047904"/>
    <w:rsid w:val="731A4E85"/>
    <w:rsid w:val="73253EFA"/>
    <w:rsid w:val="73353A6C"/>
    <w:rsid w:val="734C1A6A"/>
    <w:rsid w:val="73555EBD"/>
    <w:rsid w:val="735663B7"/>
    <w:rsid w:val="735B1379"/>
    <w:rsid w:val="735C5949"/>
    <w:rsid w:val="73671287"/>
    <w:rsid w:val="73737DA5"/>
    <w:rsid w:val="73740A39"/>
    <w:rsid w:val="73783823"/>
    <w:rsid w:val="73814F04"/>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3285B"/>
    <w:rsid w:val="74676A28"/>
    <w:rsid w:val="747131CA"/>
    <w:rsid w:val="74714F78"/>
    <w:rsid w:val="747E40B6"/>
    <w:rsid w:val="74942A15"/>
    <w:rsid w:val="74AA2238"/>
    <w:rsid w:val="74AC3224"/>
    <w:rsid w:val="74B21065"/>
    <w:rsid w:val="74BB2C83"/>
    <w:rsid w:val="74C01A5C"/>
    <w:rsid w:val="74C0380A"/>
    <w:rsid w:val="74C33758"/>
    <w:rsid w:val="74CE23CA"/>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8F4B63"/>
    <w:rsid w:val="76944F4E"/>
    <w:rsid w:val="76BB1CAB"/>
    <w:rsid w:val="76C04050"/>
    <w:rsid w:val="76D67314"/>
    <w:rsid w:val="76E00193"/>
    <w:rsid w:val="76E65049"/>
    <w:rsid w:val="76FA74A7"/>
    <w:rsid w:val="77076007"/>
    <w:rsid w:val="770F77AA"/>
    <w:rsid w:val="77183DD1"/>
    <w:rsid w:val="771A36A5"/>
    <w:rsid w:val="773329B9"/>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EF46BD"/>
    <w:rsid w:val="78F85605"/>
    <w:rsid w:val="78FA66FA"/>
    <w:rsid w:val="791344A9"/>
    <w:rsid w:val="79345B6A"/>
    <w:rsid w:val="79424F6E"/>
    <w:rsid w:val="794F33AE"/>
    <w:rsid w:val="795F3706"/>
    <w:rsid w:val="797239CC"/>
    <w:rsid w:val="797D616D"/>
    <w:rsid w:val="797F54AB"/>
    <w:rsid w:val="79831473"/>
    <w:rsid w:val="79983E9C"/>
    <w:rsid w:val="7999527A"/>
    <w:rsid w:val="799A0ACD"/>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2AD4"/>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590514"/>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2A25DC"/>
    <w:rsid w:val="7C32497F"/>
    <w:rsid w:val="7C3C69AE"/>
    <w:rsid w:val="7C631577"/>
    <w:rsid w:val="7C691974"/>
    <w:rsid w:val="7C6E3B16"/>
    <w:rsid w:val="7C8613C2"/>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74864"/>
    <w:rsid w:val="7D1E1A15"/>
    <w:rsid w:val="7D1F6674"/>
    <w:rsid w:val="7D425704"/>
    <w:rsid w:val="7D475E29"/>
    <w:rsid w:val="7D480B34"/>
    <w:rsid w:val="7D511DEB"/>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 w:val="7FFE3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toc 1"/>
    <w:basedOn w:val="1"/>
    <w:next w:val="1"/>
    <w:autoRedefine/>
    <w:qFormat/>
    <w:uiPriority w:val="0"/>
  </w:style>
  <w:style w:type="paragraph" w:styleId="25">
    <w:name w:val="List"/>
    <w:basedOn w:val="1"/>
    <w:autoRedefine/>
    <w:qFormat/>
    <w:uiPriority w:val="0"/>
    <w:pPr>
      <w:ind w:left="200" w:hanging="200" w:hangingChars="200"/>
    </w:pPr>
  </w:style>
  <w:style w:type="paragraph" w:styleId="26">
    <w:name w:val="Body Text 2"/>
    <w:basedOn w:val="1"/>
    <w:next w:val="3"/>
    <w:autoRedefine/>
    <w:qFormat/>
    <w:uiPriority w:val="0"/>
    <w:pPr>
      <w:spacing w:line="480" w:lineRule="auto"/>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32"/>
    <w:autoRedefine/>
    <w:qFormat/>
    <w:uiPriority w:val="0"/>
    <w:pPr>
      <w:spacing w:line="360" w:lineRule="auto"/>
      <w:ind w:firstLine="420" w:firstLineChars="100"/>
    </w:pPr>
    <w:rPr>
      <w:szCs w:val="21"/>
    </w:rPr>
  </w:style>
  <w:style w:type="paragraph" w:styleId="32">
    <w:name w:val="Body Text First Indent 2"/>
    <w:basedOn w:val="15"/>
    <w:autoRedefine/>
    <w:qFormat/>
    <w:uiPriority w:val="0"/>
    <w:pPr>
      <w:ind w:firstLine="420" w:firstLineChars="200"/>
    </w:p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32"/>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28</Pages>
  <Words>11552</Words>
  <Characters>12064</Characters>
  <Lines>50</Lines>
  <Paragraphs>68</Paragraphs>
  <TotalTime>0</TotalTime>
  <ScaleCrop>false</ScaleCrop>
  <LinksUpToDate>false</LinksUpToDate>
  <CharactersWithSpaces>12946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2026-08-28T08:56:59Z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